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41F25EC8" w14:textId="77777777" w:rsidTr="00796BDB">
        <w:trPr>
          <w:cantSplit/>
          <w:trHeight w:val="23"/>
        </w:trPr>
        <w:tc>
          <w:tcPr>
            <w:tcW w:w="3969" w:type="dxa"/>
            <w:vMerge w:val="restart"/>
            <w:tcMar>
              <w:left w:w="0" w:type="dxa"/>
            </w:tcMar>
          </w:tcPr>
          <w:p w14:paraId="3C70AF8F" w14:textId="7EF8AF06" w:rsidR="00D72F49" w:rsidRPr="00E85629" w:rsidRDefault="00D72F49" w:rsidP="00796BDB">
            <w:pPr>
              <w:tabs>
                <w:tab w:val="left" w:pos="851"/>
              </w:tabs>
              <w:spacing w:before="0" w:line="240" w:lineRule="atLeast"/>
              <w:rPr>
                <w:b/>
              </w:rPr>
            </w:pPr>
            <w:r w:rsidRPr="00122CE1">
              <w:rPr>
                <w:b/>
              </w:rPr>
              <w:t>Point de l'ordre du jour</w:t>
            </w:r>
            <w:r>
              <w:rPr>
                <w:b/>
              </w:rPr>
              <w:t>:</w:t>
            </w:r>
            <w:r w:rsidR="00056D48">
              <w:rPr>
                <w:b/>
              </w:rPr>
              <w:t xml:space="preserve"> ADM 3</w:t>
            </w:r>
          </w:p>
        </w:tc>
        <w:tc>
          <w:tcPr>
            <w:tcW w:w="5245" w:type="dxa"/>
          </w:tcPr>
          <w:p w14:paraId="4A0BCE33" w14:textId="2B818CBC"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056D48">
              <w:rPr>
                <w:b/>
              </w:rPr>
              <w:t>62</w:t>
            </w:r>
            <w:r>
              <w:rPr>
                <w:b/>
              </w:rPr>
              <w:t>-F</w:t>
            </w:r>
          </w:p>
        </w:tc>
      </w:tr>
      <w:tr w:rsidR="00D72F49" w:rsidRPr="00C049D7" w14:paraId="2DBBDD9F" w14:textId="77777777" w:rsidTr="00796BDB">
        <w:trPr>
          <w:cantSplit/>
        </w:trPr>
        <w:tc>
          <w:tcPr>
            <w:tcW w:w="3969" w:type="dxa"/>
            <w:vMerge/>
          </w:tcPr>
          <w:p w14:paraId="0A2AF9D9" w14:textId="77777777" w:rsidR="00D72F49" w:rsidRPr="00813E5E" w:rsidRDefault="00D72F49" w:rsidP="00796BDB">
            <w:pPr>
              <w:tabs>
                <w:tab w:val="left" w:pos="851"/>
              </w:tabs>
              <w:spacing w:line="240" w:lineRule="atLeast"/>
              <w:rPr>
                <w:b/>
              </w:rPr>
            </w:pPr>
          </w:p>
        </w:tc>
        <w:tc>
          <w:tcPr>
            <w:tcW w:w="5245" w:type="dxa"/>
          </w:tcPr>
          <w:p w14:paraId="2DBFAF7B" w14:textId="7CEF4810" w:rsidR="00D72F49" w:rsidRPr="00FC6D7D" w:rsidRDefault="00056D48" w:rsidP="00796BDB">
            <w:pPr>
              <w:tabs>
                <w:tab w:val="left" w:pos="851"/>
              </w:tabs>
              <w:spacing w:before="0"/>
              <w:jc w:val="right"/>
              <w:rPr>
                <w:b/>
                <w:lang w:val="en-GB"/>
              </w:rPr>
            </w:pPr>
            <w:r>
              <w:rPr>
                <w:b/>
              </w:rPr>
              <w:t>30 mars 2026</w:t>
            </w:r>
          </w:p>
        </w:tc>
      </w:tr>
      <w:tr w:rsidR="00D72F49" w:rsidRPr="00813E5E" w14:paraId="1223FAE6" w14:textId="77777777" w:rsidTr="00796BDB">
        <w:trPr>
          <w:cantSplit/>
          <w:trHeight w:val="23"/>
        </w:trPr>
        <w:tc>
          <w:tcPr>
            <w:tcW w:w="3969" w:type="dxa"/>
            <w:vMerge/>
          </w:tcPr>
          <w:p w14:paraId="1B31F1BC" w14:textId="77777777" w:rsidR="00D72F49" w:rsidRPr="00FC6D7D" w:rsidRDefault="00D72F49" w:rsidP="00796BDB">
            <w:pPr>
              <w:tabs>
                <w:tab w:val="left" w:pos="851"/>
              </w:tabs>
              <w:spacing w:line="240" w:lineRule="atLeast"/>
              <w:rPr>
                <w:b/>
                <w:lang w:val="en-GB"/>
              </w:rPr>
            </w:pPr>
          </w:p>
        </w:tc>
        <w:tc>
          <w:tcPr>
            <w:tcW w:w="5245" w:type="dxa"/>
          </w:tcPr>
          <w:p w14:paraId="66136C05"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106B5CA9" w14:textId="77777777" w:rsidTr="00796BDB">
        <w:trPr>
          <w:cantSplit/>
          <w:trHeight w:val="23"/>
        </w:trPr>
        <w:tc>
          <w:tcPr>
            <w:tcW w:w="3969" w:type="dxa"/>
          </w:tcPr>
          <w:p w14:paraId="095CFF6F" w14:textId="77777777" w:rsidR="00D72F49" w:rsidRPr="00813E5E" w:rsidRDefault="00D72F49" w:rsidP="00796BDB">
            <w:pPr>
              <w:tabs>
                <w:tab w:val="left" w:pos="851"/>
              </w:tabs>
              <w:spacing w:line="240" w:lineRule="atLeast"/>
              <w:rPr>
                <w:b/>
              </w:rPr>
            </w:pPr>
          </w:p>
        </w:tc>
        <w:tc>
          <w:tcPr>
            <w:tcW w:w="5245" w:type="dxa"/>
          </w:tcPr>
          <w:p w14:paraId="4FBFE970" w14:textId="77777777" w:rsidR="00D72F49" w:rsidRDefault="00D72F49" w:rsidP="00796BDB">
            <w:pPr>
              <w:tabs>
                <w:tab w:val="left" w:pos="851"/>
              </w:tabs>
              <w:spacing w:before="0" w:line="240" w:lineRule="atLeast"/>
              <w:jc w:val="right"/>
              <w:rPr>
                <w:b/>
              </w:rPr>
            </w:pPr>
          </w:p>
        </w:tc>
      </w:tr>
      <w:tr w:rsidR="00D72F49" w:rsidRPr="00122CE1" w14:paraId="68280609" w14:textId="77777777" w:rsidTr="00796BDB">
        <w:trPr>
          <w:cantSplit/>
        </w:trPr>
        <w:tc>
          <w:tcPr>
            <w:tcW w:w="9214" w:type="dxa"/>
            <w:gridSpan w:val="2"/>
            <w:tcMar>
              <w:left w:w="0" w:type="dxa"/>
            </w:tcMar>
          </w:tcPr>
          <w:p w14:paraId="01CE7340" w14:textId="77777777" w:rsidR="00D72F49" w:rsidRPr="007257B4" w:rsidRDefault="00D72F49" w:rsidP="007257B4">
            <w:pPr>
              <w:pStyle w:val="Source"/>
              <w:framePr w:hSpace="0" w:wrap="auto" w:vAnchor="margin" w:hAnchor="text" w:xAlign="left" w:yAlign="inline"/>
              <w:rPr>
                <w:lang w:val="fr-CH"/>
              </w:rPr>
            </w:pPr>
            <w:r w:rsidRPr="007257B4">
              <w:t xml:space="preserve">Rapport </w:t>
            </w:r>
            <w:r w:rsidR="00E95647" w:rsidRPr="007257B4">
              <w:t xml:space="preserve">de la </w:t>
            </w:r>
            <w:r w:rsidRPr="007257B4">
              <w:t>Secrétaire général</w:t>
            </w:r>
            <w:r w:rsidR="00E95647" w:rsidRPr="007257B4">
              <w:t>e</w:t>
            </w:r>
          </w:p>
        </w:tc>
      </w:tr>
      <w:tr w:rsidR="00D72F49" w:rsidRPr="00813E5E" w14:paraId="5B3E59F9" w14:textId="77777777" w:rsidTr="00796BDB">
        <w:trPr>
          <w:cantSplit/>
        </w:trPr>
        <w:tc>
          <w:tcPr>
            <w:tcW w:w="9214" w:type="dxa"/>
            <w:gridSpan w:val="2"/>
            <w:tcMar>
              <w:left w:w="0" w:type="dxa"/>
            </w:tcMar>
          </w:tcPr>
          <w:p w14:paraId="627C726B" w14:textId="11593062" w:rsidR="00D72F49" w:rsidRPr="00056D48" w:rsidRDefault="007257B4" w:rsidP="00796BDB">
            <w:pPr>
              <w:pStyle w:val="Subtitle"/>
              <w:framePr w:hSpace="0" w:wrap="auto" w:hAnchor="text" w:xAlign="left" w:yAlign="inline"/>
              <w:rPr>
                <w:sz w:val="32"/>
                <w:szCs w:val="32"/>
                <w:lang w:val="fr-FR"/>
              </w:rPr>
            </w:pPr>
            <w:r w:rsidRPr="00056D48">
              <w:rPr>
                <w:rFonts w:cstheme="minorHAnsi"/>
                <w:sz w:val="32"/>
                <w:szCs w:val="32"/>
                <w:lang w:val="fr-FR"/>
              </w:rPr>
              <w:t>RENFORCER LES BASES NUMÉRIQUES INTERNES POUR LA TRANSFORMATION DE L</w:t>
            </w:r>
            <w:r>
              <w:rPr>
                <w:rFonts w:cstheme="minorHAnsi"/>
                <w:sz w:val="32"/>
                <w:szCs w:val="32"/>
                <w:lang w:val="fr-FR"/>
              </w:rPr>
              <w:t>'</w:t>
            </w:r>
            <w:r w:rsidRPr="00056D48">
              <w:rPr>
                <w:rFonts w:cstheme="minorHAnsi"/>
                <w:sz w:val="32"/>
                <w:szCs w:val="32"/>
                <w:lang w:val="fr-FR"/>
              </w:rPr>
              <w:t>UIT – STRATÉGIE, ARCHITECTURE INSTITUTIONNELLE, GOUVERNANCE DES TIC ET MODÈLE D'EXPLOITATION DES TECHNOLOGIES DE L</w:t>
            </w:r>
            <w:r>
              <w:rPr>
                <w:rFonts w:cstheme="minorHAnsi"/>
                <w:sz w:val="32"/>
                <w:szCs w:val="32"/>
                <w:lang w:val="fr-FR"/>
              </w:rPr>
              <w:t>'</w:t>
            </w:r>
            <w:r w:rsidRPr="00056D48">
              <w:rPr>
                <w:rFonts w:cstheme="minorHAnsi"/>
                <w:sz w:val="32"/>
                <w:szCs w:val="32"/>
                <w:lang w:val="fr-FR"/>
              </w:rPr>
              <w:t>INFORMATION</w:t>
            </w:r>
          </w:p>
        </w:tc>
      </w:tr>
      <w:tr w:rsidR="00D72F49" w:rsidRPr="00813E5E" w14:paraId="49168929" w14:textId="77777777" w:rsidTr="00056D48">
        <w:trPr>
          <w:cantSplit/>
          <w:trHeight w:val="56"/>
        </w:trPr>
        <w:tc>
          <w:tcPr>
            <w:tcW w:w="9214" w:type="dxa"/>
            <w:gridSpan w:val="2"/>
            <w:tcBorders>
              <w:top w:val="single" w:sz="4" w:space="0" w:color="auto"/>
              <w:bottom w:val="single" w:sz="4" w:space="0" w:color="auto"/>
            </w:tcBorders>
            <w:tcMar>
              <w:left w:w="0" w:type="dxa"/>
            </w:tcMar>
          </w:tcPr>
          <w:p w14:paraId="020E7CE7" w14:textId="77777777" w:rsidR="00D72F49" w:rsidRPr="0099485B" w:rsidRDefault="00F37FE5" w:rsidP="00796BDB">
            <w:pPr>
              <w:spacing w:before="160"/>
              <w:rPr>
                <w:b/>
                <w:bCs/>
                <w:sz w:val="26"/>
                <w:szCs w:val="26"/>
                <w:lang w:val="fr-CH"/>
              </w:rPr>
            </w:pPr>
            <w:r>
              <w:rPr>
                <w:b/>
                <w:bCs/>
                <w:sz w:val="26"/>
                <w:szCs w:val="26"/>
                <w:lang w:val="fr-CH"/>
              </w:rPr>
              <w:t>Objet</w:t>
            </w:r>
          </w:p>
          <w:p w14:paraId="5C0484B0" w14:textId="2FED3DB4" w:rsidR="00056D48" w:rsidRPr="00056D48" w:rsidRDefault="00056D48" w:rsidP="007257B4">
            <w:pPr>
              <w:spacing w:before="100"/>
              <w:jc w:val="both"/>
              <w:rPr>
                <w:lang w:val="fr-CH"/>
              </w:rPr>
            </w:pPr>
            <w:r w:rsidRPr="00056D48">
              <w:rPr>
                <w:lang w:val="fr-CH"/>
              </w:rPr>
              <w:t xml:space="preserve">Le présent document vise à donner au Conseil des informations actualisées sur les </w:t>
            </w:r>
            <w:r w:rsidRPr="00056D48">
              <w:rPr>
                <w:b/>
                <w:bCs/>
                <w:lang w:val="fr-CH"/>
              </w:rPr>
              <w:t>progrès accomplis dans l'élaboration</w:t>
            </w:r>
            <w:r w:rsidRPr="00056D48">
              <w:rPr>
                <w:lang w:val="fr-CH"/>
              </w:rPr>
              <w:t xml:space="preserve"> des quatre bases numériques de l'UIT, qui sont liées les unes aux autres, à savoir la stratégie et le plan numériques internes de l</w:t>
            </w:r>
            <w:r>
              <w:rPr>
                <w:lang w:val="fr-CH"/>
              </w:rPr>
              <w:t>'</w:t>
            </w:r>
            <w:r w:rsidRPr="00056D48">
              <w:rPr>
                <w:lang w:val="fr-CH"/>
              </w:rPr>
              <w:t>UIT pour 2026-2027, le plan directeur pour l</w:t>
            </w:r>
            <w:r>
              <w:rPr>
                <w:lang w:val="fr-CH"/>
              </w:rPr>
              <w:t>'</w:t>
            </w:r>
            <w:r w:rsidRPr="00056D48">
              <w:rPr>
                <w:lang w:val="fr-CH"/>
              </w:rPr>
              <w:t xml:space="preserve">architecture institutionnelle, le cadre de gouvernance numérique amélioré et le nouveau modèle de fonctionnement du Département des services informatiques. </w:t>
            </w:r>
          </w:p>
          <w:p w14:paraId="00DA5C6C" w14:textId="2B8C3C59" w:rsidR="00D72F49" w:rsidRPr="0099485B" w:rsidRDefault="00056D48" w:rsidP="007257B4">
            <w:pPr>
              <w:spacing w:before="100"/>
              <w:jc w:val="both"/>
              <w:rPr>
                <w:lang w:val="fr-CH"/>
              </w:rPr>
            </w:pPr>
            <w:r w:rsidRPr="00056D48">
              <w:rPr>
                <w:lang w:val="fr-CH"/>
              </w:rPr>
              <w:t>Ces quatre éléments fondamentaux répondent directement aux orientations du Conseil quant au renforcement de la gouvernance, de la transparence et de la valorisation des investissements dans les TIC. Ils sont conçus comme un système intégré pour la transformation numérique interne de l</w:t>
            </w:r>
            <w:r>
              <w:rPr>
                <w:lang w:val="fr-CH"/>
              </w:rPr>
              <w:t>'</w:t>
            </w:r>
            <w:r w:rsidRPr="00056D48">
              <w:rPr>
                <w:lang w:val="fr-CH"/>
              </w:rPr>
              <w:t>UIT.</w:t>
            </w:r>
          </w:p>
          <w:p w14:paraId="54185F0C"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46032898" w14:textId="0A3262C9" w:rsidR="00D72F49" w:rsidRPr="00122CE1" w:rsidRDefault="00056D48" w:rsidP="00796BDB">
            <w:pPr>
              <w:rPr>
                <w:lang w:val="fr-CH"/>
              </w:rPr>
            </w:pPr>
            <w:r w:rsidRPr="00056D48">
              <w:rPr>
                <w:lang w:val="fr-CH"/>
              </w:rPr>
              <w:t xml:space="preserve">Le Conseil est invité à </w:t>
            </w:r>
            <w:r w:rsidRPr="00056D48">
              <w:rPr>
                <w:b/>
                <w:bCs/>
                <w:lang w:val="fr-CH"/>
              </w:rPr>
              <w:t>prendre note</w:t>
            </w:r>
            <w:r w:rsidRPr="00056D48">
              <w:rPr>
                <w:lang w:val="fr-CH"/>
              </w:rPr>
              <w:t xml:space="preserve"> des progrès décrits dans le présent rapport et à </w:t>
            </w:r>
            <w:r w:rsidRPr="00056D48">
              <w:rPr>
                <w:b/>
                <w:bCs/>
                <w:lang w:val="fr-CH"/>
              </w:rPr>
              <w:t>donner des orientations</w:t>
            </w:r>
            <w:r w:rsidRPr="00056D48">
              <w:rPr>
                <w:lang w:val="fr-CH"/>
              </w:rPr>
              <w:t>, selon qu'il convient.</w:t>
            </w:r>
          </w:p>
          <w:p w14:paraId="023922C5" w14:textId="7D07BFA1" w:rsidR="00D72F49" w:rsidRPr="00122CE1" w:rsidRDefault="00D72F49" w:rsidP="00796BDB">
            <w:pPr>
              <w:spacing w:before="160"/>
              <w:rPr>
                <w:b/>
                <w:bCs/>
                <w:sz w:val="26"/>
                <w:szCs w:val="26"/>
                <w:lang w:val="fr-CH"/>
              </w:rPr>
            </w:pPr>
            <w:r w:rsidRPr="00122CE1">
              <w:rPr>
                <w:b/>
                <w:bCs/>
                <w:sz w:val="26"/>
                <w:szCs w:val="26"/>
                <w:lang w:val="fr-CH"/>
              </w:rPr>
              <w:t xml:space="preserve">Liens pertinents avec le </w:t>
            </w:r>
            <w:r w:rsidR="00F37FE5">
              <w:rPr>
                <w:b/>
                <w:bCs/>
                <w:sz w:val="26"/>
                <w:szCs w:val="26"/>
                <w:lang w:val="fr-CH"/>
              </w:rPr>
              <w:t>p</w:t>
            </w:r>
            <w:r w:rsidRPr="00122CE1">
              <w:rPr>
                <w:b/>
                <w:bCs/>
                <w:sz w:val="26"/>
                <w:szCs w:val="26"/>
                <w:lang w:val="fr-CH"/>
              </w:rPr>
              <w:t>lan stratégique</w:t>
            </w:r>
          </w:p>
          <w:p w14:paraId="64F780FC" w14:textId="5423B566" w:rsidR="00D72F49" w:rsidRPr="00122CE1" w:rsidRDefault="00056D48" w:rsidP="00796BDB">
            <w:pPr>
              <w:rPr>
                <w:lang w:val="fr-CH"/>
              </w:rPr>
            </w:pPr>
            <w:r w:rsidRPr="00056D48">
              <w:rPr>
                <w:lang w:val="fr-CH"/>
              </w:rPr>
              <w:t xml:space="preserve">Cadre des catalyseurs et </w:t>
            </w:r>
            <w:r>
              <w:rPr>
                <w:lang w:val="fr-CH"/>
              </w:rPr>
              <w:t>e</w:t>
            </w:r>
            <w:r w:rsidRPr="00056D48">
              <w:rPr>
                <w:lang w:val="fr-CH"/>
              </w:rPr>
              <w:t>xcellence en matière de ressources humaines et d</w:t>
            </w:r>
            <w:r>
              <w:rPr>
                <w:lang w:val="fr-CH"/>
              </w:rPr>
              <w:t>'</w:t>
            </w:r>
            <w:r w:rsidRPr="00056D48">
              <w:rPr>
                <w:lang w:val="fr-CH"/>
              </w:rPr>
              <w:t>innovation institutionnelle.</w:t>
            </w:r>
          </w:p>
          <w:p w14:paraId="061C1DD7" w14:textId="77777777" w:rsidR="00E95647" w:rsidRDefault="00D72F49" w:rsidP="00796BDB">
            <w:pPr>
              <w:spacing w:before="160"/>
              <w:rPr>
                <w:b/>
                <w:bCs/>
                <w:sz w:val="26"/>
                <w:szCs w:val="26"/>
                <w:lang w:val="fr-CH"/>
              </w:rPr>
            </w:pPr>
            <w:r w:rsidRPr="00122CE1">
              <w:rPr>
                <w:b/>
                <w:bCs/>
                <w:sz w:val="26"/>
                <w:szCs w:val="26"/>
                <w:lang w:val="fr-CH"/>
              </w:rPr>
              <w:t>Incidences financières</w:t>
            </w:r>
          </w:p>
          <w:p w14:paraId="7FB186DC" w14:textId="26E6815C" w:rsidR="00D72F49" w:rsidRPr="00882919" w:rsidRDefault="00056D48" w:rsidP="00796BDB">
            <w:pPr>
              <w:rPr>
                <w:szCs w:val="24"/>
              </w:rPr>
            </w:pPr>
            <w:r w:rsidRPr="00056D48">
              <w:rPr>
                <w:szCs w:val="24"/>
              </w:rPr>
              <w:t>Dans les limites du budget alloué pour 2026-2027.</w:t>
            </w:r>
          </w:p>
          <w:p w14:paraId="588FAA3E" w14:textId="77777777" w:rsidR="00D72F49" w:rsidRPr="00813E5E" w:rsidRDefault="00D72F49" w:rsidP="007257B4">
            <w:pPr>
              <w:rPr>
                <w:caps/>
                <w:sz w:val="22"/>
              </w:rPr>
            </w:pPr>
            <w:r w:rsidRPr="00813E5E">
              <w:rPr>
                <w:sz w:val="22"/>
              </w:rPr>
              <w:t>____________</w:t>
            </w:r>
            <w:r>
              <w:rPr>
                <w:sz w:val="22"/>
              </w:rPr>
              <w:t>______</w:t>
            </w:r>
          </w:p>
          <w:p w14:paraId="1A830456" w14:textId="77777777" w:rsidR="00D72F49" w:rsidRDefault="00D72F49" w:rsidP="00796BDB">
            <w:pPr>
              <w:spacing w:before="160"/>
              <w:rPr>
                <w:b/>
                <w:bCs/>
                <w:sz w:val="26"/>
                <w:szCs w:val="26"/>
              </w:rPr>
            </w:pPr>
            <w:r w:rsidRPr="00F16BAB">
              <w:rPr>
                <w:b/>
                <w:bCs/>
                <w:sz w:val="26"/>
                <w:szCs w:val="26"/>
              </w:rPr>
              <w:t>Références</w:t>
            </w:r>
          </w:p>
          <w:p w14:paraId="2F4A1BBA" w14:textId="7CCE1E2A" w:rsidR="00056D48" w:rsidRPr="007257B4" w:rsidRDefault="00056D48" w:rsidP="007257B4">
            <w:pPr>
              <w:pStyle w:val="Referencetext"/>
              <w:framePr w:hSpace="0" w:wrap="auto" w:vAnchor="margin" w:hAnchor="text" w:xAlign="left" w:yAlign="inline"/>
              <w:spacing w:after="120"/>
              <w:jc w:val="both"/>
            </w:pPr>
            <w:hyperlink r:id="rId7" w:history="1">
              <w:r w:rsidRPr="007257B4">
                <w:rPr>
                  <w:rStyle w:val="Hyperlink"/>
                  <w:rFonts w:eastAsia="Times New Roman" w:cs="Times New Roman"/>
                </w:rPr>
                <w:t>Résolution 71</w:t>
              </w:r>
            </w:hyperlink>
            <w:r w:rsidRPr="007257B4">
              <w:t xml:space="preserve"> (Rév. Bucarest, 2022) de la Conférence de plénipotentiaires; </w:t>
            </w:r>
            <w:hyperlink r:id="rId8" w:history="1">
              <w:r w:rsidRPr="007257B4">
                <w:rPr>
                  <w:rStyle w:val="Hyperlink"/>
                  <w:rFonts w:eastAsia="Times New Roman" w:cs="Times New Roman"/>
                </w:rPr>
                <w:t>Documents C20/61</w:t>
              </w:r>
            </w:hyperlink>
            <w:r w:rsidRPr="007257B4">
              <w:t xml:space="preserve">, </w:t>
            </w:r>
            <w:hyperlink r:id="rId9" w:history="1">
              <w:r w:rsidRPr="007257B4">
                <w:rPr>
                  <w:rStyle w:val="Hyperlink"/>
                  <w:rFonts w:eastAsia="Times New Roman" w:cs="Times New Roman"/>
                </w:rPr>
                <w:t>C20/74</w:t>
              </w:r>
            </w:hyperlink>
            <w:r w:rsidRPr="007257B4">
              <w:t xml:space="preserve">; </w:t>
            </w:r>
            <w:hyperlink r:id="rId10" w:history="1">
              <w:r w:rsidRPr="007257B4">
                <w:rPr>
                  <w:rStyle w:val="Hyperlink"/>
                  <w:rFonts w:eastAsia="Times New Roman" w:cs="Times New Roman"/>
                </w:rPr>
                <w:t>C21/INF/15</w:t>
              </w:r>
            </w:hyperlink>
            <w:r w:rsidRPr="007257B4">
              <w:t xml:space="preserve">; </w:t>
            </w:r>
            <w:hyperlink r:id="rId11" w:history="1">
              <w:r w:rsidRPr="007257B4">
                <w:rPr>
                  <w:rStyle w:val="Hyperlink"/>
                  <w:rFonts w:eastAsia="Times New Roman" w:cs="Times New Roman"/>
                </w:rPr>
                <w:t>C22/INF/13</w:t>
              </w:r>
            </w:hyperlink>
            <w:r w:rsidRPr="007257B4">
              <w:t xml:space="preserve">, </w:t>
            </w:r>
            <w:hyperlink r:id="rId12" w:history="1">
              <w:r w:rsidRPr="007257B4">
                <w:rPr>
                  <w:rStyle w:val="Hyperlink"/>
                  <w:rFonts w:eastAsia="Times New Roman" w:cs="Times New Roman"/>
                </w:rPr>
                <w:t>C22/40</w:t>
              </w:r>
            </w:hyperlink>
            <w:r w:rsidRPr="007257B4">
              <w:t xml:space="preserve">, </w:t>
            </w:r>
            <w:hyperlink r:id="rId13" w:history="1">
              <w:r w:rsidRPr="007257B4">
                <w:rPr>
                  <w:rStyle w:val="Hyperlink"/>
                  <w:rFonts w:eastAsia="Times New Roman" w:cs="Times New Roman"/>
                </w:rPr>
                <w:t>C22/57</w:t>
              </w:r>
            </w:hyperlink>
            <w:r w:rsidRPr="007257B4">
              <w:t xml:space="preserve">; </w:t>
            </w:r>
            <w:hyperlink r:id="rId14" w:history="1">
              <w:r w:rsidRPr="007257B4">
                <w:rPr>
                  <w:rStyle w:val="Hyperlink"/>
                  <w:rFonts w:eastAsia="Times New Roman" w:cs="Times New Roman"/>
                </w:rPr>
                <w:t>C23/36</w:t>
              </w:r>
            </w:hyperlink>
            <w:r w:rsidRPr="007257B4">
              <w:t xml:space="preserve">, </w:t>
            </w:r>
            <w:hyperlink r:id="rId15" w:history="1">
              <w:r w:rsidRPr="007257B4">
                <w:rPr>
                  <w:rStyle w:val="Hyperlink"/>
                  <w:rFonts w:eastAsia="Times New Roman" w:cs="Times New Roman"/>
                </w:rPr>
                <w:t>C23/50</w:t>
              </w:r>
            </w:hyperlink>
            <w:r w:rsidRPr="007257B4">
              <w:t xml:space="preserve">, </w:t>
            </w:r>
            <w:hyperlink r:id="rId16" w:history="1">
              <w:r w:rsidRPr="007257B4">
                <w:rPr>
                  <w:rStyle w:val="Hyperlink"/>
                  <w:rFonts w:eastAsia="Times New Roman" w:cs="Times New Roman"/>
                </w:rPr>
                <w:t>C23/62</w:t>
              </w:r>
            </w:hyperlink>
            <w:r w:rsidRPr="007257B4">
              <w:t xml:space="preserve">, </w:t>
            </w:r>
            <w:hyperlink r:id="rId17" w:history="1">
              <w:r w:rsidRPr="007257B4">
                <w:rPr>
                  <w:rStyle w:val="Hyperlink"/>
                  <w:rFonts w:eastAsia="Times New Roman" w:cs="Times New Roman"/>
                </w:rPr>
                <w:t>C23/INF/11</w:t>
              </w:r>
            </w:hyperlink>
            <w:r w:rsidRPr="007257B4">
              <w:t xml:space="preserve">, </w:t>
            </w:r>
            <w:hyperlink r:id="rId18" w:history="1">
              <w:r w:rsidRPr="007257B4">
                <w:rPr>
                  <w:rStyle w:val="Hyperlink"/>
                  <w:rFonts w:eastAsia="Times New Roman" w:cs="Times New Roman"/>
                </w:rPr>
                <w:t>C23/INF/13</w:t>
              </w:r>
            </w:hyperlink>
            <w:r w:rsidRPr="007257B4">
              <w:t xml:space="preserve">; </w:t>
            </w:r>
            <w:hyperlink r:id="rId19" w:history="1">
              <w:r w:rsidRPr="007257B4">
                <w:rPr>
                  <w:rStyle w:val="Hyperlink"/>
                  <w:rFonts w:eastAsia="Times New Roman" w:cs="Times New Roman"/>
                </w:rPr>
                <w:t>C24/19</w:t>
              </w:r>
            </w:hyperlink>
            <w:r w:rsidRPr="007257B4">
              <w:t xml:space="preserve">, </w:t>
            </w:r>
            <w:hyperlink r:id="rId20" w:history="1">
              <w:r w:rsidRPr="007257B4">
                <w:rPr>
                  <w:rStyle w:val="Hyperlink"/>
                  <w:rFonts w:eastAsia="Times New Roman" w:cs="Times New Roman"/>
                </w:rPr>
                <w:t>C24/53</w:t>
              </w:r>
            </w:hyperlink>
            <w:r w:rsidRPr="007257B4">
              <w:t xml:space="preserve">, </w:t>
            </w:r>
            <w:hyperlink r:id="rId21" w:history="1">
              <w:r w:rsidRPr="007257B4">
                <w:rPr>
                  <w:rStyle w:val="Hyperlink"/>
                  <w:rFonts w:eastAsia="Times New Roman" w:cs="Times New Roman"/>
                </w:rPr>
                <w:t>C24/31</w:t>
              </w:r>
            </w:hyperlink>
            <w:r w:rsidRPr="007257B4">
              <w:t xml:space="preserve">; </w:t>
            </w:r>
            <w:hyperlink r:id="rId22" w:history="1">
              <w:r w:rsidRPr="007257B4">
                <w:rPr>
                  <w:rStyle w:val="Hyperlink"/>
                  <w:rFonts w:eastAsia="Times New Roman" w:cs="Times New Roman"/>
                </w:rPr>
                <w:t>C25/50</w:t>
              </w:r>
            </w:hyperlink>
            <w:r w:rsidRPr="007257B4">
              <w:t xml:space="preserve">, </w:t>
            </w:r>
            <w:hyperlink r:id="rId23" w:history="1">
              <w:r w:rsidRPr="007257B4">
                <w:rPr>
                  <w:rStyle w:val="Hyperlink"/>
                  <w:rFonts w:eastAsia="Times New Roman" w:cs="Times New Roman"/>
                </w:rPr>
                <w:t>C25/55</w:t>
              </w:r>
            </w:hyperlink>
            <w:r w:rsidRPr="007257B4">
              <w:t xml:space="preserve">, </w:t>
            </w:r>
            <w:hyperlink r:id="rId24" w:history="1">
              <w:r w:rsidRPr="007257B4">
                <w:rPr>
                  <w:rStyle w:val="Hyperlink"/>
                  <w:rFonts w:eastAsia="Times New Roman" w:cs="Times New Roman"/>
                </w:rPr>
                <w:t>C25/66</w:t>
              </w:r>
            </w:hyperlink>
            <w:r w:rsidRPr="007257B4">
              <w:t xml:space="preserve"> et </w:t>
            </w:r>
            <w:hyperlink r:id="rId25" w:history="1">
              <w:r w:rsidRPr="007257B4">
                <w:rPr>
                  <w:rStyle w:val="Hyperlink"/>
                  <w:rFonts w:eastAsia="Times New Roman" w:cs="Times New Roman"/>
                </w:rPr>
                <w:t>C26/INF/6</w:t>
              </w:r>
            </w:hyperlink>
            <w:r w:rsidRPr="007257B4">
              <w:t xml:space="preserve"> du Conseil.</w:t>
            </w:r>
          </w:p>
        </w:tc>
      </w:tr>
    </w:tbl>
    <w:p w14:paraId="3E4F9208" w14:textId="77777777" w:rsidR="00056D48" w:rsidRDefault="00056D48" w:rsidP="00056D48">
      <w:pPr>
        <w:pStyle w:val="Heading1"/>
      </w:pPr>
      <w:r>
        <w:lastRenderedPageBreak/>
        <w:t>1</w:t>
      </w:r>
      <w:r>
        <w:tab/>
        <w:t>Introduction</w:t>
      </w:r>
    </w:p>
    <w:p w14:paraId="0DA21D91" w14:textId="0ED3E6C3" w:rsidR="00056D48" w:rsidRDefault="00056D48" w:rsidP="00E9390B">
      <w:pPr>
        <w:jc w:val="both"/>
      </w:pPr>
      <w:r>
        <w:t>L'UIT a accompli des progrès notables dans la mise en œuvre des quatre éléments fondamentaux de sa transformation numérique interne:</w:t>
      </w:r>
    </w:p>
    <w:p w14:paraId="1F55034B" w14:textId="2A75EE2B" w:rsidR="00056D48" w:rsidRDefault="00056D48" w:rsidP="00E9390B">
      <w:pPr>
        <w:pStyle w:val="enumlev1"/>
        <w:jc w:val="both"/>
      </w:pPr>
      <w:r>
        <w:t>1)</w:t>
      </w:r>
      <w:r>
        <w:tab/>
        <w:t>Élaboration d'une stratégie et d'un plan stratégique pour la transformation numérique (2026</w:t>
      </w:r>
      <w:r w:rsidR="007935B2">
        <w:noBreakHyphen/>
      </w:r>
      <w:r>
        <w:t>2027)</w:t>
      </w:r>
      <w:r w:rsidR="00796C1E">
        <w:t>.</w:t>
      </w:r>
    </w:p>
    <w:p w14:paraId="1B6C0FE4" w14:textId="16411DB9" w:rsidR="00056D48" w:rsidRDefault="00056D48" w:rsidP="00E9390B">
      <w:pPr>
        <w:pStyle w:val="enumlev1"/>
        <w:jc w:val="both"/>
      </w:pPr>
      <w:r>
        <w:t>2)</w:t>
      </w:r>
      <w:r>
        <w:tab/>
        <w:t>Lancement d'un programme d'architecture institutionnelle</w:t>
      </w:r>
      <w:r w:rsidR="00796C1E">
        <w:t>.</w:t>
      </w:r>
    </w:p>
    <w:p w14:paraId="1BAA67C9" w14:textId="279AC9EC" w:rsidR="00056D48" w:rsidRDefault="00056D48" w:rsidP="00E9390B">
      <w:pPr>
        <w:pStyle w:val="enumlev1"/>
        <w:jc w:val="both"/>
      </w:pPr>
      <w:r>
        <w:t>3)</w:t>
      </w:r>
      <w:r>
        <w:tab/>
        <w:t>Amélioration du cadre de gouvernance numérique</w:t>
      </w:r>
      <w:r w:rsidR="00796C1E">
        <w:t>.</w:t>
      </w:r>
    </w:p>
    <w:p w14:paraId="735C4835" w14:textId="48977655" w:rsidR="00056D48" w:rsidRPr="00DC7E5B" w:rsidRDefault="00056D48" w:rsidP="00E9390B">
      <w:pPr>
        <w:pStyle w:val="enumlev1"/>
        <w:jc w:val="both"/>
        <w:rPr>
          <w:spacing w:val="-2"/>
        </w:rPr>
      </w:pPr>
      <w:r w:rsidRPr="00DC7E5B">
        <w:rPr>
          <w:spacing w:val="-2"/>
        </w:rPr>
        <w:t>4)</w:t>
      </w:r>
      <w:r w:rsidRPr="00DC7E5B">
        <w:rPr>
          <w:spacing w:val="-2"/>
        </w:rPr>
        <w:tab/>
        <w:t>Refonte du modèle de fonctionnement du Département des services informatiques (ISD).</w:t>
      </w:r>
    </w:p>
    <w:p w14:paraId="364B1051" w14:textId="6796B168" w:rsidR="00056D48" w:rsidRDefault="00056D48" w:rsidP="00E9390B">
      <w:pPr>
        <w:jc w:val="both"/>
      </w:pPr>
      <w:r>
        <w:t>Une première version complète de chacun de ces éléments a maintenant été élaborée. Ensemble, ils établissent un cadre cohérent et intégré pour permettre à l'UIT de passer d'une fourniture de services TIC fragmentée à une organisation numérique résiliente, fondée sur l'intelligence artificielle (IA) et dotée d'une bonne gouvernance.</w:t>
      </w:r>
    </w:p>
    <w:p w14:paraId="78BDBF06" w14:textId="6D9102B0" w:rsidR="00056D48" w:rsidRDefault="00056D48" w:rsidP="00E9390B">
      <w:pPr>
        <w:jc w:val="both"/>
      </w:pPr>
      <w:r>
        <w:t>Ces projets font actuellement l'objet d'une dernière série de consultations et de soumission d'observations au sein des Secteurs et au Secrétariat général. En fonction des résultats de ce processus, ils seront soumis pour approbation formelle par le Comité de gouvernance des</w:t>
      </w:r>
      <w:r w:rsidR="007935B2">
        <w:t> </w:t>
      </w:r>
      <w:r>
        <w:t xml:space="preserve">TIC (ICTGC), puis pour approbation par la Secrétaire générale. On trouvera de plus amples informations dans le </w:t>
      </w:r>
      <w:hyperlink r:id="rId26" w:history="1">
        <w:r w:rsidRPr="007935B2">
          <w:rPr>
            <w:rStyle w:val="Hyperlink"/>
            <w:rFonts w:eastAsia="Times New Roman" w:cs="Times New Roman"/>
            <w:szCs w:val="20"/>
          </w:rPr>
          <w:t>Document C26/INF/6</w:t>
        </w:r>
      </w:hyperlink>
      <w:r>
        <w:t>.</w:t>
      </w:r>
    </w:p>
    <w:p w14:paraId="225653F3" w14:textId="744E63AA" w:rsidR="00056D48" w:rsidRDefault="00056D48" w:rsidP="00796C1E">
      <w:pPr>
        <w:pStyle w:val="Heading1"/>
      </w:pPr>
      <w:r>
        <w:t>2</w:t>
      </w:r>
      <w:r>
        <w:tab/>
      </w:r>
      <w:r w:rsidR="00796C1E">
        <w:t>État</w:t>
      </w:r>
      <w:r>
        <w:t xml:space="preserve"> d'avancement et prochaines étapes</w:t>
      </w:r>
    </w:p>
    <w:p w14:paraId="64DF5409" w14:textId="50B310AF" w:rsidR="00056D48" w:rsidRDefault="00056D48" w:rsidP="00796C1E">
      <w:pPr>
        <w:pStyle w:val="Heading2"/>
      </w:pPr>
      <w:r>
        <w:t>2.1</w:t>
      </w:r>
      <w:r>
        <w:tab/>
        <w:t>Élaboration d'une stratégie et d'un plan stratégique internes pour la transformation numérique (2026-2027)</w:t>
      </w:r>
    </w:p>
    <w:p w14:paraId="66A7D767" w14:textId="5C631C13" w:rsidR="00056D48" w:rsidRDefault="00056D48" w:rsidP="00E9390B">
      <w:pPr>
        <w:jc w:val="both"/>
      </w:pPr>
      <w:r>
        <w:t>L'UIT a élaboré une stratégie (de transition) en matière de transformation numérique (2026</w:t>
      </w:r>
      <w:r w:rsidR="00796C1E">
        <w:noBreakHyphen/>
      </w:r>
      <w:r>
        <w:t>2027) et le Plan stratégique correspondant, établissant une transition structurée vers un modèle institutionnel cohérent, fondé sur l'IA et doté d'une bonne gouvernance.</w:t>
      </w:r>
    </w:p>
    <w:p w14:paraId="4FFF671B" w14:textId="2DCEE251" w:rsidR="00056D48" w:rsidRDefault="00056D48" w:rsidP="00E9390B">
      <w:pPr>
        <w:jc w:val="both"/>
      </w:pPr>
      <w:r>
        <w:t>La stratégie fait du numérique une capacité institutionnelle essentielle et s'appuie sur trois objectifs et engagements stratégiques:</w:t>
      </w:r>
    </w:p>
    <w:p w14:paraId="142344BD" w14:textId="68710AF4" w:rsidR="00056D48" w:rsidRDefault="00056D48" w:rsidP="00E9390B">
      <w:pPr>
        <w:pStyle w:val="enumlev1"/>
        <w:jc w:val="both"/>
      </w:pPr>
      <w:r>
        <w:t>–</w:t>
      </w:r>
      <w:r>
        <w:tab/>
        <w:t>Noyau numérique résilient – Modernisation des systèmes/plates-formes institutionnelles, de l'infrastructure et de la cybersécurité</w:t>
      </w:r>
      <w:r w:rsidR="00796C1E">
        <w:t>.</w:t>
      </w:r>
    </w:p>
    <w:p w14:paraId="2810B68B" w14:textId="53BE1B77" w:rsidR="00056D48" w:rsidRDefault="00056D48" w:rsidP="00E9390B">
      <w:pPr>
        <w:pStyle w:val="enumlev1"/>
        <w:jc w:val="both"/>
      </w:pPr>
      <w:r>
        <w:t>–</w:t>
      </w:r>
      <w:r>
        <w:tab/>
        <w:t>Excellence opérationnelle numérique – Amélioration de la fourniture de services, de l'efficacité opérationnelle et de l'expérience utilisateur</w:t>
      </w:r>
      <w:r w:rsidR="00796C1E">
        <w:t>.</w:t>
      </w:r>
    </w:p>
    <w:p w14:paraId="2437A899" w14:textId="24960283" w:rsidR="00056D48" w:rsidRDefault="00056D48" w:rsidP="00E9390B">
      <w:pPr>
        <w:pStyle w:val="enumlev1"/>
        <w:jc w:val="both"/>
      </w:pPr>
      <w:r>
        <w:t>–</w:t>
      </w:r>
      <w:r>
        <w:tab/>
        <w:t>Innovation fondée sur l'intelligence artificielle et les données – Mise en place de capacités d'intelligence artificielle et de fondements de données adaptés à l'intelligence artificielle pour une innovation évolutive et responsable.</w:t>
      </w:r>
    </w:p>
    <w:p w14:paraId="064BAE9B" w14:textId="13A33A8F" w:rsidR="00056D48" w:rsidRDefault="00056D48" w:rsidP="00E9390B">
      <w:pPr>
        <w:jc w:val="both"/>
      </w:pPr>
      <w:r>
        <w:t>Le Plan stratégique traduit ces engagements en un portefeuille structuré en quatre</w:t>
      </w:r>
      <w:r w:rsidR="00796C1E">
        <w:t> </w:t>
      </w:r>
      <w:r>
        <w:t>programmes:</w:t>
      </w:r>
    </w:p>
    <w:p w14:paraId="20762C8E" w14:textId="7AD3C117" w:rsidR="00056D48" w:rsidRDefault="00056D48" w:rsidP="00E9390B">
      <w:pPr>
        <w:pStyle w:val="enumlev1"/>
        <w:jc w:val="both"/>
      </w:pPr>
      <w:r>
        <w:t>–</w:t>
      </w:r>
      <w:r>
        <w:tab/>
        <w:t>Programme 1: Modernisation des plates-formes institutionnelles</w:t>
      </w:r>
      <w:r w:rsidR="00796C1E">
        <w:t xml:space="preserve"> –</w:t>
      </w:r>
      <w:r>
        <w:t xml:space="preserve"> Moderniser et harmoniser les systèmes institutionnels centraux pour permettre le déploiement d'opérations institutionnelles intégrées, efficaces et évolutives.</w:t>
      </w:r>
    </w:p>
    <w:p w14:paraId="7097F88F" w14:textId="10BEDEB9" w:rsidR="00056D48" w:rsidRDefault="00056D48" w:rsidP="00E9390B">
      <w:pPr>
        <w:pStyle w:val="enumlev1"/>
        <w:jc w:val="both"/>
      </w:pPr>
      <w:r>
        <w:t>–</w:t>
      </w:r>
      <w:r>
        <w:tab/>
        <w:t xml:space="preserve">Programme </w:t>
      </w:r>
      <w:proofErr w:type="gramStart"/>
      <w:r>
        <w:t>2</w:t>
      </w:r>
      <w:r w:rsidR="00796C1E">
        <w:t>:</w:t>
      </w:r>
      <w:proofErr w:type="gramEnd"/>
      <w:r w:rsidR="00796C1E">
        <w:t xml:space="preserve"> </w:t>
      </w:r>
      <w:r>
        <w:t>Résilience des réseaux numériques essentiels et réduction de la dette technique</w:t>
      </w:r>
      <w:r w:rsidR="00796C1E">
        <w:t xml:space="preserve"> – </w:t>
      </w:r>
      <w:r>
        <w:t xml:space="preserve">Renforcer les bases de l'infrastructure, de la cybersécurité et de </w:t>
      </w:r>
      <w:r>
        <w:lastRenderedPageBreak/>
        <w:t>l'informatique en nuage tout en réduisant la complexité des systèmes existants et les risques opérationnels à long terme.</w:t>
      </w:r>
    </w:p>
    <w:p w14:paraId="11276FE7" w14:textId="7101E133" w:rsidR="00056D48" w:rsidRDefault="00056D48" w:rsidP="00E9390B">
      <w:pPr>
        <w:pStyle w:val="enumlev1"/>
        <w:jc w:val="both"/>
      </w:pPr>
      <w:r>
        <w:t>–</w:t>
      </w:r>
      <w:r>
        <w:tab/>
        <w:t xml:space="preserve">Programme </w:t>
      </w:r>
      <w:proofErr w:type="gramStart"/>
      <w:r>
        <w:t>3:</w:t>
      </w:r>
      <w:proofErr w:type="gramEnd"/>
      <w:r>
        <w:t xml:space="preserve"> Expérience numérique et excellence opérationnelle </w:t>
      </w:r>
      <w:r w:rsidR="00796C1E">
        <w:t>–</w:t>
      </w:r>
      <w:r>
        <w:t xml:space="preserve"> Repenser les parcours, les processus et les services numériques de bout en bout pour améliorer l'efficacité, la facilité d'utilisation et l'expérience des membres et du personnel.</w:t>
      </w:r>
    </w:p>
    <w:p w14:paraId="30FC9E67" w14:textId="5BD95F3B" w:rsidR="00056D48" w:rsidRDefault="00056D48" w:rsidP="00E9390B">
      <w:pPr>
        <w:pStyle w:val="enumlev1"/>
        <w:jc w:val="both"/>
      </w:pPr>
      <w:r>
        <w:t>–</w:t>
      </w:r>
      <w:r>
        <w:tab/>
        <w:t xml:space="preserve">Programme 4: Innovation exponentielle avec l'IA et les données </w:t>
      </w:r>
      <w:r w:rsidR="00796C1E">
        <w:t>–</w:t>
      </w:r>
      <w:r>
        <w:t xml:space="preserve"> Établir des fondements de données adaptés à l'IA et développer des capacités responsables en matière d'IA et d'analyse pour permettre des opérations et des services intelligents et axés sur les données.</w:t>
      </w:r>
    </w:p>
    <w:p w14:paraId="665592B5" w14:textId="564A7444" w:rsidR="00056D48" w:rsidRPr="00DC7E5B" w:rsidRDefault="00056D48" w:rsidP="00E9390B">
      <w:pPr>
        <w:jc w:val="both"/>
        <w:rPr>
          <w:spacing w:val="-2"/>
        </w:rPr>
      </w:pPr>
      <w:r w:rsidRPr="00DC7E5B">
        <w:rPr>
          <w:spacing w:val="-2"/>
        </w:rPr>
        <w:t xml:space="preserve">L'exécution est structurée selon une feuille de route en deux phases (2026-2027), appuyée par un cadre d'investissement basé sur le portefeuille, un modèle de réalisation des objectifs et des résultats essentiels (OKR) et des indicateurs fondamentaux de performance (KPI), un alignement sur les flux de valeur institutionnels et une transition vers un modèle de fourniture de services fondé sur les produits pour le Département des services informatiques. Il en résulte un modèle de transformation numérique discipliné et axé sur les résultats, garantissant que toutes les initiatives sont traçables par rapport aux priorités institutionnelles et aux résultats mesurables. </w:t>
      </w:r>
    </w:p>
    <w:p w14:paraId="7BEA19EB" w14:textId="77777777" w:rsidR="00056D48" w:rsidRDefault="00056D48" w:rsidP="00E9390B">
      <w:pPr>
        <w:pStyle w:val="Headingb"/>
        <w:jc w:val="both"/>
      </w:pPr>
      <w:r>
        <w:t>Prochaines étapes (2026-2027)</w:t>
      </w:r>
    </w:p>
    <w:p w14:paraId="5EF1495A" w14:textId="77777777" w:rsidR="00056D48" w:rsidRDefault="00056D48" w:rsidP="00E9390B">
      <w:pPr>
        <w:pStyle w:val="enumlev1"/>
        <w:jc w:val="both"/>
      </w:pPr>
      <w:r>
        <w:t>–</w:t>
      </w:r>
      <w:r>
        <w:tab/>
        <w:t>Approbation officielle par le CGTIC et la Secrétaire générale et mise en œuvre de la stratégie et du plan stratégique</w:t>
      </w:r>
    </w:p>
    <w:p w14:paraId="6997DAA2" w14:textId="77777777" w:rsidR="00056D48" w:rsidRDefault="00056D48" w:rsidP="00E9390B">
      <w:pPr>
        <w:pStyle w:val="enumlev1"/>
        <w:jc w:val="both"/>
      </w:pPr>
      <w:r>
        <w:t>–</w:t>
      </w:r>
      <w:r>
        <w:tab/>
        <w:t>Lancement de programmes prioritaires (ERP, CRM, informatique en nuage, cybersécurité, données/IA)</w:t>
      </w:r>
    </w:p>
    <w:p w14:paraId="01AB69FF" w14:textId="77777777" w:rsidR="00056D48" w:rsidRDefault="00056D48" w:rsidP="00E9390B">
      <w:pPr>
        <w:pStyle w:val="enumlev1"/>
        <w:jc w:val="both"/>
      </w:pPr>
      <w:r>
        <w:t>–</w:t>
      </w:r>
      <w:r>
        <w:tab/>
        <w:t>Mise en place de la gouvernance du portefeuille et du suivi des objectifs et résultats essentiels</w:t>
      </w:r>
    </w:p>
    <w:p w14:paraId="280E19C1" w14:textId="0A681A3C" w:rsidR="00056D48" w:rsidRDefault="00056D48" w:rsidP="00E9390B">
      <w:pPr>
        <w:pStyle w:val="enumlev1"/>
        <w:jc w:val="both"/>
      </w:pPr>
      <w:r>
        <w:t>–</w:t>
      </w:r>
      <w:r>
        <w:tab/>
        <w:t>Préparation de la stratégie numérique pour 2028-2031</w:t>
      </w:r>
    </w:p>
    <w:p w14:paraId="3FFECAD8" w14:textId="31F41B44" w:rsidR="00056D48" w:rsidRDefault="00056D48" w:rsidP="00796C1E">
      <w:pPr>
        <w:pStyle w:val="Heading2"/>
      </w:pPr>
      <w:r>
        <w:t>2.2</w:t>
      </w:r>
      <w:r>
        <w:tab/>
        <w:t>Lancement d'un programme d'architecture institutionnelle</w:t>
      </w:r>
    </w:p>
    <w:p w14:paraId="2CB8A71F" w14:textId="0192ADDA" w:rsidR="00056D48" w:rsidRPr="00DC7E5B" w:rsidRDefault="00056D48" w:rsidP="00E9390B">
      <w:pPr>
        <w:jc w:val="both"/>
        <w:rPr>
          <w:spacing w:val="-3"/>
        </w:rPr>
      </w:pPr>
      <w:r w:rsidRPr="00DC7E5B">
        <w:rPr>
          <w:spacing w:val="-3"/>
        </w:rPr>
        <w:t xml:space="preserve">L'architecture institutionnelle a été lancée en octobre 2025 dans le cadre de la </w:t>
      </w:r>
      <w:r w:rsidR="00796C1E" w:rsidRPr="00DC7E5B">
        <w:rPr>
          <w:spacing w:val="-3"/>
        </w:rPr>
        <w:t>P</w:t>
      </w:r>
      <w:r w:rsidRPr="00DC7E5B">
        <w:rPr>
          <w:spacing w:val="-3"/>
        </w:rPr>
        <w:t>hase 1 du programme d'architecture institutionnelle de l'UIT, avec l'appui du Centre international de calcul des Nations Unies (UNICC). Les premiers résultats ont été communiqués en mars</w:t>
      </w:r>
      <w:r w:rsidR="007935B2" w:rsidRPr="00DC7E5B">
        <w:rPr>
          <w:spacing w:val="-3"/>
        </w:rPr>
        <w:t> </w:t>
      </w:r>
      <w:r w:rsidRPr="00DC7E5B">
        <w:rPr>
          <w:spacing w:val="-3"/>
        </w:rPr>
        <w:t>2026 et constituent la première évaluation complète et factuelle de l'environnement numérique de l'UIT.</w:t>
      </w:r>
    </w:p>
    <w:p w14:paraId="42F02442" w14:textId="7324399E" w:rsidR="00056D48" w:rsidRDefault="00056D48" w:rsidP="00E9390B">
      <w:pPr>
        <w:jc w:val="both"/>
      </w:pPr>
      <w:r>
        <w:t xml:space="preserve">La </w:t>
      </w:r>
      <w:r w:rsidR="00796C1E">
        <w:t>P</w:t>
      </w:r>
      <w:r>
        <w:t>hase 1 visait à bien comprendre l'architecture actuelle, à identifier les contraintes structurelles et à définir les éléments fondamentaux nécessaires pour guider la transformation numérique de l'UIT. Elle prévoyait:</w:t>
      </w:r>
    </w:p>
    <w:p w14:paraId="11ABC335" w14:textId="2B9F8351" w:rsidR="00056D48" w:rsidRDefault="00056D48" w:rsidP="00E9390B">
      <w:pPr>
        <w:pStyle w:val="enumlev1"/>
        <w:jc w:val="both"/>
      </w:pPr>
      <w:r>
        <w:t>–</w:t>
      </w:r>
      <w:r>
        <w:tab/>
      </w:r>
      <w:r w:rsidR="007935B2">
        <w:t>u</w:t>
      </w:r>
      <w:r>
        <w:t>ne évaluation complète du paysage des applications, des données et des infrastructures de l'UIT, mettant en évidence la fragmentation, les doubles emplois et la complexité du système (plus de 400 applications, la plupart créées sur mesure)</w:t>
      </w:r>
      <w:r w:rsidR="007935B2">
        <w:t>;</w:t>
      </w:r>
    </w:p>
    <w:p w14:paraId="056C89D2" w14:textId="1981D621" w:rsidR="00056D48" w:rsidRDefault="00056D48" w:rsidP="004622D9">
      <w:pPr>
        <w:pStyle w:val="enumlev1"/>
        <w:jc w:val="both"/>
      </w:pPr>
      <w:r>
        <w:t>–</w:t>
      </w:r>
      <w:r>
        <w:tab/>
      </w:r>
      <w:r w:rsidR="007935B2">
        <w:t>u</w:t>
      </w:r>
      <w:r>
        <w:t>ne évaluation de la maturité de l'architecture institutionnelle, confirmant la nécessité d'une gouvernance structurée et d'un développement des capacités, et un niveau de référence faible s'établissant à 1.2 (ad hoc) sur 5. Le niveau de maturité a été évalué conformément au cadre d'architecture institutionnelle d'Open Group (TOGAF), le cadre d'évaluation environnementale global utilisé à l'échelle mondiale</w:t>
      </w:r>
      <w:r w:rsidR="007935B2">
        <w:t>;</w:t>
      </w:r>
    </w:p>
    <w:p w14:paraId="2FEFEE4B" w14:textId="03E2B19F" w:rsidR="00056D48" w:rsidRDefault="00056D48" w:rsidP="00E9390B">
      <w:pPr>
        <w:pStyle w:val="enumlev1"/>
        <w:jc w:val="both"/>
      </w:pPr>
      <w:r>
        <w:lastRenderedPageBreak/>
        <w:t>–</w:t>
      </w:r>
      <w:r>
        <w:tab/>
      </w:r>
      <w:r w:rsidR="007935B2">
        <w:t>l</w:t>
      </w:r>
      <w:r>
        <w:t>'identification des principaux défis structurels, notamment la dette technique, les investissements cloisonnés, l'interopérabilité limitée et l'absence de gouvernance des données à l'échelle de l'organisation</w:t>
      </w:r>
      <w:r w:rsidR="007935B2">
        <w:t>;</w:t>
      </w:r>
    </w:p>
    <w:p w14:paraId="22958525" w14:textId="4399F1EC" w:rsidR="00056D48" w:rsidRDefault="00056D48" w:rsidP="00E9390B">
      <w:pPr>
        <w:pStyle w:val="enumlev1"/>
        <w:jc w:val="both"/>
      </w:pPr>
      <w:r>
        <w:t>–</w:t>
      </w:r>
      <w:r>
        <w:tab/>
      </w:r>
      <w:r w:rsidR="007935B2">
        <w:t>u</w:t>
      </w:r>
      <w:r>
        <w:t>ne vue globale des risques et des dépendances, éclairant la hiérarchisation des efforts de modernisation.</w:t>
      </w:r>
    </w:p>
    <w:p w14:paraId="5D21A45F" w14:textId="246A3EA5" w:rsidR="00056D48" w:rsidRDefault="00056D48" w:rsidP="00E9390B">
      <w:pPr>
        <w:jc w:val="both"/>
      </w:pPr>
      <w:r>
        <w:t>Sur la base de cette évaluation, la Phase 1 a également établi les bases de l'architecture cible, notamment:</w:t>
      </w:r>
    </w:p>
    <w:p w14:paraId="6EABB8BC" w14:textId="651FF35C" w:rsidR="00056D48" w:rsidRDefault="00056D48" w:rsidP="00E9390B">
      <w:pPr>
        <w:pStyle w:val="enumlev1"/>
        <w:jc w:val="both"/>
      </w:pPr>
      <w:r>
        <w:t>–</w:t>
      </w:r>
      <w:r>
        <w:tab/>
      </w:r>
      <w:r w:rsidR="00796C1E">
        <w:t>u</w:t>
      </w:r>
      <w:r>
        <w:t>n ensemble de 25 principes d'évaluation environnementale pour guider tous les investissements et les décisions numériques futurs</w:t>
      </w:r>
      <w:r w:rsidR="00796C1E">
        <w:t>;</w:t>
      </w:r>
    </w:p>
    <w:p w14:paraId="4CDAF789" w14:textId="15C80098" w:rsidR="00056D48" w:rsidRDefault="00056D48" w:rsidP="00E9390B">
      <w:pPr>
        <w:pStyle w:val="enumlev1"/>
        <w:jc w:val="both"/>
      </w:pPr>
      <w:r>
        <w:t>–</w:t>
      </w:r>
      <w:r>
        <w:tab/>
      </w:r>
      <w:r w:rsidR="00796C1E">
        <w:t>u</w:t>
      </w:r>
      <w:r>
        <w:t>n modèle d'architecture fédérée, conciliant normes centralisées et souplesse propre au secteur</w:t>
      </w:r>
      <w:r w:rsidR="00796C1E">
        <w:t>;</w:t>
      </w:r>
    </w:p>
    <w:p w14:paraId="07572AB3" w14:textId="34CB7779" w:rsidR="00056D48" w:rsidRDefault="00056D48" w:rsidP="00E9390B">
      <w:pPr>
        <w:pStyle w:val="enumlev1"/>
        <w:jc w:val="both"/>
      </w:pPr>
      <w:r>
        <w:t>–</w:t>
      </w:r>
      <w:r>
        <w:tab/>
      </w:r>
      <w:r w:rsidR="00796C1E">
        <w:t>l</w:t>
      </w:r>
      <w:r>
        <w:t>'instauration de l'évaluation environnementale en tant que couche obligatoire de contrôle de la gouvernance et fourniture d'un plan d'architecture cible, définissant l'orientation d'un écosystème numérique plus intégré, évolutif et sécurisé</w:t>
      </w:r>
      <w:r w:rsidR="00796C1E">
        <w:t>;</w:t>
      </w:r>
    </w:p>
    <w:p w14:paraId="360DC608" w14:textId="45D05219" w:rsidR="00056D48" w:rsidRDefault="00056D48" w:rsidP="00E9390B">
      <w:pPr>
        <w:pStyle w:val="enumlev1"/>
        <w:jc w:val="both"/>
      </w:pPr>
      <w:r>
        <w:t>–</w:t>
      </w:r>
      <w:r>
        <w:tab/>
      </w:r>
      <w:r w:rsidR="00796C1E">
        <w:t>u</w:t>
      </w:r>
      <w:r>
        <w:t xml:space="preserve">n ensemble de recommandations prioritaires et une feuille de route pour réduire la fragmentation et améliorer progressivement la maturité de l'architecture jusqu'au </w:t>
      </w:r>
      <w:r w:rsidR="007935B2">
        <w:t>N</w:t>
      </w:r>
      <w:r>
        <w:t>iveau</w:t>
      </w:r>
      <w:r w:rsidR="007935B2">
        <w:t> </w:t>
      </w:r>
      <w:r>
        <w:t>3 (géré) d'ici fin 2027. Les principes et recommandations en matière d'évaluation environnementale ont été élaborés dans le cadre d'une collaboration étroite avec les Secteurs de l'UIT et le Secrétariat général, afin de s'assurer qu'ils reflètent une approche unifiée et institutionnellement harmonisée de la transformation numérique.</w:t>
      </w:r>
    </w:p>
    <w:p w14:paraId="4972F2CD" w14:textId="0740CFB8" w:rsidR="00056D48" w:rsidRDefault="00056D48" w:rsidP="00E9390B">
      <w:pPr>
        <w:jc w:val="both"/>
      </w:pPr>
      <w:r>
        <w:t>Ensemble, ces produits font de l'évaluation environnementale un catalyseur fondamental et une discipline de gouvernance, garantissant que les investissements futurs sont cohérents, interopérables et alignés sur les priorités stratégiques de l'UIT.</w:t>
      </w:r>
    </w:p>
    <w:p w14:paraId="59D990C4" w14:textId="77777777" w:rsidR="00056D48" w:rsidRDefault="00056D48" w:rsidP="00796C1E">
      <w:pPr>
        <w:pStyle w:val="Headingb"/>
      </w:pPr>
      <w:r>
        <w:t>Prochaines étapes</w:t>
      </w:r>
    </w:p>
    <w:p w14:paraId="0A93976F" w14:textId="6F91C7EC" w:rsidR="00056D48" w:rsidRDefault="00056D48" w:rsidP="00E9390B">
      <w:pPr>
        <w:pStyle w:val="enumlev1"/>
        <w:jc w:val="both"/>
      </w:pPr>
      <w:r>
        <w:t>–</w:t>
      </w:r>
      <w:r>
        <w:tab/>
        <w:t>Adoption officielle des principes d'évaluation environnementale et du modèle de gouvernance</w:t>
      </w:r>
    </w:p>
    <w:p w14:paraId="5B2523D6" w14:textId="342D27A3" w:rsidR="00056D48" w:rsidRDefault="00056D48" w:rsidP="00E9390B">
      <w:pPr>
        <w:pStyle w:val="enumlev1"/>
        <w:jc w:val="both"/>
      </w:pPr>
      <w:r>
        <w:t>–</w:t>
      </w:r>
      <w:r>
        <w:tab/>
        <w:t>Création d'un Comité d'architecture institutionnelle</w:t>
      </w:r>
    </w:p>
    <w:p w14:paraId="3ADCB085" w14:textId="3439AEF1" w:rsidR="00056D48" w:rsidRDefault="00056D48" w:rsidP="00E9390B">
      <w:pPr>
        <w:pStyle w:val="enumlev1"/>
        <w:jc w:val="both"/>
      </w:pPr>
      <w:r>
        <w:t>–</w:t>
      </w:r>
      <w:r>
        <w:tab/>
        <w:t>Intégration de l'évaluation environnementale dans toutes les décisions d'investissement et d'approvisionnement</w:t>
      </w:r>
    </w:p>
    <w:p w14:paraId="3F6CA7BF" w14:textId="0CE9BCBA" w:rsidR="00056D48" w:rsidRDefault="00056D48" w:rsidP="00E9390B">
      <w:pPr>
        <w:pStyle w:val="enumlev1"/>
        <w:jc w:val="both"/>
      </w:pPr>
      <w:r>
        <w:t>–</w:t>
      </w:r>
      <w:r>
        <w:tab/>
        <w:t xml:space="preserve">Mise en </w:t>
      </w:r>
      <w:r w:rsidR="00796C1E">
        <w:t>œuvre</w:t>
      </w:r>
      <w:r>
        <w:t xml:space="preserve"> de points de contrôle de l'architecture</w:t>
      </w:r>
    </w:p>
    <w:p w14:paraId="466C2486" w14:textId="63EA640B" w:rsidR="00056D48" w:rsidRDefault="00056D48" w:rsidP="00E9390B">
      <w:pPr>
        <w:pStyle w:val="enumlev1"/>
        <w:jc w:val="both"/>
      </w:pPr>
      <w:r>
        <w:t>–</w:t>
      </w:r>
      <w:r>
        <w:tab/>
        <w:t>Exécution de la feuille de route de l'architecture (identité, données, ERP, intégration, informatique en nuage)</w:t>
      </w:r>
    </w:p>
    <w:p w14:paraId="3DC2163A" w14:textId="77777777" w:rsidR="00056D48" w:rsidRDefault="00056D48" w:rsidP="00796C1E">
      <w:pPr>
        <w:pStyle w:val="Heading2"/>
      </w:pPr>
      <w:r>
        <w:t>2.3</w:t>
      </w:r>
      <w:r>
        <w:tab/>
        <w:t>Amélioration du cadre de gouvernance numérique</w:t>
      </w:r>
    </w:p>
    <w:p w14:paraId="59DB77F9" w14:textId="530287CF" w:rsidR="00056D48" w:rsidRDefault="00056D48" w:rsidP="00E9390B">
      <w:pPr>
        <w:jc w:val="both"/>
      </w:pPr>
      <w:r>
        <w:t>La Charte de gouvernance numérique envisagée établit un modèle de gouvernance moderne à l'échelle de l'organisation pour la transformation numérique de l'UIT, permettant à l'UIT de passer de la gouvernance traditionnelle des TIC à une gouvernance numérique intégrée.</w:t>
      </w:r>
    </w:p>
    <w:p w14:paraId="5396818B" w14:textId="23210264" w:rsidR="00056D48" w:rsidRDefault="00056D48" w:rsidP="00E9390B">
      <w:pPr>
        <w:jc w:val="both"/>
      </w:pPr>
      <w:r>
        <w:t>Un élément clé de la charte améliorée est l'évolution du CGTIC vers un Conseil de gouvernance numérique plus large, dont le mandat couvre:</w:t>
      </w:r>
    </w:p>
    <w:p w14:paraId="4FF49586" w14:textId="131EF161" w:rsidR="00056D48" w:rsidRDefault="00056D48" w:rsidP="004622D9">
      <w:pPr>
        <w:pStyle w:val="enumlev1"/>
        <w:jc w:val="both"/>
      </w:pPr>
      <w:r>
        <w:t>–</w:t>
      </w:r>
      <w:r>
        <w:tab/>
      </w:r>
      <w:r w:rsidR="00796C1E">
        <w:t>l</w:t>
      </w:r>
      <w:r>
        <w:t xml:space="preserve">a supervision de la stratégie numérique et de la transformation </w:t>
      </w:r>
      <w:proofErr w:type="gramStart"/>
      <w:r>
        <w:t>numérique</w:t>
      </w:r>
      <w:r w:rsidR="00796C1E">
        <w:t>;</w:t>
      </w:r>
      <w:proofErr w:type="gramEnd"/>
    </w:p>
    <w:p w14:paraId="75192253" w14:textId="2BDF241E" w:rsidR="00056D48" w:rsidRDefault="00056D48" w:rsidP="004622D9">
      <w:pPr>
        <w:pStyle w:val="enumlev1"/>
        <w:jc w:val="both"/>
      </w:pPr>
      <w:r>
        <w:t>–</w:t>
      </w:r>
      <w:r>
        <w:tab/>
      </w:r>
      <w:r w:rsidR="00796C1E">
        <w:t>l</w:t>
      </w:r>
      <w:r>
        <w:t xml:space="preserve">a hiérarchisation des investissements et la gouvernance du </w:t>
      </w:r>
      <w:proofErr w:type="gramStart"/>
      <w:r>
        <w:t>portefeuille</w:t>
      </w:r>
      <w:r w:rsidR="00796C1E">
        <w:t>;</w:t>
      </w:r>
      <w:proofErr w:type="gramEnd"/>
    </w:p>
    <w:p w14:paraId="6046B287" w14:textId="0ABE54D8" w:rsidR="00056D48" w:rsidRDefault="00056D48" w:rsidP="004622D9">
      <w:pPr>
        <w:pStyle w:val="enumlev1"/>
        <w:jc w:val="both"/>
      </w:pPr>
      <w:r>
        <w:t>–</w:t>
      </w:r>
      <w:r>
        <w:tab/>
      </w:r>
      <w:r w:rsidR="00796C1E">
        <w:t>l</w:t>
      </w:r>
      <w:r>
        <w:t xml:space="preserve">'architecture </w:t>
      </w:r>
      <w:proofErr w:type="gramStart"/>
      <w:r>
        <w:t>institutionnelle</w:t>
      </w:r>
      <w:r w:rsidR="00796C1E">
        <w:t>;</w:t>
      </w:r>
      <w:proofErr w:type="gramEnd"/>
    </w:p>
    <w:p w14:paraId="133BBFEF" w14:textId="483FD0F8" w:rsidR="00056D48" w:rsidRDefault="00056D48" w:rsidP="004622D9">
      <w:pPr>
        <w:pStyle w:val="enumlev1"/>
        <w:jc w:val="both"/>
      </w:pPr>
      <w:r>
        <w:lastRenderedPageBreak/>
        <w:t>–</w:t>
      </w:r>
      <w:r>
        <w:tab/>
      </w:r>
      <w:r w:rsidR="00796C1E">
        <w:t>l</w:t>
      </w:r>
      <w:r>
        <w:t xml:space="preserve">a gouvernance des données et de </w:t>
      </w:r>
      <w:proofErr w:type="gramStart"/>
      <w:r>
        <w:t>l'IA</w:t>
      </w:r>
      <w:r w:rsidR="00796C1E">
        <w:t>;</w:t>
      </w:r>
      <w:proofErr w:type="gramEnd"/>
    </w:p>
    <w:p w14:paraId="763EF3F6" w14:textId="5340902F" w:rsidR="00056D48" w:rsidRDefault="00056D48" w:rsidP="004622D9">
      <w:pPr>
        <w:pStyle w:val="enumlev1"/>
        <w:jc w:val="both"/>
      </w:pPr>
      <w:r>
        <w:t>–</w:t>
      </w:r>
      <w:r>
        <w:tab/>
      </w:r>
      <w:r w:rsidR="00796C1E">
        <w:t>l</w:t>
      </w:r>
      <w:r>
        <w:t>a cybersécurité et les risques numériques</w:t>
      </w:r>
      <w:r w:rsidR="00796C1E">
        <w:t>.</w:t>
      </w:r>
    </w:p>
    <w:p w14:paraId="682210C9" w14:textId="6EE84FF6" w:rsidR="00056D48" w:rsidRDefault="00056D48" w:rsidP="00DC7E5B">
      <w:pPr>
        <w:jc w:val="both"/>
      </w:pPr>
      <w:r>
        <w:t xml:space="preserve">Le cadre introduit un modèle de gouvernance à trois </w:t>
      </w:r>
      <w:proofErr w:type="gramStart"/>
      <w:r>
        <w:t>niveaux:</w:t>
      </w:r>
      <w:proofErr w:type="gramEnd"/>
    </w:p>
    <w:p w14:paraId="7DEAE8ED" w14:textId="5DC4D371" w:rsidR="00056D48" w:rsidRDefault="00056D48" w:rsidP="00DC7E5B">
      <w:pPr>
        <w:pStyle w:val="enumlev1"/>
        <w:jc w:val="both"/>
      </w:pPr>
      <w:r>
        <w:t>–</w:t>
      </w:r>
      <w:r>
        <w:tab/>
        <w:t>Gouvernance stratégique (Conseil de gouvernance numérique)</w:t>
      </w:r>
      <w:r w:rsidR="00796C1E">
        <w:t>.</w:t>
      </w:r>
    </w:p>
    <w:p w14:paraId="37F6BA3E" w14:textId="0666ACAD" w:rsidR="00056D48" w:rsidRDefault="00056D48" w:rsidP="00DC7E5B">
      <w:pPr>
        <w:pStyle w:val="enumlev1"/>
        <w:jc w:val="both"/>
      </w:pPr>
      <w:r>
        <w:t>–</w:t>
      </w:r>
      <w:r>
        <w:tab/>
        <w:t>Gouvernance du portefeuille et de l'architecture (Bureau du responsable principal de l'information et Comité d'architecture institutionnelle)</w:t>
      </w:r>
      <w:r w:rsidR="00796C1E">
        <w:t>.</w:t>
      </w:r>
    </w:p>
    <w:p w14:paraId="0F53B6F7" w14:textId="77777777" w:rsidR="00056D48" w:rsidRDefault="00056D48" w:rsidP="00DC7E5B">
      <w:pPr>
        <w:pStyle w:val="enumlev1"/>
        <w:jc w:val="both"/>
      </w:pPr>
      <w:r>
        <w:t>–</w:t>
      </w:r>
      <w:r>
        <w:tab/>
        <w:t>Gouvernance de la fourniture (équipes de programmes et de produits).</w:t>
      </w:r>
    </w:p>
    <w:p w14:paraId="199EDE6D" w14:textId="00AD305D" w:rsidR="00056D48" w:rsidRPr="00DC7E5B" w:rsidRDefault="00056D48" w:rsidP="00DC7E5B">
      <w:pPr>
        <w:jc w:val="both"/>
        <w:rPr>
          <w:spacing w:val="-2"/>
        </w:rPr>
      </w:pPr>
      <w:r w:rsidRPr="00DC7E5B">
        <w:rPr>
          <w:spacing w:val="-2"/>
        </w:rPr>
        <w:t>Il officialise également les droits décisionnels (</w:t>
      </w:r>
      <w:r w:rsidRPr="00DC7E5B">
        <w:rPr>
          <w:i/>
          <w:iCs/>
          <w:spacing w:val="-2"/>
        </w:rPr>
        <w:t>Responsible</w:t>
      </w:r>
      <w:r w:rsidRPr="00DC7E5B">
        <w:rPr>
          <w:spacing w:val="-2"/>
        </w:rPr>
        <w:t xml:space="preserve"> (réalisateur), </w:t>
      </w:r>
      <w:r w:rsidRPr="00DC7E5B">
        <w:rPr>
          <w:i/>
          <w:iCs/>
          <w:spacing w:val="-2"/>
        </w:rPr>
        <w:t>Accountable</w:t>
      </w:r>
      <w:r w:rsidRPr="00DC7E5B">
        <w:rPr>
          <w:spacing w:val="-2"/>
        </w:rPr>
        <w:t xml:space="preserve"> (approbateur), </w:t>
      </w:r>
      <w:r w:rsidRPr="00DC7E5B">
        <w:rPr>
          <w:i/>
          <w:iCs/>
          <w:spacing w:val="-2"/>
        </w:rPr>
        <w:t>Consulted</w:t>
      </w:r>
      <w:r w:rsidRPr="00DC7E5B">
        <w:rPr>
          <w:spacing w:val="-2"/>
        </w:rPr>
        <w:t xml:space="preserve"> (consultant), </w:t>
      </w:r>
      <w:r w:rsidRPr="00DC7E5B">
        <w:rPr>
          <w:i/>
          <w:iCs/>
          <w:spacing w:val="-2"/>
        </w:rPr>
        <w:t>Informed</w:t>
      </w:r>
      <w:r w:rsidRPr="00DC7E5B">
        <w:rPr>
          <w:spacing w:val="-2"/>
        </w:rPr>
        <w:t xml:space="preserve"> (informé) – modèle RACI), la gouvernance des investissements et la surveillance du rendement et des risques, conformément aux cadres de gouvernance reconnus en matière de technologies de l'information tels que les objectifs de contrôle pour les technologies de l'information et les technologies connexe.</w:t>
      </w:r>
    </w:p>
    <w:p w14:paraId="7EC7B404" w14:textId="646397EC" w:rsidR="00056D48" w:rsidRPr="00DC7E5B" w:rsidRDefault="00056D48" w:rsidP="00DC7E5B">
      <w:pPr>
        <w:jc w:val="both"/>
        <w:rPr>
          <w:spacing w:val="-2"/>
        </w:rPr>
      </w:pPr>
      <w:r w:rsidRPr="00DC7E5B">
        <w:rPr>
          <w:spacing w:val="-2"/>
        </w:rPr>
        <w:t>Le cadre garantit une séparation claire entre la gouvernance et l'exécution, tout en renforçant l'alignement sur les structures de contrôle plus larges de l'UIT, notamment le Conseil, le Groupe de travail du Conseil sur les ressources financières et les ressources humaines (GTC-FHR) et le Comité consultatif indépendant pour les questions de gestion (CCIG).</w:t>
      </w:r>
    </w:p>
    <w:p w14:paraId="4E51F50A" w14:textId="77777777" w:rsidR="00056D48" w:rsidRDefault="00056D48" w:rsidP="00796C1E">
      <w:pPr>
        <w:pStyle w:val="Headingb"/>
      </w:pPr>
      <w:r>
        <w:t>Prochaines étapes</w:t>
      </w:r>
    </w:p>
    <w:p w14:paraId="39325694" w14:textId="77777777" w:rsidR="00056D48" w:rsidRDefault="00056D48" w:rsidP="004622D9">
      <w:pPr>
        <w:pStyle w:val="enumlev1"/>
        <w:spacing w:before="60"/>
        <w:jc w:val="both"/>
      </w:pPr>
      <w:r>
        <w:t>–</w:t>
      </w:r>
      <w:r>
        <w:tab/>
        <w:t>Formalisation du mandat et des procédures opérationnelles du Conseil de gouvernance numérique</w:t>
      </w:r>
    </w:p>
    <w:p w14:paraId="5B302C5A" w14:textId="2AFB03D6" w:rsidR="00056D48" w:rsidRDefault="00056D48" w:rsidP="004622D9">
      <w:pPr>
        <w:pStyle w:val="enumlev1"/>
        <w:spacing w:before="60"/>
        <w:jc w:val="both"/>
      </w:pPr>
      <w:r>
        <w:t>–</w:t>
      </w:r>
      <w:r>
        <w:tab/>
        <w:t>Intégration complète de la gouvernance avec les processus de portefeuille et d'investissement</w:t>
      </w:r>
    </w:p>
    <w:p w14:paraId="62226890" w14:textId="77777777" w:rsidR="00056D48" w:rsidRDefault="00056D48" w:rsidP="004622D9">
      <w:pPr>
        <w:pStyle w:val="enumlev1"/>
        <w:spacing w:before="60"/>
        <w:jc w:val="both"/>
      </w:pPr>
      <w:r>
        <w:t>–</w:t>
      </w:r>
      <w:r>
        <w:tab/>
        <w:t>Mise en place de tableaux de bord et de rapports KPI/OKR</w:t>
      </w:r>
    </w:p>
    <w:p w14:paraId="5D123D6B" w14:textId="77777777" w:rsidR="00056D48" w:rsidRDefault="00056D48" w:rsidP="004622D9">
      <w:pPr>
        <w:pStyle w:val="enumlev1"/>
        <w:spacing w:before="60"/>
        <w:jc w:val="both"/>
      </w:pPr>
      <w:r>
        <w:t>–</w:t>
      </w:r>
      <w:r>
        <w:tab/>
        <w:t>Alignement sur les cycles de présentation des rapports du Conseil</w:t>
      </w:r>
    </w:p>
    <w:p w14:paraId="1FCB1B4C" w14:textId="6F86A39F" w:rsidR="00056D48" w:rsidRDefault="00056D48" w:rsidP="004622D9">
      <w:pPr>
        <w:pStyle w:val="enumlev1"/>
        <w:spacing w:before="60"/>
        <w:jc w:val="both"/>
      </w:pPr>
      <w:r>
        <w:t>–</w:t>
      </w:r>
      <w:r>
        <w:tab/>
        <w:t>Examen annuel de l'efficacité de la gouvernance.</w:t>
      </w:r>
    </w:p>
    <w:p w14:paraId="4DE2FBE4" w14:textId="017BC84B" w:rsidR="00056D48" w:rsidRDefault="00056D48" w:rsidP="00796C1E">
      <w:pPr>
        <w:pStyle w:val="Heading2"/>
      </w:pPr>
      <w:r>
        <w:t>2.4</w:t>
      </w:r>
      <w:r>
        <w:tab/>
        <w:t>Refonte du modèle d'exploitation du Département des services informatiques</w:t>
      </w:r>
    </w:p>
    <w:p w14:paraId="17E62608" w14:textId="482BE8F2" w:rsidR="00056D48" w:rsidRDefault="00056D48" w:rsidP="00DC7E5B">
      <w:pPr>
        <w:jc w:val="both"/>
      </w:pPr>
      <w:r>
        <w:t>La refonte du modèle opérationnel du Département des services informatiques vise à positionner la technologie comme un moteur stratégique de la performance institutionnelle et de l'innovation, plutôt que comme une fonction purement opérationnelle.</w:t>
      </w:r>
    </w:p>
    <w:p w14:paraId="734DD054" w14:textId="7EAB8DC0" w:rsidR="00056D48" w:rsidRDefault="00056D48" w:rsidP="00DC7E5B">
      <w:pPr>
        <w:jc w:val="both"/>
      </w:pPr>
      <w:r>
        <w:t>Les principales orientations de la refonte sont les suivantes:</w:t>
      </w:r>
    </w:p>
    <w:p w14:paraId="0B3E150A" w14:textId="5BA2FA4A" w:rsidR="00056D48" w:rsidRDefault="00056D48" w:rsidP="004622D9">
      <w:pPr>
        <w:pStyle w:val="enumlev1"/>
        <w:spacing w:before="60"/>
        <w:jc w:val="both"/>
      </w:pPr>
      <w:r>
        <w:t>–</w:t>
      </w:r>
      <w:r>
        <w:tab/>
        <w:t>Création du Bureau du responsable principal de l'information</w:t>
      </w:r>
      <w:r w:rsidR="007935B2">
        <w:t>.</w:t>
      </w:r>
    </w:p>
    <w:p w14:paraId="67B9D11C" w14:textId="1668D502" w:rsidR="00056D48" w:rsidRDefault="00056D48" w:rsidP="004622D9">
      <w:pPr>
        <w:pStyle w:val="enumlev1"/>
        <w:spacing w:before="60"/>
        <w:jc w:val="both"/>
      </w:pPr>
      <w:r>
        <w:t>–</w:t>
      </w:r>
      <w:r>
        <w:tab/>
        <w:t>Transition vers un modèle d'exécution axé sur les produits</w:t>
      </w:r>
      <w:r w:rsidR="007935B2">
        <w:t>.</w:t>
      </w:r>
    </w:p>
    <w:p w14:paraId="5E980D04" w14:textId="03F68CC1" w:rsidR="00056D48" w:rsidRDefault="00056D48" w:rsidP="004622D9">
      <w:pPr>
        <w:pStyle w:val="enumlev1"/>
        <w:spacing w:before="60"/>
        <w:jc w:val="both"/>
      </w:pPr>
      <w:r>
        <w:t>–</w:t>
      </w:r>
      <w:r>
        <w:tab/>
        <w:t>Intégration des capacités numériques, des données, de l'IA et de l'infrastructure.</w:t>
      </w:r>
    </w:p>
    <w:p w14:paraId="0A38373C" w14:textId="0ADBA99C" w:rsidR="00056D48" w:rsidRDefault="00056D48" w:rsidP="00DC7E5B">
      <w:pPr>
        <w:keepNext/>
        <w:jc w:val="both"/>
      </w:pPr>
      <w:r>
        <w:t>La nouvelle structure s'articule autour de cinq domaines fonctionnels:</w:t>
      </w:r>
    </w:p>
    <w:p w14:paraId="29ABB80A" w14:textId="5794599D" w:rsidR="00056D48" w:rsidRDefault="00056D48" w:rsidP="004622D9">
      <w:pPr>
        <w:pStyle w:val="enumlev1"/>
        <w:spacing w:before="60"/>
        <w:jc w:val="both"/>
      </w:pPr>
      <w:r>
        <w:t>–</w:t>
      </w:r>
      <w:r>
        <w:tab/>
        <w:t>Bureau du responsable principal de l'information (stratégie, gouvernance, portefeuille, innovation)</w:t>
      </w:r>
      <w:r w:rsidR="00796C1E">
        <w:t>.</w:t>
      </w:r>
    </w:p>
    <w:p w14:paraId="3BC016CC" w14:textId="713EC3BC" w:rsidR="00056D48" w:rsidRDefault="00056D48" w:rsidP="004622D9">
      <w:pPr>
        <w:pStyle w:val="enumlev1"/>
        <w:spacing w:before="60"/>
        <w:jc w:val="both"/>
      </w:pPr>
      <w:r>
        <w:t>–</w:t>
      </w:r>
      <w:r>
        <w:tab/>
        <w:t>Produits et services numériques (plates-formes d'entreprise et plates-formes pour les membres)</w:t>
      </w:r>
      <w:r w:rsidR="00796C1E">
        <w:t>.</w:t>
      </w:r>
    </w:p>
    <w:p w14:paraId="53376EAB" w14:textId="0FE7EC20" w:rsidR="00056D48" w:rsidRDefault="00056D48" w:rsidP="004622D9">
      <w:pPr>
        <w:pStyle w:val="enumlev1"/>
        <w:spacing w:before="60"/>
        <w:jc w:val="both"/>
      </w:pPr>
      <w:r>
        <w:t>–</w:t>
      </w:r>
      <w:r>
        <w:tab/>
        <w:t>Gestion de l'IA, des données et des connaissances</w:t>
      </w:r>
      <w:r w:rsidR="00796C1E">
        <w:t>.</w:t>
      </w:r>
    </w:p>
    <w:p w14:paraId="109D78CE" w14:textId="4F5A3F99" w:rsidR="00056D48" w:rsidRDefault="00056D48" w:rsidP="004622D9">
      <w:pPr>
        <w:pStyle w:val="enumlev1"/>
        <w:spacing w:before="60"/>
        <w:jc w:val="both"/>
      </w:pPr>
      <w:r>
        <w:t>–</w:t>
      </w:r>
      <w:r>
        <w:tab/>
        <w:t>Infrastructure et cybersécurité</w:t>
      </w:r>
      <w:r w:rsidR="00796C1E">
        <w:t>.</w:t>
      </w:r>
    </w:p>
    <w:p w14:paraId="043032C8" w14:textId="54469E5B" w:rsidR="00056D48" w:rsidRDefault="00056D48" w:rsidP="004622D9">
      <w:pPr>
        <w:pStyle w:val="enumlev1"/>
        <w:spacing w:before="60"/>
        <w:jc w:val="both"/>
      </w:pPr>
      <w:r>
        <w:t>–</w:t>
      </w:r>
      <w:r>
        <w:tab/>
        <w:t>Sûreté et sécurité</w:t>
      </w:r>
      <w:r w:rsidR="00796C1E">
        <w:t>.</w:t>
      </w:r>
    </w:p>
    <w:p w14:paraId="4818E21F" w14:textId="3435F7BB" w:rsidR="00056D48" w:rsidRDefault="00056D48" w:rsidP="00DC7E5B">
      <w:pPr>
        <w:jc w:val="both"/>
      </w:pPr>
      <w:r>
        <w:lastRenderedPageBreak/>
        <w:t>Ce modèle permet:</w:t>
      </w:r>
    </w:p>
    <w:p w14:paraId="7DA79354" w14:textId="5A003100" w:rsidR="00056D48" w:rsidRDefault="00056D48" w:rsidP="00DC7E5B">
      <w:pPr>
        <w:pStyle w:val="enumlev1"/>
        <w:jc w:val="both"/>
      </w:pPr>
      <w:r>
        <w:t>–</w:t>
      </w:r>
      <w:r>
        <w:tab/>
      </w:r>
      <w:r w:rsidR="00796C1E">
        <w:t>l</w:t>
      </w:r>
      <w:r>
        <w:t>a propriété de bout en bout des produits numériques</w:t>
      </w:r>
      <w:r w:rsidR="00796C1E">
        <w:t>;</w:t>
      </w:r>
    </w:p>
    <w:p w14:paraId="20CBF614" w14:textId="5464A497" w:rsidR="00056D48" w:rsidRDefault="00056D48" w:rsidP="00DC7E5B">
      <w:pPr>
        <w:pStyle w:val="enumlev1"/>
        <w:jc w:val="both"/>
      </w:pPr>
      <w:r>
        <w:t>–</w:t>
      </w:r>
      <w:r>
        <w:tab/>
      </w:r>
      <w:r w:rsidR="00796C1E">
        <w:t>u</w:t>
      </w:r>
      <w:r>
        <w:t>n alignement plus fort avec les flux de valeur</w:t>
      </w:r>
      <w:r w:rsidR="00796C1E">
        <w:t>;</w:t>
      </w:r>
    </w:p>
    <w:p w14:paraId="4BAC1AC8" w14:textId="340B1BA8" w:rsidR="00056D48" w:rsidRDefault="00056D48" w:rsidP="00DC7E5B">
      <w:pPr>
        <w:pStyle w:val="enumlev1"/>
        <w:jc w:val="both"/>
      </w:pPr>
      <w:r>
        <w:t>–</w:t>
      </w:r>
      <w:r>
        <w:tab/>
      </w:r>
      <w:r w:rsidR="00796C1E">
        <w:t>l</w:t>
      </w:r>
      <w:r>
        <w:t>'amélioration de l'agilité et de la responsabilité en matière de fourniture de services</w:t>
      </w:r>
      <w:r w:rsidR="00796C1E">
        <w:t>;</w:t>
      </w:r>
    </w:p>
    <w:p w14:paraId="248C495E" w14:textId="6DF1380D" w:rsidR="00056D48" w:rsidRDefault="00056D48" w:rsidP="00DC7E5B">
      <w:pPr>
        <w:pStyle w:val="enumlev1"/>
        <w:jc w:val="both"/>
      </w:pPr>
      <w:r>
        <w:t>–</w:t>
      </w:r>
      <w:r>
        <w:tab/>
      </w:r>
      <w:r w:rsidR="00796C1E">
        <w:t>l</w:t>
      </w:r>
      <w:r>
        <w:t>'intégration des capacités d'IA et de données dans les opérations.</w:t>
      </w:r>
    </w:p>
    <w:p w14:paraId="34E76567" w14:textId="77777777" w:rsidR="00056D48" w:rsidRDefault="00056D48" w:rsidP="00DC7E5B">
      <w:pPr>
        <w:pStyle w:val="Headingb"/>
        <w:jc w:val="both"/>
      </w:pPr>
      <w:r>
        <w:t>Prochaines étapes</w:t>
      </w:r>
    </w:p>
    <w:p w14:paraId="2C29FA7C" w14:textId="7B9B7497" w:rsidR="00056D48" w:rsidRDefault="00056D48" w:rsidP="00DC7E5B">
      <w:pPr>
        <w:pStyle w:val="enumlev1"/>
        <w:jc w:val="both"/>
      </w:pPr>
      <w:r>
        <w:t>–</w:t>
      </w:r>
      <w:r>
        <w:tab/>
        <w:t>Achèvement du processus de refonte et de restructuration avec une mise en œuvre progressive alignée sur la feuille de route pour la transformation numérique</w:t>
      </w:r>
    </w:p>
    <w:p w14:paraId="617B2742" w14:textId="36678BDC" w:rsidR="00056D48" w:rsidRDefault="00056D48" w:rsidP="00DC7E5B">
      <w:pPr>
        <w:pStyle w:val="enumlev1"/>
        <w:jc w:val="both"/>
      </w:pPr>
      <w:r>
        <w:t>–</w:t>
      </w:r>
      <w:r>
        <w:tab/>
        <w:t>Mise en œuvre d'une distribution fondée sur les produits dans les domaines prioritaires</w:t>
      </w:r>
    </w:p>
    <w:p w14:paraId="4C9E025E" w14:textId="236FF528" w:rsidR="00056D48" w:rsidRDefault="00056D48" w:rsidP="00DC7E5B">
      <w:pPr>
        <w:pStyle w:val="enumlev1"/>
        <w:jc w:val="both"/>
      </w:pPr>
      <w:r>
        <w:t>–</w:t>
      </w:r>
      <w:r>
        <w:tab/>
        <w:t>Renforcement de l'appropriation de la plate-forme et de la responsabilisation</w:t>
      </w:r>
    </w:p>
    <w:p w14:paraId="64CD9F7F" w14:textId="7DB89DA3" w:rsidR="00056D48" w:rsidRDefault="00056D48" w:rsidP="00DC7E5B">
      <w:pPr>
        <w:pStyle w:val="enumlev1"/>
        <w:jc w:val="both"/>
      </w:pPr>
      <w:r>
        <w:t>–</w:t>
      </w:r>
      <w:r>
        <w:tab/>
        <w:t>Renforcement des capacités en matière d'intelligence artificielle et de données</w:t>
      </w:r>
    </w:p>
    <w:p w14:paraId="3F6CB2B0" w14:textId="43FD3E22" w:rsidR="00056D48" w:rsidRDefault="00056D48" w:rsidP="00DC7E5B">
      <w:pPr>
        <w:pStyle w:val="enumlev1"/>
        <w:jc w:val="both"/>
      </w:pPr>
      <w:r>
        <w:t>–</w:t>
      </w:r>
      <w:r>
        <w:tab/>
        <w:t>Déploiement d'un modèle d'exécution fédéré/mondial</w:t>
      </w:r>
    </w:p>
    <w:p w14:paraId="480FE4D3" w14:textId="4EC06553" w:rsidR="00056D48" w:rsidRDefault="00056D48" w:rsidP="00DC7E5B">
      <w:pPr>
        <w:pStyle w:val="enumlev1"/>
        <w:jc w:val="both"/>
      </w:pPr>
      <w:r>
        <w:t>–</w:t>
      </w:r>
      <w:r>
        <w:tab/>
        <w:t>Perfectionnement de la main-d'œuvre et renforcement des capacités</w:t>
      </w:r>
    </w:p>
    <w:p w14:paraId="24CA5928" w14:textId="77777777" w:rsidR="00056D48" w:rsidRDefault="00056D48" w:rsidP="004622D9">
      <w:pPr>
        <w:pStyle w:val="Heading1"/>
        <w:spacing w:before="240"/>
      </w:pPr>
      <w:r>
        <w:t>3</w:t>
      </w:r>
      <w:r>
        <w:tab/>
        <w:t>Perspectives de la transformation numérique intégrée</w:t>
      </w:r>
    </w:p>
    <w:p w14:paraId="01CB1998" w14:textId="18A7B130" w:rsidR="00056D48" w:rsidRDefault="00056D48" w:rsidP="00DC7E5B">
      <w:pPr>
        <w:jc w:val="both"/>
      </w:pPr>
      <w:r>
        <w:t>Les quatre fondements numériques sont désormais alignés sous la forme d'un système de transformation numérique cohérent:</w:t>
      </w:r>
    </w:p>
    <w:p w14:paraId="67A18953" w14:textId="744535A8" w:rsidR="00056D48" w:rsidRDefault="00056D48" w:rsidP="00DC7E5B">
      <w:pPr>
        <w:pStyle w:val="enumlev1"/>
        <w:jc w:val="both"/>
      </w:pPr>
      <w:r>
        <w:t>–</w:t>
      </w:r>
      <w:r>
        <w:tab/>
        <w:t>La stratégie et le plan définissent l'orientation et l'exécution</w:t>
      </w:r>
      <w:r w:rsidR="00796C1E">
        <w:t>.</w:t>
      </w:r>
    </w:p>
    <w:p w14:paraId="3B1E1C55" w14:textId="1E286937" w:rsidR="00056D48" w:rsidRDefault="00056D48" w:rsidP="00DC7E5B">
      <w:pPr>
        <w:pStyle w:val="enumlev1"/>
        <w:jc w:val="both"/>
      </w:pPr>
      <w:r>
        <w:t>–</w:t>
      </w:r>
      <w:r>
        <w:tab/>
        <w:t>L'évaluation environnementale garantit la cohérence structurelle et la durabilité</w:t>
      </w:r>
      <w:r w:rsidR="00796C1E">
        <w:t>.</w:t>
      </w:r>
    </w:p>
    <w:p w14:paraId="0D31B7EF" w14:textId="0F592E23" w:rsidR="00056D48" w:rsidRDefault="00056D48" w:rsidP="00DC7E5B">
      <w:pPr>
        <w:pStyle w:val="enumlev1"/>
        <w:jc w:val="both"/>
      </w:pPr>
      <w:r>
        <w:t>–</w:t>
      </w:r>
      <w:r>
        <w:tab/>
        <w:t>La gouvernance garantit la responsabilité et la discipline en matière d'investissement</w:t>
      </w:r>
      <w:r w:rsidR="00796C1E">
        <w:t>.</w:t>
      </w:r>
    </w:p>
    <w:p w14:paraId="4769F123" w14:textId="281EAB2A" w:rsidR="00056D48" w:rsidRDefault="00056D48" w:rsidP="00DC7E5B">
      <w:pPr>
        <w:pStyle w:val="enumlev1"/>
        <w:jc w:val="both"/>
      </w:pPr>
      <w:r>
        <w:t>–</w:t>
      </w:r>
      <w:r>
        <w:tab/>
        <w:t>Le modèle d'exploitation permet la prestation et l'innovation.</w:t>
      </w:r>
    </w:p>
    <w:p w14:paraId="4654B716" w14:textId="1543A612" w:rsidR="00056D48" w:rsidRDefault="00056D48" w:rsidP="00DC7E5B">
      <w:pPr>
        <w:jc w:val="both"/>
      </w:pPr>
      <w:r>
        <w:t>Ensemble, ils permettent à l'UIT de passer d'une informatique fragmentée nécessitant beaucoup de maintenance à une organisation numérique intégrée, fondée sur l'IA et dotée d'une bonne gouvernance.</w:t>
      </w:r>
    </w:p>
    <w:p w14:paraId="3B00ABFF" w14:textId="5A0B34C9" w:rsidR="00056D48" w:rsidRDefault="00056D48" w:rsidP="00DC7E5B">
      <w:pPr>
        <w:jc w:val="both"/>
      </w:pPr>
      <w:r>
        <w:t>D'ici à 2027, l'UIT devrait disposer:</w:t>
      </w:r>
    </w:p>
    <w:p w14:paraId="23D329C9" w14:textId="10EF544F" w:rsidR="00056D48" w:rsidRDefault="00056D48" w:rsidP="00DC7E5B">
      <w:pPr>
        <w:pStyle w:val="enumlev1"/>
        <w:jc w:val="both"/>
      </w:pPr>
      <w:r>
        <w:t>–</w:t>
      </w:r>
      <w:r>
        <w:tab/>
      </w:r>
      <w:r w:rsidR="00796C1E">
        <w:t>d</w:t>
      </w:r>
      <w:r>
        <w:t>'un noyau numérique moderne et résilient</w:t>
      </w:r>
      <w:r w:rsidR="00796C1E">
        <w:t>;</w:t>
      </w:r>
    </w:p>
    <w:p w14:paraId="76F6B6D1" w14:textId="4882082E" w:rsidR="00056D48" w:rsidRDefault="00056D48" w:rsidP="00DC7E5B">
      <w:pPr>
        <w:pStyle w:val="enumlev1"/>
        <w:jc w:val="both"/>
      </w:pPr>
      <w:r>
        <w:t>–</w:t>
      </w:r>
      <w:r>
        <w:tab/>
      </w:r>
      <w:r w:rsidR="00796C1E">
        <w:t>d</w:t>
      </w:r>
      <w:r>
        <w:t>'une amélioration de l'efficacité opérationnelle et de l'expérience utilisateur</w:t>
      </w:r>
      <w:r w:rsidR="00796C1E">
        <w:t>;</w:t>
      </w:r>
    </w:p>
    <w:p w14:paraId="71D075F8" w14:textId="3F80B05E" w:rsidR="00056D48" w:rsidRDefault="00056D48" w:rsidP="00DC7E5B">
      <w:pPr>
        <w:pStyle w:val="enumlev1"/>
        <w:jc w:val="both"/>
      </w:pPr>
      <w:r>
        <w:t>–</w:t>
      </w:r>
      <w:r>
        <w:tab/>
      </w:r>
      <w:r w:rsidR="00796C1E">
        <w:t>d</w:t>
      </w:r>
      <w:r>
        <w:t>e capacités en matière d'IA et de données bien établies et mises à l'échelle</w:t>
      </w:r>
      <w:r w:rsidR="00796C1E">
        <w:t>;</w:t>
      </w:r>
    </w:p>
    <w:p w14:paraId="654AA9A5" w14:textId="08CF39F6" w:rsidR="00056D48" w:rsidRDefault="00056D48" w:rsidP="00DC7E5B">
      <w:pPr>
        <w:pStyle w:val="enumlev1"/>
        <w:jc w:val="both"/>
      </w:pPr>
      <w:r>
        <w:t>–</w:t>
      </w:r>
      <w:r>
        <w:tab/>
      </w:r>
      <w:r w:rsidR="00796C1E">
        <w:t>d</w:t>
      </w:r>
      <w:r>
        <w:t>'un modèle de gouvernance et d'exploitation durable.</w:t>
      </w:r>
    </w:p>
    <w:p w14:paraId="7C5B1733" w14:textId="77777777" w:rsidR="00056D48" w:rsidRDefault="00056D48" w:rsidP="00DC7E5B">
      <w:pPr>
        <w:pStyle w:val="Headingb"/>
        <w:jc w:val="both"/>
      </w:pPr>
      <w:r>
        <w:t>Prochaines étapes (transversales)</w:t>
      </w:r>
    </w:p>
    <w:p w14:paraId="4D95EDD2" w14:textId="1B69B35F" w:rsidR="00056D48" w:rsidRDefault="00056D48" w:rsidP="00DC7E5B">
      <w:pPr>
        <w:jc w:val="both"/>
      </w:pPr>
      <w:r>
        <w:t>Dans toutes les composantes, les actions prioritaires sont les suivantes:</w:t>
      </w:r>
    </w:p>
    <w:p w14:paraId="0BD17985" w14:textId="5DB8608B" w:rsidR="00056D48" w:rsidRDefault="00056D48" w:rsidP="00DC7E5B">
      <w:pPr>
        <w:pStyle w:val="enumlev1"/>
        <w:jc w:val="both"/>
      </w:pPr>
      <w:r>
        <w:t>–</w:t>
      </w:r>
      <w:r>
        <w:tab/>
        <w:t>Approbations officielles et déploiement des cadres</w:t>
      </w:r>
      <w:r w:rsidR="00796C1E">
        <w:t>.</w:t>
      </w:r>
    </w:p>
    <w:p w14:paraId="7E2F89D3" w14:textId="055CADF5" w:rsidR="00056D48" w:rsidRDefault="00056D48" w:rsidP="00DC7E5B">
      <w:pPr>
        <w:pStyle w:val="enumlev1"/>
        <w:jc w:val="both"/>
      </w:pPr>
      <w:r>
        <w:t>–</w:t>
      </w:r>
      <w:r>
        <w:tab/>
        <w:t>Lancement et gouvernance des programmes de transformation</w:t>
      </w:r>
      <w:r w:rsidR="00796C1E">
        <w:t>.</w:t>
      </w:r>
    </w:p>
    <w:p w14:paraId="00C771CC" w14:textId="4F8A5456" w:rsidR="00056D48" w:rsidRDefault="00056D48" w:rsidP="00DC7E5B">
      <w:pPr>
        <w:pStyle w:val="enumlev1"/>
        <w:jc w:val="both"/>
      </w:pPr>
      <w:r>
        <w:t>–</w:t>
      </w:r>
      <w:r>
        <w:tab/>
        <w:t>Renforcement de l'architecture institutionnelle et de la gouvernance des données</w:t>
      </w:r>
      <w:r w:rsidR="00796C1E">
        <w:t>.</w:t>
      </w:r>
    </w:p>
    <w:p w14:paraId="7E65423F" w14:textId="2983BD84" w:rsidR="00056D48" w:rsidRDefault="00056D48" w:rsidP="00DC7E5B">
      <w:pPr>
        <w:pStyle w:val="enumlev1"/>
        <w:jc w:val="both"/>
      </w:pPr>
      <w:r>
        <w:t>–</w:t>
      </w:r>
      <w:r>
        <w:tab/>
        <w:t xml:space="preserve">Mise en </w:t>
      </w:r>
      <w:r w:rsidR="00570669">
        <w:t>œuvre</w:t>
      </w:r>
      <w:r>
        <w:t xml:space="preserve"> des cadres de performance et d'établissement de rapports</w:t>
      </w:r>
      <w:r w:rsidR="00796C1E">
        <w:t>.</w:t>
      </w:r>
    </w:p>
    <w:p w14:paraId="388460A6" w14:textId="0DAB725D" w:rsidR="006A11AE" w:rsidRDefault="00056D48" w:rsidP="00DC7E5B">
      <w:pPr>
        <w:pStyle w:val="enumlev1"/>
        <w:jc w:val="both"/>
      </w:pPr>
      <w:r>
        <w:t>–</w:t>
      </w:r>
      <w:r>
        <w:tab/>
        <w:t>Préparation du prochain cycle stratégique (2028-2031).</w:t>
      </w:r>
    </w:p>
    <w:p w14:paraId="1E5A9C0E" w14:textId="77777777" w:rsidR="004622D9" w:rsidRPr="00056D48" w:rsidRDefault="004622D9" w:rsidP="00DC7E5B">
      <w:pPr>
        <w:pStyle w:val="enumlev1"/>
        <w:jc w:val="both"/>
      </w:pPr>
    </w:p>
    <w:p w14:paraId="497CA35C" w14:textId="77777777" w:rsidR="00897553" w:rsidRDefault="006A11AE" w:rsidP="004622D9">
      <w:pPr>
        <w:spacing w:before="0"/>
        <w:jc w:val="center"/>
      </w:pPr>
      <w:r>
        <w:t>______________</w:t>
      </w:r>
    </w:p>
    <w:sectPr w:rsidR="00897553" w:rsidSect="00D72F49">
      <w:headerReference w:type="even" r:id="rId27"/>
      <w:footerReference w:type="even" r:id="rId28"/>
      <w:footerReference w:type="default" r:id="rId29"/>
      <w:headerReference w:type="first" r:id="rId30"/>
      <w:footerReference w:type="first" r:id="rId31"/>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F26C4" w14:textId="77777777" w:rsidR="00B56512" w:rsidRDefault="00B56512">
      <w:r>
        <w:separator/>
      </w:r>
    </w:p>
  </w:endnote>
  <w:endnote w:type="continuationSeparator" w:id="0">
    <w:p w14:paraId="4BAF7DF5" w14:textId="77777777" w:rsidR="00B56512" w:rsidRDefault="00B5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7CE5" w14:textId="0EB9E421" w:rsidR="00732045" w:rsidRDefault="007935B2">
    <w:pPr>
      <w:pStyle w:val="Footer"/>
    </w:pPr>
    <w:fldSimple w:instr=" FILENAME \p \* MERGEFORMAT ">
      <w:r>
        <w:t>P:\FRA\gDoc\SG\C26\2600735F.docx</w:t>
      </w:r>
    </w:fldSimple>
    <w:r w:rsidR="00732045">
      <w:tab/>
    </w:r>
    <w:r w:rsidR="002F1B76">
      <w:fldChar w:fldCharType="begin"/>
    </w:r>
    <w:r w:rsidR="00732045">
      <w:instrText xml:space="preserve"> savedate \@ dd.MM.yy </w:instrText>
    </w:r>
    <w:r w:rsidR="002F1B76">
      <w:fldChar w:fldCharType="separate"/>
    </w:r>
    <w:r w:rsidR="00B06A1F">
      <w:t>13.04.26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21D027F" w14:textId="77777777" w:rsidTr="00E31DCE">
      <w:trPr>
        <w:jc w:val="center"/>
      </w:trPr>
      <w:tc>
        <w:tcPr>
          <w:tcW w:w="1803" w:type="dxa"/>
          <w:vAlign w:val="center"/>
        </w:tcPr>
        <w:p w14:paraId="51D31A6C" w14:textId="18E8E4E7" w:rsidR="00A51849" w:rsidRDefault="00056D48" w:rsidP="00A51849">
          <w:pPr>
            <w:pStyle w:val="Header"/>
            <w:jc w:val="left"/>
            <w:rPr>
              <w:noProof/>
            </w:rPr>
          </w:pPr>
          <w:r>
            <w:rPr>
              <w:noProof/>
            </w:rPr>
            <w:t>2600735</w:t>
          </w:r>
        </w:p>
      </w:tc>
      <w:tc>
        <w:tcPr>
          <w:tcW w:w="8261" w:type="dxa"/>
        </w:tcPr>
        <w:p w14:paraId="2AA975E8" w14:textId="6FECFBCE"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056D48">
            <w:rPr>
              <w:bCs/>
            </w:rPr>
            <w:t>62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DF5AB55"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EAB1AB1" w14:textId="77777777" w:rsidTr="00E31DCE">
      <w:trPr>
        <w:jc w:val="center"/>
      </w:trPr>
      <w:tc>
        <w:tcPr>
          <w:tcW w:w="1803" w:type="dxa"/>
          <w:vAlign w:val="center"/>
        </w:tcPr>
        <w:p w14:paraId="60ED1C55"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0364D77A" w14:textId="12D333E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056D48">
            <w:rPr>
              <w:bCs/>
            </w:rPr>
            <w:t>62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52BDB0F"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AF42" w14:textId="77777777" w:rsidR="00B56512" w:rsidRDefault="00B56512">
      <w:r>
        <w:t>____________________</w:t>
      </w:r>
    </w:p>
  </w:footnote>
  <w:footnote w:type="continuationSeparator" w:id="0">
    <w:p w14:paraId="5A31FAE6" w14:textId="77777777" w:rsidR="00B56512" w:rsidRDefault="00B56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C09"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D3CF8D1"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61D4"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12"/>
    <w:rsid w:val="00056D48"/>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C3FAE"/>
    <w:rsid w:val="004038CB"/>
    <w:rsid w:val="0040546F"/>
    <w:rsid w:val="004177BD"/>
    <w:rsid w:val="0042404A"/>
    <w:rsid w:val="0044618F"/>
    <w:rsid w:val="004622D9"/>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0669"/>
    <w:rsid w:val="00571EEA"/>
    <w:rsid w:val="00575417"/>
    <w:rsid w:val="005768E1"/>
    <w:rsid w:val="005B1938"/>
    <w:rsid w:val="005C3890"/>
    <w:rsid w:val="005F7BFE"/>
    <w:rsid w:val="00600017"/>
    <w:rsid w:val="00602682"/>
    <w:rsid w:val="0061141C"/>
    <w:rsid w:val="006235CA"/>
    <w:rsid w:val="0062366E"/>
    <w:rsid w:val="006643AB"/>
    <w:rsid w:val="006A11AE"/>
    <w:rsid w:val="006B224B"/>
    <w:rsid w:val="006F0A53"/>
    <w:rsid w:val="0071402E"/>
    <w:rsid w:val="00716DEC"/>
    <w:rsid w:val="007210CD"/>
    <w:rsid w:val="007257B4"/>
    <w:rsid w:val="00732045"/>
    <w:rsid w:val="0073275D"/>
    <w:rsid w:val="007369DB"/>
    <w:rsid w:val="0077110E"/>
    <w:rsid w:val="007935B2"/>
    <w:rsid w:val="007956C2"/>
    <w:rsid w:val="00796BDB"/>
    <w:rsid w:val="00796C1E"/>
    <w:rsid w:val="007A187E"/>
    <w:rsid w:val="007C72C2"/>
    <w:rsid w:val="007D4436"/>
    <w:rsid w:val="007F257A"/>
    <w:rsid w:val="007F3665"/>
    <w:rsid w:val="00800037"/>
    <w:rsid w:val="00813294"/>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06A1F"/>
    <w:rsid w:val="00B27B00"/>
    <w:rsid w:val="00B309F9"/>
    <w:rsid w:val="00B32B60"/>
    <w:rsid w:val="00B51005"/>
    <w:rsid w:val="00B56512"/>
    <w:rsid w:val="00B61619"/>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4597A"/>
    <w:rsid w:val="00D553A2"/>
    <w:rsid w:val="00D72F49"/>
    <w:rsid w:val="00D774D3"/>
    <w:rsid w:val="00D904E8"/>
    <w:rsid w:val="00DA08C3"/>
    <w:rsid w:val="00DB5A3E"/>
    <w:rsid w:val="00DC22AA"/>
    <w:rsid w:val="00DC7E5B"/>
    <w:rsid w:val="00DD1A99"/>
    <w:rsid w:val="00DE62C6"/>
    <w:rsid w:val="00DF74DD"/>
    <w:rsid w:val="00E25AD0"/>
    <w:rsid w:val="00E4428F"/>
    <w:rsid w:val="00E4448E"/>
    <w:rsid w:val="00E47427"/>
    <w:rsid w:val="00E93668"/>
    <w:rsid w:val="00E9390B"/>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12024"/>
  <w15:docId w15:val="{905A9982-808E-4EBC-BFD2-8B0F4DD7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257B4"/>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2-CL-C-0057/fr" TargetMode="External"/><Relationship Id="rId18" Type="http://schemas.openxmlformats.org/officeDocument/2006/relationships/hyperlink" Target="https://www.itu.int/md/S23-CL-INF-0013/en" TargetMode="External"/><Relationship Id="rId26" Type="http://schemas.openxmlformats.org/officeDocument/2006/relationships/hyperlink" Target="https://www.itu.int/md/S26-CL-INF-0006/en" TargetMode="External"/><Relationship Id="rId3" Type="http://schemas.openxmlformats.org/officeDocument/2006/relationships/settings" Target="settings.xml"/><Relationship Id="rId21" Type="http://schemas.openxmlformats.org/officeDocument/2006/relationships/hyperlink" Target="https://www.itu.int/md/S24-CL-C-0031/fr" TargetMode="External"/><Relationship Id="rId7" Type="http://schemas.openxmlformats.org/officeDocument/2006/relationships/hyperlink" Target="https://www.itu.int/en/council/Documents/basic-texts-2023/RES-071-F.pdf" TargetMode="External"/><Relationship Id="rId12" Type="http://schemas.openxmlformats.org/officeDocument/2006/relationships/hyperlink" Target="https://www.itu.int/md/S22-CL-C-0040/fr" TargetMode="External"/><Relationship Id="rId17" Type="http://schemas.openxmlformats.org/officeDocument/2006/relationships/hyperlink" Target="https://www.itu.int/md/S23-CL-INF-0011/en" TargetMode="External"/><Relationship Id="rId25" Type="http://schemas.openxmlformats.org/officeDocument/2006/relationships/hyperlink" Target="https://www.itu.int/md/S26-CL-INF-0006/e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md/S23-CL-C-0063/fr" TargetMode="External"/><Relationship Id="rId20" Type="http://schemas.openxmlformats.org/officeDocument/2006/relationships/hyperlink" Target="https://www.itu.int/md/S24-CL-C-0053/fr"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2-CL-INF-0013/en" TargetMode="External"/><Relationship Id="rId24" Type="http://schemas.openxmlformats.org/officeDocument/2006/relationships/hyperlink" Target="https://www.itu.int/md/S25-CL-C-0066/f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S23-CL-C-0050/fr" TargetMode="External"/><Relationship Id="rId23" Type="http://schemas.openxmlformats.org/officeDocument/2006/relationships/hyperlink" Target="https://www.itu.int/md/S25-CL-C-0055/fr" TargetMode="External"/><Relationship Id="rId28" Type="http://schemas.openxmlformats.org/officeDocument/2006/relationships/footer" Target="footer1.xml"/><Relationship Id="rId10" Type="http://schemas.openxmlformats.org/officeDocument/2006/relationships/hyperlink" Target="https://www.itu.int/md/S21-CL-INF-0015/en" TargetMode="External"/><Relationship Id="rId19" Type="http://schemas.openxmlformats.org/officeDocument/2006/relationships/hyperlink" Target="https://www.itu.int/md/S24-CL-C-0019/fr"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md/S20-CL-C-0074/fr" TargetMode="External"/><Relationship Id="rId14" Type="http://schemas.openxmlformats.org/officeDocument/2006/relationships/hyperlink" Target="https://www.itu.int/md/S23-CL-C-0036/fr" TargetMode="External"/><Relationship Id="rId22" Type="http://schemas.openxmlformats.org/officeDocument/2006/relationships/hyperlink" Target="https://www.itu.int/md/S25-CL-C-0050/fr"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hyperlink" Target="https://www.itu.int/md/S20-CL-C-0061/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11</TotalTime>
  <Pages>6</Pages>
  <Words>2026</Words>
  <Characters>14269</Characters>
  <Application>Microsoft Office Word</Application>
  <DocSecurity>0</DocSecurity>
  <Lines>259</Lines>
  <Paragraphs>114</Paragraphs>
  <ScaleCrop>false</ScaleCrop>
  <HeadingPairs>
    <vt:vector size="2" baseType="variant">
      <vt:variant>
        <vt:lpstr>Title</vt:lpstr>
      </vt:variant>
      <vt:variant>
        <vt:i4>1</vt:i4>
      </vt:variant>
    </vt:vector>
  </HeadingPairs>
  <TitlesOfParts>
    <vt:vector size="1" baseType="lpstr">
      <vt:lpstr>Renforcer les bases numériques internes pour la transformation de l'UIT – Stratégie, architecture institutionnelle, gouvernance des TIC et modèle d'exploitation des technologies de l'information</vt:lpstr>
    </vt:vector>
  </TitlesOfParts>
  <Manager>Secrétariat général - Pool</Manager>
  <Company>Union internationale des télécommunications (UIT)</Company>
  <LinksUpToDate>false</LinksUpToDate>
  <CharactersWithSpaces>16181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Renforcer les bases numériques internes pour la transformation de l'UIT – Stratégie, architecture institutionnelle, gouvernance des TIC et modèle d'exploitation des technologies de l'information</dc:title>
  <dc:subject>Conseil 2026 de l'UIT</dc:subject>
  <cp:keywords>C26; C2026; Council 2026; PP26</cp:keywords>
  <dc:description/>
  <cp:lastPrinted>2000-07-18T08:55:00Z</cp:lastPrinted>
  <dcterms:created xsi:type="dcterms:W3CDTF">2026-04-13T13:40:00Z</dcterms:created>
  <dcterms:modified xsi:type="dcterms:W3CDTF">2026-04-13T13:51:00Z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