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214B67C8" w14:textId="77777777" w:rsidTr="00555C29">
        <w:trPr>
          <w:cantSplit/>
          <w:trHeight w:val="23"/>
        </w:trPr>
        <w:tc>
          <w:tcPr>
            <w:tcW w:w="3969" w:type="dxa"/>
            <w:vMerge w:val="restart"/>
            <w:tcMar>
              <w:left w:w="0" w:type="dxa"/>
            </w:tcMar>
          </w:tcPr>
          <w:p w14:paraId="7BC405FB" w14:textId="48821F36"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665626">
              <w:rPr>
                <w:b/>
                <w:bCs/>
                <w:color w:val="000000"/>
                <w:lang w:val="zh-CN"/>
              </w:rPr>
              <w:t>ADM 3</w:t>
            </w:r>
          </w:p>
        </w:tc>
        <w:tc>
          <w:tcPr>
            <w:tcW w:w="5245" w:type="dxa"/>
          </w:tcPr>
          <w:p w14:paraId="2A267B0D" w14:textId="1CCF56C8"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665626">
              <w:rPr>
                <w:rFonts w:hint="eastAsia"/>
                <w:b/>
                <w:lang w:val="fr-CH" w:eastAsia="zh-CN"/>
              </w:rPr>
              <w:t>62</w:t>
            </w:r>
            <w:r w:rsidRPr="00E24D59">
              <w:rPr>
                <w:b/>
                <w:lang w:val="fr-CH"/>
              </w:rPr>
              <w:t>-C</w:t>
            </w:r>
          </w:p>
        </w:tc>
      </w:tr>
      <w:tr w:rsidR="00E24D59" w:rsidRPr="00813E5E" w14:paraId="262C6FE2" w14:textId="77777777" w:rsidTr="00555C29">
        <w:trPr>
          <w:cantSplit/>
        </w:trPr>
        <w:tc>
          <w:tcPr>
            <w:tcW w:w="3969" w:type="dxa"/>
            <w:vMerge/>
          </w:tcPr>
          <w:p w14:paraId="64D93720"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7C24ADCC" w14:textId="27FC5083" w:rsidR="00E24D59" w:rsidRPr="00E85629" w:rsidRDefault="00665626"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30</w:t>
            </w:r>
            <w:r>
              <w:rPr>
                <w:rFonts w:hint="eastAsia"/>
                <w:b/>
                <w:lang w:eastAsia="zh-CN"/>
              </w:rPr>
              <w:t>日</w:t>
            </w:r>
          </w:p>
        </w:tc>
      </w:tr>
      <w:tr w:rsidR="00E24D59" w:rsidRPr="00813E5E" w14:paraId="4500F088" w14:textId="77777777" w:rsidTr="00555C29">
        <w:trPr>
          <w:cantSplit/>
          <w:trHeight w:val="23"/>
        </w:trPr>
        <w:tc>
          <w:tcPr>
            <w:tcW w:w="3969" w:type="dxa"/>
            <w:vMerge/>
          </w:tcPr>
          <w:p w14:paraId="11CD05D9"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01661A05" w14:textId="75F6CE78"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r w:rsidR="00665626">
              <w:rPr>
                <w:rFonts w:hint="eastAsia"/>
                <w:b/>
                <w:bCs/>
                <w:color w:val="000000"/>
                <w:lang w:val="zh-CN"/>
              </w:rPr>
              <w:t>英文</w:t>
            </w:r>
            <w:proofErr w:type="spellEnd"/>
          </w:p>
        </w:tc>
      </w:tr>
      <w:tr w:rsidR="00E24D59" w:rsidRPr="00813E5E" w14:paraId="539418B1" w14:textId="77777777" w:rsidTr="00555C29">
        <w:trPr>
          <w:cantSplit/>
          <w:trHeight w:val="23"/>
        </w:trPr>
        <w:tc>
          <w:tcPr>
            <w:tcW w:w="3969" w:type="dxa"/>
          </w:tcPr>
          <w:p w14:paraId="50186C85" w14:textId="77777777" w:rsidR="00E24D59" w:rsidRPr="00813E5E" w:rsidRDefault="00E24D59" w:rsidP="00555C29">
            <w:pPr>
              <w:tabs>
                <w:tab w:val="left" w:pos="851"/>
              </w:tabs>
              <w:spacing w:line="240" w:lineRule="atLeast"/>
              <w:rPr>
                <w:b/>
              </w:rPr>
            </w:pPr>
          </w:p>
        </w:tc>
        <w:tc>
          <w:tcPr>
            <w:tcW w:w="5245" w:type="dxa"/>
          </w:tcPr>
          <w:p w14:paraId="54080AD3" w14:textId="77777777" w:rsidR="00E24D59" w:rsidRDefault="00E24D59" w:rsidP="00555C29">
            <w:pPr>
              <w:tabs>
                <w:tab w:val="left" w:pos="851"/>
              </w:tabs>
              <w:spacing w:before="0" w:line="240" w:lineRule="atLeast"/>
              <w:jc w:val="right"/>
              <w:rPr>
                <w:b/>
              </w:rPr>
            </w:pPr>
          </w:p>
        </w:tc>
      </w:tr>
      <w:tr w:rsidR="00E24D59" w:rsidRPr="00813E5E" w14:paraId="3014726E" w14:textId="77777777" w:rsidTr="00555C29">
        <w:trPr>
          <w:cantSplit/>
        </w:trPr>
        <w:tc>
          <w:tcPr>
            <w:tcW w:w="9214" w:type="dxa"/>
            <w:gridSpan w:val="2"/>
            <w:tcMar>
              <w:left w:w="0" w:type="dxa"/>
            </w:tcMar>
          </w:tcPr>
          <w:p w14:paraId="7384288C" w14:textId="77777777"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32955095" w14:textId="77777777" w:rsidTr="00555C29">
        <w:trPr>
          <w:cantSplit/>
        </w:trPr>
        <w:tc>
          <w:tcPr>
            <w:tcW w:w="9214" w:type="dxa"/>
            <w:gridSpan w:val="2"/>
            <w:tcMar>
              <w:left w:w="0" w:type="dxa"/>
            </w:tcMar>
          </w:tcPr>
          <w:p w14:paraId="1B76AB46" w14:textId="635A9EBE" w:rsidR="00E24D59" w:rsidRPr="00C24DAC" w:rsidRDefault="00665626" w:rsidP="00C24DAC">
            <w:pPr>
              <w:pStyle w:val="Subtitle"/>
              <w:framePr w:hSpace="0" w:wrap="auto" w:vAnchor="margin" w:hAnchor="text" w:xAlign="left" w:yAlign="inline"/>
            </w:pPr>
            <w:bookmarkStart w:id="6" w:name="_Hlk215581931"/>
            <w:bookmarkStart w:id="7" w:name="dtitle1" w:colFirst="0" w:colLast="0"/>
            <w:bookmarkEnd w:id="5"/>
            <w:r>
              <w:rPr>
                <w:color w:val="000000"/>
                <w:lang w:val="zh-CN"/>
              </w:rPr>
              <w:t>加强国际电联内部转型的数字基础</w:t>
            </w:r>
            <w:r w:rsidR="00705239">
              <w:rPr>
                <w:rFonts w:hint="eastAsia"/>
                <w:color w:val="000000"/>
                <w:lang w:val="zh-CN"/>
              </w:rPr>
              <w:t xml:space="preserve"> </w:t>
            </w:r>
            <w:r>
              <w:rPr>
                <w:color w:val="000000"/>
                <w:lang w:val="zh-CN"/>
              </w:rPr>
              <w:t>–</w:t>
            </w:r>
            <w:r w:rsidR="00705239">
              <w:rPr>
                <w:rFonts w:hint="eastAsia"/>
                <w:color w:val="000000"/>
                <w:lang w:val="zh-CN"/>
              </w:rPr>
              <w:t xml:space="preserve"> </w:t>
            </w:r>
            <w:r>
              <w:rPr>
                <w:color w:val="000000"/>
                <w:lang w:val="zh-CN"/>
              </w:rPr>
              <w:t>战略、</w:t>
            </w:r>
            <w:r>
              <w:rPr>
                <w:rFonts w:hint="eastAsia"/>
                <w:color w:val="000000"/>
                <w:lang w:val="zh-CN"/>
              </w:rPr>
              <w:t>组织</w:t>
            </w:r>
            <w:r>
              <w:rPr>
                <w:color w:val="000000"/>
                <w:lang w:val="zh-CN"/>
              </w:rPr>
              <w:t>架构、</w:t>
            </w:r>
            <w:r>
              <w:rPr>
                <w:color w:val="000000"/>
                <w:lang w:val="zh-CN"/>
              </w:rPr>
              <w:br/>
            </w:r>
            <w:r>
              <w:rPr>
                <w:rFonts w:hint="eastAsia"/>
                <w:color w:val="000000"/>
                <w:lang w:val="zh-CN"/>
              </w:rPr>
              <w:t>信息通信技术（</w:t>
            </w:r>
            <w:r>
              <w:rPr>
                <w:color w:val="000000"/>
                <w:lang w:val="zh-CN"/>
              </w:rPr>
              <w:t>ICT</w:t>
            </w:r>
            <w:r>
              <w:rPr>
                <w:rFonts w:hint="eastAsia"/>
                <w:color w:val="000000"/>
                <w:lang w:val="zh-CN"/>
              </w:rPr>
              <w:t>）</w:t>
            </w:r>
            <w:r>
              <w:rPr>
                <w:color w:val="000000"/>
                <w:lang w:val="zh-CN"/>
              </w:rPr>
              <w:t>治理和</w:t>
            </w:r>
            <w:r>
              <w:rPr>
                <w:rFonts w:hint="eastAsia"/>
                <w:color w:val="000000"/>
                <w:lang w:val="zh-CN"/>
              </w:rPr>
              <w:t>信息技术（</w:t>
            </w:r>
            <w:r>
              <w:rPr>
                <w:color w:val="000000"/>
                <w:lang w:val="zh-CN"/>
              </w:rPr>
              <w:t>IT</w:t>
            </w:r>
            <w:r>
              <w:rPr>
                <w:rFonts w:hint="eastAsia"/>
                <w:color w:val="000000"/>
                <w:lang w:val="zh-CN"/>
              </w:rPr>
              <w:t>）的</w:t>
            </w:r>
            <w:r>
              <w:rPr>
                <w:color w:val="000000"/>
                <w:lang w:val="zh-CN"/>
              </w:rPr>
              <w:t>运作模式</w:t>
            </w:r>
            <w:bookmarkEnd w:id="6"/>
          </w:p>
        </w:tc>
      </w:tr>
      <w:tr w:rsidR="00E24D59" w:rsidRPr="00813E5E" w14:paraId="26F76A70" w14:textId="77777777" w:rsidTr="00555C29">
        <w:trPr>
          <w:cantSplit/>
        </w:trPr>
        <w:tc>
          <w:tcPr>
            <w:tcW w:w="9214" w:type="dxa"/>
            <w:gridSpan w:val="2"/>
            <w:tcBorders>
              <w:top w:val="single" w:sz="4" w:space="0" w:color="auto"/>
              <w:bottom w:val="single" w:sz="4" w:space="0" w:color="auto"/>
            </w:tcBorders>
            <w:tcMar>
              <w:left w:w="0" w:type="dxa"/>
            </w:tcMar>
          </w:tcPr>
          <w:p w14:paraId="254127CB" w14:textId="70B328F7" w:rsidR="003F086E" w:rsidRPr="00477D57" w:rsidRDefault="003F086E" w:rsidP="00F070C1">
            <w:pPr>
              <w:spacing w:before="160"/>
              <w:rPr>
                <w:b/>
                <w:bCs/>
                <w:lang w:eastAsia="zh-CN"/>
              </w:rPr>
            </w:pPr>
            <w:r w:rsidRPr="00F070C1">
              <w:rPr>
                <w:b/>
                <w:bCs/>
                <w:color w:val="000000"/>
                <w:lang w:val="zh-CN" w:eastAsia="zh-CN"/>
              </w:rPr>
              <w:t>目的</w:t>
            </w:r>
          </w:p>
          <w:p w14:paraId="40A12906" w14:textId="77777777" w:rsidR="00665626" w:rsidRPr="00414A74" w:rsidRDefault="00665626" w:rsidP="00665626">
            <w:pPr>
              <w:ind w:firstLineChars="200" w:firstLine="480"/>
              <w:rPr>
                <w:lang w:eastAsia="zh-CN"/>
              </w:rPr>
            </w:pPr>
            <w:r>
              <w:rPr>
                <w:color w:val="000000"/>
                <w:lang w:val="zh-CN" w:eastAsia="zh-CN"/>
              </w:rPr>
              <w:t>本文件向理事会提供了四个相互关联的数字基础</w:t>
            </w:r>
            <w:r>
              <w:rPr>
                <w:rFonts w:hint="eastAsia"/>
                <w:color w:val="000000"/>
                <w:lang w:val="zh-CN" w:eastAsia="zh-CN"/>
              </w:rPr>
              <w:t>，即</w:t>
            </w:r>
            <w:r>
              <w:rPr>
                <w:color w:val="000000"/>
                <w:lang w:val="zh-CN" w:eastAsia="zh-CN"/>
              </w:rPr>
              <w:t>国际电联</w:t>
            </w:r>
            <w:r>
              <w:rPr>
                <w:color w:val="000000"/>
                <w:lang w:val="zh-CN" w:eastAsia="zh-CN"/>
              </w:rPr>
              <w:t>2026-2027</w:t>
            </w:r>
            <w:r>
              <w:rPr>
                <w:color w:val="000000"/>
                <w:lang w:val="zh-CN" w:eastAsia="zh-CN"/>
              </w:rPr>
              <w:t>年内部数字战略和计划、组织架构蓝图、改进的数字治理框架和新的</w:t>
            </w:r>
            <w:r>
              <w:rPr>
                <w:rFonts w:hint="eastAsia"/>
                <w:color w:val="000000"/>
                <w:lang w:val="zh-CN" w:eastAsia="zh-CN"/>
              </w:rPr>
              <w:t>信息服务部（</w:t>
            </w:r>
            <w:r>
              <w:rPr>
                <w:color w:val="000000"/>
                <w:lang w:val="zh-CN" w:eastAsia="zh-CN"/>
              </w:rPr>
              <w:t>ISD</w:t>
            </w:r>
            <w:r>
              <w:rPr>
                <w:rFonts w:hint="eastAsia"/>
                <w:color w:val="000000"/>
                <w:lang w:val="zh-CN" w:eastAsia="zh-CN"/>
              </w:rPr>
              <w:t>）</w:t>
            </w:r>
            <w:r>
              <w:rPr>
                <w:color w:val="000000"/>
                <w:lang w:val="zh-CN" w:eastAsia="zh-CN"/>
              </w:rPr>
              <w:t>运作模式</w:t>
            </w:r>
            <w:r>
              <w:rPr>
                <w:rFonts w:hint="eastAsia"/>
                <w:color w:val="000000"/>
                <w:lang w:val="zh-CN" w:eastAsia="zh-CN"/>
              </w:rPr>
              <w:t>，的</w:t>
            </w:r>
            <w:r w:rsidRPr="00FD733A">
              <w:rPr>
                <w:b/>
                <w:bCs/>
                <w:color w:val="000000"/>
                <w:lang w:val="zh-CN" w:eastAsia="zh-CN"/>
              </w:rPr>
              <w:t>发展</w:t>
            </w:r>
            <w:r w:rsidRPr="00FD733A">
              <w:rPr>
                <w:rFonts w:hint="eastAsia"/>
                <w:b/>
                <w:bCs/>
                <w:color w:val="000000"/>
                <w:lang w:val="zh-CN" w:eastAsia="zh-CN"/>
              </w:rPr>
              <w:t>近</w:t>
            </w:r>
            <w:r w:rsidRPr="00FD733A">
              <w:rPr>
                <w:b/>
                <w:bCs/>
                <w:color w:val="000000"/>
                <w:lang w:val="zh-CN" w:eastAsia="zh-CN"/>
              </w:rPr>
              <w:t>况</w:t>
            </w:r>
            <w:r>
              <w:rPr>
                <w:color w:val="000000"/>
                <w:lang w:val="zh-CN" w:eastAsia="zh-CN"/>
              </w:rPr>
              <w:t>。</w:t>
            </w:r>
          </w:p>
          <w:p w14:paraId="01AF94D7" w14:textId="77777777" w:rsidR="00665626" w:rsidRDefault="00665626" w:rsidP="00665626">
            <w:pPr>
              <w:ind w:firstLineChars="200" w:firstLine="480"/>
              <w:rPr>
                <w:lang w:eastAsia="zh-CN"/>
              </w:rPr>
            </w:pPr>
            <w:r>
              <w:rPr>
                <w:color w:val="000000"/>
                <w:lang w:val="zh-CN" w:eastAsia="zh-CN"/>
              </w:rPr>
              <w:t>这四</w:t>
            </w:r>
            <w:r>
              <w:rPr>
                <w:rFonts w:hint="eastAsia"/>
                <w:color w:val="000000"/>
                <w:lang w:val="zh-CN" w:eastAsia="zh-CN"/>
              </w:rPr>
              <w:t>项</w:t>
            </w:r>
            <w:r>
              <w:rPr>
                <w:color w:val="000000"/>
                <w:lang w:val="zh-CN" w:eastAsia="zh-CN"/>
              </w:rPr>
              <w:t>基本要素</w:t>
            </w:r>
            <w:r>
              <w:rPr>
                <w:rFonts w:hint="eastAsia"/>
                <w:color w:val="000000"/>
                <w:lang w:val="zh-CN" w:eastAsia="zh-CN"/>
              </w:rPr>
              <w:t>是对</w:t>
            </w:r>
            <w:r>
              <w:rPr>
                <w:color w:val="000000"/>
                <w:lang w:val="zh-CN" w:eastAsia="zh-CN"/>
              </w:rPr>
              <w:t>理事会关于加强</w:t>
            </w:r>
            <w:r>
              <w:rPr>
                <w:color w:val="000000"/>
                <w:lang w:val="zh-CN" w:eastAsia="zh-CN"/>
              </w:rPr>
              <w:t>ICT</w:t>
            </w:r>
            <w:r>
              <w:rPr>
                <w:color w:val="000000"/>
                <w:lang w:val="zh-CN" w:eastAsia="zh-CN"/>
              </w:rPr>
              <w:t>投资治理、透明度和价值实现指导意见</w:t>
            </w:r>
            <w:r>
              <w:rPr>
                <w:rFonts w:hint="eastAsia"/>
                <w:color w:val="000000"/>
                <w:lang w:val="zh-CN" w:eastAsia="zh-CN"/>
              </w:rPr>
              <w:t>的</w:t>
            </w:r>
            <w:r>
              <w:rPr>
                <w:color w:val="000000"/>
                <w:lang w:val="zh-CN" w:eastAsia="zh-CN"/>
              </w:rPr>
              <w:t>直接响应</w:t>
            </w:r>
            <w:r>
              <w:rPr>
                <w:rFonts w:hint="eastAsia"/>
                <w:color w:val="000000"/>
                <w:lang w:val="zh-CN" w:eastAsia="zh-CN"/>
              </w:rPr>
              <w:t>，且已被</w:t>
            </w:r>
            <w:r>
              <w:rPr>
                <w:color w:val="000000"/>
                <w:lang w:val="zh-CN" w:eastAsia="zh-CN"/>
              </w:rPr>
              <w:t>设计为国际电联内部数字化转型的一个集成系统。</w:t>
            </w:r>
          </w:p>
          <w:p w14:paraId="47ED9E6C" w14:textId="77777777" w:rsidR="00665626" w:rsidRDefault="00665626" w:rsidP="00F070C1">
            <w:pPr>
              <w:spacing w:before="160"/>
              <w:rPr>
                <w:b/>
                <w:bCs/>
                <w:sz w:val="26"/>
                <w:szCs w:val="26"/>
                <w:lang w:eastAsia="zh-CN"/>
              </w:rPr>
            </w:pPr>
            <w:r w:rsidRPr="008406D2">
              <w:rPr>
                <w:rFonts w:hint="eastAsia"/>
                <w:b/>
                <w:bCs/>
                <w:color w:val="000000"/>
                <w:lang w:val="zh-CN" w:eastAsia="zh-CN"/>
              </w:rPr>
              <w:t>理事会需采取的行动</w:t>
            </w:r>
          </w:p>
          <w:p w14:paraId="01E3766C" w14:textId="77777777" w:rsidR="00665626" w:rsidRPr="004B4E61" w:rsidRDefault="00665626" w:rsidP="00665626">
            <w:pPr>
              <w:ind w:firstLineChars="200" w:firstLine="480"/>
              <w:rPr>
                <w:szCs w:val="24"/>
                <w:lang w:eastAsia="zh-CN"/>
              </w:rPr>
            </w:pPr>
            <w:r>
              <w:rPr>
                <w:color w:val="000000"/>
                <w:lang w:val="zh-CN" w:eastAsia="zh-CN"/>
              </w:rPr>
              <w:t>请理事会</w:t>
            </w:r>
            <w:r>
              <w:rPr>
                <w:rFonts w:hint="eastAsia"/>
                <w:color w:val="000000"/>
                <w:lang w:val="zh-CN" w:eastAsia="zh-CN"/>
              </w:rPr>
              <w:t>将</w:t>
            </w:r>
            <w:r>
              <w:rPr>
                <w:color w:val="000000"/>
                <w:lang w:val="zh-CN" w:eastAsia="zh-CN"/>
              </w:rPr>
              <w:t>本报告概述的进展情况</w:t>
            </w:r>
            <w:r w:rsidRPr="008406D2">
              <w:rPr>
                <w:rFonts w:hint="eastAsia"/>
                <w:b/>
                <w:bCs/>
                <w:color w:val="000000"/>
                <w:lang w:val="zh-CN" w:eastAsia="zh-CN"/>
              </w:rPr>
              <w:t>记录在案</w:t>
            </w:r>
            <w:r>
              <w:rPr>
                <w:color w:val="000000"/>
                <w:lang w:val="zh-CN" w:eastAsia="zh-CN"/>
              </w:rPr>
              <w:t>并酌情</w:t>
            </w:r>
            <w:r w:rsidRPr="008406D2">
              <w:rPr>
                <w:b/>
                <w:bCs/>
                <w:color w:val="000000"/>
                <w:lang w:val="zh-CN" w:eastAsia="zh-CN"/>
              </w:rPr>
              <w:t>提供指导</w:t>
            </w:r>
            <w:r>
              <w:rPr>
                <w:color w:val="000000"/>
                <w:lang w:val="zh-CN" w:eastAsia="zh-CN"/>
              </w:rPr>
              <w:t>。</w:t>
            </w:r>
          </w:p>
          <w:p w14:paraId="0E42C7E8" w14:textId="77777777" w:rsidR="00665626" w:rsidRDefault="00665626" w:rsidP="00665626">
            <w:pPr>
              <w:spacing w:before="160"/>
              <w:rPr>
                <w:b/>
                <w:bCs/>
                <w:sz w:val="26"/>
                <w:szCs w:val="26"/>
                <w:lang w:eastAsia="zh-CN"/>
              </w:rPr>
            </w:pPr>
            <w:r w:rsidRPr="008406D2">
              <w:rPr>
                <w:rFonts w:hint="eastAsia"/>
                <w:b/>
                <w:bCs/>
                <w:color w:val="000000"/>
                <w:lang w:val="zh-CN" w:eastAsia="zh-CN"/>
              </w:rPr>
              <w:t>与《战略规划》的关联</w:t>
            </w:r>
          </w:p>
          <w:p w14:paraId="32FBCB61" w14:textId="77777777" w:rsidR="00665626" w:rsidRPr="004B4E61" w:rsidRDefault="00665626" w:rsidP="00665626">
            <w:pPr>
              <w:ind w:firstLineChars="200" w:firstLine="480"/>
              <w:rPr>
                <w:rFonts w:asciiTheme="minorHAnsi" w:eastAsiaTheme="minorEastAsia" w:hAnsiTheme="minorHAnsi" w:cstheme="minorBidi"/>
                <w:lang w:eastAsia="zh-CN"/>
              </w:rPr>
            </w:pPr>
            <w:r>
              <w:rPr>
                <w:color w:val="000000"/>
                <w:lang w:val="zh-CN" w:eastAsia="zh-CN"/>
              </w:rPr>
              <w:t>推动因素框架</w:t>
            </w:r>
            <w:r>
              <w:rPr>
                <w:rFonts w:hint="eastAsia"/>
                <w:color w:val="000000"/>
                <w:lang w:val="zh-CN" w:eastAsia="zh-CN"/>
              </w:rPr>
              <w:t>以及</w:t>
            </w:r>
            <w:r>
              <w:rPr>
                <w:color w:val="000000"/>
                <w:lang w:val="zh-CN" w:eastAsia="zh-CN"/>
              </w:rPr>
              <w:t>人力资源和组织创新的卓越性。</w:t>
            </w:r>
          </w:p>
          <w:p w14:paraId="00B60648" w14:textId="77777777" w:rsidR="00665626" w:rsidRPr="008406D2" w:rsidRDefault="00665626" w:rsidP="00665626">
            <w:pPr>
              <w:spacing w:before="160"/>
              <w:rPr>
                <w:b/>
                <w:bCs/>
                <w:sz w:val="26"/>
                <w:szCs w:val="26"/>
                <w:lang w:eastAsia="zh-CN"/>
              </w:rPr>
            </w:pPr>
            <w:r w:rsidRPr="008406D2">
              <w:rPr>
                <w:rFonts w:hint="eastAsia"/>
                <w:b/>
                <w:bCs/>
                <w:color w:val="000000"/>
                <w:lang w:val="zh-CN" w:eastAsia="zh-CN"/>
              </w:rPr>
              <w:t>财务影响</w:t>
            </w:r>
          </w:p>
          <w:p w14:paraId="621BBAEA" w14:textId="77777777" w:rsidR="00665626" w:rsidRDefault="00665626" w:rsidP="00665626">
            <w:pPr>
              <w:ind w:firstLineChars="200" w:firstLine="480"/>
              <w:rPr>
                <w:lang w:eastAsia="zh-CN"/>
              </w:rPr>
            </w:pPr>
            <w:r>
              <w:rPr>
                <w:color w:val="000000"/>
                <w:lang w:val="zh-CN" w:eastAsia="zh-CN"/>
              </w:rPr>
              <w:t>在</w:t>
            </w:r>
            <w:r>
              <w:rPr>
                <w:color w:val="000000"/>
                <w:lang w:val="zh-CN" w:eastAsia="zh-CN"/>
              </w:rPr>
              <w:t>2026-2027</w:t>
            </w:r>
            <w:r>
              <w:rPr>
                <w:color w:val="000000"/>
                <w:lang w:val="zh-CN" w:eastAsia="zh-CN"/>
              </w:rPr>
              <w:t>年预算划拨范围内。</w:t>
            </w:r>
          </w:p>
          <w:p w14:paraId="53769970" w14:textId="77777777" w:rsidR="00E24D59" w:rsidRPr="00DA2D30" w:rsidRDefault="00DA2D30" w:rsidP="00DA2D30">
            <w:pPr>
              <w:rPr>
                <w:lang w:eastAsia="zh-CN"/>
              </w:rPr>
            </w:pPr>
            <w:r>
              <w:rPr>
                <w:lang w:eastAsia="zh-CN"/>
              </w:rPr>
              <w:t>_______________</w:t>
            </w:r>
          </w:p>
          <w:p w14:paraId="07E9416C" w14:textId="77777777" w:rsidR="00E24D59" w:rsidRPr="00477D57" w:rsidRDefault="00E24D59" w:rsidP="00F070C1">
            <w:pPr>
              <w:spacing w:before="160"/>
              <w:rPr>
                <w:b/>
                <w:bCs/>
                <w:lang w:eastAsia="zh-CN"/>
              </w:rPr>
            </w:pPr>
            <w:r w:rsidRPr="00F070C1">
              <w:rPr>
                <w:rFonts w:hint="eastAsia"/>
                <w:b/>
                <w:bCs/>
                <w:color w:val="000000"/>
                <w:lang w:val="zh-CN" w:eastAsia="zh-CN"/>
              </w:rPr>
              <w:t>参考</w:t>
            </w:r>
            <w:r w:rsidRPr="00477D57">
              <w:rPr>
                <w:rFonts w:hint="eastAsia"/>
                <w:b/>
                <w:bCs/>
                <w:lang w:eastAsia="zh-CN"/>
              </w:rPr>
              <w:t>文件</w:t>
            </w:r>
          </w:p>
          <w:p w14:paraId="1A7F76A5" w14:textId="6A073163" w:rsidR="00E24D59" w:rsidRPr="00665626" w:rsidRDefault="00665626" w:rsidP="00665626">
            <w:pPr>
              <w:spacing w:after="120"/>
              <w:ind w:firstLineChars="200" w:firstLine="480"/>
              <w:rPr>
                <w:rFonts w:asciiTheme="minorHAnsi" w:eastAsiaTheme="majorEastAsia" w:hAnsiTheme="minorHAnsi" w:cstheme="minorHAnsi"/>
                <w:i/>
                <w:iCs/>
                <w:sz w:val="22"/>
                <w:szCs w:val="22"/>
                <w:lang w:eastAsia="zh-CN"/>
              </w:rPr>
            </w:pPr>
            <w:r w:rsidRPr="00665626">
              <w:rPr>
                <w:rFonts w:asciiTheme="minorHAnsi" w:eastAsia="STKaiti" w:hAnsiTheme="minorHAnsi" w:cstheme="minorHAnsi"/>
                <w:color w:val="000000"/>
                <w:lang w:val="zh-CN" w:eastAsia="zh-CN"/>
              </w:rPr>
              <w:t>全权代表大会</w:t>
            </w:r>
            <w:r>
              <w:fldChar w:fldCharType="begin"/>
            </w:r>
            <w:r>
              <w:rPr>
                <w:lang w:eastAsia="zh-CN"/>
              </w:rPr>
              <w:instrText>HYPERLINK "https://www.itu.int/en/council/Documents/basic-texts-2023/RES-071-C.pdf"</w:instrText>
            </w:r>
            <w:r>
              <w:fldChar w:fldCharType="separate"/>
            </w:r>
            <w:r w:rsidRPr="005942EE">
              <w:rPr>
                <w:rStyle w:val="Hyperlink"/>
                <w:rFonts w:asciiTheme="minorHAnsi" w:eastAsia="STKaiti" w:hAnsiTheme="minorHAnsi" w:cstheme="minorHAnsi"/>
                <w:noProof w:val="0"/>
                <w:u w:val="single"/>
                <w:lang w:val="zh-CN" w:eastAsia="zh-CN"/>
              </w:rPr>
              <w:t>第</w:t>
            </w:r>
            <w:r w:rsidRPr="005942EE">
              <w:rPr>
                <w:rStyle w:val="Hyperlink"/>
                <w:rFonts w:asciiTheme="minorHAnsi" w:eastAsia="STKaiti" w:hAnsiTheme="minorHAnsi" w:cstheme="minorHAnsi"/>
                <w:noProof w:val="0"/>
                <w:u w:val="single"/>
                <w:lang w:eastAsia="zh-CN"/>
              </w:rPr>
              <w:t>71</w:t>
            </w:r>
            <w:r w:rsidRPr="005942EE">
              <w:rPr>
                <w:rStyle w:val="Hyperlink"/>
                <w:rFonts w:asciiTheme="minorHAnsi" w:eastAsia="STKaiti" w:hAnsiTheme="minorHAnsi" w:cstheme="minorHAnsi"/>
                <w:noProof w:val="0"/>
                <w:u w:val="single"/>
                <w:lang w:val="zh-CN" w:eastAsia="zh-CN"/>
              </w:rPr>
              <w:t>号决议</w:t>
            </w:r>
            <w:r w:rsidRPr="005942EE">
              <w:rPr>
                <w:rStyle w:val="Hyperlink"/>
                <w:rFonts w:asciiTheme="minorHAnsi" w:eastAsia="STKaiti" w:hAnsiTheme="minorHAnsi" w:cstheme="minorHAnsi"/>
                <w:noProof w:val="0"/>
                <w:u w:val="single"/>
                <w:lang w:eastAsia="zh-CN"/>
              </w:rPr>
              <w:t>（</w:t>
            </w:r>
            <w:r w:rsidRPr="005942EE">
              <w:rPr>
                <w:rStyle w:val="Hyperlink"/>
                <w:rFonts w:asciiTheme="minorHAnsi" w:eastAsia="STKaiti" w:hAnsiTheme="minorHAnsi" w:cstheme="minorHAnsi"/>
                <w:noProof w:val="0"/>
                <w:u w:val="single"/>
                <w:lang w:eastAsia="zh-CN"/>
              </w:rPr>
              <w:t>2022</w:t>
            </w:r>
            <w:r w:rsidRPr="005942EE">
              <w:rPr>
                <w:rStyle w:val="Hyperlink"/>
                <w:rFonts w:asciiTheme="minorHAnsi" w:eastAsia="STKaiti" w:hAnsiTheme="minorHAnsi" w:cstheme="minorHAnsi"/>
                <w:noProof w:val="0"/>
                <w:u w:val="single"/>
                <w:lang w:val="zh-CN" w:eastAsia="zh-CN"/>
              </w:rPr>
              <w:t>年</w:t>
            </w:r>
            <w:r w:rsidRPr="005942EE">
              <w:rPr>
                <w:rStyle w:val="Hyperlink"/>
                <w:rFonts w:asciiTheme="minorHAnsi" w:eastAsia="STKaiti" w:hAnsiTheme="minorHAnsi" w:cstheme="minorHAnsi"/>
                <w:noProof w:val="0"/>
                <w:u w:val="single"/>
                <w:lang w:eastAsia="zh-CN"/>
              </w:rPr>
              <w:t>，</w:t>
            </w:r>
            <w:r w:rsidRPr="005942EE">
              <w:rPr>
                <w:rStyle w:val="Hyperlink"/>
                <w:rFonts w:asciiTheme="minorHAnsi" w:eastAsia="STKaiti" w:hAnsiTheme="minorHAnsi" w:cstheme="minorHAnsi"/>
                <w:noProof w:val="0"/>
                <w:u w:val="single"/>
                <w:lang w:val="zh-CN" w:eastAsia="zh-CN"/>
              </w:rPr>
              <w:t>布加勒斯特</w:t>
            </w:r>
            <w:r w:rsidRPr="005942EE">
              <w:rPr>
                <w:rStyle w:val="Hyperlink"/>
                <w:rFonts w:asciiTheme="minorHAnsi" w:eastAsia="STKaiti" w:hAnsiTheme="minorHAnsi" w:cstheme="minorHAnsi"/>
                <w:noProof w:val="0"/>
                <w:u w:val="single"/>
                <w:lang w:eastAsia="zh-CN"/>
              </w:rPr>
              <w:t>，</w:t>
            </w:r>
            <w:r w:rsidRPr="005942EE">
              <w:rPr>
                <w:rStyle w:val="Hyperlink"/>
                <w:rFonts w:asciiTheme="minorHAnsi" w:eastAsia="STKaiti" w:hAnsiTheme="minorHAnsi" w:cstheme="minorHAnsi"/>
                <w:noProof w:val="0"/>
                <w:u w:val="single"/>
                <w:lang w:val="zh-CN" w:eastAsia="zh-CN"/>
              </w:rPr>
              <w:t>修订版</w:t>
            </w:r>
            <w:r w:rsidRPr="005942EE">
              <w:rPr>
                <w:rStyle w:val="Hyperlink"/>
                <w:rFonts w:asciiTheme="minorHAnsi" w:eastAsia="STKaiti" w:hAnsiTheme="minorHAnsi" w:cstheme="minorHAnsi"/>
                <w:noProof w:val="0"/>
                <w:u w:val="single"/>
                <w:lang w:eastAsia="zh-CN"/>
              </w:rPr>
              <w:t>）</w:t>
            </w:r>
            <w:r>
              <w:fldChar w:fldCharType="end"/>
            </w:r>
            <w:r w:rsidRPr="00665626">
              <w:rPr>
                <w:rFonts w:asciiTheme="minorHAnsi" w:eastAsia="STKaiti" w:hAnsiTheme="minorHAnsi" w:cstheme="minorHAnsi"/>
                <w:color w:val="000000"/>
                <w:lang w:eastAsia="zh-CN"/>
              </w:rPr>
              <w:t>；</w:t>
            </w:r>
            <w:r w:rsidRPr="00665626">
              <w:rPr>
                <w:rFonts w:asciiTheme="minorHAnsi" w:eastAsia="STKaiti" w:hAnsiTheme="minorHAnsi" w:cstheme="minorHAnsi"/>
                <w:color w:val="000000"/>
                <w:lang w:val="zh-CN" w:eastAsia="zh-CN"/>
              </w:rPr>
              <w:t>理事会</w:t>
            </w:r>
            <w:r>
              <w:fldChar w:fldCharType="begin"/>
            </w:r>
            <w:r>
              <w:rPr>
                <w:lang w:eastAsia="zh-CN"/>
              </w:rPr>
              <w:instrText>HYPERLINK "https://www.itu.int/md/S20-CL-C-0061/en" \h</w:instrText>
            </w:r>
            <w:r>
              <w:fldChar w:fldCharType="separate"/>
            </w:r>
            <w:r w:rsidRPr="005942EE">
              <w:rPr>
                <w:rStyle w:val="Hyperlink"/>
                <w:rFonts w:asciiTheme="minorHAnsi" w:eastAsia="STKaiti" w:hAnsiTheme="minorHAnsi" w:cstheme="minorHAnsi"/>
                <w:sz w:val="22"/>
                <w:szCs w:val="22"/>
                <w:u w:val="single"/>
                <w:lang w:eastAsia="zh-CN"/>
              </w:rPr>
              <w:t>C20/61</w:t>
            </w:r>
            <w:r>
              <w:fldChar w:fldCharType="end"/>
            </w:r>
            <w:r w:rsidRPr="00665626">
              <w:rPr>
                <w:rFonts w:asciiTheme="minorHAnsi" w:eastAsia="STKaiti" w:hAnsiTheme="minorHAnsi" w:cstheme="minorHAnsi"/>
                <w:sz w:val="22"/>
                <w:szCs w:val="22"/>
                <w:lang w:eastAsia="zh-CN"/>
              </w:rPr>
              <w:t>、</w:t>
            </w:r>
            <w:r>
              <w:fldChar w:fldCharType="begin"/>
            </w:r>
            <w:r>
              <w:rPr>
                <w:lang w:eastAsia="zh-CN"/>
              </w:rPr>
              <w:instrText>HYPERLINK "https://www.itu.int/md/S20-CL-C-0074/en" \h</w:instrText>
            </w:r>
            <w:r>
              <w:fldChar w:fldCharType="separate"/>
            </w:r>
            <w:r w:rsidRPr="005942EE">
              <w:rPr>
                <w:rStyle w:val="Hyperlink"/>
                <w:rFonts w:asciiTheme="minorHAnsi" w:eastAsia="STKaiti" w:hAnsiTheme="minorHAnsi" w:cstheme="minorHAnsi"/>
                <w:sz w:val="22"/>
                <w:szCs w:val="22"/>
                <w:u w:val="single"/>
                <w:lang w:eastAsia="zh-CN"/>
              </w:rPr>
              <w:t>C20/74</w:t>
            </w:r>
            <w:r>
              <w:fldChar w:fldCharType="end"/>
            </w:r>
            <w:r w:rsidR="005942EE">
              <w:rPr>
                <w:rFonts w:asciiTheme="minorHAnsi" w:eastAsia="STKaiti" w:hAnsiTheme="minorHAnsi" w:cstheme="minorHAnsi" w:hint="eastAsia"/>
                <w:sz w:val="22"/>
                <w:szCs w:val="22"/>
                <w:lang w:eastAsia="zh-CN"/>
              </w:rPr>
              <w:t>、</w:t>
            </w:r>
            <w:r>
              <w:fldChar w:fldCharType="begin"/>
            </w:r>
            <w:r>
              <w:rPr>
                <w:lang w:eastAsia="zh-CN"/>
              </w:rPr>
              <w:instrText>HYPERLINK "https://www.itu.int/md/S21-CL-INF-0015/en" \h</w:instrText>
            </w:r>
            <w:r>
              <w:fldChar w:fldCharType="separate"/>
            </w:r>
            <w:r w:rsidRPr="005942EE">
              <w:rPr>
                <w:rStyle w:val="Hyperlink"/>
                <w:rFonts w:asciiTheme="minorHAnsi" w:eastAsia="STKaiti" w:hAnsiTheme="minorHAnsi" w:cstheme="minorHAnsi"/>
                <w:sz w:val="22"/>
                <w:szCs w:val="22"/>
                <w:u w:val="single"/>
                <w:lang w:eastAsia="zh-CN"/>
              </w:rPr>
              <w:t>C21/INF/15</w:t>
            </w:r>
            <w:r>
              <w:fldChar w:fldCharType="end"/>
            </w:r>
            <w:r w:rsidR="005942EE">
              <w:rPr>
                <w:rFonts w:asciiTheme="minorHAnsi" w:eastAsia="STKaiti" w:hAnsiTheme="minorHAnsi" w:cstheme="minorHAnsi" w:hint="eastAsia"/>
                <w:sz w:val="22"/>
                <w:szCs w:val="22"/>
                <w:lang w:eastAsia="zh-CN"/>
              </w:rPr>
              <w:t>、</w:t>
            </w:r>
            <w:r>
              <w:fldChar w:fldCharType="begin"/>
            </w:r>
            <w:r>
              <w:rPr>
                <w:lang w:eastAsia="zh-CN"/>
              </w:rPr>
              <w:instrText>HYPERLINK "https://www.itu.int/md/S22-CL-INF-0013/en" \h</w:instrText>
            </w:r>
            <w:r>
              <w:fldChar w:fldCharType="separate"/>
            </w:r>
            <w:r w:rsidRPr="005942EE">
              <w:rPr>
                <w:rStyle w:val="Hyperlink"/>
                <w:rFonts w:asciiTheme="minorHAnsi" w:eastAsia="STKaiti" w:hAnsiTheme="minorHAnsi" w:cstheme="minorHAnsi"/>
                <w:sz w:val="22"/>
                <w:szCs w:val="22"/>
                <w:u w:val="single"/>
                <w:lang w:eastAsia="zh-CN"/>
              </w:rPr>
              <w:t>C22/INF/13</w:t>
            </w:r>
            <w:r>
              <w:fldChar w:fldCharType="end"/>
            </w:r>
            <w:r w:rsidRPr="00665626">
              <w:rPr>
                <w:rFonts w:asciiTheme="minorHAnsi" w:eastAsia="STKaiti" w:hAnsiTheme="minorHAnsi" w:cstheme="minorHAnsi"/>
                <w:sz w:val="22"/>
                <w:szCs w:val="22"/>
                <w:lang w:eastAsia="zh-CN"/>
              </w:rPr>
              <w:t>、</w:t>
            </w:r>
            <w:r>
              <w:fldChar w:fldCharType="begin"/>
            </w:r>
            <w:r>
              <w:rPr>
                <w:lang w:eastAsia="zh-CN"/>
              </w:rPr>
              <w:instrText>HYPERLINK "https://www.itu.int/md/S22-CL-C-0040/en" \h</w:instrText>
            </w:r>
            <w:r>
              <w:fldChar w:fldCharType="separate"/>
            </w:r>
            <w:r w:rsidRPr="005942EE">
              <w:rPr>
                <w:rStyle w:val="Hyperlink"/>
                <w:rFonts w:asciiTheme="minorHAnsi" w:eastAsia="STKaiti" w:hAnsiTheme="minorHAnsi" w:cstheme="minorHAnsi"/>
                <w:sz w:val="22"/>
                <w:szCs w:val="22"/>
                <w:u w:val="single"/>
                <w:lang w:eastAsia="zh-CN"/>
              </w:rPr>
              <w:t>C22/40</w:t>
            </w:r>
            <w:r>
              <w:fldChar w:fldCharType="end"/>
            </w:r>
            <w:r w:rsidRPr="00665626">
              <w:rPr>
                <w:rFonts w:asciiTheme="minorHAnsi" w:eastAsia="STKaiti" w:hAnsiTheme="minorHAnsi" w:cstheme="minorHAnsi"/>
                <w:sz w:val="22"/>
                <w:szCs w:val="22"/>
                <w:lang w:eastAsia="zh-CN"/>
              </w:rPr>
              <w:t>、</w:t>
            </w:r>
            <w:r>
              <w:fldChar w:fldCharType="begin"/>
            </w:r>
            <w:r>
              <w:rPr>
                <w:lang w:eastAsia="zh-CN"/>
              </w:rPr>
              <w:instrText>HYPERLINK "https://www.itu.int/md/S22-CL-C-0057/en" \h</w:instrText>
            </w:r>
            <w:r>
              <w:fldChar w:fldCharType="separate"/>
            </w:r>
            <w:r w:rsidRPr="005942EE">
              <w:rPr>
                <w:rStyle w:val="Hyperlink"/>
                <w:rFonts w:asciiTheme="minorHAnsi" w:eastAsia="STKaiti" w:hAnsiTheme="minorHAnsi" w:cstheme="minorHAnsi"/>
                <w:sz w:val="22"/>
                <w:szCs w:val="22"/>
                <w:u w:val="single"/>
                <w:lang w:eastAsia="zh-CN"/>
              </w:rPr>
              <w:t>C22/57</w:t>
            </w:r>
            <w:r>
              <w:fldChar w:fldCharType="end"/>
            </w:r>
            <w:r w:rsidR="005942EE">
              <w:rPr>
                <w:rFonts w:asciiTheme="minorHAnsi" w:eastAsia="STKaiti" w:hAnsiTheme="minorHAnsi" w:cstheme="minorHAnsi" w:hint="eastAsia"/>
                <w:sz w:val="22"/>
                <w:szCs w:val="22"/>
                <w:lang w:eastAsia="zh-CN"/>
              </w:rPr>
              <w:t>、</w:t>
            </w:r>
            <w:r>
              <w:fldChar w:fldCharType="begin"/>
            </w:r>
            <w:r>
              <w:rPr>
                <w:lang w:eastAsia="zh-CN"/>
              </w:rPr>
              <w:instrText>HYPERLINK "https://www.itu.int/md/S23-CL-C-0036/en" \h</w:instrText>
            </w:r>
            <w:r>
              <w:fldChar w:fldCharType="separate"/>
            </w:r>
            <w:r w:rsidRPr="005942EE">
              <w:rPr>
                <w:rStyle w:val="Hyperlink"/>
                <w:rFonts w:asciiTheme="minorHAnsi" w:eastAsia="STKaiti" w:hAnsiTheme="minorHAnsi" w:cstheme="minorHAnsi"/>
                <w:sz w:val="22"/>
                <w:szCs w:val="22"/>
                <w:u w:val="single"/>
                <w:lang w:eastAsia="zh-CN"/>
              </w:rPr>
              <w:t>C23/36</w:t>
            </w:r>
            <w:r>
              <w:fldChar w:fldCharType="end"/>
            </w:r>
            <w:r w:rsidRPr="00665626">
              <w:rPr>
                <w:rFonts w:asciiTheme="minorHAnsi" w:eastAsia="STKaiti" w:hAnsiTheme="minorHAnsi" w:cstheme="minorHAnsi"/>
                <w:sz w:val="22"/>
                <w:szCs w:val="22"/>
                <w:lang w:eastAsia="zh-CN"/>
              </w:rPr>
              <w:t>、</w:t>
            </w:r>
            <w:r>
              <w:fldChar w:fldCharType="begin"/>
            </w:r>
            <w:r>
              <w:rPr>
                <w:lang w:eastAsia="zh-CN"/>
              </w:rPr>
              <w:instrText>HYPERLINK "https://www.itu.int/md/S23-CL-C-0050/en" \h</w:instrText>
            </w:r>
            <w:r>
              <w:fldChar w:fldCharType="separate"/>
            </w:r>
            <w:r w:rsidRPr="005942EE">
              <w:rPr>
                <w:rStyle w:val="Hyperlink"/>
                <w:rFonts w:asciiTheme="minorHAnsi" w:eastAsia="STKaiti" w:hAnsiTheme="minorHAnsi" w:cstheme="minorHAnsi"/>
                <w:sz w:val="22"/>
                <w:szCs w:val="22"/>
                <w:u w:val="single"/>
                <w:lang w:eastAsia="zh-CN"/>
              </w:rPr>
              <w:t>C23/50</w:t>
            </w:r>
            <w:r>
              <w:fldChar w:fldCharType="end"/>
            </w:r>
            <w:r w:rsidRPr="00665626">
              <w:rPr>
                <w:rFonts w:asciiTheme="minorHAnsi" w:eastAsia="STKaiti" w:hAnsiTheme="minorHAnsi" w:cstheme="minorHAnsi"/>
                <w:sz w:val="22"/>
                <w:szCs w:val="22"/>
                <w:lang w:eastAsia="zh-CN"/>
              </w:rPr>
              <w:t>、</w:t>
            </w:r>
            <w:r>
              <w:fldChar w:fldCharType="begin"/>
            </w:r>
            <w:r>
              <w:rPr>
                <w:lang w:eastAsia="zh-CN"/>
              </w:rPr>
              <w:instrText>HYPERLINK "https://www.itu.int/md/S23-CL-C-0063/en" \h</w:instrText>
            </w:r>
            <w:r>
              <w:fldChar w:fldCharType="separate"/>
            </w:r>
            <w:r w:rsidRPr="005942EE">
              <w:rPr>
                <w:rStyle w:val="Hyperlink"/>
                <w:rFonts w:asciiTheme="minorHAnsi" w:eastAsia="STKaiti" w:hAnsiTheme="minorHAnsi" w:cstheme="minorHAnsi"/>
                <w:sz w:val="22"/>
                <w:szCs w:val="22"/>
                <w:u w:val="single"/>
                <w:lang w:eastAsia="zh-CN"/>
              </w:rPr>
              <w:t>C23/62</w:t>
            </w:r>
            <w:r>
              <w:fldChar w:fldCharType="end"/>
            </w:r>
            <w:r w:rsidRPr="00665626">
              <w:rPr>
                <w:rFonts w:asciiTheme="minorHAnsi" w:eastAsia="STKaiti" w:hAnsiTheme="minorHAnsi" w:cstheme="minorHAnsi"/>
                <w:sz w:val="22"/>
                <w:szCs w:val="22"/>
                <w:lang w:eastAsia="zh-CN"/>
              </w:rPr>
              <w:t>、</w:t>
            </w:r>
            <w:r>
              <w:fldChar w:fldCharType="begin"/>
            </w:r>
            <w:r>
              <w:rPr>
                <w:lang w:eastAsia="zh-CN"/>
              </w:rPr>
              <w:instrText>HYPERLINK "https://www.itu.int/md/S23-CL-INF-0011/en" \h</w:instrText>
            </w:r>
            <w:r>
              <w:fldChar w:fldCharType="separate"/>
            </w:r>
            <w:r w:rsidRPr="005942EE">
              <w:rPr>
                <w:rStyle w:val="Hyperlink"/>
                <w:rFonts w:asciiTheme="minorHAnsi" w:eastAsia="STKaiti" w:hAnsiTheme="minorHAnsi" w:cstheme="minorHAnsi"/>
                <w:sz w:val="22"/>
                <w:szCs w:val="22"/>
                <w:u w:val="single"/>
                <w:lang w:eastAsia="zh-CN"/>
              </w:rPr>
              <w:t>C23/INF/11</w:t>
            </w:r>
            <w:r>
              <w:fldChar w:fldCharType="end"/>
            </w:r>
            <w:r w:rsidRPr="00665626">
              <w:rPr>
                <w:rFonts w:asciiTheme="minorHAnsi" w:eastAsia="STKaiti" w:hAnsiTheme="minorHAnsi" w:cstheme="minorHAnsi"/>
                <w:sz w:val="22"/>
                <w:szCs w:val="22"/>
                <w:lang w:eastAsia="zh-CN"/>
              </w:rPr>
              <w:t>、</w:t>
            </w:r>
            <w:r>
              <w:fldChar w:fldCharType="begin"/>
            </w:r>
            <w:r>
              <w:rPr>
                <w:lang w:eastAsia="zh-CN"/>
              </w:rPr>
              <w:instrText>HYPERLINK "https://www.itu.int/md/S23-CL-INF-0013/en" \h</w:instrText>
            </w:r>
            <w:r>
              <w:fldChar w:fldCharType="separate"/>
            </w:r>
            <w:r w:rsidRPr="005942EE">
              <w:rPr>
                <w:rStyle w:val="Hyperlink"/>
                <w:rFonts w:asciiTheme="minorHAnsi" w:eastAsia="STKaiti" w:hAnsiTheme="minorHAnsi" w:cstheme="minorHAnsi"/>
                <w:sz w:val="22"/>
                <w:szCs w:val="22"/>
                <w:u w:val="single"/>
                <w:lang w:eastAsia="zh-CN"/>
              </w:rPr>
              <w:t>C23/INF/13</w:t>
            </w:r>
            <w:r>
              <w:fldChar w:fldCharType="end"/>
            </w:r>
            <w:r w:rsidR="005942EE">
              <w:rPr>
                <w:rFonts w:asciiTheme="minorHAnsi" w:eastAsia="STKaiti" w:hAnsiTheme="minorHAnsi" w:cstheme="minorHAnsi" w:hint="eastAsia"/>
                <w:sz w:val="22"/>
                <w:szCs w:val="22"/>
                <w:lang w:eastAsia="zh-CN"/>
              </w:rPr>
              <w:t>、</w:t>
            </w:r>
            <w:r>
              <w:fldChar w:fldCharType="begin"/>
            </w:r>
            <w:r>
              <w:rPr>
                <w:lang w:eastAsia="zh-CN"/>
              </w:rPr>
              <w:instrText>HYPERLINK "https://www.itu.int/md/S24-CL-C-0019/en" \h</w:instrText>
            </w:r>
            <w:r>
              <w:fldChar w:fldCharType="separate"/>
            </w:r>
            <w:r w:rsidRPr="005942EE">
              <w:rPr>
                <w:rStyle w:val="Hyperlink"/>
                <w:rFonts w:asciiTheme="minorHAnsi" w:eastAsia="STKaiti" w:hAnsiTheme="minorHAnsi" w:cstheme="minorHAnsi"/>
                <w:sz w:val="22"/>
                <w:szCs w:val="22"/>
                <w:u w:val="single"/>
                <w:lang w:eastAsia="zh-CN"/>
              </w:rPr>
              <w:t>C24/19</w:t>
            </w:r>
            <w:r>
              <w:fldChar w:fldCharType="end"/>
            </w:r>
            <w:r w:rsidRPr="00665626">
              <w:rPr>
                <w:rFonts w:asciiTheme="minorHAnsi" w:eastAsia="STKaiti" w:hAnsiTheme="minorHAnsi" w:cstheme="minorHAnsi"/>
                <w:sz w:val="22"/>
                <w:szCs w:val="22"/>
                <w:lang w:eastAsia="zh-CN"/>
              </w:rPr>
              <w:t>、</w:t>
            </w:r>
            <w:r>
              <w:fldChar w:fldCharType="begin"/>
            </w:r>
            <w:r>
              <w:rPr>
                <w:lang w:eastAsia="zh-CN"/>
              </w:rPr>
              <w:instrText>HYPERLINK "https://www.itu.int/md/S24-CL-C-0053/en" \h</w:instrText>
            </w:r>
            <w:r>
              <w:fldChar w:fldCharType="separate"/>
            </w:r>
            <w:r w:rsidRPr="005942EE">
              <w:rPr>
                <w:rStyle w:val="Hyperlink"/>
                <w:rFonts w:asciiTheme="minorHAnsi" w:eastAsia="STKaiti" w:hAnsiTheme="minorHAnsi" w:cstheme="minorHAnsi"/>
                <w:sz w:val="22"/>
                <w:szCs w:val="22"/>
                <w:u w:val="single"/>
                <w:lang w:eastAsia="zh-CN"/>
              </w:rPr>
              <w:t>C24/53</w:t>
            </w:r>
            <w:r>
              <w:fldChar w:fldCharType="end"/>
            </w:r>
            <w:r w:rsidRPr="00665626">
              <w:rPr>
                <w:rFonts w:asciiTheme="minorHAnsi" w:eastAsia="STKaiti" w:hAnsiTheme="minorHAnsi" w:cstheme="minorHAnsi"/>
                <w:sz w:val="22"/>
                <w:szCs w:val="22"/>
                <w:lang w:eastAsia="zh-CN"/>
              </w:rPr>
              <w:t>、</w:t>
            </w:r>
            <w:r>
              <w:fldChar w:fldCharType="begin"/>
            </w:r>
            <w:r>
              <w:rPr>
                <w:lang w:eastAsia="zh-CN"/>
              </w:rPr>
              <w:instrText>HYPERLINK "https://www.itu.int/md/S24-CL-C-0031/en" \h</w:instrText>
            </w:r>
            <w:r>
              <w:fldChar w:fldCharType="separate"/>
            </w:r>
            <w:r w:rsidRPr="005942EE">
              <w:rPr>
                <w:rStyle w:val="Hyperlink"/>
                <w:rFonts w:asciiTheme="minorHAnsi" w:eastAsia="STKaiti" w:hAnsiTheme="minorHAnsi" w:cstheme="minorHAnsi"/>
                <w:sz w:val="22"/>
                <w:szCs w:val="22"/>
                <w:u w:val="single"/>
                <w:lang w:eastAsia="zh-CN"/>
              </w:rPr>
              <w:t>C24/31</w:t>
            </w:r>
            <w:r>
              <w:fldChar w:fldCharType="end"/>
            </w:r>
            <w:r w:rsidR="005942EE">
              <w:rPr>
                <w:rFonts w:asciiTheme="minorHAnsi" w:eastAsia="STKaiti" w:hAnsiTheme="minorHAnsi" w:cstheme="minorHAnsi" w:hint="eastAsia"/>
                <w:sz w:val="22"/>
                <w:szCs w:val="22"/>
                <w:lang w:eastAsia="zh-CN"/>
              </w:rPr>
              <w:t>、</w:t>
            </w:r>
            <w:r>
              <w:fldChar w:fldCharType="begin"/>
            </w:r>
            <w:r>
              <w:rPr>
                <w:lang w:eastAsia="zh-CN"/>
              </w:rPr>
              <w:instrText>HYPERLINK "https://www.itu.int/md/S25-CL-C-0050/en" \h</w:instrText>
            </w:r>
            <w:r>
              <w:fldChar w:fldCharType="separate"/>
            </w:r>
            <w:r w:rsidRPr="005942EE">
              <w:rPr>
                <w:rStyle w:val="Hyperlink"/>
                <w:rFonts w:asciiTheme="minorHAnsi" w:eastAsia="STKaiti" w:hAnsiTheme="minorHAnsi" w:cstheme="minorHAnsi"/>
                <w:sz w:val="22"/>
                <w:szCs w:val="22"/>
                <w:u w:val="single"/>
                <w:lang w:eastAsia="zh-CN"/>
              </w:rPr>
              <w:t>C25/50</w:t>
            </w:r>
            <w:r>
              <w:fldChar w:fldCharType="end"/>
            </w:r>
            <w:r w:rsidRPr="00665626">
              <w:rPr>
                <w:rFonts w:asciiTheme="minorHAnsi" w:eastAsia="STKaiti" w:hAnsiTheme="minorHAnsi" w:cstheme="minorHAnsi"/>
                <w:sz w:val="22"/>
                <w:szCs w:val="22"/>
                <w:lang w:eastAsia="zh-CN"/>
              </w:rPr>
              <w:t>、</w:t>
            </w:r>
            <w:r>
              <w:fldChar w:fldCharType="begin"/>
            </w:r>
            <w:r>
              <w:rPr>
                <w:lang w:eastAsia="zh-CN"/>
              </w:rPr>
              <w:instrText>HYPERLINK "https://www.itu.int/md/S25-CL-C-0055/en" \h</w:instrText>
            </w:r>
            <w:r>
              <w:fldChar w:fldCharType="separate"/>
            </w:r>
            <w:r w:rsidRPr="005942EE">
              <w:rPr>
                <w:rStyle w:val="Hyperlink"/>
                <w:rFonts w:asciiTheme="minorHAnsi" w:eastAsia="STKaiti" w:hAnsiTheme="minorHAnsi" w:cstheme="minorHAnsi"/>
                <w:sz w:val="22"/>
                <w:szCs w:val="22"/>
                <w:u w:val="single"/>
                <w:lang w:eastAsia="zh-CN"/>
              </w:rPr>
              <w:t>C25/55</w:t>
            </w:r>
            <w:r>
              <w:fldChar w:fldCharType="end"/>
            </w:r>
            <w:r w:rsidR="005942EE">
              <w:rPr>
                <w:rFonts w:asciiTheme="minorHAnsi" w:hAnsiTheme="minorHAnsi" w:cstheme="minorHAnsi" w:hint="eastAsia"/>
                <w:lang w:eastAsia="zh-CN"/>
              </w:rPr>
              <w:t>、</w:t>
            </w:r>
            <w:hyperlink r:id="rId8">
              <w:r w:rsidRPr="005942EE">
                <w:rPr>
                  <w:rStyle w:val="Hyperlink"/>
                  <w:rFonts w:asciiTheme="minorHAnsi" w:eastAsia="STKaiti" w:hAnsiTheme="minorHAnsi" w:cstheme="minorHAnsi"/>
                  <w:sz w:val="22"/>
                  <w:szCs w:val="22"/>
                  <w:u w:val="single"/>
                  <w:lang w:eastAsia="zh-CN"/>
                </w:rPr>
                <w:t>C25/66</w:t>
              </w:r>
            </w:hyperlink>
            <w:r w:rsidRPr="00665626">
              <w:rPr>
                <w:rFonts w:asciiTheme="minorHAnsi" w:eastAsia="STKaiti" w:hAnsiTheme="minorHAnsi" w:cstheme="minorHAnsi"/>
                <w:sz w:val="22"/>
                <w:szCs w:val="22"/>
                <w:lang w:eastAsia="zh-CN"/>
              </w:rPr>
              <w:t>、</w:t>
            </w:r>
            <w:r>
              <w:fldChar w:fldCharType="begin"/>
            </w:r>
            <w:r>
              <w:rPr>
                <w:lang w:eastAsia="zh-CN"/>
              </w:rPr>
              <w:instrText>HYPERLINK "https://www.itu.int/md/S26-CL-INF-0006/en"</w:instrText>
            </w:r>
            <w:r>
              <w:fldChar w:fldCharType="separate"/>
            </w:r>
            <w:r w:rsidRPr="005942EE">
              <w:rPr>
                <w:rStyle w:val="Hyperlink"/>
                <w:rFonts w:asciiTheme="minorHAnsi" w:eastAsia="STKaiti" w:hAnsiTheme="minorHAnsi" w:cstheme="minorHAnsi"/>
                <w:sz w:val="22"/>
                <w:szCs w:val="22"/>
                <w:u w:val="single"/>
                <w:lang w:eastAsia="zh-CN"/>
              </w:rPr>
              <w:t>C26/INF/6</w:t>
            </w:r>
            <w:r>
              <w:fldChar w:fldCharType="end"/>
            </w:r>
            <w:r w:rsidRPr="00665626">
              <w:rPr>
                <w:rFonts w:asciiTheme="minorHAnsi" w:eastAsia="STKaiti" w:hAnsiTheme="minorHAnsi" w:cstheme="minorHAnsi"/>
                <w:color w:val="000000"/>
                <w:lang w:val="zh-CN" w:eastAsia="zh-CN"/>
              </w:rPr>
              <w:t>号文件。</w:t>
            </w:r>
          </w:p>
        </w:tc>
      </w:tr>
      <w:bookmarkEnd w:id="2"/>
      <w:bookmarkEnd w:id="7"/>
    </w:tbl>
    <w:p w14:paraId="7CBB2400"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3261019F"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00ED28E4" w14:textId="61E66919" w:rsidR="00665626" w:rsidRPr="00693A49" w:rsidRDefault="00665626" w:rsidP="00665626">
      <w:pPr>
        <w:pStyle w:val="Heading1"/>
        <w:rPr>
          <w:lang w:eastAsia="zh-CN"/>
        </w:rPr>
      </w:pPr>
      <w:r>
        <w:rPr>
          <w:bCs/>
          <w:lang w:val="zh-CN" w:eastAsia="zh-CN"/>
        </w:rPr>
        <w:lastRenderedPageBreak/>
        <w:t>1</w:t>
      </w:r>
      <w:r w:rsidR="005942EE">
        <w:rPr>
          <w:bCs/>
          <w:lang w:val="zh-CN" w:eastAsia="zh-CN"/>
        </w:rPr>
        <w:tab/>
      </w:r>
      <w:r>
        <w:rPr>
          <w:rFonts w:hint="eastAsia"/>
          <w:bCs/>
          <w:lang w:val="zh-CN" w:eastAsia="zh-CN"/>
        </w:rPr>
        <w:t>引言</w:t>
      </w:r>
    </w:p>
    <w:p w14:paraId="254661BC" w14:textId="77777777" w:rsidR="00665626" w:rsidRPr="00693A49" w:rsidRDefault="00665626" w:rsidP="005942EE">
      <w:pPr>
        <w:ind w:firstLineChars="200" w:firstLine="480"/>
        <w:rPr>
          <w:lang w:eastAsia="zh-CN"/>
        </w:rPr>
      </w:pPr>
      <w:r>
        <w:rPr>
          <w:lang w:val="zh-CN" w:eastAsia="zh-CN"/>
        </w:rPr>
        <w:t>国际电联在推进其内部数字化转型的</w:t>
      </w:r>
      <w:r>
        <w:rPr>
          <w:rFonts w:hint="eastAsia"/>
          <w:lang w:val="zh-CN" w:eastAsia="zh-CN"/>
        </w:rPr>
        <w:t>以下</w:t>
      </w:r>
      <w:r>
        <w:rPr>
          <w:lang w:val="zh-CN" w:eastAsia="zh-CN"/>
        </w:rPr>
        <w:t>四</w:t>
      </w:r>
      <w:r>
        <w:rPr>
          <w:rFonts w:hint="eastAsia"/>
          <w:lang w:val="zh-CN" w:eastAsia="zh-CN"/>
        </w:rPr>
        <w:t>项</w:t>
      </w:r>
      <w:r>
        <w:rPr>
          <w:lang w:val="zh-CN" w:eastAsia="zh-CN"/>
        </w:rPr>
        <w:t>基本要素方面取得了重大进展：</w:t>
      </w:r>
    </w:p>
    <w:p w14:paraId="182037E7" w14:textId="3CC92E97" w:rsidR="00665626" w:rsidRPr="00693A49" w:rsidRDefault="00665626" w:rsidP="00665626">
      <w:pPr>
        <w:pStyle w:val="enumlev1"/>
        <w:rPr>
          <w:lang w:eastAsia="zh-CN"/>
        </w:rPr>
      </w:pPr>
      <w:r>
        <w:rPr>
          <w:lang w:val="zh-CN" w:eastAsia="zh-CN"/>
        </w:rPr>
        <w:t>1</w:t>
      </w:r>
      <w:r w:rsidR="00F070C1">
        <w:rPr>
          <w:rFonts w:hint="eastAsia"/>
          <w:lang w:val="zh-CN" w:eastAsia="zh-CN"/>
        </w:rPr>
        <w:t>)</w:t>
      </w:r>
      <w:r>
        <w:rPr>
          <w:lang w:val="zh-CN" w:eastAsia="zh-CN"/>
        </w:rPr>
        <w:tab/>
      </w:r>
      <w:r>
        <w:rPr>
          <w:lang w:val="zh-CN" w:eastAsia="zh-CN"/>
        </w:rPr>
        <w:t>制定数字化转型战略和战略规划（</w:t>
      </w:r>
      <w:r>
        <w:rPr>
          <w:lang w:val="zh-CN" w:eastAsia="zh-CN"/>
        </w:rPr>
        <w:t>2026-2027</w:t>
      </w:r>
      <w:r>
        <w:rPr>
          <w:lang w:val="zh-CN" w:eastAsia="zh-CN"/>
        </w:rPr>
        <w:t>年）</w:t>
      </w:r>
    </w:p>
    <w:p w14:paraId="270D464A" w14:textId="0D0D2A08" w:rsidR="00665626" w:rsidRPr="00693A49" w:rsidRDefault="00665626" w:rsidP="00665626">
      <w:pPr>
        <w:pStyle w:val="enumlev1"/>
        <w:rPr>
          <w:lang w:eastAsia="zh-CN"/>
        </w:rPr>
      </w:pPr>
      <w:r>
        <w:rPr>
          <w:lang w:val="zh-CN" w:eastAsia="zh-CN"/>
        </w:rPr>
        <w:t>2</w:t>
      </w:r>
      <w:r w:rsidR="00F070C1">
        <w:rPr>
          <w:rFonts w:hint="eastAsia"/>
          <w:lang w:val="zh-CN" w:eastAsia="zh-CN"/>
        </w:rPr>
        <w:t>)</w:t>
      </w:r>
      <w:r>
        <w:rPr>
          <w:lang w:val="zh-CN" w:eastAsia="zh-CN"/>
        </w:rPr>
        <w:tab/>
      </w:r>
      <w:r>
        <w:rPr>
          <w:lang w:val="zh-CN" w:eastAsia="zh-CN"/>
        </w:rPr>
        <w:t>启动组织架构（</w:t>
      </w:r>
      <w:r>
        <w:rPr>
          <w:lang w:val="zh-CN" w:eastAsia="zh-CN"/>
        </w:rPr>
        <w:t>EA</w:t>
      </w:r>
      <w:r>
        <w:rPr>
          <w:lang w:val="zh-CN" w:eastAsia="zh-CN"/>
        </w:rPr>
        <w:t>）计划</w:t>
      </w:r>
    </w:p>
    <w:p w14:paraId="434E4AE7" w14:textId="4D1219D8" w:rsidR="00665626" w:rsidRPr="00693A49" w:rsidRDefault="00665626" w:rsidP="00665626">
      <w:pPr>
        <w:pStyle w:val="enumlev1"/>
        <w:rPr>
          <w:lang w:eastAsia="zh-CN"/>
        </w:rPr>
      </w:pPr>
      <w:r>
        <w:rPr>
          <w:lang w:val="zh-CN" w:eastAsia="zh-CN"/>
        </w:rPr>
        <w:t>3</w:t>
      </w:r>
      <w:r w:rsidR="00F070C1">
        <w:rPr>
          <w:rFonts w:hint="eastAsia"/>
          <w:lang w:val="zh-CN" w:eastAsia="zh-CN"/>
        </w:rPr>
        <w:t>)</w:t>
      </w:r>
      <w:r>
        <w:rPr>
          <w:lang w:val="zh-CN" w:eastAsia="zh-CN"/>
        </w:rPr>
        <w:tab/>
      </w:r>
      <w:r>
        <w:rPr>
          <w:lang w:val="zh-CN" w:eastAsia="zh-CN"/>
        </w:rPr>
        <w:t>完善数字治理框架</w:t>
      </w:r>
    </w:p>
    <w:p w14:paraId="2D9C6316" w14:textId="4A76625D" w:rsidR="00665626" w:rsidRPr="00693A49" w:rsidRDefault="00665626" w:rsidP="00665626">
      <w:pPr>
        <w:pStyle w:val="enumlev1"/>
        <w:rPr>
          <w:lang w:eastAsia="zh-CN"/>
        </w:rPr>
      </w:pPr>
      <w:r>
        <w:rPr>
          <w:lang w:val="zh-CN" w:eastAsia="zh-CN"/>
        </w:rPr>
        <w:t>4</w:t>
      </w:r>
      <w:r w:rsidR="00F070C1">
        <w:rPr>
          <w:rFonts w:hint="eastAsia"/>
          <w:lang w:val="zh-CN" w:eastAsia="zh-CN"/>
        </w:rPr>
        <w:t>)</w:t>
      </w:r>
      <w:r>
        <w:rPr>
          <w:lang w:val="zh-CN" w:eastAsia="zh-CN"/>
        </w:rPr>
        <w:tab/>
      </w:r>
      <w:r>
        <w:rPr>
          <w:lang w:val="zh-CN" w:eastAsia="zh-CN"/>
        </w:rPr>
        <w:t>重新设计信息服务部（</w:t>
      </w:r>
      <w:r>
        <w:rPr>
          <w:lang w:val="zh-CN" w:eastAsia="zh-CN"/>
        </w:rPr>
        <w:t>ISD</w:t>
      </w:r>
      <w:r>
        <w:rPr>
          <w:lang w:val="zh-CN" w:eastAsia="zh-CN"/>
        </w:rPr>
        <w:t>）的运作模式。</w:t>
      </w:r>
    </w:p>
    <w:p w14:paraId="63921902" w14:textId="77777777" w:rsidR="00665626" w:rsidRPr="008A1D02" w:rsidRDefault="00665626" w:rsidP="005942EE">
      <w:pPr>
        <w:ind w:firstLineChars="200" w:firstLine="480"/>
        <w:rPr>
          <w:lang w:eastAsia="zh-CN"/>
        </w:rPr>
      </w:pPr>
      <w:r>
        <w:rPr>
          <w:rFonts w:hint="eastAsia"/>
          <w:lang w:val="zh-CN" w:eastAsia="zh-CN"/>
        </w:rPr>
        <w:t>上述各</w:t>
      </w:r>
      <w:r>
        <w:rPr>
          <w:lang w:val="zh-CN" w:eastAsia="zh-CN"/>
        </w:rPr>
        <w:t>组成部分的</w:t>
      </w:r>
      <w:r>
        <w:rPr>
          <w:rFonts w:hint="eastAsia"/>
          <w:lang w:val="zh-CN" w:eastAsia="zh-CN"/>
        </w:rPr>
        <w:t>首份</w:t>
      </w:r>
      <w:r>
        <w:rPr>
          <w:lang w:val="zh-CN" w:eastAsia="zh-CN"/>
        </w:rPr>
        <w:t>完整草案现已制定完毕。</w:t>
      </w:r>
      <w:r>
        <w:rPr>
          <w:rFonts w:hint="eastAsia"/>
          <w:lang w:val="zh-CN" w:eastAsia="zh-CN"/>
        </w:rPr>
        <w:t>这些部分</w:t>
      </w:r>
      <w:r>
        <w:rPr>
          <w:lang w:val="zh-CN" w:eastAsia="zh-CN"/>
        </w:rPr>
        <w:t>共同</w:t>
      </w:r>
      <w:r>
        <w:rPr>
          <w:rFonts w:hint="eastAsia"/>
          <w:lang w:val="zh-CN" w:eastAsia="zh-CN"/>
        </w:rPr>
        <w:t>构</w:t>
      </w:r>
      <w:r>
        <w:rPr>
          <w:lang w:val="zh-CN" w:eastAsia="zh-CN"/>
        </w:rPr>
        <w:t>建了</w:t>
      </w:r>
      <w:r>
        <w:rPr>
          <w:rFonts w:hint="eastAsia"/>
          <w:lang w:val="zh-CN" w:eastAsia="zh-CN"/>
        </w:rPr>
        <w:t>协调统一</w:t>
      </w:r>
      <w:r>
        <w:rPr>
          <w:lang w:val="zh-CN" w:eastAsia="zh-CN"/>
        </w:rPr>
        <w:t>的综合框架，</w:t>
      </w:r>
      <w:r>
        <w:rPr>
          <w:rFonts w:hint="eastAsia"/>
          <w:lang w:val="zh-CN" w:eastAsia="zh-CN"/>
        </w:rPr>
        <w:t>使</w:t>
      </w:r>
      <w:r>
        <w:rPr>
          <w:lang w:val="zh-CN" w:eastAsia="zh-CN"/>
        </w:rPr>
        <w:t>国际电联</w:t>
      </w:r>
      <w:r>
        <w:rPr>
          <w:rFonts w:hint="eastAsia"/>
          <w:lang w:val="zh-CN" w:eastAsia="zh-CN"/>
        </w:rPr>
        <w:t>的业务从</w:t>
      </w:r>
      <w:r>
        <w:rPr>
          <w:lang w:val="zh-CN" w:eastAsia="zh-CN"/>
        </w:rPr>
        <w:t>分散的</w:t>
      </w:r>
      <w:r>
        <w:rPr>
          <w:lang w:val="zh-CN" w:eastAsia="zh-CN"/>
        </w:rPr>
        <w:t>ICT</w:t>
      </w:r>
      <w:r>
        <w:rPr>
          <w:lang w:val="zh-CN" w:eastAsia="zh-CN"/>
        </w:rPr>
        <w:t>交付</w:t>
      </w:r>
      <w:r>
        <w:rPr>
          <w:rFonts w:hint="eastAsia"/>
          <w:lang w:val="zh-CN" w:eastAsia="zh-CN"/>
        </w:rPr>
        <w:t>向</w:t>
      </w:r>
      <w:r>
        <w:rPr>
          <w:lang w:val="zh-CN" w:eastAsia="zh-CN"/>
        </w:rPr>
        <w:t>治理</w:t>
      </w:r>
      <w:r>
        <w:rPr>
          <w:rFonts w:hint="eastAsia"/>
          <w:lang w:val="zh-CN" w:eastAsia="zh-CN"/>
        </w:rPr>
        <w:t>完善</w:t>
      </w:r>
      <w:r>
        <w:rPr>
          <w:lang w:val="zh-CN" w:eastAsia="zh-CN"/>
        </w:rPr>
        <w:t>、有复原力、</w:t>
      </w:r>
      <w:r>
        <w:rPr>
          <w:rFonts w:hint="eastAsia"/>
          <w:lang w:val="zh-CN" w:eastAsia="zh-CN"/>
        </w:rPr>
        <w:t>且</w:t>
      </w:r>
      <w:r>
        <w:rPr>
          <w:lang w:val="zh-CN" w:eastAsia="zh-CN"/>
        </w:rPr>
        <w:t>由人工智能驱动的数字化</w:t>
      </w:r>
      <w:r>
        <w:rPr>
          <w:rFonts w:hint="eastAsia"/>
          <w:lang w:val="zh-CN" w:eastAsia="zh-CN"/>
        </w:rPr>
        <w:t>过渡</w:t>
      </w:r>
      <w:r>
        <w:rPr>
          <w:lang w:val="zh-CN" w:eastAsia="zh-CN"/>
        </w:rPr>
        <w:t>。</w:t>
      </w:r>
    </w:p>
    <w:p w14:paraId="76D64FA5" w14:textId="0E75F434" w:rsidR="00665626" w:rsidRPr="008A1D02" w:rsidRDefault="00665626" w:rsidP="005942EE">
      <w:pPr>
        <w:ind w:firstLineChars="200" w:firstLine="480"/>
        <w:rPr>
          <w:lang w:eastAsia="zh-CN"/>
        </w:rPr>
      </w:pPr>
      <w:r>
        <w:rPr>
          <w:lang w:val="zh-CN" w:eastAsia="zh-CN"/>
        </w:rPr>
        <w:t>这些草案目前正在各部门和总秘书处进行最后一轮磋商和反馈。根据</w:t>
      </w:r>
      <w:r>
        <w:rPr>
          <w:rFonts w:hint="eastAsia"/>
          <w:lang w:val="zh-CN" w:eastAsia="zh-CN"/>
        </w:rPr>
        <w:t>相关</w:t>
      </w:r>
      <w:r>
        <w:rPr>
          <w:lang w:val="zh-CN" w:eastAsia="zh-CN"/>
        </w:rPr>
        <w:t>程序，这些文件</w:t>
      </w:r>
      <w:r>
        <w:rPr>
          <w:rFonts w:hint="eastAsia"/>
          <w:lang w:val="zh-CN" w:eastAsia="zh-CN"/>
        </w:rPr>
        <w:t>首先</w:t>
      </w:r>
      <w:r>
        <w:rPr>
          <w:lang w:val="zh-CN" w:eastAsia="zh-CN"/>
        </w:rPr>
        <w:t>将提交</w:t>
      </w:r>
      <w:r>
        <w:rPr>
          <w:lang w:val="zh-CN" w:eastAsia="zh-CN"/>
        </w:rPr>
        <w:t>ICT</w:t>
      </w:r>
      <w:r>
        <w:rPr>
          <w:lang w:val="zh-CN" w:eastAsia="zh-CN"/>
        </w:rPr>
        <w:t>管理委员会（</w:t>
      </w:r>
      <w:r>
        <w:rPr>
          <w:lang w:val="zh-CN" w:eastAsia="zh-CN"/>
        </w:rPr>
        <w:t>ICTGC</w:t>
      </w:r>
      <w:r>
        <w:rPr>
          <w:lang w:val="zh-CN" w:eastAsia="zh-CN"/>
        </w:rPr>
        <w:t>）正式</w:t>
      </w:r>
      <w:r>
        <w:rPr>
          <w:rFonts w:hint="eastAsia"/>
          <w:lang w:val="zh-CN" w:eastAsia="zh-CN"/>
        </w:rPr>
        <w:t>同意并</w:t>
      </w:r>
      <w:r>
        <w:rPr>
          <w:lang w:val="zh-CN" w:eastAsia="zh-CN"/>
        </w:rPr>
        <w:t>批准，随后再提交秘书长（</w:t>
      </w:r>
      <w:r>
        <w:rPr>
          <w:lang w:val="zh-CN" w:eastAsia="zh-CN"/>
        </w:rPr>
        <w:t>SG</w:t>
      </w:r>
      <w:r>
        <w:rPr>
          <w:lang w:val="zh-CN" w:eastAsia="zh-CN"/>
        </w:rPr>
        <w:t>）批准。更多信息见</w:t>
      </w:r>
      <w:r w:rsidR="005942EE">
        <w:fldChar w:fldCharType="begin"/>
      </w:r>
      <w:r w:rsidR="005942EE">
        <w:rPr>
          <w:lang w:eastAsia="zh-CN"/>
        </w:rPr>
        <w:instrText>HYPERLINK "https://www.itu.int/md/S26-CL-INF-0006/en"</w:instrText>
      </w:r>
      <w:r w:rsidR="005942EE">
        <w:fldChar w:fldCharType="separate"/>
      </w:r>
      <w:r w:rsidR="005942EE" w:rsidRPr="005942EE">
        <w:rPr>
          <w:rStyle w:val="Hyperlink"/>
          <w:rFonts w:eastAsia="SimSun"/>
          <w:u w:val="single"/>
          <w:lang w:eastAsia="zh-CN"/>
        </w:rPr>
        <w:t>C26/INF/6</w:t>
      </w:r>
      <w:r w:rsidR="005942EE">
        <w:fldChar w:fldCharType="end"/>
      </w:r>
      <w:r>
        <w:rPr>
          <w:lang w:val="zh-CN" w:eastAsia="zh-CN"/>
        </w:rPr>
        <w:t>号文件。</w:t>
      </w:r>
    </w:p>
    <w:p w14:paraId="16BA58B1" w14:textId="77777777" w:rsidR="00665626" w:rsidRDefault="00665626" w:rsidP="00665626">
      <w:pPr>
        <w:pStyle w:val="Heading1"/>
        <w:rPr>
          <w:lang w:eastAsia="zh-CN"/>
        </w:rPr>
      </w:pPr>
      <w:r>
        <w:rPr>
          <w:bCs/>
          <w:lang w:val="zh-CN" w:eastAsia="zh-CN"/>
        </w:rPr>
        <w:t>2</w:t>
      </w:r>
      <w:r>
        <w:rPr>
          <w:bCs/>
          <w:lang w:val="zh-CN" w:eastAsia="zh-CN"/>
        </w:rPr>
        <w:tab/>
      </w:r>
      <w:r>
        <w:rPr>
          <w:bCs/>
          <w:lang w:val="zh-CN" w:eastAsia="zh-CN"/>
        </w:rPr>
        <w:t>进展和后续步骤</w:t>
      </w:r>
    </w:p>
    <w:p w14:paraId="05E93993" w14:textId="77777777" w:rsidR="00665626" w:rsidRPr="00414A74" w:rsidRDefault="00665626" w:rsidP="00665626">
      <w:pPr>
        <w:pStyle w:val="Heading2"/>
        <w:rPr>
          <w:lang w:eastAsia="zh-CN"/>
        </w:rPr>
      </w:pPr>
      <w:r>
        <w:rPr>
          <w:bCs/>
          <w:lang w:val="zh-CN" w:eastAsia="zh-CN"/>
        </w:rPr>
        <w:t>2.1</w:t>
      </w:r>
      <w:r>
        <w:rPr>
          <w:lang w:val="zh-CN" w:eastAsia="zh-CN"/>
        </w:rPr>
        <w:tab/>
      </w:r>
      <w:r>
        <w:rPr>
          <w:bCs/>
          <w:lang w:val="zh-CN" w:eastAsia="zh-CN"/>
        </w:rPr>
        <w:t>制定内部数字化转型战略和战略规划（</w:t>
      </w:r>
      <w:r>
        <w:rPr>
          <w:bCs/>
          <w:lang w:val="zh-CN" w:eastAsia="zh-CN"/>
        </w:rPr>
        <w:t>2026-2027</w:t>
      </w:r>
      <w:r>
        <w:rPr>
          <w:bCs/>
          <w:lang w:val="zh-CN" w:eastAsia="zh-CN"/>
        </w:rPr>
        <w:t>年）</w:t>
      </w:r>
    </w:p>
    <w:p w14:paraId="5F526383" w14:textId="77777777" w:rsidR="00665626" w:rsidRPr="00CC0FBE" w:rsidRDefault="00665626" w:rsidP="005942EE">
      <w:pPr>
        <w:ind w:firstLineChars="200" w:firstLine="480"/>
        <w:rPr>
          <w:rFonts w:asciiTheme="minorHAnsi" w:hAnsiTheme="minorHAnsi" w:cstheme="minorBidi"/>
          <w:lang w:eastAsia="zh-CN"/>
        </w:rPr>
      </w:pPr>
      <w:r>
        <w:rPr>
          <w:lang w:val="zh-CN" w:eastAsia="zh-CN"/>
        </w:rPr>
        <w:t>国际电联制定了数字化转型战略（</w:t>
      </w:r>
      <w:r>
        <w:rPr>
          <w:lang w:val="zh-CN" w:eastAsia="zh-CN"/>
        </w:rPr>
        <w:t>2026-2027</w:t>
      </w:r>
      <w:r>
        <w:rPr>
          <w:lang w:val="zh-CN" w:eastAsia="zh-CN"/>
        </w:rPr>
        <w:t>年）及其相应的战略规划，</w:t>
      </w:r>
      <w:r>
        <w:rPr>
          <w:rFonts w:hint="eastAsia"/>
          <w:lang w:val="zh-CN" w:eastAsia="zh-CN"/>
        </w:rPr>
        <w:t>以</w:t>
      </w:r>
      <w:r w:rsidRPr="005717EE">
        <w:rPr>
          <w:rFonts w:hint="eastAsia"/>
          <w:lang w:val="zh-CN" w:eastAsia="zh-CN"/>
        </w:rPr>
        <w:t>推动</w:t>
      </w:r>
      <w:r>
        <w:rPr>
          <w:rFonts w:hint="eastAsia"/>
          <w:lang w:val="zh-CN" w:eastAsia="zh-CN"/>
        </w:rPr>
        <w:t>实现</w:t>
      </w:r>
      <w:r w:rsidRPr="005717EE">
        <w:rPr>
          <w:rFonts w:hint="eastAsia"/>
          <w:lang w:val="zh-CN" w:eastAsia="zh-CN"/>
        </w:rPr>
        <w:t>结构化转型，走向协调统一、治理完善并</w:t>
      </w:r>
      <w:r>
        <w:rPr>
          <w:rFonts w:hint="eastAsia"/>
          <w:lang w:val="zh-CN" w:eastAsia="zh-CN"/>
        </w:rPr>
        <w:t>得到</w:t>
      </w:r>
      <w:r w:rsidRPr="005717EE">
        <w:rPr>
          <w:rFonts w:hint="eastAsia"/>
          <w:lang w:val="zh-CN" w:eastAsia="zh-CN"/>
        </w:rPr>
        <w:t>人工智能支持的制度模式</w:t>
      </w:r>
      <w:r>
        <w:rPr>
          <w:lang w:val="zh-CN" w:eastAsia="zh-CN"/>
        </w:rPr>
        <w:t>。</w:t>
      </w:r>
    </w:p>
    <w:p w14:paraId="76C091BF" w14:textId="77777777" w:rsidR="00665626" w:rsidRPr="00CC0FBE" w:rsidRDefault="00665626" w:rsidP="005942EE">
      <w:pPr>
        <w:ind w:firstLineChars="200" w:firstLine="480"/>
        <w:rPr>
          <w:rFonts w:asciiTheme="minorHAnsi" w:hAnsiTheme="minorHAnsi" w:cstheme="minorHAnsi"/>
          <w:lang w:eastAsia="zh-CN"/>
        </w:rPr>
      </w:pPr>
      <w:r>
        <w:rPr>
          <w:lang w:val="zh-CN" w:eastAsia="zh-CN"/>
        </w:rPr>
        <w:t>该战略将数字化定位为核心机构能力，立足于三</w:t>
      </w:r>
      <w:r>
        <w:rPr>
          <w:rFonts w:hint="eastAsia"/>
          <w:lang w:val="zh-CN" w:eastAsia="zh-CN"/>
        </w:rPr>
        <w:t>项</w:t>
      </w:r>
      <w:r>
        <w:rPr>
          <w:lang w:val="zh-CN" w:eastAsia="zh-CN"/>
        </w:rPr>
        <w:t>战略目标和承诺：</w:t>
      </w:r>
    </w:p>
    <w:p w14:paraId="54A44193" w14:textId="409CEF31" w:rsidR="00665626" w:rsidRPr="005942EE" w:rsidRDefault="005942EE" w:rsidP="005942EE">
      <w:pPr>
        <w:pStyle w:val="enumlev1"/>
        <w:rPr>
          <w:lang w:eastAsia="zh-CN"/>
        </w:rPr>
      </w:pPr>
      <w:r>
        <w:rPr>
          <w:lang w:eastAsia="zh-CN"/>
        </w:rPr>
        <w:t>–</w:t>
      </w:r>
      <w:r>
        <w:rPr>
          <w:lang w:eastAsia="zh-CN"/>
        </w:rPr>
        <w:tab/>
      </w:r>
      <w:r w:rsidR="00665626" w:rsidRPr="005942EE">
        <w:rPr>
          <w:rFonts w:hint="eastAsia"/>
          <w:lang w:eastAsia="zh-CN"/>
        </w:rPr>
        <w:t>具有复原力的</w:t>
      </w:r>
      <w:r w:rsidR="00665626" w:rsidRPr="005942EE">
        <w:rPr>
          <w:lang w:eastAsia="zh-CN"/>
        </w:rPr>
        <w:t>数字核心</w:t>
      </w:r>
      <w:r w:rsidR="00665626" w:rsidRPr="005942EE">
        <w:rPr>
          <w:lang w:eastAsia="zh-CN"/>
        </w:rPr>
        <w:t xml:space="preserve"> – </w:t>
      </w:r>
      <w:r w:rsidR="00665626" w:rsidRPr="005942EE">
        <w:rPr>
          <w:rFonts w:hint="eastAsia"/>
          <w:lang w:eastAsia="zh-CN"/>
        </w:rPr>
        <w:t>组织</w:t>
      </w:r>
      <w:r w:rsidR="00665626" w:rsidRPr="005942EE">
        <w:rPr>
          <w:lang w:eastAsia="zh-CN"/>
        </w:rPr>
        <w:t>系统</w:t>
      </w:r>
      <w:r w:rsidR="00665626" w:rsidRPr="005942EE">
        <w:rPr>
          <w:lang w:eastAsia="zh-CN"/>
        </w:rPr>
        <w:t>/</w:t>
      </w:r>
      <w:r w:rsidR="00665626" w:rsidRPr="005942EE">
        <w:rPr>
          <w:lang w:eastAsia="zh-CN"/>
        </w:rPr>
        <w:t>平台、基础设施和网络安全的现代化</w:t>
      </w:r>
    </w:p>
    <w:p w14:paraId="3C74818A" w14:textId="76838DD8" w:rsidR="00665626" w:rsidRPr="005942EE" w:rsidRDefault="005942EE" w:rsidP="005942EE">
      <w:pPr>
        <w:pStyle w:val="enumlev1"/>
        <w:rPr>
          <w:lang w:eastAsia="zh-CN"/>
        </w:rPr>
      </w:pPr>
      <w:r>
        <w:rPr>
          <w:lang w:eastAsia="zh-CN"/>
        </w:rPr>
        <w:t>–</w:t>
      </w:r>
      <w:r>
        <w:rPr>
          <w:lang w:eastAsia="zh-CN"/>
        </w:rPr>
        <w:tab/>
      </w:r>
      <w:r w:rsidR="00665626" w:rsidRPr="005942EE">
        <w:rPr>
          <w:lang w:eastAsia="zh-CN"/>
        </w:rPr>
        <w:t>卓越</w:t>
      </w:r>
      <w:r w:rsidR="00665626" w:rsidRPr="005942EE">
        <w:rPr>
          <w:rFonts w:hint="eastAsia"/>
          <w:lang w:eastAsia="zh-CN"/>
        </w:rPr>
        <w:t>的</w:t>
      </w:r>
      <w:r w:rsidR="00665626" w:rsidRPr="005942EE">
        <w:rPr>
          <w:lang w:eastAsia="zh-CN"/>
        </w:rPr>
        <w:t>数字化运作</w:t>
      </w:r>
      <w:r w:rsidR="00665626" w:rsidRPr="005942EE">
        <w:rPr>
          <w:lang w:eastAsia="zh-CN"/>
        </w:rPr>
        <w:t xml:space="preserve"> – </w:t>
      </w:r>
      <w:r w:rsidR="00665626" w:rsidRPr="005942EE">
        <w:rPr>
          <w:lang w:eastAsia="zh-CN"/>
        </w:rPr>
        <w:t>改善服务交付、运作效率和用户体验</w:t>
      </w:r>
    </w:p>
    <w:p w14:paraId="5C9A5C81" w14:textId="2FE59E7E" w:rsidR="00665626" w:rsidRPr="005942EE" w:rsidRDefault="005942EE" w:rsidP="005942EE">
      <w:pPr>
        <w:pStyle w:val="enumlev1"/>
        <w:rPr>
          <w:lang w:eastAsia="zh-CN"/>
        </w:rPr>
      </w:pPr>
      <w:r>
        <w:rPr>
          <w:lang w:eastAsia="zh-CN"/>
        </w:rPr>
        <w:t>–</w:t>
      </w:r>
      <w:r>
        <w:rPr>
          <w:lang w:eastAsia="zh-CN"/>
        </w:rPr>
        <w:tab/>
      </w:r>
      <w:r w:rsidR="00665626" w:rsidRPr="005942EE">
        <w:rPr>
          <w:lang w:eastAsia="zh-CN"/>
        </w:rPr>
        <w:t>人工智能和数据的创新</w:t>
      </w:r>
      <w:r w:rsidR="00665626" w:rsidRPr="005942EE">
        <w:rPr>
          <w:lang w:eastAsia="zh-CN"/>
        </w:rPr>
        <w:t xml:space="preserve"> – </w:t>
      </w:r>
      <w:r w:rsidR="00665626" w:rsidRPr="005942EE">
        <w:rPr>
          <w:rFonts w:hint="eastAsia"/>
          <w:lang w:eastAsia="zh-CN"/>
        </w:rPr>
        <w:t>培养</w:t>
      </w:r>
      <w:r w:rsidR="00665626" w:rsidRPr="005942EE">
        <w:rPr>
          <w:lang w:eastAsia="zh-CN"/>
        </w:rPr>
        <w:t>人工智能（</w:t>
      </w:r>
      <w:r w:rsidR="00665626" w:rsidRPr="005942EE">
        <w:rPr>
          <w:lang w:eastAsia="zh-CN"/>
        </w:rPr>
        <w:t>AI</w:t>
      </w:r>
      <w:r w:rsidR="00665626" w:rsidRPr="005942EE">
        <w:rPr>
          <w:lang w:eastAsia="zh-CN"/>
        </w:rPr>
        <w:t>）能力和</w:t>
      </w:r>
      <w:r w:rsidR="00665626" w:rsidRPr="005942EE">
        <w:rPr>
          <w:rFonts w:hint="eastAsia"/>
          <w:lang w:eastAsia="zh-CN"/>
        </w:rPr>
        <w:t>面向</w:t>
      </w:r>
      <w:r w:rsidR="00665626" w:rsidRPr="005942EE">
        <w:rPr>
          <w:lang w:eastAsia="zh-CN"/>
        </w:rPr>
        <w:t>人工智能</w:t>
      </w:r>
      <w:r w:rsidR="00665626" w:rsidRPr="005942EE">
        <w:rPr>
          <w:rFonts w:hint="eastAsia"/>
          <w:lang w:eastAsia="zh-CN"/>
        </w:rPr>
        <w:t>的</w:t>
      </w:r>
      <w:r w:rsidR="00665626" w:rsidRPr="005942EE">
        <w:rPr>
          <w:lang w:eastAsia="zh-CN"/>
        </w:rPr>
        <w:t>数据基础，以实现可扩展和负责任的创新。</w:t>
      </w:r>
    </w:p>
    <w:p w14:paraId="28DBA4BF" w14:textId="77777777" w:rsidR="00665626" w:rsidRPr="00CC0FBE" w:rsidRDefault="00665626" w:rsidP="005942EE">
      <w:pPr>
        <w:ind w:firstLineChars="200" w:firstLine="480"/>
        <w:rPr>
          <w:rFonts w:asciiTheme="minorHAnsi" w:hAnsiTheme="minorHAnsi" w:cstheme="minorHAnsi"/>
          <w:lang w:eastAsia="zh-CN"/>
        </w:rPr>
      </w:pPr>
      <w:r>
        <w:rPr>
          <w:lang w:val="zh-CN" w:eastAsia="zh-CN"/>
        </w:rPr>
        <w:t>战略规划将这些承诺转化为基于项目的组合，</w:t>
      </w:r>
      <w:r>
        <w:rPr>
          <w:rFonts w:hint="eastAsia"/>
          <w:lang w:val="zh-CN" w:eastAsia="zh-CN"/>
        </w:rPr>
        <w:t>其架构的搭建</w:t>
      </w:r>
      <w:r>
        <w:rPr>
          <w:lang w:val="zh-CN" w:eastAsia="zh-CN"/>
        </w:rPr>
        <w:t>涵盖四个项目：</w:t>
      </w:r>
    </w:p>
    <w:p w14:paraId="0D4BEBBC" w14:textId="4802B05D"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rFonts w:hint="eastAsia"/>
          <w:lang w:eastAsia="zh-CN"/>
        </w:rPr>
        <w:t>项目</w:t>
      </w:r>
      <w:r w:rsidR="00665626" w:rsidRPr="005942EE">
        <w:rPr>
          <w:rFonts w:hint="eastAsia"/>
          <w:lang w:eastAsia="zh-CN"/>
        </w:rPr>
        <w:t>1</w:t>
      </w:r>
      <w:r w:rsidR="00665626" w:rsidRPr="005942EE">
        <w:rPr>
          <w:rFonts w:hint="eastAsia"/>
          <w:lang w:eastAsia="zh-CN"/>
        </w:rPr>
        <w:t>：组织平台的现代化</w:t>
      </w:r>
      <w:r w:rsidR="00665626" w:rsidRPr="005942EE">
        <w:rPr>
          <w:rFonts w:hint="eastAsia"/>
          <w:lang w:eastAsia="zh-CN"/>
        </w:rPr>
        <w:t xml:space="preserve"> </w:t>
      </w:r>
      <w:r w:rsidR="00F070C1" w:rsidRPr="005942EE">
        <w:rPr>
          <w:lang w:eastAsia="zh-CN"/>
        </w:rPr>
        <w:t>–</w:t>
      </w:r>
      <w:r w:rsidR="00665626" w:rsidRPr="005942EE">
        <w:rPr>
          <w:rFonts w:hint="eastAsia"/>
          <w:lang w:eastAsia="zh-CN"/>
        </w:rPr>
        <w:t xml:space="preserve"> </w:t>
      </w:r>
      <w:r w:rsidR="00665626" w:rsidRPr="005942EE">
        <w:rPr>
          <w:rFonts w:hint="eastAsia"/>
          <w:lang w:eastAsia="zh-CN"/>
        </w:rPr>
        <w:t>通过现代化和协调的核心组织系统，实现集成、高效和可升级的组织运作。</w:t>
      </w:r>
    </w:p>
    <w:p w14:paraId="349F558D" w14:textId="03F09BE3" w:rsidR="00665626" w:rsidRPr="005942EE" w:rsidRDefault="005942EE" w:rsidP="005942EE">
      <w:pPr>
        <w:pStyle w:val="enumlev1"/>
        <w:rPr>
          <w:lang w:eastAsia="zh-CN"/>
        </w:rPr>
      </w:pPr>
      <w:r w:rsidRPr="004E3E6F">
        <w:rPr>
          <w:rFonts w:asciiTheme="minorHAnsi" w:eastAsiaTheme="minorEastAsia" w:hAnsiTheme="minorHAnsi" w:cstheme="minorHAnsi"/>
          <w:lang w:eastAsia="zh-CN"/>
        </w:rPr>
        <w:t>–</w:t>
      </w:r>
      <w:r w:rsidRPr="005942EE">
        <w:rPr>
          <w:rFonts w:hint="eastAsia"/>
          <w:lang w:eastAsia="zh-CN"/>
        </w:rPr>
        <w:tab/>
      </w:r>
      <w:r w:rsidR="00665626" w:rsidRPr="005942EE">
        <w:rPr>
          <w:rFonts w:hint="eastAsia"/>
          <w:lang w:eastAsia="zh-CN"/>
        </w:rPr>
        <w:t>项目</w:t>
      </w:r>
      <w:r w:rsidR="00665626" w:rsidRPr="005942EE">
        <w:rPr>
          <w:rFonts w:hint="eastAsia"/>
          <w:lang w:eastAsia="zh-CN"/>
        </w:rPr>
        <w:t>2</w:t>
      </w:r>
      <w:r w:rsidR="00665626" w:rsidRPr="005942EE">
        <w:rPr>
          <w:rFonts w:hint="eastAsia"/>
          <w:lang w:eastAsia="zh-CN"/>
        </w:rPr>
        <w:t>：数字核心复原力和减少技术债务</w:t>
      </w:r>
      <w:r w:rsidR="00F070C1">
        <w:rPr>
          <w:rFonts w:hint="eastAsia"/>
          <w:lang w:eastAsia="zh-CN"/>
        </w:rPr>
        <w:t xml:space="preserve"> </w:t>
      </w:r>
      <w:r w:rsidR="00F070C1" w:rsidRPr="005942EE">
        <w:rPr>
          <w:lang w:eastAsia="zh-CN"/>
        </w:rPr>
        <w:t>–</w:t>
      </w:r>
      <w:r w:rsidR="00665626" w:rsidRPr="005942EE">
        <w:rPr>
          <w:rFonts w:hint="eastAsia"/>
          <w:lang w:eastAsia="zh-CN"/>
        </w:rPr>
        <w:t xml:space="preserve"> </w:t>
      </w:r>
      <w:r w:rsidR="00665626" w:rsidRPr="005942EE">
        <w:rPr>
          <w:rFonts w:hint="eastAsia"/>
          <w:lang w:eastAsia="zh-CN"/>
        </w:rPr>
        <w:t>加强基础设施、网络安全和云基础，同时降低过往遗留问题的复杂性和长期运作的风险。</w:t>
      </w:r>
    </w:p>
    <w:p w14:paraId="5FA1DC49" w14:textId="431B484C" w:rsidR="00665626" w:rsidRPr="005942EE" w:rsidRDefault="005942EE" w:rsidP="005942EE">
      <w:pPr>
        <w:pStyle w:val="enumlev1"/>
        <w:rPr>
          <w:lang w:eastAsia="zh-CN"/>
        </w:rPr>
      </w:pPr>
      <w:r w:rsidRPr="004E3E6F">
        <w:rPr>
          <w:rFonts w:asciiTheme="minorHAnsi" w:eastAsiaTheme="minorEastAsia" w:hAnsiTheme="minorHAnsi" w:cstheme="minorHAnsi"/>
          <w:lang w:eastAsia="zh-CN"/>
        </w:rPr>
        <w:t>–</w:t>
      </w:r>
      <w:r w:rsidRPr="005942EE">
        <w:rPr>
          <w:rFonts w:hint="eastAsia"/>
          <w:lang w:eastAsia="zh-CN"/>
        </w:rPr>
        <w:tab/>
      </w:r>
      <w:r w:rsidR="00665626" w:rsidRPr="005942EE">
        <w:rPr>
          <w:rFonts w:hint="eastAsia"/>
          <w:lang w:eastAsia="zh-CN"/>
        </w:rPr>
        <w:t>项目</w:t>
      </w:r>
      <w:r w:rsidR="00665626" w:rsidRPr="005942EE">
        <w:rPr>
          <w:rFonts w:hint="eastAsia"/>
          <w:lang w:eastAsia="zh-CN"/>
        </w:rPr>
        <w:t>3</w:t>
      </w:r>
      <w:r w:rsidR="00665626" w:rsidRPr="005942EE">
        <w:rPr>
          <w:rFonts w:hint="eastAsia"/>
          <w:lang w:eastAsia="zh-CN"/>
        </w:rPr>
        <w:t>：数字体验和卓越运作</w:t>
      </w:r>
      <w:r w:rsidR="00665626" w:rsidRPr="005942EE">
        <w:rPr>
          <w:rFonts w:hint="eastAsia"/>
          <w:lang w:eastAsia="zh-CN"/>
        </w:rPr>
        <w:t xml:space="preserve"> </w:t>
      </w:r>
      <w:r w:rsidR="00F070C1" w:rsidRPr="005942EE">
        <w:rPr>
          <w:lang w:eastAsia="zh-CN"/>
        </w:rPr>
        <w:t>–</w:t>
      </w:r>
      <w:r w:rsidR="00665626" w:rsidRPr="005942EE">
        <w:rPr>
          <w:rFonts w:hint="eastAsia"/>
          <w:lang w:eastAsia="zh-CN"/>
        </w:rPr>
        <w:t xml:space="preserve"> </w:t>
      </w:r>
      <w:r w:rsidR="00665626" w:rsidRPr="005942EE">
        <w:rPr>
          <w:rFonts w:hint="eastAsia"/>
          <w:lang w:eastAsia="zh-CN"/>
        </w:rPr>
        <w:t>重新设计端到端的数字旅程、流程和服务，以提升效率、可用性以及成员和员工的体验。</w:t>
      </w:r>
    </w:p>
    <w:p w14:paraId="5F8CC318" w14:textId="19CFAFF8" w:rsidR="00665626" w:rsidRPr="005942EE" w:rsidRDefault="005942EE" w:rsidP="005942EE">
      <w:pPr>
        <w:pStyle w:val="enumlev1"/>
        <w:rPr>
          <w:lang w:eastAsia="zh-CN"/>
        </w:rPr>
      </w:pPr>
      <w:r w:rsidRPr="004E3E6F">
        <w:rPr>
          <w:rFonts w:asciiTheme="minorHAnsi" w:hAnsiTheme="minorHAnsi" w:cstheme="minorHAnsi"/>
          <w:lang w:eastAsia="zh-CN"/>
        </w:rPr>
        <w:t>–</w:t>
      </w:r>
      <w:r w:rsidRPr="005942EE">
        <w:rPr>
          <w:rFonts w:hint="eastAsia"/>
          <w:lang w:eastAsia="zh-CN"/>
        </w:rPr>
        <w:tab/>
      </w:r>
      <w:r w:rsidR="00665626" w:rsidRPr="005942EE">
        <w:rPr>
          <w:rFonts w:hint="eastAsia"/>
          <w:lang w:eastAsia="zh-CN"/>
        </w:rPr>
        <w:t>项目</w:t>
      </w:r>
      <w:r w:rsidR="00665626" w:rsidRPr="005942EE">
        <w:rPr>
          <w:rFonts w:hint="eastAsia"/>
          <w:lang w:eastAsia="zh-CN"/>
        </w:rPr>
        <w:t>4</w:t>
      </w:r>
      <w:r w:rsidR="00665626" w:rsidRPr="005942EE">
        <w:rPr>
          <w:rFonts w:hint="eastAsia"/>
          <w:lang w:eastAsia="zh-CN"/>
        </w:rPr>
        <w:t>：利用人工智能和数据实现指数级创新</w:t>
      </w:r>
      <w:r w:rsidR="00665626" w:rsidRPr="005942EE">
        <w:rPr>
          <w:rFonts w:hint="eastAsia"/>
          <w:lang w:eastAsia="zh-CN"/>
        </w:rPr>
        <w:t xml:space="preserve"> </w:t>
      </w:r>
      <w:r w:rsidR="00F070C1" w:rsidRPr="005942EE">
        <w:rPr>
          <w:lang w:eastAsia="zh-CN"/>
        </w:rPr>
        <w:t>–</w:t>
      </w:r>
      <w:r w:rsidR="00665626" w:rsidRPr="005942EE">
        <w:rPr>
          <w:rFonts w:hint="eastAsia"/>
          <w:lang w:eastAsia="zh-CN"/>
        </w:rPr>
        <w:t xml:space="preserve"> </w:t>
      </w:r>
      <w:r w:rsidR="00665626" w:rsidRPr="005942EE">
        <w:rPr>
          <w:rFonts w:hint="eastAsia"/>
          <w:lang w:eastAsia="zh-CN"/>
        </w:rPr>
        <w:t>建立面向人工智能的数据基础，并规模化发展负责任的人工智能与数据分析能力，以实现智能化、数据驱动的运作和服务。</w:t>
      </w:r>
    </w:p>
    <w:p w14:paraId="3625631C" w14:textId="0E1A78F1" w:rsidR="00665626" w:rsidRPr="00CC0FBE" w:rsidRDefault="00665626" w:rsidP="005942EE">
      <w:pPr>
        <w:ind w:firstLineChars="200" w:firstLine="480"/>
        <w:rPr>
          <w:rFonts w:asciiTheme="minorHAnsi" w:hAnsiTheme="minorHAnsi" w:cstheme="minorHAnsi"/>
          <w:lang w:eastAsia="zh-CN"/>
        </w:rPr>
      </w:pPr>
      <w:r>
        <w:rPr>
          <w:rFonts w:hint="eastAsia"/>
          <w:lang w:val="zh-CN" w:eastAsia="zh-CN"/>
        </w:rPr>
        <w:t>规划的</w:t>
      </w:r>
      <w:r w:rsidRPr="00CB3E78">
        <w:rPr>
          <w:rFonts w:hint="eastAsia"/>
          <w:lang w:val="zh-CN" w:eastAsia="zh-CN"/>
        </w:rPr>
        <w:t>执行将通过一个两阶</w:t>
      </w:r>
      <w:r>
        <w:rPr>
          <w:rFonts w:hint="eastAsia"/>
          <w:lang w:val="zh-CN" w:eastAsia="zh-CN"/>
        </w:rPr>
        <w:t>的</w:t>
      </w:r>
      <w:r w:rsidRPr="00CB3E78">
        <w:rPr>
          <w:rFonts w:hint="eastAsia"/>
          <w:lang w:val="zh-CN" w:eastAsia="zh-CN"/>
        </w:rPr>
        <w:t>段路线图（</w:t>
      </w:r>
      <w:r w:rsidRPr="00CB3E78">
        <w:rPr>
          <w:rFonts w:hint="eastAsia"/>
          <w:lang w:val="zh-CN" w:eastAsia="zh-CN"/>
        </w:rPr>
        <w:t>2026</w:t>
      </w:r>
      <w:r w:rsidR="00705239">
        <w:rPr>
          <w:rFonts w:hint="eastAsia"/>
          <w:lang w:val="zh-CN" w:eastAsia="zh-CN"/>
        </w:rPr>
        <w:t xml:space="preserve"> </w:t>
      </w:r>
      <w:r w:rsidR="00705239" w:rsidRPr="005942EE">
        <w:rPr>
          <w:lang w:eastAsia="zh-CN"/>
        </w:rPr>
        <w:t>–</w:t>
      </w:r>
      <w:r w:rsidR="00705239" w:rsidRPr="005942EE">
        <w:rPr>
          <w:rFonts w:hint="eastAsia"/>
          <w:lang w:eastAsia="zh-CN"/>
        </w:rPr>
        <w:t xml:space="preserve"> </w:t>
      </w:r>
      <w:r w:rsidRPr="00CB3E78">
        <w:rPr>
          <w:rFonts w:hint="eastAsia"/>
          <w:lang w:val="zh-CN" w:eastAsia="zh-CN"/>
        </w:rPr>
        <w:t>2027</w:t>
      </w:r>
      <w:r w:rsidRPr="00CB3E78">
        <w:rPr>
          <w:rFonts w:hint="eastAsia"/>
          <w:lang w:val="zh-CN" w:eastAsia="zh-CN"/>
        </w:rPr>
        <w:t>）组织实施，并</w:t>
      </w:r>
      <w:r>
        <w:rPr>
          <w:rFonts w:hint="eastAsia"/>
          <w:lang w:val="zh-CN" w:eastAsia="zh-CN"/>
        </w:rPr>
        <w:t>通过以下手段为此提供</w:t>
      </w:r>
      <w:r w:rsidRPr="00CB3E78">
        <w:rPr>
          <w:rFonts w:hint="eastAsia"/>
          <w:lang w:val="zh-CN" w:eastAsia="zh-CN"/>
        </w:rPr>
        <w:t>支撑</w:t>
      </w:r>
      <w:r>
        <w:rPr>
          <w:rFonts w:hint="eastAsia"/>
          <w:lang w:val="zh-CN" w:eastAsia="zh-CN"/>
        </w:rPr>
        <w:t>：</w:t>
      </w:r>
      <w:r w:rsidRPr="00CB3E78">
        <w:rPr>
          <w:rFonts w:hint="eastAsia"/>
          <w:lang w:val="zh-CN" w:eastAsia="zh-CN"/>
        </w:rPr>
        <w:t>基于组合的投资框架、目标与关键成果（</w:t>
      </w:r>
      <w:r w:rsidRPr="00CB3E78">
        <w:rPr>
          <w:rFonts w:hint="eastAsia"/>
          <w:lang w:val="zh-CN" w:eastAsia="zh-CN"/>
        </w:rPr>
        <w:t>OKR</w:t>
      </w:r>
      <w:r w:rsidRPr="00CB3E78">
        <w:rPr>
          <w:rFonts w:hint="eastAsia"/>
          <w:lang w:val="zh-CN" w:eastAsia="zh-CN"/>
        </w:rPr>
        <w:t>）及关键绩效指标（</w:t>
      </w:r>
      <w:r w:rsidRPr="00CB3E78">
        <w:rPr>
          <w:rFonts w:hint="eastAsia"/>
          <w:lang w:val="zh-CN" w:eastAsia="zh-CN"/>
        </w:rPr>
        <w:t>KPI</w:t>
      </w:r>
      <w:r w:rsidRPr="00CB3E78">
        <w:rPr>
          <w:rFonts w:hint="eastAsia"/>
          <w:lang w:val="zh-CN" w:eastAsia="zh-CN"/>
        </w:rPr>
        <w:t>）</w:t>
      </w:r>
      <w:r>
        <w:rPr>
          <w:rFonts w:hint="eastAsia"/>
          <w:lang w:val="zh-CN" w:eastAsia="zh-CN"/>
        </w:rPr>
        <w:t>的</w:t>
      </w:r>
      <w:r w:rsidRPr="00CB3E78">
        <w:rPr>
          <w:rFonts w:hint="eastAsia"/>
          <w:lang w:val="zh-CN" w:eastAsia="zh-CN"/>
        </w:rPr>
        <w:t>绩效模型、与机构价值流</w:t>
      </w:r>
      <w:r>
        <w:rPr>
          <w:rFonts w:hint="eastAsia"/>
          <w:lang w:val="zh-CN" w:eastAsia="zh-CN"/>
        </w:rPr>
        <w:t>保持一致</w:t>
      </w:r>
      <w:r w:rsidRPr="00CB3E78">
        <w:rPr>
          <w:rFonts w:hint="eastAsia"/>
          <w:lang w:val="zh-CN" w:eastAsia="zh-CN"/>
        </w:rPr>
        <w:t>，以及</w:t>
      </w:r>
      <w:r>
        <w:rPr>
          <w:rFonts w:hint="eastAsia"/>
          <w:lang w:val="zh-CN" w:eastAsia="zh-CN"/>
        </w:rPr>
        <w:t>为</w:t>
      </w:r>
      <w:r w:rsidRPr="00CB3E78">
        <w:rPr>
          <w:rFonts w:hint="eastAsia"/>
          <w:lang w:val="zh-CN" w:eastAsia="zh-CN"/>
        </w:rPr>
        <w:t>以产品为导向的</w:t>
      </w:r>
      <w:r w:rsidRPr="00CB3E78">
        <w:rPr>
          <w:rFonts w:hint="eastAsia"/>
          <w:lang w:val="zh-CN" w:eastAsia="zh-CN"/>
        </w:rPr>
        <w:t>ISD</w:t>
      </w:r>
      <w:r w:rsidRPr="00CB3E78">
        <w:rPr>
          <w:rFonts w:hint="eastAsia"/>
          <w:lang w:val="zh-CN" w:eastAsia="zh-CN"/>
        </w:rPr>
        <w:t>交付模式转型。</w:t>
      </w:r>
      <w:r>
        <w:rPr>
          <w:rFonts w:hint="eastAsia"/>
          <w:lang w:val="zh-CN" w:eastAsia="zh-CN"/>
        </w:rPr>
        <w:t>我们将据此</w:t>
      </w:r>
      <w:r w:rsidRPr="00CB3E78">
        <w:rPr>
          <w:rFonts w:hint="eastAsia"/>
          <w:lang w:val="zh-CN" w:eastAsia="zh-CN"/>
        </w:rPr>
        <w:t>建立一种严谨、以成果为导向的数字化转型模型，确保所有举措都能够追溯到</w:t>
      </w:r>
      <w:r>
        <w:rPr>
          <w:rFonts w:hint="eastAsia"/>
          <w:lang w:val="zh-CN" w:eastAsia="zh-CN"/>
        </w:rPr>
        <w:t>与本组织工作重点的关联</w:t>
      </w:r>
      <w:r w:rsidRPr="00CB3E78">
        <w:rPr>
          <w:rFonts w:hint="eastAsia"/>
          <w:lang w:val="zh-CN" w:eastAsia="zh-CN"/>
        </w:rPr>
        <w:t>，并</w:t>
      </w:r>
      <w:r>
        <w:rPr>
          <w:rFonts w:hint="eastAsia"/>
          <w:lang w:val="zh-CN" w:eastAsia="zh-CN"/>
        </w:rPr>
        <w:t>拥有</w:t>
      </w:r>
      <w:r w:rsidRPr="00CB3E78">
        <w:rPr>
          <w:rFonts w:hint="eastAsia"/>
          <w:lang w:val="zh-CN" w:eastAsia="zh-CN"/>
        </w:rPr>
        <w:t>可衡量的结果。</w:t>
      </w:r>
    </w:p>
    <w:p w14:paraId="5357F885" w14:textId="77777777" w:rsidR="00665626" w:rsidRPr="00CC0FBE" w:rsidRDefault="00665626" w:rsidP="00665626">
      <w:pPr>
        <w:pStyle w:val="Headingb"/>
        <w:rPr>
          <w:lang w:eastAsia="zh-CN"/>
        </w:rPr>
      </w:pPr>
      <w:r>
        <w:rPr>
          <w:bCs/>
          <w:lang w:val="zh-CN" w:eastAsia="zh-CN"/>
        </w:rPr>
        <w:lastRenderedPageBreak/>
        <w:t>后续步骤（</w:t>
      </w:r>
      <w:r>
        <w:rPr>
          <w:bCs/>
          <w:lang w:val="zh-CN" w:eastAsia="zh-CN"/>
        </w:rPr>
        <w:t>2026-2027</w:t>
      </w:r>
      <w:r>
        <w:rPr>
          <w:bCs/>
          <w:lang w:val="zh-CN" w:eastAsia="zh-CN"/>
        </w:rPr>
        <w:t>年）</w:t>
      </w:r>
    </w:p>
    <w:p w14:paraId="70E5EDDD" w14:textId="7E336A0A" w:rsidR="00665626" w:rsidRPr="005942EE" w:rsidRDefault="005942EE" w:rsidP="005942EE">
      <w:pPr>
        <w:pStyle w:val="enumlev1"/>
        <w:rPr>
          <w:lang w:eastAsia="zh-CN"/>
        </w:rPr>
      </w:pPr>
      <w:r w:rsidRPr="005942EE">
        <w:rPr>
          <w:lang w:eastAsia="zh-CN"/>
        </w:rPr>
        <w:t>–</w:t>
      </w:r>
      <w:r w:rsidRPr="005942EE">
        <w:rPr>
          <w:lang w:eastAsia="zh-CN"/>
        </w:rPr>
        <w:tab/>
      </w:r>
      <w:proofErr w:type="spellStart"/>
      <w:r w:rsidR="00665626" w:rsidRPr="005942EE">
        <w:rPr>
          <w:lang w:eastAsia="zh-CN"/>
        </w:rPr>
        <w:t>ICTGC</w:t>
      </w:r>
      <w:proofErr w:type="spellEnd"/>
      <w:r w:rsidR="00665626" w:rsidRPr="005942EE">
        <w:rPr>
          <w:lang w:eastAsia="zh-CN"/>
        </w:rPr>
        <w:t>和秘书长正式批准并推出</w:t>
      </w:r>
      <w:r w:rsidR="00665626" w:rsidRPr="005942EE">
        <w:rPr>
          <w:rFonts w:hint="eastAsia"/>
          <w:lang w:eastAsia="zh-CN"/>
        </w:rPr>
        <w:t>相关</w:t>
      </w:r>
      <w:r w:rsidR="00665626" w:rsidRPr="005942EE">
        <w:rPr>
          <w:lang w:eastAsia="zh-CN"/>
        </w:rPr>
        <w:t>战略和战略规划</w:t>
      </w:r>
    </w:p>
    <w:p w14:paraId="3FE33889" w14:textId="1577F34D"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启动优先计划（</w:t>
      </w:r>
      <w:r w:rsidR="00665626" w:rsidRPr="005942EE">
        <w:rPr>
          <w:lang w:eastAsia="zh-CN"/>
        </w:rPr>
        <w:t>ERP</w:t>
      </w:r>
      <w:r w:rsidR="00665626" w:rsidRPr="005942EE">
        <w:rPr>
          <w:lang w:eastAsia="zh-CN"/>
        </w:rPr>
        <w:t>、</w:t>
      </w:r>
      <w:r w:rsidR="00665626" w:rsidRPr="005942EE">
        <w:rPr>
          <w:lang w:eastAsia="zh-CN"/>
        </w:rPr>
        <w:t>CRM</w:t>
      </w:r>
      <w:r w:rsidR="00665626" w:rsidRPr="005942EE">
        <w:rPr>
          <w:lang w:eastAsia="zh-CN"/>
        </w:rPr>
        <w:t>、云、网络安全、数据</w:t>
      </w:r>
      <w:r w:rsidR="00665626" w:rsidRPr="005942EE">
        <w:rPr>
          <w:lang w:eastAsia="zh-CN"/>
        </w:rPr>
        <w:t>/</w:t>
      </w:r>
      <w:r w:rsidR="00665626" w:rsidRPr="005942EE">
        <w:rPr>
          <w:rFonts w:hint="eastAsia"/>
          <w:lang w:eastAsia="zh-CN"/>
        </w:rPr>
        <w:t>人工智能</w:t>
      </w:r>
      <w:r w:rsidR="00665626" w:rsidRPr="005942EE">
        <w:rPr>
          <w:lang w:eastAsia="zh-CN"/>
        </w:rPr>
        <w:t>）</w:t>
      </w:r>
    </w:p>
    <w:p w14:paraId="0AFCC65A" w14:textId="35BD9994"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实施项目组合治理和</w:t>
      </w:r>
      <w:proofErr w:type="spellStart"/>
      <w:r w:rsidR="00665626" w:rsidRPr="005942EE">
        <w:rPr>
          <w:lang w:eastAsia="zh-CN"/>
        </w:rPr>
        <w:t>OKR</w:t>
      </w:r>
      <w:proofErr w:type="spellEnd"/>
      <w:r w:rsidR="00665626" w:rsidRPr="005942EE">
        <w:rPr>
          <w:lang w:eastAsia="zh-CN"/>
        </w:rPr>
        <w:t>监控</w:t>
      </w:r>
    </w:p>
    <w:p w14:paraId="1E52115C" w14:textId="45B99CFB"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编制</w:t>
      </w:r>
      <w:r w:rsidR="00665626" w:rsidRPr="005942EE">
        <w:rPr>
          <w:lang w:eastAsia="zh-CN"/>
        </w:rPr>
        <w:t>2028-2031</w:t>
      </w:r>
      <w:r w:rsidR="00665626" w:rsidRPr="005942EE">
        <w:rPr>
          <w:lang w:eastAsia="zh-CN"/>
        </w:rPr>
        <w:t>年数字战略。</w:t>
      </w:r>
    </w:p>
    <w:p w14:paraId="4D70C5C5" w14:textId="235DD0AF" w:rsidR="00665626" w:rsidRPr="00414A74" w:rsidRDefault="00665626" w:rsidP="00665626">
      <w:pPr>
        <w:pStyle w:val="Heading2"/>
        <w:rPr>
          <w:lang w:eastAsia="zh-CN"/>
        </w:rPr>
      </w:pPr>
      <w:r>
        <w:rPr>
          <w:bCs/>
          <w:lang w:val="zh-CN" w:eastAsia="zh-CN"/>
        </w:rPr>
        <w:t>2.2</w:t>
      </w:r>
      <w:r>
        <w:rPr>
          <w:lang w:val="zh-CN" w:eastAsia="zh-CN"/>
        </w:rPr>
        <w:tab/>
      </w:r>
      <w:r>
        <w:rPr>
          <w:bCs/>
          <w:lang w:val="zh-CN" w:eastAsia="zh-CN"/>
        </w:rPr>
        <w:t>启动组织架构（</w:t>
      </w:r>
      <w:r>
        <w:rPr>
          <w:bCs/>
          <w:lang w:val="zh-CN" w:eastAsia="zh-CN"/>
        </w:rPr>
        <w:t>EA</w:t>
      </w:r>
      <w:r>
        <w:rPr>
          <w:bCs/>
          <w:lang w:val="zh-CN" w:eastAsia="zh-CN"/>
        </w:rPr>
        <w:t>）计划</w:t>
      </w:r>
    </w:p>
    <w:p w14:paraId="7A5FFE1D" w14:textId="77777777" w:rsidR="00665626" w:rsidRPr="00CC0FBE" w:rsidRDefault="00665626" w:rsidP="005942EE">
      <w:pPr>
        <w:ind w:firstLineChars="200" w:firstLine="480"/>
        <w:rPr>
          <w:lang w:eastAsia="zh-CN"/>
        </w:rPr>
      </w:pPr>
      <w:r>
        <w:rPr>
          <w:lang w:val="zh-CN" w:eastAsia="zh-CN"/>
        </w:rPr>
        <w:t>EA</w:t>
      </w:r>
      <w:r>
        <w:rPr>
          <w:rFonts w:hint="eastAsia"/>
          <w:lang w:val="zh-CN" w:eastAsia="zh-CN"/>
        </w:rPr>
        <w:t>项目</w:t>
      </w:r>
      <w:r>
        <w:rPr>
          <w:lang w:val="zh-CN" w:eastAsia="zh-CN"/>
        </w:rPr>
        <w:t>在联合国国际计算中心（</w:t>
      </w:r>
      <w:r>
        <w:rPr>
          <w:lang w:val="zh-CN" w:eastAsia="zh-CN"/>
        </w:rPr>
        <w:t>UNICC</w:t>
      </w:r>
      <w:r>
        <w:rPr>
          <w:lang w:val="zh-CN" w:eastAsia="zh-CN"/>
        </w:rPr>
        <w:t>）的支持下，作为国际电联组织架构计划的第</w:t>
      </w:r>
      <w:r>
        <w:rPr>
          <w:lang w:val="zh-CN" w:eastAsia="zh-CN"/>
        </w:rPr>
        <w:t>1</w:t>
      </w:r>
      <w:r>
        <w:rPr>
          <w:lang w:val="zh-CN" w:eastAsia="zh-CN"/>
        </w:rPr>
        <w:t>阶段于</w:t>
      </w:r>
      <w:r>
        <w:rPr>
          <w:lang w:val="zh-CN" w:eastAsia="zh-CN"/>
        </w:rPr>
        <w:t>2025</w:t>
      </w:r>
      <w:r>
        <w:rPr>
          <w:lang w:val="zh-CN" w:eastAsia="zh-CN"/>
        </w:rPr>
        <w:t>年</w:t>
      </w:r>
      <w:r>
        <w:rPr>
          <w:lang w:val="zh-CN" w:eastAsia="zh-CN"/>
        </w:rPr>
        <w:t>10</w:t>
      </w:r>
      <w:r>
        <w:rPr>
          <w:lang w:val="zh-CN" w:eastAsia="zh-CN"/>
        </w:rPr>
        <w:t>月启动。初步结果于</w:t>
      </w:r>
      <w:r>
        <w:rPr>
          <w:rFonts w:hint="eastAsia"/>
          <w:lang w:val="zh-CN" w:eastAsia="zh-CN"/>
        </w:rPr>
        <w:t>已</w:t>
      </w:r>
      <w:r>
        <w:rPr>
          <w:lang w:val="zh-CN" w:eastAsia="zh-CN"/>
        </w:rPr>
        <w:t>2026</w:t>
      </w:r>
      <w:r>
        <w:rPr>
          <w:lang w:val="zh-CN" w:eastAsia="zh-CN"/>
        </w:rPr>
        <w:t>年</w:t>
      </w:r>
      <w:r>
        <w:rPr>
          <w:lang w:val="zh-CN" w:eastAsia="zh-CN"/>
        </w:rPr>
        <w:t>3</w:t>
      </w:r>
      <w:r>
        <w:rPr>
          <w:lang w:val="zh-CN" w:eastAsia="zh-CN"/>
        </w:rPr>
        <w:t>月公布，首次对国际电联数字环境进行了全面的循证评估。</w:t>
      </w:r>
    </w:p>
    <w:p w14:paraId="4FA49FC9" w14:textId="77777777" w:rsidR="00665626" w:rsidRPr="00291FF4" w:rsidRDefault="00665626" w:rsidP="005942EE">
      <w:pPr>
        <w:ind w:firstLineChars="200" w:firstLine="480"/>
        <w:rPr>
          <w:rFonts w:cstheme="minorHAnsi"/>
          <w:lang w:eastAsia="zh-CN"/>
        </w:rPr>
      </w:pPr>
      <w:r>
        <w:rPr>
          <w:lang w:val="zh-CN" w:eastAsia="zh-CN"/>
        </w:rPr>
        <w:t>第</w:t>
      </w:r>
      <w:r>
        <w:rPr>
          <w:lang w:val="zh-CN" w:eastAsia="zh-CN"/>
        </w:rPr>
        <w:t>1</w:t>
      </w:r>
      <w:r>
        <w:rPr>
          <w:lang w:val="zh-CN" w:eastAsia="zh-CN"/>
        </w:rPr>
        <w:t>阶段侧重于</w:t>
      </w:r>
      <w:r>
        <w:rPr>
          <w:rFonts w:hint="eastAsia"/>
          <w:lang w:val="zh-CN" w:eastAsia="zh-CN"/>
        </w:rPr>
        <w:t>形成</w:t>
      </w:r>
      <w:r>
        <w:rPr>
          <w:lang w:val="zh-CN" w:eastAsia="zh-CN"/>
        </w:rPr>
        <w:t>对当前状态架构的清晰理解，确定结构制约因素</w:t>
      </w:r>
      <w:r>
        <w:rPr>
          <w:rFonts w:hint="eastAsia"/>
          <w:lang w:val="zh-CN" w:eastAsia="zh-CN"/>
        </w:rPr>
        <w:t>以及</w:t>
      </w:r>
      <w:r>
        <w:rPr>
          <w:lang w:val="zh-CN" w:eastAsia="zh-CN"/>
        </w:rPr>
        <w:t>指导国际电联数字化转型所需的基本要素。</w:t>
      </w:r>
      <w:r>
        <w:rPr>
          <w:rFonts w:hint="eastAsia"/>
          <w:lang w:val="zh-CN" w:eastAsia="zh-CN"/>
        </w:rPr>
        <w:t>这其中包括</w:t>
      </w:r>
      <w:r>
        <w:rPr>
          <w:lang w:val="zh-CN" w:eastAsia="zh-CN"/>
        </w:rPr>
        <w:t>：</w:t>
      </w:r>
    </w:p>
    <w:p w14:paraId="7992C898" w14:textId="611B997B"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rFonts w:hint="eastAsia"/>
          <w:lang w:eastAsia="zh-CN"/>
        </w:rPr>
        <w:t>针对</w:t>
      </w:r>
      <w:r w:rsidR="00665626" w:rsidRPr="005942EE">
        <w:rPr>
          <w:lang w:eastAsia="zh-CN"/>
        </w:rPr>
        <w:t>国际电联</w:t>
      </w:r>
      <w:r w:rsidR="00665626" w:rsidRPr="005942EE">
        <w:rPr>
          <w:rFonts w:hint="eastAsia"/>
          <w:lang w:eastAsia="zh-CN"/>
        </w:rPr>
        <w:t>各</w:t>
      </w:r>
      <w:r w:rsidR="00665626" w:rsidRPr="005942EE">
        <w:rPr>
          <w:lang w:eastAsia="zh-CN"/>
        </w:rPr>
        <w:t>应用、数据和基础设施的状况进行全面评估，</w:t>
      </w:r>
      <w:r w:rsidR="00665626" w:rsidRPr="005942EE">
        <w:rPr>
          <w:rFonts w:hint="eastAsia"/>
          <w:lang w:eastAsia="zh-CN"/>
        </w:rPr>
        <w:t>重点评估其</w:t>
      </w:r>
      <w:r w:rsidR="00665626" w:rsidRPr="005942EE">
        <w:rPr>
          <w:lang w:eastAsia="zh-CN"/>
        </w:rPr>
        <w:t>分散</w:t>
      </w:r>
      <w:r w:rsidR="00665626" w:rsidRPr="005942EE">
        <w:rPr>
          <w:rFonts w:hint="eastAsia"/>
          <w:lang w:eastAsia="zh-CN"/>
        </w:rPr>
        <w:t>性</w:t>
      </w:r>
      <w:r w:rsidR="00665626" w:rsidRPr="005942EE">
        <w:rPr>
          <w:lang w:eastAsia="zh-CN"/>
        </w:rPr>
        <w:t>、重复</w:t>
      </w:r>
      <w:r w:rsidR="00665626" w:rsidRPr="005942EE">
        <w:rPr>
          <w:rFonts w:hint="eastAsia"/>
          <w:lang w:eastAsia="zh-CN"/>
        </w:rPr>
        <w:t>性</w:t>
      </w:r>
      <w:r w:rsidR="00665626" w:rsidRPr="005942EE">
        <w:rPr>
          <w:lang w:eastAsia="zh-CN"/>
        </w:rPr>
        <w:t>和复杂性（</w:t>
      </w:r>
      <w:r w:rsidR="00665626" w:rsidRPr="005942EE">
        <w:rPr>
          <w:lang w:eastAsia="zh-CN"/>
        </w:rPr>
        <w:t>400+</w:t>
      </w:r>
      <w:r w:rsidR="00665626" w:rsidRPr="005942EE">
        <w:rPr>
          <w:lang w:eastAsia="zh-CN"/>
        </w:rPr>
        <w:t>应用</w:t>
      </w:r>
      <w:r w:rsidR="00665626" w:rsidRPr="005942EE">
        <w:rPr>
          <w:rFonts w:hint="eastAsia"/>
          <w:lang w:eastAsia="zh-CN"/>
        </w:rPr>
        <w:t>，</w:t>
      </w:r>
      <w:r w:rsidR="00665626" w:rsidRPr="005942EE">
        <w:rPr>
          <w:lang w:eastAsia="zh-CN"/>
        </w:rPr>
        <w:t>大部分</w:t>
      </w:r>
      <w:r w:rsidR="00665626" w:rsidRPr="005942EE">
        <w:rPr>
          <w:rFonts w:hint="eastAsia"/>
          <w:lang w:eastAsia="zh-CN"/>
        </w:rPr>
        <w:t>为</w:t>
      </w:r>
      <w:r w:rsidR="00665626" w:rsidRPr="005942EE">
        <w:rPr>
          <w:lang w:eastAsia="zh-CN"/>
        </w:rPr>
        <w:t>定制</w:t>
      </w:r>
      <w:r w:rsidR="00665626" w:rsidRPr="005942EE">
        <w:rPr>
          <w:rFonts w:hint="eastAsia"/>
          <w:lang w:eastAsia="zh-CN"/>
        </w:rPr>
        <w:t>应用</w:t>
      </w:r>
      <w:r w:rsidR="00665626" w:rsidRPr="005942EE">
        <w:rPr>
          <w:lang w:eastAsia="zh-CN"/>
        </w:rPr>
        <w:t>）</w:t>
      </w:r>
    </w:p>
    <w:p w14:paraId="0F26629D" w14:textId="1C501A3D"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对组织架构</w:t>
      </w:r>
      <w:r w:rsidR="00665626" w:rsidRPr="005942EE">
        <w:rPr>
          <w:rFonts w:hint="eastAsia"/>
          <w:lang w:eastAsia="zh-CN"/>
        </w:rPr>
        <w:t>的</w:t>
      </w:r>
      <w:r w:rsidR="00665626" w:rsidRPr="005942EE">
        <w:rPr>
          <w:lang w:eastAsia="zh-CN"/>
        </w:rPr>
        <w:t>成熟度</w:t>
      </w:r>
      <w:r w:rsidR="00665626" w:rsidRPr="005942EE">
        <w:rPr>
          <w:rFonts w:hint="eastAsia"/>
          <w:lang w:eastAsia="zh-CN"/>
        </w:rPr>
        <w:t>开展</w:t>
      </w:r>
      <w:r w:rsidR="00665626" w:rsidRPr="005942EE">
        <w:rPr>
          <w:lang w:eastAsia="zh-CN"/>
        </w:rPr>
        <w:t>评估，确认结构化治理和</w:t>
      </w:r>
      <w:r w:rsidR="00665626" w:rsidRPr="005942EE">
        <w:rPr>
          <w:rFonts w:hint="eastAsia"/>
          <w:lang w:eastAsia="zh-CN"/>
        </w:rPr>
        <w:t>拓展</w:t>
      </w:r>
      <w:r w:rsidR="00665626" w:rsidRPr="005942EE">
        <w:rPr>
          <w:lang w:eastAsia="zh-CN"/>
        </w:rPr>
        <w:t>能</w:t>
      </w:r>
      <w:r w:rsidR="00665626" w:rsidRPr="005942EE">
        <w:rPr>
          <w:rFonts w:hint="eastAsia"/>
          <w:lang w:eastAsia="zh-CN"/>
        </w:rPr>
        <w:t>力</w:t>
      </w:r>
      <w:r w:rsidR="00665626" w:rsidRPr="005942EE">
        <w:rPr>
          <w:lang w:eastAsia="zh-CN"/>
        </w:rPr>
        <w:t>的必要性，</w:t>
      </w:r>
      <w:r w:rsidR="00665626" w:rsidRPr="005942EE">
        <w:rPr>
          <w:rFonts w:hint="eastAsia"/>
          <w:lang w:eastAsia="zh-CN"/>
        </w:rPr>
        <w:t>研究国际电联当前处于</w:t>
      </w:r>
      <w:r w:rsidR="00665626" w:rsidRPr="005942EE">
        <w:rPr>
          <w:lang w:eastAsia="zh-CN"/>
        </w:rPr>
        <w:t>1</w:t>
      </w:r>
      <w:r w:rsidR="00665626" w:rsidRPr="005942EE">
        <w:rPr>
          <w:rFonts w:hint="eastAsia"/>
          <w:lang w:eastAsia="zh-CN"/>
        </w:rPr>
        <w:t>.</w:t>
      </w:r>
      <w:r w:rsidR="00665626" w:rsidRPr="005942EE">
        <w:rPr>
          <w:lang w:eastAsia="zh-CN"/>
        </w:rPr>
        <w:t>2</w:t>
      </w:r>
      <w:r w:rsidR="00665626" w:rsidRPr="005942EE">
        <w:rPr>
          <w:lang w:eastAsia="zh-CN"/>
        </w:rPr>
        <w:t>级（特</w:t>
      </w:r>
      <w:r w:rsidR="00665626" w:rsidRPr="005942EE">
        <w:rPr>
          <w:rFonts w:hint="eastAsia"/>
          <w:lang w:eastAsia="zh-CN"/>
        </w:rPr>
        <w:t>设级别</w:t>
      </w:r>
      <w:r w:rsidR="00665626" w:rsidRPr="005942EE">
        <w:rPr>
          <w:lang w:eastAsia="zh-CN"/>
        </w:rPr>
        <w:t>）</w:t>
      </w:r>
      <w:r w:rsidR="00665626" w:rsidRPr="005942EE">
        <w:rPr>
          <w:rFonts w:hint="eastAsia"/>
          <w:lang w:eastAsia="zh-CN"/>
        </w:rPr>
        <w:t>这一</w:t>
      </w:r>
      <w:r w:rsidR="00665626" w:rsidRPr="005942EE">
        <w:rPr>
          <w:lang w:eastAsia="zh-CN"/>
        </w:rPr>
        <w:t>低基线</w:t>
      </w:r>
      <w:r w:rsidR="00665626" w:rsidRPr="005942EE">
        <w:rPr>
          <w:rFonts w:hint="eastAsia"/>
          <w:lang w:eastAsia="zh-CN"/>
        </w:rPr>
        <w:t>水平</w:t>
      </w:r>
      <w:r w:rsidR="00665626" w:rsidRPr="005942EE">
        <w:rPr>
          <w:lang w:eastAsia="zh-CN"/>
        </w:rPr>
        <w:t>（共</w:t>
      </w:r>
      <w:r w:rsidR="00665626" w:rsidRPr="005942EE">
        <w:rPr>
          <w:lang w:eastAsia="zh-CN"/>
        </w:rPr>
        <w:t>5</w:t>
      </w:r>
      <w:r w:rsidR="00665626" w:rsidRPr="005942EE">
        <w:rPr>
          <w:lang w:eastAsia="zh-CN"/>
        </w:rPr>
        <w:t>级）</w:t>
      </w:r>
      <w:r w:rsidR="00665626" w:rsidRPr="005942EE">
        <w:rPr>
          <w:rFonts w:hint="eastAsia"/>
          <w:lang w:eastAsia="zh-CN"/>
        </w:rPr>
        <w:t>的问题</w:t>
      </w:r>
      <w:r w:rsidR="00665626" w:rsidRPr="005942EE">
        <w:rPr>
          <w:lang w:eastAsia="zh-CN"/>
        </w:rPr>
        <w:t>。评估成熟度等级</w:t>
      </w:r>
      <w:r w:rsidR="00665626" w:rsidRPr="005942EE">
        <w:rPr>
          <w:rFonts w:hint="eastAsia"/>
          <w:lang w:eastAsia="zh-CN"/>
        </w:rPr>
        <w:t>，采用了</w:t>
      </w:r>
      <w:r w:rsidR="00665626" w:rsidRPr="005942EE">
        <w:rPr>
          <w:lang w:eastAsia="zh-CN"/>
        </w:rPr>
        <w:t>全球</w:t>
      </w:r>
      <w:r w:rsidR="00665626" w:rsidRPr="005942EE">
        <w:rPr>
          <w:rFonts w:hint="eastAsia"/>
          <w:lang w:eastAsia="zh-CN"/>
        </w:rPr>
        <w:t>均在</w:t>
      </w:r>
      <w:r w:rsidR="00665626" w:rsidRPr="005942EE">
        <w:rPr>
          <w:lang w:eastAsia="zh-CN"/>
        </w:rPr>
        <w:t>使用的综合</w:t>
      </w:r>
      <w:r w:rsidR="00665626" w:rsidRPr="005942EE">
        <w:rPr>
          <w:lang w:eastAsia="zh-CN"/>
        </w:rPr>
        <w:t>EA</w:t>
      </w:r>
      <w:r w:rsidR="00665626" w:rsidRPr="005942EE">
        <w:rPr>
          <w:lang w:eastAsia="zh-CN"/>
        </w:rPr>
        <w:t>框架</w:t>
      </w:r>
      <w:r w:rsidR="00665626" w:rsidRPr="005942EE">
        <w:rPr>
          <w:rFonts w:hint="eastAsia"/>
          <w:lang w:eastAsia="zh-CN"/>
        </w:rPr>
        <w:t>，即</w:t>
      </w:r>
      <w:r w:rsidR="00665626" w:rsidRPr="005942EE">
        <w:rPr>
          <w:lang w:eastAsia="zh-CN"/>
        </w:rPr>
        <w:t>开放组架构框架（</w:t>
      </w:r>
      <w:proofErr w:type="spellStart"/>
      <w:r w:rsidR="00665626" w:rsidRPr="005942EE">
        <w:rPr>
          <w:lang w:eastAsia="zh-CN"/>
        </w:rPr>
        <w:t>TOGAF</w:t>
      </w:r>
      <w:proofErr w:type="spellEnd"/>
      <w:r w:rsidR="00665626" w:rsidRPr="005942EE">
        <w:rPr>
          <w:lang w:eastAsia="zh-CN"/>
        </w:rPr>
        <w:t>）。</w:t>
      </w:r>
    </w:p>
    <w:p w14:paraId="4EA1CA05" w14:textId="5FEC5DF4"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确定关键的结构性挑战，包括技术债务、</w:t>
      </w:r>
      <w:r w:rsidR="00665626" w:rsidRPr="005942EE">
        <w:rPr>
          <w:rFonts w:hint="eastAsia"/>
          <w:lang w:eastAsia="zh-CN"/>
        </w:rPr>
        <w:t>各自为政的投资</w:t>
      </w:r>
      <w:r w:rsidR="00665626" w:rsidRPr="005942EE">
        <w:rPr>
          <w:lang w:eastAsia="zh-CN"/>
        </w:rPr>
        <w:t>、有限</w:t>
      </w:r>
      <w:r w:rsidR="00665626" w:rsidRPr="005942EE">
        <w:rPr>
          <w:rFonts w:hint="eastAsia"/>
          <w:lang w:eastAsia="zh-CN"/>
        </w:rPr>
        <w:t>的</w:t>
      </w:r>
      <w:r w:rsidR="00665626" w:rsidRPr="005942EE">
        <w:rPr>
          <w:lang w:eastAsia="zh-CN"/>
        </w:rPr>
        <w:t>互操作性和缺乏组织</w:t>
      </w:r>
      <w:r w:rsidR="00665626" w:rsidRPr="005942EE">
        <w:rPr>
          <w:rFonts w:hint="eastAsia"/>
          <w:lang w:eastAsia="zh-CN"/>
        </w:rPr>
        <w:t>层面的</w:t>
      </w:r>
      <w:r w:rsidR="00665626" w:rsidRPr="005942EE">
        <w:rPr>
          <w:lang w:eastAsia="zh-CN"/>
        </w:rPr>
        <w:t>数据治理</w:t>
      </w:r>
    </w:p>
    <w:p w14:paraId="2FD0095E" w14:textId="09DD5128"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rFonts w:hint="eastAsia"/>
          <w:lang w:eastAsia="zh-CN"/>
        </w:rPr>
        <w:t>通过对风险和依赖关系的统一梳理，支持现代化工作的优先排序</w:t>
      </w:r>
      <w:r w:rsidR="00665626" w:rsidRPr="005942EE">
        <w:rPr>
          <w:lang w:eastAsia="zh-CN"/>
        </w:rPr>
        <w:t>。</w:t>
      </w:r>
    </w:p>
    <w:p w14:paraId="5B043609" w14:textId="77777777" w:rsidR="00665626" w:rsidRPr="00CC0FBE" w:rsidRDefault="00665626" w:rsidP="005942EE">
      <w:pPr>
        <w:ind w:firstLineChars="200" w:firstLine="480"/>
        <w:rPr>
          <w:rFonts w:asciiTheme="minorHAnsi" w:hAnsiTheme="minorHAnsi" w:cstheme="minorHAnsi"/>
          <w:lang w:eastAsia="zh-CN"/>
        </w:rPr>
      </w:pPr>
      <w:r>
        <w:rPr>
          <w:lang w:val="zh-CN" w:eastAsia="zh-CN"/>
        </w:rPr>
        <w:t>在此评估的基础上，</w:t>
      </w:r>
      <w:r w:rsidRPr="00E20611">
        <w:rPr>
          <w:rFonts w:hint="eastAsia"/>
          <w:lang w:val="zh-CN" w:eastAsia="zh-CN"/>
        </w:rPr>
        <w:t>第</w:t>
      </w:r>
      <w:r>
        <w:rPr>
          <w:rFonts w:hint="eastAsia"/>
          <w:lang w:val="zh-CN" w:eastAsia="zh-CN"/>
        </w:rPr>
        <w:t>1</w:t>
      </w:r>
      <w:r w:rsidRPr="00E20611">
        <w:rPr>
          <w:rFonts w:hint="eastAsia"/>
          <w:lang w:val="zh-CN" w:eastAsia="zh-CN"/>
        </w:rPr>
        <w:t>阶段还为目标状态架构奠定了基础</w:t>
      </w:r>
      <w:r>
        <w:rPr>
          <w:lang w:val="zh-CN" w:eastAsia="zh-CN"/>
        </w:rPr>
        <w:t>，包括：</w:t>
      </w:r>
    </w:p>
    <w:p w14:paraId="4B99DDC5" w14:textId="0A7F1425"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rFonts w:hint="eastAsia"/>
          <w:lang w:eastAsia="zh-CN"/>
        </w:rPr>
        <w:t>建立了一套由</w:t>
      </w:r>
      <w:r w:rsidR="00665626" w:rsidRPr="005942EE">
        <w:rPr>
          <w:rFonts w:hint="eastAsia"/>
          <w:lang w:eastAsia="zh-CN"/>
        </w:rPr>
        <w:t>25</w:t>
      </w:r>
      <w:r w:rsidR="00665626" w:rsidRPr="005942EE">
        <w:rPr>
          <w:rFonts w:hint="eastAsia"/>
          <w:lang w:eastAsia="zh-CN"/>
        </w:rPr>
        <w:t>项</w:t>
      </w:r>
      <w:r w:rsidR="00665626" w:rsidRPr="005942EE">
        <w:rPr>
          <w:rFonts w:hint="eastAsia"/>
          <w:lang w:eastAsia="zh-CN"/>
        </w:rPr>
        <w:t>EA</w:t>
      </w:r>
      <w:r w:rsidR="00665626" w:rsidRPr="005942EE">
        <w:rPr>
          <w:rFonts w:hint="eastAsia"/>
          <w:lang w:eastAsia="zh-CN"/>
        </w:rPr>
        <w:t>原则组成的体系，用于指导未来所有数字化投资与决策</w:t>
      </w:r>
    </w:p>
    <w:p w14:paraId="68DDBAFC" w14:textId="48349427"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rFonts w:hint="eastAsia"/>
          <w:lang w:eastAsia="zh-CN"/>
        </w:rPr>
        <w:t>推出一种联邦式架构模型，从而在统一标准与各业务领域特有灵活性之间取得平衡</w:t>
      </w:r>
    </w:p>
    <w:p w14:paraId="1D5B4F62" w14:textId="2424654D"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rFonts w:hint="eastAsia"/>
          <w:lang w:eastAsia="zh-CN"/>
        </w:rPr>
        <w:t>将</w:t>
      </w:r>
      <w:r w:rsidR="00665626" w:rsidRPr="005942EE">
        <w:rPr>
          <w:rFonts w:hint="eastAsia"/>
          <w:lang w:eastAsia="zh-CN"/>
        </w:rPr>
        <w:t>EA</w:t>
      </w:r>
      <w:r w:rsidR="00665626" w:rsidRPr="005942EE">
        <w:rPr>
          <w:rFonts w:hint="eastAsia"/>
          <w:lang w:eastAsia="zh-CN"/>
        </w:rPr>
        <w:t>作为强制性治理控制层引入并提供目标状态的架构蓝图，为构建更加一体化、可扩展且安全的数字生态系统指明方向</w:t>
      </w:r>
    </w:p>
    <w:p w14:paraId="5301236A" w14:textId="234EF93D"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rFonts w:hint="eastAsia"/>
          <w:lang w:eastAsia="zh-CN"/>
        </w:rPr>
        <w:t>提出一系列有关工作重点的建议及路线图，用于减少碎片化，并在</w:t>
      </w:r>
      <w:r w:rsidR="00665626" w:rsidRPr="005942EE">
        <w:rPr>
          <w:rFonts w:hint="eastAsia"/>
          <w:lang w:eastAsia="zh-CN"/>
        </w:rPr>
        <w:t>2027</w:t>
      </w:r>
      <w:r w:rsidR="00665626" w:rsidRPr="005942EE">
        <w:rPr>
          <w:rFonts w:hint="eastAsia"/>
          <w:lang w:eastAsia="zh-CN"/>
        </w:rPr>
        <w:t>年底前逐步将架构成熟度提升至第</w:t>
      </w:r>
      <w:r w:rsidR="00665626" w:rsidRPr="005942EE">
        <w:rPr>
          <w:rFonts w:hint="eastAsia"/>
          <w:lang w:eastAsia="zh-CN"/>
        </w:rPr>
        <w:t>3</w:t>
      </w:r>
      <w:r w:rsidR="00665626" w:rsidRPr="005942EE">
        <w:rPr>
          <w:rFonts w:hint="eastAsia"/>
          <w:lang w:eastAsia="zh-CN"/>
        </w:rPr>
        <w:t>级（受控）。这些</w:t>
      </w:r>
      <w:r w:rsidR="00665626" w:rsidRPr="005942EE">
        <w:rPr>
          <w:rFonts w:hint="eastAsia"/>
          <w:lang w:eastAsia="zh-CN"/>
        </w:rPr>
        <w:t>EA</w:t>
      </w:r>
      <w:r w:rsidR="00665626" w:rsidRPr="005942EE">
        <w:rPr>
          <w:rFonts w:hint="eastAsia"/>
          <w:lang w:eastAsia="zh-CN"/>
        </w:rPr>
        <w:t>原则和建议是在与国际电联各业务部门及总秘书处广泛协作的基础上制定的，这不仅能够确保数字化转型方法的统一且可与组织的整体制度保持一致。</w:t>
      </w:r>
    </w:p>
    <w:p w14:paraId="6DB877EA" w14:textId="77777777" w:rsidR="00665626" w:rsidRPr="00D5779A" w:rsidRDefault="00665626" w:rsidP="005942EE">
      <w:pPr>
        <w:ind w:firstLineChars="200" w:firstLine="480"/>
        <w:rPr>
          <w:lang w:eastAsia="zh-CN"/>
        </w:rPr>
      </w:pPr>
      <w:r w:rsidRPr="00E20611">
        <w:rPr>
          <w:rFonts w:hint="eastAsia"/>
          <w:lang w:val="zh-CN" w:eastAsia="zh-CN"/>
        </w:rPr>
        <w:t>总体而言，这些成果将</w:t>
      </w:r>
      <w:r w:rsidRPr="00E20611">
        <w:rPr>
          <w:rFonts w:hint="eastAsia"/>
          <w:lang w:val="zh-CN" w:eastAsia="zh-CN"/>
        </w:rPr>
        <w:t>EA</w:t>
      </w:r>
      <w:r w:rsidRPr="00E20611">
        <w:rPr>
          <w:rFonts w:hint="eastAsia"/>
          <w:lang w:val="zh-CN" w:eastAsia="zh-CN"/>
        </w:rPr>
        <w:t>确立为关键的基础支撑能力和治理机制，</w:t>
      </w:r>
      <w:r>
        <w:rPr>
          <w:rFonts w:hint="eastAsia"/>
          <w:lang w:val="zh-CN" w:eastAsia="zh-CN"/>
        </w:rPr>
        <w:t>可</w:t>
      </w:r>
      <w:r w:rsidRPr="00E20611">
        <w:rPr>
          <w:rFonts w:hint="eastAsia"/>
          <w:lang w:val="zh-CN" w:eastAsia="zh-CN"/>
        </w:rPr>
        <w:t>确保未来投资具备</w:t>
      </w:r>
      <w:r>
        <w:rPr>
          <w:rFonts w:hint="eastAsia"/>
          <w:lang w:val="zh-CN" w:eastAsia="zh-CN"/>
        </w:rPr>
        <w:t>具连贯</w:t>
      </w:r>
      <w:r w:rsidRPr="00E20611">
        <w:rPr>
          <w:rFonts w:hint="eastAsia"/>
          <w:lang w:val="zh-CN" w:eastAsia="zh-CN"/>
        </w:rPr>
        <w:t>性、互操作性，并与</w:t>
      </w:r>
      <w:r>
        <w:rPr>
          <w:rFonts w:hint="eastAsia"/>
          <w:lang w:val="zh-CN" w:eastAsia="zh-CN"/>
        </w:rPr>
        <w:t>国际电联</w:t>
      </w:r>
      <w:r w:rsidRPr="00E20611">
        <w:rPr>
          <w:rFonts w:hint="eastAsia"/>
          <w:lang w:val="zh-CN" w:eastAsia="zh-CN"/>
        </w:rPr>
        <w:t>的战略</w:t>
      </w:r>
      <w:r>
        <w:rPr>
          <w:rFonts w:hint="eastAsia"/>
          <w:lang w:val="zh-CN" w:eastAsia="zh-CN"/>
        </w:rPr>
        <w:t>工作重点</w:t>
      </w:r>
      <w:r w:rsidRPr="00E20611">
        <w:rPr>
          <w:rFonts w:hint="eastAsia"/>
          <w:lang w:val="zh-CN" w:eastAsia="zh-CN"/>
        </w:rPr>
        <w:t>保持一致。</w:t>
      </w:r>
    </w:p>
    <w:p w14:paraId="58DD471D" w14:textId="77777777" w:rsidR="00665626" w:rsidRPr="00CC0FBE" w:rsidRDefault="00665626" w:rsidP="001630B0">
      <w:pPr>
        <w:pStyle w:val="Headingb"/>
        <w:rPr>
          <w:lang w:eastAsia="zh-CN"/>
        </w:rPr>
      </w:pPr>
      <w:r>
        <w:rPr>
          <w:bCs/>
          <w:lang w:val="zh-CN" w:eastAsia="zh-CN"/>
        </w:rPr>
        <w:lastRenderedPageBreak/>
        <w:t>后续步骤</w:t>
      </w:r>
    </w:p>
    <w:p w14:paraId="3BFE0E29" w14:textId="33198686" w:rsidR="00665626" w:rsidRPr="005942EE" w:rsidRDefault="005942EE" w:rsidP="001630B0">
      <w:pPr>
        <w:pStyle w:val="enumlev1"/>
        <w:keepNext/>
        <w:keepLines/>
        <w:rPr>
          <w:lang w:eastAsia="zh-CN"/>
        </w:rPr>
      </w:pPr>
      <w:r w:rsidRPr="005942EE">
        <w:rPr>
          <w:lang w:eastAsia="zh-CN"/>
        </w:rPr>
        <w:t>–</w:t>
      </w:r>
      <w:r w:rsidRPr="005942EE">
        <w:rPr>
          <w:lang w:eastAsia="zh-CN"/>
        </w:rPr>
        <w:tab/>
      </w:r>
      <w:r w:rsidR="00665626" w:rsidRPr="005942EE">
        <w:rPr>
          <w:lang w:eastAsia="zh-CN"/>
        </w:rPr>
        <w:t>正式采用</w:t>
      </w:r>
      <w:r w:rsidR="00665626" w:rsidRPr="005942EE">
        <w:rPr>
          <w:lang w:eastAsia="zh-CN"/>
        </w:rPr>
        <w:t>EA</w:t>
      </w:r>
      <w:r w:rsidR="00665626" w:rsidRPr="005942EE">
        <w:rPr>
          <w:lang w:eastAsia="zh-CN"/>
        </w:rPr>
        <w:t>原则和治理模型</w:t>
      </w:r>
    </w:p>
    <w:p w14:paraId="1C720095" w14:textId="754A87E9" w:rsidR="00665626" w:rsidRPr="005942EE" w:rsidRDefault="005942EE" w:rsidP="001630B0">
      <w:pPr>
        <w:pStyle w:val="enumlev1"/>
        <w:keepNext/>
        <w:keepLines/>
        <w:rPr>
          <w:lang w:eastAsia="zh-CN"/>
        </w:rPr>
      </w:pPr>
      <w:r w:rsidRPr="005942EE">
        <w:rPr>
          <w:lang w:eastAsia="zh-CN"/>
        </w:rPr>
        <w:t>–</w:t>
      </w:r>
      <w:r w:rsidRPr="005942EE">
        <w:rPr>
          <w:lang w:eastAsia="zh-CN"/>
        </w:rPr>
        <w:tab/>
      </w:r>
      <w:r w:rsidR="00665626" w:rsidRPr="005942EE">
        <w:rPr>
          <w:lang w:eastAsia="zh-CN"/>
        </w:rPr>
        <w:t>成立组织架构委员会（</w:t>
      </w:r>
      <w:proofErr w:type="spellStart"/>
      <w:r w:rsidR="00665626" w:rsidRPr="005942EE">
        <w:rPr>
          <w:lang w:eastAsia="zh-CN"/>
        </w:rPr>
        <w:t>EAB</w:t>
      </w:r>
      <w:proofErr w:type="spellEnd"/>
      <w:r w:rsidR="00665626" w:rsidRPr="005942EE">
        <w:rPr>
          <w:lang w:eastAsia="zh-CN"/>
        </w:rPr>
        <w:t>）</w:t>
      </w:r>
    </w:p>
    <w:p w14:paraId="5C8D04C2" w14:textId="474CEF8E" w:rsidR="00665626" w:rsidRPr="005942EE" w:rsidRDefault="005942EE" w:rsidP="001630B0">
      <w:pPr>
        <w:pStyle w:val="enumlev1"/>
        <w:keepNext/>
        <w:keepLines/>
        <w:rPr>
          <w:lang w:eastAsia="zh-CN"/>
        </w:rPr>
      </w:pPr>
      <w:r w:rsidRPr="005942EE">
        <w:rPr>
          <w:lang w:eastAsia="zh-CN"/>
        </w:rPr>
        <w:t>–</w:t>
      </w:r>
      <w:r w:rsidRPr="005942EE">
        <w:rPr>
          <w:lang w:eastAsia="zh-CN"/>
        </w:rPr>
        <w:tab/>
      </w:r>
      <w:r w:rsidR="00665626" w:rsidRPr="005942EE">
        <w:rPr>
          <w:lang w:eastAsia="zh-CN"/>
        </w:rPr>
        <w:t>将</w:t>
      </w:r>
      <w:r w:rsidR="00665626" w:rsidRPr="005942EE">
        <w:rPr>
          <w:lang w:eastAsia="zh-CN"/>
        </w:rPr>
        <w:t>EA</w:t>
      </w:r>
      <w:r w:rsidR="00665626" w:rsidRPr="005942EE">
        <w:rPr>
          <w:lang w:eastAsia="zh-CN"/>
        </w:rPr>
        <w:t>整合到所有投资和采购决策中</w:t>
      </w:r>
    </w:p>
    <w:p w14:paraId="28FC5BE6" w14:textId="6D8EE271" w:rsidR="00665626" w:rsidRPr="005942EE" w:rsidRDefault="005942EE" w:rsidP="001630B0">
      <w:pPr>
        <w:pStyle w:val="enumlev1"/>
        <w:keepNext/>
        <w:keepLines/>
        <w:rPr>
          <w:lang w:eastAsia="zh-CN"/>
        </w:rPr>
      </w:pPr>
      <w:r w:rsidRPr="005942EE">
        <w:rPr>
          <w:lang w:eastAsia="zh-CN"/>
        </w:rPr>
        <w:t>–</w:t>
      </w:r>
      <w:r w:rsidRPr="005942EE">
        <w:rPr>
          <w:lang w:eastAsia="zh-CN"/>
        </w:rPr>
        <w:tab/>
      </w:r>
      <w:r w:rsidR="00665626" w:rsidRPr="005942EE">
        <w:rPr>
          <w:rFonts w:hint="eastAsia"/>
          <w:lang w:eastAsia="zh-CN"/>
        </w:rPr>
        <w:t>实施架构评审关卡机制</w:t>
      </w:r>
    </w:p>
    <w:p w14:paraId="745E3CBA" w14:textId="1D91EA4F"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rFonts w:hint="eastAsia"/>
          <w:lang w:eastAsia="zh-CN"/>
        </w:rPr>
        <w:t>实现</w:t>
      </w:r>
      <w:r w:rsidR="00665626" w:rsidRPr="005942EE">
        <w:rPr>
          <w:lang w:eastAsia="zh-CN"/>
        </w:rPr>
        <w:t>架构路线图（身份、数据、</w:t>
      </w:r>
      <w:r w:rsidR="00665626" w:rsidRPr="005942EE">
        <w:rPr>
          <w:lang w:eastAsia="zh-CN"/>
        </w:rPr>
        <w:t>ERP</w:t>
      </w:r>
      <w:r w:rsidR="00665626" w:rsidRPr="005942EE">
        <w:rPr>
          <w:lang w:eastAsia="zh-CN"/>
        </w:rPr>
        <w:t>、集成、云）。</w:t>
      </w:r>
    </w:p>
    <w:p w14:paraId="5E4C91EC" w14:textId="77777777" w:rsidR="00665626" w:rsidRPr="00414A74" w:rsidRDefault="00665626" w:rsidP="00665626">
      <w:pPr>
        <w:pStyle w:val="Heading2"/>
        <w:rPr>
          <w:lang w:eastAsia="zh-CN"/>
        </w:rPr>
      </w:pPr>
      <w:r>
        <w:rPr>
          <w:bCs/>
          <w:lang w:val="zh-CN" w:eastAsia="zh-CN"/>
        </w:rPr>
        <w:t>2.3</w:t>
      </w:r>
      <w:r>
        <w:rPr>
          <w:lang w:val="zh-CN" w:eastAsia="zh-CN"/>
        </w:rPr>
        <w:tab/>
      </w:r>
      <w:r>
        <w:rPr>
          <w:bCs/>
          <w:lang w:val="zh-CN" w:eastAsia="zh-CN"/>
        </w:rPr>
        <w:t>完善数字治理框架</w:t>
      </w:r>
    </w:p>
    <w:p w14:paraId="3A86E95F" w14:textId="77777777" w:rsidR="00665626" w:rsidRPr="00CC0FBE" w:rsidRDefault="00665626" w:rsidP="005942EE">
      <w:pPr>
        <w:ind w:firstLineChars="200" w:firstLine="480"/>
        <w:rPr>
          <w:rFonts w:asciiTheme="minorHAnsi" w:hAnsiTheme="minorHAnsi" w:cstheme="minorBidi"/>
          <w:lang w:eastAsia="zh-CN"/>
        </w:rPr>
      </w:pPr>
      <w:r w:rsidRPr="002804A5">
        <w:rPr>
          <w:rFonts w:hint="eastAsia"/>
          <w:lang w:val="zh-CN" w:eastAsia="zh-CN"/>
        </w:rPr>
        <w:t>拟议中的</w:t>
      </w:r>
      <w:r>
        <w:rPr>
          <w:rFonts w:hint="eastAsia"/>
          <w:lang w:val="zh-CN" w:eastAsia="zh-CN"/>
        </w:rPr>
        <w:t>《</w:t>
      </w:r>
      <w:r w:rsidRPr="002804A5">
        <w:rPr>
          <w:rFonts w:hint="eastAsia"/>
          <w:lang w:val="zh-CN" w:eastAsia="zh-CN"/>
        </w:rPr>
        <w:t>数字治理章程</w:t>
      </w:r>
      <w:r>
        <w:rPr>
          <w:rFonts w:hint="eastAsia"/>
          <w:lang w:val="zh-CN" w:eastAsia="zh-CN"/>
        </w:rPr>
        <w:t>》</w:t>
      </w:r>
      <w:r w:rsidRPr="002804A5">
        <w:rPr>
          <w:rFonts w:hint="eastAsia"/>
          <w:lang w:val="zh-CN" w:eastAsia="zh-CN"/>
        </w:rPr>
        <w:t>为</w:t>
      </w:r>
      <w:r>
        <w:rPr>
          <w:rFonts w:hint="eastAsia"/>
          <w:lang w:val="zh-CN" w:eastAsia="zh-CN"/>
        </w:rPr>
        <w:t>国际电联</w:t>
      </w:r>
      <w:r w:rsidRPr="002804A5">
        <w:rPr>
          <w:rFonts w:hint="eastAsia"/>
          <w:lang w:val="zh-CN" w:eastAsia="zh-CN"/>
        </w:rPr>
        <w:t>的数字化转型建立了一个现代化、覆盖全机构的治理模型，推动</w:t>
      </w:r>
      <w:r>
        <w:rPr>
          <w:rFonts w:hint="eastAsia"/>
          <w:lang w:val="zh-CN" w:eastAsia="zh-CN"/>
        </w:rPr>
        <w:t>国际电联</w:t>
      </w:r>
      <w:r w:rsidRPr="002804A5">
        <w:rPr>
          <w:rFonts w:hint="eastAsia"/>
          <w:lang w:val="zh-CN" w:eastAsia="zh-CN"/>
        </w:rPr>
        <w:t>从传统的</w:t>
      </w:r>
      <w:r w:rsidRPr="002804A5">
        <w:rPr>
          <w:rFonts w:hint="eastAsia"/>
          <w:lang w:val="zh-CN" w:eastAsia="zh-CN"/>
        </w:rPr>
        <w:t>ICT</w:t>
      </w:r>
      <w:r w:rsidRPr="002804A5">
        <w:rPr>
          <w:rFonts w:hint="eastAsia"/>
          <w:lang w:val="zh-CN" w:eastAsia="zh-CN"/>
        </w:rPr>
        <w:t>治理向一体化的数字治理转型。</w:t>
      </w:r>
    </w:p>
    <w:p w14:paraId="64B3A4CC" w14:textId="77777777" w:rsidR="00665626" w:rsidRPr="00D94435" w:rsidRDefault="00665626" w:rsidP="005942EE">
      <w:pPr>
        <w:ind w:firstLineChars="200" w:firstLine="480"/>
        <w:rPr>
          <w:rFonts w:asciiTheme="minorHAnsi" w:hAnsiTheme="minorHAnsi" w:cstheme="minorBidi"/>
          <w:lang w:eastAsia="zh-CN"/>
        </w:rPr>
      </w:pPr>
      <w:r>
        <w:rPr>
          <w:lang w:val="zh-CN" w:eastAsia="zh-CN"/>
        </w:rPr>
        <w:t>完善后的章程的一</w:t>
      </w:r>
      <w:r>
        <w:rPr>
          <w:rFonts w:hint="eastAsia"/>
          <w:lang w:val="zh-CN" w:eastAsia="zh-CN"/>
        </w:rPr>
        <w:t>项</w:t>
      </w:r>
      <w:r>
        <w:rPr>
          <w:lang w:val="zh-CN" w:eastAsia="zh-CN"/>
        </w:rPr>
        <w:t>关键要素是将</w:t>
      </w:r>
      <w:r>
        <w:rPr>
          <w:lang w:val="zh-CN" w:eastAsia="zh-CN"/>
        </w:rPr>
        <w:t>ICTGC</w:t>
      </w:r>
      <w:r>
        <w:rPr>
          <w:rFonts w:hint="eastAsia"/>
          <w:lang w:val="zh-CN" w:eastAsia="zh-CN"/>
        </w:rPr>
        <w:t>建设</w:t>
      </w:r>
      <w:r>
        <w:rPr>
          <w:lang w:val="zh-CN" w:eastAsia="zh-CN"/>
        </w:rPr>
        <w:t>成</w:t>
      </w:r>
      <w:r>
        <w:rPr>
          <w:rFonts w:hint="eastAsia"/>
          <w:lang w:val="zh-CN" w:eastAsia="zh-CN"/>
        </w:rPr>
        <w:t>为</w:t>
      </w:r>
      <w:r>
        <w:rPr>
          <w:lang w:val="zh-CN" w:eastAsia="zh-CN"/>
        </w:rPr>
        <w:t>一个更广泛的数字治理委员会（</w:t>
      </w:r>
      <w:r>
        <w:rPr>
          <w:lang w:val="zh-CN" w:eastAsia="zh-CN"/>
        </w:rPr>
        <w:t>DGB</w:t>
      </w:r>
      <w:r>
        <w:rPr>
          <w:lang w:val="zh-CN" w:eastAsia="zh-CN"/>
        </w:rPr>
        <w:t>），其职责包括：</w:t>
      </w:r>
    </w:p>
    <w:p w14:paraId="5AC6044B" w14:textId="37B58B62"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数字战略和转型监督</w:t>
      </w:r>
    </w:p>
    <w:p w14:paraId="799F9772" w14:textId="4AB100CC"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投资优先排序和投资组合治理</w:t>
      </w:r>
    </w:p>
    <w:p w14:paraId="7A81E752" w14:textId="037875EB"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组织架构</w:t>
      </w:r>
      <w:r w:rsidR="00665626" w:rsidRPr="005942EE">
        <w:rPr>
          <w:rFonts w:hint="eastAsia"/>
          <w:lang w:eastAsia="zh-CN"/>
        </w:rPr>
        <w:t>建设</w:t>
      </w:r>
    </w:p>
    <w:p w14:paraId="64943F2E" w14:textId="3F5069C0"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数据和人工智能治理</w:t>
      </w:r>
    </w:p>
    <w:p w14:paraId="2648B46F" w14:textId="0AF5B921"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rFonts w:hint="eastAsia"/>
          <w:lang w:eastAsia="zh-CN"/>
        </w:rPr>
        <w:t>管理</w:t>
      </w:r>
      <w:r w:rsidR="00665626" w:rsidRPr="005942EE">
        <w:rPr>
          <w:lang w:eastAsia="zh-CN"/>
        </w:rPr>
        <w:t>网络安全和数字风险</w:t>
      </w:r>
      <w:r w:rsidR="00665626" w:rsidRPr="005942EE">
        <w:rPr>
          <w:rFonts w:hint="eastAsia"/>
          <w:lang w:eastAsia="zh-CN"/>
        </w:rPr>
        <w:t>。</w:t>
      </w:r>
    </w:p>
    <w:p w14:paraId="4E3ECF4E" w14:textId="77777777" w:rsidR="00665626" w:rsidRPr="009357CE" w:rsidRDefault="00665626" w:rsidP="005942EE">
      <w:pPr>
        <w:ind w:firstLineChars="200" w:firstLine="480"/>
        <w:rPr>
          <w:lang w:eastAsia="zh-CN"/>
        </w:rPr>
      </w:pPr>
      <w:r>
        <w:rPr>
          <w:lang w:val="zh-CN" w:eastAsia="zh-CN"/>
        </w:rPr>
        <w:t>该框架引入了三层治理模型：</w:t>
      </w:r>
    </w:p>
    <w:p w14:paraId="5AA3BA07" w14:textId="0FCBDA51"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战略治理（</w:t>
      </w:r>
      <w:proofErr w:type="spellStart"/>
      <w:r w:rsidR="00665626" w:rsidRPr="005942EE">
        <w:rPr>
          <w:lang w:eastAsia="zh-CN"/>
        </w:rPr>
        <w:t>DGB</w:t>
      </w:r>
      <w:proofErr w:type="spellEnd"/>
      <w:r w:rsidR="00665626" w:rsidRPr="005942EE">
        <w:rPr>
          <w:lang w:eastAsia="zh-CN"/>
        </w:rPr>
        <w:t>）</w:t>
      </w:r>
    </w:p>
    <w:p w14:paraId="56247E73" w14:textId="1A83192A"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项目组合和架构治理（首席信息官办公室（</w:t>
      </w:r>
      <w:proofErr w:type="spellStart"/>
      <w:r w:rsidR="00665626" w:rsidRPr="005942EE">
        <w:rPr>
          <w:lang w:eastAsia="zh-CN"/>
        </w:rPr>
        <w:t>OCIO</w:t>
      </w:r>
      <w:proofErr w:type="spellEnd"/>
      <w:r w:rsidR="00665626" w:rsidRPr="005942EE">
        <w:rPr>
          <w:lang w:eastAsia="zh-CN"/>
        </w:rPr>
        <w:t>）和</w:t>
      </w:r>
      <w:proofErr w:type="spellStart"/>
      <w:r w:rsidR="00665626" w:rsidRPr="005942EE">
        <w:rPr>
          <w:lang w:eastAsia="zh-CN"/>
        </w:rPr>
        <w:t>EAB</w:t>
      </w:r>
      <w:proofErr w:type="spellEnd"/>
      <w:r w:rsidR="00665626" w:rsidRPr="005942EE">
        <w:rPr>
          <w:lang w:eastAsia="zh-CN"/>
        </w:rPr>
        <w:t>）</w:t>
      </w:r>
    </w:p>
    <w:p w14:paraId="5113EECC" w14:textId="32691B87"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交付治理（</w:t>
      </w:r>
      <w:r w:rsidR="00665626" w:rsidRPr="005942EE">
        <w:rPr>
          <w:rFonts w:hint="eastAsia"/>
          <w:lang w:eastAsia="zh-CN"/>
        </w:rPr>
        <w:t>项目</w:t>
      </w:r>
      <w:r w:rsidR="00665626" w:rsidRPr="005942EE">
        <w:rPr>
          <w:lang w:eastAsia="zh-CN"/>
        </w:rPr>
        <w:t>和产品团队）。</w:t>
      </w:r>
    </w:p>
    <w:p w14:paraId="04BCECF8" w14:textId="77777777" w:rsidR="00665626" w:rsidRPr="00CC0FBE" w:rsidRDefault="00665626" w:rsidP="005942EE">
      <w:pPr>
        <w:ind w:firstLineChars="200" w:firstLine="480"/>
        <w:rPr>
          <w:lang w:eastAsia="zh-CN"/>
        </w:rPr>
      </w:pPr>
      <w:r w:rsidRPr="00E240A5">
        <w:rPr>
          <w:rFonts w:hint="eastAsia"/>
          <w:lang w:val="zh-CN" w:eastAsia="zh-CN"/>
        </w:rPr>
        <w:t>同时，</w:t>
      </w:r>
      <w:r>
        <w:rPr>
          <w:rFonts w:hint="eastAsia"/>
          <w:lang w:val="zh-CN" w:eastAsia="zh-CN"/>
        </w:rPr>
        <w:t>这一框架</w:t>
      </w:r>
      <w:r w:rsidRPr="00E240A5">
        <w:rPr>
          <w:rFonts w:hint="eastAsia"/>
          <w:lang w:val="zh-CN" w:eastAsia="zh-CN"/>
        </w:rPr>
        <w:t>对决策权责（</w:t>
      </w:r>
      <w:r w:rsidRPr="00E240A5">
        <w:rPr>
          <w:rFonts w:hint="eastAsia"/>
          <w:lang w:val="zh-CN" w:eastAsia="zh-CN"/>
        </w:rPr>
        <w:t>RACI</w:t>
      </w:r>
      <w:r w:rsidRPr="00E240A5">
        <w:rPr>
          <w:rFonts w:hint="eastAsia"/>
          <w:lang w:val="zh-CN" w:eastAsia="zh-CN"/>
        </w:rPr>
        <w:t>模型：负责、问责、咨询、知情）、投资治理机制以及绩效与风险监督进行了制度化规范，</w:t>
      </w:r>
      <w:r>
        <w:rPr>
          <w:rFonts w:hint="eastAsia"/>
          <w:lang w:val="zh-CN" w:eastAsia="zh-CN"/>
        </w:rPr>
        <w:t>并</w:t>
      </w:r>
      <w:r>
        <w:rPr>
          <w:lang w:val="zh-CN" w:eastAsia="zh-CN"/>
        </w:rPr>
        <w:t>与信息和相关技术控制目标（</w:t>
      </w:r>
      <w:r>
        <w:rPr>
          <w:lang w:val="zh-CN" w:eastAsia="zh-CN"/>
        </w:rPr>
        <w:t>COBIT</w:t>
      </w:r>
      <w:r>
        <w:rPr>
          <w:lang w:val="zh-CN" w:eastAsia="zh-CN"/>
        </w:rPr>
        <w:t>）等公认的</w:t>
      </w:r>
      <w:r>
        <w:rPr>
          <w:lang w:val="zh-CN" w:eastAsia="zh-CN"/>
        </w:rPr>
        <w:t>IT</w:t>
      </w:r>
      <w:r>
        <w:rPr>
          <w:lang w:val="zh-CN" w:eastAsia="zh-CN"/>
        </w:rPr>
        <w:t>治理框架保持一致。</w:t>
      </w:r>
    </w:p>
    <w:p w14:paraId="5EDB85F0" w14:textId="77777777" w:rsidR="00665626" w:rsidRPr="00CC0FBE" w:rsidRDefault="00665626" w:rsidP="005942EE">
      <w:pPr>
        <w:ind w:firstLineChars="200" w:firstLine="480"/>
        <w:rPr>
          <w:rFonts w:asciiTheme="minorHAnsi" w:hAnsiTheme="minorHAnsi" w:cstheme="minorHAnsi"/>
          <w:lang w:eastAsia="zh-CN"/>
        </w:rPr>
      </w:pPr>
      <w:r>
        <w:rPr>
          <w:lang w:val="zh-CN" w:eastAsia="zh-CN"/>
        </w:rPr>
        <w:t>该框架确保治理</w:t>
      </w:r>
      <w:r>
        <w:rPr>
          <w:rFonts w:hint="eastAsia"/>
          <w:lang w:val="zh-CN" w:eastAsia="zh-CN"/>
        </w:rPr>
        <w:t>与</w:t>
      </w:r>
      <w:r>
        <w:rPr>
          <w:lang w:val="zh-CN" w:eastAsia="zh-CN"/>
        </w:rPr>
        <w:t>执行明确分离，同时加强</w:t>
      </w:r>
      <w:r>
        <w:rPr>
          <w:rFonts w:hint="eastAsia"/>
          <w:lang w:val="zh-CN" w:eastAsia="zh-CN"/>
        </w:rPr>
        <w:t>了</w:t>
      </w:r>
      <w:r>
        <w:rPr>
          <w:lang w:val="zh-CN" w:eastAsia="zh-CN"/>
        </w:rPr>
        <w:t>与国际电联更广泛监督结构的一致性，</w:t>
      </w:r>
      <w:r>
        <w:rPr>
          <w:rFonts w:hint="eastAsia"/>
          <w:lang w:val="zh-CN" w:eastAsia="zh-CN"/>
        </w:rPr>
        <w:t>这些机构</w:t>
      </w:r>
      <w:r>
        <w:rPr>
          <w:lang w:val="zh-CN" w:eastAsia="zh-CN"/>
        </w:rPr>
        <w:t>包括理事会、理事会财务和人力资源工作组（</w:t>
      </w:r>
      <w:r>
        <w:rPr>
          <w:lang w:val="zh-CN" w:eastAsia="zh-CN"/>
        </w:rPr>
        <w:t>CWG-FHR</w:t>
      </w:r>
      <w:r>
        <w:rPr>
          <w:lang w:val="zh-CN" w:eastAsia="zh-CN"/>
        </w:rPr>
        <w:t>）以及独立管理顾问委员会（</w:t>
      </w:r>
      <w:r>
        <w:rPr>
          <w:lang w:val="zh-CN" w:eastAsia="zh-CN"/>
        </w:rPr>
        <w:t>IMAC</w:t>
      </w:r>
      <w:r>
        <w:rPr>
          <w:lang w:val="zh-CN" w:eastAsia="zh-CN"/>
        </w:rPr>
        <w:t>）。</w:t>
      </w:r>
    </w:p>
    <w:p w14:paraId="26AE2999" w14:textId="77777777" w:rsidR="00665626" w:rsidRPr="00CC0FBE" w:rsidRDefault="00665626" w:rsidP="00665626">
      <w:pPr>
        <w:pStyle w:val="Headingb"/>
        <w:rPr>
          <w:lang w:eastAsia="zh-CN"/>
        </w:rPr>
      </w:pPr>
      <w:r>
        <w:rPr>
          <w:bCs/>
          <w:lang w:val="zh-CN" w:eastAsia="zh-CN"/>
        </w:rPr>
        <w:t>后续步骤</w:t>
      </w:r>
    </w:p>
    <w:p w14:paraId="027E8B28" w14:textId="38862152" w:rsidR="00665626" w:rsidRPr="005942EE" w:rsidRDefault="005942EE" w:rsidP="005942EE">
      <w:pPr>
        <w:pStyle w:val="enumlev1"/>
        <w:rPr>
          <w:lang w:eastAsia="zh-CN"/>
        </w:rPr>
      </w:pPr>
      <w:r w:rsidRPr="005942EE">
        <w:rPr>
          <w:lang w:eastAsia="zh-CN"/>
        </w:rPr>
        <w:t>–</w:t>
      </w:r>
      <w:r w:rsidRPr="005942EE">
        <w:rPr>
          <w:lang w:eastAsia="zh-CN"/>
        </w:rPr>
        <w:tab/>
      </w:r>
      <w:proofErr w:type="spellStart"/>
      <w:r w:rsidR="00665626" w:rsidRPr="005942EE">
        <w:rPr>
          <w:lang w:eastAsia="zh-CN"/>
        </w:rPr>
        <w:t>DGB</w:t>
      </w:r>
      <w:proofErr w:type="spellEnd"/>
      <w:r w:rsidR="00665626" w:rsidRPr="005942EE">
        <w:rPr>
          <w:lang w:eastAsia="zh-CN"/>
        </w:rPr>
        <w:t>职责和运作程序的</w:t>
      </w:r>
      <w:r w:rsidR="00665626" w:rsidRPr="005942EE">
        <w:rPr>
          <w:rFonts w:hint="eastAsia"/>
          <w:lang w:eastAsia="zh-CN"/>
        </w:rPr>
        <w:t>规范化</w:t>
      </w:r>
    </w:p>
    <w:p w14:paraId="4BAD3654" w14:textId="0CB91EB0"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将治理与</w:t>
      </w:r>
      <w:r w:rsidR="00665626" w:rsidRPr="005942EE">
        <w:rPr>
          <w:rFonts w:hint="eastAsia"/>
          <w:lang w:eastAsia="zh-CN"/>
        </w:rPr>
        <w:t>项目</w:t>
      </w:r>
      <w:r w:rsidR="00665626" w:rsidRPr="005942EE">
        <w:rPr>
          <w:lang w:eastAsia="zh-CN"/>
        </w:rPr>
        <w:t>组合和投资流程充分整合</w:t>
      </w:r>
    </w:p>
    <w:p w14:paraId="4F0A0238" w14:textId="5111B1C0"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KPI/</w:t>
      </w:r>
      <w:proofErr w:type="spellStart"/>
      <w:r w:rsidR="00665626" w:rsidRPr="005942EE">
        <w:rPr>
          <w:lang w:eastAsia="zh-CN"/>
        </w:rPr>
        <w:t>OKR</w:t>
      </w:r>
      <w:proofErr w:type="spellEnd"/>
      <w:r w:rsidR="00665626" w:rsidRPr="005942EE">
        <w:rPr>
          <w:rFonts w:hint="eastAsia"/>
          <w:lang w:eastAsia="zh-CN"/>
        </w:rPr>
        <w:t>信息概览</w:t>
      </w:r>
      <w:r w:rsidR="00665626" w:rsidRPr="005942EE">
        <w:rPr>
          <w:lang w:eastAsia="zh-CN"/>
        </w:rPr>
        <w:t>和报告的</w:t>
      </w:r>
      <w:r w:rsidR="00665626" w:rsidRPr="005942EE">
        <w:rPr>
          <w:rFonts w:hint="eastAsia"/>
          <w:lang w:eastAsia="zh-CN"/>
        </w:rPr>
        <w:t>落实</w:t>
      </w:r>
    </w:p>
    <w:p w14:paraId="4E03F6AF" w14:textId="2EDCFDC0"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与理事会报告周期保持一致</w:t>
      </w:r>
    </w:p>
    <w:p w14:paraId="091B7756" w14:textId="6EFF70E9"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年度治理</w:t>
      </w:r>
      <w:r w:rsidR="00665626" w:rsidRPr="005942EE">
        <w:rPr>
          <w:rFonts w:hint="eastAsia"/>
          <w:lang w:eastAsia="zh-CN"/>
        </w:rPr>
        <w:t>的</w:t>
      </w:r>
      <w:r w:rsidR="00665626" w:rsidRPr="005942EE">
        <w:rPr>
          <w:lang w:eastAsia="zh-CN"/>
        </w:rPr>
        <w:t>有效性审查。</w:t>
      </w:r>
    </w:p>
    <w:p w14:paraId="7DBDD6F6" w14:textId="77777777" w:rsidR="00665626" w:rsidRPr="00414A74" w:rsidRDefault="00665626" w:rsidP="001630B0">
      <w:pPr>
        <w:pStyle w:val="Heading2"/>
        <w:rPr>
          <w:lang w:eastAsia="zh-CN"/>
        </w:rPr>
      </w:pPr>
      <w:r>
        <w:rPr>
          <w:bCs/>
          <w:lang w:val="zh-CN" w:eastAsia="zh-CN"/>
        </w:rPr>
        <w:lastRenderedPageBreak/>
        <w:t>2.4</w:t>
      </w:r>
      <w:r>
        <w:rPr>
          <w:lang w:val="zh-CN" w:eastAsia="zh-CN"/>
        </w:rPr>
        <w:tab/>
      </w:r>
      <w:r>
        <w:rPr>
          <w:bCs/>
          <w:lang w:val="zh-CN" w:eastAsia="zh-CN"/>
        </w:rPr>
        <w:t>重新设计</w:t>
      </w:r>
      <w:r>
        <w:rPr>
          <w:bCs/>
          <w:lang w:val="zh-CN" w:eastAsia="zh-CN"/>
        </w:rPr>
        <w:t>ISD</w:t>
      </w:r>
      <w:r>
        <w:rPr>
          <w:bCs/>
          <w:lang w:val="zh-CN" w:eastAsia="zh-CN"/>
        </w:rPr>
        <w:t>运作模式</w:t>
      </w:r>
    </w:p>
    <w:p w14:paraId="76EC8876" w14:textId="77777777" w:rsidR="00665626" w:rsidRPr="00CC0FBE" w:rsidRDefault="00665626" w:rsidP="001630B0">
      <w:pPr>
        <w:keepNext/>
        <w:keepLines/>
        <w:ind w:firstLineChars="200" w:firstLine="480"/>
        <w:rPr>
          <w:lang w:eastAsia="zh-CN"/>
        </w:rPr>
      </w:pPr>
      <w:r>
        <w:rPr>
          <w:lang w:val="zh-CN" w:eastAsia="zh-CN"/>
        </w:rPr>
        <w:t>ISD</w:t>
      </w:r>
      <w:r>
        <w:rPr>
          <w:lang w:val="zh-CN" w:eastAsia="zh-CN"/>
        </w:rPr>
        <w:t>运</w:t>
      </w:r>
      <w:r>
        <w:rPr>
          <w:rFonts w:hint="eastAsia"/>
          <w:lang w:val="zh-CN" w:eastAsia="zh-CN"/>
        </w:rPr>
        <w:t>作</w:t>
      </w:r>
      <w:r>
        <w:rPr>
          <w:lang w:val="zh-CN" w:eastAsia="zh-CN"/>
        </w:rPr>
        <w:t>模式的重新设计旨在将技术定位为机构绩效和创新的战略驱动力，而不是纯粹的运</w:t>
      </w:r>
      <w:r>
        <w:rPr>
          <w:rFonts w:hint="eastAsia"/>
          <w:lang w:val="zh-CN" w:eastAsia="zh-CN"/>
        </w:rPr>
        <w:t>作</w:t>
      </w:r>
      <w:r>
        <w:rPr>
          <w:lang w:val="zh-CN" w:eastAsia="zh-CN"/>
        </w:rPr>
        <w:t>职能。</w:t>
      </w:r>
    </w:p>
    <w:p w14:paraId="6B3C02B0" w14:textId="77777777" w:rsidR="00665626" w:rsidRPr="00CC0FBE" w:rsidRDefault="00665626" w:rsidP="005942EE">
      <w:pPr>
        <w:ind w:firstLineChars="200" w:firstLine="480"/>
        <w:rPr>
          <w:lang w:eastAsia="zh-CN"/>
        </w:rPr>
      </w:pPr>
      <w:r>
        <w:rPr>
          <w:lang w:val="zh-CN" w:eastAsia="zh-CN"/>
        </w:rPr>
        <w:t>关键的重新设计方向包括：</w:t>
      </w:r>
    </w:p>
    <w:p w14:paraId="78400276" w14:textId="6614C136"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设立首席信息官办公室（</w:t>
      </w:r>
      <w:proofErr w:type="spellStart"/>
      <w:r w:rsidR="00665626" w:rsidRPr="005942EE">
        <w:rPr>
          <w:lang w:eastAsia="zh-CN"/>
        </w:rPr>
        <w:t>OCIO</w:t>
      </w:r>
      <w:proofErr w:type="spellEnd"/>
      <w:r w:rsidR="00665626" w:rsidRPr="005942EE">
        <w:rPr>
          <w:lang w:eastAsia="zh-CN"/>
        </w:rPr>
        <w:t>）</w:t>
      </w:r>
    </w:p>
    <w:p w14:paraId="4AAB51B1" w14:textId="45453498"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过渡到基于产品的交付模式</w:t>
      </w:r>
    </w:p>
    <w:p w14:paraId="2969D1A3" w14:textId="0AFF8E5A"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整合数字、数据、人工智能和基础设施能力。</w:t>
      </w:r>
    </w:p>
    <w:p w14:paraId="5B9C27FD" w14:textId="77777777" w:rsidR="00665626" w:rsidRPr="00CC0FBE" w:rsidRDefault="00665626" w:rsidP="001630B0">
      <w:pPr>
        <w:keepNext/>
        <w:keepLines/>
        <w:ind w:firstLineChars="200" w:firstLine="480"/>
        <w:rPr>
          <w:lang w:eastAsia="zh-CN"/>
        </w:rPr>
      </w:pPr>
      <w:r>
        <w:rPr>
          <w:lang w:val="zh-CN" w:eastAsia="zh-CN"/>
        </w:rPr>
        <w:t>新结构围绕五个功能域展开：</w:t>
      </w:r>
    </w:p>
    <w:p w14:paraId="10B70395" w14:textId="1AA0FE00"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首席信息官办公室（战略、治理、投资组合、创新）</w:t>
      </w:r>
    </w:p>
    <w:p w14:paraId="58112978" w14:textId="2D3CF894"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数字产品和服务（组织和成员平台）</w:t>
      </w:r>
    </w:p>
    <w:p w14:paraId="2570BF3B" w14:textId="1719108C"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人工智能、数据和知识管理</w:t>
      </w:r>
    </w:p>
    <w:p w14:paraId="7164FDB7" w14:textId="379C88FA"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基础设施和网络安全</w:t>
      </w:r>
    </w:p>
    <w:p w14:paraId="4A665A07" w14:textId="0B3FA88E"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安全和安保。</w:t>
      </w:r>
    </w:p>
    <w:p w14:paraId="5398A4D2" w14:textId="77777777" w:rsidR="00665626" w:rsidRPr="00CC0FBE" w:rsidRDefault="00665626" w:rsidP="005942EE">
      <w:pPr>
        <w:ind w:firstLineChars="200" w:firstLine="480"/>
        <w:rPr>
          <w:lang w:eastAsia="zh-CN"/>
        </w:rPr>
      </w:pPr>
      <w:r>
        <w:rPr>
          <w:rFonts w:hint="eastAsia"/>
          <w:lang w:val="zh-CN" w:eastAsia="zh-CN"/>
        </w:rPr>
        <w:t>此</w:t>
      </w:r>
      <w:r>
        <w:rPr>
          <w:lang w:val="zh-CN" w:eastAsia="zh-CN"/>
        </w:rPr>
        <w:t>模型能够：</w:t>
      </w:r>
    </w:p>
    <w:p w14:paraId="21F7E3CF" w14:textId="2431F8E0"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rFonts w:hint="eastAsia"/>
          <w:lang w:eastAsia="zh-CN"/>
        </w:rPr>
        <w:t>实现</w:t>
      </w:r>
      <w:r w:rsidR="00665626" w:rsidRPr="005942EE">
        <w:rPr>
          <w:lang w:eastAsia="zh-CN"/>
        </w:rPr>
        <w:t>数字产品的端到端所有权</w:t>
      </w:r>
    </w:p>
    <w:p w14:paraId="3DEB35AB" w14:textId="2C256013"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rFonts w:hint="eastAsia"/>
          <w:lang w:eastAsia="zh-CN"/>
        </w:rPr>
        <w:t>加强</w:t>
      </w:r>
      <w:r w:rsidR="00665626" w:rsidRPr="005942EE">
        <w:rPr>
          <w:lang w:eastAsia="zh-CN"/>
        </w:rPr>
        <w:t>与价值流的一致性</w:t>
      </w:r>
    </w:p>
    <w:p w14:paraId="0376C72D" w14:textId="30E3834F"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rFonts w:hint="eastAsia"/>
          <w:lang w:eastAsia="zh-CN"/>
        </w:rPr>
        <w:t>强化</w:t>
      </w:r>
      <w:r w:rsidR="00665626" w:rsidRPr="005942EE">
        <w:rPr>
          <w:lang w:eastAsia="zh-CN"/>
        </w:rPr>
        <w:t>交付</w:t>
      </w:r>
      <w:r w:rsidR="00665626" w:rsidRPr="005942EE">
        <w:rPr>
          <w:rFonts w:hint="eastAsia"/>
          <w:lang w:eastAsia="zh-CN"/>
        </w:rPr>
        <w:t>的</w:t>
      </w:r>
      <w:r w:rsidR="00665626" w:rsidRPr="005942EE">
        <w:rPr>
          <w:lang w:eastAsia="zh-CN"/>
        </w:rPr>
        <w:t>敏捷性和问责制</w:t>
      </w:r>
    </w:p>
    <w:p w14:paraId="7EC3CBF5" w14:textId="23312F57"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将人工智能和数据能力</w:t>
      </w:r>
      <w:r w:rsidR="00665626" w:rsidRPr="005942EE">
        <w:rPr>
          <w:rFonts w:hint="eastAsia"/>
          <w:lang w:eastAsia="zh-CN"/>
        </w:rPr>
        <w:t>纳入运作过程</w:t>
      </w:r>
      <w:r w:rsidR="00665626" w:rsidRPr="005942EE">
        <w:rPr>
          <w:lang w:eastAsia="zh-CN"/>
        </w:rPr>
        <w:t>。</w:t>
      </w:r>
    </w:p>
    <w:p w14:paraId="38746233" w14:textId="77777777" w:rsidR="00665626" w:rsidRPr="00CC0FBE" w:rsidRDefault="00665626" w:rsidP="00665626">
      <w:pPr>
        <w:pStyle w:val="Headingb"/>
        <w:rPr>
          <w:lang w:eastAsia="zh-CN"/>
        </w:rPr>
      </w:pPr>
      <w:r>
        <w:rPr>
          <w:bCs/>
          <w:lang w:val="zh-CN" w:eastAsia="zh-CN"/>
        </w:rPr>
        <w:t>后续步骤</w:t>
      </w:r>
    </w:p>
    <w:p w14:paraId="63E82374" w14:textId="1DC1EE8C"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完成重新设计并着手进行重组，根据数字化转型路线图分阶段实施</w:t>
      </w:r>
    </w:p>
    <w:p w14:paraId="5BA50CAE" w14:textId="33E92C0E"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跨优先领域实施基于产品的交付</w:t>
      </w:r>
    </w:p>
    <w:p w14:paraId="65E44C7F" w14:textId="134BDB99"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加强平台所有权和问责制</w:t>
      </w:r>
    </w:p>
    <w:p w14:paraId="02578373" w14:textId="60342D22"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人工智能和数据能力的扩展</w:t>
      </w:r>
    </w:p>
    <w:p w14:paraId="725A880C" w14:textId="4CB4662A"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推出联合</w:t>
      </w:r>
      <w:r w:rsidR="00665626" w:rsidRPr="005942EE">
        <w:rPr>
          <w:lang w:eastAsia="zh-CN"/>
        </w:rPr>
        <w:t>/</w:t>
      </w:r>
      <w:r w:rsidR="00665626" w:rsidRPr="005942EE">
        <w:rPr>
          <w:lang w:eastAsia="zh-CN"/>
        </w:rPr>
        <w:t>全球交付模型</w:t>
      </w:r>
    </w:p>
    <w:p w14:paraId="16223A30" w14:textId="3FC039EA" w:rsidR="00665626" w:rsidRPr="005942EE" w:rsidRDefault="005942EE" w:rsidP="005942EE">
      <w:pPr>
        <w:pStyle w:val="enumlev1"/>
        <w:rPr>
          <w:lang w:eastAsia="zh-CN"/>
        </w:rPr>
      </w:pPr>
      <w:r w:rsidRPr="005942EE">
        <w:rPr>
          <w:lang w:eastAsia="zh-CN"/>
        </w:rPr>
        <w:t>–</w:t>
      </w:r>
      <w:r w:rsidRPr="005942EE">
        <w:rPr>
          <w:lang w:eastAsia="zh-CN"/>
        </w:rPr>
        <w:tab/>
      </w:r>
      <w:r w:rsidR="00665626" w:rsidRPr="005942EE">
        <w:rPr>
          <w:lang w:eastAsia="zh-CN"/>
        </w:rPr>
        <w:t>员工队伍技能提升和能力发展。</w:t>
      </w:r>
    </w:p>
    <w:p w14:paraId="3A1EF75D" w14:textId="77777777" w:rsidR="00665626" w:rsidRPr="00414A74" w:rsidRDefault="00665626" w:rsidP="00665626">
      <w:pPr>
        <w:pStyle w:val="Heading1"/>
        <w:rPr>
          <w:lang w:eastAsia="zh-CN"/>
        </w:rPr>
      </w:pPr>
      <w:r>
        <w:rPr>
          <w:bCs/>
          <w:lang w:val="zh-CN" w:eastAsia="zh-CN"/>
        </w:rPr>
        <w:t>3</w:t>
      </w:r>
      <w:r>
        <w:rPr>
          <w:bCs/>
          <w:lang w:val="zh-CN" w:eastAsia="zh-CN"/>
        </w:rPr>
        <w:tab/>
      </w:r>
      <w:r>
        <w:rPr>
          <w:bCs/>
          <w:lang w:val="zh-CN" w:eastAsia="zh-CN"/>
        </w:rPr>
        <w:t>综合数字化转型</w:t>
      </w:r>
      <w:r>
        <w:rPr>
          <w:rFonts w:hint="eastAsia"/>
          <w:bCs/>
          <w:lang w:val="zh-CN" w:eastAsia="zh-CN"/>
        </w:rPr>
        <w:t>的</w:t>
      </w:r>
      <w:r>
        <w:rPr>
          <w:bCs/>
          <w:lang w:val="zh-CN" w:eastAsia="zh-CN"/>
        </w:rPr>
        <w:t>前景</w:t>
      </w:r>
    </w:p>
    <w:p w14:paraId="51047FE7" w14:textId="77777777" w:rsidR="00665626" w:rsidRPr="00CC0FBE" w:rsidRDefault="00665626" w:rsidP="005942EE">
      <w:pPr>
        <w:ind w:firstLineChars="200" w:firstLine="480"/>
        <w:rPr>
          <w:lang w:eastAsia="zh-CN"/>
        </w:rPr>
      </w:pPr>
      <w:r>
        <w:rPr>
          <w:rFonts w:hint="eastAsia"/>
          <w:lang w:val="zh-CN" w:eastAsia="zh-CN"/>
        </w:rPr>
        <w:t>如今，</w:t>
      </w:r>
      <w:r>
        <w:rPr>
          <w:lang w:val="zh-CN" w:eastAsia="zh-CN"/>
        </w:rPr>
        <w:t>四</w:t>
      </w:r>
      <w:r>
        <w:rPr>
          <w:rFonts w:hint="eastAsia"/>
          <w:lang w:val="zh-CN" w:eastAsia="zh-CN"/>
        </w:rPr>
        <w:t>项</w:t>
      </w:r>
      <w:r>
        <w:rPr>
          <w:lang w:val="zh-CN" w:eastAsia="zh-CN"/>
        </w:rPr>
        <w:t>数字基础统一成为</w:t>
      </w:r>
      <w:r>
        <w:rPr>
          <w:rFonts w:hint="eastAsia"/>
          <w:lang w:val="zh-CN" w:eastAsia="zh-CN"/>
        </w:rPr>
        <w:t>具</w:t>
      </w:r>
      <w:r>
        <w:rPr>
          <w:lang w:val="zh-CN" w:eastAsia="zh-CN"/>
        </w:rPr>
        <w:t>有凝聚力的数字</w:t>
      </w:r>
      <w:r>
        <w:rPr>
          <w:rFonts w:hint="eastAsia"/>
          <w:lang w:val="zh-CN" w:eastAsia="zh-CN"/>
        </w:rPr>
        <w:t>化</w:t>
      </w:r>
      <w:r>
        <w:rPr>
          <w:lang w:val="zh-CN" w:eastAsia="zh-CN"/>
        </w:rPr>
        <w:t>转型系统：</w:t>
      </w:r>
    </w:p>
    <w:p w14:paraId="34ABA7F2" w14:textId="207A40DA" w:rsidR="00665626" w:rsidRPr="00AE16CE" w:rsidRDefault="00AE16CE" w:rsidP="00AE16CE">
      <w:pPr>
        <w:pStyle w:val="enumlev1"/>
        <w:rPr>
          <w:lang w:eastAsia="zh-CN"/>
        </w:rPr>
      </w:pPr>
      <w:r w:rsidRPr="00AE16CE">
        <w:rPr>
          <w:lang w:eastAsia="zh-CN"/>
        </w:rPr>
        <w:t>–</w:t>
      </w:r>
      <w:r w:rsidRPr="00AE16CE">
        <w:rPr>
          <w:lang w:eastAsia="zh-CN"/>
        </w:rPr>
        <w:tab/>
      </w:r>
      <w:r w:rsidR="00665626" w:rsidRPr="00AE16CE">
        <w:rPr>
          <w:rFonts w:hint="eastAsia"/>
          <w:lang w:eastAsia="zh-CN"/>
        </w:rPr>
        <w:t>通过</w:t>
      </w:r>
      <w:r w:rsidR="00665626" w:rsidRPr="00AE16CE">
        <w:rPr>
          <w:lang w:eastAsia="zh-CN"/>
        </w:rPr>
        <w:t>战略和计划确定方向</w:t>
      </w:r>
      <w:r w:rsidR="00665626" w:rsidRPr="00AE16CE">
        <w:rPr>
          <w:rFonts w:hint="eastAsia"/>
          <w:lang w:eastAsia="zh-CN"/>
        </w:rPr>
        <w:t>并落实</w:t>
      </w:r>
    </w:p>
    <w:p w14:paraId="3856BF63" w14:textId="0D16BBBF" w:rsidR="00665626" w:rsidRPr="00AE16CE" w:rsidRDefault="00AE16CE" w:rsidP="00AE16CE">
      <w:pPr>
        <w:pStyle w:val="enumlev1"/>
        <w:rPr>
          <w:lang w:eastAsia="zh-CN"/>
        </w:rPr>
      </w:pPr>
      <w:r w:rsidRPr="00AE16CE">
        <w:rPr>
          <w:lang w:eastAsia="zh-CN"/>
        </w:rPr>
        <w:t>–</w:t>
      </w:r>
      <w:r w:rsidRPr="00AE16CE">
        <w:rPr>
          <w:lang w:eastAsia="zh-CN"/>
        </w:rPr>
        <w:tab/>
      </w:r>
      <w:r w:rsidR="00665626" w:rsidRPr="00AE16CE">
        <w:rPr>
          <w:lang w:eastAsia="zh-CN"/>
        </w:rPr>
        <w:t>EA</w:t>
      </w:r>
      <w:r w:rsidR="00665626" w:rsidRPr="00AE16CE">
        <w:rPr>
          <w:lang w:eastAsia="zh-CN"/>
        </w:rPr>
        <w:t>确保结构的连贯性和可持续性</w:t>
      </w:r>
    </w:p>
    <w:p w14:paraId="72F915F3" w14:textId="3C2D4BFA" w:rsidR="00665626" w:rsidRPr="00AE16CE" w:rsidRDefault="00AE16CE" w:rsidP="00AE16CE">
      <w:pPr>
        <w:pStyle w:val="enumlev1"/>
        <w:rPr>
          <w:lang w:eastAsia="zh-CN"/>
        </w:rPr>
      </w:pPr>
      <w:r w:rsidRPr="00AE16CE">
        <w:rPr>
          <w:lang w:eastAsia="zh-CN"/>
        </w:rPr>
        <w:t>–</w:t>
      </w:r>
      <w:r w:rsidRPr="00AE16CE">
        <w:rPr>
          <w:lang w:eastAsia="zh-CN"/>
        </w:rPr>
        <w:tab/>
      </w:r>
      <w:r w:rsidR="00665626" w:rsidRPr="00AE16CE">
        <w:rPr>
          <w:rFonts w:hint="eastAsia"/>
          <w:lang w:eastAsia="zh-CN"/>
        </w:rPr>
        <w:t>依托</w:t>
      </w:r>
      <w:r w:rsidR="00665626" w:rsidRPr="00AE16CE">
        <w:rPr>
          <w:lang w:eastAsia="zh-CN"/>
        </w:rPr>
        <w:t>治理确保问责制和投资纪律</w:t>
      </w:r>
    </w:p>
    <w:p w14:paraId="58CBF513" w14:textId="30C89B80" w:rsidR="00665626" w:rsidRPr="00AE16CE" w:rsidRDefault="00AE16CE" w:rsidP="00AE16CE">
      <w:pPr>
        <w:pStyle w:val="enumlev1"/>
        <w:rPr>
          <w:lang w:eastAsia="zh-CN"/>
        </w:rPr>
      </w:pPr>
      <w:r w:rsidRPr="00AE16CE">
        <w:rPr>
          <w:lang w:eastAsia="zh-CN"/>
        </w:rPr>
        <w:t>–</w:t>
      </w:r>
      <w:r w:rsidRPr="00AE16CE">
        <w:rPr>
          <w:lang w:eastAsia="zh-CN"/>
        </w:rPr>
        <w:tab/>
      </w:r>
      <w:r w:rsidR="00665626" w:rsidRPr="00AE16CE">
        <w:rPr>
          <w:lang w:eastAsia="zh-CN"/>
        </w:rPr>
        <w:t>运</w:t>
      </w:r>
      <w:r w:rsidR="00665626" w:rsidRPr="00AE16CE">
        <w:rPr>
          <w:rFonts w:hint="eastAsia"/>
          <w:lang w:eastAsia="zh-CN"/>
        </w:rPr>
        <w:t>作</w:t>
      </w:r>
      <w:r w:rsidR="00665626" w:rsidRPr="00AE16CE">
        <w:rPr>
          <w:lang w:eastAsia="zh-CN"/>
        </w:rPr>
        <w:t>模式使交付和创新成为可能。</w:t>
      </w:r>
    </w:p>
    <w:p w14:paraId="2385C607" w14:textId="77777777" w:rsidR="00665626" w:rsidRPr="00A40C16" w:rsidRDefault="00665626" w:rsidP="00AE16CE">
      <w:pPr>
        <w:ind w:firstLineChars="200" w:firstLine="480"/>
        <w:rPr>
          <w:lang w:eastAsia="zh-CN"/>
        </w:rPr>
      </w:pPr>
      <w:r w:rsidRPr="00843539">
        <w:rPr>
          <w:rFonts w:hint="eastAsia"/>
          <w:lang w:val="zh-CN" w:eastAsia="zh-CN"/>
        </w:rPr>
        <w:t>整体来看，这些措施将推动</w:t>
      </w:r>
      <w:r>
        <w:rPr>
          <w:rFonts w:hint="eastAsia"/>
          <w:lang w:val="zh-CN" w:eastAsia="zh-CN"/>
        </w:rPr>
        <w:t>国际电联</w:t>
      </w:r>
      <w:r w:rsidRPr="00843539">
        <w:rPr>
          <w:rFonts w:hint="eastAsia"/>
          <w:lang w:val="zh-CN" w:eastAsia="zh-CN"/>
        </w:rPr>
        <w:t>由碎片化、以运维为主导的</w:t>
      </w:r>
      <w:r w:rsidRPr="00843539">
        <w:rPr>
          <w:rFonts w:hint="eastAsia"/>
          <w:lang w:val="zh-CN" w:eastAsia="zh-CN"/>
        </w:rPr>
        <w:t>IT</w:t>
      </w:r>
      <w:r w:rsidRPr="00843539">
        <w:rPr>
          <w:rFonts w:hint="eastAsia"/>
          <w:lang w:val="zh-CN" w:eastAsia="zh-CN"/>
        </w:rPr>
        <w:t>模式，向一个集成化、治理完善且具备人工智能能力的数字化组织转型。</w:t>
      </w:r>
    </w:p>
    <w:p w14:paraId="5E0AB223" w14:textId="77777777" w:rsidR="00665626" w:rsidRPr="00A40C16" w:rsidRDefault="00665626" w:rsidP="001630B0">
      <w:pPr>
        <w:keepNext/>
        <w:keepLines/>
        <w:ind w:firstLineChars="200" w:firstLine="480"/>
        <w:rPr>
          <w:rFonts w:asciiTheme="minorHAnsi" w:hAnsiTheme="minorHAnsi" w:cstheme="minorHAnsi"/>
          <w:lang w:eastAsia="zh-CN"/>
        </w:rPr>
      </w:pPr>
      <w:r>
        <w:rPr>
          <w:lang w:val="zh-CN" w:eastAsia="zh-CN"/>
        </w:rPr>
        <w:lastRenderedPageBreak/>
        <w:t>到</w:t>
      </w:r>
      <w:r>
        <w:rPr>
          <w:lang w:val="zh-CN" w:eastAsia="zh-CN"/>
        </w:rPr>
        <w:t>2027</w:t>
      </w:r>
      <w:r>
        <w:rPr>
          <w:lang w:val="zh-CN" w:eastAsia="zh-CN"/>
        </w:rPr>
        <w:t>年，国际电联有望实现：</w:t>
      </w:r>
    </w:p>
    <w:p w14:paraId="5B60E060" w14:textId="6F9619BB" w:rsidR="00665626" w:rsidRPr="00AE16CE" w:rsidRDefault="00AE16CE" w:rsidP="001630B0">
      <w:pPr>
        <w:pStyle w:val="enumlev1"/>
        <w:keepNext/>
        <w:keepLines/>
        <w:rPr>
          <w:lang w:eastAsia="zh-CN"/>
        </w:rPr>
      </w:pPr>
      <w:r w:rsidRPr="00AE16CE">
        <w:rPr>
          <w:lang w:eastAsia="zh-CN"/>
        </w:rPr>
        <w:t>–</w:t>
      </w:r>
      <w:r w:rsidRPr="00AE16CE">
        <w:rPr>
          <w:lang w:eastAsia="zh-CN"/>
        </w:rPr>
        <w:tab/>
      </w:r>
      <w:r w:rsidR="00665626" w:rsidRPr="00AE16CE">
        <w:rPr>
          <w:rFonts w:hint="eastAsia"/>
          <w:lang w:eastAsia="zh-CN"/>
        </w:rPr>
        <w:t>建设</w:t>
      </w:r>
      <w:r w:rsidR="00665626" w:rsidRPr="00AE16CE">
        <w:rPr>
          <w:lang w:eastAsia="zh-CN"/>
        </w:rPr>
        <w:t>一个现代化、</w:t>
      </w:r>
      <w:r w:rsidR="00665626" w:rsidRPr="00AE16CE">
        <w:rPr>
          <w:rFonts w:hint="eastAsia"/>
          <w:lang w:eastAsia="zh-CN"/>
        </w:rPr>
        <w:t>有韧性</w:t>
      </w:r>
      <w:r w:rsidR="00665626" w:rsidRPr="00AE16CE">
        <w:rPr>
          <w:lang w:eastAsia="zh-CN"/>
        </w:rPr>
        <w:t>的数字核心</w:t>
      </w:r>
    </w:p>
    <w:p w14:paraId="2E8C9FCA" w14:textId="5D21A786" w:rsidR="00665626" w:rsidRPr="00AE16CE" w:rsidRDefault="00AE16CE" w:rsidP="001630B0">
      <w:pPr>
        <w:pStyle w:val="enumlev1"/>
        <w:keepNext/>
        <w:keepLines/>
        <w:rPr>
          <w:lang w:eastAsia="zh-CN"/>
        </w:rPr>
      </w:pPr>
      <w:r w:rsidRPr="00AE16CE">
        <w:rPr>
          <w:lang w:eastAsia="zh-CN"/>
        </w:rPr>
        <w:t>–</w:t>
      </w:r>
      <w:r w:rsidRPr="00AE16CE">
        <w:rPr>
          <w:lang w:eastAsia="zh-CN"/>
        </w:rPr>
        <w:tab/>
      </w:r>
      <w:r w:rsidR="00665626" w:rsidRPr="00AE16CE">
        <w:rPr>
          <w:lang w:eastAsia="zh-CN"/>
        </w:rPr>
        <w:t>提高运作效率和用户体验</w:t>
      </w:r>
    </w:p>
    <w:p w14:paraId="63DAC4D9" w14:textId="6F24B16B" w:rsidR="00665626" w:rsidRPr="00AE16CE" w:rsidRDefault="00AE16CE" w:rsidP="001630B0">
      <w:pPr>
        <w:pStyle w:val="enumlev1"/>
        <w:keepNext/>
        <w:keepLines/>
        <w:rPr>
          <w:lang w:eastAsia="zh-CN"/>
        </w:rPr>
      </w:pPr>
      <w:r w:rsidRPr="00AE16CE">
        <w:rPr>
          <w:lang w:eastAsia="zh-CN"/>
        </w:rPr>
        <w:t>–</w:t>
      </w:r>
      <w:r w:rsidRPr="00AE16CE">
        <w:rPr>
          <w:lang w:eastAsia="zh-CN"/>
        </w:rPr>
        <w:tab/>
      </w:r>
      <w:r w:rsidR="00665626" w:rsidRPr="00AE16CE">
        <w:rPr>
          <w:rFonts w:hint="eastAsia"/>
          <w:lang w:eastAsia="zh-CN"/>
        </w:rPr>
        <w:t>建立</w:t>
      </w:r>
      <w:r w:rsidR="00665626" w:rsidRPr="00AE16CE">
        <w:rPr>
          <w:lang w:eastAsia="zh-CN"/>
        </w:rPr>
        <w:t>人工智能和规模数据能力</w:t>
      </w:r>
    </w:p>
    <w:p w14:paraId="5ABEA913" w14:textId="6DB75732" w:rsidR="00665626" w:rsidRPr="00AE16CE" w:rsidRDefault="00AE16CE" w:rsidP="00AE16CE">
      <w:pPr>
        <w:pStyle w:val="enumlev1"/>
        <w:rPr>
          <w:lang w:eastAsia="zh-CN"/>
        </w:rPr>
      </w:pPr>
      <w:r w:rsidRPr="00AE16CE">
        <w:rPr>
          <w:lang w:eastAsia="zh-CN"/>
        </w:rPr>
        <w:t>–</w:t>
      </w:r>
      <w:r w:rsidRPr="00AE16CE">
        <w:rPr>
          <w:lang w:eastAsia="zh-CN"/>
        </w:rPr>
        <w:tab/>
      </w:r>
      <w:r w:rsidR="00665626" w:rsidRPr="00AE16CE">
        <w:rPr>
          <w:rFonts w:hint="eastAsia"/>
          <w:lang w:eastAsia="zh-CN"/>
        </w:rPr>
        <w:t>采用</w:t>
      </w:r>
      <w:r w:rsidR="00665626" w:rsidRPr="00AE16CE">
        <w:rPr>
          <w:lang w:eastAsia="zh-CN"/>
        </w:rPr>
        <w:t>可持续的治理和运作模式。</w:t>
      </w:r>
    </w:p>
    <w:p w14:paraId="5F691B7C" w14:textId="77777777" w:rsidR="00665626" w:rsidRPr="00C04E1A" w:rsidRDefault="00665626" w:rsidP="00AE16CE">
      <w:pPr>
        <w:pStyle w:val="Headingb"/>
        <w:rPr>
          <w:lang w:eastAsia="zh-CN"/>
        </w:rPr>
      </w:pPr>
      <w:r>
        <w:rPr>
          <w:bCs/>
          <w:lang w:val="zh-CN" w:eastAsia="zh-CN"/>
        </w:rPr>
        <w:t>后续步骤（</w:t>
      </w:r>
      <w:r>
        <w:rPr>
          <w:rFonts w:hint="eastAsia"/>
          <w:bCs/>
          <w:lang w:val="zh-CN" w:eastAsia="zh-CN"/>
        </w:rPr>
        <w:t>交叉</w:t>
      </w:r>
      <w:r>
        <w:rPr>
          <w:bCs/>
          <w:lang w:val="zh-CN" w:eastAsia="zh-CN"/>
        </w:rPr>
        <w:t>）</w:t>
      </w:r>
    </w:p>
    <w:p w14:paraId="5E505F3A" w14:textId="77777777" w:rsidR="00665626" w:rsidRPr="00CC0FBE" w:rsidRDefault="00665626" w:rsidP="00AE16CE">
      <w:pPr>
        <w:keepNext/>
        <w:keepLines/>
        <w:ind w:firstLineChars="200" w:firstLine="480"/>
        <w:rPr>
          <w:lang w:eastAsia="zh-CN"/>
        </w:rPr>
      </w:pPr>
      <w:r>
        <w:rPr>
          <w:rFonts w:hint="eastAsia"/>
          <w:lang w:val="zh-CN" w:eastAsia="zh-CN"/>
        </w:rPr>
        <w:t>各</w:t>
      </w:r>
      <w:r>
        <w:rPr>
          <w:lang w:val="zh-CN" w:eastAsia="zh-CN"/>
        </w:rPr>
        <w:t>组成部分</w:t>
      </w:r>
      <w:r>
        <w:rPr>
          <w:rFonts w:hint="eastAsia"/>
          <w:lang w:val="zh-CN" w:eastAsia="zh-CN"/>
        </w:rPr>
        <w:t>的重点工作</w:t>
      </w:r>
      <w:r>
        <w:rPr>
          <w:lang w:val="zh-CN" w:eastAsia="zh-CN"/>
        </w:rPr>
        <w:t>包括：</w:t>
      </w:r>
    </w:p>
    <w:p w14:paraId="4C622596" w14:textId="2D9906C9" w:rsidR="00665626" w:rsidRPr="00AE16CE" w:rsidRDefault="00AE16CE" w:rsidP="00AE16CE">
      <w:pPr>
        <w:pStyle w:val="enumlev1"/>
        <w:keepNext/>
        <w:keepLines/>
        <w:rPr>
          <w:lang w:eastAsia="zh-CN"/>
        </w:rPr>
      </w:pPr>
      <w:r w:rsidRPr="00AE16CE">
        <w:rPr>
          <w:lang w:eastAsia="zh-CN"/>
        </w:rPr>
        <w:t>–</w:t>
      </w:r>
      <w:r w:rsidRPr="00AE16CE">
        <w:rPr>
          <w:lang w:eastAsia="zh-CN"/>
        </w:rPr>
        <w:tab/>
      </w:r>
      <w:r w:rsidR="00665626" w:rsidRPr="00AE16CE">
        <w:rPr>
          <w:lang w:eastAsia="zh-CN"/>
        </w:rPr>
        <w:t>框架的正式批准和推出</w:t>
      </w:r>
    </w:p>
    <w:p w14:paraId="6C48CC72" w14:textId="62A61CF7" w:rsidR="00665626" w:rsidRPr="00AE16CE" w:rsidRDefault="00AE16CE" w:rsidP="00AE16CE">
      <w:pPr>
        <w:pStyle w:val="enumlev1"/>
        <w:keepNext/>
        <w:keepLines/>
        <w:rPr>
          <w:lang w:eastAsia="zh-CN"/>
        </w:rPr>
      </w:pPr>
      <w:r w:rsidRPr="00AE16CE">
        <w:rPr>
          <w:lang w:eastAsia="zh-CN"/>
        </w:rPr>
        <w:t>–</w:t>
      </w:r>
      <w:r w:rsidRPr="00AE16CE">
        <w:rPr>
          <w:lang w:eastAsia="zh-CN"/>
        </w:rPr>
        <w:tab/>
      </w:r>
      <w:r w:rsidR="00665626" w:rsidRPr="00AE16CE">
        <w:rPr>
          <w:lang w:eastAsia="zh-CN"/>
        </w:rPr>
        <w:t>转型计划的启动和治理</w:t>
      </w:r>
    </w:p>
    <w:p w14:paraId="3FD83344" w14:textId="19B228AB" w:rsidR="00665626" w:rsidRPr="00AE16CE" w:rsidRDefault="00AE16CE" w:rsidP="00AE16CE">
      <w:pPr>
        <w:pStyle w:val="enumlev1"/>
        <w:rPr>
          <w:lang w:eastAsia="zh-CN"/>
        </w:rPr>
      </w:pPr>
      <w:r w:rsidRPr="00AE16CE">
        <w:rPr>
          <w:lang w:eastAsia="zh-CN"/>
        </w:rPr>
        <w:t>–</w:t>
      </w:r>
      <w:r w:rsidRPr="00AE16CE">
        <w:rPr>
          <w:lang w:eastAsia="zh-CN"/>
        </w:rPr>
        <w:tab/>
      </w:r>
      <w:r w:rsidR="00665626" w:rsidRPr="00AE16CE">
        <w:rPr>
          <w:lang w:eastAsia="zh-CN"/>
        </w:rPr>
        <w:t>加强组织架构和数据治理</w:t>
      </w:r>
    </w:p>
    <w:p w14:paraId="6433894C" w14:textId="62CEE20A" w:rsidR="00665626" w:rsidRPr="00AE16CE" w:rsidRDefault="00AE16CE" w:rsidP="001630B0">
      <w:pPr>
        <w:pStyle w:val="enumlev1"/>
        <w:rPr>
          <w:lang w:eastAsia="zh-CN"/>
        </w:rPr>
      </w:pPr>
      <w:r w:rsidRPr="00AE16CE">
        <w:rPr>
          <w:lang w:eastAsia="zh-CN"/>
        </w:rPr>
        <w:t>–</w:t>
      </w:r>
      <w:r w:rsidRPr="00AE16CE">
        <w:rPr>
          <w:lang w:eastAsia="zh-CN"/>
        </w:rPr>
        <w:tab/>
      </w:r>
      <w:r w:rsidR="00665626" w:rsidRPr="00AE16CE">
        <w:rPr>
          <w:lang w:eastAsia="zh-CN"/>
        </w:rPr>
        <w:t>实施绩效和报告框架</w:t>
      </w:r>
    </w:p>
    <w:p w14:paraId="24FC0E46" w14:textId="77777777" w:rsidR="00AE16CE" w:rsidRDefault="00AE16CE" w:rsidP="001630B0">
      <w:pPr>
        <w:pStyle w:val="enumlev1"/>
        <w:rPr>
          <w:lang w:eastAsia="zh-CN"/>
        </w:rPr>
      </w:pPr>
      <w:r w:rsidRPr="00AE16CE">
        <w:rPr>
          <w:lang w:eastAsia="zh-CN"/>
        </w:rPr>
        <w:t>–</w:t>
      </w:r>
      <w:r w:rsidRPr="00AE16CE">
        <w:rPr>
          <w:lang w:eastAsia="zh-CN"/>
        </w:rPr>
        <w:tab/>
      </w:r>
      <w:r w:rsidR="00665626" w:rsidRPr="00AE16CE">
        <w:rPr>
          <w:lang w:eastAsia="zh-CN"/>
        </w:rPr>
        <w:t>筹备下一战略周期（</w:t>
      </w:r>
      <w:r w:rsidR="00665626" w:rsidRPr="00AE16CE">
        <w:rPr>
          <w:lang w:eastAsia="zh-CN"/>
        </w:rPr>
        <w:t>2028-2031</w:t>
      </w:r>
      <w:r w:rsidR="00665626" w:rsidRPr="00AE16CE">
        <w:rPr>
          <w:lang w:eastAsia="zh-CN"/>
        </w:rPr>
        <w:t>年）</w:t>
      </w:r>
      <w:r w:rsidR="00665626" w:rsidRPr="00AE16CE">
        <w:rPr>
          <w:rFonts w:hint="eastAsia"/>
          <w:lang w:eastAsia="zh-CN"/>
        </w:rPr>
        <w:t>的工作</w:t>
      </w:r>
      <w:r w:rsidR="00665626" w:rsidRPr="00AE16CE">
        <w:rPr>
          <w:lang w:eastAsia="zh-CN"/>
        </w:rPr>
        <w:t>。</w:t>
      </w:r>
    </w:p>
    <w:p w14:paraId="74BC5F8E" w14:textId="77777777" w:rsidR="00AE16CE" w:rsidRDefault="00AE16CE" w:rsidP="00AE16CE">
      <w:pPr>
        <w:spacing w:before="480"/>
        <w:jc w:val="center"/>
      </w:pPr>
      <w:r>
        <w:t>______________</w:t>
      </w:r>
    </w:p>
    <w:sectPr w:rsidR="00AE16CE" w:rsidSect="00E24D59">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6470B" w14:textId="77777777" w:rsidR="00F32DEF" w:rsidRDefault="00F32DEF">
      <w:r>
        <w:separator/>
      </w:r>
    </w:p>
  </w:endnote>
  <w:endnote w:type="continuationSeparator" w:id="0">
    <w:p w14:paraId="5BB70CDB" w14:textId="77777777" w:rsidR="00F32DEF" w:rsidRDefault="00F3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63553339" w14:textId="77777777" w:rsidTr="00E31DCE">
      <w:trPr>
        <w:jc w:val="center"/>
      </w:trPr>
      <w:tc>
        <w:tcPr>
          <w:tcW w:w="1803" w:type="dxa"/>
          <w:vAlign w:val="center"/>
        </w:tcPr>
        <w:p w14:paraId="7540731A" w14:textId="0C12258F" w:rsidR="00E24D59" w:rsidRPr="005942EE" w:rsidRDefault="00F070C1" w:rsidP="00E24D59">
          <w:pPr>
            <w:pStyle w:val="Header"/>
            <w:jc w:val="left"/>
            <w:rPr>
              <w:rFonts w:eastAsiaTheme="minorEastAsia"/>
              <w:noProof/>
              <w:color w:val="808080" w:themeColor="background1" w:themeShade="80"/>
              <w:lang w:eastAsia="zh-CN"/>
            </w:rPr>
          </w:pPr>
          <w:r>
            <w:rPr>
              <w:rFonts w:eastAsiaTheme="minorEastAsia" w:hint="eastAsia"/>
              <w:noProof/>
              <w:color w:val="808080" w:themeColor="background1" w:themeShade="80"/>
              <w:lang w:eastAsia="zh-CN"/>
            </w:rPr>
            <w:t>R</w:t>
          </w:r>
          <w:r w:rsidR="005942EE">
            <w:rPr>
              <w:rFonts w:eastAsiaTheme="minorEastAsia" w:hint="eastAsia"/>
              <w:noProof/>
              <w:color w:val="808080" w:themeColor="background1" w:themeShade="80"/>
              <w:lang w:eastAsia="zh-CN"/>
            </w:rPr>
            <w:t>2600735</w:t>
          </w:r>
        </w:p>
      </w:tc>
      <w:tc>
        <w:tcPr>
          <w:tcW w:w="8261" w:type="dxa"/>
        </w:tcPr>
        <w:p w14:paraId="448CA9A7" w14:textId="215737C8"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5942EE">
            <w:rPr>
              <w:rFonts w:eastAsiaTheme="minorEastAsia" w:hint="eastAsia"/>
              <w:bCs/>
              <w:color w:val="808080" w:themeColor="background1" w:themeShade="80"/>
              <w:lang w:eastAsia="zh-CN"/>
            </w:rPr>
            <w:t>62</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569AFD74"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58712DD5" w14:textId="77777777" w:rsidTr="00E31DCE">
      <w:trPr>
        <w:jc w:val="center"/>
      </w:trPr>
      <w:tc>
        <w:tcPr>
          <w:tcW w:w="1803" w:type="dxa"/>
          <w:vAlign w:val="center"/>
        </w:tcPr>
        <w:p w14:paraId="313D0130"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0C634C42" w14:textId="2FB60473"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5942EE">
            <w:rPr>
              <w:rFonts w:eastAsiaTheme="minorEastAsia" w:hint="eastAsia"/>
              <w:bCs/>
              <w:color w:val="808080" w:themeColor="background1" w:themeShade="80"/>
              <w:lang w:eastAsia="zh-CN"/>
            </w:rPr>
            <w:t>62</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08F82484"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49DA7" w14:textId="77777777" w:rsidR="00F32DEF" w:rsidRDefault="00F32DEF">
      <w:r>
        <w:t>____________________</w:t>
      </w:r>
    </w:p>
  </w:footnote>
  <w:footnote w:type="continuationSeparator" w:id="0">
    <w:p w14:paraId="012A3362" w14:textId="77777777" w:rsidR="00F32DEF" w:rsidRDefault="00F32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B5AB"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A84CAF"/>
    <w:multiLevelType w:val="hybridMultilevel"/>
    <w:tmpl w:val="133E720C"/>
    <w:lvl w:ilvl="0" w:tplc="7F14AFBA">
      <w:start w:val="4"/>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3"/>
  </w:num>
  <w:num w:numId="3" w16cid:durableId="371539808">
    <w:abstractNumId w:val="4"/>
  </w:num>
  <w:num w:numId="4" w16cid:durableId="1525828948">
    <w:abstractNumId w:val="5"/>
  </w:num>
  <w:num w:numId="5" w16cid:durableId="2033219779">
    <w:abstractNumId w:val="7"/>
  </w:num>
  <w:num w:numId="6" w16cid:durableId="349645790">
    <w:abstractNumId w:val="6"/>
  </w:num>
  <w:num w:numId="7" w16cid:durableId="1451586466">
    <w:abstractNumId w:val="1"/>
  </w:num>
  <w:num w:numId="8" w16cid:durableId="253364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626"/>
    <w:rsid w:val="00001B77"/>
    <w:rsid w:val="0000517A"/>
    <w:rsid w:val="0000538F"/>
    <w:rsid w:val="00031E72"/>
    <w:rsid w:val="000404D2"/>
    <w:rsid w:val="000646BD"/>
    <w:rsid w:val="000853C0"/>
    <w:rsid w:val="00093DD9"/>
    <w:rsid w:val="0009409E"/>
    <w:rsid w:val="000A1C21"/>
    <w:rsid w:val="000C0BC5"/>
    <w:rsid w:val="000D15EA"/>
    <w:rsid w:val="000D7012"/>
    <w:rsid w:val="00100D84"/>
    <w:rsid w:val="00124C9D"/>
    <w:rsid w:val="001305DE"/>
    <w:rsid w:val="0015333E"/>
    <w:rsid w:val="00157773"/>
    <w:rsid w:val="001630B0"/>
    <w:rsid w:val="0018251A"/>
    <w:rsid w:val="00190272"/>
    <w:rsid w:val="00193244"/>
    <w:rsid w:val="00195C6C"/>
    <w:rsid w:val="00195FED"/>
    <w:rsid w:val="00196025"/>
    <w:rsid w:val="001A4BD6"/>
    <w:rsid w:val="001B6E2B"/>
    <w:rsid w:val="001D5A18"/>
    <w:rsid w:val="00215132"/>
    <w:rsid w:val="00220C45"/>
    <w:rsid w:val="00224449"/>
    <w:rsid w:val="00254EB5"/>
    <w:rsid w:val="00277DEA"/>
    <w:rsid w:val="00280EB8"/>
    <w:rsid w:val="002916B4"/>
    <w:rsid w:val="002A1D39"/>
    <w:rsid w:val="002A6670"/>
    <w:rsid w:val="002C3F32"/>
    <w:rsid w:val="00303502"/>
    <w:rsid w:val="00325C25"/>
    <w:rsid w:val="00372C8F"/>
    <w:rsid w:val="00380ECE"/>
    <w:rsid w:val="00393DDF"/>
    <w:rsid w:val="00397F55"/>
    <w:rsid w:val="003B4454"/>
    <w:rsid w:val="003C2E37"/>
    <w:rsid w:val="003F080E"/>
    <w:rsid w:val="003F086E"/>
    <w:rsid w:val="003F1415"/>
    <w:rsid w:val="0040144C"/>
    <w:rsid w:val="00403EB7"/>
    <w:rsid w:val="004178E6"/>
    <w:rsid w:val="00430BF0"/>
    <w:rsid w:val="00465C35"/>
    <w:rsid w:val="004672E6"/>
    <w:rsid w:val="00474ED1"/>
    <w:rsid w:val="00477D57"/>
    <w:rsid w:val="00491BA9"/>
    <w:rsid w:val="00493085"/>
    <w:rsid w:val="004A36EC"/>
    <w:rsid w:val="004D163F"/>
    <w:rsid w:val="004E3E6F"/>
    <w:rsid w:val="004E4BFF"/>
    <w:rsid w:val="004F2598"/>
    <w:rsid w:val="005403F7"/>
    <w:rsid w:val="00540632"/>
    <w:rsid w:val="00541CF4"/>
    <w:rsid w:val="005451E8"/>
    <w:rsid w:val="005507F2"/>
    <w:rsid w:val="00555C29"/>
    <w:rsid w:val="005759CC"/>
    <w:rsid w:val="00576C08"/>
    <w:rsid w:val="005942EE"/>
    <w:rsid w:val="005A72E1"/>
    <w:rsid w:val="005C6632"/>
    <w:rsid w:val="005D1C9E"/>
    <w:rsid w:val="00602842"/>
    <w:rsid w:val="00630DD5"/>
    <w:rsid w:val="00637584"/>
    <w:rsid w:val="00654257"/>
    <w:rsid w:val="0065435A"/>
    <w:rsid w:val="00664A40"/>
    <w:rsid w:val="00665626"/>
    <w:rsid w:val="00670D8A"/>
    <w:rsid w:val="006A2DD3"/>
    <w:rsid w:val="006A5113"/>
    <w:rsid w:val="006A5AF8"/>
    <w:rsid w:val="006C36CD"/>
    <w:rsid w:val="00700D1F"/>
    <w:rsid w:val="00705239"/>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418F5"/>
    <w:rsid w:val="0084546D"/>
    <w:rsid w:val="0085261D"/>
    <w:rsid w:val="0086059C"/>
    <w:rsid w:val="00864589"/>
    <w:rsid w:val="00874C82"/>
    <w:rsid w:val="00875FC3"/>
    <w:rsid w:val="00890AFB"/>
    <w:rsid w:val="00890FC4"/>
    <w:rsid w:val="00895905"/>
    <w:rsid w:val="008F64AD"/>
    <w:rsid w:val="00911230"/>
    <w:rsid w:val="00911867"/>
    <w:rsid w:val="009164A9"/>
    <w:rsid w:val="009258CB"/>
    <w:rsid w:val="0093362E"/>
    <w:rsid w:val="00944563"/>
    <w:rsid w:val="00953160"/>
    <w:rsid w:val="009625D8"/>
    <w:rsid w:val="00983878"/>
    <w:rsid w:val="0098459B"/>
    <w:rsid w:val="00997185"/>
    <w:rsid w:val="009A3456"/>
    <w:rsid w:val="009A76A8"/>
    <w:rsid w:val="009C2458"/>
    <w:rsid w:val="009C4A7B"/>
    <w:rsid w:val="009C6123"/>
    <w:rsid w:val="009F1E3E"/>
    <w:rsid w:val="00A01F4F"/>
    <w:rsid w:val="00A109AF"/>
    <w:rsid w:val="00A10B60"/>
    <w:rsid w:val="00A1213C"/>
    <w:rsid w:val="00A13406"/>
    <w:rsid w:val="00A272FF"/>
    <w:rsid w:val="00A5354B"/>
    <w:rsid w:val="00A71B57"/>
    <w:rsid w:val="00AA2E08"/>
    <w:rsid w:val="00AB42C1"/>
    <w:rsid w:val="00AC516F"/>
    <w:rsid w:val="00AE16CE"/>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D0954"/>
    <w:rsid w:val="00BD1A5A"/>
    <w:rsid w:val="00BD7A9B"/>
    <w:rsid w:val="00BD7BE1"/>
    <w:rsid w:val="00BF416B"/>
    <w:rsid w:val="00C24DAC"/>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624A"/>
    <w:rsid w:val="00DD62F5"/>
    <w:rsid w:val="00DD66A1"/>
    <w:rsid w:val="00DE196D"/>
    <w:rsid w:val="00DF6B49"/>
    <w:rsid w:val="00E067C5"/>
    <w:rsid w:val="00E24D59"/>
    <w:rsid w:val="00E265BF"/>
    <w:rsid w:val="00E323D0"/>
    <w:rsid w:val="00E34C96"/>
    <w:rsid w:val="00E378D8"/>
    <w:rsid w:val="00E43A12"/>
    <w:rsid w:val="00E67C67"/>
    <w:rsid w:val="00E77476"/>
    <w:rsid w:val="00E8228B"/>
    <w:rsid w:val="00EE5706"/>
    <w:rsid w:val="00EF373D"/>
    <w:rsid w:val="00F0467D"/>
    <w:rsid w:val="00F070C1"/>
    <w:rsid w:val="00F11595"/>
    <w:rsid w:val="00F13BC9"/>
    <w:rsid w:val="00F32DEF"/>
    <w:rsid w:val="00F357B2"/>
    <w:rsid w:val="00F36556"/>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5688F"/>
  <w15:docId w15:val="{94179CD2-8C19-4F34-A610-1F7B9C6A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66/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93\Desktop\&#24037;&#20316;26.2.4\2600735\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1</TotalTime>
  <Pages>6</Pages>
  <Words>3259</Words>
  <Characters>1881</Characters>
  <Application>Microsoft Office Word</Application>
  <DocSecurity>0</DocSecurity>
  <Lines>81</Lines>
  <Paragraphs>131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5009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ITU's internal digital foundations for transformation - Strategy, enterprise architecture, ICT governance and IT operating model</dc:title>
  <dc:subject>ITU Council 2026</dc:subject>
  <cp:keywords>C26; C2026; Council 2026; PP26</cp:keywords>
  <dc:description/>
  <cp:lastPrinted>2015-02-24T13:23:00Z</cp:lastPrinted>
  <dcterms:created xsi:type="dcterms:W3CDTF">2026-04-10T16:11:00Z</dcterms:created>
  <dcterms:modified xsi:type="dcterms:W3CDTF">2026-04-10T16:11:00Z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