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10385" w14:paraId="3559127C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06034C5" w14:textId="70755034" w:rsidR="00796BD3" w:rsidRPr="00810385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810385">
              <w:rPr>
                <w:b/>
                <w:lang w:val="ru-RU"/>
              </w:rPr>
              <w:t>Пункт повестки дня:</w:t>
            </w:r>
            <w:r w:rsidR="000B27C7" w:rsidRPr="00810385">
              <w:rPr>
                <w:b/>
                <w:bCs/>
                <w:color w:val="000000"/>
                <w:lang w:val="ru-RU"/>
              </w:rPr>
              <w:t xml:space="preserve"> PL-2</w:t>
            </w:r>
          </w:p>
        </w:tc>
        <w:tc>
          <w:tcPr>
            <w:tcW w:w="5245" w:type="dxa"/>
          </w:tcPr>
          <w:p w14:paraId="15D55CE2" w14:textId="0C7840FC" w:rsidR="00796BD3" w:rsidRPr="0081038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10385">
              <w:rPr>
                <w:b/>
                <w:lang w:val="ru-RU"/>
              </w:rPr>
              <w:t xml:space="preserve">Документ </w:t>
            </w:r>
            <w:r w:rsidR="00796BD3" w:rsidRPr="00810385">
              <w:rPr>
                <w:b/>
                <w:lang w:val="ru-RU"/>
              </w:rPr>
              <w:t>C2</w:t>
            </w:r>
            <w:r w:rsidR="00BE00DD" w:rsidRPr="00810385">
              <w:rPr>
                <w:b/>
                <w:lang w:val="ru-RU"/>
              </w:rPr>
              <w:t>6</w:t>
            </w:r>
            <w:r w:rsidR="00796BD3" w:rsidRPr="00810385">
              <w:rPr>
                <w:b/>
                <w:lang w:val="ru-RU"/>
              </w:rPr>
              <w:t>/</w:t>
            </w:r>
            <w:r w:rsidR="000B27C7" w:rsidRPr="00810385">
              <w:rPr>
                <w:b/>
                <w:lang w:val="ru-RU"/>
              </w:rPr>
              <w:t>60</w:t>
            </w:r>
            <w:r w:rsidR="00796BD3" w:rsidRPr="00810385">
              <w:rPr>
                <w:b/>
                <w:lang w:val="ru-RU"/>
              </w:rPr>
              <w:t>-R</w:t>
            </w:r>
          </w:p>
        </w:tc>
      </w:tr>
      <w:tr w:rsidR="00796BD3" w:rsidRPr="00810385" w14:paraId="702D380F" w14:textId="77777777" w:rsidTr="00D17718">
        <w:trPr>
          <w:cantSplit/>
        </w:trPr>
        <w:tc>
          <w:tcPr>
            <w:tcW w:w="3969" w:type="dxa"/>
            <w:vMerge/>
          </w:tcPr>
          <w:p w14:paraId="3526E45B" w14:textId="77777777" w:rsidR="00796BD3" w:rsidRPr="008103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0135193" w14:textId="2114E82C" w:rsidR="00796BD3" w:rsidRPr="00810385" w:rsidRDefault="000B27C7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10385">
              <w:rPr>
                <w:b/>
                <w:bCs/>
                <w:color w:val="000000"/>
                <w:lang w:val="ru-RU"/>
              </w:rPr>
              <w:t>30 марта 2026 года</w:t>
            </w:r>
          </w:p>
        </w:tc>
      </w:tr>
      <w:tr w:rsidR="00796BD3" w:rsidRPr="00810385" w14:paraId="0113368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1CC987B" w14:textId="77777777" w:rsidR="00796BD3" w:rsidRPr="008103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1025210" w14:textId="77777777" w:rsidR="00796BD3" w:rsidRPr="0081038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1038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10385" w14:paraId="17D86C91" w14:textId="77777777" w:rsidTr="00D17718">
        <w:trPr>
          <w:cantSplit/>
          <w:trHeight w:val="23"/>
        </w:trPr>
        <w:tc>
          <w:tcPr>
            <w:tcW w:w="3969" w:type="dxa"/>
          </w:tcPr>
          <w:p w14:paraId="591FF006" w14:textId="77777777" w:rsidR="00796BD3" w:rsidRPr="008103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947F03F" w14:textId="77777777" w:rsidR="00796BD3" w:rsidRPr="00810385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10385" w14:paraId="2A320D9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4C9BBAF" w14:textId="77777777" w:rsidR="00796BD3" w:rsidRPr="00810385" w:rsidRDefault="0033025A" w:rsidP="00E7589C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810385">
              <w:t>Отчет Генерального секретаря</w:t>
            </w:r>
          </w:p>
        </w:tc>
      </w:tr>
      <w:tr w:rsidR="00796BD3" w:rsidRPr="00B943C9" w14:paraId="70F255CE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D3FBAE9" w14:textId="31E8680F" w:rsidR="00796BD3" w:rsidRPr="00810385" w:rsidRDefault="000B27C7" w:rsidP="0026606B">
            <w:pPr>
              <w:pStyle w:val="Subtitle"/>
              <w:framePr w:hSpace="0" w:wrap="auto" w:xAlign="left" w:yAlign="inline"/>
              <w:suppressOverlap w:val="0"/>
              <w:jc w:val="both"/>
            </w:pPr>
            <w:bookmarkStart w:id="6" w:name="dtitle1" w:colFirst="0" w:colLast="0"/>
            <w:bookmarkEnd w:id="5"/>
            <w:r w:rsidRPr="00810385">
              <w:rPr>
                <w:sz w:val="32"/>
                <w:szCs w:val="28"/>
              </w:rPr>
              <w:t>АНАЛИЗ ПРОБЕЛОВ, КАСАЮЩИХСЯ ОБНОВЛЕНИЯ РЕЗОЛЮЦИЙ 1332 И 1334 СОВЕТА, РЕЗОЛЮЦИИ 140 (ПЕРЕСМ. БУХАРЕСТ, 2022</w:t>
            </w:r>
            <w:r w:rsidR="00C33A2E" w:rsidRPr="00810385">
              <w:rPr>
                <w:sz w:val="32"/>
                <w:szCs w:val="28"/>
              </w:rPr>
              <w:t> </w:t>
            </w:r>
            <w:r w:rsidRPr="00810385">
              <w:rPr>
                <w:sz w:val="32"/>
                <w:szCs w:val="28"/>
              </w:rPr>
              <w:t>Г.) И КРУГА ВЕДЕНИЯ РГС-ИНТЕРНЕТ В СВЕТЕ РЕШЕНИЙ ВВУИО+20</w:t>
            </w:r>
          </w:p>
        </w:tc>
      </w:tr>
      <w:tr w:rsidR="00796BD3" w:rsidRPr="00810385" w14:paraId="72DD327E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BD2C5E3" w14:textId="77777777" w:rsidR="00796BD3" w:rsidRPr="0081038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10385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FFE474A" w14:textId="59400004" w:rsidR="00796BD3" w:rsidRPr="00810385" w:rsidRDefault="000B27C7" w:rsidP="0026606B">
            <w:pPr>
              <w:jc w:val="both"/>
              <w:rPr>
                <w:lang w:val="ru-RU"/>
              </w:rPr>
            </w:pPr>
            <w:r w:rsidRPr="00810385">
              <w:rPr>
                <w:lang w:val="ru-RU"/>
              </w:rPr>
              <w:t>Цель настоящего документа заключается в оценке согласованности a) Резолюций 1332 (C11, последнее изменение C24) и 1334 (C11, последнее изменение C23) Совета и Резолюции 140 (Пересм. Бухарест, 2022 г.) Полномочной конференции, b) Резолюций 1305 (C09, последнее изменение C19) и 1336 (C11, последнее изменение C19) Совета и Резолюции 102 (Пересм. Бухарест, 2022 г.) Полномочной конференции с результатами обзора ВВУИО+20, выявлении пробелов и областей для возможного обновления в целях поддержки принятия Советом обоснованных решений.</w:t>
            </w:r>
          </w:p>
          <w:p w14:paraId="5901DA11" w14:textId="77777777" w:rsidR="00796BD3" w:rsidRPr="0081038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10385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717A581" w14:textId="2A622DA4" w:rsidR="00796BD3" w:rsidRPr="00810385" w:rsidRDefault="000B27C7" w:rsidP="00D17718">
            <w:pPr>
              <w:rPr>
                <w:lang w:val="ru-RU"/>
              </w:rPr>
            </w:pPr>
            <w:r w:rsidRPr="00810385">
              <w:rPr>
                <w:lang w:val="ru-RU"/>
              </w:rPr>
              <w:t xml:space="preserve">Совету предлагается </w:t>
            </w:r>
            <w:r w:rsidRPr="00810385">
              <w:rPr>
                <w:b/>
                <w:bCs/>
                <w:lang w:val="ru-RU"/>
              </w:rPr>
              <w:t>рассмотреть</w:t>
            </w:r>
            <w:r w:rsidRPr="00810385">
              <w:rPr>
                <w:lang w:val="ru-RU"/>
              </w:rPr>
              <w:t xml:space="preserve"> настоящий документ.</w:t>
            </w:r>
          </w:p>
          <w:p w14:paraId="21350BD9" w14:textId="77777777" w:rsidR="00796BD3" w:rsidRPr="0081038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10385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B145056" w14:textId="79123F9C" w:rsidR="00796BD3" w:rsidRPr="00810385" w:rsidRDefault="000B27C7" w:rsidP="00D17718">
            <w:pPr>
              <w:rPr>
                <w:lang w:val="ru-RU"/>
              </w:rPr>
            </w:pPr>
            <w:r w:rsidRPr="00810385">
              <w:rPr>
                <w:lang w:val="ru-RU"/>
              </w:rPr>
              <w:t>Платформы для созыва мероприятий, партнерства и международное сотрудничество.</w:t>
            </w:r>
          </w:p>
          <w:p w14:paraId="255AB82E" w14:textId="77777777" w:rsidR="00796BD3" w:rsidRPr="0081038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10385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24587462" w14:textId="13FE80A9" w:rsidR="00345D2A" w:rsidRPr="00810385" w:rsidRDefault="000B27C7" w:rsidP="00E7589C">
            <w:pPr>
              <w:rPr>
                <w:szCs w:val="22"/>
                <w:lang w:val="ru-RU"/>
              </w:rPr>
            </w:pPr>
            <w:r w:rsidRPr="00810385">
              <w:rPr>
                <w:szCs w:val="22"/>
                <w:lang w:val="ru-RU"/>
              </w:rPr>
              <w:t>В рамках выделенного бюджета на 2026–2027 годы.</w:t>
            </w:r>
          </w:p>
          <w:p w14:paraId="7075ABDD" w14:textId="77777777" w:rsidR="00796BD3" w:rsidRPr="00810385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810385">
              <w:rPr>
                <w:sz w:val="20"/>
                <w:szCs w:val="18"/>
                <w:lang w:val="ru-RU"/>
              </w:rPr>
              <w:t>__________________</w:t>
            </w:r>
          </w:p>
          <w:p w14:paraId="6D4F3C70" w14:textId="77777777" w:rsidR="00796BD3" w:rsidRPr="00810385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810385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3CE77F8" w14:textId="521BABDF" w:rsidR="00796BD3" w:rsidRPr="00810385" w:rsidRDefault="000B27C7" w:rsidP="0026606B">
            <w:pPr>
              <w:spacing w:after="160"/>
              <w:rPr>
                <w:i/>
                <w:iCs/>
                <w:lang w:val="ru-RU"/>
              </w:rPr>
            </w:pPr>
            <w:r w:rsidRPr="00810385">
              <w:rPr>
                <w:i/>
                <w:iCs/>
                <w:color w:val="000000"/>
                <w:lang w:val="ru-RU"/>
              </w:rPr>
              <w:t xml:space="preserve">Резолюция </w:t>
            </w:r>
            <w:hyperlink r:id="rId7" w:history="1">
              <w:r w:rsidRPr="00810385">
                <w:rPr>
                  <w:rStyle w:val="Hyperlink"/>
                  <w:i/>
                  <w:iCs/>
                  <w:lang w:val="ru-RU"/>
                </w:rPr>
                <w:t>A/RES/80/173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 ГА ООН;</w:t>
            </w:r>
            <w:r w:rsidRPr="00810385">
              <w:rPr>
                <w:color w:val="000000"/>
                <w:lang w:val="ru-RU"/>
              </w:rPr>
              <w:t xml:space="preserve"> </w:t>
            </w:r>
            <w:r w:rsidRPr="00810385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8" w:history="1">
              <w:r w:rsidRPr="00810385">
                <w:rPr>
                  <w:rStyle w:val="Hyperlink"/>
                  <w:i/>
                  <w:iCs/>
                  <w:lang w:val="ru-RU"/>
                </w:rPr>
                <w:t>1305 (C209, последнее изменение C19)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9" w:history="1">
              <w:r w:rsidRPr="00810385">
                <w:rPr>
                  <w:rStyle w:val="Hyperlink"/>
                  <w:i/>
                  <w:iCs/>
                  <w:lang w:val="ru-RU"/>
                </w:rPr>
                <w:t>1332 (C11, последнее изменение C24)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0" w:history="1">
              <w:r w:rsidRPr="00810385">
                <w:rPr>
                  <w:rStyle w:val="Hyperlink"/>
                  <w:i/>
                  <w:iCs/>
                  <w:lang w:val="ru-RU"/>
                </w:rPr>
                <w:t>1336 (C11, последнее изменение C19)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1" w:history="1">
              <w:r w:rsidRPr="00810385">
                <w:rPr>
                  <w:rStyle w:val="Hyperlink"/>
                  <w:i/>
                  <w:iCs/>
                  <w:lang w:val="ru-RU"/>
                </w:rPr>
                <w:t>1334 (C11, последнее изменение C23)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 Совета;</w:t>
            </w:r>
            <w:r w:rsidRPr="00810385">
              <w:rPr>
                <w:color w:val="000000"/>
                <w:lang w:val="ru-RU"/>
              </w:rPr>
              <w:t xml:space="preserve"> </w:t>
            </w:r>
            <w:r w:rsidRPr="00810385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12" w:history="1">
              <w:r w:rsidRPr="00810385">
                <w:rPr>
                  <w:rStyle w:val="Hyperlink"/>
                  <w:i/>
                  <w:iCs/>
                  <w:lang w:val="ru-RU"/>
                </w:rPr>
                <w:t>102 (Пересм. Бухарест, 2022 г.)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3" w:history="1">
              <w:r w:rsidRPr="00810385">
                <w:rPr>
                  <w:rStyle w:val="Hyperlink"/>
                  <w:i/>
                  <w:iCs/>
                  <w:lang w:val="ru-RU"/>
                </w:rPr>
                <w:t>140 (Пересм. Бухарест, 2022 г.)</w:t>
              </w:r>
            </w:hyperlink>
            <w:r w:rsidRPr="00810385">
              <w:rPr>
                <w:i/>
                <w:iCs/>
                <w:color w:val="000000"/>
                <w:lang w:val="ru-RU"/>
              </w:rPr>
              <w:t xml:space="preserve"> Полномочной конференции</w:t>
            </w:r>
          </w:p>
        </w:tc>
      </w:tr>
      <w:bookmarkEnd w:id="2"/>
      <w:bookmarkEnd w:id="6"/>
    </w:tbl>
    <w:p w14:paraId="2AE6FDF7" w14:textId="77777777" w:rsidR="00796BD3" w:rsidRPr="00810385" w:rsidRDefault="00796BD3" w:rsidP="00796BD3">
      <w:pPr>
        <w:rPr>
          <w:lang w:val="ru-RU"/>
        </w:rPr>
      </w:pPr>
    </w:p>
    <w:p w14:paraId="7AA9BFAC" w14:textId="77777777" w:rsidR="00D17718" w:rsidRPr="00810385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D2B2C9C" w14:textId="77777777" w:rsidR="00165D06" w:rsidRPr="00810385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10385">
        <w:rPr>
          <w:lang w:val="ru-RU"/>
        </w:rPr>
        <w:br w:type="page"/>
      </w:r>
    </w:p>
    <w:p w14:paraId="3DE0ED32" w14:textId="77777777" w:rsidR="000B27C7" w:rsidRPr="00810385" w:rsidRDefault="000B27C7" w:rsidP="00C33A2E">
      <w:pPr>
        <w:pStyle w:val="Heading1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lastRenderedPageBreak/>
        <w:t>1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Введение</w:t>
      </w:r>
    </w:p>
    <w:p w14:paraId="78F86948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1.1</w:t>
      </w:r>
      <w:r w:rsidRPr="00810385">
        <w:rPr>
          <w:lang w:val="ru-RU"/>
        </w:rPr>
        <w:tab/>
        <w:t xml:space="preserve">Настоящий документ подготовлен во исполнение поручения 44-го собрания Рабочей группы Совета по ВВУИО и ЦУР, отраженного в пп. 8.16–8.19 отчета о собрании, в соответствии с которым секретариат должен был подготовить анализ пробелов для оценки соответствия существующих Резолюций МСЭ результатам обзора ВВУИО+20. Памятуя о принятом РГС-ВВУИО&amp;ЦУР решении подготовить для Совета анализ пробелов в воздействии ВВУИО+20 на текущую работу и мандаты МСЭ для рассмотрения Советом, Рабочая группа Совета по вопросам международной государственной политики, касающимся интернета (РГС-Интернет) на своем 23-м собрании также просила секретариат внести вклад в эту работу в части, касающейся круга ведения РГС-Интернет (см. </w:t>
      </w:r>
      <w:hyperlink r:id="rId14" w:history="1">
        <w:r w:rsidRPr="00810385">
          <w:rPr>
            <w:rStyle w:val="Hyperlink"/>
            <w:lang w:val="ru-RU"/>
          </w:rPr>
          <w:t>п. 4.1.3 отчета о собрании</w:t>
        </w:r>
      </w:hyperlink>
      <w:r w:rsidRPr="00810385">
        <w:rPr>
          <w:lang w:val="ru-RU"/>
        </w:rPr>
        <w:t>).</w:t>
      </w:r>
      <w:hyperlink r:id="rId15"/>
    </w:p>
    <w:p w14:paraId="6CEBF25A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1.2</w:t>
      </w:r>
      <w:r w:rsidRPr="00810385">
        <w:rPr>
          <w:lang w:val="ru-RU"/>
        </w:rPr>
        <w:tab/>
        <w:t>В рамках анализа рассматриваются Резолюции 1332 (C11, последнее изменение C24) и 1334 (C11, последнее изменение C23), а также Резолюция 140 (Пересм. Бухарест, 2022 г.) Полномочной конференции (ПК) по следующим вопросам:</w:t>
      </w:r>
    </w:p>
    <w:p w14:paraId="32BD68FF" w14:textId="77777777" w:rsidR="000B27C7" w:rsidRPr="00810385" w:rsidRDefault="000B27C7" w:rsidP="0026606B">
      <w:pPr>
        <w:pStyle w:val="enumlev1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просьбы о проведении конкретных видов деятельности, следующие из обзора ВВУИО+20;</w:t>
      </w:r>
    </w:p>
    <w:p w14:paraId="2771D3AF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текущая деятельность МСЭ;</w:t>
      </w:r>
    </w:p>
    <w:p w14:paraId="54D29A45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предлагаемые изменения, представленные Российской Федерацией на 44-м собрании Рабочей группы Совета по ВВУИО и ЦУР;</w:t>
      </w:r>
    </w:p>
    <w:p w14:paraId="2E751DA9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вклад, представленный Соединенными Штатами Америки на 44-м собрании Рабочей группы Совета по ВВУИО и ЦУР.</w:t>
      </w:r>
    </w:p>
    <w:p w14:paraId="5DFFB901" w14:textId="33EB57BD" w:rsidR="000B27C7" w:rsidRPr="00810385" w:rsidRDefault="000B27C7" w:rsidP="0026606B">
      <w:pPr>
        <w:jc w:val="both"/>
        <w:rPr>
          <w:rFonts w:eastAsia="Calibri"/>
          <w:kern w:val="2"/>
          <w:lang w:val="ru-RU"/>
          <w14:ligatures w14:val="standardContextual"/>
        </w:rPr>
      </w:pPr>
      <w:r w:rsidRPr="00810385">
        <w:rPr>
          <w:lang w:val="ru-RU"/>
        </w:rPr>
        <w:t>1.3</w:t>
      </w:r>
      <w:r w:rsidRPr="00810385">
        <w:rPr>
          <w:lang w:val="ru-RU"/>
        </w:rPr>
        <w:tab/>
        <w:t>Кроме того, в рамках анализа рассматриваются положения Резолюций 1305 и 1336 Совета и Резолюции 102 (Пересм. Бухарест, 2022 г.) ПК, касающиеся круга ведения РГС</w:t>
      </w:r>
      <w:r w:rsidR="00C33A2E" w:rsidRPr="00810385">
        <w:rPr>
          <w:lang w:val="ru-RU"/>
        </w:rPr>
        <w:noBreakHyphen/>
      </w:r>
      <w:r w:rsidRPr="00810385">
        <w:rPr>
          <w:lang w:val="ru-RU"/>
        </w:rPr>
        <w:t>Интернет, в связи с соответствующими положениями итогового документа ВВУИО+20 (</w:t>
      </w:r>
      <w:hyperlink r:id="rId16" w:history="1">
        <w:r w:rsidRPr="00810385">
          <w:rPr>
            <w:rFonts w:eastAsia="Calibri"/>
            <w:color w:val="0563C1"/>
            <w:kern w:val="2"/>
            <w:u w:val="single"/>
            <w:lang w:val="ru-RU"/>
            <w14:ligatures w14:val="standardContextual"/>
          </w:rPr>
          <w:t>A/RES/80/173</w:t>
        </w:r>
      </w:hyperlink>
      <w:r w:rsidRPr="00810385">
        <w:rPr>
          <w:lang w:val="ru-RU"/>
        </w:rPr>
        <w:t xml:space="preserve">), а также с учетом вкладов, полученных на 23-м собрании РГС-Интернет. </w:t>
      </w:r>
      <w:hyperlink r:id="rId17" w:history="1"/>
    </w:p>
    <w:p w14:paraId="366948AF" w14:textId="77777777" w:rsidR="000B27C7" w:rsidRPr="00810385" w:rsidRDefault="000B27C7" w:rsidP="0026606B">
      <w:pPr>
        <w:jc w:val="both"/>
        <w:rPr>
          <w:rFonts w:eastAsia="Calibri"/>
          <w:kern w:val="2"/>
          <w:lang w:val="ru-RU"/>
          <w14:ligatures w14:val="standardContextual"/>
        </w:rPr>
      </w:pPr>
      <w:r w:rsidRPr="00810385">
        <w:rPr>
          <w:lang w:val="ru-RU"/>
        </w:rPr>
        <w:t>1.4</w:t>
      </w:r>
      <w:r w:rsidRPr="00810385">
        <w:rPr>
          <w:lang w:val="ru-RU"/>
        </w:rPr>
        <w:tab/>
        <w:t>В итоговом документе ВВУИО+20 (</w:t>
      </w:r>
      <w:hyperlink r:id="rId18" w:history="1">
        <w:r w:rsidRPr="00810385">
          <w:rPr>
            <w:rFonts w:eastAsia="Calibri"/>
            <w:color w:val="0563C1"/>
            <w:kern w:val="2"/>
            <w:u w:val="single"/>
            <w:lang w:val="ru-RU"/>
            <w14:ligatures w14:val="standardContextual"/>
          </w:rPr>
          <w:t>A/RES/80/173</w:t>
        </w:r>
      </w:hyperlink>
      <w:r w:rsidRPr="00810385">
        <w:rPr>
          <w:lang w:val="ru-RU"/>
        </w:rPr>
        <w:t>) МСЭ не были предоставлены новые мандаты, поскольку полномочия по определению его мандатов принадлежат руководящим органам Союза. В этой резолюции Союзу предлагается предпринять ряд конкретных видов деятельности в рамках своих существующих мандатов. Признание Генеральной Ассамблеей Организации Объединенных Наций (ГА ООН) текущей работы МСЭ еще раз подчеркивает сохраняющуюся важность вклада Союза в выполнение решений ВВУИО.</w:t>
      </w:r>
      <w:hyperlink r:id="rId19" w:history="1"/>
    </w:p>
    <w:p w14:paraId="00163BF1" w14:textId="77777777" w:rsidR="000B27C7" w:rsidRPr="00810385" w:rsidRDefault="000B27C7" w:rsidP="00C33A2E">
      <w:pPr>
        <w:pStyle w:val="Heading1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t>2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Сфера охвата и методика</w:t>
      </w:r>
    </w:p>
    <w:p w14:paraId="70064246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2.1</w:t>
      </w:r>
      <w:r w:rsidRPr="00810385">
        <w:rPr>
          <w:lang w:val="ru-RU"/>
        </w:rPr>
        <w:tab/>
        <w:t>Секретариат рассмотрел существующий текст упомянутых выше резолюций, сопоставил их с просьбами о принятии мер в рамках ВВУИО+20 и оценил их соответствие текущим программам работы МСЭ и/или кругу ведения РГС-Интернет, в зависимости от случая.</w:t>
      </w:r>
    </w:p>
    <w:p w14:paraId="3B295A56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2.2</w:t>
      </w:r>
      <w:r w:rsidRPr="00810385">
        <w:rPr>
          <w:lang w:val="ru-RU"/>
        </w:rPr>
        <w:tab/>
        <w:t>Были проанализированы вклады Государств-Членов, с тем чтобы определить предлагаемые добавления, разъяснения или структурные изменения.</w:t>
      </w:r>
    </w:p>
    <w:p w14:paraId="3C7B73E1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2.3</w:t>
      </w:r>
      <w:r w:rsidRPr="00810385">
        <w:rPr>
          <w:lang w:val="ru-RU"/>
        </w:rPr>
        <w:tab/>
        <w:t>Анализ сосредоточен на существенных пробелах, а не на редакционных изменениях.</w:t>
      </w:r>
    </w:p>
    <w:p w14:paraId="67194206" w14:textId="77777777" w:rsidR="000B27C7" w:rsidRPr="00810385" w:rsidRDefault="000B27C7" w:rsidP="00C33A2E">
      <w:pPr>
        <w:pStyle w:val="Heading1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t>3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Резюме просьб о принятии мер в рамках ВВУИО+20</w:t>
      </w:r>
    </w:p>
    <w:p w14:paraId="4F06BE5D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3.1</w:t>
      </w:r>
      <w:r w:rsidRPr="00810385">
        <w:rPr>
          <w:lang w:val="ru-RU"/>
        </w:rPr>
        <w:tab/>
        <w:t>В обзоре ВВУИО+20 признаются и подтверждаются существующие мандаты МСЭ. В нем изложен комплекс конкретных видов деятельности, которые должны осуществляться в соответствии с этими мандатами.</w:t>
      </w:r>
    </w:p>
    <w:p w14:paraId="50C1DBFD" w14:textId="0A298FDA" w:rsidR="000B27C7" w:rsidRPr="00810385" w:rsidRDefault="000B27C7" w:rsidP="00C33A2E">
      <w:pPr>
        <w:keepNext/>
        <w:keepLines/>
        <w:rPr>
          <w:rFonts w:eastAsia="Calibri"/>
          <w:lang w:val="ru-RU"/>
        </w:rPr>
      </w:pPr>
      <w:r w:rsidRPr="00810385">
        <w:rPr>
          <w:lang w:val="ru-RU"/>
        </w:rPr>
        <w:lastRenderedPageBreak/>
        <w:t>3.2</w:t>
      </w:r>
      <w:r w:rsidRPr="00810385">
        <w:rPr>
          <w:lang w:val="ru-RU"/>
        </w:rPr>
        <w:tab/>
        <w:t>ВВУИО</w:t>
      </w:r>
      <w:r w:rsidR="00810385" w:rsidRPr="00810385">
        <w:rPr>
          <w:lang w:val="ru-RU"/>
        </w:rPr>
        <w:t>:</w:t>
      </w:r>
    </w:p>
    <w:p w14:paraId="38214975" w14:textId="77777777" w:rsidR="000B27C7" w:rsidRPr="00810385" w:rsidRDefault="000B27C7" w:rsidP="0026606B">
      <w:pPr>
        <w:jc w:val="both"/>
        <w:rPr>
          <w:rFonts w:eastAsia="Calibri" w:cstheme="minorBidi"/>
          <w:lang w:val="ru-RU"/>
        </w:rPr>
      </w:pPr>
      <w:r w:rsidRPr="00810385">
        <w:rPr>
          <w:lang w:val="ru-RU"/>
        </w:rPr>
        <w:t>3.2.1</w:t>
      </w:r>
      <w:r w:rsidRPr="00810385">
        <w:rPr>
          <w:lang w:val="ru-RU"/>
        </w:rPr>
        <w:tab/>
        <w:t>В резолюции ГА ООН прямо признается текущая работа МСЭ по выполнению решений ВВУИО, включая его руководящую роль, функции координации и ответственность в вопросах представления отчетности. Это признание укрепляет актуальность текущей деятельности МСЭ и обеспечивает преемственность для будущей работы.</w:t>
      </w:r>
    </w:p>
    <w:p w14:paraId="700BF175" w14:textId="77777777" w:rsidR="000B27C7" w:rsidRPr="00810385" w:rsidRDefault="000B27C7" w:rsidP="0026606B">
      <w:pPr>
        <w:jc w:val="both"/>
        <w:rPr>
          <w:rFonts w:asciiTheme="minorHAnsi" w:eastAsia="Calibri" w:hAnsiTheme="minorHAnsi" w:cstheme="minorBidi"/>
          <w:kern w:val="2"/>
          <w:lang w:val="ru-RU"/>
          <w14:ligatures w14:val="standardContextual"/>
        </w:rPr>
      </w:pPr>
      <w:r w:rsidRPr="00810385">
        <w:rPr>
          <w:lang w:val="ru-RU"/>
        </w:rPr>
        <w:t>3.2.2</w:t>
      </w:r>
      <w:r w:rsidRPr="00810385">
        <w:rPr>
          <w:lang w:val="ru-RU"/>
        </w:rPr>
        <w:tab/>
        <w:t>Ниже перечислены следующие просьбы по итогам обзора ВВУИО+20:</w:t>
      </w:r>
    </w:p>
    <w:p w14:paraId="153AFB2F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совершенствование отчетности о выполнении решений ВВУИО как в рамках руководящих органов и Форума ВВУИО, так и за их пределами, включая, в том числе, отчетность, представляемую Комиссии ООН по науке и технике в целях развития (КНТР);</w:t>
      </w:r>
    </w:p>
    <w:p w14:paraId="12C30049" w14:textId="2F362D10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уделение повышенного внимания расширению охвата цифровыми технологиями, доступности и созданию потенциала;</w:t>
      </w:r>
    </w:p>
    <w:p w14:paraId="5DEEAB90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уделение повышенного внимания появляющимся технологиям, таким как ИИ, управлению данными, доверию и безопасности;</w:t>
      </w:r>
    </w:p>
    <w:p w14:paraId="28389240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укрепление механизмов межучрежденческой координации и механизмов координации с участием многих заинтересованных сторон для поддержки последовательного выполнения решений ВВУИО с другими процессами ООН;</w:t>
      </w:r>
    </w:p>
    <w:p w14:paraId="1D4F5A0C" w14:textId="77777777" w:rsidR="000B27C7" w:rsidRPr="00810385" w:rsidRDefault="000B27C7" w:rsidP="0026606B">
      <w:pPr>
        <w:pStyle w:val="enumlev1"/>
        <w:spacing w:before="120"/>
        <w:jc w:val="both"/>
        <w:rPr>
          <w:rFonts w:eastAsia="Calibri"/>
          <w:lang w:val="ru-RU"/>
        </w:rPr>
      </w:pPr>
      <w:r w:rsidRPr="00810385">
        <w:rPr>
          <w:lang w:val="ru-RU"/>
        </w:rPr>
        <w:t>–</w:t>
      </w:r>
      <w:r w:rsidRPr="00810385">
        <w:rPr>
          <w:lang w:val="ru-RU"/>
        </w:rPr>
        <w:tab/>
        <w:t>обновление сроков выполнения решений ВВУИО на период 2026−2035 годов.</w:t>
      </w:r>
    </w:p>
    <w:p w14:paraId="083E4C10" w14:textId="77777777" w:rsidR="000B27C7" w:rsidRPr="00810385" w:rsidRDefault="000B27C7" w:rsidP="00C33A2E">
      <w:pPr>
        <w:rPr>
          <w:rFonts w:eastAsia="Calibri"/>
          <w:lang w:val="ru-RU"/>
        </w:rPr>
      </w:pPr>
      <w:r w:rsidRPr="00810385">
        <w:rPr>
          <w:lang w:val="ru-RU"/>
        </w:rPr>
        <w:t>3.3</w:t>
      </w:r>
      <w:r w:rsidRPr="00810385">
        <w:rPr>
          <w:lang w:val="ru-RU"/>
        </w:rPr>
        <w:tab/>
        <w:t>Круг ведения РГС-Интернет:</w:t>
      </w:r>
    </w:p>
    <w:p w14:paraId="58F8C326" w14:textId="77777777" w:rsidR="000B27C7" w:rsidRPr="00810385" w:rsidRDefault="000B27C7" w:rsidP="0026606B">
      <w:pPr>
        <w:jc w:val="both"/>
        <w:rPr>
          <w:rFonts w:asciiTheme="minorHAnsi" w:eastAsia="Calibri" w:hAnsiTheme="minorHAnsi" w:cstheme="minorBidi"/>
          <w:kern w:val="2"/>
          <w:lang w:val="ru-RU"/>
          <w14:ligatures w14:val="standardContextual"/>
        </w:rPr>
      </w:pPr>
      <w:r w:rsidRPr="00810385">
        <w:rPr>
          <w:lang w:val="ru-RU"/>
        </w:rPr>
        <w:t>3.3.1</w:t>
      </w:r>
      <w:r w:rsidRPr="00810385">
        <w:rPr>
          <w:lang w:val="ru-RU"/>
        </w:rPr>
        <w:tab/>
        <w:t xml:space="preserve">В итоговом документе ВВУИО+20 подтверждается изложенное в Тунисской программе для информационного общества рабочее определение, согласно которому управление интернетом означает разработку и применение правительствами, частным сектором и гражданским обществом в рамках исполнения ими своих соответствующих ролей общих принципов, норм, правил, процедур принятия решений и программ, которые формируют условия для развития и использования интернета. </w:t>
      </w:r>
    </w:p>
    <w:p w14:paraId="5A6371A1" w14:textId="77777777" w:rsidR="000B27C7" w:rsidRPr="00810385" w:rsidRDefault="000B27C7" w:rsidP="0026606B">
      <w:pPr>
        <w:jc w:val="both"/>
        <w:rPr>
          <w:rFonts w:asciiTheme="minorHAnsi" w:eastAsia="Calibri" w:hAnsiTheme="minorHAnsi" w:cstheme="minorHAnsi"/>
          <w:kern w:val="2"/>
          <w:szCs w:val="24"/>
          <w:lang w:val="ru-RU"/>
          <w14:ligatures w14:val="standardContextual"/>
        </w:rPr>
      </w:pPr>
      <w:r w:rsidRPr="00810385">
        <w:rPr>
          <w:lang w:val="ru-RU"/>
        </w:rPr>
        <w:t>3.3.2</w:t>
      </w:r>
      <w:r w:rsidRPr="00810385">
        <w:rPr>
          <w:lang w:val="ru-RU"/>
        </w:rPr>
        <w:tab/>
        <w:t>В нем, среди прочего, признается, что интернет является одним из критически важных глобальных средств для проведения всеохватных цифровых преобразований на справедливой основе и что управление интернетом должно оставаться по своей природе глобальным и учитывающим интересы многих заинтересованных сторон и должно осуществляться при полноценном участии правительств, частного сектора, гражданского общества, международных организаций, технических и научных кругов и всех других соответствующих заинтересованных сторон согласно их соответствующим функциям и обязанностям.</w:t>
      </w:r>
    </w:p>
    <w:p w14:paraId="340B0BC0" w14:textId="0F5CF595" w:rsidR="000B27C7" w:rsidRPr="00810385" w:rsidRDefault="000B27C7" w:rsidP="0026606B">
      <w:pPr>
        <w:jc w:val="both"/>
        <w:rPr>
          <w:rFonts w:asciiTheme="minorHAnsi" w:eastAsia="Calibri" w:hAnsiTheme="minorHAnsi" w:cstheme="minorHAnsi"/>
          <w:kern w:val="2"/>
          <w:szCs w:val="24"/>
          <w:lang w:val="ru-RU"/>
          <w14:ligatures w14:val="standardContextual"/>
        </w:rPr>
      </w:pPr>
      <w:r w:rsidRPr="00810385">
        <w:rPr>
          <w:lang w:val="ru-RU"/>
        </w:rPr>
        <w:t>3.3.3</w:t>
      </w:r>
      <w:r w:rsidRPr="00810385">
        <w:rPr>
          <w:lang w:val="ru-RU"/>
        </w:rPr>
        <w:tab/>
        <w:t>В нем также признается, что со времени проведения Всемирной встречи на высшем уровне появилось много новых инициатив и возможностей, способствующих обсуждениям, а</w:t>
      </w:r>
      <w:r w:rsidR="00810385" w:rsidRPr="00810385">
        <w:rPr>
          <w:lang w:val="ru-RU"/>
        </w:rPr>
        <w:t> </w:t>
      </w:r>
      <w:r w:rsidRPr="00810385">
        <w:rPr>
          <w:lang w:val="ru-RU"/>
        </w:rPr>
        <w:t>также обмену опытом и сотрудничеству между правительствами и со всеми другими группами заинтересованных сторон, и содержится призыв к государствам-членам и другим заинтересованным сторонам в рамках их соответствующих ролей и обязанностей сотрудничать в целях реализации концепции Всемирной встречи на высшем уровне.</w:t>
      </w:r>
    </w:p>
    <w:p w14:paraId="26CE8B8F" w14:textId="77777777" w:rsidR="000B27C7" w:rsidRPr="00810385" w:rsidRDefault="000B27C7" w:rsidP="0026606B">
      <w:pPr>
        <w:jc w:val="both"/>
        <w:rPr>
          <w:rFonts w:asciiTheme="minorHAnsi" w:eastAsia="Calibri" w:hAnsiTheme="minorHAnsi" w:cstheme="minorBidi"/>
          <w:kern w:val="2"/>
          <w:lang w:val="ru-RU"/>
          <w14:ligatures w14:val="standardContextual"/>
        </w:rPr>
      </w:pPr>
      <w:r w:rsidRPr="00810385">
        <w:rPr>
          <w:lang w:val="ru-RU"/>
        </w:rPr>
        <w:t>3.3.4</w:t>
      </w:r>
      <w:r w:rsidRPr="00810385">
        <w:rPr>
          <w:lang w:val="ru-RU"/>
        </w:rPr>
        <w:tab/>
        <w:t>Эти вопросы, содержащиеся в резолюции ГА ООН, могут потребовать дальнейшего рассмотрения для обеспечения ясности и согласованности с существующими Резолюциями МСЭ.</w:t>
      </w:r>
    </w:p>
    <w:p w14:paraId="5CCCB960" w14:textId="4DFAA89A" w:rsidR="000B27C7" w:rsidRPr="00810385" w:rsidRDefault="000B27C7" w:rsidP="00C33A2E">
      <w:pPr>
        <w:pStyle w:val="Heading1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lastRenderedPageBreak/>
        <w:t>4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Анализ пробелов</w:t>
      </w:r>
    </w:p>
    <w:p w14:paraId="34F07C34" w14:textId="091D8EC4" w:rsidR="000B27C7" w:rsidRPr="00810385" w:rsidRDefault="000B27C7" w:rsidP="00810385">
      <w:pPr>
        <w:pStyle w:val="Heading2"/>
        <w:spacing w:after="120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t>4.1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Согласованность с просьбами в рамках ВВУИО+20</w:t>
      </w:r>
    </w:p>
    <w:tbl>
      <w:tblPr>
        <w:tblStyle w:val="TableGrid1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984"/>
        <w:gridCol w:w="2552"/>
        <w:gridCol w:w="2977"/>
      </w:tblGrid>
      <w:tr w:rsidR="000B27C7" w:rsidRPr="00810385" w14:paraId="6B1EE8E3" w14:textId="77777777" w:rsidTr="00810385">
        <w:trPr>
          <w:trHeight w:val="300"/>
          <w:tblHeader/>
        </w:trPr>
        <w:tc>
          <w:tcPr>
            <w:tcW w:w="2127" w:type="dxa"/>
            <w:vAlign w:val="center"/>
            <w:hideMark/>
          </w:tcPr>
          <w:p w14:paraId="08D9B90D" w14:textId="77777777" w:rsidR="000B27C7" w:rsidRPr="00810385" w:rsidRDefault="000B27C7" w:rsidP="00810385">
            <w:pPr>
              <w:pStyle w:val="Tablehead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bCs/>
                <w:color w:val="000000"/>
                <w:lang w:val="ru-RU"/>
              </w:rPr>
              <w:t>Сфера деятельности</w:t>
            </w:r>
          </w:p>
        </w:tc>
        <w:tc>
          <w:tcPr>
            <w:tcW w:w="1418" w:type="dxa"/>
            <w:vAlign w:val="center"/>
          </w:tcPr>
          <w:p w14:paraId="239CD941" w14:textId="77777777" w:rsidR="000B27C7" w:rsidRPr="00810385" w:rsidRDefault="000B27C7" w:rsidP="00810385">
            <w:pPr>
              <w:pStyle w:val="Tablehead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bCs/>
                <w:color w:val="000000"/>
                <w:lang w:val="ru-RU"/>
              </w:rPr>
              <w:t>Резолюции МСЭ</w:t>
            </w:r>
          </w:p>
        </w:tc>
        <w:tc>
          <w:tcPr>
            <w:tcW w:w="1984" w:type="dxa"/>
            <w:vAlign w:val="center"/>
            <w:hideMark/>
          </w:tcPr>
          <w:p w14:paraId="53474890" w14:textId="5862B601" w:rsidR="000B27C7" w:rsidRPr="00810385" w:rsidRDefault="000B27C7" w:rsidP="00810385">
            <w:pPr>
              <w:pStyle w:val="Tablehead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bCs/>
                <w:color w:val="000000"/>
                <w:lang w:val="ru-RU"/>
              </w:rPr>
              <w:t>Статус положений Резолюций МСЭ в</w:t>
            </w:r>
            <w:r w:rsidR="00810385">
              <w:rPr>
                <w:bCs/>
                <w:color w:val="000000"/>
                <w:lang w:val="ru-RU"/>
              </w:rPr>
              <w:t> </w:t>
            </w:r>
            <w:r w:rsidRPr="00810385">
              <w:rPr>
                <w:bCs/>
                <w:color w:val="000000"/>
                <w:lang w:val="ru-RU"/>
              </w:rPr>
              <w:t>настоящее время</w:t>
            </w:r>
          </w:p>
        </w:tc>
        <w:tc>
          <w:tcPr>
            <w:tcW w:w="2552" w:type="dxa"/>
            <w:vAlign w:val="center"/>
            <w:hideMark/>
          </w:tcPr>
          <w:p w14:paraId="70B78DC2" w14:textId="77777777" w:rsidR="000B27C7" w:rsidRPr="00810385" w:rsidRDefault="000B27C7" w:rsidP="00810385">
            <w:pPr>
              <w:pStyle w:val="Tablehead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bCs/>
                <w:color w:val="000000"/>
                <w:lang w:val="ru-RU"/>
              </w:rPr>
              <w:t>Просьбы в рамках ВВУИО+20</w:t>
            </w:r>
          </w:p>
        </w:tc>
        <w:tc>
          <w:tcPr>
            <w:tcW w:w="2977" w:type="dxa"/>
            <w:vAlign w:val="center"/>
            <w:hideMark/>
          </w:tcPr>
          <w:p w14:paraId="4CC63653" w14:textId="77777777" w:rsidR="000B27C7" w:rsidRPr="00810385" w:rsidRDefault="000B27C7" w:rsidP="00810385">
            <w:pPr>
              <w:pStyle w:val="Tablehead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bCs/>
                <w:color w:val="000000"/>
                <w:lang w:val="ru-RU"/>
              </w:rPr>
              <w:t>Заключения</w:t>
            </w:r>
          </w:p>
        </w:tc>
      </w:tr>
      <w:tr w:rsidR="000B27C7" w:rsidRPr="00B943C9" w14:paraId="5C139492" w14:textId="77777777" w:rsidTr="00810385">
        <w:tc>
          <w:tcPr>
            <w:tcW w:w="2127" w:type="dxa"/>
            <w:hideMark/>
          </w:tcPr>
          <w:p w14:paraId="1BD94B65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Представление отчетов о выполнении решений ВВУИО</w:t>
            </w:r>
          </w:p>
        </w:tc>
        <w:tc>
          <w:tcPr>
            <w:tcW w:w="1418" w:type="dxa"/>
          </w:tcPr>
          <w:p w14:paraId="7A2E3023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Резолюции 1332 и 1334 Совета и Резолюция 140 (Пересм. Бухарест, 2022 г.) ПК</w:t>
            </w:r>
          </w:p>
        </w:tc>
        <w:tc>
          <w:tcPr>
            <w:tcW w:w="1984" w:type="dxa"/>
            <w:hideMark/>
          </w:tcPr>
          <w:p w14:paraId="58F9B5BC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Общие обязательства по отчетности без фиксированных сроков</w:t>
            </w:r>
          </w:p>
        </w:tc>
        <w:tc>
          <w:tcPr>
            <w:tcW w:w="2552" w:type="dxa"/>
            <w:hideMark/>
          </w:tcPr>
          <w:p w14:paraId="7EBDD36C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Укрепление требований к отчетности, включая представление отчетов КНТР, как один из компонентов более общей системы отчетности в отношении выполнения решений ВВУИО</w:t>
            </w:r>
          </w:p>
        </w:tc>
        <w:tc>
          <w:tcPr>
            <w:tcW w:w="2977" w:type="dxa"/>
            <w:hideMark/>
          </w:tcPr>
          <w:p w14:paraId="5364C62D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В отношении отчетности необходимо указывать конкретные даты, итоговые документы и обновленную информацию</w:t>
            </w:r>
          </w:p>
        </w:tc>
      </w:tr>
      <w:tr w:rsidR="000B27C7" w:rsidRPr="00B943C9" w14:paraId="4293AE98" w14:textId="77777777" w:rsidTr="00810385">
        <w:tc>
          <w:tcPr>
            <w:tcW w:w="2127" w:type="dxa"/>
            <w:hideMark/>
          </w:tcPr>
          <w:p w14:paraId="76379847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Охват цифровыми технологиями</w:t>
            </w:r>
          </w:p>
        </w:tc>
        <w:tc>
          <w:tcPr>
            <w:tcW w:w="1418" w:type="dxa"/>
          </w:tcPr>
          <w:p w14:paraId="4DD9C391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Резолюции 1332 и 1334 Совета и Резолюция 140 (Пересм. Бухарест, 2022 г.) ПК, а также Резолюции 1305 и 1336 Совета и Резолюция 102 (Пересм. Бухарест, 2022 г.) ПК</w:t>
            </w:r>
          </w:p>
        </w:tc>
        <w:tc>
          <w:tcPr>
            <w:tcW w:w="1984" w:type="dxa"/>
            <w:hideMark/>
          </w:tcPr>
          <w:p w14:paraId="3630818B" w14:textId="5E455ED8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Общие упоминания вопросов доступа и создания потенциала</w:t>
            </w:r>
          </w:p>
        </w:tc>
        <w:tc>
          <w:tcPr>
            <w:tcW w:w="2552" w:type="dxa"/>
            <w:hideMark/>
          </w:tcPr>
          <w:p w14:paraId="7DE6929A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Более подробные просьбы в отношении вопросов доступности, приемлемости в ценовом отношении и цифровых навыков</w:t>
            </w:r>
          </w:p>
        </w:tc>
        <w:tc>
          <w:tcPr>
            <w:tcW w:w="2977" w:type="dxa"/>
            <w:hideMark/>
          </w:tcPr>
          <w:p w14:paraId="1193075F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Соответствующие Резолюции МСЭ, обсуждаемые в настоящем отчете, могут быть пересмотрены на предмет включения обновленного и более подробного текста в целях согласования с итоговым документом ВВУИО+20.</w:t>
            </w:r>
          </w:p>
          <w:p w14:paraId="085867D3" w14:textId="1AA89584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Что касается круга ведения РГС</w:t>
            </w:r>
            <w:r w:rsidR="00810385">
              <w:rPr>
                <w:color w:val="000000"/>
                <w:lang w:val="ru-RU"/>
              </w:rPr>
              <w:noBreakHyphen/>
            </w:r>
            <w:r w:rsidRPr="00810385">
              <w:rPr>
                <w:color w:val="000000"/>
                <w:lang w:val="ru-RU"/>
              </w:rPr>
              <w:t>Интернет, в Приложении 1 к Резолюции 1305 Совета перечислены подлежащие рассмотрению вопросы государственной политики. Поскольку эти вопросы определены широко, более подробные темы, упомянутые в итоговом документе ВВУИО+20, могут рассматриваться РГС-Интернет в рамках существующих категорий Резолюции, если Группа сочтет это целесообразным</w:t>
            </w:r>
          </w:p>
        </w:tc>
      </w:tr>
      <w:tr w:rsidR="000B27C7" w:rsidRPr="00B943C9" w14:paraId="7E59925F" w14:textId="77777777" w:rsidTr="00810385">
        <w:trPr>
          <w:trHeight w:val="300"/>
        </w:trPr>
        <w:tc>
          <w:tcPr>
            <w:tcW w:w="2127" w:type="dxa"/>
            <w:hideMark/>
          </w:tcPr>
          <w:p w14:paraId="369DC5C0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Цифровые технологии для устойчивого развития и социального прогресса</w:t>
            </w:r>
          </w:p>
        </w:tc>
        <w:tc>
          <w:tcPr>
            <w:tcW w:w="1418" w:type="dxa"/>
          </w:tcPr>
          <w:p w14:paraId="5DB829FE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Резолюции 1332 и 1334 Совета и Резолюция 140 (Пересм. Бухарест, 2022 г.) ПК</w:t>
            </w:r>
          </w:p>
        </w:tc>
        <w:tc>
          <w:tcPr>
            <w:tcW w:w="1984" w:type="dxa"/>
            <w:hideMark/>
          </w:tcPr>
          <w:p w14:paraId="7D2FEDE8" w14:textId="3C7E8F1F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Ссылки на ИКТ в целях развития существуют, но имеют общий характер и не отражают новые категории, такие как цифровая инфраструктура общего пользования, цифровые общественные блага, экологическая устойчивость и циркуляционная цифровая экономика</w:t>
            </w:r>
          </w:p>
        </w:tc>
        <w:tc>
          <w:tcPr>
            <w:tcW w:w="2552" w:type="dxa"/>
            <w:hideMark/>
          </w:tcPr>
          <w:p w14:paraId="32C6C80E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Просьбы, касающиеся использования потенциала ИКТ для достижения более широких целей развития, содействия развитию цифровой инфраструктуры общего пользования и цифровых общественных благ, укрепления электронного правительства, образования, здравоохранения и экологической устойчивости, а также отслеживания воздействия, включая циркуляционные и устойчивые подходы</w:t>
            </w:r>
          </w:p>
        </w:tc>
        <w:tc>
          <w:tcPr>
            <w:tcW w:w="2977" w:type="dxa"/>
            <w:hideMark/>
          </w:tcPr>
          <w:p w14:paraId="0EF594C9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Введение обновленной терминологии и конкретных мер в отношении цифровой инфраструктуры общего пользования и цифровых общественных благ; добавление сквозных положений в отношении образования, здравоохранения, электронного правительства и окружающей среды (включая показатели); может потребоваться обеспечение согласованности с глобальными целями в области развития</w:t>
            </w:r>
          </w:p>
        </w:tc>
      </w:tr>
      <w:tr w:rsidR="000B27C7" w:rsidRPr="00B943C9" w14:paraId="1B42D2F6" w14:textId="77777777" w:rsidTr="00810385">
        <w:tc>
          <w:tcPr>
            <w:tcW w:w="2127" w:type="dxa"/>
            <w:hideMark/>
          </w:tcPr>
          <w:p w14:paraId="4D513EEC" w14:textId="77777777" w:rsidR="000B27C7" w:rsidRPr="00810385" w:rsidRDefault="000B27C7" w:rsidP="00810385">
            <w:pPr>
              <w:pStyle w:val="Tabletext"/>
              <w:keepNext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lastRenderedPageBreak/>
              <w:t>Появляющиеся технологии</w:t>
            </w:r>
          </w:p>
        </w:tc>
        <w:tc>
          <w:tcPr>
            <w:tcW w:w="1418" w:type="dxa"/>
          </w:tcPr>
          <w:p w14:paraId="40E7B9AD" w14:textId="77777777" w:rsidR="000B27C7" w:rsidRPr="00810385" w:rsidRDefault="000B27C7" w:rsidP="00810385">
            <w:pPr>
              <w:pStyle w:val="Tabletext"/>
              <w:keepNext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Резолюции 1332 и 1334 Совета и Резолюция 140 (Пересм. Бухарест, 2022 г.) ПК, а также Резолюции 1305 и 1336 Совета и Резолюция 102 (Пересм. Бухарест, 2022 г.) ПК</w:t>
            </w:r>
          </w:p>
        </w:tc>
        <w:tc>
          <w:tcPr>
            <w:tcW w:w="1984" w:type="dxa"/>
            <w:hideMark/>
          </w:tcPr>
          <w:p w14:paraId="14CB08CD" w14:textId="77777777" w:rsidR="000B27C7" w:rsidRPr="00810385" w:rsidRDefault="000B27C7" w:rsidP="00810385">
            <w:pPr>
              <w:pStyle w:val="Tabletext"/>
              <w:keepNext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Ограниченное количество упоминаний</w:t>
            </w:r>
          </w:p>
        </w:tc>
        <w:tc>
          <w:tcPr>
            <w:tcW w:w="2552" w:type="dxa"/>
            <w:hideMark/>
          </w:tcPr>
          <w:p w14:paraId="4C1D69FA" w14:textId="77777777" w:rsidR="000B27C7" w:rsidRPr="00810385" w:rsidRDefault="000B27C7" w:rsidP="00810385">
            <w:pPr>
              <w:pStyle w:val="Tabletext"/>
              <w:keepNext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Просьбы уделять больше внимания ИИ, управлению данными, доверию и безопасности</w:t>
            </w:r>
          </w:p>
        </w:tc>
        <w:tc>
          <w:tcPr>
            <w:tcW w:w="2977" w:type="dxa"/>
            <w:hideMark/>
          </w:tcPr>
          <w:p w14:paraId="1F777CEE" w14:textId="77777777" w:rsidR="000B27C7" w:rsidRPr="00810385" w:rsidRDefault="000B27C7" w:rsidP="00810385">
            <w:pPr>
              <w:pStyle w:val="Tabletext"/>
              <w:keepNext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Соответствующие Резолюции МСЭ, обсуждаемые в настоящем отчете, могут быть пересмотрены в целях согласования с итоговым документом ВВУИО+20 в отношении уделения особого внимания использованию и воздействию появляющихся технологий, таких как ИИ.</w:t>
            </w:r>
          </w:p>
          <w:p w14:paraId="46007986" w14:textId="77777777" w:rsidR="000B27C7" w:rsidRPr="00810385" w:rsidRDefault="000B27C7" w:rsidP="00810385">
            <w:pPr>
              <w:pStyle w:val="Tabletext"/>
              <w:keepNext/>
              <w:spacing w:before="120"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Что касается круга ведения РГС-Интернет, в Приложении 1 к Резолюции 1305 Совета перечислены подлежащие рассмотрению вопросы государственной политики. Поскольку эти вопросы определены широко, просьбы уделять больше внимания различным аспектам появляющихся технологий, упомянутые в итоговом документе ВВУИО+20, могут рассматриваться РГС-Интернет в рамках существующих категорий Резолюции, если Группа сочтет это целесообразным</w:t>
            </w:r>
          </w:p>
        </w:tc>
      </w:tr>
      <w:tr w:rsidR="000B27C7" w:rsidRPr="00B943C9" w14:paraId="1D666E1A" w14:textId="77777777" w:rsidTr="00810385">
        <w:tc>
          <w:tcPr>
            <w:tcW w:w="2127" w:type="dxa"/>
            <w:hideMark/>
          </w:tcPr>
          <w:p w14:paraId="6DA3F391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Межучрежденческая координация</w:t>
            </w:r>
          </w:p>
        </w:tc>
        <w:tc>
          <w:tcPr>
            <w:tcW w:w="1418" w:type="dxa"/>
          </w:tcPr>
          <w:p w14:paraId="45C3F777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Резолюции 1332 и 1334 Совета и Резолюция 140 (Пересм. Бухарест, 2022 г.) ПК</w:t>
            </w:r>
          </w:p>
        </w:tc>
        <w:tc>
          <w:tcPr>
            <w:tcW w:w="1984" w:type="dxa"/>
            <w:hideMark/>
          </w:tcPr>
          <w:p w14:paraId="09F95864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Общие формулировки, касающиеся сотрудничества</w:t>
            </w:r>
          </w:p>
        </w:tc>
        <w:tc>
          <w:tcPr>
            <w:tcW w:w="2552" w:type="dxa"/>
            <w:hideMark/>
          </w:tcPr>
          <w:p w14:paraId="3DC0A4BB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Просьбы об укреплении механизмов координации</w:t>
            </w:r>
          </w:p>
        </w:tc>
        <w:tc>
          <w:tcPr>
            <w:tcW w:w="2977" w:type="dxa"/>
            <w:hideMark/>
          </w:tcPr>
          <w:p w14:paraId="227C80D0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Может потребоваться обновление и уточнение формулировок для укрепления существующих механизмов координации во избежание дублирования</w:t>
            </w:r>
          </w:p>
        </w:tc>
      </w:tr>
      <w:tr w:rsidR="000B27C7" w:rsidRPr="00B943C9" w14:paraId="3A1FEFAD" w14:textId="77777777" w:rsidTr="00810385">
        <w:trPr>
          <w:trHeight w:val="300"/>
        </w:trPr>
        <w:tc>
          <w:tcPr>
            <w:tcW w:w="2127" w:type="dxa"/>
            <w:hideMark/>
          </w:tcPr>
          <w:p w14:paraId="7D9A9A4F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Укрепление глобального цифрового управления и сотрудничества с участием многих заинтересованных сторон</w:t>
            </w:r>
          </w:p>
        </w:tc>
        <w:tc>
          <w:tcPr>
            <w:tcW w:w="1418" w:type="dxa"/>
          </w:tcPr>
          <w:p w14:paraId="2F1EB1C0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Резолюции 1332 и 1334 Совета и Резолюция 140 (Пересм. Бухарест, 2022 г.) ПК</w:t>
            </w:r>
          </w:p>
        </w:tc>
        <w:tc>
          <w:tcPr>
            <w:tcW w:w="1984" w:type="dxa"/>
            <w:hideMark/>
          </w:tcPr>
          <w:p w14:paraId="4795DFB4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В существующих формулировках признаются подходы с участием многих заинтересованных сторон, но не отражены последние изменения</w:t>
            </w:r>
          </w:p>
        </w:tc>
        <w:tc>
          <w:tcPr>
            <w:tcW w:w="2552" w:type="dxa"/>
            <w:hideMark/>
          </w:tcPr>
          <w:p w14:paraId="5BB3C4C5" w14:textId="41AA0DBB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Обеспечение большей согласованности с процессами Глобального цифрового договора во избежание дублирования. На МСЭ возлагается ответственность в качестве секретариата ГИО ООН</w:t>
            </w:r>
          </w:p>
        </w:tc>
        <w:tc>
          <w:tcPr>
            <w:tcW w:w="2977" w:type="dxa"/>
            <w:hideMark/>
          </w:tcPr>
          <w:p w14:paraId="1A90A53E" w14:textId="77777777" w:rsidR="000B27C7" w:rsidRPr="00810385" w:rsidRDefault="000B27C7" w:rsidP="00810385">
            <w:pPr>
              <w:pStyle w:val="Tabletext"/>
              <w:spacing w:line="220" w:lineRule="exact"/>
              <w:rPr>
                <w:szCs w:val="20"/>
                <w:lang w:val="ru-RU"/>
              </w:rPr>
            </w:pPr>
            <w:r w:rsidRPr="00810385">
              <w:rPr>
                <w:color w:val="000000"/>
                <w:lang w:val="ru-RU"/>
              </w:rPr>
              <w:t>Может потребоваться обновление, чтобы продемонстрировать весомый вклад и ведущую роль МСЭ в глобальном цифровом управлении, добавить ссылку на обеспечение согласованности последующей деятельности в связи с ГЦД и процессом ВВУИО без дублирования текущей работы, может потребоваться более активное участие делегатов и сообщества в Нью-Йорке</w:t>
            </w:r>
          </w:p>
        </w:tc>
      </w:tr>
    </w:tbl>
    <w:p w14:paraId="7CA86BF9" w14:textId="77777777" w:rsidR="0026606B" w:rsidRDefault="0026606B" w:rsidP="0026606B">
      <w:pPr>
        <w:pStyle w:val="Tablefin"/>
      </w:pPr>
    </w:p>
    <w:p w14:paraId="763A8381" w14:textId="3240D7ED" w:rsidR="000B27C7" w:rsidRPr="00810385" w:rsidRDefault="000B27C7" w:rsidP="00810385">
      <w:pPr>
        <w:rPr>
          <w:rFonts w:eastAsia="Calibri"/>
          <w:lang w:val="ru-RU"/>
        </w:rPr>
      </w:pPr>
      <w:r w:rsidRPr="00810385">
        <w:rPr>
          <w:lang w:val="ru-RU"/>
        </w:rPr>
        <w:t>4.1.1</w:t>
      </w:r>
      <w:r w:rsidRPr="00810385">
        <w:rPr>
          <w:lang w:val="ru-RU"/>
        </w:rPr>
        <w:tab/>
        <w:t>Поскольку на ВВУИО+20 не были введены новые мандаты, выявленные пробелы относятся к конкретике и ясности, а не к расширению роли МСЭ.</w:t>
      </w:r>
    </w:p>
    <w:p w14:paraId="3DD3ECE4" w14:textId="77777777" w:rsidR="000B27C7" w:rsidRPr="00810385" w:rsidRDefault="000B27C7" w:rsidP="00C33A2E">
      <w:pPr>
        <w:pStyle w:val="Heading2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lastRenderedPageBreak/>
        <w:t>4.2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Признание текущей работы МСЭ</w:t>
      </w:r>
    </w:p>
    <w:p w14:paraId="0633B894" w14:textId="77777777" w:rsidR="000B27C7" w:rsidRPr="00810385" w:rsidRDefault="000B27C7" w:rsidP="0026606B">
      <w:pPr>
        <w:keepNext/>
        <w:jc w:val="both"/>
        <w:rPr>
          <w:rFonts w:eastAsia="Calibri"/>
          <w:lang w:val="ru-RU"/>
        </w:rPr>
      </w:pPr>
      <w:r w:rsidRPr="00810385">
        <w:rPr>
          <w:lang w:val="ru-RU"/>
        </w:rPr>
        <w:t>4.2.1</w:t>
      </w:r>
      <w:r w:rsidRPr="00810385">
        <w:rPr>
          <w:lang w:val="ru-RU"/>
        </w:rPr>
        <w:tab/>
        <w:t>В резолюции ГА ООН признается неизменная руководящая роль МСЭ в выполнении решений ВВУИО.</w:t>
      </w:r>
    </w:p>
    <w:p w14:paraId="093CBFC4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4.2.2</w:t>
      </w:r>
      <w:r w:rsidRPr="00810385">
        <w:rPr>
          <w:lang w:val="ru-RU"/>
        </w:rPr>
        <w:tab/>
        <w:t>Это признание подтверждает, что текущая деятельность МСЭ соответствует ожиданиям глобального сообщества, и обеспечивает прочную основу для обновления Резолюций без изменения их базовой сферы применения.</w:t>
      </w:r>
    </w:p>
    <w:p w14:paraId="7A9565F1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4.2.3</w:t>
      </w:r>
      <w:r w:rsidRPr="00810385">
        <w:rPr>
          <w:lang w:val="ru-RU"/>
        </w:rPr>
        <w:tab/>
        <w:t>Вследствие этого требуемые обновления являются уточнениями и не предполагают структурных изменений.</w:t>
      </w:r>
    </w:p>
    <w:p w14:paraId="5074C10A" w14:textId="77777777" w:rsidR="000B27C7" w:rsidRPr="00810385" w:rsidRDefault="000B27C7" w:rsidP="00C33A2E">
      <w:pPr>
        <w:pStyle w:val="Heading2"/>
        <w:ind w:left="0" w:firstLine="0"/>
        <w:rPr>
          <w:rFonts w:eastAsia="Calibri"/>
          <w:lang w:val="ru-RU"/>
        </w:rPr>
      </w:pPr>
      <w:r w:rsidRPr="00810385">
        <w:rPr>
          <w:bCs/>
          <w:lang w:val="ru-RU"/>
        </w:rPr>
        <w:t>4.3</w:t>
      </w:r>
      <w:r w:rsidRPr="00810385">
        <w:rPr>
          <w:lang w:val="ru-RU"/>
        </w:rPr>
        <w:tab/>
      </w:r>
      <w:r w:rsidRPr="00810385">
        <w:rPr>
          <w:bCs/>
          <w:lang w:val="ru-RU"/>
        </w:rPr>
        <w:t>Соответствие между Резолюцией 140 ПК и Резолюциями Совета</w:t>
      </w:r>
    </w:p>
    <w:p w14:paraId="2A1E8B74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4.3.1</w:t>
      </w:r>
      <w:r w:rsidRPr="00810385">
        <w:rPr>
          <w:lang w:val="ru-RU"/>
        </w:rPr>
        <w:tab/>
        <w:t>Резолюция 140 ПК устанавливает общий мандат для роли МСЭ в последующей деятельности в связи с ВВУИО, а Резолюции 1332 и 1334 Совета обеспечивают реализацию мандата.</w:t>
      </w:r>
    </w:p>
    <w:p w14:paraId="70D8AD6A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4.3.2</w:t>
      </w:r>
      <w:r w:rsidRPr="00810385">
        <w:rPr>
          <w:lang w:val="ru-RU"/>
        </w:rPr>
        <w:tab/>
        <w:t>В решениях ВВУИО+20 вводится терминология и определяются приоритеты, которые пока не отражены в действующих резолюциях.</w:t>
      </w:r>
    </w:p>
    <w:p w14:paraId="4381B843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4.3.3</w:t>
      </w:r>
      <w:r w:rsidRPr="00810385">
        <w:rPr>
          <w:lang w:val="ru-RU"/>
        </w:rPr>
        <w:tab/>
        <w:t>Мнения членов МСЭ относительно последовательности действий расходятся: одни выступают за то, чтобы сначала обновить Резолюцию 140 ПК, другие – за незамедлительное обновление резолюций Совета.</w:t>
      </w:r>
    </w:p>
    <w:p w14:paraId="6286CCD0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4.3.4</w:t>
      </w:r>
      <w:r w:rsidRPr="00810385">
        <w:rPr>
          <w:lang w:val="ru-RU"/>
        </w:rPr>
        <w:tab/>
        <w:t>Анализ выявляет риск несоответствия, если пересмотры будут осуществляться изолированно.</w:t>
      </w:r>
    </w:p>
    <w:p w14:paraId="686C25AC" w14:textId="77777777" w:rsidR="000B27C7" w:rsidRPr="00810385" w:rsidRDefault="000B27C7" w:rsidP="00810385">
      <w:pPr>
        <w:pStyle w:val="Heading1"/>
        <w:rPr>
          <w:rFonts w:eastAsia="Calibri"/>
          <w:lang w:val="ru-RU"/>
        </w:rPr>
      </w:pPr>
      <w:r w:rsidRPr="00810385">
        <w:rPr>
          <w:lang w:val="ru-RU"/>
        </w:rPr>
        <w:t>5</w:t>
      </w:r>
      <w:r w:rsidRPr="00810385">
        <w:rPr>
          <w:lang w:val="ru-RU"/>
        </w:rPr>
        <w:tab/>
        <w:t>Рекомендации</w:t>
      </w:r>
    </w:p>
    <w:p w14:paraId="17EE16B9" w14:textId="77777777" w:rsidR="000B27C7" w:rsidRPr="00810385" w:rsidRDefault="000B27C7" w:rsidP="0026606B">
      <w:pPr>
        <w:jc w:val="both"/>
        <w:rPr>
          <w:rFonts w:eastAsia="Calibri"/>
          <w:lang w:val="ru-RU"/>
        </w:rPr>
      </w:pPr>
      <w:r w:rsidRPr="00810385">
        <w:rPr>
          <w:lang w:val="ru-RU"/>
        </w:rPr>
        <w:t>5.1</w:t>
      </w:r>
      <w:r w:rsidRPr="00810385">
        <w:rPr>
          <w:lang w:val="ru-RU"/>
        </w:rPr>
        <w:tab/>
        <w:t>Совету предлагается рассмотреть заключения, представленные в настоящем отчете, и предоставить руководящие указания относительно дальнейших действий.</w:t>
      </w:r>
    </w:p>
    <w:p w14:paraId="59D397BA" w14:textId="77777777" w:rsidR="00796BD3" w:rsidRPr="00810385" w:rsidRDefault="00C462C5" w:rsidP="00C33A2E">
      <w:pPr>
        <w:spacing w:before="480"/>
        <w:jc w:val="center"/>
        <w:rPr>
          <w:lang w:val="ru-RU"/>
        </w:rPr>
      </w:pPr>
      <w:r w:rsidRPr="00810385">
        <w:rPr>
          <w:lang w:val="ru-RU"/>
        </w:rPr>
        <w:t>______________</w:t>
      </w:r>
    </w:p>
    <w:sectPr w:rsidR="00796BD3" w:rsidRPr="00810385" w:rsidSect="00796BD3">
      <w:footerReference w:type="default" r:id="rId20"/>
      <w:headerReference w:type="first" r:id="rId21"/>
      <w:footerReference w:type="first" r:id="rId2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F589" w14:textId="77777777" w:rsidR="000B27C7" w:rsidRDefault="000B27C7">
      <w:r>
        <w:separator/>
      </w:r>
    </w:p>
  </w:endnote>
  <w:endnote w:type="continuationSeparator" w:id="0">
    <w:p w14:paraId="15FE6DEA" w14:textId="77777777" w:rsidR="000B27C7" w:rsidRDefault="000B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6C1AC16" w14:textId="77777777" w:rsidTr="00E31DCE">
      <w:trPr>
        <w:jc w:val="center"/>
      </w:trPr>
      <w:tc>
        <w:tcPr>
          <w:tcW w:w="1803" w:type="dxa"/>
          <w:vAlign w:val="center"/>
        </w:tcPr>
        <w:p w14:paraId="4C0E2253" w14:textId="542BC8D1" w:rsidR="00672F8A" w:rsidRPr="00810385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 xml:space="preserve">gDoc </w:t>
          </w:r>
          <w:r w:rsidR="00810385">
            <w:rPr>
              <w:noProof/>
              <w:lang w:val="ru-RU"/>
            </w:rPr>
            <w:t>2600726</w:t>
          </w:r>
        </w:p>
      </w:tc>
      <w:tc>
        <w:tcPr>
          <w:tcW w:w="8261" w:type="dxa"/>
        </w:tcPr>
        <w:p w14:paraId="554798E7" w14:textId="70106B4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B27C7">
            <w:rPr>
              <w:bCs/>
            </w:rPr>
            <w:t>60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F39D7C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2105D17" w14:textId="77777777" w:rsidTr="00E31DCE">
      <w:trPr>
        <w:jc w:val="center"/>
      </w:trPr>
      <w:tc>
        <w:tcPr>
          <w:tcW w:w="1803" w:type="dxa"/>
          <w:vAlign w:val="center"/>
        </w:tcPr>
        <w:p w14:paraId="2807553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C5C0A9F" w14:textId="55A6555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B27C7">
            <w:rPr>
              <w:bCs/>
            </w:rPr>
            <w:t>60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D00157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AD07" w14:textId="77777777" w:rsidR="000B27C7" w:rsidRDefault="000B27C7">
      <w:r>
        <w:t>____________________</w:t>
      </w:r>
    </w:p>
  </w:footnote>
  <w:footnote w:type="continuationSeparator" w:id="0">
    <w:p w14:paraId="3DE4C14E" w14:textId="77777777" w:rsidR="000B27C7" w:rsidRDefault="000B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E075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C7"/>
    <w:rsid w:val="00005BE0"/>
    <w:rsid w:val="0002183E"/>
    <w:rsid w:val="000569B4"/>
    <w:rsid w:val="0006007D"/>
    <w:rsid w:val="00080E82"/>
    <w:rsid w:val="00092C89"/>
    <w:rsid w:val="000934DD"/>
    <w:rsid w:val="000A10CA"/>
    <w:rsid w:val="000B27C7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6606B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3514"/>
    <w:rsid w:val="00515795"/>
    <w:rsid w:val="005A64D5"/>
    <w:rsid w:val="005B3DEC"/>
    <w:rsid w:val="00601994"/>
    <w:rsid w:val="00660449"/>
    <w:rsid w:val="00672F8A"/>
    <w:rsid w:val="006E2D42"/>
    <w:rsid w:val="006F2DEF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0385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943C9"/>
    <w:rsid w:val="00BA7D89"/>
    <w:rsid w:val="00BC0D39"/>
    <w:rsid w:val="00BC7BC0"/>
    <w:rsid w:val="00BD57B7"/>
    <w:rsid w:val="00BE00DD"/>
    <w:rsid w:val="00BE63E2"/>
    <w:rsid w:val="00C33A2E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7589C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DC9BC"/>
  <w15:docId w15:val="{B8AAC22B-BEBE-4AC9-8E48-9143FF32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10385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10385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B27C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Tabletext"/>
    <w:rsid w:val="0026606B"/>
    <w:pPr>
      <w:spacing w:before="0" w:after="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136/en" TargetMode="External"/><Relationship Id="rId13" Type="http://schemas.openxmlformats.org/officeDocument/2006/relationships/hyperlink" Target="https://www.itu.int/en/council/Documents/basic-texts-2023/RES-140-E.pdf" TargetMode="External"/><Relationship Id="rId18" Type="http://schemas.openxmlformats.org/officeDocument/2006/relationships/hyperlink" Target="https://docs.un.org/A/RES/80/17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ocs.un.org/A/RES/80/173" TargetMode="External"/><Relationship Id="rId12" Type="http://schemas.openxmlformats.org/officeDocument/2006/relationships/hyperlink" Target="https://www.itu.int/en/council/Documents/basic-texts-2023/RES-102-E.pdf" TargetMode="External"/><Relationship Id="rId17" Type="http://schemas.openxmlformats.org/officeDocument/2006/relationships/hyperlink" Target="https://docs.un.org/A/RES/80/1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un.org/A/RES/80/17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3-CL-C-0120/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RCLINTPOL23-C-0007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S19-CL-C-0140/en" TargetMode="External"/><Relationship Id="rId19" Type="http://schemas.openxmlformats.org/officeDocument/2006/relationships/hyperlink" Target="https://docs.un.org/A/RES/80/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CL-C-0141/en" TargetMode="External"/><Relationship Id="rId14" Type="http://schemas.openxmlformats.org/officeDocument/2006/relationships/hyperlink" Target="https://www.itu.int/md/S26-RCLINTPOL23-C-0007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6</TotalTime>
  <Pages>6</Pages>
  <Words>1692</Words>
  <Characters>12443</Characters>
  <Application>Microsoft Office Word</Application>
  <DocSecurity>0</DocSecurity>
  <Lines>197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Gap analysis on updating Council Resolutions 1332 and 1334, Plenipotentiary Resolution 140 (Rev. Bucharest, 2022) and CWG-Internet Terms of Reference in light of the WSIS+20 Outcomes</vt:lpstr>
    </vt:vector>
  </TitlesOfParts>
  <Manager>General Secretariat - Pool</Manager>
  <Company>International Telecommunication Union (ITU)</Company>
  <LinksUpToDate>false</LinksUpToDate>
  <CharactersWithSpaces>14098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 analysis on updating Council Resolutions 1332 and 1334, Plenipotentiary Resolution 140 (Rev. Bucharest, 2022) and CWG-Internet Terms of Reference in light of the WSIS+20 Outcomes</dc:title>
  <dc:subject>ITU Council 2026</dc:subject>
  <cp:keywords>C26; C2026; Council 2026; PP26</cp:keywords>
  <dc:description/>
  <cp:lastPrinted>2006-03-28T16:12:00Z</cp:lastPrinted>
  <dcterms:created xsi:type="dcterms:W3CDTF">2026-04-09T09:39:00Z</dcterms:created>
  <dcterms:modified xsi:type="dcterms:W3CDTF">2026-04-09T09:44:00Z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