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064875" w:rsidRPr="004229DC" w14:paraId="38292B8B" w14:textId="77777777" w:rsidTr="00C4421B">
        <w:trPr>
          <w:cantSplit/>
          <w:trHeight w:val="23"/>
        </w:trPr>
        <w:tc>
          <w:tcPr>
            <w:tcW w:w="3969" w:type="dxa"/>
            <w:vMerge w:val="restart"/>
            <w:tcMar>
              <w:left w:w="0" w:type="dxa"/>
            </w:tcMar>
          </w:tcPr>
          <w:p w14:paraId="1EDB9597" w14:textId="61B61770" w:rsidR="00064875" w:rsidRPr="004229DC" w:rsidRDefault="00064875" w:rsidP="00064875">
            <w:pPr>
              <w:tabs>
                <w:tab w:val="left" w:pos="851"/>
              </w:tabs>
              <w:spacing w:before="0" w:line="240" w:lineRule="atLeast"/>
              <w:rPr>
                <w:b/>
                <w:lang w:val="es-ES_tradnl"/>
              </w:rPr>
            </w:pPr>
            <w:bookmarkStart w:id="0" w:name="_Hlk133421839"/>
            <w:r w:rsidRPr="004229DC">
              <w:rPr>
                <w:b/>
                <w:lang w:val="es-ES_tradnl"/>
              </w:rPr>
              <w:t>Orden del día:</w:t>
            </w:r>
            <w:r w:rsidRPr="004229DC">
              <w:rPr>
                <w:b/>
                <w:bCs/>
                <w:color w:val="000000"/>
                <w:lang w:val="es-ES_tradnl"/>
              </w:rPr>
              <w:t xml:space="preserve"> PL 2</w:t>
            </w:r>
          </w:p>
        </w:tc>
        <w:tc>
          <w:tcPr>
            <w:tcW w:w="5245" w:type="dxa"/>
          </w:tcPr>
          <w:p w14:paraId="690677A7" w14:textId="32A08FFE" w:rsidR="00064875" w:rsidRPr="004229DC" w:rsidRDefault="00064875" w:rsidP="00064875">
            <w:pPr>
              <w:tabs>
                <w:tab w:val="left" w:pos="851"/>
              </w:tabs>
              <w:spacing w:before="0" w:line="240" w:lineRule="atLeast"/>
              <w:jc w:val="right"/>
              <w:rPr>
                <w:b/>
                <w:lang w:val="es-ES_tradnl"/>
              </w:rPr>
            </w:pPr>
            <w:r w:rsidRPr="004229DC">
              <w:rPr>
                <w:b/>
                <w:bCs/>
                <w:color w:val="000000"/>
                <w:lang w:val="es-ES_tradnl"/>
              </w:rPr>
              <w:t xml:space="preserve">Documento </w:t>
            </w:r>
            <w:proofErr w:type="spellStart"/>
            <w:r w:rsidRPr="004229DC">
              <w:rPr>
                <w:b/>
                <w:bCs/>
                <w:color w:val="000000"/>
                <w:lang w:val="es-ES_tradnl"/>
              </w:rPr>
              <w:t>C26</w:t>
            </w:r>
            <w:proofErr w:type="spellEnd"/>
            <w:r w:rsidRPr="004229DC">
              <w:rPr>
                <w:b/>
                <w:bCs/>
                <w:color w:val="000000"/>
                <w:lang w:val="es-ES_tradnl"/>
              </w:rPr>
              <w:t>/59-S</w:t>
            </w:r>
          </w:p>
        </w:tc>
      </w:tr>
      <w:tr w:rsidR="00064875" w:rsidRPr="004229DC" w14:paraId="12696089" w14:textId="77777777" w:rsidTr="00C4421B">
        <w:trPr>
          <w:cantSplit/>
        </w:trPr>
        <w:tc>
          <w:tcPr>
            <w:tcW w:w="3969" w:type="dxa"/>
            <w:vMerge/>
          </w:tcPr>
          <w:p w14:paraId="1E78403A" w14:textId="77777777" w:rsidR="00064875" w:rsidRPr="004229DC" w:rsidRDefault="00064875" w:rsidP="00064875">
            <w:pPr>
              <w:tabs>
                <w:tab w:val="left" w:pos="851"/>
              </w:tabs>
              <w:spacing w:line="240" w:lineRule="atLeast"/>
              <w:rPr>
                <w:b/>
                <w:lang w:val="es-ES_tradnl"/>
              </w:rPr>
            </w:pPr>
          </w:p>
        </w:tc>
        <w:tc>
          <w:tcPr>
            <w:tcW w:w="5245" w:type="dxa"/>
          </w:tcPr>
          <w:p w14:paraId="0644A48D" w14:textId="31EBB1C5" w:rsidR="00064875" w:rsidRPr="004229DC" w:rsidRDefault="00EE6767" w:rsidP="00064875">
            <w:pPr>
              <w:tabs>
                <w:tab w:val="left" w:pos="851"/>
              </w:tabs>
              <w:spacing w:before="0"/>
              <w:jc w:val="right"/>
              <w:rPr>
                <w:b/>
                <w:lang w:val="es-ES_tradnl"/>
              </w:rPr>
            </w:pPr>
            <w:r w:rsidRPr="004229DC">
              <w:rPr>
                <w:b/>
                <w:bCs/>
                <w:color w:val="000000"/>
                <w:lang w:val="es-ES_tradnl"/>
              </w:rPr>
              <w:t>27 de marzo</w:t>
            </w:r>
            <w:r w:rsidR="00064875" w:rsidRPr="004229DC">
              <w:rPr>
                <w:b/>
                <w:bCs/>
                <w:color w:val="000000"/>
                <w:lang w:val="es-ES_tradnl"/>
              </w:rPr>
              <w:t xml:space="preserve"> de 2026</w:t>
            </w:r>
          </w:p>
        </w:tc>
      </w:tr>
      <w:tr w:rsidR="00064875" w:rsidRPr="004229DC" w14:paraId="5412F8FE" w14:textId="77777777" w:rsidTr="00C4421B">
        <w:trPr>
          <w:cantSplit/>
          <w:trHeight w:val="23"/>
        </w:trPr>
        <w:tc>
          <w:tcPr>
            <w:tcW w:w="3969" w:type="dxa"/>
            <w:vMerge/>
          </w:tcPr>
          <w:p w14:paraId="6FA91ACB" w14:textId="77777777" w:rsidR="00064875" w:rsidRPr="004229DC" w:rsidRDefault="00064875" w:rsidP="00064875">
            <w:pPr>
              <w:tabs>
                <w:tab w:val="left" w:pos="851"/>
              </w:tabs>
              <w:spacing w:line="240" w:lineRule="atLeast"/>
              <w:rPr>
                <w:b/>
                <w:lang w:val="es-ES_tradnl"/>
              </w:rPr>
            </w:pPr>
          </w:p>
        </w:tc>
        <w:tc>
          <w:tcPr>
            <w:tcW w:w="5245" w:type="dxa"/>
          </w:tcPr>
          <w:p w14:paraId="4575D256" w14:textId="4BBAD654" w:rsidR="00064875" w:rsidRPr="004229DC" w:rsidRDefault="00064875" w:rsidP="00064875">
            <w:pPr>
              <w:tabs>
                <w:tab w:val="left" w:pos="851"/>
              </w:tabs>
              <w:spacing w:before="0" w:line="240" w:lineRule="atLeast"/>
              <w:jc w:val="right"/>
              <w:rPr>
                <w:b/>
                <w:bCs/>
                <w:lang w:val="es-ES_tradnl"/>
              </w:rPr>
            </w:pPr>
            <w:r w:rsidRPr="004229DC">
              <w:rPr>
                <w:b/>
                <w:bCs/>
                <w:color w:val="000000"/>
                <w:lang w:val="es-ES_tradnl"/>
              </w:rPr>
              <w:t>Original: inglés</w:t>
            </w:r>
          </w:p>
        </w:tc>
      </w:tr>
      <w:tr w:rsidR="00FE57F6" w:rsidRPr="004229DC" w14:paraId="14A036EE" w14:textId="77777777" w:rsidTr="00C4421B">
        <w:trPr>
          <w:cantSplit/>
        </w:trPr>
        <w:tc>
          <w:tcPr>
            <w:tcW w:w="9214" w:type="dxa"/>
            <w:gridSpan w:val="2"/>
            <w:tcMar>
              <w:left w:w="0" w:type="dxa"/>
            </w:tcMar>
          </w:tcPr>
          <w:p w14:paraId="72BB4057" w14:textId="77777777" w:rsidR="00FE57F6" w:rsidRPr="004229DC" w:rsidRDefault="00157AC4" w:rsidP="004229DC">
            <w:pPr>
              <w:pStyle w:val="Source"/>
              <w:spacing w:before="120"/>
              <w:rPr>
                <w:szCs w:val="32"/>
                <w:lang w:val="es-ES_tradnl"/>
              </w:rPr>
            </w:pPr>
            <w:r w:rsidRPr="004229DC">
              <w:rPr>
                <w:rFonts w:cstheme="minorHAnsi"/>
                <w:szCs w:val="32"/>
                <w:lang w:val="es-ES_tradnl"/>
              </w:rPr>
              <w:t>Informe de la Secretaria General</w:t>
            </w:r>
          </w:p>
        </w:tc>
      </w:tr>
      <w:tr w:rsidR="00FE57F6" w:rsidRPr="004229DC" w14:paraId="6D4FF6D3" w14:textId="77777777" w:rsidTr="00C4421B">
        <w:trPr>
          <w:cantSplit/>
        </w:trPr>
        <w:tc>
          <w:tcPr>
            <w:tcW w:w="9214" w:type="dxa"/>
            <w:gridSpan w:val="2"/>
            <w:tcMar>
              <w:left w:w="0" w:type="dxa"/>
            </w:tcMar>
          </w:tcPr>
          <w:p w14:paraId="6167FC89" w14:textId="621131BD" w:rsidR="00FE57F6" w:rsidRPr="004229DC" w:rsidRDefault="00950CBA" w:rsidP="00C4421B">
            <w:pPr>
              <w:pStyle w:val="Subtitle"/>
              <w:framePr w:hSpace="0" w:wrap="auto" w:hAnchor="text" w:xAlign="left" w:yAlign="inline"/>
              <w:rPr>
                <w:lang w:val="es-ES_tradnl"/>
              </w:rPr>
            </w:pPr>
            <w:r w:rsidRPr="004229DC">
              <w:rPr>
                <w:color w:val="000000"/>
                <w:lang w:val="es-ES_tradnl"/>
              </w:rPr>
              <w:t>INFORME RELATIVO AL EXAMEN GENERAL DE LA ASAMBLEA GENERAL DE LAS NACIONES UNIDAS SOBRE LA APLICACIÓN DE LOS RESULTADOS DE LA CUMBRE MUNDIAL SOBRE LA SOCIEDAD DE LA INFORMACIÓN</w:t>
            </w:r>
          </w:p>
        </w:tc>
      </w:tr>
      <w:tr w:rsidR="00FE57F6" w:rsidRPr="004229DC" w14:paraId="0C381D83" w14:textId="77777777" w:rsidTr="00C4421B">
        <w:trPr>
          <w:cantSplit/>
        </w:trPr>
        <w:tc>
          <w:tcPr>
            <w:tcW w:w="9214" w:type="dxa"/>
            <w:gridSpan w:val="2"/>
            <w:tcBorders>
              <w:top w:val="single" w:sz="4" w:space="0" w:color="auto"/>
              <w:bottom w:val="single" w:sz="4" w:space="0" w:color="auto"/>
            </w:tcBorders>
            <w:tcMar>
              <w:left w:w="0" w:type="dxa"/>
            </w:tcMar>
          </w:tcPr>
          <w:p w14:paraId="2FBCDB70" w14:textId="77777777" w:rsidR="00FE57F6" w:rsidRPr="004229DC" w:rsidRDefault="00F24B71" w:rsidP="00287023">
            <w:pPr>
              <w:spacing w:before="160"/>
              <w:jc w:val="both"/>
              <w:rPr>
                <w:b/>
                <w:bCs/>
                <w:sz w:val="26"/>
                <w:szCs w:val="26"/>
                <w:lang w:val="es-ES_tradnl"/>
              </w:rPr>
            </w:pPr>
            <w:r w:rsidRPr="004229DC">
              <w:rPr>
                <w:b/>
                <w:bCs/>
                <w:sz w:val="26"/>
                <w:szCs w:val="26"/>
                <w:lang w:val="es-ES_tradnl"/>
              </w:rPr>
              <w:t>Finalidad</w:t>
            </w:r>
          </w:p>
          <w:p w14:paraId="0B0E11EB" w14:textId="77777777" w:rsidR="00064875" w:rsidRPr="004229DC" w:rsidRDefault="00064875" w:rsidP="004229DC">
            <w:pPr>
              <w:jc w:val="both"/>
              <w:rPr>
                <w:color w:val="000000"/>
                <w:spacing w:val="-2"/>
                <w:szCs w:val="24"/>
                <w:lang w:val="es-ES_tradnl"/>
              </w:rPr>
            </w:pPr>
            <w:r w:rsidRPr="004229DC">
              <w:rPr>
                <w:color w:val="000000"/>
                <w:spacing w:val="-2"/>
                <w:szCs w:val="24"/>
                <w:lang w:val="es-ES_tradnl"/>
              </w:rPr>
              <w:t xml:space="preserve">De conformidad con la Resolución 140 (Rev. Bucarest, 2022) de la Conferencia de Plenipotenciarios y la Resolución 1334 (modificada en 2023) del Consejo, se ha encargado a la Secretaria General que elabore un informe para el Consejo de 2026 y para la Conferencia de Plenipotenciarios de 2026, por conducto del </w:t>
            </w:r>
            <w:proofErr w:type="spellStart"/>
            <w:r w:rsidRPr="004229DC">
              <w:rPr>
                <w:color w:val="000000"/>
                <w:spacing w:val="-2"/>
                <w:szCs w:val="24"/>
                <w:lang w:val="es-ES_tradnl"/>
              </w:rPr>
              <w:t>GTC-CMSI+ODS</w:t>
            </w:r>
            <w:proofErr w:type="spellEnd"/>
            <w:r w:rsidRPr="004229DC">
              <w:rPr>
                <w:color w:val="000000"/>
                <w:spacing w:val="-2"/>
                <w:szCs w:val="24"/>
                <w:lang w:val="es-ES_tradnl"/>
              </w:rPr>
              <w:t>, sobre los resultados de la reunión de alto nivel de 2025 de la Asamblea General de las Naciones Unidas sobre el examen general de la aplicación de los resultados de la Cumbre Mundial sobre la Sociedad de la Información.</w:t>
            </w:r>
          </w:p>
          <w:p w14:paraId="27A02876" w14:textId="14292F73" w:rsidR="00FE57F6" w:rsidRPr="004229DC" w:rsidRDefault="00F24B71" w:rsidP="00287023">
            <w:pPr>
              <w:spacing w:before="160"/>
              <w:jc w:val="both"/>
              <w:rPr>
                <w:b/>
                <w:bCs/>
                <w:sz w:val="26"/>
                <w:szCs w:val="26"/>
                <w:lang w:val="es-ES_tradnl"/>
              </w:rPr>
            </w:pPr>
            <w:r w:rsidRPr="004229DC">
              <w:rPr>
                <w:b/>
                <w:bCs/>
                <w:sz w:val="26"/>
                <w:szCs w:val="26"/>
                <w:lang w:val="es-ES_tradnl"/>
              </w:rPr>
              <w:t xml:space="preserve">Acción solicitada </w:t>
            </w:r>
            <w:r w:rsidR="00677A97" w:rsidRPr="004229DC">
              <w:rPr>
                <w:b/>
                <w:bCs/>
                <w:sz w:val="26"/>
                <w:szCs w:val="26"/>
                <w:lang w:val="es-ES_tradnl"/>
              </w:rPr>
              <w:t>al</w:t>
            </w:r>
            <w:r w:rsidRPr="004229DC">
              <w:rPr>
                <w:b/>
                <w:bCs/>
                <w:sz w:val="26"/>
                <w:szCs w:val="26"/>
                <w:lang w:val="es-ES_tradnl"/>
              </w:rPr>
              <w:t xml:space="preserve"> Consejo</w:t>
            </w:r>
          </w:p>
          <w:p w14:paraId="6E48F5C6" w14:textId="3A0FAF7A" w:rsidR="00064875" w:rsidRPr="004229DC" w:rsidRDefault="00064875" w:rsidP="004229DC">
            <w:pPr>
              <w:jc w:val="both"/>
              <w:rPr>
                <w:color w:val="000000"/>
                <w:szCs w:val="24"/>
                <w:lang w:val="es-ES_tradnl"/>
              </w:rPr>
            </w:pPr>
            <w:r w:rsidRPr="004229DC">
              <w:rPr>
                <w:color w:val="000000"/>
                <w:szCs w:val="24"/>
                <w:lang w:val="es-ES_tradnl"/>
              </w:rPr>
              <w:t xml:space="preserve">Se invita al Consejo a </w:t>
            </w:r>
            <w:r w:rsidR="00EE6767" w:rsidRPr="004229DC">
              <w:rPr>
                <w:b/>
                <w:bCs/>
                <w:color w:val="000000"/>
                <w:szCs w:val="24"/>
                <w:lang w:val="es-ES_tradnl"/>
              </w:rPr>
              <w:t xml:space="preserve">tomar nota </w:t>
            </w:r>
            <w:r w:rsidRPr="004229DC">
              <w:rPr>
                <w:color w:val="000000"/>
                <w:szCs w:val="24"/>
                <w:lang w:val="es-ES_tradnl"/>
              </w:rPr>
              <w:t>este documento.</w:t>
            </w:r>
          </w:p>
          <w:p w14:paraId="2B4FF420" w14:textId="3F31A30D" w:rsidR="00F92BED" w:rsidRPr="004229DC" w:rsidRDefault="00F92BED" w:rsidP="00287023">
            <w:pPr>
              <w:spacing w:before="160"/>
              <w:jc w:val="both"/>
              <w:rPr>
                <w:b/>
                <w:bCs/>
                <w:sz w:val="26"/>
                <w:szCs w:val="26"/>
                <w:lang w:val="es-ES_tradnl"/>
              </w:rPr>
            </w:pPr>
            <w:r w:rsidRPr="004229DC">
              <w:rPr>
                <w:b/>
                <w:bCs/>
                <w:sz w:val="26"/>
                <w:szCs w:val="26"/>
                <w:lang w:val="es-ES_tradnl"/>
              </w:rPr>
              <w:t>Vínculo(s) pertinente(s) con el Plan Estratégico</w:t>
            </w:r>
          </w:p>
          <w:p w14:paraId="355526D9" w14:textId="0A9D8D35" w:rsidR="00F92BED" w:rsidRPr="004229DC" w:rsidRDefault="00064875" w:rsidP="00C4421B">
            <w:pPr>
              <w:rPr>
                <w:szCs w:val="24"/>
                <w:lang w:val="es-ES_tradnl"/>
              </w:rPr>
            </w:pPr>
            <w:r w:rsidRPr="004229DC">
              <w:rPr>
                <w:color w:val="000000"/>
                <w:szCs w:val="24"/>
                <w:lang w:val="es-ES_tradnl"/>
              </w:rPr>
              <w:t>Plataformas de encuentro, asociación y cooperación internacional.</w:t>
            </w:r>
          </w:p>
          <w:p w14:paraId="1EC027A7" w14:textId="77777777" w:rsidR="00F92BED" w:rsidRPr="004229DC" w:rsidRDefault="00F92BED" w:rsidP="00287023">
            <w:pPr>
              <w:spacing w:before="160"/>
              <w:jc w:val="both"/>
              <w:rPr>
                <w:b/>
                <w:bCs/>
                <w:sz w:val="26"/>
                <w:szCs w:val="26"/>
                <w:lang w:val="es-ES_tradnl"/>
              </w:rPr>
            </w:pPr>
            <w:r w:rsidRPr="004229DC">
              <w:rPr>
                <w:b/>
                <w:bCs/>
                <w:sz w:val="26"/>
                <w:szCs w:val="26"/>
                <w:lang w:val="es-ES_tradnl"/>
              </w:rPr>
              <w:t>Repercusiones financieras</w:t>
            </w:r>
          </w:p>
          <w:p w14:paraId="4CBDFCD2" w14:textId="793923B2" w:rsidR="00F92BED" w:rsidRPr="004229DC" w:rsidRDefault="00064875" w:rsidP="004229DC">
            <w:pPr>
              <w:rPr>
                <w:szCs w:val="24"/>
                <w:lang w:val="es-ES_tradnl"/>
              </w:rPr>
            </w:pPr>
            <w:r w:rsidRPr="004229DC">
              <w:rPr>
                <w:color w:val="000000"/>
                <w:szCs w:val="24"/>
                <w:lang w:val="es-ES_tradnl"/>
              </w:rPr>
              <w:t>Con cargo al presupuesto asignado para 2025-2026.</w:t>
            </w:r>
          </w:p>
          <w:p w14:paraId="2F98E53F" w14:textId="77777777" w:rsidR="00FE57F6" w:rsidRPr="004229DC" w:rsidRDefault="00FE57F6" w:rsidP="004229DC">
            <w:pPr>
              <w:spacing w:before="0"/>
              <w:rPr>
                <w:caps/>
                <w:szCs w:val="24"/>
                <w:lang w:val="es-ES_tradnl"/>
              </w:rPr>
            </w:pPr>
            <w:r w:rsidRPr="004229DC">
              <w:rPr>
                <w:szCs w:val="24"/>
                <w:lang w:val="es-ES_tradnl"/>
              </w:rPr>
              <w:t>__________________</w:t>
            </w:r>
          </w:p>
          <w:p w14:paraId="179F7D61" w14:textId="77777777" w:rsidR="00FE57F6" w:rsidRPr="004229DC" w:rsidRDefault="00F24B71" w:rsidP="00287023">
            <w:pPr>
              <w:spacing w:before="160"/>
              <w:jc w:val="both"/>
              <w:rPr>
                <w:szCs w:val="24"/>
                <w:lang w:val="es-ES_tradnl"/>
              </w:rPr>
            </w:pPr>
            <w:r w:rsidRPr="004229DC">
              <w:rPr>
                <w:b/>
                <w:bCs/>
                <w:szCs w:val="24"/>
                <w:lang w:val="es-ES_tradnl"/>
              </w:rPr>
              <w:t>Referencia</w:t>
            </w:r>
            <w:r w:rsidR="00F92BED" w:rsidRPr="004229DC">
              <w:rPr>
                <w:b/>
                <w:bCs/>
                <w:szCs w:val="24"/>
                <w:lang w:val="es-ES_tradnl"/>
              </w:rPr>
              <w:t>s</w:t>
            </w:r>
            <w:r w:rsidR="00D375E0" w:rsidRPr="004229DC">
              <w:rPr>
                <w:szCs w:val="24"/>
                <w:lang w:val="es-ES_tradnl"/>
              </w:rPr>
              <w:t xml:space="preserve"> </w:t>
            </w:r>
          </w:p>
          <w:p w14:paraId="5C999D65" w14:textId="3E768BE4" w:rsidR="00FE57F6" w:rsidRPr="004229DC" w:rsidRDefault="002C1AC6" w:rsidP="004229DC">
            <w:pPr>
              <w:jc w:val="both"/>
              <w:rPr>
                <w:rStyle w:val="Hyperlink"/>
                <w:rFonts w:eastAsia="Times New Roman" w:cs="Times New Roman"/>
                <w:color w:val="auto"/>
                <w:sz w:val="22"/>
                <w:lang w:val="es-ES_tradnl"/>
              </w:rPr>
            </w:pPr>
            <w:r w:rsidRPr="004229DC">
              <w:rPr>
                <w:i/>
                <w:iCs/>
                <w:sz w:val="22"/>
                <w:szCs w:val="22"/>
                <w:lang w:val="es-ES_tradnl"/>
              </w:rPr>
              <w:t xml:space="preserve">Sitio web del </w:t>
            </w:r>
            <w:proofErr w:type="spellStart"/>
            <w:r w:rsidRPr="004229DC">
              <w:rPr>
                <w:i/>
                <w:iCs/>
                <w:sz w:val="22"/>
                <w:szCs w:val="22"/>
                <w:lang w:val="es-ES_tradnl"/>
              </w:rPr>
              <w:t>GTC-CMSI+ODS</w:t>
            </w:r>
            <w:proofErr w:type="spellEnd"/>
            <w:r w:rsidRPr="004229DC">
              <w:rPr>
                <w:i/>
                <w:iCs/>
                <w:sz w:val="22"/>
                <w:szCs w:val="22"/>
                <w:lang w:val="es-ES_tradnl"/>
              </w:rPr>
              <w:t>;</w:t>
            </w:r>
            <w:r w:rsidRPr="004229DC">
              <w:rPr>
                <w:i/>
                <w:iCs/>
                <w:spacing w:val="-2"/>
                <w:sz w:val="22"/>
                <w:szCs w:val="22"/>
                <w:lang w:val="es-ES_tradnl"/>
              </w:rPr>
              <w:t xml:space="preserve"> Resoluciones </w:t>
            </w:r>
            <w:hyperlink r:id="rId7" w:history="1">
              <w:r w:rsidRPr="004229DC">
                <w:rPr>
                  <w:rStyle w:val="Hyperlink"/>
                  <w:i/>
                  <w:iCs/>
                  <w:spacing w:val="-2"/>
                  <w:sz w:val="22"/>
                  <w:lang w:val="es-ES_tradnl"/>
                </w:rPr>
                <w:t>A/RES/70/125</w:t>
              </w:r>
            </w:hyperlink>
            <w:r w:rsidRPr="004229DC">
              <w:rPr>
                <w:i/>
                <w:iCs/>
                <w:spacing w:val="-2"/>
                <w:sz w:val="22"/>
                <w:szCs w:val="22"/>
                <w:lang w:val="es-ES_tradnl"/>
              </w:rPr>
              <w:t xml:space="preserve">, </w:t>
            </w:r>
            <w:hyperlink r:id="rId8" w:history="1">
              <w:r w:rsidRPr="004229DC">
                <w:rPr>
                  <w:rStyle w:val="Hyperlink"/>
                  <w:i/>
                  <w:iCs/>
                  <w:spacing w:val="-2"/>
                  <w:sz w:val="22"/>
                  <w:lang w:val="es-ES_tradnl"/>
                </w:rPr>
                <w:t>A/RES/70/1</w:t>
              </w:r>
            </w:hyperlink>
            <w:r w:rsidRPr="004229DC">
              <w:rPr>
                <w:i/>
                <w:iCs/>
                <w:spacing w:val="-2"/>
                <w:sz w:val="22"/>
                <w:szCs w:val="22"/>
                <w:lang w:val="es-ES_tradnl"/>
              </w:rPr>
              <w:t xml:space="preserve">, </w:t>
            </w:r>
            <w:hyperlink r:id="rId9" w:tgtFrame="_blank" w:history="1">
              <w:r w:rsidRPr="004229DC">
                <w:rPr>
                  <w:rStyle w:val="Hyperlink"/>
                  <w:i/>
                  <w:iCs/>
                  <w:spacing w:val="-2"/>
                  <w:sz w:val="22"/>
                  <w:lang w:val="es-ES_tradnl"/>
                </w:rPr>
                <w:t>A/RES/77/150</w:t>
              </w:r>
            </w:hyperlink>
            <w:r w:rsidRPr="004229DC">
              <w:rPr>
                <w:i/>
                <w:iCs/>
                <w:spacing w:val="-2"/>
                <w:sz w:val="22"/>
                <w:szCs w:val="22"/>
                <w:lang w:val="es-ES_tradnl"/>
              </w:rPr>
              <w:t xml:space="preserve">, </w:t>
            </w:r>
            <w:hyperlink r:id="rId10" w:history="1">
              <w:r w:rsidRPr="004229DC">
                <w:rPr>
                  <w:rStyle w:val="Hyperlink"/>
                  <w:i/>
                  <w:iCs/>
                  <w:spacing w:val="-2"/>
                  <w:sz w:val="22"/>
                  <w:lang w:val="es-ES_tradnl"/>
                </w:rPr>
                <w:t>A/RES/71/212</w:t>
              </w:r>
            </w:hyperlink>
            <w:r w:rsidRPr="004229DC">
              <w:rPr>
                <w:i/>
                <w:iCs/>
                <w:spacing w:val="-2"/>
                <w:sz w:val="22"/>
                <w:szCs w:val="22"/>
                <w:lang w:val="es-ES_tradnl"/>
              </w:rPr>
              <w:t>,</w:t>
            </w:r>
            <w:r w:rsidRPr="004229DC">
              <w:rPr>
                <w:i/>
                <w:iCs/>
                <w:sz w:val="22"/>
                <w:szCs w:val="22"/>
                <w:lang w:val="es-ES_tradnl"/>
              </w:rPr>
              <w:t xml:space="preserve"> </w:t>
            </w:r>
            <w:hyperlink r:id="rId11" w:history="1">
              <w:r w:rsidRPr="004229DC">
                <w:rPr>
                  <w:rStyle w:val="Hyperlink"/>
                  <w:i/>
                  <w:iCs/>
                  <w:sz w:val="22"/>
                  <w:lang w:val="es-ES_tradnl"/>
                </w:rPr>
                <w:t>A/RES/70/299</w:t>
              </w:r>
            </w:hyperlink>
            <w:r w:rsidRPr="004229DC">
              <w:rPr>
                <w:i/>
                <w:iCs/>
                <w:sz w:val="22"/>
                <w:szCs w:val="22"/>
                <w:lang w:val="es-ES_tradnl"/>
              </w:rPr>
              <w:t xml:space="preserve">, </w:t>
            </w:r>
            <w:hyperlink r:id="rId12" w:history="1">
              <w:r w:rsidRPr="004229DC">
                <w:rPr>
                  <w:rStyle w:val="Hyperlink"/>
                  <w:i/>
                  <w:iCs/>
                  <w:sz w:val="22"/>
                  <w:lang w:val="es-ES_tradnl"/>
                </w:rPr>
                <w:t>A/RES/70/684</w:t>
              </w:r>
            </w:hyperlink>
            <w:r w:rsidRPr="004229DC">
              <w:rPr>
                <w:i/>
                <w:iCs/>
                <w:sz w:val="22"/>
                <w:szCs w:val="22"/>
                <w:lang w:val="es-ES_tradnl"/>
              </w:rPr>
              <w:t xml:space="preserve">, </w:t>
            </w:r>
            <w:hyperlink r:id="rId13" w:history="1">
              <w:r w:rsidRPr="004229DC">
                <w:rPr>
                  <w:rStyle w:val="Hyperlink"/>
                  <w:i/>
                  <w:iCs/>
                  <w:sz w:val="22"/>
                  <w:lang w:val="es-ES_tradnl"/>
                </w:rPr>
                <w:t>A/RES/73/218</w:t>
              </w:r>
            </w:hyperlink>
            <w:r w:rsidRPr="004229DC">
              <w:rPr>
                <w:sz w:val="22"/>
                <w:szCs w:val="22"/>
                <w:lang w:val="es-ES_tradnl"/>
              </w:rPr>
              <w:t xml:space="preserve"> </w:t>
            </w:r>
            <w:r w:rsidRPr="004229DC">
              <w:rPr>
                <w:i/>
                <w:iCs/>
                <w:sz w:val="22"/>
                <w:szCs w:val="22"/>
                <w:lang w:val="es-ES_tradnl"/>
              </w:rPr>
              <w:t xml:space="preserve">de la Asamblea General de las </w:t>
            </w:r>
            <w:proofErr w:type="spellStart"/>
            <w:r w:rsidRPr="004229DC">
              <w:rPr>
                <w:i/>
                <w:iCs/>
                <w:sz w:val="22"/>
                <w:szCs w:val="22"/>
                <w:lang w:val="es-ES_tradnl"/>
              </w:rPr>
              <w:t>Naciona</w:t>
            </w:r>
            <w:proofErr w:type="spellEnd"/>
            <w:r w:rsidRPr="004229DC">
              <w:rPr>
                <w:i/>
                <w:iCs/>
                <w:sz w:val="22"/>
                <w:szCs w:val="22"/>
                <w:lang w:val="es-ES_tradnl"/>
              </w:rPr>
              <w:t xml:space="preserve"> Unidas; </w:t>
            </w:r>
            <w:hyperlink r:id="rId14" w:history="1">
              <w:r w:rsidRPr="004229DC">
                <w:rPr>
                  <w:rStyle w:val="Hyperlink"/>
                  <w:rFonts w:cs="Calibri"/>
                  <w:sz w:val="22"/>
                  <w:lang w:val="es-ES_tradnl" w:eastAsia="en-GB"/>
                </w:rPr>
                <w:t>A/RES/79/277</w:t>
              </w:r>
            </w:hyperlink>
            <w:r w:rsidRPr="004229DC">
              <w:rPr>
                <w:rFonts w:cs="Calibri"/>
                <w:sz w:val="22"/>
                <w:szCs w:val="22"/>
                <w:lang w:val="es-ES_tradnl" w:eastAsia="en-GB"/>
              </w:rPr>
              <w:t>;</w:t>
            </w:r>
            <w:r w:rsidRPr="004229DC">
              <w:rPr>
                <w:sz w:val="22"/>
                <w:szCs w:val="22"/>
                <w:lang w:val="es-ES_tradnl"/>
              </w:rPr>
              <w:t xml:space="preserve"> </w:t>
            </w:r>
            <w:hyperlink r:id="rId15" w:history="1">
              <w:r w:rsidRPr="004229DC">
                <w:rPr>
                  <w:rStyle w:val="Hyperlink"/>
                  <w:i/>
                  <w:iCs/>
                  <w:sz w:val="22"/>
                  <w:lang w:val="es-ES_tradnl"/>
                </w:rPr>
                <w:t>A/RES/80/173</w:t>
              </w:r>
            </w:hyperlink>
            <w:r w:rsidRPr="004229DC">
              <w:rPr>
                <w:rFonts w:cs="Calibri"/>
                <w:i/>
                <w:iCs/>
                <w:sz w:val="22"/>
                <w:szCs w:val="22"/>
                <w:lang w:val="es-ES_tradnl" w:eastAsia="en-GB"/>
              </w:rPr>
              <w:t>;</w:t>
            </w:r>
            <w:r w:rsidRPr="004229DC">
              <w:rPr>
                <w:rFonts w:cs="Calibri"/>
                <w:sz w:val="22"/>
                <w:szCs w:val="22"/>
                <w:lang w:val="es-ES_tradnl" w:eastAsia="en-GB"/>
              </w:rPr>
              <w:t xml:space="preserve"> </w:t>
            </w:r>
            <w:r w:rsidRPr="004229DC">
              <w:rPr>
                <w:i/>
                <w:iCs/>
                <w:sz w:val="22"/>
                <w:szCs w:val="22"/>
                <w:lang w:val="es-ES_tradnl"/>
              </w:rPr>
              <w:t xml:space="preserve">UN </w:t>
            </w:r>
            <w:proofErr w:type="spellStart"/>
            <w:r w:rsidRPr="004229DC">
              <w:rPr>
                <w:i/>
                <w:iCs/>
                <w:sz w:val="22"/>
                <w:szCs w:val="22"/>
                <w:lang w:val="es-ES_tradnl"/>
              </w:rPr>
              <w:t>ECOSOC</w:t>
            </w:r>
            <w:proofErr w:type="spellEnd"/>
            <w:r w:rsidRPr="004229DC">
              <w:rPr>
                <w:i/>
                <w:iCs/>
                <w:sz w:val="22"/>
                <w:szCs w:val="22"/>
                <w:lang w:val="es-ES_tradnl"/>
              </w:rPr>
              <w:t xml:space="preserve"> Resolución </w:t>
            </w:r>
            <w:hyperlink r:id="rId16" w:history="1">
              <w:r w:rsidRPr="004229DC">
                <w:rPr>
                  <w:rStyle w:val="Hyperlink"/>
                  <w:i/>
                  <w:iCs/>
                  <w:spacing w:val="-2"/>
                  <w:sz w:val="22"/>
                  <w:lang w:val="es-ES_tradnl"/>
                </w:rPr>
                <w:t>E/RES/2025/18</w:t>
              </w:r>
            </w:hyperlink>
            <w:r w:rsidRPr="004229DC">
              <w:rPr>
                <w:sz w:val="22"/>
                <w:szCs w:val="22"/>
                <w:lang w:val="es-ES_tradnl"/>
              </w:rPr>
              <w:t xml:space="preserve"> </w:t>
            </w:r>
            <w:r w:rsidRPr="004229DC">
              <w:rPr>
                <w:i/>
                <w:iCs/>
                <w:sz w:val="22"/>
                <w:szCs w:val="22"/>
                <w:lang w:val="es-ES_tradnl"/>
              </w:rPr>
              <w:t>del Consejo Económico y Social de las Naciones Unidas</w:t>
            </w:r>
            <w:r w:rsidRPr="004229DC">
              <w:rPr>
                <w:i/>
                <w:iCs/>
                <w:spacing w:val="-2"/>
                <w:sz w:val="22"/>
                <w:szCs w:val="22"/>
                <w:lang w:val="es-ES_tradnl"/>
              </w:rPr>
              <w:t xml:space="preserve">; Resoluciones </w:t>
            </w:r>
            <w:hyperlink r:id="rId17" w:history="1">
              <w:r w:rsidRPr="004229DC">
                <w:rPr>
                  <w:rStyle w:val="Hyperlink"/>
                  <w:i/>
                  <w:iCs/>
                  <w:spacing w:val="-2"/>
                  <w:sz w:val="22"/>
                  <w:lang w:val="es-ES_tradnl"/>
                </w:rPr>
                <w:t>140 (Rev. Bucarest, 2022)</w:t>
              </w:r>
            </w:hyperlink>
            <w:r w:rsidRPr="004229DC">
              <w:rPr>
                <w:i/>
                <w:iCs/>
                <w:spacing w:val="-2"/>
                <w:sz w:val="22"/>
                <w:szCs w:val="22"/>
                <w:lang w:val="es-ES_tradnl"/>
              </w:rPr>
              <w:t xml:space="preserve">, </w:t>
            </w:r>
            <w:hyperlink r:id="rId18" w:history="1">
              <w:r w:rsidRPr="004229DC">
                <w:rPr>
                  <w:rStyle w:val="Hyperlink"/>
                  <w:i/>
                  <w:iCs/>
                  <w:spacing w:val="-2"/>
                  <w:sz w:val="22"/>
                  <w:lang w:val="es-ES_tradnl"/>
                </w:rPr>
                <w:t>172 (Rev. Guadalajara, 2010)</w:t>
              </w:r>
            </w:hyperlink>
            <w:r w:rsidRPr="004229DC">
              <w:rPr>
                <w:i/>
                <w:iCs/>
                <w:spacing w:val="-2"/>
                <w:sz w:val="22"/>
                <w:szCs w:val="22"/>
                <w:lang w:val="es-ES_tradnl"/>
              </w:rPr>
              <w:t xml:space="preserve">, </w:t>
            </w:r>
            <w:hyperlink r:id="rId19" w:history="1">
              <w:r w:rsidRPr="004229DC">
                <w:rPr>
                  <w:rStyle w:val="Hyperlink"/>
                  <w:i/>
                  <w:iCs/>
                  <w:spacing w:val="-2"/>
                  <w:sz w:val="22"/>
                  <w:lang w:val="es-ES_tradnl"/>
                </w:rPr>
                <w:t xml:space="preserve">71 (Rev. </w:t>
              </w:r>
              <w:r w:rsidR="006044E4" w:rsidRPr="004229DC">
                <w:rPr>
                  <w:rStyle w:val="Hyperlink"/>
                  <w:i/>
                  <w:iCs/>
                  <w:spacing w:val="-2"/>
                  <w:sz w:val="22"/>
                  <w:lang w:val="es-ES_tradnl"/>
                </w:rPr>
                <w:t xml:space="preserve">Bucarest </w:t>
              </w:r>
              <w:r w:rsidRPr="004229DC">
                <w:rPr>
                  <w:rStyle w:val="Hyperlink"/>
                  <w:i/>
                  <w:iCs/>
                  <w:spacing w:val="-2"/>
                  <w:sz w:val="22"/>
                  <w:lang w:val="es-ES_tradnl"/>
                </w:rPr>
                <w:t>2022)</w:t>
              </w:r>
            </w:hyperlink>
            <w:r w:rsidRPr="004229DC">
              <w:rPr>
                <w:i/>
                <w:iCs/>
                <w:sz w:val="22"/>
                <w:szCs w:val="22"/>
                <w:lang w:val="es-ES_tradnl"/>
              </w:rPr>
              <w:t xml:space="preserve"> de la Conferencia de </w:t>
            </w:r>
            <w:proofErr w:type="spellStart"/>
            <w:r w:rsidRPr="004229DC">
              <w:rPr>
                <w:i/>
                <w:iCs/>
                <w:sz w:val="22"/>
                <w:szCs w:val="22"/>
                <w:lang w:val="es-ES_tradnl"/>
              </w:rPr>
              <w:t>Plenipontenciarios</w:t>
            </w:r>
            <w:proofErr w:type="spellEnd"/>
            <w:r w:rsidRPr="004229DC">
              <w:rPr>
                <w:i/>
                <w:iCs/>
                <w:sz w:val="22"/>
                <w:szCs w:val="22"/>
                <w:lang w:val="es-ES_tradnl"/>
              </w:rPr>
              <w:t xml:space="preserve">; Resoluciones </w:t>
            </w:r>
            <w:hyperlink r:id="rId20" w:history="1">
              <w:r w:rsidRPr="004229DC">
                <w:rPr>
                  <w:rStyle w:val="Hyperlink"/>
                  <w:i/>
                  <w:iCs/>
                  <w:sz w:val="22"/>
                  <w:lang w:val="es-ES_tradnl"/>
                </w:rPr>
                <w:t>1332 (Mod. 2024)</w:t>
              </w:r>
            </w:hyperlink>
            <w:r w:rsidRPr="004229DC">
              <w:rPr>
                <w:i/>
                <w:iCs/>
                <w:sz w:val="22"/>
                <w:szCs w:val="22"/>
                <w:lang w:val="es-ES_tradnl"/>
              </w:rPr>
              <w:t xml:space="preserve">, </w:t>
            </w:r>
            <w:hyperlink r:id="rId21" w:history="1">
              <w:r w:rsidRPr="004229DC">
                <w:rPr>
                  <w:rStyle w:val="Hyperlink"/>
                  <w:i/>
                  <w:iCs/>
                  <w:sz w:val="22"/>
                  <w:lang w:val="es-ES_tradnl"/>
                </w:rPr>
                <w:t>1334 (Mod. 2023)</w:t>
              </w:r>
            </w:hyperlink>
            <w:r w:rsidRPr="004229DC">
              <w:rPr>
                <w:sz w:val="22"/>
                <w:szCs w:val="22"/>
                <w:lang w:val="es-ES_tradnl"/>
              </w:rPr>
              <w:t xml:space="preserve"> </w:t>
            </w:r>
            <w:r w:rsidRPr="004229DC">
              <w:rPr>
                <w:i/>
                <w:iCs/>
                <w:sz w:val="22"/>
                <w:szCs w:val="22"/>
                <w:lang w:val="es-ES_tradnl"/>
              </w:rPr>
              <w:t>del Consejo;</w:t>
            </w:r>
            <w:r w:rsidR="006044E4" w:rsidRPr="004229DC">
              <w:rPr>
                <w:i/>
                <w:iCs/>
                <w:spacing w:val="-2"/>
                <w:sz w:val="22"/>
                <w:szCs w:val="22"/>
                <w:lang w:val="es-ES_tradnl"/>
              </w:rPr>
              <w:t xml:space="preserve"> </w:t>
            </w:r>
            <w:r w:rsidRPr="004229DC">
              <w:rPr>
                <w:i/>
                <w:iCs/>
                <w:spacing w:val="-2"/>
                <w:sz w:val="22"/>
                <w:szCs w:val="22"/>
                <w:lang w:val="es-ES_tradnl"/>
              </w:rPr>
              <w:t>Resolu</w:t>
            </w:r>
            <w:r w:rsidR="006044E4" w:rsidRPr="004229DC">
              <w:rPr>
                <w:i/>
                <w:iCs/>
                <w:spacing w:val="-2"/>
                <w:sz w:val="22"/>
                <w:szCs w:val="22"/>
                <w:lang w:val="es-ES_tradnl"/>
              </w:rPr>
              <w:t>ció</w:t>
            </w:r>
            <w:r w:rsidRPr="004229DC">
              <w:rPr>
                <w:i/>
                <w:iCs/>
                <w:spacing w:val="-2"/>
                <w:sz w:val="22"/>
                <w:szCs w:val="22"/>
                <w:lang w:val="es-ES_tradnl"/>
              </w:rPr>
              <w:t xml:space="preserve">n </w:t>
            </w:r>
            <w:hyperlink r:id="rId22" w:history="1">
              <w:r w:rsidRPr="004229DC">
                <w:rPr>
                  <w:rStyle w:val="Hyperlink"/>
                  <w:i/>
                  <w:iCs/>
                  <w:spacing w:val="-2"/>
                  <w:sz w:val="22"/>
                  <w:lang w:val="es-ES_tradnl"/>
                </w:rPr>
                <w:t>30 (Rev. Bak</w:t>
              </w:r>
              <w:r w:rsidR="006044E4" w:rsidRPr="004229DC">
                <w:rPr>
                  <w:rStyle w:val="Hyperlink"/>
                  <w:i/>
                  <w:iCs/>
                  <w:spacing w:val="-2"/>
                  <w:sz w:val="22"/>
                  <w:lang w:val="es-ES_tradnl"/>
                </w:rPr>
                <w:t>ú</w:t>
              </w:r>
              <w:r w:rsidRPr="004229DC">
                <w:rPr>
                  <w:rStyle w:val="Hyperlink"/>
                  <w:i/>
                  <w:iCs/>
                  <w:spacing w:val="-2"/>
                  <w:sz w:val="22"/>
                  <w:lang w:val="es-ES_tradnl"/>
                </w:rPr>
                <w:t>, 2025)</w:t>
              </w:r>
            </w:hyperlink>
            <w:r w:rsidR="006044E4" w:rsidRPr="004229DC">
              <w:rPr>
                <w:sz w:val="22"/>
                <w:szCs w:val="22"/>
                <w:lang w:val="es-ES_tradnl"/>
              </w:rPr>
              <w:t xml:space="preserve"> </w:t>
            </w:r>
            <w:r w:rsidR="006044E4" w:rsidRPr="004229DC">
              <w:rPr>
                <w:i/>
                <w:iCs/>
                <w:sz w:val="22"/>
                <w:szCs w:val="22"/>
                <w:lang w:val="es-ES_tradnl"/>
              </w:rPr>
              <w:t xml:space="preserve">de la </w:t>
            </w:r>
            <w:proofErr w:type="spellStart"/>
            <w:r w:rsidR="006044E4" w:rsidRPr="004229DC">
              <w:rPr>
                <w:i/>
                <w:iCs/>
                <w:sz w:val="22"/>
                <w:szCs w:val="22"/>
                <w:lang w:val="es-ES_tradnl"/>
              </w:rPr>
              <w:t>CMDT</w:t>
            </w:r>
            <w:proofErr w:type="spellEnd"/>
            <w:r w:rsidRPr="004229DC">
              <w:rPr>
                <w:i/>
                <w:iCs/>
                <w:spacing w:val="-2"/>
                <w:sz w:val="22"/>
                <w:szCs w:val="22"/>
                <w:lang w:val="es-ES_tradnl"/>
              </w:rPr>
              <w:t xml:space="preserve">; </w:t>
            </w:r>
            <w:r w:rsidR="006044E4" w:rsidRPr="004229DC">
              <w:rPr>
                <w:i/>
                <w:iCs/>
                <w:spacing w:val="-2"/>
                <w:sz w:val="22"/>
                <w:szCs w:val="22"/>
                <w:lang w:val="es-ES_tradnl"/>
              </w:rPr>
              <w:t xml:space="preserve">Resolución </w:t>
            </w:r>
            <w:hyperlink r:id="rId23" w:history="1">
              <w:r w:rsidRPr="004229DC">
                <w:rPr>
                  <w:rStyle w:val="Hyperlink"/>
                  <w:i/>
                  <w:iCs/>
                  <w:spacing w:val="-2"/>
                  <w:sz w:val="22"/>
                  <w:lang w:val="es-ES_tradnl"/>
                </w:rPr>
                <w:t>75 (Rev. G</w:t>
              </w:r>
              <w:r w:rsidR="006044E4" w:rsidRPr="004229DC">
                <w:rPr>
                  <w:rStyle w:val="Hyperlink"/>
                  <w:i/>
                  <w:iCs/>
                  <w:spacing w:val="-2"/>
                  <w:sz w:val="22"/>
                  <w:lang w:val="es-ES_tradnl"/>
                </w:rPr>
                <w:t>inebra</w:t>
              </w:r>
              <w:r w:rsidRPr="004229DC">
                <w:rPr>
                  <w:rStyle w:val="Hyperlink"/>
                  <w:i/>
                  <w:iCs/>
                  <w:spacing w:val="-2"/>
                  <w:sz w:val="22"/>
                  <w:lang w:val="es-ES_tradnl"/>
                </w:rPr>
                <w:t>, 2022)</w:t>
              </w:r>
            </w:hyperlink>
            <w:r w:rsidR="006044E4" w:rsidRPr="004229DC">
              <w:rPr>
                <w:sz w:val="22"/>
                <w:szCs w:val="22"/>
                <w:lang w:val="es-ES_tradnl"/>
              </w:rPr>
              <w:t xml:space="preserve"> </w:t>
            </w:r>
            <w:r w:rsidR="006044E4" w:rsidRPr="004229DC">
              <w:rPr>
                <w:i/>
                <w:iCs/>
                <w:sz w:val="22"/>
                <w:szCs w:val="22"/>
                <w:lang w:val="es-ES_tradnl"/>
              </w:rPr>
              <w:t xml:space="preserve">de la </w:t>
            </w:r>
            <w:proofErr w:type="spellStart"/>
            <w:r w:rsidR="006044E4" w:rsidRPr="004229DC">
              <w:rPr>
                <w:i/>
                <w:iCs/>
                <w:sz w:val="22"/>
                <w:szCs w:val="22"/>
                <w:lang w:val="es-ES_tradnl"/>
              </w:rPr>
              <w:t>AMNT</w:t>
            </w:r>
            <w:proofErr w:type="spellEnd"/>
            <w:r w:rsidRPr="004229DC">
              <w:rPr>
                <w:i/>
                <w:iCs/>
                <w:spacing w:val="-2"/>
                <w:sz w:val="22"/>
                <w:szCs w:val="22"/>
                <w:lang w:val="es-ES_tradnl"/>
              </w:rPr>
              <w:t>;</w:t>
            </w:r>
            <w:r w:rsidR="006044E4" w:rsidRPr="004229DC">
              <w:rPr>
                <w:i/>
                <w:iCs/>
                <w:spacing w:val="-2"/>
                <w:sz w:val="22"/>
                <w:szCs w:val="22"/>
                <w:lang w:val="es-ES_tradnl"/>
              </w:rPr>
              <w:t xml:space="preserve"> Resolución</w:t>
            </w:r>
            <w:r w:rsidRPr="004229DC">
              <w:rPr>
                <w:rFonts w:eastAsia="Calibri" w:cs="Calibri"/>
                <w:i/>
                <w:iCs/>
                <w:spacing w:val="-2"/>
                <w:sz w:val="22"/>
                <w:szCs w:val="22"/>
                <w:lang w:val="es-ES_tradnl"/>
              </w:rPr>
              <w:t xml:space="preserve"> </w:t>
            </w:r>
            <w:hyperlink r:id="rId24">
              <w:r w:rsidRPr="004229DC">
                <w:rPr>
                  <w:rStyle w:val="Hyperlink"/>
                  <w:rFonts w:eastAsia="Calibri" w:cs="Calibri"/>
                  <w:i/>
                  <w:iCs/>
                  <w:spacing w:val="-2"/>
                  <w:sz w:val="22"/>
                  <w:lang w:val="es-ES_tradnl"/>
                </w:rPr>
                <w:t>ITU-R 61-3 (Rev. Dub</w:t>
              </w:r>
              <w:r w:rsidR="006044E4" w:rsidRPr="004229DC">
                <w:rPr>
                  <w:rStyle w:val="Hyperlink"/>
                  <w:rFonts w:eastAsia="Calibri" w:cs="Calibri"/>
                  <w:i/>
                  <w:iCs/>
                  <w:spacing w:val="-2"/>
                  <w:sz w:val="22"/>
                  <w:lang w:val="es-ES_tradnl"/>
                </w:rPr>
                <w:t>á</w:t>
              </w:r>
              <w:r w:rsidRPr="004229DC">
                <w:rPr>
                  <w:rStyle w:val="Hyperlink"/>
                  <w:rFonts w:eastAsia="Calibri" w:cs="Calibri"/>
                  <w:i/>
                  <w:iCs/>
                  <w:spacing w:val="-2"/>
                  <w:sz w:val="22"/>
                  <w:lang w:val="es-ES_tradnl"/>
                </w:rPr>
                <w:t>i, 2023)</w:t>
              </w:r>
            </w:hyperlink>
            <w:r w:rsidRPr="004229DC">
              <w:rPr>
                <w:i/>
                <w:iCs/>
                <w:sz w:val="22"/>
                <w:szCs w:val="22"/>
                <w:lang w:val="es-ES_tradnl"/>
              </w:rPr>
              <w:t xml:space="preserve">; </w:t>
            </w:r>
            <w:hyperlink r:id="rId25" w:history="1">
              <w:r w:rsidR="006044E4" w:rsidRPr="004229DC">
                <w:rPr>
                  <w:rStyle w:val="Hyperlink"/>
                  <w:rFonts w:eastAsia="Times New Roman" w:cs="Times New Roman"/>
                  <w:i/>
                  <w:iCs/>
                  <w:sz w:val="22"/>
                  <w:lang w:val="es-ES_tradnl"/>
                </w:rPr>
                <w:t xml:space="preserve">Declaración de la </w:t>
              </w:r>
              <w:proofErr w:type="spellStart"/>
              <w:r w:rsidR="006044E4" w:rsidRPr="004229DC">
                <w:rPr>
                  <w:rStyle w:val="Hyperlink"/>
                  <w:rFonts w:eastAsia="Times New Roman" w:cs="Times New Roman"/>
                  <w:i/>
                  <w:iCs/>
                  <w:sz w:val="22"/>
                  <w:lang w:val="es-ES_tradnl"/>
                </w:rPr>
                <w:t>CMSI+10</w:t>
              </w:r>
              <w:proofErr w:type="spellEnd"/>
              <w:r w:rsidR="006044E4" w:rsidRPr="004229DC">
                <w:rPr>
                  <w:rStyle w:val="Hyperlink"/>
                  <w:rFonts w:eastAsia="Times New Roman" w:cs="Times New Roman"/>
                  <w:i/>
                  <w:iCs/>
                  <w:sz w:val="22"/>
                  <w:lang w:val="es-ES_tradnl"/>
                </w:rPr>
                <w:t xml:space="preserve"> para la </w:t>
              </w:r>
              <w:proofErr w:type="spellStart"/>
              <w:r w:rsidR="006044E4" w:rsidRPr="004229DC">
                <w:rPr>
                  <w:rStyle w:val="Hyperlink"/>
                  <w:rFonts w:eastAsia="Times New Roman" w:cs="Times New Roman"/>
                  <w:i/>
                  <w:iCs/>
                  <w:sz w:val="22"/>
                  <w:lang w:val="es-ES_tradnl"/>
                </w:rPr>
                <w:t>CMSI</w:t>
              </w:r>
              <w:proofErr w:type="spellEnd"/>
              <w:r w:rsidR="006044E4" w:rsidRPr="004229DC">
                <w:rPr>
                  <w:i/>
                  <w:iCs/>
                  <w:sz w:val="22"/>
                  <w:szCs w:val="22"/>
                  <w:lang w:val="es-ES_tradnl"/>
                </w:rPr>
                <w:t>;</w:t>
              </w:r>
              <w:r w:rsidR="006044E4" w:rsidRPr="004229DC">
                <w:rPr>
                  <w:rStyle w:val="Hyperlink"/>
                  <w:rFonts w:eastAsia="Times New Roman" w:cs="Times New Roman"/>
                  <w:i/>
                  <w:iCs/>
                  <w:sz w:val="22"/>
                  <w:lang w:val="es-ES_tradnl"/>
                </w:rPr>
                <w:t xml:space="preserve"> relativa a la aplicación de los resultados de la </w:t>
              </w:r>
              <w:proofErr w:type="spellStart"/>
              <w:r w:rsidR="006044E4" w:rsidRPr="004229DC">
                <w:rPr>
                  <w:rStyle w:val="Hyperlink"/>
                  <w:rFonts w:eastAsia="Times New Roman" w:cs="Times New Roman"/>
                  <w:i/>
                  <w:iCs/>
                  <w:sz w:val="22"/>
                  <w:lang w:val="es-ES_tradnl"/>
                </w:rPr>
                <w:t>CMSI</w:t>
              </w:r>
              <w:proofErr w:type="spellEnd"/>
            </w:hyperlink>
            <w:r w:rsidR="006044E4" w:rsidRPr="004229DC">
              <w:rPr>
                <w:i/>
                <w:iCs/>
                <w:sz w:val="22"/>
                <w:szCs w:val="22"/>
                <w:lang w:val="es-ES_tradnl"/>
              </w:rPr>
              <w:t xml:space="preserve">; </w:t>
            </w:r>
            <w:hyperlink r:id="rId26" w:anchor="page=21" w:history="1">
              <w:r w:rsidR="006044E4" w:rsidRPr="004229DC">
                <w:rPr>
                  <w:rStyle w:val="Hyperlink"/>
                  <w:rFonts w:eastAsia="Times New Roman" w:cs="Times New Roman"/>
                  <w:i/>
                  <w:iCs/>
                  <w:sz w:val="22"/>
                  <w:lang w:val="es-ES_tradnl"/>
                </w:rPr>
                <w:t xml:space="preserve">Perspectiva de la </w:t>
              </w:r>
              <w:proofErr w:type="spellStart"/>
              <w:r w:rsidR="006044E4" w:rsidRPr="004229DC">
                <w:rPr>
                  <w:rStyle w:val="Hyperlink"/>
                  <w:rFonts w:eastAsia="Times New Roman" w:cs="Times New Roman"/>
                  <w:i/>
                  <w:iCs/>
                  <w:sz w:val="22"/>
                  <w:lang w:val="es-ES_tradnl"/>
                </w:rPr>
                <w:t>CMSI+10</w:t>
              </w:r>
              <w:proofErr w:type="spellEnd"/>
              <w:r w:rsidR="006044E4" w:rsidRPr="004229DC">
                <w:rPr>
                  <w:rStyle w:val="Hyperlink"/>
                  <w:rFonts w:eastAsia="Times New Roman" w:cs="Times New Roman"/>
                  <w:i/>
                  <w:iCs/>
                  <w:sz w:val="22"/>
                  <w:lang w:val="es-ES_tradnl"/>
                </w:rPr>
                <w:t xml:space="preserve"> para la </w:t>
              </w:r>
              <w:proofErr w:type="spellStart"/>
              <w:r w:rsidR="006044E4" w:rsidRPr="004229DC">
                <w:rPr>
                  <w:rStyle w:val="Hyperlink"/>
                  <w:rFonts w:eastAsia="Times New Roman" w:cs="Times New Roman"/>
                  <w:i/>
                  <w:iCs/>
                  <w:sz w:val="22"/>
                  <w:lang w:val="es-ES_tradnl"/>
                </w:rPr>
                <w:t>CMSI</w:t>
              </w:r>
              <w:proofErr w:type="spellEnd"/>
              <w:r w:rsidR="006044E4" w:rsidRPr="004229DC">
                <w:rPr>
                  <w:rStyle w:val="Hyperlink"/>
                  <w:rFonts w:eastAsia="Times New Roman" w:cs="Times New Roman"/>
                  <w:i/>
                  <w:iCs/>
                  <w:sz w:val="22"/>
                  <w:lang w:val="es-ES_tradnl"/>
                </w:rPr>
                <w:t xml:space="preserve"> después de 2015</w:t>
              </w:r>
            </w:hyperlink>
            <w:r w:rsidR="006044E4" w:rsidRPr="004229DC">
              <w:rPr>
                <w:i/>
                <w:iCs/>
                <w:sz w:val="22"/>
                <w:szCs w:val="22"/>
                <w:lang w:val="es-ES_tradnl"/>
              </w:rPr>
              <w:t xml:space="preserve">; </w:t>
            </w:r>
            <w:hyperlink r:id="rId27" w:history="1">
              <w:r w:rsidR="006044E4" w:rsidRPr="004229DC">
                <w:rPr>
                  <w:rStyle w:val="Hyperlink"/>
                  <w:rFonts w:eastAsia="Times New Roman" w:cs="Times New Roman"/>
                  <w:i/>
                  <w:iCs/>
                  <w:sz w:val="22"/>
                  <w:lang w:val="es-ES_tradnl"/>
                </w:rPr>
                <w:t xml:space="preserve">Examen Final de la Metas de la </w:t>
              </w:r>
              <w:proofErr w:type="spellStart"/>
              <w:r w:rsidR="006044E4" w:rsidRPr="004229DC">
                <w:rPr>
                  <w:rStyle w:val="Hyperlink"/>
                  <w:rFonts w:eastAsia="Times New Roman" w:cs="Times New Roman"/>
                  <w:i/>
                  <w:iCs/>
                  <w:sz w:val="22"/>
                  <w:lang w:val="es-ES_tradnl"/>
                </w:rPr>
                <w:t>CMSI</w:t>
              </w:r>
              <w:proofErr w:type="spellEnd"/>
              <w:r w:rsidR="006044E4" w:rsidRPr="004229DC">
                <w:rPr>
                  <w:rStyle w:val="Hyperlink"/>
                  <w:rFonts w:eastAsia="Times New Roman" w:cs="Times New Roman"/>
                  <w:i/>
                  <w:iCs/>
                  <w:sz w:val="22"/>
                  <w:lang w:val="es-ES_tradnl"/>
                </w:rPr>
                <w:t xml:space="preserve">; Informe de la </w:t>
              </w:r>
              <w:proofErr w:type="spellStart"/>
              <w:r w:rsidR="006044E4" w:rsidRPr="004229DC">
                <w:rPr>
                  <w:rStyle w:val="Hyperlink"/>
                  <w:rFonts w:eastAsia="Times New Roman" w:cs="Times New Roman"/>
                  <w:i/>
                  <w:iCs/>
                  <w:sz w:val="22"/>
                  <w:lang w:val="es-ES_tradnl"/>
                </w:rPr>
                <w:t>CMSI+10</w:t>
              </w:r>
              <w:proofErr w:type="spellEnd"/>
            </w:hyperlink>
            <w:r w:rsidR="006044E4" w:rsidRPr="004229DC">
              <w:rPr>
                <w:i/>
                <w:iCs/>
                <w:sz w:val="22"/>
                <w:szCs w:val="22"/>
                <w:lang w:val="es-ES_tradnl"/>
              </w:rPr>
              <w:t xml:space="preserve">; </w:t>
            </w:r>
            <w:hyperlink r:id="rId28" w:history="1">
              <w:r w:rsidR="006044E4" w:rsidRPr="004229DC">
                <w:rPr>
                  <w:rStyle w:val="Hyperlink"/>
                  <w:rFonts w:eastAsia="Times New Roman" w:cs="Times New Roman"/>
                  <w:i/>
                  <w:iCs/>
                  <w:sz w:val="22"/>
                  <w:lang w:val="es-ES_tradnl"/>
                </w:rPr>
                <w:t xml:space="preserve">Contribución decenal de la UIT a la aplicación y el seguimiento de la </w:t>
              </w:r>
              <w:proofErr w:type="spellStart"/>
              <w:r w:rsidR="006044E4" w:rsidRPr="004229DC">
                <w:rPr>
                  <w:rStyle w:val="Hyperlink"/>
                  <w:rFonts w:eastAsia="Times New Roman" w:cs="Times New Roman"/>
                  <w:i/>
                  <w:iCs/>
                  <w:sz w:val="22"/>
                  <w:lang w:val="es-ES_tradnl"/>
                </w:rPr>
                <w:t>CMSI</w:t>
              </w:r>
              <w:proofErr w:type="spellEnd"/>
              <w:r w:rsidR="006044E4" w:rsidRPr="004229DC">
                <w:rPr>
                  <w:rStyle w:val="Hyperlink"/>
                  <w:rFonts w:eastAsia="Times New Roman" w:cs="Times New Roman"/>
                  <w:i/>
                  <w:iCs/>
                  <w:sz w:val="22"/>
                  <w:lang w:val="es-ES_tradnl"/>
                </w:rPr>
                <w:t xml:space="preserve"> (2005-2014)</w:t>
              </w:r>
            </w:hyperlink>
            <w:r w:rsidR="006044E4" w:rsidRPr="004229DC">
              <w:rPr>
                <w:i/>
                <w:iCs/>
                <w:sz w:val="22"/>
                <w:szCs w:val="22"/>
                <w:lang w:val="es-ES_tradnl"/>
              </w:rPr>
              <w:t xml:space="preserve">; </w:t>
            </w:r>
            <w:hyperlink r:id="rId29" w:history="1">
              <w:r w:rsidR="006044E4" w:rsidRPr="004229DC">
                <w:rPr>
                  <w:rStyle w:val="Hyperlink"/>
                  <w:rFonts w:eastAsia="Times New Roman" w:cs="Times New Roman"/>
                  <w:i/>
                  <w:iCs/>
                  <w:sz w:val="22"/>
                  <w:lang w:val="es-ES_tradnl"/>
                </w:rPr>
                <w:t>Hoja de ruta de las actividades emprendidas por la UIT en favor de la consecución de la Agenda 2030 para el Desarrollo Sostenible</w:t>
              </w:r>
            </w:hyperlink>
            <w:r w:rsidR="00D52F61" w:rsidRPr="004229DC">
              <w:rPr>
                <w:i/>
                <w:iCs/>
                <w:sz w:val="22"/>
                <w:szCs w:val="22"/>
                <w:lang w:val="es-ES_tradnl"/>
              </w:rPr>
              <w:t xml:space="preserve">; </w:t>
            </w:r>
            <w:hyperlink r:id="rId30" w:history="1">
              <w:r w:rsidR="00D52F61" w:rsidRPr="004229DC">
                <w:rPr>
                  <w:rStyle w:val="Hyperlink"/>
                  <w:rFonts w:eastAsia="Times New Roman" w:cs="Times New Roman"/>
                  <w:i/>
                  <w:iCs/>
                  <w:sz w:val="22"/>
                  <w:lang w:val="es-ES_tradnl"/>
                </w:rPr>
                <w:t>Cumbre Mundial sobre la Sociedad de la Información (</w:t>
              </w:r>
              <w:proofErr w:type="spellStart"/>
              <w:r w:rsidR="00D52F61" w:rsidRPr="004229DC">
                <w:rPr>
                  <w:rStyle w:val="Hyperlink"/>
                  <w:rFonts w:eastAsia="Times New Roman" w:cs="Times New Roman"/>
                  <w:i/>
                  <w:iCs/>
                  <w:sz w:val="22"/>
                  <w:lang w:val="es-ES_tradnl"/>
                </w:rPr>
                <w:t>CMSI</w:t>
              </w:r>
              <w:proofErr w:type="spellEnd"/>
              <w:r w:rsidR="00D52F61" w:rsidRPr="004229DC">
                <w:rPr>
                  <w:rStyle w:val="Hyperlink"/>
                  <w:rFonts w:eastAsia="Times New Roman" w:cs="Times New Roman"/>
                  <w:i/>
                  <w:iCs/>
                  <w:sz w:val="22"/>
                  <w:lang w:val="es-ES_tradnl"/>
                </w:rPr>
                <w:t xml:space="preserve">)+10: </w:t>
              </w:r>
              <w:proofErr w:type="spellStart"/>
              <w:r w:rsidR="00D52F61" w:rsidRPr="004229DC">
                <w:rPr>
                  <w:rStyle w:val="Hyperlink"/>
                  <w:rFonts w:eastAsia="Times New Roman" w:cs="Times New Roman"/>
                  <w:i/>
                  <w:iCs/>
                  <w:sz w:val="22"/>
                  <w:lang w:val="es-ES_tradnl"/>
                </w:rPr>
                <w:t>CMSI</w:t>
              </w:r>
              <w:proofErr w:type="spellEnd"/>
              <w:r w:rsidR="00D52F61" w:rsidRPr="004229DC">
                <w:rPr>
                  <w:rStyle w:val="Hyperlink"/>
                  <w:rFonts w:eastAsia="Times New Roman" w:cs="Times New Roman"/>
                  <w:i/>
                  <w:iCs/>
                  <w:sz w:val="22"/>
                  <w:lang w:val="es-ES_tradnl"/>
                </w:rPr>
                <w:t xml:space="preserve"> después de 2025 – Hoja de ruta de la </w:t>
              </w:r>
              <w:proofErr w:type="spellStart"/>
              <w:r w:rsidR="00D52F61" w:rsidRPr="004229DC">
                <w:rPr>
                  <w:rStyle w:val="Hyperlink"/>
                  <w:rFonts w:eastAsia="Times New Roman" w:cs="Times New Roman"/>
                  <w:i/>
                  <w:iCs/>
                  <w:sz w:val="22"/>
                  <w:lang w:val="es-ES_tradnl"/>
                </w:rPr>
                <w:t>CMSI+20</w:t>
              </w:r>
              <w:proofErr w:type="spellEnd"/>
            </w:hyperlink>
            <w:r w:rsidR="00D52F61" w:rsidRPr="004229DC">
              <w:rPr>
                <w:i/>
                <w:iCs/>
                <w:sz w:val="22"/>
                <w:szCs w:val="22"/>
                <w:lang w:val="es-ES_tradnl"/>
              </w:rPr>
              <w:t xml:space="preserve">; </w:t>
            </w:r>
            <w:hyperlink r:id="rId31" w:history="1">
              <w:r w:rsidR="00D52F61" w:rsidRPr="004229DC">
                <w:rPr>
                  <w:rStyle w:val="Hyperlink"/>
                  <w:rFonts w:eastAsia="Times New Roman" w:cs="Times New Roman"/>
                  <w:i/>
                  <w:iCs/>
                  <w:sz w:val="22"/>
                  <w:lang w:val="es-ES_tradnl"/>
                </w:rPr>
                <w:t xml:space="preserve">Informe de la </w:t>
              </w:r>
              <w:proofErr w:type="spellStart"/>
              <w:r w:rsidR="00D52F61" w:rsidRPr="004229DC">
                <w:rPr>
                  <w:rStyle w:val="Hyperlink"/>
                  <w:rFonts w:eastAsia="Times New Roman" w:cs="Times New Roman"/>
                  <w:i/>
                  <w:iCs/>
                  <w:sz w:val="22"/>
                  <w:lang w:val="es-ES_tradnl"/>
                </w:rPr>
                <w:t>CMSI+20</w:t>
              </w:r>
              <w:proofErr w:type="spellEnd"/>
              <w:r w:rsidR="00D52F61" w:rsidRPr="004229DC">
                <w:rPr>
                  <w:rStyle w:val="Hyperlink"/>
                  <w:rFonts w:eastAsia="Times New Roman" w:cs="Times New Roman"/>
                  <w:i/>
                  <w:iCs/>
                  <w:sz w:val="22"/>
                  <w:lang w:val="es-ES_tradnl"/>
                </w:rPr>
                <w:t>: Construyendo un futuro digital para todos Documentos finales de la Cumbre del Futuro</w:t>
              </w:r>
            </w:hyperlink>
            <w:r w:rsidR="00D52F61" w:rsidRPr="004229DC">
              <w:rPr>
                <w:i/>
                <w:iCs/>
                <w:sz w:val="22"/>
                <w:szCs w:val="22"/>
                <w:lang w:val="es-ES_tradnl"/>
              </w:rPr>
              <w:t xml:space="preserve">; </w:t>
            </w:r>
            <w:hyperlink r:id="rId32" w:history="1">
              <w:r w:rsidR="00D52F61" w:rsidRPr="004229DC">
                <w:rPr>
                  <w:rStyle w:val="Hyperlink"/>
                  <w:rFonts w:eastAsia="Times New Roman" w:cs="Times New Roman"/>
                  <w:i/>
                  <w:iCs/>
                  <w:sz w:val="22"/>
                  <w:lang w:val="es-ES_tradnl"/>
                </w:rPr>
                <w:t>Informe sobre el 28.</w:t>
              </w:r>
              <w:r w:rsidR="00D52F61" w:rsidRPr="004229DC">
                <w:rPr>
                  <w:rStyle w:val="Hyperlink"/>
                  <w:rFonts w:cs="Times New Roman"/>
                  <w:sz w:val="22"/>
                  <w:vertAlign w:val="superscript"/>
                  <w:lang w:val="es-ES_tradnl"/>
                </w:rPr>
                <w:t xml:space="preserve"> </w:t>
              </w:r>
              <w:r w:rsidR="00D52F61" w:rsidRPr="004229DC">
                <w:rPr>
                  <w:rStyle w:val="Hyperlink"/>
                  <w:rFonts w:eastAsia="Times New Roman" w:cs="Times New Roman"/>
                  <w:i/>
                  <w:iCs/>
                  <w:sz w:val="22"/>
                  <w:vertAlign w:val="superscript"/>
                  <w:lang w:val="es-ES_tradnl"/>
                </w:rPr>
                <w:t xml:space="preserve">º </w:t>
              </w:r>
              <w:r w:rsidR="00D52F61" w:rsidRPr="004229DC">
                <w:rPr>
                  <w:rStyle w:val="Hyperlink"/>
                  <w:rFonts w:eastAsia="Times New Roman" w:cs="Times New Roman"/>
                  <w:i/>
                  <w:iCs/>
                  <w:sz w:val="22"/>
                  <w:lang w:val="es-ES_tradnl"/>
                </w:rPr>
                <w:t>periodo de sesiones (7 a 11 de abril de 2025) de la Comisión de Ciencia y Tecnología para el Desarrollo</w:t>
              </w:r>
            </w:hyperlink>
            <w:r w:rsidR="00D52F61" w:rsidRPr="004229DC">
              <w:rPr>
                <w:i/>
                <w:iCs/>
                <w:sz w:val="22"/>
                <w:szCs w:val="22"/>
                <w:lang w:val="es-ES_tradnl"/>
              </w:rPr>
              <w:t xml:space="preserve">; </w:t>
            </w:r>
            <w:hyperlink r:id="rId33" w:history="1">
              <w:r w:rsidR="001D68F0" w:rsidRPr="004229DC">
                <w:rPr>
                  <w:rStyle w:val="Hyperlink"/>
                  <w:rFonts w:eastAsia="Times New Roman" w:cs="Times New Roman"/>
                  <w:i/>
                  <w:iCs/>
                  <w:sz w:val="22"/>
                  <w:lang w:val="es-ES_tradnl"/>
                </w:rPr>
                <w:t xml:space="preserve">Borrador cero del documento de resultados de la </w:t>
              </w:r>
              <w:proofErr w:type="spellStart"/>
              <w:r w:rsidR="001D68F0" w:rsidRPr="004229DC">
                <w:rPr>
                  <w:rStyle w:val="Hyperlink"/>
                  <w:rFonts w:eastAsia="Times New Roman" w:cs="Times New Roman"/>
                  <w:i/>
                  <w:iCs/>
                  <w:sz w:val="22"/>
                  <w:lang w:val="es-ES_tradnl"/>
                </w:rPr>
                <w:t>CMSI+20</w:t>
              </w:r>
              <w:proofErr w:type="spellEnd"/>
              <w:r w:rsidR="001D68F0" w:rsidRPr="004229DC">
                <w:rPr>
                  <w:sz w:val="22"/>
                  <w:szCs w:val="22"/>
                  <w:lang w:val="es-ES_tradnl"/>
                </w:rPr>
                <w:t>;</w:t>
              </w:r>
              <w:r w:rsidR="001D68F0" w:rsidRPr="004229DC">
                <w:rPr>
                  <w:rStyle w:val="Hyperlink"/>
                  <w:rFonts w:eastAsia="Times New Roman" w:cs="Times New Roman"/>
                  <w:i/>
                  <w:iCs/>
                  <w:sz w:val="22"/>
                  <w:lang w:val="es-ES_tradnl"/>
                </w:rPr>
                <w:t xml:space="preserve"> Foro de la </w:t>
              </w:r>
              <w:proofErr w:type="spellStart"/>
              <w:r w:rsidR="001D68F0" w:rsidRPr="004229DC">
                <w:rPr>
                  <w:rStyle w:val="Hyperlink"/>
                  <w:rFonts w:eastAsia="Times New Roman" w:cs="Times New Roman"/>
                  <w:i/>
                  <w:iCs/>
                  <w:sz w:val="22"/>
                  <w:lang w:val="es-ES_tradnl"/>
                </w:rPr>
                <w:t>CMSI+20</w:t>
              </w:r>
              <w:proofErr w:type="spellEnd"/>
            </w:hyperlink>
            <w:r w:rsidR="00D52F61" w:rsidRPr="004229DC">
              <w:rPr>
                <w:i/>
                <w:iCs/>
                <w:sz w:val="22"/>
                <w:szCs w:val="22"/>
                <w:lang w:val="es-ES_tradnl"/>
              </w:rPr>
              <w:t>.</w:t>
            </w:r>
            <w:r w:rsidR="00D52F61" w:rsidRPr="004229DC">
              <w:rPr>
                <w:sz w:val="22"/>
                <w:szCs w:val="22"/>
                <w:lang w:val="es-ES_tradnl"/>
              </w:rPr>
              <w:t xml:space="preserve"> </w:t>
            </w:r>
          </w:p>
        </w:tc>
      </w:tr>
      <w:bookmarkEnd w:id="0"/>
    </w:tbl>
    <w:p w14:paraId="6A62A9AA" w14:textId="77777777" w:rsidR="001559F5" w:rsidRPr="00675C41" w:rsidRDefault="001559F5" w:rsidP="00287023">
      <w:pPr>
        <w:tabs>
          <w:tab w:val="clear" w:pos="567"/>
          <w:tab w:val="clear" w:pos="1134"/>
          <w:tab w:val="clear" w:pos="1701"/>
          <w:tab w:val="clear" w:pos="2268"/>
          <w:tab w:val="clear" w:pos="2835"/>
        </w:tabs>
        <w:overflowPunct/>
        <w:autoSpaceDE/>
        <w:autoSpaceDN/>
        <w:adjustRightInd/>
        <w:spacing w:before="0"/>
        <w:jc w:val="both"/>
        <w:textAlignment w:val="auto"/>
        <w:rPr>
          <w:sz w:val="10"/>
          <w:szCs w:val="10"/>
          <w:lang w:val="es-ES_tradnl"/>
        </w:rPr>
      </w:pPr>
      <w:r w:rsidRPr="00675C41">
        <w:rPr>
          <w:sz w:val="10"/>
          <w:szCs w:val="10"/>
          <w:lang w:val="es-ES_tradnl"/>
        </w:rPr>
        <w:br w:type="page"/>
      </w:r>
    </w:p>
    <w:p w14:paraId="54CFFB9F" w14:textId="7140058D" w:rsidR="00064875" w:rsidRPr="004229DC" w:rsidRDefault="00064875" w:rsidP="00EF5DF9">
      <w:pPr>
        <w:pStyle w:val="Heading1"/>
        <w:rPr>
          <w:lang w:val="es-ES_tradnl"/>
        </w:rPr>
      </w:pPr>
      <w:r w:rsidRPr="004229DC">
        <w:rPr>
          <w:lang w:val="es-ES_tradnl"/>
        </w:rPr>
        <w:lastRenderedPageBreak/>
        <w:t>I</w:t>
      </w:r>
      <w:r w:rsidRPr="004229DC">
        <w:rPr>
          <w:lang w:val="es-ES_tradnl"/>
        </w:rPr>
        <w:tab/>
        <w:t>Antecedentes de la reunión de alto nivel sobre el examen general de la aplicación de los resultados de la Cumbre Mundial sobre la Sociedad de la Información (</w:t>
      </w:r>
      <w:proofErr w:type="spellStart"/>
      <w:r w:rsidRPr="004229DC">
        <w:rPr>
          <w:lang w:val="es-ES_tradnl"/>
        </w:rPr>
        <w:t>CMSI+20</w:t>
      </w:r>
      <w:proofErr w:type="spellEnd"/>
      <w:r w:rsidRPr="004229DC">
        <w:rPr>
          <w:lang w:val="es-ES_tradnl"/>
        </w:rPr>
        <w:t>) por la Asamblea General de las Naciones Unidas</w:t>
      </w:r>
    </w:p>
    <w:p w14:paraId="49F4D495" w14:textId="3B539346" w:rsidR="00064875" w:rsidRPr="006A22FA" w:rsidRDefault="00064875" w:rsidP="00064875">
      <w:pPr>
        <w:jc w:val="both"/>
        <w:rPr>
          <w:spacing w:val="-2"/>
          <w:lang w:val="es-ES_tradnl"/>
        </w:rPr>
      </w:pPr>
      <w:r w:rsidRPr="006A22FA">
        <w:rPr>
          <w:spacing w:val="-2"/>
          <w:lang w:val="es-ES_tradnl"/>
        </w:rPr>
        <w:t>La Asamblea General de las Naciones Unidas (</w:t>
      </w:r>
      <w:proofErr w:type="spellStart"/>
      <w:r w:rsidRPr="006A22FA">
        <w:rPr>
          <w:spacing w:val="-2"/>
          <w:lang w:val="es-ES_tradnl"/>
        </w:rPr>
        <w:t>AGNU</w:t>
      </w:r>
      <w:proofErr w:type="spellEnd"/>
      <w:r w:rsidRPr="006A22FA">
        <w:rPr>
          <w:spacing w:val="-2"/>
          <w:lang w:val="es-ES_tradnl"/>
        </w:rPr>
        <w:t xml:space="preserve">) convocó una </w:t>
      </w:r>
      <w:hyperlink r:id="rId34" w:history="1">
        <w:r w:rsidRPr="006A22FA">
          <w:rPr>
            <w:rStyle w:val="Hyperlink"/>
            <w:spacing w:val="-2"/>
            <w:lang w:val="es-ES_tradnl"/>
          </w:rPr>
          <w:t>reunión de alto nivel</w:t>
        </w:r>
      </w:hyperlink>
      <w:r w:rsidRPr="006A22FA">
        <w:rPr>
          <w:spacing w:val="-2"/>
          <w:lang w:val="es-ES_tradnl"/>
        </w:rPr>
        <w:t xml:space="preserve"> sobre el examen general de la </w:t>
      </w:r>
      <w:proofErr w:type="spellStart"/>
      <w:r w:rsidRPr="006A22FA">
        <w:rPr>
          <w:spacing w:val="-2"/>
          <w:lang w:val="es-ES_tradnl"/>
        </w:rPr>
        <w:t>CMSI+20</w:t>
      </w:r>
      <w:proofErr w:type="spellEnd"/>
      <w:r w:rsidRPr="006A22FA">
        <w:rPr>
          <w:spacing w:val="-2"/>
          <w:lang w:val="es-ES_tradnl"/>
        </w:rPr>
        <w:t xml:space="preserve"> los días 16 y 17 de diciembre de 2025 en Nueva York, de conformidad con la Resolución de la </w:t>
      </w:r>
      <w:proofErr w:type="spellStart"/>
      <w:r w:rsidRPr="006A22FA">
        <w:rPr>
          <w:spacing w:val="-2"/>
          <w:lang w:val="es-ES_tradnl"/>
        </w:rPr>
        <w:t>AGNU</w:t>
      </w:r>
      <w:proofErr w:type="spellEnd"/>
      <w:r w:rsidRPr="006A22FA">
        <w:rPr>
          <w:spacing w:val="-2"/>
          <w:lang w:val="es-ES_tradnl"/>
        </w:rPr>
        <w:t xml:space="preserve"> relativa al </w:t>
      </w:r>
      <w:r w:rsidRPr="006A22FA">
        <w:rPr>
          <w:i/>
          <w:iCs/>
          <w:spacing w:val="-2"/>
          <w:lang w:val="es-ES_tradnl"/>
        </w:rPr>
        <w:t>Documento final de la reunión de alto nivel de la Asamblea General sobre el examen general de la aplicación de los resultados de la Cumbre Mundial sobre la Sociedad de la Información</w:t>
      </w:r>
      <w:r w:rsidRPr="006A22FA">
        <w:rPr>
          <w:spacing w:val="-2"/>
          <w:lang w:val="es-ES_tradnl"/>
        </w:rPr>
        <w:t xml:space="preserve"> (</w:t>
      </w:r>
      <w:hyperlink r:id="rId35" w:history="1">
        <w:r w:rsidRPr="006A22FA">
          <w:rPr>
            <w:rFonts w:cs="Calibri"/>
            <w:color w:val="0563C1"/>
            <w:spacing w:val="-2"/>
            <w:u w:val="single"/>
            <w:lang w:val="es-ES_tradnl" w:eastAsia="en-GB"/>
          </w:rPr>
          <w:t>A/RES/70/125</w:t>
        </w:r>
      </w:hyperlink>
      <w:r w:rsidRPr="006A22FA">
        <w:rPr>
          <w:spacing w:val="-2"/>
          <w:lang w:val="es-ES_tradnl"/>
        </w:rPr>
        <w:t xml:space="preserve">) y la Resolución de la </w:t>
      </w:r>
      <w:proofErr w:type="spellStart"/>
      <w:r w:rsidRPr="006A22FA">
        <w:rPr>
          <w:spacing w:val="-2"/>
          <w:lang w:val="es-ES_tradnl"/>
        </w:rPr>
        <w:t>AGNU</w:t>
      </w:r>
      <w:proofErr w:type="spellEnd"/>
      <w:r w:rsidRPr="006A22FA">
        <w:rPr>
          <w:spacing w:val="-2"/>
          <w:lang w:val="es-ES_tradnl"/>
        </w:rPr>
        <w:t xml:space="preserve"> relativa a las </w:t>
      </w:r>
      <w:r w:rsidRPr="006A22FA">
        <w:rPr>
          <w:i/>
          <w:iCs/>
          <w:spacing w:val="-2"/>
          <w:lang w:val="es-ES_tradnl"/>
        </w:rPr>
        <w:t>Modalidades del examen general que realizará la Asamblea General de la aplicación de los resultados de la Cumbre Mundial sobre la Sociedad de la Información</w:t>
      </w:r>
      <w:r w:rsidRPr="006A22FA">
        <w:rPr>
          <w:spacing w:val="-2"/>
          <w:lang w:val="es-ES_tradnl"/>
        </w:rPr>
        <w:t xml:space="preserve"> (</w:t>
      </w:r>
      <w:hyperlink r:id="rId36" w:history="1">
        <w:r w:rsidRPr="006A22FA">
          <w:rPr>
            <w:rFonts w:cs="Calibri"/>
            <w:color w:val="0563C1"/>
            <w:spacing w:val="-2"/>
            <w:u w:val="single"/>
            <w:lang w:val="es-ES_tradnl" w:eastAsia="en-GB"/>
          </w:rPr>
          <w:t>A/RES/79/277</w:t>
        </w:r>
      </w:hyperlink>
      <w:r w:rsidRPr="006A22FA">
        <w:rPr>
          <w:spacing w:val="-2"/>
          <w:lang w:val="es-ES_tradnl"/>
        </w:rPr>
        <w:t>).</w:t>
      </w:r>
      <w:hyperlink r:id="rId37" w:history="1"/>
      <w:hyperlink r:id="rId38" w:history="1"/>
      <w:hyperlink r:id="rId39" w:history="1"/>
    </w:p>
    <w:p w14:paraId="508C3F74" w14:textId="381DB1F2" w:rsidR="00064875" w:rsidRPr="004229DC" w:rsidRDefault="00064875" w:rsidP="00064875">
      <w:pPr>
        <w:jc w:val="both"/>
        <w:rPr>
          <w:lang w:val="es-ES_tradnl"/>
        </w:rPr>
      </w:pPr>
      <w:r w:rsidRPr="004229DC">
        <w:rPr>
          <w:lang w:val="es-ES_tradnl"/>
        </w:rPr>
        <w:t xml:space="preserve">La reunión conmemoró los 20 años transcurridos desde la adopción de la </w:t>
      </w:r>
      <w:hyperlink r:id="rId40" w:history="1">
        <w:r w:rsidRPr="004229DC">
          <w:rPr>
            <w:rStyle w:val="Hyperlink"/>
            <w:lang w:val="es-ES_tradnl"/>
          </w:rPr>
          <w:t>Declaración de Principios y el Plan de Acción de Ginebra (2003)</w:t>
        </w:r>
      </w:hyperlink>
      <w:r w:rsidRPr="004229DC">
        <w:rPr>
          <w:lang w:val="es-ES_tradnl"/>
        </w:rPr>
        <w:t xml:space="preserve"> y de la </w:t>
      </w:r>
      <w:hyperlink r:id="rId41" w:history="1">
        <w:r w:rsidRPr="004229DC">
          <w:rPr>
            <w:rStyle w:val="Hyperlink"/>
            <w:lang w:val="es-ES_tradnl"/>
          </w:rPr>
          <w:t>Agenda de Túnez para la Sociedad de la Información (2005)</w:t>
        </w:r>
      </w:hyperlink>
      <w:r w:rsidRPr="004229DC">
        <w:rPr>
          <w:lang w:val="es-ES_tradnl"/>
        </w:rPr>
        <w:t>, y brindó a los Estados Miembros y a las partes interesadas una oportunidad clave para evaluar los progresos, identificar las carencias pendientes y establecer prioridades para la siguiente fase de la cooperación digital mundial. El encuentro, que congregó a representantes de los Estados Miembros, organismos de las Naciones Unidas, organizaciones internacionales y regionales y la comunidad de partes interesadas (formada por el sector privado, la sociedad civil, la comunidad técnica, las instituciones académicas y la juventud), destacó el carácter integrador y colaborativo de las iniciativas mundiales en la sociedad de la información</w:t>
      </w:r>
      <w:r w:rsidRPr="004229DC">
        <w:rPr>
          <w:rFonts w:cs="Calibri"/>
          <w:position w:val="6"/>
          <w:sz w:val="16"/>
          <w:lang w:val="es-ES_tradnl" w:eastAsia="en-GB"/>
        </w:rPr>
        <w:footnoteReference w:id="1"/>
      </w:r>
      <w:r w:rsidRPr="004229DC">
        <w:rPr>
          <w:lang w:val="es-ES_tradnl"/>
        </w:rPr>
        <w:t>.</w:t>
      </w:r>
      <w:hyperlink r:id="rId42" w:history="1"/>
      <w:hyperlink r:id="rId43" w:history="1"/>
    </w:p>
    <w:p w14:paraId="2F6B317D" w14:textId="77777777" w:rsidR="00064875" w:rsidRPr="004229DC" w:rsidRDefault="00064875" w:rsidP="00EF5DF9">
      <w:pPr>
        <w:pStyle w:val="Heading1"/>
        <w:rPr>
          <w:b w:val="0"/>
          <w:lang w:val="es-ES_tradnl"/>
        </w:rPr>
      </w:pPr>
      <w:r w:rsidRPr="004229DC">
        <w:rPr>
          <w:bCs/>
          <w:lang w:val="es-ES_tradnl"/>
        </w:rPr>
        <w:t>II</w:t>
      </w:r>
      <w:r w:rsidRPr="004229DC">
        <w:rPr>
          <w:lang w:val="es-ES_tradnl"/>
        </w:rPr>
        <w:tab/>
      </w:r>
      <w:r w:rsidRPr="004229DC">
        <w:rPr>
          <w:bCs/>
          <w:lang w:val="es-ES_tradnl"/>
        </w:rPr>
        <w:t>Resumen de las declaraciones de la Plenaria</w:t>
      </w:r>
    </w:p>
    <w:p w14:paraId="3E5654EA" w14:textId="5D09011A" w:rsidR="00064875" w:rsidRPr="004229DC" w:rsidRDefault="00064875" w:rsidP="00064875">
      <w:pPr>
        <w:jc w:val="both"/>
        <w:rPr>
          <w:lang w:val="es-ES_tradnl"/>
        </w:rPr>
      </w:pPr>
      <w:r w:rsidRPr="004229DC">
        <w:rPr>
          <w:lang w:val="es-ES_tradnl"/>
        </w:rPr>
        <w:t>La reunión de alto nivel comenzó con una declaración de la Presidenta de la Asamblea General, Excma. Sra.</w:t>
      </w:r>
      <w:r w:rsidR="00EF5DF9" w:rsidRPr="004229DC">
        <w:rPr>
          <w:lang w:val="es-ES_tradnl"/>
        </w:rPr>
        <w:t> </w:t>
      </w:r>
      <w:r w:rsidRPr="004229DC">
        <w:rPr>
          <w:lang w:val="es-ES_tradnl"/>
        </w:rPr>
        <w:t xml:space="preserve">Annalena Baerbock, quien señaló que, dos décadas después de la </w:t>
      </w:r>
      <w:proofErr w:type="spellStart"/>
      <w:r w:rsidRPr="004229DC">
        <w:rPr>
          <w:lang w:val="es-ES_tradnl"/>
        </w:rPr>
        <w:t>CMSI</w:t>
      </w:r>
      <w:proofErr w:type="spellEnd"/>
      <w:r w:rsidRPr="004229DC">
        <w:rPr>
          <w:lang w:val="es-ES_tradnl"/>
        </w:rPr>
        <w:t>, la visión de una sociedad de la información centrada en las personas, inclusiva y orientada al desarrollo sigue inconclusa y, en algunos ámbitos, corre cada vez más peligro. Destacó la persistencia de las brechas digitales en materia de acceso, asequibilidad y competencias, la pertinaz brecha digital de género y la necesidad de emplear una gobernanza responsable para las tecnologías incipientes, incluida la inteligencia artificial. Tras señalar que el progreso requiere un enfoque multipartito, subrayó la importancia de las asociaciones para fortalecer la cooperación, fomentar resultados inclusivos y garantizar que las Naciones Unidas siguen siendo adecuadas para lograr sus objetivos en la era digital.</w:t>
      </w:r>
    </w:p>
    <w:p w14:paraId="110459F2" w14:textId="5EBA5E27" w:rsidR="00064875" w:rsidRPr="004229DC" w:rsidRDefault="00064875" w:rsidP="006A22FA">
      <w:pPr>
        <w:widowControl w:val="0"/>
        <w:jc w:val="both"/>
        <w:rPr>
          <w:lang w:val="es-ES_tradnl"/>
        </w:rPr>
      </w:pPr>
      <w:r w:rsidRPr="004229DC">
        <w:rPr>
          <w:lang w:val="es-ES_tradnl"/>
        </w:rPr>
        <w:t>En nombre del Secretario General de las Naciones Unidas, el Sr.</w:t>
      </w:r>
      <w:r w:rsidR="00EF5DF9" w:rsidRPr="004229DC">
        <w:rPr>
          <w:lang w:val="es-ES_tradnl"/>
        </w:rPr>
        <w:t> </w:t>
      </w:r>
      <w:r w:rsidRPr="004229DC">
        <w:rPr>
          <w:lang w:val="es-ES_tradnl"/>
        </w:rPr>
        <w:t xml:space="preserve">Guy Ryder, Secretario General Adjunto de Política, subrayó la importante contribución de la comunidad de partes interesadas al avance de la agenda de la </w:t>
      </w:r>
      <w:proofErr w:type="spellStart"/>
      <w:r w:rsidRPr="004229DC">
        <w:rPr>
          <w:lang w:val="es-ES_tradnl"/>
        </w:rPr>
        <w:t>CMSI</w:t>
      </w:r>
      <w:proofErr w:type="spellEnd"/>
      <w:r w:rsidRPr="004229DC">
        <w:rPr>
          <w:lang w:val="es-ES_tradnl"/>
        </w:rPr>
        <w:t xml:space="preserve"> y señaló que los resultados de la </w:t>
      </w:r>
      <w:proofErr w:type="spellStart"/>
      <w:r w:rsidRPr="004229DC">
        <w:rPr>
          <w:lang w:val="es-ES_tradnl"/>
        </w:rPr>
        <w:t>CMSI+20</w:t>
      </w:r>
      <w:proofErr w:type="spellEnd"/>
      <w:r w:rsidRPr="004229DC">
        <w:rPr>
          <w:lang w:val="es-ES_tradnl"/>
        </w:rPr>
        <w:t xml:space="preserve"> reflejan la amplia colaboración entre los Estados Miembros, las partes interesadas y el sistema de las Naciones Unidas. Reconoció los progresos logrados en los dos últimos decenios, al tiempo que puso de relieve los problemas pendientes, incluidas las brechas digitales y la gobernanza de las tecnologías incipientes. Tras hacer hincapié en la importancia de plataformas como el Foro para la Gobernanza de Internet (</w:t>
      </w:r>
      <w:proofErr w:type="spellStart"/>
      <w:r w:rsidRPr="004229DC">
        <w:rPr>
          <w:lang w:val="es-ES_tradnl"/>
        </w:rPr>
        <w:t>FGI</w:t>
      </w:r>
      <w:proofErr w:type="spellEnd"/>
      <w:r w:rsidRPr="004229DC">
        <w:rPr>
          <w:lang w:val="es-ES_tradnl"/>
        </w:rPr>
        <w:t xml:space="preserve">), realzó el carácter complementario y de refuerzo mutuo de la </w:t>
      </w:r>
      <w:proofErr w:type="spellStart"/>
      <w:r w:rsidRPr="004229DC">
        <w:rPr>
          <w:lang w:val="es-ES_tradnl"/>
        </w:rPr>
        <w:t>CMSI+20</w:t>
      </w:r>
      <w:proofErr w:type="spellEnd"/>
      <w:r w:rsidRPr="004229DC">
        <w:rPr>
          <w:lang w:val="es-ES_tradnl"/>
        </w:rPr>
        <w:t xml:space="preserve"> y el Pacto Digital Global, que se apoyan </w:t>
      </w:r>
      <w:r w:rsidRPr="004229DC">
        <w:rPr>
          <w:lang w:val="es-ES_tradnl"/>
        </w:rPr>
        <w:lastRenderedPageBreak/>
        <w:t xml:space="preserve">en la arquitectura de implementación y la orientación al desarrollo de la </w:t>
      </w:r>
      <w:proofErr w:type="spellStart"/>
      <w:r w:rsidRPr="004229DC">
        <w:rPr>
          <w:lang w:val="es-ES_tradnl"/>
        </w:rPr>
        <w:t>CMSI</w:t>
      </w:r>
      <w:proofErr w:type="spellEnd"/>
      <w:r w:rsidRPr="004229DC">
        <w:rPr>
          <w:lang w:val="es-ES_tradnl"/>
        </w:rPr>
        <w:t xml:space="preserve"> para impulsar la transformación digital inclusiva y sostenible.</w:t>
      </w:r>
    </w:p>
    <w:p w14:paraId="6EFB5095" w14:textId="75C5B442" w:rsidR="00064875" w:rsidRPr="004229DC" w:rsidRDefault="00064875" w:rsidP="00064875">
      <w:pPr>
        <w:jc w:val="both"/>
        <w:rPr>
          <w:lang w:val="es-ES_tradnl"/>
        </w:rPr>
      </w:pPr>
      <w:r w:rsidRPr="004229DC">
        <w:rPr>
          <w:lang w:val="es-ES_tradnl"/>
        </w:rPr>
        <w:t>A continuación, la Asamblea invitó a los Estados Miembros, junto con representantes de organismos del sistema de las Naciones Unidas y de la comunidad de partes interesadas en general, a presentar sus declaraciones. A lo largo de los dos días que duró la reunión, se formularon 12</w:t>
      </w:r>
      <w:r w:rsidR="00664C08" w:rsidRPr="004229DC">
        <w:rPr>
          <w:lang w:val="es-ES_tradnl"/>
        </w:rPr>
        <w:t>0</w:t>
      </w:r>
      <w:r w:rsidRPr="004229DC">
        <w:rPr>
          <w:lang w:val="es-ES_tradnl"/>
        </w:rPr>
        <w:t xml:space="preserve"> declaraciones</w:t>
      </w:r>
      <w:r w:rsidRPr="004229DC">
        <w:rPr>
          <w:rFonts w:cs="Calibri"/>
          <w:position w:val="6"/>
          <w:sz w:val="16"/>
          <w:lang w:val="es-ES_tradnl" w:eastAsia="en-GB"/>
        </w:rPr>
        <w:footnoteReference w:id="2"/>
      </w:r>
      <w:r w:rsidRPr="004229DC">
        <w:rPr>
          <w:lang w:val="es-ES_tradnl"/>
        </w:rPr>
        <w:t xml:space="preserve">. En ellas, los Estados Miembros y las partes interesadas reconocieron los progresos realizados en la expansión de la conectividad y los servicios digitales desde la </w:t>
      </w:r>
      <w:proofErr w:type="spellStart"/>
      <w:r w:rsidRPr="004229DC">
        <w:rPr>
          <w:lang w:val="es-ES_tradnl"/>
        </w:rPr>
        <w:t>CMSI</w:t>
      </w:r>
      <w:proofErr w:type="spellEnd"/>
      <w:r w:rsidRPr="004229DC">
        <w:rPr>
          <w:lang w:val="es-ES_tradnl"/>
        </w:rPr>
        <w:t>, al tiempo que subrayaron que las brechas digitales persistentes siguen siendo un desafío importante. En general, se señaló que se trataba de brechas de desarrollo, que incluyen las brechas de acceso, asequibilidad, conocimientos, género, infraestructura y uso significativo, con una especial preocupación por los países en desarrollo, los países menos adelantados, los pequeños Estados insulares en desarrollo y las poblaciones marginadas. Los delegados subrayaron que, a falta de inversión sostenida, creación de capacidad y apoyo específico, el rápido cambio tecnológico podría agravar aún más las desigualdades, e incluso generar nuevas brechas relacionadas con los datos y las tecnologías incipientes.</w:t>
      </w:r>
    </w:p>
    <w:p w14:paraId="3A4F62C2" w14:textId="77777777" w:rsidR="00064875" w:rsidRPr="004229DC" w:rsidRDefault="00064875" w:rsidP="00064875">
      <w:pPr>
        <w:jc w:val="both"/>
        <w:rPr>
          <w:lang w:val="es-ES_tradnl"/>
        </w:rPr>
      </w:pPr>
      <w:r w:rsidRPr="004229DC">
        <w:rPr>
          <w:lang w:val="es-ES_tradnl"/>
        </w:rPr>
        <w:t xml:space="preserve">Se hizo énfasis en el efecto transformador de las tecnologías incipientes, incluidas la inteligencia artificial y la infraestructura pública digital, y se reafirmó la importancia de los enfoques de transformación digital inclusivos, centrados en el ser humano y basados en los derechos. Se subrayó la necesidad de gobernanza responsable, transferencia de tecnología, desarrollo de competencias digitales y financiación sostenible, y se reafirmó que las líneas de acción de la </w:t>
      </w:r>
      <w:proofErr w:type="spellStart"/>
      <w:r w:rsidRPr="004229DC">
        <w:rPr>
          <w:lang w:val="es-ES_tradnl"/>
        </w:rPr>
        <w:t>CMSI</w:t>
      </w:r>
      <w:proofErr w:type="spellEnd"/>
      <w:r w:rsidRPr="004229DC">
        <w:rPr>
          <w:lang w:val="es-ES_tradnl"/>
        </w:rPr>
        <w:t xml:space="preserve"> constituyen un marco práctico para contribuir al avance de la Agenda 2030 y para su aplicación, en coherencia con el Pacto Digital Global. Se determinó que la cooperación multipartita, incluso a través de plataformas inclusivas como el Foro de la </w:t>
      </w:r>
      <w:proofErr w:type="spellStart"/>
      <w:r w:rsidRPr="004229DC">
        <w:rPr>
          <w:lang w:val="es-ES_tradnl"/>
        </w:rPr>
        <w:t>CMSI</w:t>
      </w:r>
      <w:proofErr w:type="spellEnd"/>
      <w:r w:rsidRPr="004229DC">
        <w:rPr>
          <w:lang w:val="es-ES_tradnl"/>
        </w:rPr>
        <w:t xml:space="preserve"> y el </w:t>
      </w:r>
      <w:proofErr w:type="spellStart"/>
      <w:r w:rsidRPr="004229DC">
        <w:rPr>
          <w:lang w:val="es-ES_tradnl"/>
        </w:rPr>
        <w:t>FGI</w:t>
      </w:r>
      <w:proofErr w:type="spellEnd"/>
      <w:r w:rsidRPr="004229DC">
        <w:rPr>
          <w:lang w:val="es-ES_tradnl"/>
        </w:rPr>
        <w:t xml:space="preserve">, y las prioridades transversales de igualdad de género y protección de los derechos humanos en línea resultan esenciales. </w:t>
      </w:r>
    </w:p>
    <w:p w14:paraId="128C856B" w14:textId="12D678FA" w:rsidR="00064875" w:rsidRPr="004229DC" w:rsidRDefault="00064875" w:rsidP="00064875">
      <w:pPr>
        <w:jc w:val="both"/>
        <w:rPr>
          <w:lang w:val="es-ES_tradnl"/>
        </w:rPr>
      </w:pPr>
      <w:r w:rsidRPr="004229DC">
        <w:rPr>
          <w:lang w:val="es-ES_tradnl"/>
        </w:rPr>
        <w:t>La Secretaria General de la UIT, Sra.</w:t>
      </w:r>
      <w:r w:rsidR="00664C08" w:rsidRPr="004229DC">
        <w:rPr>
          <w:lang w:val="es-ES_tradnl"/>
        </w:rPr>
        <w:t> </w:t>
      </w:r>
      <w:r w:rsidRPr="004229DC">
        <w:rPr>
          <w:lang w:val="es-ES_tradnl"/>
        </w:rPr>
        <w:t>Doreen Bogdan-Martin, pronunció un discurso</w:t>
      </w:r>
      <w:r w:rsidRPr="004229DC">
        <w:rPr>
          <w:position w:val="6"/>
          <w:sz w:val="16"/>
          <w:lang w:val="es-ES_tradnl"/>
        </w:rPr>
        <w:footnoteReference w:id="3"/>
      </w:r>
      <w:r w:rsidRPr="004229DC">
        <w:rPr>
          <w:lang w:val="es-ES_tradnl"/>
        </w:rPr>
        <w:t xml:space="preserve"> ante la reunión de alto nivel en el que hizo hincapié en la función de la UIT como organismo especializado de las Naciones Unidas para las tecnologías digitales y como facilitador principal del proceso de la </w:t>
      </w:r>
      <w:proofErr w:type="spellStart"/>
      <w:r w:rsidRPr="004229DC">
        <w:rPr>
          <w:lang w:val="es-ES_tradnl"/>
        </w:rPr>
        <w:t>CMSI</w:t>
      </w:r>
      <w:proofErr w:type="spellEnd"/>
      <w:r w:rsidRPr="004229DC">
        <w:rPr>
          <w:lang w:val="es-ES_tradnl"/>
        </w:rPr>
        <w:t xml:space="preserve">, al tiempo que promueve una visión inclusiva, centrada en las personas y orientada al desarrollo para la aplicación de la </w:t>
      </w:r>
      <w:proofErr w:type="spellStart"/>
      <w:r w:rsidRPr="004229DC">
        <w:rPr>
          <w:lang w:val="es-ES_tradnl"/>
        </w:rPr>
        <w:t>CMSI</w:t>
      </w:r>
      <w:proofErr w:type="spellEnd"/>
      <w:r w:rsidRPr="004229DC">
        <w:rPr>
          <w:lang w:val="es-ES_tradnl"/>
        </w:rPr>
        <w:t xml:space="preserve"> después de 2025. Se destacó la disposición de la UIT a seguir coordinando, organizando y apoyando la aplicación de los resultados de la </w:t>
      </w:r>
      <w:proofErr w:type="spellStart"/>
      <w:r w:rsidRPr="004229DC">
        <w:rPr>
          <w:lang w:val="es-ES_tradnl"/>
        </w:rPr>
        <w:t>CMSI</w:t>
      </w:r>
      <w:proofErr w:type="spellEnd"/>
      <w:r w:rsidRPr="004229DC">
        <w:rPr>
          <w:lang w:val="es-ES_tradnl"/>
        </w:rPr>
        <w:t xml:space="preserve"> junto con los Miembros de la UIT y los socios de las Naciones Unidas.</w:t>
      </w:r>
    </w:p>
    <w:p w14:paraId="33E724A7" w14:textId="15FFE100" w:rsidR="00064875" w:rsidRPr="004229DC" w:rsidRDefault="00064875" w:rsidP="00064875">
      <w:pPr>
        <w:jc w:val="both"/>
        <w:rPr>
          <w:lang w:val="es-ES_tradnl"/>
        </w:rPr>
      </w:pPr>
      <w:r w:rsidRPr="004229DC">
        <w:rPr>
          <w:lang w:val="es-ES_tradnl"/>
        </w:rPr>
        <w:t xml:space="preserve">En nombre de los Estados Miembros de la UIT y como Presidente del Evento de Alto Nivel de la </w:t>
      </w:r>
      <w:proofErr w:type="spellStart"/>
      <w:r w:rsidRPr="004229DC">
        <w:rPr>
          <w:lang w:val="es-ES_tradnl"/>
        </w:rPr>
        <w:t>CMSI+20</w:t>
      </w:r>
      <w:proofErr w:type="spellEnd"/>
      <w:r w:rsidRPr="004229DC">
        <w:rPr>
          <w:lang w:val="es-ES_tradnl"/>
        </w:rPr>
        <w:t xml:space="preserve"> de 2025, el Excmo. Sr.</w:t>
      </w:r>
      <w:r w:rsidR="00664C08" w:rsidRPr="004229DC">
        <w:rPr>
          <w:lang w:val="es-ES_tradnl"/>
        </w:rPr>
        <w:t> </w:t>
      </w:r>
      <w:r w:rsidRPr="004229DC">
        <w:rPr>
          <w:lang w:val="es-ES_tradnl"/>
        </w:rPr>
        <w:t xml:space="preserve">Solly Malatsi, Ministro de Comunicaciones y Tecnologías Digitales de Sudáfrica, pronunció un discurso en el que destacó el apoyo al proceso de la </w:t>
      </w:r>
      <w:proofErr w:type="spellStart"/>
      <w:r w:rsidRPr="004229DC">
        <w:rPr>
          <w:lang w:val="es-ES_tradnl"/>
        </w:rPr>
        <w:t>CMSI+20</w:t>
      </w:r>
      <w:proofErr w:type="spellEnd"/>
      <w:r w:rsidRPr="004229DC">
        <w:rPr>
          <w:lang w:val="es-ES_tradnl"/>
        </w:rPr>
        <w:t xml:space="preserve">, reafirmando la importancia de la cooperación digital inclusiva, la reducción de las </w:t>
      </w:r>
      <w:r w:rsidRPr="004229DC">
        <w:rPr>
          <w:lang w:val="es-ES_tradnl"/>
        </w:rPr>
        <w:lastRenderedPageBreak/>
        <w:t xml:space="preserve">brechas digitales y el fortalecimiento de la participación de múltiples partes interesadas para avanzar en el desarrollo digital y respaldar la visión de la </w:t>
      </w:r>
      <w:proofErr w:type="spellStart"/>
      <w:r w:rsidRPr="004229DC">
        <w:rPr>
          <w:lang w:val="es-ES_tradnl"/>
        </w:rPr>
        <w:t>CMSI</w:t>
      </w:r>
      <w:proofErr w:type="spellEnd"/>
      <w:r w:rsidRPr="004229DC">
        <w:rPr>
          <w:position w:val="6"/>
          <w:sz w:val="16"/>
          <w:lang w:val="es-ES_tradnl"/>
        </w:rPr>
        <w:footnoteReference w:id="4"/>
      </w:r>
      <w:r w:rsidRPr="004229DC">
        <w:rPr>
          <w:lang w:val="es-ES_tradnl"/>
        </w:rPr>
        <w:t xml:space="preserve">. </w:t>
      </w:r>
    </w:p>
    <w:p w14:paraId="4575D8C9" w14:textId="77777777" w:rsidR="00064875" w:rsidRPr="004229DC" w:rsidRDefault="00064875" w:rsidP="00EF5DF9">
      <w:pPr>
        <w:pStyle w:val="Heading1"/>
        <w:rPr>
          <w:b w:val="0"/>
          <w:lang w:val="es-ES_tradnl"/>
        </w:rPr>
      </w:pPr>
      <w:r w:rsidRPr="004229DC">
        <w:rPr>
          <w:bCs/>
          <w:lang w:val="es-ES_tradnl"/>
        </w:rPr>
        <w:t>III</w:t>
      </w:r>
      <w:r w:rsidRPr="004229DC">
        <w:rPr>
          <w:lang w:val="es-ES_tradnl"/>
        </w:rPr>
        <w:tab/>
      </w:r>
      <w:r w:rsidRPr="004229DC">
        <w:rPr>
          <w:bCs/>
          <w:lang w:val="es-ES_tradnl"/>
        </w:rPr>
        <w:t xml:space="preserve">Resultados del examen general y elementos clave para la aplicación de la </w:t>
      </w:r>
      <w:proofErr w:type="spellStart"/>
      <w:r w:rsidRPr="004229DC">
        <w:rPr>
          <w:bCs/>
          <w:lang w:val="es-ES_tradnl"/>
        </w:rPr>
        <w:t>CMSI</w:t>
      </w:r>
      <w:proofErr w:type="spellEnd"/>
      <w:r w:rsidRPr="004229DC">
        <w:rPr>
          <w:bCs/>
          <w:lang w:val="es-ES_tradnl"/>
        </w:rPr>
        <w:t xml:space="preserve"> por la UIT después de 2025</w:t>
      </w:r>
    </w:p>
    <w:p w14:paraId="550A60BF" w14:textId="7C436B90" w:rsidR="00064875" w:rsidRPr="004229DC" w:rsidRDefault="00064875" w:rsidP="00064875">
      <w:pPr>
        <w:jc w:val="both"/>
        <w:rPr>
          <w:lang w:val="es-ES_tradnl"/>
        </w:rPr>
      </w:pPr>
      <w:r w:rsidRPr="004229DC">
        <w:rPr>
          <w:lang w:val="es-ES_tradnl"/>
        </w:rPr>
        <w:t xml:space="preserve">La Asamblea General adoptó el </w:t>
      </w:r>
      <w:r w:rsidRPr="004229DC">
        <w:rPr>
          <w:i/>
          <w:iCs/>
          <w:lang w:val="es-ES_tradnl"/>
        </w:rPr>
        <w:t>Documento final de la reunión de alto nivel de la Asamblea General sobre el examen general de la aplicación de los resultados de la Cumbre Mundial sobre la Sociedad de la Información</w:t>
      </w:r>
      <w:r w:rsidRPr="004229DC">
        <w:rPr>
          <w:lang w:val="es-ES_tradnl"/>
        </w:rPr>
        <w:t xml:space="preserve"> (</w:t>
      </w:r>
      <w:hyperlink r:id="rId44" w:history="1">
        <w:r w:rsidRPr="004229DC">
          <w:rPr>
            <w:color w:val="0563C1"/>
            <w:u w:val="single"/>
            <w:lang w:val="es-ES_tradnl" w:eastAsia="en-GB"/>
          </w:rPr>
          <w:t>A/RES/80/173</w:t>
        </w:r>
      </w:hyperlink>
      <w:r w:rsidRPr="004229DC">
        <w:rPr>
          <w:lang w:val="es-ES_tradnl"/>
        </w:rPr>
        <w:t xml:space="preserve">). La Asamblea reafirmó que la </w:t>
      </w:r>
      <w:proofErr w:type="spellStart"/>
      <w:r w:rsidRPr="004229DC">
        <w:rPr>
          <w:lang w:val="es-ES_tradnl"/>
        </w:rPr>
        <w:t>CMSI</w:t>
      </w:r>
      <w:proofErr w:type="spellEnd"/>
      <w:r w:rsidRPr="004229DC">
        <w:rPr>
          <w:lang w:val="es-ES_tradnl"/>
        </w:rPr>
        <w:t xml:space="preserve"> es el marco rector principal de las Naciones Unidas para impulsar el desarrollo digital inclusivo y centrado en las personas. La Resolución recalca que los Principios de Ginebra, la Agenda de Túnez y las líneas de acción de la </w:t>
      </w:r>
      <w:proofErr w:type="spellStart"/>
      <w:r w:rsidRPr="004229DC">
        <w:rPr>
          <w:lang w:val="es-ES_tradnl"/>
        </w:rPr>
        <w:t>CMSI</w:t>
      </w:r>
      <w:proofErr w:type="spellEnd"/>
      <w:r w:rsidRPr="004229DC">
        <w:rPr>
          <w:lang w:val="es-ES_tradnl"/>
        </w:rPr>
        <w:t xml:space="preserve"> siguen </w:t>
      </w:r>
      <w:proofErr w:type="gramStart"/>
      <w:r w:rsidRPr="004229DC">
        <w:rPr>
          <w:lang w:val="es-ES_tradnl"/>
        </w:rPr>
        <w:t>resultando pertinentes</w:t>
      </w:r>
      <w:proofErr w:type="gramEnd"/>
      <w:r w:rsidRPr="004229DC">
        <w:rPr>
          <w:lang w:val="es-ES_tradnl"/>
        </w:rPr>
        <w:t xml:space="preserve"> y pide que se refuerce su aplicación en consonancia con la Agenda 2030 para el Desarrollo Sostenible y que se garantice la coherencia con el Pacto Digital Global.</w:t>
      </w:r>
      <w:hyperlink r:id="rId45" w:history="1"/>
    </w:p>
    <w:p w14:paraId="0A2E7567" w14:textId="77777777" w:rsidR="00064875" w:rsidRPr="004229DC" w:rsidRDefault="00064875" w:rsidP="00064875">
      <w:pPr>
        <w:jc w:val="both"/>
        <w:rPr>
          <w:lang w:val="es-ES_tradnl"/>
        </w:rPr>
      </w:pPr>
      <w:r w:rsidRPr="004229DC">
        <w:rPr>
          <w:lang w:val="es-ES_tradnl"/>
        </w:rPr>
        <w:t xml:space="preserve">La Resolución también reafirma la contribución fundamental de la Unión Internacional de Telecomunicaciones (UIT) para coordinar la aplicación de la </w:t>
      </w:r>
      <w:proofErr w:type="spellStart"/>
      <w:r w:rsidRPr="004229DC">
        <w:rPr>
          <w:lang w:val="es-ES_tradnl"/>
        </w:rPr>
        <w:t>CMSI</w:t>
      </w:r>
      <w:proofErr w:type="spellEnd"/>
      <w:r w:rsidRPr="004229DC">
        <w:rPr>
          <w:lang w:val="es-ES_tradnl"/>
        </w:rPr>
        <w:t xml:space="preserve">, por ejemplo, asumiendo el liderazgo de varias líneas de acción de la </w:t>
      </w:r>
      <w:proofErr w:type="spellStart"/>
      <w:r w:rsidRPr="004229DC">
        <w:rPr>
          <w:lang w:val="es-ES_tradnl"/>
        </w:rPr>
        <w:t>CMSI</w:t>
      </w:r>
      <w:proofErr w:type="spellEnd"/>
      <w:r w:rsidRPr="004229DC">
        <w:rPr>
          <w:lang w:val="es-ES_tradnl"/>
        </w:rPr>
        <w:t xml:space="preserve">, convocando el Foro de la </w:t>
      </w:r>
      <w:proofErr w:type="spellStart"/>
      <w:r w:rsidRPr="004229DC">
        <w:rPr>
          <w:lang w:val="es-ES_tradnl"/>
        </w:rPr>
        <w:t>CMSI</w:t>
      </w:r>
      <w:proofErr w:type="spellEnd"/>
      <w:r w:rsidRPr="004229DC">
        <w:rPr>
          <w:lang w:val="es-ES_tradnl"/>
        </w:rPr>
        <w:t xml:space="preserve">, realizando el mantenimiento de la plataforma de Inventario de la </w:t>
      </w:r>
      <w:proofErr w:type="spellStart"/>
      <w:r w:rsidRPr="004229DC">
        <w:rPr>
          <w:lang w:val="es-ES_tradnl"/>
        </w:rPr>
        <w:t>CMSI</w:t>
      </w:r>
      <w:proofErr w:type="spellEnd"/>
      <w:r w:rsidRPr="004229DC">
        <w:rPr>
          <w:lang w:val="es-ES_tradnl"/>
        </w:rPr>
        <w:t xml:space="preserve">, organizando los premios de la </w:t>
      </w:r>
      <w:proofErr w:type="spellStart"/>
      <w:r w:rsidRPr="004229DC">
        <w:rPr>
          <w:lang w:val="es-ES_tradnl"/>
        </w:rPr>
        <w:t>CMSI</w:t>
      </w:r>
      <w:proofErr w:type="spellEnd"/>
      <w:r w:rsidRPr="004229DC">
        <w:rPr>
          <w:lang w:val="es-ES_tradnl"/>
        </w:rPr>
        <w:t xml:space="preserve"> y ejerciendo las funciones de secretaría del Grupo de las Naciones Unidas sobre la Sociedad de la Información. Alienta la participación continua de múltiples partes interesadas, asociaciones más sólidas y mejores capacidades de datos y medición a fin de respaldar la elaboración y aplicación de una política digital basada en evidencias.</w:t>
      </w:r>
    </w:p>
    <w:p w14:paraId="335AA71E" w14:textId="77777777" w:rsidR="00064875" w:rsidRPr="004229DC" w:rsidRDefault="00064875" w:rsidP="00064875">
      <w:pPr>
        <w:jc w:val="both"/>
        <w:rPr>
          <w:lang w:val="es-ES_tradnl"/>
        </w:rPr>
      </w:pPr>
      <w:r w:rsidRPr="004229DC">
        <w:rPr>
          <w:lang w:val="es-ES_tradnl"/>
        </w:rPr>
        <w:t xml:space="preserve">La Resolución renovó el mandato de la </w:t>
      </w:r>
      <w:proofErr w:type="spellStart"/>
      <w:r w:rsidRPr="004229DC">
        <w:rPr>
          <w:lang w:val="es-ES_tradnl"/>
        </w:rPr>
        <w:t>CMSI</w:t>
      </w:r>
      <w:proofErr w:type="spellEnd"/>
      <w:r w:rsidRPr="004229DC">
        <w:rPr>
          <w:lang w:val="es-ES_tradnl"/>
        </w:rPr>
        <w:t xml:space="preserve"> al solicitar que la Asamblea General convoque en 2035 una reunión de alto nivel para examinar los progresos, evaluar los desafíos e identificar prioridades a fin de proseguir la aplicación de los resultados de la </w:t>
      </w:r>
      <w:proofErr w:type="spellStart"/>
      <w:r w:rsidRPr="004229DC">
        <w:rPr>
          <w:lang w:val="es-ES_tradnl"/>
        </w:rPr>
        <w:t>CMSI</w:t>
      </w:r>
      <w:proofErr w:type="spellEnd"/>
      <w:r w:rsidRPr="004229DC">
        <w:rPr>
          <w:lang w:val="es-ES_tradnl"/>
        </w:rPr>
        <w:t>, con la colaboración de todas las partes interesadas.</w:t>
      </w:r>
    </w:p>
    <w:p w14:paraId="37C9F44E" w14:textId="77777777" w:rsidR="00064875" w:rsidRPr="00794EAF" w:rsidRDefault="00064875" w:rsidP="00064875">
      <w:pPr>
        <w:jc w:val="both"/>
        <w:rPr>
          <w:spacing w:val="-2"/>
          <w:lang w:val="es-ES_tradnl"/>
        </w:rPr>
      </w:pPr>
      <w:r w:rsidRPr="00794EAF">
        <w:rPr>
          <w:spacing w:val="-2"/>
          <w:lang w:val="es-ES_tradnl"/>
        </w:rPr>
        <w:t xml:space="preserve">El documento final proporciona orientaciones de alto nivel sobre la aplicación de la </w:t>
      </w:r>
      <w:proofErr w:type="spellStart"/>
      <w:r w:rsidRPr="00794EAF">
        <w:rPr>
          <w:spacing w:val="-2"/>
          <w:lang w:val="es-ES_tradnl"/>
        </w:rPr>
        <w:t>CMSI</w:t>
      </w:r>
      <w:proofErr w:type="spellEnd"/>
      <w:r w:rsidRPr="00794EAF">
        <w:rPr>
          <w:spacing w:val="-2"/>
          <w:lang w:val="es-ES_tradnl"/>
        </w:rPr>
        <w:t xml:space="preserve"> después de 2025 y pide que la UIT adopte medidas de seguimiento, en consonancia con su mandato y teniendo en cuenta las orientaciones de sus Miembros. En el </w:t>
      </w:r>
      <w:hyperlink w:anchor="Annex" w:history="1">
        <w:r w:rsidRPr="00794EAF">
          <w:rPr>
            <w:color w:val="0563C1"/>
            <w:spacing w:val="-2"/>
            <w:u w:val="single"/>
            <w:lang w:val="es-ES_tradnl" w:eastAsia="en-GB"/>
          </w:rPr>
          <w:t>anex</w:t>
        </w:r>
      </w:hyperlink>
      <w:r w:rsidRPr="00794EAF">
        <w:rPr>
          <w:color w:val="0563C1"/>
          <w:spacing w:val="-2"/>
          <w:u w:val="single"/>
          <w:lang w:val="es-ES_tradnl" w:eastAsia="en-GB"/>
        </w:rPr>
        <w:t>o</w:t>
      </w:r>
      <w:r w:rsidRPr="00794EAF">
        <w:rPr>
          <w:spacing w:val="-2"/>
          <w:lang w:val="es-ES_tradnl"/>
        </w:rPr>
        <w:t xml:space="preserve"> figura la lista de párrafos (orientativa, no exhaustiva) que hacen referencia a la labor y las actividades de la UIT.</w:t>
      </w:r>
      <w:hyperlink w:anchor="Annex" w:history="1"/>
    </w:p>
    <w:p w14:paraId="59AE15F9" w14:textId="77777777" w:rsidR="00064875" w:rsidRPr="004229DC" w:rsidRDefault="00064875" w:rsidP="00EF5DF9">
      <w:pPr>
        <w:pStyle w:val="Heading1"/>
        <w:rPr>
          <w:rFonts w:cs="Calibri"/>
          <w:b w:val="0"/>
          <w:lang w:val="es-ES_tradnl"/>
        </w:rPr>
      </w:pPr>
      <w:r w:rsidRPr="004229DC">
        <w:rPr>
          <w:bCs/>
          <w:lang w:val="es-ES_tradnl"/>
        </w:rPr>
        <w:t>IV</w:t>
      </w:r>
      <w:r w:rsidRPr="004229DC">
        <w:rPr>
          <w:lang w:val="es-ES_tradnl"/>
        </w:rPr>
        <w:tab/>
      </w:r>
      <w:r w:rsidRPr="004229DC">
        <w:rPr>
          <w:bCs/>
          <w:lang w:val="es-ES_tradnl"/>
        </w:rPr>
        <w:t>Participación interinstitucional y de las Naciones Unidas en general: Grupo de las Naciones Unidas sobre la Sociedad de la Información, Grupo de Trabajo Interinstitucional sobre IA y Asociación para la medición de las TIC para el desarrollo</w:t>
      </w:r>
    </w:p>
    <w:p w14:paraId="068DCFCC" w14:textId="1FD74819" w:rsidR="00064875" w:rsidRPr="004229DC" w:rsidRDefault="00064875" w:rsidP="00064875">
      <w:pPr>
        <w:jc w:val="both"/>
        <w:rPr>
          <w:lang w:val="es-ES_tradnl"/>
        </w:rPr>
      </w:pPr>
      <w:r w:rsidRPr="004229DC">
        <w:rPr>
          <w:lang w:val="es-ES_tradnl"/>
        </w:rPr>
        <w:t xml:space="preserve">En la Resolución se insiste en continuar y reforzar la labor del Grupo de las Naciones Unidas sobre la Sociedad de la Información, ya que es el mecanismo interinstitucional del sistema de las Naciones Unidas para la cooperación digital, con la UIT ejerciendo las funciones de secretaría permanente. Pide que se aumente su agilidad, eficiencia y eficacia, que se amplíe su composición, que se fomente el diálogo multipartito, la creación de alianzas y el examen </w:t>
      </w:r>
      <w:r w:rsidRPr="004229DC">
        <w:rPr>
          <w:lang w:val="es-ES_tradnl"/>
        </w:rPr>
        <w:lastRenderedPageBreak/>
        <w:t xml:space="preserve">de los avances, al tiempo que alienta la colaboración del </w:t>
      </w:r>
      <w:proofErr w:type="spellStart"/>
      <w:r w:rsidRPr="004229DC">
        <w:rPr>
          <w:lang w:val="es-ES_tradnl"/>
        </w:rPr>
        <w:t>ECOSOC</w:t>
      </w:r>
      <w:proofErr w:type="spellEnd"/>
      <w:r w:rsidRPr="004229DC">
        <w:rPr>
          <w:lang w:val="es-ES_tradnl"/>
        </w:rPr>
        <w:t>, el Foro Político de Alto Nivel (</w:t>
      </w:r>
      <w:proofErr w:type="spellStart"/>
      <w:r w:rsidRPr="004229DC">
        <w:rPr>
          <w:lang w:val="es-ES_tradnl"/>
        </w:rPr>
        <w:t>FPAN</w:t>
      </w:r>
      <w:proofErr w:type="spellEnd"/>
      <w:r w:rsidRPr="004229DC">
        <w:rPr>
          <w:lang w:val="es-ES_tradnl"/>
        </w:rPr>
        <w:t xml:space="preserve">), la Comisión de Ciencia y Tecnología para el Desarrollo, el </w:t>
      </w:r>
      <w:proofErr w:type="spellStart"/>
      <w:r w:rsidRPr="004229DC">
        <w:rPr>
          <w:lang w:val="es-ES_tradnl"/>
        </w:rPr>
        <w:t>FGI</w:t>
      </w:r>
      <w:proofErr w:type="spellEnd"/>
      <w:r w:rsidRPr="004229DC">
        <w:rPr>
          <w:lang w:val="es-ES_tradnl"/>
        </w:rPr>
        <w:t xml:space="preserve"> y otros foros para integrar la transformación digital en el desarrollo sostenible. Se solicita al Grupo de las Naciones Unidas sobre la Sociedad de la Información que, en el marco de los mandatos existentes, prepare una hoja de ruta para la aplicación conjunta que se presentará a la Comisión de Ciencia y Tecnología para el Desarrollo en su per</w:t>
      </w:r>
      <w:r w:rsidR="00E27934" w:rsidRPr="004229DC">
        <w:rPr>
          <w:lang w:val="es-ES_tradnl"/>
        </w:rPr>
        <w:t>i</w:t>
      </w:r>
      <w:r w:rsidRPr="004229DC">
        <w:rPr>
          <w:lang w:val="es-ES_tradnl"/>
        </w:rPr>
        <w:t xml:space="preserve">odo de sesiones de 2026, de manera que se garantice la coherencia entre la </w:t>
      </w:r>
      <w:proofErr w:type="spellStart"/>
      <w:r w:rsidRPr="004229DC">
        <w:rPr>
          <w:lang w:val="es-ES_tradnl"/>
        </w:rPr>
        <w:t>CMSI</w:t>
      </w:r>
      <w:proofErr w:type="spellEnd"/>
      <w:r w:rsidRPr="004229DC">
        <w:rPr>
          <w:lang w:val="es-ES_tradnl"/>
        </w:rPr>
        <w:t xml:space="preserve"> y el Pacto Digital Global y un enfoque unificado y eficiente en el uso de los recursos en todo el sistema de las Naciones Unidas.</w:t>
      </w:r>
    </w:p>
    <w:p w14:paraId="09696C86" w14:textId="77777777" w:rsidR="00064875" w:rsidRPr="004229DC" w:rsidRDefault="00064875" w:rsidP="00064875">
      <w:pPr>
        <w:jc w:val="both"/>
        <w:rPr>
          <w:lang w:val="es-ES_tradnl"/>
        </w:rPr>
      </w:pPr>
      <w:r w:rsidRPr="004229DC">
        <w:rPr>
          <w:lang w:val="es-ES_tradnl"/>
        </w:rPr>
        <w:t xml:space="preserve">Además, se invita a la UIT, a los facilitadores de las líneas de acción de la </w:t>
      </w:r>
      <w:proofErr w:type="spellStart"/>
      <w:r w:rsidRPr="004229DC">
        <w:rPr>
          <w:lang w:val="es-ES_tradnl"/>
        </w:rPr>
        <w:t>CMSI</w:t>
      </w:r>
      <w:proofErr w:type="spellEnd"/>
      <w:r w:rsidRPr="004229DC">
        <w:rPr>
          <w:lang w:val="es-ES_tradnl"/>
        </w:rPr>
        <w:t xml:space="preserve"> y a otros miembros del Grupo de las Naciones Unidas sobre la Sociedad de la Información a crear un grupo de tareas interno que lleve a cabo una evaluación de las deficiencias en la financiación del desarrollo digital de los países en desarrollo y proponga recomendaciones al respecto, y se solicita a los facilitadores de las líneas de acción que preparen hojas de ruta de aplicación específicas que vinculen las líneas de acción de la </w:t>
      </w:r>
      <w:proofErr w:type="spellStart"/>
      <w:r w:rsidRPr="004229DC">
        <w:rPr>
          <w:lang w:val="es-ES_tradnl"/>
        </w:rPr>
        <w:t>CMSI</w:t>
      </w:r>
      <w:proofErr w:type="spellEnd"/>
      <w:r w:rsidRPr="004229DC">
        <w:rPr>
          <w:lang w:val="es-ES_tradnl"/>
        </w:rPr>
        <w:t xml:space="preserve"> con las metas de los Objetivos de Desarrollo Sostenible (ODS) y los compromisos del Pacto Digital Global, en particular los indicadores de seguimiento. Los resultados se comunicarán a la Comisión de Ciencia y Tecnología para el Desarrollo en su reunión de 2027.</w:t>
      </w:r>
    </w:p>
    <w:p w14:paraId="2C7518FD" w14:textId="77777777" w:rsidR="00064875" w:rsidRPr="004229DC" w:rsidRDefault="00064875" w:rsidP="00064875">
      <w:pPr>
        <w:jc w:val="both"/>
        <w:rPr>
          <w:lang w:val="es-ES_tradnl"/>
        </w:rPr>
      </w:pPr>
      <w:r w:rsidRPr="004229DC">
        <w:rPr>
          <w:lang w:val="es-ES_tradnl"/>
        </w:rPr>
        <w:t>En la Resolución se destaca la función de la Asociación para la Medición de las TIC para el Desarrollo, coordinada por la UIT con la Conferencia de las Naciones Unidas sobre Comercio y Desarrollo (UNCTAD) y el Departamento de Asuntos Económicos y Sociales (</w:t>
      </w:r>
      <w:proofErr w:type="spellStart"/>
      <w:r w:rsidRPr="004229DC">
        <w:rPr>
          <w:lang w:val="es-ES_tradnl"/>
        </w:rPr>
        <w:t>DAES</w:t>
      </w:r>
      <w:proofErr w:type="spellEnd"/>
      <w:r w:rsidRPr="004229DC">
        <w:rPr>
          <w:lang w:val="es-ES_tradnl"/>
        </w:rPr>
        <w:t>) de las Naciones Unidas, como mecanismo clave para el seguimiento de los progresos, y se pide a la Asociación que, en cooperación con los facilitadores de las líneas de acción y con el apoyo de la Comisión de Estadística, realice un examen sistemático de los indicadores y métodos existentes e informe de sus conclusiones a la Comisión de Ciencia y Tecnología para el Desarrollo en su reunión anual de 2027.</w:t>
      </w:r>
    </w:p>
    <w:p w14:paraId="234C6041" w14:textId="77777777" w:rsidR="00064875" w:rsidRPr="004229DC" w:rsidRDefault="00064875" w:rsidP="00064875">
      <w:pPr>
        <w:jc w:val="both"/>
        <w:rPr>
          <w:lang w:val="es-ES_tradnl"/>
        </w:rPr>
      </w:pPr>
      <w:r w:rsidRPr="004229DC">
        <w:rPr>
          <w:lang w:val="es-ES_tradnl"/>
        </w:rPr>
        <w:t xml:space="preserve">El Grupo de Trabajo Interinstitucional sobre IA de las Naciones Unidas, en consulta con los facilitadores de las líneas de acción de la </w:t>
      </w:r>
      <w:proofErr w:type="spellStart"/>
      <w:r w:rsidRPr="004229DC">
        <w:rPr>
          <w:lang w:val="es-ES_tradnl"/>
        </w:rPr>
        <w:t>CMSI</w:t>
      </w:r>
      <w:proofErr w:type="spellEnd"/>
      <w:r w:rsidRPr="004229DC">
        <w:rPr>
          <w:lang w:val="es-ES_tradnl"/>
        </w:rPr>
        <w:t>, tiene la tarea de cartografiar las iniciativas existentes de creación de capacidad en materia de IA de las Naciones Unidas, identificar las carencias y subsanarlas con becas, programas de investigación y el uso de las capacidades de las Naciones Unidas, prestando una atención especial a los países en desarrollo.</w:t>
      </w:r>
    </w:p>
    <w:p w14:paraId="441555E2" w14:textId="77777777" w:rsidR="00064875" w:rsidRPr="004229DC" w:rsidRDefault="00064875" w:rsidP="00064875">
      <w:pPr>
        <w:jc w:val="both"/>
        <w:rPr>
          <w:lang w:val="es-ES_tradnl"/>
        </w:rPr>
      </w:pPr>
      <w:r w:rsidRPr="004229DC">
        <w:rPr>
          <w:lang w:val="es-ES_tradnl"/>
        </w:rPr>
        <w:t>En la Resolución también se toma nota de la creación de un Panel Científico Internacional Independiente sobre IA de carácter multidisciplinario para realizar evaluaciones empíricas de los efectos, los riesgos y las oportunidades de la IA, y se acoge con satisfacción el Diálogo Mundial sobre la Gobernanza de la IA, en el que participan gobiernos y partes interesadas y cuyo primer informe se presentará durante el primer Diálogo Mundial de las Naciones Unidas sobre la Gobernanza de la IA en 2026.</w:t>
      </w:r>
    </w:p>
    <w:p w14:paraId="018CA8C1" w14:textId="77777777" w:rsidR="00064875" w:rsidRPr="004229DC" w:rsidRDefault="00064875" w:rsidP="00EF5DF9">
      <w:pPr>
        <w:pStyle w:val="Heading1"/>
        <w:rPr>
          <w:b w:val="0"/>
          <w:lang w:val="es-ES_tradnl"/>
        </w:rPr>
      </w:pPr>
      <w:r w:rsidRPr="004229DC">
        <w:rPr>
          <w:bCs/>
          <w:lang w:val="es-ES_tradnl"/>
        </w:rPr>
        <w:t>V</w:t>
      </w:r>
      <w:r w:rsidRPr="004229DC">
        <w:rPr>
          <w:lang w:val="es-ES_tradnl"/>
        </w:rPr>
        <w:tab/>
      </w:r>
      <w:r w:rsidRPr="004229DC">
        <w:rPr>
          <w:bCs/>
          <w:lang w:val="es-ES_tradnl"/>
        </w:rPr>
        <w:t xml:space="preserve">Contribución de la UIT al proceso de examen de la </w:t>
      </w:r>
      <w:proofErr w:type="spellStart"/>
      <w:r w:rsidRPr="004229DC">
        <w:rPr>
          <w:bCs/>
          <w:lang w:val="es-ES_tradnl"/>
        </w:rPr>
        <w:t>CMSI+20</w:t>
      </w:r>
      <w:proofErr w:type="spellEnd"/>
    </w:p>
    <w:p w14:paraId="0C32ABF0" w14:textId="0AA0486F" w:rsidR="00064875" w:rsidRPr="004229DC" w:rsidRDefault="00064875" w:rsidP="00064875">
      <w:pPr>
        <w:jc w:val="both"/>
        <w:rPr>
          <w:lang w:val="es-ES_tradnl"/>
        </w:rPr>
      </w:pPr>
      <w:r w:rsidRPr="004229DC">
        <w:rPr>
          <w:lang w:val="es-ES_tradnl"/>
        </w:rPr>
        <w:t xml:space="preserve">Como organismo especializado de las Naciones Unidas para las tecnologías digitales e institución fundadora del proceso de la </w:t>
      </w:r>
      <w:proofErr w:type="spellStart"/>
      <w:r w:rsidRPr="004229DC">
        <w:rPr>
          <w:lang w:val="es-ES_tradnl"/>
        </w:rPr>
        <w:t>CMSI</w:t>
      </w:r>
      <w:proofErr w:type="spellEnd"/>
      <w:r w:rsidRPr="004229DC">
        <w:rPr>
          <w:lang w:val="es-ES_tradnl"/>
        </w:rPr>
        <w:t xml:space="preserve">, la UIT desempeñó un papel fundamental durante todo el proceso de examen de la </w:t>
      </w:r>
      <w:proofErr w:type="spellStart"/>
      <w:r w:rsidRPr="004229DC">
        <w:rPr>
          <w:lang w:val="es-ES_tradnl"/>
        </w:rPr>
        <w:t>CMSI+20</w:t>
      </w:r>
      <w:proofErr w:type="spellEnd"/>
      <w:r w:rsidRPr="004229DC">
        <w:rPr>
          <w:lang w:val="es-ES_tradnl"/>
        </w:rPr>
        <w:t>. La Unión contribuyó y prestó apoyo activamente al proceso preparatorio dirigido por la Asamblea General de las Naciones Unidas (</w:t>
      </w:r>
      <w:proofErr w:type="spellStart"/>
      <w:r w:rsidRPr="004229DC">
        <w:rPr>
          <w:lang w:val="es-ES_tradnl"/>
        </w:rPr>
        <w:t>AGNU</w:t>
      </w:r>
      <w:proofErr w:type="spellEnd"/>
      <w:r w:rsidRPr="004229DC">
        <w:rPr>
          <w:lang w:val="es-ES_tradnl"/>
        </w:rPr>
        <w:t xml:space="preserve">), entre otras cosas mediante la colaboración con los </w:t>
      </w:r>
      <w:proofErr w:type="spellStart"/>
      <w:r w:rsidRPr="004229DC">
        <w:rPr>
          <w:lang w:val="es-ES_tradnl"/>
        </w:rPr>
        <w:t>cofacilitadores</w:t>
      </w:r>
      <w:proofErr w:type="spellEnd"/>
      <w:r w:rsidRPr="004229DC">
        <w:rPr>
          <w:lang w:val="es-ES_tradnl"/>
        </w:rPr>
        <w:t xml:space="preserve"> de la </w:t>
      </w:r>
      <w:proofErr w:type="spellStart"/>
      <w:r w:rsidRPr="004229DC">
        <w:rPr>
          <w:lang w:val="es-ES_tradnl"/>
        </w:rPr>
        <w:t>CMSI+20</w:t>
      </w:r>
      <w:proofErr w:type="spellEnd"/>
      <w:r w:rsidRPr="004229DC">
        <w:rPr>
          <w:lang w:val="es-ES_tradnl"/>
        </w:rPr>
        <w:t xml:space="preserve">, la participación en reuniones consultivas y la presentación de contribuciones sustantivas para el documento final de la </w:t>
      </w:r>
      <w:proofErr w:type="spellStart"/>
      <w:r w:rsidRPr="004229DC">
        <w:rPr>
          <w:lang w:val="es-ES_tradnl"/>
        </w:rPr>
        <w:t>CMSI+20</w:t>
      </w:r>
      <w:proofErr w:type="spellEnd"/>
      <w:r w:rsidRPr="004229DC">
        <w:rPr>
          <w:lang w:val="es-ES_tradnl"/>
        </w:rPr>
        <w:t xml:space="preserve">, como se indica </w:t>
      </w:r>
      <w:hyperlink r:id="rId46" w:history="1">
        <w:r w:rsidRPr="004229DC">
          <w:rPr>
            <w:rStyle w:val="Hyperlink"/>
            <w:lang w:val="es-ES_tradnl"/>
          </w:rPr>
          <w:t>aquí</w:t>
        </w:r>
      </w:hyperlink>
      <w:r w:rsidRPr="004229DC">
        <w:rPr>
          <w:lang w:val="es-ES_tradnl"/>
        </w:rPr>
        <w:t xml:space="preserve">, en la página dedicada a la Secretaría de la </w:t>
      </w:r>
      <w:proofErr w:type="spellStart"/>
      <w:r w:rsidRPr="004229DC">
        <w:rPr>
          <w:lang w:val="es-ES_tradnl"/>
        </w:rPr>
        <w:t>CMSI+20</w:t>
      </w:r>
      <w:proofErr w:type="spellEnd"/>
      <w:r w:rsidRPr="004229DC">
        <w:rPr>
          <w:lang w:val="es-ES_tradnl"/>
        </w:rPr>
        <w:t xml:space="preserve">. La UIT se inspiró en el documento </w:t>
      </w:r>
      <w:hyperlink r:id="rId47" w:history="1">
        <w:r w:rsidRPr="004229DC">
          <w:rPr>
            <w:rStyle w:val="Hyperlink"/>
            <w:i/>
            <w:iCs/>
            <w:lang w:val="es-ES_tradnl"/>
          </w:rPr>
          <w:t xml:space="preserve">Cumbre Mundial sobre la Sociedad de la </w:t>
        </w:r>
        <w:r w:rsidRPr="004229DC">
          <w:rPr>
            <w:rStyle w:val="Hyperlink"/>
            <w:i/>
            <w:iCs/>
            <w:lang w:val="es-ES_tradnl"/>
          </w:rPr>
          <w:lastRenderedPageBreak/>
          <w:t>Información (</w:t>
        </w:r>
        <w:proofErr w:type="spellStart"/>
        <w:r w:rsidRPr="004229DC">
          <w:rPr>
            <w:rStyle w:val="Hyperlink"/>
            <w:i/>
            <w:iCs/>
            <w:lang w:val="es-ES_tradnl"/>
          </w:rPr>
          <w:t>CMSI</w:t>
        </w:r>
        <w:proofErr w:type="spellEnd"/>
        <w:r w:rsidRPr="004229DC">
          <w:rPr>
            <w:rStyle w:val="Hyperlink"/>
            <w:i/>
            <w:iCs/>
            <w:lang w:val="es-ES_tradnl"/>
          </w:rPr>
          <w:t xml:space="preserve">)+20: la </w:t>
        </w:r>
        <w:proofErr w:type="spellStart"/>
        <w:r w:rsidRPr="004229DC">
          <w:rPr>
            <w:rStyle w:val="Hyperlink"/>
            <w:i/>
            <w:iCs/>
            <w:lang w:val="es-ES_tradnl"/>
          </w:rPr>
          <w:t>CMSI</w:t>
        </w:r>
        <w:proofErr w:type="spellEnd"/>
        <w:r w:rsidRPr="004229DC">
          <w:rPr>
            <w:rStyle w:val="Hyperlink"/>
            <w:i/>
            <w:iCs/>
            <w:lang w:val="es-ES_tradnl"/>
          </w:rPr>
          <w:t xml:space="preserve"> después de 2025. Hoja de ruta de la </w:t>
        </w:r>
        <w:proofErr w:type="spellStart"/>
        <w:r w:rsidRPr="004229DC">
          <w:rPr>
            <w:rStyle w:val="Hyperlink"/>
            <w:i/>
            <w:iCs/>
            <w:lang w:val="es-ES_tradnl"/>
          </w:rPr>
          <w:t>CMSI+20</w:t>
        </w:r>
        <w:proofErr w:type="spellEnd"/>
        <w:r w:rsidRPr="004229DC">
          <w:rPr>
            <w:rStyle w:val="Hyperlink"/>
            <w:lang w:val="es-ES_tradnl"/>
          </w:rPr>
          <w:t xml:space="preserve"> del entonces Secretario General de la UIT</w:t>
        </w:r>
      </w:hyperlink>
      <w:r w:rsidRPr="004229DC">
        <w:rPr>
          <w:lang w:val="es-ES_tradnl"/>
        </w:rPr>
        <w:t xml:space="preserve">, en el que se detalla la orientación estratégica de la función de la UIT en el proceso de examen de la </w:t>
      </w:r>
      <w:proofErr w:type="spellStart"/>
      <w:r w:rsidRPr="004229DC">
        <w:rPr>
          <w:lang w:val="es-ES_tradnl"/>
        </w:rPr>
        <w:t>CMSI+20</w:t>
      </w:r>
      <w:proofErr w:type="spellEnd"/>
      <w:r w:rsidRPr="004229DC">
        <w:rPr>
          <w:lang w:val="es-ES_tradnl"/>
        </w:rPr>
        <w:t xml:space="preserve"> y sus actividades preparatorias.</w:t>
      </w:r>
      <w:hyperlink r:id="rId48" w:history="1"/>
      <w:hyperlink r:id="rId49" w:history="1"/>
    </w:p>
    <w:p w14:paraId="0EFAD608" w14:textId="77777777" w:rsidR="00064875" w:rsidRPr="00794EAF" w:rsidRDefault="00064875" w:rsidP="00064875">
      <w:pPr>
        <w:jc w:val="both"/>
        <w:rPr>
          <w:spacing w:val="-2"/>
          <w:lang w:val="es-ES_tradnl"/>
        </w:rPr>
      </w:pPr>
      <w:r w:rsidRPr="00794EAF">
        <w:rPr>
          <w:spacing w:val="-2"/>
          <w:lang w:val="es-ES_tradnl"/>
        </w:rPr>
        <w:t xml:space="preserve">El Secretario General proporcionó una dirección estratégica durante todo el proceso de examen de la </w:t>
      </w:r>
      <w:proofErr w:type="spellStart"/>
      <w:r w:rsidRPr="00794EAF">
        <w:rPr>
          <w:spacing w:val="-2"/>
          <w:lang w:val="es-ES_tradnl"/>
        </w:rPr>
        <w:t>CMSI+20</w:t>
      </w:r>
      <w:proofErr w:type="spellEnd"/>
      <w:r w:rsidRPr="00794EAF">
        <w:rPr>
          <w:spacing w:val="-2"/>
          <w:lang w:val="es-ES_tradnl"/>
        </w:rPr>
        <w:t xml:space="preserve">, de conformidad con la Resolución 140 (Rev. Bucarest, 2022) de la Conferencia de Plenipotenciarios y la Resolución 1332 (mod. 2024) y 1334 (mod. 2023), y preparó y presentó el informe </w:t>
      </w:r>
      <w:hyperlink r:id="rId50" w:history="1">
        <w:proofErr w:type="spellStart"/>
        <w:r w:rsidRPr="00794EAF">
          <w:rPr>
            <w:rStyle w:val="Hyperlink"/>
            <w:i/>
            <w:iCs/>
            <w:spacing w:val="-2"/>
            <w:lang w:val="es-ES_tradnl"/>
          </w:rPr>
          <w:t>WSIS+20</w:t>
        </w:r>
        <w:proofErr w:type="spellEnd"/>
        <w:r w:rsidRPr="00794EAF">
          <w:rPr>
            <w:rStyle w:val="Hyperlink"/>
            <w:i/>
            <w:iCs/>
            <w:spacing w:val="-2"/>
            <w:lang w:val="es-ES_tradnl"/>
          </w:rPr>
          <w:t xml:space="preserve"> </w:t>
        </w:r>
        <w:proofErr w:type="spellStart"/>
        <w:r w:rsidRPr="00794EAF">
          <w:rPr>
            <w:rStyle w:val="Hyperlink"/>
            <w:i/>
            <w:iCs/>
            <w:spacing w:val="-2"/>
            <w:lang w:val="es-ES_tradnl"/>
          </w:rPr>
          <w:t>Report</w:t>
        </w:r>
        <w:proofErr w:type="spellEnd"/>
        <w:r w:rsidRPr="00794EAF">
          <w:rPr>
            <w:rStyle w:val="Hyperlink"/>
            <w:i/>
            <w:iCs/>
            <w:spacing w:val="-2"/>
            <w:lang w:val="es-ES_tradnl"/>
          </w:rPr>
          <w:t xml:space="preserve">: Building a Digital Future for </w:t>
        </w:r>
        <w:proofErr w:type="spellStart"/>
        <w:r w:rsidRPr="00794EAF">
          <w:rPr>
            <w:rStyle w:val="Hyperlink"/>
            <w:i/>
            <w:iCs/>
            <w:spacing w:val="-2"/>
            <w:lang w:val="es-ES_tradnl"/>
          </w:rPr>
          <w:t>All</w:t>
        </w:r>
        <w:proofErr w:type="spellEnd"/>
      </w:hyperlink>
      <w:r w:rsidRPr="00794EAF">
        <w:rPr>
          <w:spacing w:val="-2"/>
          <w:lang w:val="es-ES_tradnl"/>
        </w:rPr>
        <w:t xml:space="preserve"> al examen de la </w:t>
      </w:r>
      <w:proofErr w:type="spellStart"/>
      <w:r w:rsidRPr="00794EAF">
        <w:rPr>
          <w:spacing w:val="-2"/>
          <w:lang w:val="es-ES_tradnl"/>
        </w:rPr>
        <w:t>CMSI+20</w:t>
      </w:r>
      <w:proofErr w:type="spellEnd"/>
      <w:r w:rsidRPr="00794EAF">
        <w:rPr>
          <w:spacing w:val="-2"/>
          <w:lang w:val="es-ES_tradnl"/>
        </w:rPr>
        <w:t xml:space="preserve"> dirigido por la </w:t>
      </w:r>
      <w:proofErr w:type="spellStart"/>
      <w:r w:rsidRPr="00794EAF">
        <w:rPr>
          <w:spacing w:val="-2"/>
          <w:lang w:val="es-ES_tradnl"/>
        </w:rPr>
        <w:t>AGNU</w:t>
      </w:r>
      <w:proofErr w:type="spellEnd"/>
      <w:r w:rsidRPr="00794EAF">
        <w:rPr>
          <w:spacing w:val="-2"/>
          <w:lang w:val="es-ES_tradnl"/>
        </w:rPr>
        <w:t xml:space="preserve">, que documenta dos decenios de aplicación de la </w:t>
      </w:r>
      <w:proofErr w:type="spellStart"/>
      <w:r w:rsidRPr="00794EAF">
        <w:rPr>
          <w:spacing w:val="-2"/>
          <w:lang w:val="es-ES_tradnl"/>
        </w:rPr>
        <w:t>CMSI</w:t>
      </w:r>
      <w:proofErr w:type="spellEnd"/>
      <w:r w:rsidRPr="00794EAF">
        <w:rPr>
          <w:spacing w:val="-2"/>
          <w:lang w:val="es-ES_tradnl"/>
        </w:rPr>
        <w:t xml:space="preserve"> y las contribuciones de la UIT en materia de políticas, asistencia técnica, capacitación, datos y asociaciones. </w:t>
      </w:r>
      <w:hyperlink r:id="rId51" w:history="1"/>
    </w:p>
    <w:p w14:paraId="47F1A698" w14:textId="77777777" w:rsidR="00064875" w:rsidRPr="004229DC" w:rsidRDefault="00064875" w:rsidP="00064875">
      <w:pPr>
        <w:jc w:val="both"/>
        <w:rPr>
          <w:lang w:val="es-ES_tradnl"/>
        </w:rPr>
      </w:pPr>
      <w:r w:rsidRPr="004229DC">
        <w:rPr>
          <w:lang w:val="es-ES_tradnl"/>
        </w:rPr>
        <w:t xml:space="preserve">El Presidente del </w:t>
      </w:r>
      <w:proofErr w:type="spellStart"/>
      <w:r w:rsidRPr="004229DC">
        <w:rPr>
          <w:lang w:val="es-ES_tradnl"/>
        </w:rPr>
        <w:t>GTC-CMSI+ODS</w:t>
      </w:r>
      <w:proofErr w:type="spellEnd"/>
      <w:r w:rsidRPr="004229DC">
        <w:rPr>
          <w:lang w:val="es-ES_tradnl"/>
        </w:rPr>
        <w:t xml:space="preserve"> transmitió el resumen de la </w:t>
      </w:r>
      <w:hyperlink r:id="rId52" w:history="1">
        <w:r w:rsidRPr="004229DC">
          <w:rPr>
            <w:rStyle w:val="Hyperlink"/>
            <w:lang w:val="es-ES_tradnl"/>
          </w:rPr>
          <w:t xml:space="preserve">solicitud de contribuciones de la UIT sobre el examen de la </w:t>
        </w:r>
        <w:proofErr w:type="spellStart"/>
        <w:r w:rsidRPr="004229DC">
          <w:rPr>
            <w:rStyle w:val="Hyperlink"/>
            <w:lang w:val="es-ES_tradnl"/>
          </w:rPr>
          <w:t>CMSI+20</w:t>
        </w:r>
        <w:proofErr w:type="spellEnd"/>
      </w:hyperlink>
      <w:r w:rsidRPr="004229DC">
        <w:rPr>
          <w:lang w:val="es-ES_tradnl"/>
        </w:rPr>
        <w:t xml:space="preserve">, coordinada a través del Grupo de Trabajo del Consejo sobre la </w:t>
      </w:r>
      <w:proofErr w:type="spellStart"/>
      <w:r w:rsidRPr="004229DC">
        <w:rPr>
          <w:lang w:val="es-ES_tradnl"/>
        </w:rPr>
        <w:t>CMSI</w:t>
      </w:r>
      <w:proofErr w:type="spellEnd"/>
      <w:r w:rsidRPr="004229DC">
        <w:rPr>
          <w:lang w:val="es-ES_tradnl"/>
        </w:rPr>
        <w:t xml:space="preserve"> y los ODS, al examen de la </w:t>
      </w:r>
      <w:proofErr w:type="spellStart"/>
      <w:r w:rsidRPr="004229DC">
        <w:rPr>
          <w:lang w:val="es-ES_tradnl"/>
        </w:rPr>
        <w:t>CMSI+20</w:t>
      </w:r>
      <w:proofErr w:type="spellEnd"/>
      <w:r w:rsidRPr="004229DC">
        <w:rPr>
          <w:lang w:val="es-ES_tradnl"/>
        </w:rPr>
        <w:t xml:space="preserve"> dirigido por la </w:t>
      </w:r>
      <w:proofErr w:type="spellStart"/>
      <w:r w:rsidRPr="004229DC">
        <w:rPr>
          <w:lang w:val="es-ES_tradnl"/>
        </w:rPr>
        <w:t>AGNU</w:t>
      </w:r>
      <w:proofErr w:type="spellEnd"/>
      <w:r w:rsidRPr="004229DC">
        <w:rPr>
          <w:lang w:val="es-ES_tradnl"/>
        </w:rPr>
        <w:t xml:space="preserve">, asegurando que las diversas perspectivas de los gobiernos y las partes interesadas quedaran reflejadas y contribuyeran al proceso general. Bajo la dirección del Presidente y con el apoyo de los Vicepresidentes y la Secretaría, el </w:t>
      </w:r>
      <w:proofErr w:type="spellStart"/>
      <w:r w:rsidRPr="004229DC">
        <w:rPr>
          <w:lang w:val="es-ES_tradnl"/>
        </w:rPr>
        <w:t>GTC</w:t>
      </w:r>
      <w:proofErr w:type="spellEnd"/>
      <w:r w:rsidRPr="004229DC">
        <w:rPr>
          <w:lang w:val="es-ES_tradnl"/>
        </w:rPr>
        <w:t xml:space="preserve"> fue la plataforma principal para la supervisión, coordinación y consulta de las contribuciones de la UIT relacionadas con la </w:t>
      </w:r>
      <w:proofErr w:type="spellStart"/>
      <w:r w:rsidRPr="004229DC">
        <w:rPr>
          <w:lang w:val="es-ES_tradnl"/>
        </w:rPr>
        <w:t>CMSI</w:t>
      </w:r>
      <w:proofErr w:type="spellEnd"/>
      <w:r w:rsidRPr="004229DC">
        <w:rPr>
          <w:lang w:val="es-ES_tradnl"/>
        </w:rPr>
        <w:t>.</w:t>
      </w:r>
      <w:hyperlink r:id="rId53" w:history="1"/>
    </w:p>
    <w:p w14:paraId="1C90E176" w14:textId="77777777" w:rsidR="00064875" w:rsidRPr="004229DC" w:rsidRDefault="00064875" w:rsidP="00EF5DF9">
      <w:pPr>
        <w:pStyle w:val="Heading1"/>
        <w:rPr>
          <w:b w:val="0"/>
          <w:lang w:val="es-ES_tradnl"/>
        </w:rPr>
      </w:pPr>
      <w:r w:rsidRPr="004229DC">
        <w:rPr>
          <w:bCs/>
          <w:lang w:val="es-ES_tradnl"/>
        </w:rPr>
        <w:t>VI</w:t>
      </w:r>
      <w:r w:rsidRPr="004229DC">
        <w:rPr>
          <w:lang w:val="es-ES_tradnl"/>
        </w:rPr>
        <w:tab/>
      </w:r>
      <w:r w:rsidRPr="004229DC">
        <w:rPr>
          <w:bCs/>
          <w:lang w:val="es-ES_tradnl"/>
        </w:rPr>
        <w:t xml:space="preserve">Contribuciones de la UIT a los actos paralelos durante la reunión de alto nivel de la </w:t>
      </w:r>
      <w:proofErr w:type="spellStart"/>
      <w:r w:rsidRPr="004229DC">
        <w:rPr>
          <w:bCs/>
          <w:lang w:val="es-ES_tradnl"/>
        </w:rPr>
        <w:t>CMSI+20</w:t>
      </w:r>
      <w:proofErr w:type="spellEnd"/>
      <w:r w:rsidRPr="004229DC">
        <w:rPr>
          <w:bCs/>
          <w:lang w:val="es-ES_tradnl"/>
        </w:rPr>
        <w:t xml:space="preserve"> de la </w:t>
      </w:r>
      <w:proofErr w:type="spellStart"/>
      <w:r w:rsidRPr="004229DC">
        <w:rPr>
          <w:bCs/>
          <w:lang w:val="es-ES_tradnl"/>
        </w:rPr>
        <w:t>AGNU</w:t>
      </w:r>
      <w:proofErr w:type="spellEnd"/>
    </w:p>
    <w:p w14:paraId="7D262B8E" w14:textId="77777777" w:rsidR="00064875" w:rsidRPr="004229DC" w:rsidRDefault="00064875" w:rsidP="00DE7838">
      <w:pPr>
        <w:jc w:val="both"/>
        <w:rPr>
          <w:lang w:val="es-ES_tradnl"/>
        </w:rPr>
      </w:pPr>
      <w:r w:rsidRPr="004229DC">
        <w:rPr>
          <w:lang w:val="es-ES_tradnl"/>
        </w:rPr>
        <w:t>La UIT organizó los siguientes eventos paralelos a la reunión de alto nivel:</w:t>
      </w:r>
    </w:p>
    <w:p w14:paraId="3C61CF90" w14:textId="737FD68C" w:rsidR="00064875" w:rsidRPr="004229DC" w:rsidRDefault="00064875" w:rsidP="00064875">
      <w:pPr>
        <w:spacing w:before="86"/>
        <w:ind w:left="567" w:hanging="567"/>
        <w:jc w:val="both"/>
        <w:rPr>
          <w:lang w:val="es-ES_tradnl"/>
        </w:rPr>
      </w:pPr>
      <w:r w:rsidRPr="004229DC">
        <w:rPr>
          <w:lang w:val="es-ES_tradnl"/>
        </w:rPr>
        <w:t>–</w:t>
      </w:r>
      <w:r w:rsidRPr="004229DC">
        <w:rPr>
          <w:lang w:val="es-ES_tradnl"/>
        </w:rPr>
        <w:tab/>
      </w:r>
      <w:hyperlink r:id="rId54" w:history="1">
        <w:r w:rsidRPr="004229DC">
          <w:rPr>
            <w:rStyle w:val="Hyperlink"/>
            <w:lang w:val="es-ES_tradnl"/>
          </w:rPr>
          <w:t>La celebración de los 20 años y los futuros hitos conjuntos</w:t>
        </w:r>
      </w:hyperlink>
      <w:r w:rsidRPr="004229DC">
        <w:rPr>
          <w:lang w:val="es-ES_tradnl"/>
        </w:rPr>
        <w:t xml:space="preserve"> – 15 de diciembre, sede del Programa de las Naciones Unidas (PNUD) para el Desarrollo, Nueva York. Organizado por: UIT, PNUD, Organización de las Naciones Unidas para la Educación, la Ciencia y la Cultura (UNESCO), Suiza.</w:t>
      </w:r>
      <w:hyperlink r:id="rId55" w:history="1"/>
    </w:p>
    <w:p w14:paraId="0F648D39" w14:textId="75B002BF" w:rsidR="00064875" w:rsidRPr="004229DC" w:rsidRDefault="00064875" w:rsidP="00DE7838">
      <w:pPr>
        <w:spacing w:before="86"/>
        <w:ind w:left="567" w:hanging="567"/>
        <w:jc w:val="both"/>
        <w:rPr>
          <w:lang w:val="es-ES_tradnl"/>
        </w:rPr>
      </w:pPr>
      <w:r w:rsidRPr="004229DC">
        <w:rPr>
          <w:lang w:val="es-ES_tradnl"/>
        </w:rPr>
        <w:t>–</w:t>
      </w:r>
      <w:r w:rsidRPr="004229DC">
        <w:rPr>
          <w:lang w:val="es-ES_tradnl"/>
        </w:rPr>
        <w:tab/>
      </w:r>
      <w:hyperlink r:id="rId56" w:history="1">
        <w:r w:rsidRPr="004229DC">
          <w:rPr>
            <w:rStyle w:val="Hyperlink"/>
            <w:lang w:val="es-ES_tradnl"/>
          </w:rPr>
          <w:t>Las Naciones Unidas en acción en favor de la cooperación digital</w:t>
        </w:r>
      </w:hyperlink>
      <w:r w:rsidRPr="004229DC">
        <w:rPr>
          <w:lang w:val="es-ES_tradnl"/>
        </w:rPr>
        <w:t xml:space="preserve"> – 15 de diciembre, sede del PNUD, Nueva York. Organizado por: UIT, UNCTAD, PNUD, UNESCO, Comisión Económica y Social para Asia Occidental, en colaboración con miembros del Grupo de las Naciones Unidas sobre la Sociedad de la Información.</w:t>
      </w:r>
      <w:hyperlink r:id="rId57" w:history="1"/>
    </w:p>
    <w:p w14:paraId="1F8A893E" w14:textId="77777777" w:rsidR="00064875" w:rsidRPr="004229DC" w:rsidRDefault="00064875" w:rsidP="00064875">
      <w:pPr>
        <w:jc w:val="both"/>
        <w:rPr>
          <w:lang w:val="es-ES_tradnl"/>
        </w:rPr>
      </w:pPr>
      <w:r w:rsidRPr="004229DC">
        <w:rPr>
          <w:lang w:val="es-ES_tradnl"/>
        </w:rPr>
        <w:t>Estas sesiones, que se celebraron en formato híbrido en la sede del PNUD en Nueva York, ofrecieron una plataforma para que los Estados Miembros, las entidades de las Naciones Unidas y las partes interesadas compartieran experiencias y debatieran las prioridades para avanzar en la cooperación digital mundial.</w:t>
      </w:r>
    </w:p>
    <w:p w14:paraId="20BFD895" w14:textId="51547490" w:rsidR="00064875" w:rsidRPr="004229DC" w:rsidRDefault="00064875" w:rsidP="00064875">
      <w:pPr>
        <w:jc w:val="both"/>
        <w:rPr>
          <w:lang w:val="es-ES_tradnl"/>
        </w:rPr>
      </w:pPr>
      <w:r w:rsidRPr="004229DC">
        <w:rPr>
          <w:lang w:val="es-ES_tradnl"/>
        </w:rPr>
        <w:t xml:space="preserve">Además, la UIT organizó una </w:t>
      </w:r>
      <w:hyperlink r:id="rId58" w:anchor="/es" w:history="1">
        <w:r w:rsidRPr="004229DC">
          <w:rPr>
            <w:rStyle w:val="Hyperlink"/>
            <w:lang w:val="es-ES_tradnl"/>
          </w:rPr>
          <w:t xml:space="preserve">edición especial </w:t>
        </w:r>
        <w:proofErr w:type="spellStart"/>
        <w:r w:rsidRPr="004229DC">
          <w:rPr>
            <w:rStyle w:val="Hyperlink"/>
            <w:lang w:val="es-ES_tradnl"/>
          </w:rPr>
          <w:t>CMSI+20</w:t>
        </w:r>
        <w:proofErr w:type="spellEnd"/>
        <w:r w:rsidRPr="004229DC">
          <w:rPr>
            <w:rStyle w:val="Hyperlink"/>
            <w:lang w:val="es-ES_tradnl"/>
          </w:rPr>
          <w:t xml:space="preserve"> de </w:t>
        </w:r>
        <w:proofErr w:type="spellStart"/>
        <w:r w:rsidRPr="004229DC">
          <w:rPr>
            <w:rStyle w:val="Hyperlink"/>
            <w:lang w:val="es-ES_tradnl"/>
          </w:rPr>
          <w:t>Digital@UNGA</w:t>
        </w:r>
        <w:proofErr w:type="spellEnd"/>
        <w:r w:rsidRPr="004229DC">
          <w:rPr>
            <w:rStyle w:val="Hyperlink"/>
            <w:lang w:val="es-ES_tradnl"/>
          </w:rPr>
          <w:t xml:space="preserve"> 2025</w:t>
        </w:r>
      </w:hyperlink>
      <w:r w:rsidRPr="004229DC">
        <w:rPr>
          <w:lang w:val="es-ES_tradnl"/>
        </w:rPr>
        <w:t xml:space="preserve">, en asociación con el PNUD, con el tema "Celebrando dos décadas de progreso digital en favor de las personas y la prosperidad". El evento mostró la manera en que las tecnologías digitales se están apoyando en el marco de la </w:t>
      </w:r>
      <w:proofErr w:type="spellStart"/>
      <w:r w:rsidRPr="004229DC">
        <w:rPr>
          <w:lang w:val="es-ES_tradnl"/>
        </w:rPr>
        <w:t>CMSI</w:t>
      </w:r>
      <w:proofErr w:type="spellEnd"/>
      <w:r w:rsidRPr="004229DC">
        <w:rPr>
          <w:lang w:val="es-ES_tradnl"/>
        </w:rPr>
        <w:t xml:space="preserve"> para impulsar el desarrollo sostenible en los ámbitos de la educación, la salud, la conectividad, los servicios públicos y la inclusión económica. También destacó el papel de la colaboración de múltiples partes interesadas, con iniciativas como la Coalición Digital </w:t>
      </w:r>
      <w:proofErr w:type="spellStart"/>
      <w:r w:rsidRPr="004229DC">
        <w:rPr>
          <w:lang w:val="es-ES_tradnl"/>
        </w:rPr>
        <w:t>Partner2Connect</w:t>
      </w:r>
      <w:proofErr w:type="spellEnd"/>
      <w:r w:rsidRPr="004229DC">
        <w:rPr>
          <w:lang w:val="es-ES_tradnl"/>
        </w:rPr>
        <w:t xml:space="preserve"> de la UIT, para movilizar recursos, asociaciones y compromisos a fin de lograr una conectividad universal y efectiva. </w:t>
      </w:r>
      <w:hyperlink r:id="rId59" w:history="1"/>
    </w:p>
    <w:p w14:paraId="7AE4836C" w14:textId="77777777" w:rsidR="00064875" w:rsidRPr="004229DC" w:rsidRDefault="00064875" w:rsidP="00064875">
      <w:pPr>
        <w:jc w:val="both"/>
        <w:rPr>
          <w:lang w:val="es-ES_tradnl"/>
        </w:rPr>
      </w:pPr>
      <w:r w:rsidRPr="004229DC">
        <w:rPr>
          <w:lang w:val="es-ES_tradnl"/>
        </w:rPr>
        <w:t xml:space="preserve">Además, la UIT contribuyó activamente a una gran variedad de actos paralelos relacionados con la </w:t>
      </w:r>
      <w:proofErr w:type="spellStart"/>
      <w:r w:rsidRPr="004229DC">
        <w:rPr>
          <w:lang w:val="es-ES_tradnl"/>
        </w:rPr>
        <w:t>CMSI+20</w:t>
      </w:r>
      <w:proofErr w:type="spellEnd"/>
      <w:r w:rsidRPr="004229DC">
        <w:rPr>
          <w:lang w:val="es-ES_tradnl"/>
        </w:rPr>
        <w:t xml:space="preserve"> y organizados por organismos de las Naciones Unidas y partes interesadas, mediante organización conjunta e intervenciones sustantivas entre otras cosas. La lista completa de actos paralelos puede consultarse </w:t>
      </w:r>
      <w:hyperlink r:id="rId60" w:history="1">
        <w:r w:rsidRPr="004229DC">
          <w:rPr>
            <w:rStyle w:val="Hyperlink"/>
            <w:lang w:val="es-ES_tradnl"/>
          </w:rPr>
          <w:t>aquí</w:t>
        </w:r>
      </w:hyperlink>
      <w:r w:rsidRPr="004229DC">
        <w:rPr>
          <w:lang w:val="es-ES_tradnl"/>
        </w:rPr>
        <w:t>.</w:t>
      </w:r>
      <w:hyperlink r:id="rId61" w:history="1"/>
    </w:p>
    <w:p w14:paraId="2B92C863" w14:textId="3A8C7E73" w:rsidR="00064875" w:rsidRPr="004229DC" w:rsidRDefault="00064875" w:rsidP="00EF5DF9">
      <w:pPr>
        <w:pStyle w:val="Heading1"/>
        <w:rPr>
          <w:b w:val="0"/>
          <w:lang w:val="es-ES_tradnl"/>
        </w:rPr>
      </w:pPr>
      <w:r w:rsidRPr="004229DC">
        <w:rPr>
          <w:bCs/>
          <w:lang w:val="es-ES_tradnl"/>
        </w:rPr>
        <w:lastRenderedPageBreak/>
        <w:t>VII</w:t>
      </w:r>
      <w:r w:rsidRPr="004229DC">
        <w:rPr>
          <w:lang w:val="es-ES_tradnl"/>
        </w:rPr>
        <w:tab/>
      </w:r>
      <w:r w:rsidR="00EE6767" w:rsidRPr="004229DC">
        <w:rPr>
          <w:bCs/>
          <w:lang w:val="es-ES_tradnl"/>
        </w:rPr>
        <w:t>Próximos pasos</w:t>
      </w:r>
    </w:p>
    <w:p w14:paraId="391E4513" w14:textId="53CA749D" w:rsidR="00064875" w:rsidRPr="00794EAF" w:rsidRDefault="00064875" w:rsidP="00064875">
      <w:pPr>
        <w:jc w:val="both"/>
        <w:rPr>
          <w:spacing w:val="-2"/>
          <w:lang w:val="es-ES_tradnl"/>
        </w:rPr>
      </w:pPr>
      <w:r w:rsidRPr="00794EAF">
        <w:rPr>
          <w:spacing w:val="-2"/>
          <w:lang w:val="es-ES_tradnl"/>
        </w:rPr>
        <w:t xml:space="preserve">Los resultados de la reunión de alto nivel de la </w:t>
      </w:r>
      <w:proofErr w:type="spellStart"/>
      <w:r w:rsidRPr="00794EAF">
        <w:rPr>
          <w:spacing w:val="-2"/>
          <w:lang w:val="es-ES_tradnl"/>
        </w:rPr>
        <w:t>CMSI+20</w:t>
      </w:r>
      <w:proofErr w:type="spellEnd"/>
      <w:r w:rsidRPr="00794EAF">
        <w:rPr>
          <w:spacing w:val="-2"/>
          <w:lang w:val="es-ES_tradnl"/>
        </w:rPr>
        <w:t xml:space="preserve"> establecen un mandato y una orientación estratégica renovados para que la UIT continúe liderando la aplicación de la </w:t>
      </w:r>
      <w:proofErr w:type="spellStart"/>
      <w:r w:rsidRPr="00794EAF">
        <w:rPr>
          <w:spacing w:val="-2"/>
          <w:lang w:val="es-ES_tradnl"/>
        </w:rPr>
        <w:t>CMSI</w:t>
      </w:r>
      <w:proofErr w:type="spellEnd"/>
      <w:r w:rsidRPr="00794EAF">
        <w:rPr>
          <w:spacing w:val="-2"/>
          <w:lang w:val="es-ES_tradnl"/>
        </w:rPr>
        <w:t xml:space="preserve">. La Secretaría reflejará la Resolución adoptada en las próximas actualizaciones de los informes y las hojas de ruta relacionados con la </w:t>
      </w:r>
      <w:proofErr w:type="spellStart"/>
      <w:r w:rsidRPr="00794EAF">
        <w:rPr>
          <w:spacing w:val="-2"/>
          <w:lang w:val="es-ES_tradnl"/>
        </w:rPr>
        <w:t>CMSI</w:t>
      </w:r>
      <w:proofErr w:type="spellEnd"/>
      <w:r w:rsidRPr="00794EAF">
        <w:rPr>
          <w:spacing w:val="-2"/>
          <w:lang w:val="es-ES_tradnl"/>
        </w:rPr>
        <w:t xml:space="preserve">, apoyará el seguimiento a través del </w:t>
      </w:r>
      <w:proofErr w:type="spellStart"/>
      <w:r w:rsidRPr="00794EAF">
        <w:rPr>
          <w:spacing w:val="-2"/>
          <w:lang w:val="es-ES_tradnl"/>
        </w:rPr>
        <w:t>GTC</w:t>
      </w:r>
      <w:r w:rsidR="00914E7A" w:rsidRPr="00794EAF">
        <w:rPr>
          <w:spacing w:val="-2"/>
          <w:lang w:val="es-ES_tradnl"/>
        </w:rPr>
        <w:noBreakHyphen/>
      </w:r>
      <w:r w:rsidRPr="00794EAF">
        <w:rPr>
          <w:spacing w:val="-2"/>
          <w:lang w:val="es-ES_tradnl"/>
        </w:rPr>
        <w:t>CMSI+ODS</w:t>
      </w:r>
      <w:proofErr w:type="spellEnd"/>
      <w:r w:rsidRPr="00794EAF">
        <w:rPr>
          <w:spacing w:val="-2"/>
          <w:lang w:val="es-ES_tradnl"/>
        </w:rPr>
        <w:t xml:space="preserve">, el equipo de tareas, el Grupo de las Naciones Unidas sobre la Sociedad de la Información, la Asociación para la medición de las TIC para el desarrollo y otros mecanismos, y seguirá trabajando con los Estados Miembros y las partes interesadas para convertir los compromisos de la </w:t>
      </w:r>
      <w:proofErr w:type="spellStart"/>
      <w:r w:rsidRPr="00794EAF">
        <w:rPr>
          <w:spacing w:val="-2"/>
          <w:lang w:val="es-ES_tradnl"/>
        </w:rPr>
        <w:t>CMSI</w:t>
      </w:r>
      <w:proofErr w:type="spellEnd"/>
      <w:r w:rsidRPr="00794EAF">
        <w:rPr>
          <w:spacing w:val="-2"/>
          <w:lang w:val="es-ES_tradnl"/>
        </w:rPr>
        <w:t xml:space="preserve"> en resultados concretos para 2030 y después, para 2035. En este contexto, la UIT también avanzará en los preparativos y promoverá el compromiso durante la reunión de 2026 del Consejo y la Conferencia de Plenipotenciarios de 2026, velando por que las prioridades, las hojas de ruta y los resultados relacionados con la </w:t>
      </w:r>
      <w:proofErr w:type="spellStart"/>
      <w:r w:rsidRPr="00794EAF">
        <w:rPr>
          <w:spacing w:val="-2"/>
          <w:lang w:val="es-ES_tradnl"/>
        </w:rPr>
        <w:t>CMSI</w:t>
      </w:r>
      <w:proofErr w:type="spellEnd"/>
      <w:r w:rsidRPr="00794EAF">
        <w:rPr>
          <w:spacing w:val="-2"/>
          <w:lang w:val="es-ES_tradnl"/>
        </w:rPr>
        <w:t xml:space="preserve"> se integren plenamente en las deliberaciones, las decisiones y la planificación estratégica de toda la Unión.</w:t>
      </w:r>
    </w:p>
    <w:p w14:paraId="594CABD7" w14:textId="77777777" w:rsidR="00064875" w:rsidRPr="004229DC" w:rsidRDefault="00064875" w:rsidP="00064875">
      <w:pPr>
        <w:pStyle w:val="Normalaftertitle"/>
        <w:spacing w:before="2400"/>
        <w:rPr>
          <w:lang w:val="es-ES_tradnl"/>
        </w:rPr>
      </w:pPr>
      <w:r w:rsidRPr="004229DC">
        <w:rPr>
          <w:b/>
          <w:bCs/>
          <w:lang w:val="es-ES_tradnl"/>
        </w:rPr>
        <w:t>Anexo:</w:t>
      </w:r>
      <w:r w:rsidRPr="004229DC">
        <w:rPr>
          <w:lang w:val="es-ES_tradnl"/>
        </w:rPr>
        <w:t xml:space="preserve"> 1</w:t>
      </w:r>
    </w:p>
    <w:p w14:paraId="6D692AF3" w14:textId="77777777" w:rsidR="00064875" w:rsidRPr="004229DC" w:rsidRDefault="00064875" w:rsidP="00064875">
      <w:pPr>
        <w:tabs>
          <w:tab w:val="clear" w:pos="567"/>
          <w:tab w:val="clear" w:pos="1134"/>
          <w:tab w:val="clear" w:pos="1701"/>
          <w:tab w:val="clear" w:pos="2268"/>
          <w:tab w:val="clear" w:pos="2835"/>
        </w:tabs>
        <w:overflowPunct/>
        <w:autoSpaceDE/>
        <w:autoSpaceDN/>
        <w:adjustRightInd/>
        <w:spacing w:before="0"/>
        <w:textAlignment w:val="auto"/>
        <w:rPr>
          <w:i/>
          <w:iCs/>
          <w:lang w:val="es-ES_tradnl"/>
        </w:rPr>
      </w:pPr>
      <w:r w:rsidRPr="004229DC">
        <w:rPr>
          <w:i/>
          <w:iCs/>
          <w:lang w:val="es-ES_tradnl"/>
        </w:rPr>
        <w:br w:type="page"/>
      </w:r>
    </w:p>
    <w:p w14:paraId="2F1B8DC8" w14:textId="762887D9" w:rsidR="00064875" w:rsidRPr="004229DC" w:rsidRDefault="00064875">
      <w:pPr>
        <w:pStyle w:val="Annextitle"/>
        <w:rPr>
          <w:b w:val="0"/>
          <w:lang w:val="es-ES_tradnl"/>
        </w:rPr>
      </w:pPr>
      <w:bookmarkStart w:id="1" w:name="Annex"/>
      <w:bookmarkEnd w:id="1"/>
      <w:r w:rsidRPr="004229DC">
        <w:rPr>
          <w:lang w:val="es-ES_tradnl"/>
        </w:rPr>
        <w:lastRenderedPageBreak/>
        <w:t>ANEXO</w:t>
      </w:r>
      <w:r w:rsidR="00914E7A" w:rsidRPr="004229DC">
        <w:rPr>
          <w:bCs/>
          <w:iCs/>
          <w:caps/>
          <w:lang w:val="es-ES_tradnl"/>
        </w:rPr>
        <w:br/>
      </w:r>
      <w:r w:rsidR="00914E7A" w:rsidRPr="004229DC">
        <w:rPr>
          <w:bCs/>
          <w:iCs/>
          <w:caps/>
          <w:lang w:val="es-ES_tradnl"/>
        </w:rPr>
        <w:br/>
      </w:r>
      <w:r w:rsidRPr="004229DC">
        <w:rPr>
          <w:bCs/>
          <w:lang w:val="es-ES_tradnl"/>
        </w:rPr>
        <w:t xml:space="preserve">Párrafos del documento de resultados de la </w:t>
      </w:r>
      <w:proofErr w:type="spellStart"/>
      <w:r w:rsidRPr="004229DC">
        <w:rPr>
          <w:bCs/>
          <w:lang w:val="es-ES_tradnl"/>
        </w:rPr>
        <w:t>CMSI+20</w:t>
      </w:r>
      <w:proofErr w:type="spellEnd"/>
      <w:r w:rsidRPr="004229DC">
        <w:rPr>
          <w:bCs/>
          <w:lang w:val="es-ES_tradnl"/>
        </w:rPr>
        <w:t xml:space="preserve"> que hacen</w:t>
      </w:r>
      <w:r w:rsidR="00914E7A" w:rsidRPr="004229DC">
        <w:rPr>
          <w:bCs/>
          <w:lang w:val="es-ES_tradnl"/>
        </w:rPr>
        <w:br/>
      </w:r>
      <w:r w:rsidRPr="004229DC">
        <w:rPr>
          <w:bCs/>
          <w:lang w:val="es-ES_tradnl"/>
        </w:rPr>
        <w:t xml:space="preserve">referencia </w:t>
      </w:r>
      <w:r w:rsidR="00F858D9" w:rsidRPr="004229DC">
        <w:rPr>
          <w:bCs/>
          <w:lang w:val="es-ES_tradnl"/>
        </w:rPr>
        <w:t xml:space="preserve">al compromiso </w:t>
      </w:r>
      <w:r w:rsidRPr="004229DC">
        <w:rPr>
          <w:bCs/>
          <w:lang w:val="es-ES_tradnl"/>
        </w:rPr>
        <w:t xml:space="preserve">y </w:t>
      </w:r>
      <w:r w:rsidR="00F858D9" w:rsidRPr="004229DC">
        <w:rPr>
          <w:bCs/>
          <w:lang w:val="es-ES_tradnl"/>
        </w:rPr>
        <w:t xml:space="preserve">las </w:t>
      </w:r>
      <w:r w:rsidRPr="004229DC">
        <w:rPr>
          <w:bCs/>
          <w:lang w:val="es-ES_tradnl"/>
        </w:rPr>
        <w:t>actividades de la UIT</w:t>
      </w:r>
      <w:r w:rsidR="006F0505" w:rsidRPr="004229DC">
        <w:rPr>
          <w:bCs/>
          <w:lang w:val="es-ES_tradnl"/>
        </w:rPr>
        <w:br/>
      </w:r>
      <w:r w:rsidR="00F858D9" w:rsidRPr="004229DC">
        <w:rPr>
          <w:bCs/>
          <w:lang w:val="es-ES_tradnl"/>
        </w:rPr>
        <w:t xml:space="preserve">respecto de la ejecución del proceso de la </w:t>
      </w:r>
      <w:proofErr w:type="spellStart"/>
      <w:r w:rsidR="00F858D9" w:rsidRPr="004229DC">
        <w:rPr>
          <w:bCs/>
          <w:lang w:val="es-ES_tradnl"/>
        </w:rPr>
        <w:t>CMSI</w:t>
      </w:r>
      <w:proofErr w:type="spellEnd"/>
    </w:p>
    <w:p w14:paraId="4F1AEFEC" w14:textId="77777777" w:rsidR="00064875" w:rsidRPr="004229DC" w:rsidRDefault="00064875" w:rsidP="00064875">
      <w:pPr>
        <w:spacing w:before="240"/>
        <w:jc w:val="both"/>
        <w:rPr>
          <w:i/>
          <w:iCs/>
          <w:lang w:val="es-ES_tradnl"/>
        </w:rPr>
      </w:pPr>
      <w:r w:rsidRPr="004229DC">
        <w:rPr>
          <w:i/>
          <w:iCs/>
          <w:lang w:val="es-ES_tradnl"/>
        </w:rPr>
        <w:t xml:space="preserve">Basándose en el informe sobre el examen al cabo de 20 años preparado por la Comisión de Ciencia y Tecnología para el Desarrollo en abril de 2025, los resultados del Foro para la Gobernanza de Internet celebrado en Noruega en junio de 2025 y el “Evento de Alto Nivel del Foro de la </w:t>
      </w:r>
      <w:proofErr w:type="spellStart"/>
      <w:r w:rsidRPr="004229DC">
        <w:rPr>
          <w:i/>
          <w:iCs/>
          <w:lang w:val="es-ES_tradnl"/>
        </w:rPr>
        <w:t>CMSI+20</w:t>
      </w:r>
      <w:proofErr w:type="spellEnd"/>
      <w:r w:rsidRPr="004229DC">
        <w:rPr>
          <w:i/>
          <w:iCs/>
          <w:lang w:val="es-ES_tradnl"/>
        </w:rPr>
        <w:t>”, que tuvo lugar en julio de 2025, las consultas realizadas por la Organización de las Naciones Unidas para la Educación, la Ciencia y la Cultura en junio de 2025, otras conferencias internacionales y regionales y las contribuciones de los facilitadores de las líneas de acción de la Cumbre Mundial sobre la Sociedad de la Información,</w:t>
      </w:r>
    </w:p>
    <w:p w14:paraId="57730866" w14:textId="77777777" w:rsidR="00064875" w:rsidRPr="004229DC" w:rsidRDefault="00064875" w:rsidP="00064875">
      <w:pPr>
        <w:jc w:val="both"/>
        <w:rPr>
          <w:rFonts w:cs="Calibri"/>
          <w:i/>
          <w:lang w:val="es-ES_tradnl"/>
        </w:rPr>
      </w:pPr>
      <w:r w:rsidRPr="004229DC">
        <w:rPr>
          <w:i/>
          <w:iCs/>
          <w:lang w:val="es-ES_tradnl"/>
        </w:rPr>
        <w:t>9</w:t>
      </w:r>
      <w:r w:rsidRPr="004229DC">
        <w:rPr>
          <w:lang w:val="es-ES_tradnl"/>
        </w:rPr>
        <w:tab/>
      </w:r>
      <w:r w:rsidRPr="004229DC">
        <w:rPr>
          <w:i/>
          <w:iCs/>
          <w:lang w:val="es-ES_tradnl"/>
        </w:rPr>
        <w:t>Reconocemos que la conectividad universal y un acceso significativo y asequible a las tecnologías de la información y las comunicaciones y a Internet son fundamentales para hacer realidad la visión de la Cumbre Mundial.</w:t>
      </w:r>
      <w:r w:rsidRPr="004229DC">
        <w:rPr>
          <w:lang w:val="es-ES_tradnl"/>
        </w:rPr>
        <w:t xml:space="preserve"> </w:t>
      </w:r>
    </w:p>
    <w:p w14:paraId="73161ED2" w14:textId="77777777" w:rsidR="00064875" w:rsidRPr="004229DC" w:rsidRDefault="00064875" w:rsidP="00064875">
      <w:pPr>
        <w:jc w:val="both"/>
        <w:rPr>
          <w:rFonts w:cs="Calibri"/>
          <w:i/>
          <w:lang w:val="es-ES_tradnl"/>
        </w:rPr>
      </w:pPr>
      <w:r w:rsidRPr="004229DC">
        <w:rPr>
          <w:i/>
          <w:iCs/>
          <w:lang w:val="es-ES_tradnl"/>
        </w:rPr>
        <w:t>18</w:t>
      </w:r>
      <w:r w:rsidRPr="004229DC">
        <w:rPr>
          <w:lang w:val="es-ES_tradnl"/>
        </w:rPr>
        <w:tab/>
      </w:r>
      <w:r w:rsidRPr="004229DC">
        <w:rPr>
          <w:i/>
          <w:iCs/>
          <w:lang w:val="es-ES_tradnl"/>
        </w:rPr>
        <w:t>Reafirmamos el papel central de las líneas de acción de la Cumbre Mundial, definidas en el Plan de Acción de Ginebra, como marco principal para traducir la visión de la Cumbre Mundial en resultados concretos.</w:t>
      </w:r>
      <w:r w:rsidRPr="004229DC">
        <w:rPr>
          <w:lang w:val="es-ES_tradnl"/>
        </w:rPr>
        <w:t xml:space="preserve"> </w:t>
      </w:r>
      <w:r w:rsidRPr="004229DC">
        <w:rPr>
          <w:i/>
          <w:iCs/>
          <w:lang w:val="es-ES_tradnl"/>
        </w:rPr>
        <w:t>Ponemos de relieve la importancia de reforzar la implementación, el seguimiento y el examen de las líneas de acción de la Cumbre Mundial y velar por que sigan siendo pertinentes para la visión de la Cumbre Mundial y su contribución a la Agenda 2030 para el Desarrollo Sostenible.</w:t>
      </w:r>
    </w:p>
    <w:p w14:paraId="32A96277" w14:textId="38FEF620" w:rsidR="00064875" w:rsidRPr="004229DC" w:rsidRDefault="00064875" w:rsidP="00064875">
      <w:pPr>
        <w:jc w:val="both"/>
        <w:rPr>
          <w:i/>
          <w:lang w:val="es-ES_tradnl"/>
        </w:rPr>
      </w:pPr>
      <w:r w:rsidRPr="004229DC">
        <w:rPr>
          <w:i/>
          <w:iCs/>
          <w:lang w:val="es-ES_tradnl"/>
        </w:rPr>
        <w:t>20</w:t>
      </w:r>
      <w:r w:rsidRPr="004229DC">
        <w:rPr>
          <w:lang w:val="es-ES_tradnl"/>
        </w:rPr>
        <w:tab/>
      </w:r>
      <w:r w:rsidRPr="004229DC">
        <w:rPr>
          <w:i/>
          <w:iCs/>
          <w:lang w:val="es-ES_tradnl"/>
        </w:rPr>
        <w:t>Aplaudimos la notable expansión del acceso a Internet y a los servicios digitales lograda desde la Cumbre Mundial sobre la Sociedad de la Información.</w:t>
      </w:r>
      <w:r w:rsidRPr="004229DC">
        <w:rPr>
          <w:lang w:val="es-ES_tradnl"/>
        </w:rPr>
        <w:t xml:space="preserve"> </w:t>
      </w:r>
      <w:r w:rsidRPr="004229DC">
        <w:rPr>
          <w:i/>
          <w:iCs/>
          <w:lang w:val="es-ES_tradnl"/>
        </w:rPr>
        <w:t>Según la Unión Internacional de Telecomunicaciones, más del 93</w:t>
      </w:r>
      <w:r w:rsidR="00914E7A" w:rsidRPr="004229DC">
        <w:rPr>
          <w:i/>
          <w:iCs/>
          <w:lang w:val="es-ES_tradnl"/>
        </w:rPr>
        <w:t> </w:t>
      </w:r>
      <w:r w:rsidRPr="004229DC">
        <w:rPr>
          <w:i/>
          <w:iCs/>
          <w:lang w:val="es-ES_tradnl"/>
        </w:rPr>
        <w:t xml:space="preserve">% de la población mundial vive ya en zonas con cobertura de redes </w:t>
      </w:r>
      <w:proofErr w:type="spellStart"/>
      <w:r w:rsidRPr="004229DC">
        <w:rPr>
          <w:i/>
          <w:iCs/>
          <w:lang w:val="es-ES_tradnl"/>
        </w:rPr>
        <w:t>4G</w:t>
      </w:r>
      <w:proofErr w:type="spellEnd"/>
      <w:r w:rsidRPr="004229DC">
        <w:rPr>
          <w:i/>
          <w:iCs/>
          <w:lang w:val="es-ES_tradnl"/>
        </w:rPr>
        <w:t>.</w:t>
      </w:r>
      <w:r w:rsidRPr="004229DC">
        <w:rPr>
          <w:lang w:val="es-ES_tradnl"/>
        </w:rPr>
        <w:t xml:space="preserve"> </w:t>
      </w:r>
      <w:r w:rsidRPr="004229DC">
        <w:rPr>
          <w:i/>
          <w:iCs/>
          <w:lang w:val="es-ES_tradnl"/>
        </w:rPr>
        <w:t>La proporción de personas mayores de 10 años que poseen un teléfono móvil asciende ya al 82</w:t>
      </w:r>
      <w:r w:rsidR="00914E7A" w:rsidRPr="004229DC">
        <w:rPr>
          <w:i/>
          <w:iCs/>
          <w:lang w:val="es-ES_tradnl"/>
        </w:rPr>
        <w:t> </w:t>
      </w:r>
      <w:r w:rsidRPr="004229DC">
        <w:rPr>
          <w:i/>
          <w:iCs/>
          <w:lang w:val="es-ES_tradnl"/>
        </w:rPr>
        <w:t>% en todo el mundo, mientras que el uso de Internet ha pasado de poco más del 15</w:t>
      </w:r>
      <w:r w:rsidR="00914E7A" w:rsidRPr="004229DC">
        <w:rPr>
          <w:i/>
          <w:iCs/>
          <w:lang w:val="es-ES_tradnl"/>
        </w:rPr>
        <w:t> </w:t>
      </w:r>
      <w:r w:rsidRPr="004229DC">
        <w:rPr>
          <w:i/>
          <w:iCs/>
          <w:lang w:val="es-ES_tradnl"/>
        </w:rPr>
        <w:t>% en 2005 al 74</w:t>
      </w:r>
      <w:r w:rsidR="00914E7A" w:rsidRPr="004229DC">
        <w:rPr>
          <w:i/>
          <w:iCs/>
          <w:lang w:val="es-ES_tradnl"/>
        </w:rPr>
        <w:t> </w:t>
      </w:r>
      <w:r w:rsidRPr="004229DC">
        <w:rPr>
          <w:i/>
          <w:iCs/>
          <w:lang w:val="es-ES_tradnl"/>
        </w:rPr>
        <w:t>% en 2025.</w:t>
      </w:r>
    </w:p>
    <w:p w14:paraId="27333298" w14:textId="5A7BCF95" w:rsidR="00064875" w:rsidRPr="004229DC" w:rsidRDefault="00064875" w:rsidP="00064875">
      <w:pPr>
        <w:jc w:val="both"/>
        <w:rPr>
          <w:i/>
          <w:lang w:val="es-ES_tradnl"/>
        </w:rPr>
      </w:pPr>
      <w:r w:rsidRPr="004229DC">
        <w:rPr>
          <w:i/>
          <w:iCs/>
          <w:lang w:val="es-ES_tradnl"/>
        </w:rPr>
        <w:t>21</w:t>
      </w:r>
      <w:r w:rsidRPr="004229DC">
        <w:rPr>
          <w:lang w:val="es-ES_tradnl"/>
        </w:rPr>
        <w:tab/>
      </w:r>
      <w:r w:rsidRPr="004229DC">
        <w:rPr>
          <w:i/>
          <w:iCs/>
          <w:lang w:val="es-ES_tradnl"/>
        </w:rPr>
        <w:t>Sin embargo, expresamos profunda preocupación por las considerables brechas digitales que siguen existiendo entre diferentes regiones, países y comunidades y dentro de ellos, las cuales plantean especiales problemas a los países en desarrollo.</w:t>
      </w:r>
      <w:r w:rsidRPr="004229DC">
        <w:rPr>
          <w:lang w:val="es-ES_tradnl"/>
        </w:rPr>
        <w:t xml:space="preserve"> </w:t>
      </w:r>
      <w:r w:rsidRPr="004229DC">
        <w:rPr>
          <w:i/>
          <w:iCs/>
          <w:lang w:val="es-ES_tradnl"/>
        </w:rPr>
        <w:t>Según la Unión Internacional de Telecomunicaciones, la proporción de personas que utilizan Internet es más del cuádruple en los países de ingreso alto (94</w:t>
      </w:r>
      <w:r w:rsidR="00914E7A" w:rsidRPr="004229DC">
        <w:rPr>
          <w:i/>
          <w:iCs/>
          <w:lang w:val="es-ES_tradnl"/>
        </w:rPr>
        <w:t> </w:t>
      </w:r>
      <w:r w:rsidRPr="004229DC">
        <w:rPr>
          <w:i/>
          <w:iCs/>
          <w:lang w:val="es-ES_tradnl"/>
        </w:rPr>
        <w:t>%) que en los de ingreso bajo (23</w:t>
      </w:r>
      <w:r w:rsidR="00914E7A" w:rsidRPr="004229DC">
        <w:rPr>
          <w:i/>
          <w:iCs/>
          <w:lang w:val="es-ES_tradnl"/>
        </w:rPr>
        <w:t> </w:t>
      </w:r>
      <w:r w:rsidRPr="004229DC">
        <w:rPr>
          <w:i/>
          <w:iCs/>
          <w:lang w:val="es-ES_tradnl"/>
        </w:rPr>
        <w:t>%) y en algunos países no llega al 20</w:t>
      </w:r>
      <w:r w:rsidR="00914E7A" w:rsidRPr="004229DC">
        <w:rPr>
          <w:i/>
          <w:iCs/>
          <w:lang w:val="es-ES_tradnl"/>
        </w:rPr>
        <w:t> </w:t>
      </w:r>
      <w:r w:rsidRPr="004229DC">
        <w:rPr>
          <w:i/>
          <w:iCs/>
          <w:lang w:val="es-ES_tradnl"/>
        </w:rPr>
        <w:t>%.</w:t>
      </w:r>
      <w:r w:rsidRPr="004229DC">
        <w:rPr>
          <w:lang w:val="es-ES_tradnl"/>
        </w:rPr>
        <w:t xml:space="preserve"> </w:t>
      </w:r>
      <w:r w:rsidRPr="004229DC">
        <w:rPr>
          <w:i/>
          <w:iCs/>
          <w:lang w:val="es-ES_tradnl"/>
        </w:rPr>
        <w:t>La proporción de la población que, según las estimaciones de la Unión Internacional de Telecomunicaciones, tiene acceso a Internet en las zonas urbanas de todo el mundo es de casi el 85</w:t>
      </w:r>
      <w:r w:rsidR="00914E7A" w:rsidRPr="004229DC">
        <w:rPr>
          <w:i/>
          <w:iCs/>
          <w:lang w:val="es-ES_tradnl"/>
        </w:rPr>
        <w:t> </w:t>
      </w:r>
      <w:r w:rsidRPr="004229DC">
        <w:rPr>
          <w:i/>
          <w:iCs/>
          <w:lang w:val="es-ES_tradnl"/>
        </w:rPr>
        <w:t>%, mientras que en las zonas rurales es del 58</w:t>
      </w:r>
      <w:r w:rsidR="00914E7A" w:rsidRPr="004229DC">
        <w:rPr>
          <w:i/>
          <w:iCs/>
          <w:lang w:val="es-ES_tradnl"/>
        </w:rPr>
        <w:t> </w:t>
      </w:r>
      <w:r w:rsidRPr="004229DC">
        <w:rPr>
          <w:i/>
          <w:iCs/>
          <w:lang w:val="es-ES_tradnl"/>
        </w:rPr>
        <w:t>%.</w:t>
      </w:r>
    </w:p>
    <w:p w14:paraId="7228B002" w14:textId="42BEA597" w:rsidR="00064875" w:rsidRPr="004229DC" w:rsidRDefault="00064875" w:rsidP="00064875">
      <w:pPr>
        <w:jc w:val="both"/>
        <w:rPr>
          <w:i/>
          <w:lang w:val="es-ES_tradnl"/>
        </w:rPr>
      </w:pPr>
      <w:r w:rsidRPr="004229DC">
        <w:rPr>
          <w:i/>
          <w:iCs/>
          <w:lang w:val="es-ES_tradnl"/>
        </w:rPr>
        <w:t>22</w:t>
      </w:r>
      <w:r w:rsidRPr="004229DC">
        <w:rPr>
          <w:lang w:val="es-ES_tradnl"/>
        </w:rPr>
        <w:tab/>
      </w:r>
      <w:r w:rsidRPr="004229DC">
        <w:rPr>
          <w:i/>
          <w:iCs/>
          <w:lang w:val="es-ES_tradnl"/>
        </w:rPr>
        <w:t>Nos preocupan especialmente las persistentes brechas digitales de género.</w:t>
      </w:r>
      <w:r w:rsidRPr="004229DC">
        <w:rPr>
          <w:lang w:val="es-ES_tradnl"/>
        </w:rPr>
        <w:t xml:space="preserve"> </w:t>
      </w:r>
      <w:r w:rsidRPr="004229DC">
        <w:rPr>
          <w:i/>
          <w:iCs/>
          <w:lang w:val="es-ES_tradnl"/>
        </w:rPr>
        <w:t>Según la Unión Internacional de Telecomunicaciones, solo el 78</w:t>
      </w:r>
      <w:r w:rsidR="003E655B" w:rsidRPr="004229DC">
        <w:rPr>
          <w:i/>
          <w:iCs/>
          <w:lang w:val="es-ES_tradnl"/>
        </w:rPr>
        <w:t> </w:t>
      </w:r>
      <w:r w:rsidRPr="004229DC">
        <w:rPr>
          <w:i/>
          <w:iCs/>
          <w:lang w:val="es-ES_tradnl"/>
        </w:rPr>
        <w:t>% de las mujeres y las niñas mayores de 10 años de todo el mundo utilizan un teléfono móvil, frente al 87</w:t>
      </w:r>
      <w:r w:rsidR="003E655B" w:rsidRPr="004229DC">
        <w:rPr>
          <w:i/>
          <w:iCs/>
          <w:lang w:val="es-ES_tradnl"/>
        </w:rPr>
        <w:t> </w:t>
      </w:r>
      <w:r w:rsidRPr="004229DC">
        <w:rPr>
          <w:i/>
          <w:iCs/>
          <w:lang w:val="es-ES_tradnl"/>
        </w:rPr>
        <w:t>% de los hombres, y solo utilizan Internet un 71</w:t>
      </w:r>
      <w:r w:rsidR="003E655B" w:rsidRPr="004229DC">
        <w:rPr>
          <w:i/>
          <w:iCs/>
          <w:lang w:val="es-ES_tradnl"/>
        </w:rPr>
        <w:t> </w:t>
      </w:r>
      <w:r w:rsidRPr="004229DC">
        <w:rPr>
          <w:i/>
          <w:iCs/>
          <w:lang w:val="es-ES_tradnl"/>
        </w:rPr>
        <w:t>% de las mujeres, frente a casi el 77</w:t>
      </w:r>
      <w:r w:rsidR="003E655B" w:rsidRPr="004229DC">
        <w:rPr>
          <w:i/>
          <w:iCs/>
          <w:lang w:val="es-ES_tradnl"/>
        </w:rPr>
        <w:t> </w:t>
      </w:r>
      <w:r w:rsidRPr="004229DC">
        <w:rPr>
          <w:i/>
          <w:iCs/>
          <w:lang w:val="es-ES_tradnl"/>
        </w:rPr>
        <w:t>% de los hombres.</w:t>
      </w:r>
      <w:r w:rsidRPr="004229DC">
        <w:rPr>
          <w:lang w:val="es-ES_tradnl"/>
        </w:rPr>
        <w:t xml:space="preserve"> </w:t>
      </w:r>
      <w:r w:rsidRPr="004229DC">
        <w:rPr>
          <w:i/>
          <w:iCs/>
          <w:lang w:val="es-ES_tradnl"/>
        </w:rPr>
        <w:t>Las mujeres y las niñas también están infrarrepresentadas en la educación sobre ciencia, tecnología, ingeniería y matemáticas, y en los empleos, el emprendimiento y otros ámbitos de la actividad digital.</w:t>
      </w:r>
      <w:r w:rsidRPr="004229DC">
        <w:rPr>
          <w:lang w:val="es-ES_tradnl"/>
        </w:rPr>
        <w:t xml:space="preserve"> </w:t>
      </w:r>
      <w:r w:rsidRPr="004229DC">
        <w:rPr>
          <w:i/>
          <w:iCs/>
          <w:lang w:val="es-ES_tradnl"/>
        </w:rPr>
        <w:t>Todos los interesados tienen un papel que desempeñar para abordar y rectificar estas brechas digitales de género.</w:t>
      </w:r>
    </w:p>
    <w:p w14:paraId="1DF51ECF" w14:textId="77777777" w:rsidR="00064875" w:rsidRPr="00794EAF" w:rsidRDefault="00064875" w:rsidP="00064875">
      <w:pPr>
        <w:jc w:val="both"/>
        <w:rPr>
          <w:i/>
          <w:spacing w:val="-2"/>
          <w:lang w:val="es-ES_tradnl"/>
        </w:rPr>
      </w:pPr>
      <w:r w:rsidRPr="00794EAF">
        <w:rPr>
          <w:i/>
          <w:iCs/>
          <w:spacing w:val="-2"/>
          <w:lang w:val="es-ES_tradnl"/>
        </w:rPr>
        <w:lastRenderedPageBreak/>
        <w:t>53</w:t>
      </w:r>
      <w:r w:rsidRPr="00794EAF">
        <w:rPr>
          <w:spacing w:val="-2"/>
          <w:lang w:val="es-ES_tradnl"/>
        </w:rPr>
        <w:tab/>
      </w:r>
      <w:r w:rsidRPr="00794EAF">
        <w:rPr>
          <w:i/>
          <w:iCs/>
          <w:spacing w:val="-2"/>
          <w:lang w:val="es-ES_tradnl"/>
        </w:rPr>
        <w:t xml:space="preserve">Encomiamos la labor que realizan las </w:t>
      </w:r>
      <w:proofErr w:type="gramStart"/>
      <w:r w:rsidRPr="00794EAF">
        <w:rPr>
          <w:i/>
          <w:iCs/>
          <w:spacing w:val="-2"/>
          <w:lang w:val="es-ES_tradnl"/>
        </w:rPr>
        <w:t>comisiones regionales y otras organizaciones regionales</w:t>
      </w:r>
      <w:proofErr w:type="gramEnd"/>
      <w:r w:rsidRPr="00794EAF">
        <w:rPr>
          <w:i/>
          <w:iCs/>
          <w:spacing w:val="-2"/>
          <w:lang w:val="es-ES_tradnl"/>
        </w:rPr>
        <w:t xml:space="preserve"> para apoyar la creación de entornos propicios y positivos.</w:t>
      </w:r>
      <w:r w:rsidRPr="00794EAF">
        <w:rPr>
          <w:spacing w:val="-2"/>
          <w:lang w:val="es-ES_tradnl"/>
        </w:rPr>
        <w:t xml:space="preserve"> </w:t>
      </w:r>
      <w:r w:rsidRPr="00794EAF">
        <w:rPr>
          <w:i/>
          <w:iCs/>
          <w:spacing w:val="-2"/>
          <w:lang w:val="es-ES_tradnl"/>
        </w:rPr>
        <w:t>Exhortamos a esas comisiones, a la Comisión de Ciencia y Tecnología para el Desarrollo y a los facilitadores de las líneas de acción a que, en el marco de sus respectivos mandatos, compartan experiencias sobre el entorno propicio y apoyen la elaboración de orientaciones normativas, asistencia técnica y capacitación en función de la demanda, según proceda, para hacer realidad ese tipo de entorno.</w:t>
      </w:r>
    </w:p>
    <w:p w14:paraId="5FABBC32" w14:textId="3041E50A" w:rsidR="00064875" w:rsidRPr="004229DC" w:rsidRDefault="00064875" w:rsidP="00064875">
      <w:pPr>
        <w:jc w:val="both"/>
        <w:rPr>
          <w:i/>
          <w:lang w:val="es-ES_tradnl"/>
        </w:rPr>
      </w:pPr>
      <w:r w:rsidRPr="004229DC">
        <w:rPr>
          <w:i/>
          <w:iCs/>
          <w:lang w:val="es-ES_tradnl"/>
        </w:rPr>
        <w:t>67</w:t>
      </w:r>
      <w:r w:rsidRPr="004229DC">
        <w:rPr>
          <w:lang w:val="es-ES_tradnl"/>
        </w:rPr>
        <w:tab/>
      </w:r>
      <w:r w:rsidRPr="004229DC">
        <w:rPr>
          <w:i/>
          <w:iCs/>
          <w:lang w:val="es-ES_tradnl"/>
        </w:rPr>
        <w:t>Invitamos a la Unión Internacional de Telecomunicaciones, en su calidad de secretaría del Grupo de las Naciones Unidas sobre la Sociedad de la Información, a que, en colaboración con los facilitadores de las líneas de acción de la Cumbre Mundial y otros miembros del Grupo y con los recursos disponibles, establezcan un equipo de tareas interno que lleve a cabo una evaluación de las deficiencias y dificultades y presente recomendaciones concretas sobre el fortalecimiento de los mecanismos financieros para el desarrollo digital de los países en desarrollo, aprovechando y complementando las mejores prácticas existentes, incluidas las de las instituciones financieras multilaterales, los asociados para el desarrollo y otros interesados pertinentes, como el sector privado.</w:t>
      </w:r>
      <w:r w:rsidRPr="004229DC">
        <w:rPr>
          <w:lang w:val="es-ES_tradnl"/>
        </w:rPr>
        <w:t xml:space="preserve"> </w:t>
      </w:r>
      <w:r w:rsidRPr="004229DC">
        <w:rPr>
          <w:i/>
          <w:iCs/>
          <w:lang w:val="es-ES_tradnl"/>
        </w:rPr>
        <w:t>Solicitamos además que se concluyan los trabajos y se comuniquen sus resultados a la Comisión de Ciencia y Tecnología para el Desarrollo en 2027, durante su 30</w:t>
      </w:r>
      <w:r w:rsidR="003E655B" w:rsidRPr="004229DC">
        <w:rPr>
          <w:i/>
          <w:iCs/>
          <w:lang w:val="es-ES_tradnl"/>
        </w:rPr>
        <w:t>.</w:t>
      </w:r>
      <w:r w:rsidRPr="004229DC">
        <w:rPr>
          <w:i/>
          <w:iCs/>
          <w:lang w:val="es-ES_tradnl"/>
        </w:rPr>
        <w:t>º per</w:t>
      </w:r>
      <w:r w:rsidR="003E655B" w:rsidRPr="004229DC">
        <w:rPr>
          <w:i/>
          <w:iCs/>
          <w:lang w:val="es-ES_tradnl"/>
        </w:rPr>
        <w:t>i</w:t>
      </w:r>
      <w:r w:rsidRPr="004229DC">
        <w:rPr>
          <w:i/>
          <w:iCs/>
          <w:lang w:val="es-ES_tradnl"/>
        </w:rPr>
        <w:t>odo de sesiones, para que los examinen los Estados Miembros.</w:t>
      </w:r>
      <w:r w:rsidRPr="004229DC">
        <w:rPr>
          <w:lang w:val="es-ES_tradnl"/>
        </w:rPr>
        <w:t xml:space="preserve"> </w:t>
      </w:r>
      <w:r w:rsidRPr="004229DC">
        <w:rPr>
          <w:i/>
          <w:iCs/>
          <w:lang w:val="es-ES_tradnl"/>
        </w:rPr>
        <w:t>Invitamos también al equipo de tareas interno a que haga un seguimiento de los compromisos financieros para la aplicación de esos resultados.</w:t>
      </w:r>
    </w:p>
    <w:p w14:paraId="5A5FB190" w14:textId="77777777" w:rsidR="00064875" w:rsidRPr="00794EAF" w:rsidRDefault="00064875" w:rsidP="00064875">
      <w:pPr>
        <w:jc w:val="both"/>
        <w:rPr>
          <w:i/>
          <w:spacing w:val="-2"/>
          <w:lang w:val="es-ES_tradnl"/>
        </w:rPr>
      </w:pPr>
      <w:r w:rsidRPr="00794EAF">
        <w:rPr>
          <w:i/>
          <w:iCs/>
          <w:spacing w:val="-2"/>
          <w:lang w:val="es-ES_tradnl"/>
        </w:rPr>
        <w:t>86</w:t>
      </w:r>
      <w:r w:rsidRPr="00794EAF">
        <w:rPr>
          <w:spacing w:val="-2"/>
          <w:lang w:val="es-ES_tradnl"/>
        </w:rPr>
        <w:tab/>
      </w:r>
      <w:r w:rsidRPr="00794EAF">
        <w:rPr>
          <w:i/>
          <w:iCs/>
          <w:spacing w:val="-2"/>
          <w:lang w:val="es-ES_tradnl"/>
        </w:rPr>
        <w:t>Exhortamos al Grupo de Trabajo Interinstitucional sobre Inteligencia Artificial a que, en consulta con los facilitadores de las líneas de acción, elabore una cartografía de las iniciativas de creación de capacidad existentes en el sistema de las Naciones Unidas, determine las posibles deficiencias y las subsane, entre otras cosas, estableciendo una beca de creación de capacidad en inteligencia artificial para funcionarios gubernamentales y programas de investigación, aprovechando las capacidades existentes en todo el sistema de las Naciones Unidas y centrándose especialmente en los países en desarrollo, y a que informe al respecto durante el Diálogo Mundial sobre la Gobernanza de la Inteligencia Artificial, que se inaugurará en 2026.</w:t>
      </w:r>
    </w:p>
    <w:p w14:paraId="242BD4A1" w14:textId="34108206" w:rsidR="00064875" w:rsidRPr="004229DC" w:rsidRDefault="00064875" w:rsidP="00064875">
      <w:pPr>
        <w:jc w:val="both"/>
        <w:rPr>
          <w:i/>
          <w:lang w:val="es-ES_tradnl"/>
        </w:rPr>
      </w:pPr>
      <w:r w:rsidRPr="004229DC">
        <w:rPr>
          <w:i/>
          <w:iCs/>
          <w:lang w:val="es-ES_tradnl"/>
        </w:rPr>
        <w:t>100</w:t>
      </w:r>
      <w:r w:rsidRPr="004229DC">
        <w:rPr>
          <w:lang w:val="es-ES_tradnl"/>
        </w:rPr>
        <w:tab/>
      </w:r>
      <w:r w:rsidRPr="004229DC">
        <w:rPr>
          <w:i/>
          <w:iCs/>
          <w:lang w:val="es-ES_tradnl"/>
        </w:rPr>
        <w:t>Exhortamos al Foro a que informe sobre los resultados de sus reuniones anuales y de la labor realizada en los per</w:t>
      </w:r>
      <w:r w:rsidR="00E27934" w:rsidRPr="004229DC">
        <w:rPr>
          <w:i/>
          <w:iCs/>
          <w:lang w:val="es-ES_tradnl"/>
        </w:rPr>
        <w:t>i</w:t>
      </w:r>
      <w:r w:rsidRPr="004229DC">
        <w:rPr>
          <w:i/>
          <w:iCs/>
          <w:lang w:val="es-ES_tradnl"/>
        </w:rPr>
        <w:t>odos intermedios a las entidades y los procesos competentes de las Naciones Unidas, y exhortamos en particular al Grupo de las Naciones Unidas sobre la Sociedad de la Información y a todas las entidades pertinentes de las Naciones Unidas, los facilitadores de las líneas de acción, la Comisión de Ciencia y Tecnología para el Desarrollo y el Foro de la Cumbre Mundial sobre la Sociedad de la Información a que tengan en cuenta los resultados del Foro para la Gobernanza de Internet en su labor y sus actuaciones.</w:t>
      </w:r>
    </w:p>
    <w:p w14:paraId="4088ECDF" w14:textId="77777777" w:rsidR="00064875" w:rsidRPr="004229DC" w:rsidRDefault="00064875" w:rsidP="00064875">
      <w:pPr>
        <w:jc w:val="both"/>
        <w:rPr>
          <w:i/>
          <w:lang w:val="es-ES_tradnl"/>
        </w:rPr>
      </w:pPr>
      <w:r w:rsidRPr="004229DC">
        <w:rPr>
          <w:i/>
          <w:iCs/>
          <w:lang w:val="es-ES_tradnl"/>
        </w:rPr>
        <w:t>107</w:t>
      </w:r>
      <w:r w:rsidRPr="004229DC">
        <w:rPr>
          <w:lang w:val="es-ES_tradnl"/>
        </w:rPr>
        <w:tab/>
      </w:r>
      <w:r w:rsidRPr="004229DC">
        <w:rPr>
          <w:i/>
          <w:iCs/>
          <w:lang w:val="es-ES_tradnl"/>
        </w:rPr>
        <w:t>Acogemos con beneplácito los esfuerzos realizados en las dos últimas décadas por las entidades de las Naciones Unidas, incluidos los facilitadores de las líneas de acción de la Cumbre Mundial, para apoyar la aplicación de los resultados de la Cumbre Mundial en el marco de sus mandatos y áreas de responsabilidad.</w:t>
      </w:r>
      <w:r w:rsidRPr="004229DC">
        <w:rPr>
          <w:lang w:val="es-ES_tradnl"/>
        </w:rPr>
        <w:t xml:space="preserve"> </w:t>
      </w:r>
      <w:r w:rsidRPr="004229DC">
        <w:rPr>
          <w:i/>
          <w:iCs/>
          <w:lang w:val="es-ES_tradnl"/>
        </w:rPr>
        <w:t>Encomiamos a la Unión Internacional de Telecomunicaciones por establecer la plataforma del inventario de la Cumbre Mundial y los premios de la Cumbre Mundial, y alentamos a todos los interesados a que hagan aportaciones a la base de datos sobre el inventario.</w:t>
      </w:r>
    </w:p>
    <w:p w14:paraId="5FF3EC52" w14:textId="1D7145FF" w:rsidR="00064875" w:rsidRPr="004229DC" w:rsidRDefault="00F858D9" w:rsidP="00064875">
      <w:pPr>
        <w:jc w:val="both"/>
        <w:rPr>
          <w:i/>
          <w:lang w:val="es-ES_tradnl"/>
        </w:rPr>
      </w:pPr>
      <w:r w:rsidRPr="004229DC">
        <w:rPr>
          <w:i/>
          <w:iCs/>
          <w:lang w:val="es-ES_tradnl"/>
        </w:rPr>
        <w:t>108</w:t>
      </w:r>
      <w:r w:rsidR="00064875" w:rsidRPr="004229DC">
        <w:rPr>
          <w:lang w:val="es-ES_tradnl"/>
        </w:rPr>
        <w:tab/>
      </w:r>
      <w:r w:rsidR="00064875" w:rsidRPr="004229DC">
        <w:rPr>
          <w:i/>
          <w:iCs/>
          <w:lang w:val="es-ES_tradnl"/>
        </w:rPr>
        <w:t xml:space="preserve">Reconocemos la labor que realiza la Unión Internacional de Telecomunicaciones, en colaboración con la Organización de las Naciones Unidas para la Educación, la Ciencia y la Cultura, la Conferencia de las Naciones Unidas sobre Comercio y Desarrollo y el Programa de las Naciones Unidas para el Desarrollo, a fin de organizar el Foro de la Cumbre Mundial sobre la Sociedad de la Información, evento anual que se ha convertido en una importante </w:t>
      </w:r>
      <w:r w:rsidR="00064875" w:rsidRPr="004229DC">
        <w:rPr>
          <w:i/>
          <w:iCs/>
          <w:lang w:val="es-ES_tradnl"/>
        </w:rPr>
        <w:lastRenderedPageBreak/>
        <w:t>plataforma para el intercambio de información y mejores prácticas y el diálogo y la colaboración entre múltiples interesados, y para establecer redes y coordinar iniciativas que ayuden a hacer realidad la visión de la Cumbre Mundial.</w:t>
      </w:r>
      <w:r w:rsidR="00064875" w:rsidRPr="004229DC">
        <w:rPr>
          <w:lang w:val="es-ES_tradnl"/>
        </w:rPr>
        <w:t xml:space="preserve"> </w:t>
      </w:r>
      <w:r w:rsidR="00064875" w:rsidRPr="004229DC">
        <w:rPr>
          <w:i/>
          <w:iCs/>
          <w:lang w:val="es-ES_tradnl"/>
        </w:rPr>
        <w:t>Pedimos que se siga celebrando el Foro con periodicidad anual.</w:t>
      </w:r>
    </w:p>
    <w:p w14:paraId="2BBDE04E" w14:textId="1D971C29" w:rsidR="00064875" w:rsidRPr="004229DC" w:rsidRDefault="00F858D9" w:rsidP="00064875">
      <w:pPr>
        <w:jc w:val="both"/>
        <w:rPr>
          <w:i/>
          <w:lang w:val="es-ES_tradnl"/>
        </w:rPr>
      </w:pPr>
      <w:r w:rsidRPr="004229DC">
        <w:rPr>
          <w:i/>
          <w:iCs/>
          <w:lang w:val="es-ES_tradnl"/>
        </w:rPr>
        <w:t>109</w:t>
      </w:r>
      <w:r w:rsidR="00064875" w:rsidRPr="004229DC">
        <w:rPr>
          <w:lang w:val="es-ES_tradnl"/>
        </w:rPr>
        <w:tab/>
      </w:r>
      <w:r w:rsidR="00064875" w:rsidRPr="004229DC">
        <w:rPr>
          <w:i/>
          <w:iCs/>
          <w:lang w:val="es-ES_tradnl"/>
        </w:rPr>
        <w:t>Reafirmamos nuestro compromiso con el marco de líneas de acción establecido en el Plan de Acción de Ginebra y la Agenda de Túnez para la Sociedad de la Información.</w:t>
      </w:r>
      <w:r w:rsidR="00064875" w:rsidRPr="004229DC">
        <w:rPr>
          <w:lang w:val="es-ES_tradnl"/>
        </w:rPr>
        <w:t xml:space="preserve"> </w:t>
      </w:r>
      <w:r w:rsidR="00064875" w:rsidRPr="004229DC">
        <w:rPr>
          <w:i/>
          <w:iCs/>
          <w:lang w:val="es-ES_tradnl"/>
        </w:rPr>
        <w:t>Reconocemos que muchos Gobiernos consideran que este marco es útil para apoyar la formulación de estrategias y enfoques nacionales sobre el desarrollo digital.</w:t>
      </w:r>
      <w:r w:rsidR="00064875" w:rsidRPr="004229DC">
        <w:rPr>
          <w:lang w:val="es-ES_tradnl"/>
        </w:rPr>
        <w:t xml:space="preserve"> </w:t>
      </w:r>
      <w:r w:rsidR="00064875" w:rsidRPr="004229DC">
        <w:rPr>
          <w:i/>
          <w:iCs/>
          <w:lang w:val="es-ES_tradnl"/>
        </w:rPr>
        <w:t>Exhortamos a los facilitadores de las líneas de acción a que se ciñan estrechamente a la Agenda 2030 para el Desarrollo Sostenible al examinar nuevas actividades para aplicar los resultados de la Cumbre Mundial, con arreglo a sus mandatos y sus recursos disponibles.</w:t>
      </w:r>
    </w:p>
    <w:p w14:paraId="2E52D3FF" w14:textId="4920002D" w:rsidR="00064875" w:rsidRPr="004229DC" w:rsidRDefault="00F858D9" w:rsidP="00064875">
      <w:pPr>
        <w:jc w:val="both"/>
        <w:rPr>
          <w:i/>
          <w:lang w:val="es-ES_tradnl"/>
        </w:rPr>
      </w:pPr>
      <w:r w:rsidRPr="004229DC">
        <w:rPr>
          <w:i/>
          <w:iCs/>
          <w:lang w:val="es-ES_tradnl"/>
        </w:rPr>
        <w:t>110</w:t>
      </w:r>
      <w:r w:rsidR="00064875" w:rsidRPr="004229DC">
        <w:rPr>
          <w:lang w:val="es-ES_tradnl"/>
        </w:rPr>
        <w:tab/>
      </w:r>
      <w:r w:rsidR="00064875" w:rsidRPr="004229DC">
        <w:rPr>
          <w:i/>
          <w:iCs/>
          <w:lang w:val="es-ES_tradnl"/>
        </w:rPr>
        <w:t>Es importante proteger, promover y respetar los derechos humanos al implementar todas las líneas de acción.</w:t>
      </w:r>
      <w:r w:rsidR="00064875" w:rsidRPr="004229DC">
        <w:rPr>
          <w:lang w:val="es-ES_tradnl"/>
        </w:rPr>
        <w:t xml:space="preserve"> </w:t>
      </w:r>
      <w:r w:rsidR="00064875" w:rsidRPr="004229DC">
        <w:rPr>
          <w:i/>
          <w:iCs/>
          <w:lang w:val="es-ES_tradnl"/>
        </w:rPr>
        <w:t>Recordamos que la Oficina del Alto Comisionado de las Naciones Unidas para los Derechos Humanos sigue contribuyendo a su facilitación y evaluación.</w:t>
      </w:r>
      <w:r w:rsidR="00064875" w:rsidRPr="004229DC">
        <w:rPr>
          <w:lang w:val="es-ES_tradnl"/>
        </w:rPr>
        <w:t xml:space="preserve"> </w:t>
      </w:r>
      <w:r w:rsidR="00064875" w:rsidRPr="004229DC">
        <w:rPr>
          <w:i/>
          <w:iCs/>
          <w:lang w:val="es-ES_tradnl"/>
        </w:rPr>
        <w:t>Exhortamos también a los facilitadores de las líneas de acción a que aborden la igualdad de género y el empoderamiento de las mujeres y las niñas como tema central de su labor, con la plena participación de la Entidad de las Naciones Unidas para la Igualdad de Género y el Empoderamiento de las Mujeres (ONU-Mujeres) y otros interesados.</w:t>
      </w:r>
    </w:p>
    <w:p w14:paraId="3A9BB84D" w14:textId="7125EB65" w:rsidR="00064875" w:rsidRPr="004229DC" w:rsidRDefault="00064875" w:rsidP="00064875">
      <w:pPr>
        <w:jc w:val="both"/>
        <w:rPr>
          <w:i/>
          <w:lang w:val="es-ES_tradnl"/>
        </w:rPr>
      </w:pPr>
      <w:r w:rsidRPr="004229DC">
        <w:rPr>
          <w:i/>
          <w:iCs/>
          <w:lang w:val="es-ES_tradnl"/>
        </w:rPr>
        <w:t>113</w:t>
      </w:r>
      <w:r w:rsidRPr="004229DC">
        <w:rPr>
          <w:lang w:val="es-ES_tradnl"/>
        </w:rPr>
        <w:tab/>
      </w:r>
      <w:r w:rsidRPr="004229DC">
        <w:rPr>
          <w:i/>
          <w:iCs/>
          <w:lang w:val="es-ES_tradnl"/>
        </w:rPr>
        <w:t>Solicitamos a los facilitadores de las líneas de acción que, en coordinación con el Grupo de las Naciones Unidas sobre la Sociedad de la Información, elaboren hojas de ruta específicas y orientadas a los resultados para implementar sus respectivas líneas de acción y los resultados de la presente resolución, vinculando las líneas de acción de la Cumbre Mundial con las metas pertinentes de los Objetivos de Desarrollo Sostenible y los correspondientes compromisos del Pacto Digital Global e incluyendo posibles metas, indicadores y parámetros para facilitar el seguimiento y la medición, y que informen sobre los resultados de esa labor a la Comisión de Ciencia y Tecnología para el Desarrollo en 2027, durante su 30</w:t>
      </w:r>
      <w:r w:rsidR="003E655B" w:rsidRPr="004229DC">
        <w:rPr>
          <w:i/>
          <w:iCs/>
          <w:lang w:val="es-ES_tradnl"/>
        </w:rPr>
        <w:t>.</w:t>
      </w:r>
      <w:r w:rsidRPr="004229DC">
        <w:rPr>
          <w:i/>
          <w:iCs/>
          <w:lang w:val="es-ES_tradnl"/>
        </w:rPr>
        <w:t>º per</w:t>
      </w:r>
      <w:r w:rsidR="003E655B" w:rsidRPr="004229DC">
        <w:rPr>
          <w:i/>
          <w:iCs/>
          <w:lang w:val="es-ES_tradnl"/>
        </w:rPr>
        <w:t>i</w:t>
      </w:r>
      <w:r w:rsidRPr="004229DC">
        <w:rPr>
          <w:i/>
          <w:iCs/>
          <w:lang w:val="es-ES_tradnl"/>
        </w:rPr>
        <w:t>odo de sesiones.</w:t>
      </w:r>
    </w:p>
    <w:p w14:paraId="02FA3393" w14:textId="6BB3896C" w:rsidR="00064875" w:rsidRPr="004229DC" w:rsidRDefault="00F858D9" w:rsidP="00064875">
      <w:pPr>
        <w:jc w:val="both"/>
        <w:rPr>
          <w:i/>
          <w:lang w:val="es-ES_tradnl"/>
        </w:rPr>
      </w:pPr>
      <w:r w:rsidRPr="004229DC">
        <w:rPr>
          <w:i/>
          <w:iCs/>
          <w:lang w:val="es-ES_tradnl"/>
        </w:rPr>
        <w:t>114</w:t>
      </w:r>
      <w:r w:rsidR="00064875" w:rsidRPr="004229DC">
        <w:rPr>
          <w:lang w:val="es-ES_tradnl"/>
        </w:rPr>
        <w:tab/>
      </w:r>
      <w:r w:rsidR="00064875" w:rsidRPr="004229DC">
        <w:rPr>
          <w:i/>
          <w:iCs/>
          <w:lang w:val="es-ES_tradnl"/>
        </w:rPr>
        <w:t>Acogemos con beneplácito la labor de la Asociación para la Medición de las TIC para el Desarrollo, que hace una valiosa contribución a la formulación de indicadores y la recopilación y la difusión de datos sobre la sociedad de la información.</w:t>
      </w:r>
      <w:r w:rsidR="00064875" w:rsidRPr="004229DC">
        <w:rPr>
          <w:lang w:val="es-ES_tradnl"/>
        </w:rPr>
        <w:t xml:space="preserve"> </w:t>
      </w:r>
      <w:r w:rsidR="00064875" w:rsidRPr="004229DC">
        <w:rPr>
          <w:i/>
          <w:iCs/>
          <w:lang w:val="es-ES_tradnl"/>
        </w:rPr>
        <w:t>Acogemos con beneplácito la labor realizada por las entidades de las Naciones Unidas y otros interesados para formular metas, indicadores y parámetros en el marco de sus mandatos y ámbitos de especialización.</w:t>
      </w:r>
    </w:p>
    <w:p w14:paraId="53993A76" w14:textId="61ABF496" w:rsidR="00064875" w:rsidRPr="004229DC" w:rsidRDefault="00F858D9" w:rsidP="00064875">
      <w:pPr>
        <w:jc w:val="both"/>
        <w:rPr>
          <w:i/>
          <w:lang w:val="es-ES_tradnl"/>
        </w:rPr>
      </w:pPr>
      <w:r w:rsidRPr="004229DC">
        <w:rPr>
          <w:i/>
          <w:iCs/>
          <w:lang w:val="es-ES_tradnl"/>
        </w:rPr>
        <w:t>115</w:t>
      </w:r>
      <w:r w:rsidR="00064875" w:rsidRPr="004229DC">
        <w:rPr>
          <w:lang w:val="es-ES_tradnl"/>
        </w:rPr>
        <w:tab/>
      </w:r>
      <w:r w:rsidR="00064875" w:rsidRPr="004229DC">
        <w:rPr>
          <w:i/>
          <w:iCs/>
          <w:lang w:val="es-ES_tradnl"/>
        </w:rPr>
        <w:t>Nos comprometemos a seguir formulando y mejorando las metas, los indicadores y los parámetros convenidos a nivel internacional para lograr una conectividad y un desarrollo digital universales, significativos y asequibles.</w:t>
      </w:r>
      <w:r w:rsidR="00064875" w:rsidRPr="004229DC">
        <w:rPr>
          <w:lang w:val="es-ES_tradnl"/>
        </w:rPr>
        <w:t xml:space="preserve"> </w:t>
      </w:r>
      <w:r w:rsidR="00064875" w:rsidRPr="004229DC">
        <w:rPr>
          <w:i/>
          <w:iCs/>
          <w:lang w:val="es-ES_tradnl"/>
        </w:rPr>
        <w:t>Exhortamos a las Naciones Unidas y a otras organizaciones y otros foros pertinentes a que examinen periódicamente las metodologías relacionadas con los indicadores de las tecnologías de la información y de las comunicaciones, teniendo en cuenta los distintos grados de desarrollo y las circunstancias nacionales, y a que intercambien información sobre los estudios por países.</w:t>
      </w:r>
    </w:p>
    <w:p w14:paraId="38649337" w14:textId="773663C6" w:rsidR="00064875" w:rsidRPr="004229DC" w:rsidRDefault="00064875" w:rsidP="00064875">
      <w:pPr>
        <w:jc w:val="both"/>
        <w:rPr>
          <w:i/>
          <w:lang w:val="es-ES_tradnl"/>
        </w:rPr>
      </w:pPr>
      <w:r w:rsidRPr="004229DC">
        <w:rPr>
          <w:i/>
          <w:iCs/>
          <w:lang w:val="es-ES_tradnl"/>
        </w:rPr>
        <w:t>117</w:t>
      </w:r>
      <w:r w:rsidRPr="004229DC">
        <w:rPr>
          <w:lang w:val="es-ES_tradnl"/>
        </w:rPr>
        <w:tab/>
      </w:r>
      <w:r w:rsidRPr="004229DC">
        <w:rPr>
          <w:i/>
          <w:iCs/>
          <w:lang w:val="es-ES_tradnl"/>
        </w:rPr>
        <w:t>Solicitamos a la Asociación para la Medición de las TIC para el Desarrollo que, en cooperación con los facilitadores de las líneas de acción y con el apoyo de la Comisión de Estadística, lleve a cabo un examen sistemático de los indicadores y las metodologías existentes y comunique sus conclusiones a la Comisión de Ciencia y Tecnología para el Desarrollo en 2027, durante su 30</w:t>
      </w:r>
      <w:r w:rsidR="00F80EF1" w:rsidRPr="004229DC">
        <w:rPr>
          <w:i/>
          <w:iCs/>
          <w:lang w:val="es-ES_tradnl"/>
        </w:rPr>
        <w:t>.</w:t>
      </w:r>
      <w:r w:rsidRPr="004229DC">
        <w:rPr>
          <w:i/>
          <w:iCs/>
          <w:lang w:val="es-ES_tradnl"/>
        </w:rPr>
        <w:t>º per</w:t>
      </w:r>
      <w:r w:rsidR="00F80EF1" w:rsidRPr="004229DC">
        <w:rPr>
          <w:i/>
          <w:iCs/>
          <w:lang w:val="es-ES_tradnl"/>
        </w:rPr>
        <w:t>i</w:t>
      </w:r>
      <w:r w:rsidRPr="004229DC">
        <w:rPr>
          <w:i/>
          <w:iCs/>
          <w:lang w:val="es-ES_tradnl"/>
        </w:rPr>
        <w:t>odo de sesiones.</w:t>
      </w:r>
    </w:p>
    <w:p w14:paraId="0570875D" w14:textId="77777777" w:rsidR="00064875" w:rsidRPr="004229DC" w:rsidRDefault="00064875" w:rsidP="00064875">
      <w:pPr>
        <w:jc w:val="both"/>
        <w:rPr>
          <w:i/>
          <w:lang w:val="es-ES_tradnl"/>
        </w:rPr>
      </w:pPr>
      <w:r w:rsidRPr="004229DC">
        <w:rPr>
          <w:i/>
          <w:iCs/>
          <w:lang w:val="es-ES_tradnl"/>
        </w:rPr>
        <w:t>121</w:t>
      </w:r>
      <w:r w:rsidRPr="004229DC">
        <w:rPr>
          <w:lang w:val="es-ES_tradnl"/>
        </w:rPr>
        <w:tab/>
      </w:r>
      <w:r w:rsidRPr="004229DC">
        <w:rPr>
          <w:i/>
          <w:iCs/>
          <w:lang w:val="es-ES_tradnl"/>
        </w:rPr>
        <w:t xml:space="preserve">Pedimos que continúe y se refuerce la labor del Grupo de las Naciones Unidas sobre la Sociedad de la Información, con una Presidencia que rotará anualmente y una secretaría que proporcionará la Unión Internacional de Telecomunicaciones, ya que es el mecanismo </w:t>
      </w:r>
      <w:r w:rsidRPr="004229DC">
        <w:rPr>
          <w:i/>
          <w:iCs/>
          <w:lang w:val="es-ES_tradnl"/>
        </w:rPr>
        <w:lastRenderedPageBreak/>
        <w:t>interinstitucional del sistema de las Naciones Unidas para promover la coherencia de las políticas y la coordinación de los programas en materia digital.</w:t>
      </w:r>
      <w:r w:rsidRPr="004229DC">
        <w:rPr>
          <w:lang w:val="es-ES_tradnl"/>
        </w:rPr>
        <w:t xml:space="preserve"> </w:t>
      </w:r>
      <w:r w:rsidRPr="004229DC">
        <w:rPr>
          <w:i/>
          <w:iCs/>
          <w:lang w:val="es-ES_tradnl"/>
        </w:rPr>
        <w:t>Invitamos al Grupo a que aumente su agilidad, eficiencia y eficacia y amplíe su composición para incluir otras entidades de las Naciones Unidas, con miras a fomentar el diálogo multipartito, la creación de alianzas y el examen de los avances en materia de cooperación digital.</w:t>
      </w:r>
    </w:p>
    <w:p w14:paraId="4905C138" w14:textId="0D71FB31" w:rsidR="00064875" w:rsidRPr="004229DC" w:rsidRDefault="00064875" w:rsidP="00064875">
      <w:pPr>
        <w:jc w:val="both"/>
        <w:rPr>
          <w:rFonts w:cs="Calibri"/>
          <w:i/>
          <w:lang w:val="es-ES_tradnl"/>
        </w:rPr>
      </w:pPr>
      <w:r w:rsidRPr="004229DC">
        <w:rPr>
          <w:i/>
          <w:iCs/>
          <w:lang w:val="es-ES_tradnl"/>
        </w:rPr>
        <w:t>122</w:t>
      </w:r>
      <w:r w:rsidRPr="004229DC">
        <w:rPr>
          <w:lang w:val="es-ES_tradnl"/>
        </w:rPr>
        <w:tab/>
      </w:r>
      <w:r w:rsidRPr="004229DC">
        <w:rPr>
          <w:i/>
          <w:iCs/>
          <w:lang w:val="es-ES_tradnl"/>
        </w:rPr>
        <w:t>Observamos el proceso de la Cumbre Mundial y de la matriz de la Agenda 2030 y el Pacto Digital Mundial elaborada por el Grupo de las Naciones Unidas sobre la Sociedad de la Información, que articula los objetivos y compromisos del Pacto Digital Global con las estructuras, mecanismos y actividades existentes de la Cumbre Mundial, de modo que plantea un enfoque estructurado para el seguimiento y la aplicación eficaces.</w:t>
      </w:r>
      <w:r w:rsidRPr="004229DC">
        <w:rPr>
          <w:lang w:val="es-ES_tradnl"/>
        </w:rPr>
        <w:t xml:space="preserve"> </w:t>
      </w:r>
      <w:r w:rsidRPr="004229DC">
        <w:rPr>
          <w:i/>
          <w:iCs/>
          <w:lang w:val="es-ES_tradnl"/>
        </w:rPr>
        <w:t>Sobre la base de esta labor y conforme a las recomendaciones del Consejo Económico y Social, solicitamos al Grupo de las Naciones Unidas sobre la Sociedad de la información que, en el marco de los mandatos y recursos existentes, prepare una hoja de ruta para la aplicación conjunta, que se presentará a la Comisión de Ciencia y Tecnología para el Desarrollo para que la examine en 2026, durante su 29</w:t>
      </w:r>
      <w:r w:rsidR="00F80EF1" w:rsidRPr="004229DC">
        <w:rPr>
          <w:i/>
          <w:iCs/>
          <w:lang w:val="es-ES_tradnl"/>
        </w:rPr>
        <w:t>.</w:t>
      </w:r>
      <w:r w:rsidRPr="004229DC">
        <w:rPr>
          <w:i/>
          <w:iCs/>
          <w:lang w:val="es-ES_tradnl"/>
        </w:rPr>
        <w:t>º per</w:t>
      </w:r>
      <w:r w:rsidR="00F80EF1" w:rsidRPr="004229DC">
        <w:rPr>
          <w:i/>
          <w:iCs/>
          <w:lang w:val="es-ES_tradnl"/>
        </w:rPr>
        <w:t>i</w:t>
      </w:r>
      <w:r w:rsidRPr="004229DC">
        <w:rPr>
          <w:i/>
          <w:iCs/>
          <w:lang w:val="es-ES_tradnl"/>
        </w:rPr>
        <w:t>odo de sesiones.</w:t>
      </w:r>
      <w:r w:rsidRPr="004229DC">
        <w:rPr>
          <w:lang w:val="es-ES_tradnl"/>
        </w:rPr>
        <w:t xml:space="preserve"> </w:t>
      </w:r>
      <w:r w:rsidRPr="004229DC">
        <w:rPr>
          <w:i/>
          <w:iCs/>
          <w:lang w:val="es-ES_tradnl"/>
        </w:rPr>
        <w:t>La hoja de ruta debe tener por objetivo reforzar la coherencia entre la Cumbre Mundial y el Pacto Digital Global para garantizar un enfoque de la cooperación digital unificado que haga un uso eficiente de los recursos, evite las duplicaciones y maximice las sinergias en todo el sistema de las Naciones Unidas.</w:t>
      </w:r>
    </w:p>
    <w:p w14:paraId="7CD2514A" w14:textId="77777777" w:rsidR="00064875" w:rsidRPr="004229DC" w:rsidRDefault="00064875" w:rsidP="00064875">
      <w:pPr>
        <w:jc w:val="both"/>
        <w:rPr>
          <w:i/>
          <w:lang w:val="es-ES_tradnl"/>
        </w:rPr>
      </w:pPr>
      <w:r w:rsidRPr="004229DC">
        <w:rPr>
          <w:i/>
          <w:iCs/>
          <w:lang w:val="es-ES_tradnl"/>
        </w:rPr>
        <w:t>127</w:t>
      </w:r>
      <w:r w:rsidRPr="004229DC">
        <w:rPr>
          <w:lang w:val="es-ES_tradnl"/>
        </w:rPr>
        <w:tab/>
      </w:r>
      <w:r w:rsidRPr="004229DC">
        <w:rPr>
          <w:i/>
          <w:iCs/>
          <w:lang w:val="es-ES_tradnl"/>
        </w:rPr>
        <w:t>Solicitamos a la Asamblea General que celebre en 2035 una reunión de alto nivel sobre el examen general de la aplicación de los resultados de la Cumbre Mundial sobre la Sociedad de la Información, con las aportaciones y la participación de todos los interesados, incluso en el proceso preparatorio, y que haga un balance de los progresos y las dificultades en relación con los resultados de la Cumbre Mundial y determine las esferas a las que haya que seguir prestando atención.</w:t>
      </w:r>
    </w:p>
    <w:p w14:paraId="68BE3B2C" w14:textId="77777777" w:rsidR="00F80EF1" w:rsidRPr="004229DC" w:rsidRDefault="00F80EF1" w:rsidP="00DE7838">
      <w:pPr>
        <w:pStyle w:val="Reasons"/>
        <w:jc w:val="both"/>
        <w:rPr>
          <w:lang w:val="es-ES_tradnl"/>
        </w:rPr>
      </w:pPr>
    </w:p>
    <w:p w14:paraId="64F105E9" w14:textId="77777777" w:rsidR="00F80EF1" w:rsidRPr="004229DC" w:rsidRDefault="00F80EF1">
      <w:pPr>
        <w:jc w:val="center"/>
        <w:rPr>
          <w:lang w:val="es-ES_tradnl"/>
        </w:rPr>
      </w:pPr>
      <w:r w:rsidRPr="004229DC">
        <w:rPr>
          <w:lang w:val="es-ES_tradnl"/>
        </w:rPr>
        <w:t>______________</w:t>
      </w:r>
    </w:p>
    <w:sectPr w:rsidR="00F80EF1" w:rsidRPr="004229DC" w:rsidSect="004229DC">
      <w:footerReference w:type="default" r:id="rId62"/>
      <w:headerReference w:type="first" r:id="rId63"/>
      <w:footerReference w:type="first" r:id="rId64"/>
      <w:pgSz w:w="11907" w:h="16834"/>
      <w:pgMar w:top="1247" w:right="1418" w:bottom="1247"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A2CF" w14:textId="77777777" w:rsidR="00224B17" w:rsidRDefault="00224B17">
      <w:r>
        <w:separator/>
      </w:r>
    </w:p>
  </w:endnote>
  <w:endnote w:type="continuationSeparator" w:id="0">
    <w:p w14:paraId="69EFBB3D" w14:textId="77777777" w:rsidR="00224B17" w:rsidRDefault="0022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E1B41E9" w14:textId="77777777" w:rsidTr="00E31DCE">
      <w:trPr>
        <w:jc w:val="center"/>
      </w:trPr>
      <w:tc>
        <w:tcPr>
          <w:tcW w:w="1803" w:type="dxa"/>
          <w:vAlign w:val="center"/>
        </w:tcPr>
        <w:p w14:paraId="4CE53E68" w14:textId="08408009" w:rsidR="003273A4" w:rsidRDefault="002946E2" w:rsidP="003273A4">
          <w:pPr>
            <w:pStyle w:val="Header"/>
            <w:jc w:val="left"/>
            <w:rPr>
              <w:noProof/>
            </w:rPr>
          </w:pPr>
          <w:r>
            <w:rPr>
              <w:noProof/>
            </w:rPr>
            <w:t xml:space="preserve">gDoc </w:t>
          </w:r>
          <w:r w:rsidR="00323A7A">
            <w:rPr>
              <w:noProof/>
            </w:rPr>
            <w:t>2600456</w:t>
          </w:r>
        </w:p>
      </w:tc>
      <w:tc>
        <w:tcPr>
          <w:tcW w:w="8261" w:type="dxa"/>
        </w:tcPr>
        <w:p w14:paraId="1197F83F" w14:textId="5ACAA284"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64875">
            <w:rPr>
              <w:bCs/>
            </w:rPr>
            <w:t>59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6BC43E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E1E1A2F" w14:textId="77777777" w:rsidTr="00E31DCE">
      <w:trPr>
        <w:jc w:val="center"/>
      </w:trPr>
      <w:tc>
        <w:tcPr>
          <w:tcW w:w="1803" w:type="dxa"/>
          <w:vAlign w:val="center"/>
        </w:tcPr>
        <w:p w14:paraId="7EAC7A40"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9DAE8B4" w14:textId="008D9E03"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64875">
            <w:rPr>
              <w:bCs/>
            </w:rPr>
            <w:t>59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3DF39E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5F91" w14:textId="77777777" w:rsidR="00224B17" w:rsidRDefault="00224B17">
      <w:r>
        <w:t>____________________</w:t>
      </w:r>
    </w:p>
  </w:footnote>
  <w:footnote w:type="continuationSeparator" w:id="0">
    <w:p w14:paraId="084B5B5B" w14:textId="77777777" w:rsidR="00224B17" w:rsidRDefault="00224B17">
      <w:r>
        <w:continuationSeparator/>
      </w:r>
    </w:p>
  </w:footnote>
  <w:footnote w:id="1">
    <w:p w14:paraId="2B857CD2" w14:textId="06924631" w:rsidR="00064875" w:rsidRPr="002D28DA" w:rsidRDefault="00064875" w:rsidP="00064875">
      <w:pPr>
        <w:pStyle w:val="FootnoteText"/>
        <w:jc w:val="both"/>
        <w:rPr>
          <w:lang w:val="es-ES"/>
        </w:rPr>
      </w:pPr>
      <w:r w:rsidRPr="00EE53F9">
        <w:rPr>
          <w:rStyle w:val="FootnoteReference"/>
          <w:lang w:val="es-ES"/>
        </w:rPr>
        <w:footnoteRef/>
      </w:r>
      <w:r>
        <w:rPr>
          <w:lang w:val="es-ES"/>
        </w:rPr>
        <w:tab/>
        <w:t xml:space="preserve">Lista de oradores representantes de Estados Miembros, observadores y partes interesadas de la CMSI+20: </w:t>
      </w:r>
      <w:r w:rsidRPr="00323A7A">
        <w:rPr>
          <w:rStyle w:val="FollowedHyperlink"/>
          <w:lang w:val="es-ES"/>
        </w:rPr>
        <w:t>https://e-speakers.e-delegate.un.org/6932eb7b26106187a2e18d9705122025</w:t>
      </w:r>
      <w:r>
        <w:rPr>
          <w:lang w:val="es-ES"/>
        </w:rPr>
        <w:t>.</w:t>
      </w:r>
      <w:hyperlink r:id="rId1" w:history="1"/>
    </w:p>
  </w:footnote>
  <w:footnote w:id="2">
    <w:p w14:paraId="3B123E5C" w14:textId="5D0167B3" w:rsidR="00064875" w:rsidRPr="002D28DA" w:rsidRDefault="00064875" w:rsidP="00064875">
      <w:pPr>
        <w:pStyle w:val="FootnoteText"/>
        <w:rPr>
          <w:lang w:val="es-ES"/>
        </w:rPr>
      </w:pPr>
      <w:r w:rsidRPr="00170713">
        <w:rPr>
          <w:rStyle w:val="FootnoteReference"/>
          <w:szCs w:val="16"/>
          <w:lang w:val="es-ES"/>
        </w:rPr>
        <w:footnoteRef/>
      </w:r>
      <w:r>
        <w:rPr>
          <w:lang w:val="es-ES"/>
        </w:rPr>
        <w:tab/>
        <w:t xml:space="preserve">Declaraciones formuladas el 16 de diciembre: </w:t>
      </w:r>
      <w:hyperlink r:id="rId2" w:history="1">
        <w:r w:rsidR="00E27934" w:rsidRPr="00B370E4">
          <w:rPr>
            <w:rStyle w:val="Hyperlink"/>
            <w:rFonts w:eastAsia="Times New Roman" w:cs="Times New Roman"/>
            <w:szCs w:val="20"/>
            <w:lang w:val="es-ES"/>
          </w:rPr>
          <w:t>https://</w:t>
        </w:r>
        <w:proofErr w:type="spellStart"/>
        <w:r w:rsidR="00E27934" w:rsidRPr="00B370E4">
          <w:rPr>
            <w:rStyle w:val="Hyperlink"/>
            <w:rFonts w:eastAsia="Times New Roman" w:cs="Times New Roman"/>
            <w:szCs w:val="20"/>
            <w:lang w:val="es-ES"/>
          </w:rPr>
          <w:t>journal.un.org</w:t>
        </w:r>
        <w:proofErr w:type="spellEnd"/>
        <w:r w:rsidR="00E27934" w:rsidRPr="00B370E4">
          <w:rPr>
            <w:rStyle w:val="Hyperlink"/>
            <w:rFonts w:eastAsia="Times New Roman" w:cs="Times New Roman"/>
            <w:szCs w:val="20"/>
            <w:lang w:val="es-ES"/>
          </w:rPr>
          <w:t>/es/new-york/</w:t>
        </w:r>
        <w:proofErr w:type="spellStart"/>
        <w:r w:rsidR="00E27934" w:rsidRPr="00B370E4">
          <w:rPr>
            <w:rStyle w:val="Hyperlink"/>
            <w:rFonts w:eastAsia="Times New Roman" w:cs="Times New Roman"/>
            <w:szCs w:val="20"/>
            <w:lang w:val="es-ES"/>
          </w:rPr>
          <w:t>officials</w:t>
        </w:r>
        <w:proofErr w:type="spellEnd"/>
        <w:r w:rsidR="00E27934" w:rsidRPr="00B370E4">
          <w:rPr>
            <w:rStyle w:val="Hyperlink"/>
            <w:rFonts w:eastAsia="Times New Roman" w:cs="Times New Roman"/>
            <w:szCs w:val="20"/>
            <w:lang w:val="es-ES"/>
          </w:rPr>
          <w:t>/2025-12-16</w:t>
        </w:r>
      </w:hyperlink>
      <w:r>
        <w:rPr>
          <w:lang w:val="es-ES"/>
        </w:rPr>
        <w:t xml:space="preserve">: </w:t>
      </w:r>
      <w:hyperlink r:id="rId3" w:history="1">
        <w:r w:rsidRPr="00664C08">
          <w:rPr>
            <w:rStyle w:val="Hyperlink"/>
            <w:rFonts w:eastAsia="Times New Roman" w:cs="Times New Roman"/>
            <w:szCs w:val="20"/>
            <w:lang w:val="es-ES"/>
          </w:rPr>
          <w:t>https://</w:t>
        </w:r>
        <w:proofErr w:type="spellStart"/>
        <w:r w:rsidRPr="00664C08">
          <w:rPr>
            <w:rStyle w:val="Hyperlink"/>
            <w:rFonts w:eastAsia="Times New Roman" w:cs="Times New Roman"/>
            <w:szCs w:val="20"/>
            <w:lang w:val="es-ES"/>
          </w:rPr>
          <w:t>journal.un.org</w:t>
        </w:r>
        <w:proofErr w:type="spellEnd"/>
        <w:r w:rsidRPr="00664C08">
          <w:rPr>
            <w:rStyle w:val="Hyperlink"/>
            <w:rFonts w:eastAsia="Times New Roman" w:cs="Times New Roman"/>
            <w:szCs w:val="20"/>
            <w:lang w:val="es-ES"/>
          </w:rPr>
          <w:t>/es/new-york/</w:t>
        </w:r>
        <w:proofErr w:type="spellStart"/>
        <w:r w:rsidRPr="00664C08">
          <w:rPr>
            <w:rStyle w:val="Hyperlink"/>
            <w:rFonts w:eastAsia="Times New Roman" w:cs="Times New Roman"/>
            <w:szCs w:val="20"/>
            <w:lang w:val="es-ES"/>
          </w:rPr>
          <w:t>officials</w:t>
        </w:r>
        <w:proofErr w:type="spellEnd"/>
        <w:r w:rsidRPr="00664C08">
          <w:rPr>
            <w:rStyle w:val="Hyperlink"/>
            <w:rFonts w:eastAsia="Times New Roman" w:cs="Times New Roman"/>
            <w:szCs w:val="20"/>
            <w:lang w:val="es-ES"/>
          </w:rPr>
          <w:t>/2025-12-17</w:t>
        </w:r>
      </w:hyperlink>
      <w:r>
        <w:rPr>
          <w:lang w:val="es-ES"/>
        </w:rPr>
        <w:t>.</w:t>
      </w:r>
      <w:hyperlink r:id="rId4" w:history="1"/>
      <w:hyperlink r:id="rId5" w:history="1"/>
    </w:p>
  </w:footnote>
  <w:footnote w:id="3">
    <w:p w14:paraId="45EF207F" w14:textId="67B8EAAC" w:rsidR="00064875" w:rsidRPr="002D28DA" w:rsidRDefault="00064875" w:rsidP="00064875">
      <w:pPr>
        <w:pStyle w:val="FootnoteText"/>
        <w:rPr>
          <w:lang w:val="es-ES"/>
        </w:rPr>
      </w:pPr>
      <w:r>
        <w:rPr>
          <w:rStyle w:val="FootnoteReference"/>
          <w:lang w:val="es-ES"/>
        </w:rPr>
        <w:footnoteRef/>
      </w:r>
      <w:r>
        <w:rPr>
          <w:lang w:val="es-ES"/>
        </w:rPr>
        <w:tab/>
        <w:t>Declaración de la Sra.</w:t>
      </w:r>
      <w:r w:rsidR="00664C08">
        <w:rPr>
          <w:lang w:val="es-ES"/>
        </w:rPr>
        <w:t> </w:t>
      </w:r>
      <w:r>
        <w:rPr>
          <w:lang w:val="es-ES"/>
        </w:rPr>
        <w:t xml:space="preserve">Doreen Bogdan-Martin, Secretaria General de la UIT: </w:t>
      </w:r>
      <w:hyperlink r:id="rId6" w:history="1">
        <w:r w:rsidR="00664C08" w:rsidRPr="00664C08">
          <w:rPr>
            <w:rStyle w:val="Hyperlink"/>
            <w:rFonts w:eastAsia="Times New Roman" w:cs="Times New Roman"/>
            <w:szCs w:val="20"/>
            <w:lang w:val="es-ES"/>
          </w:rPr>
          <w:t>https://estatements.un.org/estatements/10.0010/20251216150000000/CFfKXYwvMAL/YNEvUnmWgS_nyc_en.pdf</w:t>
        </w:r>
      </w:hyperlink>
      <w:r>
        <w:rPr>
          <w:lang w:val="es-ES"/>
        </w:rPr>
        <w:t>.</w:t>
      </w:r>
      <w:hyperlink r:id="rId7" w:history="1"/>
    </w:p>
  </w:footnote>
  <w:footnote w:id="4">
    <w:p w14:paraId="01BE7026" w14:textId="7A3D5D58" w:rsidR="00064875" w:rsidRPr="00323A7A" w:rsidRDefault="00064875" w:rsidP="00675C41">
      <w:pPr>
        <w:pStyle w:val="FootnoteText"/>
        <w:jc w:val="both"/>
        <w:rPr>
          <w:lang w:val="es-ES"/>
        </w:rPr>
      </w:pPr>
      <w:r>
        <w:rPr>
          <w:rStyle w:val="FootnoteReference"/>
          <w:lang w:val="es-ES"/>
        </w:rPr>
        <w:footnoteRef/>
      </w:r>
      <w:r>
        <w:rPr>
          <w:lang w:val="es-ES"/>
        </w:rPr>
        <w:tab/>
        <w:t>Declaración del Excmo. Sr.</w:t>
      </w:r>
      <w:r w:rsidR="00D429DB">
        <w:rPr>
          <w:lang w:val="es-ES"/>
        </w:rPr>
        <w:t> </w:t>
      </w:r>
      <w:r>
        <w:rPr>
          <w:lang w:val="es-ES"/>
        </w:rPr>
        <w:t xml:space="preserve">Solly Malatsi, Ministro de Comunicaciones y Tecnologías Digitales de Sudáfrica: </w:t>
      </w:r>
      <w:hyperlink r:id="rId8" w:history="1">
        <w:r w:rsidRPr="001B00CB">
          <w:rPr>
            <w:rStyle w:val="Hyperlink"/>
            <w:rFonts w:eastAsia="Times New Roman" w:cs="Times New Roman"/>
            <w:szCs w:val="20"/>
            <w:lang w:val="es-ES"/>
          </w:rPr>
          <w:t>https://estatements.un.org/estatements/10,0010/20251216100000000/fsvEYyHnNDt/sJcKcYYu_nyc_en.pdf.</w:t>
        </w:r>
      </w:hyperlink>
      <w:hyperlink r:id="rId9"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406B"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75"/>
    <w:rsid w:val="000007D1"/>
    <w:rsid w:val="00034BE1"/>
    <w:rsid w:val="0006007D"/>
    <w:rsid w:val="00064875"/>
    <w:rsid w:val="00093EEB"/>
    <w:rsid w:val="000B0D00"/>
    <w:rsid w:val="000B1A6E"/>
    <w:rsid w:val="000B7C15"/>
    <w:rsid w:val="000D1D0F"/>
    <w:rsid w:val="000E3F07"/>
    <w:rsid w:val="000F5290"/>
    <w:rsid w:val="000F5A95"/>
    <w:rsid w:val="0010165C"/>
    <w:rsid w:val="00146BFB"/>
    <w:rsid w:val="001554CA"/>
    <w:rsid w:val="001559F5"/>
    <w:rsid w:val="00157AC4"/>
    <w:rsid w:val="0016169C"/>
    <w:rsid w:val="001721EC"/>
    <w:rsid w:val="001958F5"/>
    <w:rsid w:val="001B00CB"/>
    <w:rsid w:val="001B6E2B"/>
    <w:rsid w:val="001D68F0"/>
    <w:rsid w:val="001F14A2"/>
    <w:rsid w:val="00224B17"/>
    <w:rsid w:val="00234E61"/>
    <w:rsid w:val="00277DEA"/>
    <w:rsid w:val="002801AA"/>
    <w:rsid w:val="00287023"/>
    <w:rsid w:val="002946E2"/>
    <w:rsid w:val="002C1AC6"/>
    <w:rsid w:val="002C3F32"/>
    <w:rsid w:val="002C4676"/>
    <w:rsid w:val="002C70B0"/>
    <w:rsid w:val="002F3CC4"/>
    <w:rsid w:val="003032E2"/>
    <w:rsid w:val="0031300A"/>
    <w:rsid w:val="00323A7A"/>
    <w:rsid w:val="003273A4"/>
    <w:rsid w:val="0034712E"/>
    <w:rsid w:val="0034796E"/>
    <w:rsid w:val="003809F9"/>
    <w:rsid w:val="003E655B"/>
    <w:rsid w:val="004229DC"/>
    <w:rsid w:val="00454ECF"/>
    <w:rsid w:val="004571B0"/>
    <w:rsid w:val="00465C35"/>
    <w:rsid w:val="00473962"/>
    <w:rsid w:val="004923CC"/>
    <w:rsid w:val="00494CD4"/>
    <w:rsid w:val="004B5D49"/>
    <w:rsid w:val="004C5EBE"/>
    <w:rsid w:val="004D3A3C"/>
    <w:rsid w:val="00513630"/>
    <w:rsid w:val="00560125"/>
    <w:rsid w:val="00585553"/>
    <w:rsid w:val="005B34D9"/>
    <w:rsid w:val="005D0CCF"/>
    <w:rsid w:val="005F0915"/>
    <w:rsid w:val="005F3BCB"/>
    <w:rsid w:val="005F410F"/>
    <w:rsid w:val="0060149A"/>
    <w:rsid w:val="00601924"/>
    <w:rsid w:val="006044E4"/>
    <w:rsid w:val="006447EA"/>
    <w:rsid w:val="0064481D"/>
    <w:rsid w:val="0064731F"/>
    <w:rsid w:val="00651C7F"/>
    <w:rsid w:val="00664572"/>
    <w:rsid w:val="00664C08"/>
    <w:rsid w:val="00666D09"/>
    <w:rsid w:val="00670579"/>
    <w:rsid w:val="006710F6"/>
    <w:rsid w:val="00675C41"/>
    <w:rsid w:val="00677A97"/>
    <w:rsid w:val="0069787D"/>
    <w:rsid w:val="006A22FA"/>
    <w:rsid w:val="006C1B56"/>
    <w:rsid w:val="006D4761"/>
    <w:rsid w:val="006D5347"/>
    <w:rsid w:val="006F0505"/>
    <w:rsid w:val="006F6077"/>
    <w:rsid w:val="00711C21"/>
    <w:rsid w:val="00726872"/>
    <w:rsid w:val="00760F1C"/>
    <w:rsid w:val="00765496"/>
    <w:rsid w:val="007657F0"/>
    <w:rsid w:val="0077110E"/>
    <w:rsid w:val="0077252D"/>
    <w:rsid w:val="00794EAF"/>
    <w:rsid w:val="007955DA"/>
    <w:rsid w:val="007E5DD3"/>
    <w:rsid w:val="007F350B"/>
    <w:rsid w:val="00820BE4"/>
    <w:rsid w:val="008451E8"/>
    <w:rsid w:val="0084546D"/>
    <w:rsid w:val="0086683E"/>
    <w:rsid w:val="008F6ABC"/>
    <w:rsid w:val="00913B9C"/>
    <w:rsid w:val="00914E7A"/>
    <w:rsid w:val="009209D2"/>
    <w:rsid w:val="00927F93"/>
    <w:rsid w:val="00950CBA"/>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668FA"/>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429DB"/>
    <w:rsid w:val="00D50A36"/>
    <w:rsid w:val="00D52F61"/>
    <w:rsid w:val="00D62446"/>
    <w:rsid w:val="00DA4EA2"/>
    <w:rsid w:val="00DC3D3E"/>
    <w:rsid w:val="00DE2C90"/>
    <w:rsid w:val="00DE3B24"/>
    <w:rsid w:val="00DE7376"/>
    <w:rsid w:val="00DE7838"/>
    <w:rsid w:val="00E06947"/>
    <w:rsid w:val="00E11319"/>
    <w:rsid w:val="00E21444"/>
    <w:rsid w:val="00E27934"/>
    <w:rsid w:val="00E34072"/>
    <w:rsid w:val="00E3592D"/>
    <w:rsid w:val="00E50D76"/>
    <w:rsid w:val="00E8018B"/>
    <w:rsid w:val="00E92DE8"/>
    <w:rsid w:val="00EB1212"/>
    <w:rsid w:val="00EB1881"/>
    <w:rsid w:val="00ED65AB"/>
    <w:rsid w:val="00EE6767"/>
    <w:rsid w:val="00EF5DF9"/>
    <w:rsid w:val="00F12850"/>
    <w:rsid w:val="00F24B71"/>
    <w:rsid w:val="00F33BF4"/>
    <w:rsid w:val="00F5110B"/>
    <w:rsid w:val="00F7105E"/>
    <w:rsid w:val="00F75F57"/>
    <w:rsid w:val="00F80EF1"/>
    <w:rsid w:val="00F82FEE"/>
    <w:rsid w:val="00F858D9"/>
    <w:rsid w:val="00F85E5C"/>
    <w:rsid w:val="00F92BED"/>
    <w:rsid w:val="00FD57D3"/>
    <w:rsid w:val="00FE57F6"/>
    <w:rsid w:val="00FE6A6C"/>
    <w:rsid w:val="00FF086B"/>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BCD602"/>
  <w15:docId w15:val="{186D3218-2291-437F-AB9E-12DD3552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4229DC"/>
    <w:pPr>
      <w:spacing w:before="840"/>
    </w:pPr>
    <w:rPr>
      <w:b/>
      <w:sz w:val="32"/>
    </w:rPr>
  </w:style>
  <w:style w:type="paragraph" w:customStyle="1" w:styleId="Data">
    <w:name w:val="Data"/>
    <w:basedOn w:val="Subject"/>
    <w:next w:val="Subject"/>
    <w:rsid w:val="000F5A95"/>
  </w:style>
  <w:style w:type="character" w:styleId="Hyperlink">
    <w:name w:val="Hyperlink"/>
    <w:aliases w:val="超级链接,Style 58,超?级链,超????,하이퍼링크2,하이퍼링크21,超链接1,CEO_Hyperlink,超??级链Ú,fL????,fL?级,超??级链"/>
    <w:basedOn w:val="DefaultParagraphFont"/>
    <w:uiPriority w:val="99"/>
    <w:qForma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323A7A"/>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net/wsis/implementation/2014/forum/inc/doc/outcome/362828V2E.pdf" TargetMode="External"/><Relationship Id="rId21" Type="http://schemas.openxmlformats.org/officeDocument/2006/relationships/hyperlink" Target="https://www.itu.int/md/S23-CL-C-0120/es" TargetMode="External"/><Relationship Id="rId34" Type="http://schemas.openxmlformats.org/officeDocument/2006/relationships/hyperlink" Target="https://publicadministration.desa.un.org/es/node/2847" TargetMode="External"/><Relationship Id="rId42" Type="http://schemas.openxmlformats.org/officeDocument/2006/relationships/hyperlink" Target="https://www.itu.int/net/wsis/docs/geneva/official/dop.html" TargetMode="External"/><Relationship Id="rId47" Type="http://schemas.openxmlformats.org/officeDocument/2006/relationships/hyperlink" Target="https://www.itu.int/net4/wsis/ungis/content/upload/doc/roadmaps/ITU-WSIS20-Roadmap.pdf" TargetMode="External"/><Relationship Id="rId50" Type="http://schemas.openxmlformats.org/officeDocument/2006/relationships/hyperlink" Target="https://www.itu.int/en/itu-wsis/Documents/WSIS20/WSIS+20Report.pdf" TargetMode="External"/><Relationship Id="rId55" Type="http://schemas.openxmlformats.org/officeDocument/2006/relationships/hyperlink" Target="https://www.itu.int/net4/wsis/forum/2025/Agenda/Session/554" TargetMode="External"/><Relationship Id="rId63" Type="http://schemas.openxmlformats.org/officeDocument/2006/relationships/header" Target="header1.xml"/><Relationship Id="rId7" Type="http://schemas.openxmlformats.org/officeDocument/2006/relationships/hyperlink" Target="https://www.un.org/en/ga/search/view_doc.asp?symbol=A/RES/70/125" TargetMode="External"/><Relationship Id="rId2" Type="http://schemas.openxmlformats.org/officeDocument/2006/relationships/styles" Target="styles.xml"/><Relationship Id="rId16" Type="http://schemas.openxmlformats.org/officeDocument/2006/relationships/hyperlink" Target="https://docs.un.org/es/E/RES/2025/18" TargetMode="External"/><Relationship Id="rId29" Type="http://schemas.openxmlformats.org/officeDocument/2006/relationships/hyperlink" Target="https://www.itu.int/md/S22-CWGWSIS38-C-0014/es" TargetMode="External"/><Relationship Id="rId11" Type="http://schemas.openxmlformats.org/officeDocument/2006/relationships/hyperlink" Target="http://www.un.org/en/ga/search/view_doc.asp?symbol=A/RES/70/299" TargetMode="External"/><Relationship Id="rId24" Type="http://schemas.openxmlformats.org/officeDocument/2006/relationships/hyperlink" Target="https://www.itu.int/pub/R-RES-R.61-3-2023/es" TargetMode="External"/><Relationship Id="rId32" Type="http://schemas.openxmlformats.org/officeDocument/2006/relationships/hyperlink" Target="https://unctad.org/system/files/official-document/ecn162025d4_en.pdf" TargetMode="External"/><Relationship Id="rId37" Type="http://schemas.openxmlformats.org/officeDocument/2006/relationships/hyperlink" Target="https://publicadministration.desa.un.org/wsis20/GA%20High-Level-Meeting" TargetMode="External"/><Relationship Id="rId40" Type="http://schemas.openxmlformats.org/officeDocument/2006/relationships/hyperlink" Target="https://www.itu.int/net/wsis/docs/geneva/official/dop.html" TargetMode="External"/><Relationship Id="rId45" Type="http://schemas.openxmlformats.org/officeDocument/2006/relationships/hyperlink" Target="https://docs.un.org/A/RES/80/173" TargetMode="External"/><Relationship Id="rId53" Type="http://schemas.openxmlformats.org/officeDocument/2006/relationships/hyperlink" Target="https://www.itu.int/en/itu-wsis/Pages/CWG-WSIS%26SDG_Call_for_Inputs_2025.aspx" TargetMode="External"/><Relationship Id="rId58" Type="http://schemas.openxmlformats.org/officeDocument/2006/relationships/hyperlink" Target="https://www.itu.int/initiatives/digital-unga2025/wsis20-edition/"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itu.int/go/IU59" TargetMode="External"/><Relationship Id="rId19" Type="http://schemas.openxmlformats.org/officeDocument/2006/relationships/hyperlink" Target="https://www.itu.int/en/council/Documents/basic-texts-2023/RES-071-E.pdf" TargetMode="External"/><Relationship Id="rId14" Type="http://schemas.openxmlformats.org/officeDocument/2006/relationships/hyperlink" Target="https://docs.un.org/es/A/RES/79/277" TargetMode="External"/><Relationship Id="rId22" Type="http://schemas.openxmlformats.org/officeDocument/2006/relationships/hyperlink" Target="https://www.itu.int/itu-d/meetings/wtdc25/wp-content/uploads/sites/29/2025/11/090-E.pdf" TargetMode="External"/><Relationship Id="rId27" Type="http://schemas.openxmlformats.org/officeDocument/2006/relationships/hyperlink" Target="https://www.itu.int/en/ITU-D/Statistics/Documents/publications/wsisreview2014/WSIS2014_review.pdf" TargetMode="External"/><Relationship Id="rId30" Type="http://schemas.openxmlformats.org/officeDocument/2006/relationships/hyperlink" Target="https://view.officeapps.live.com/op/view.aspx?src=https%3A%2F%2Fwww.itu.int%2Fdms_pub%2Fitu-s%2Fmd%2F22%2Fcl%2Fc%2FS22-CL-C-0059!!MSW-E.docx&amp;wdOrigin=BROWSELINK" TargetMode="External"/><Relationship Id="rId35" Type="http://schemas.openxmlformats.org/officeDocument/2006/relationships/hyperlink" Target="https://docs.un.org/es/a/res/70/125" TargetMode="External"/><Relationship Id="rId43" Type="http://schemas.openxmlformats.org/officeDocument/2006/relationships/hyperlink" Target="https://www.itu.int/net/wsis/docs2/tunis/off/6rev1.html" TargetMode="External"/><Relationship Id="rId48" Type="http://schemas.openxmlformats.org/officeDocument/2006/relationships/hyperlink" Target="https://publicadministration.desa.un.org/wsis20" TargetMode="External"/><Relationship Id="rId56" Type="http://schemas.openxmlformats.org/officeDocument/2006/relationships/hyperlink" Target="https://www.itu.int/net4/wsis/forum/2025/es/Agenda/Session/555" TargetMode="External"/><Relationship Id="rId64" Type="http://schemas.openxmlformats.org/officeDocument/2006/relationships/footer" Target="footer2.xml"/><Relationship Id="rId8" Type="http://schemas.openxmlformats.org/officeDocument/2006/relationships/hyperlink" Target="http://www.un.org/en/ga/search/view_doc.asp?symbol=A/RES/70/1" TargetMode="External"/><Relationship Id="rId51" Type="http://schemas.openxmlformats.org/officeDocument/2006/relationships/hyperlink" Target="https://www.itu.int/en/itu-wsis/Documents/WSIS20/WSIS+20Report.pdf" TargetMode="External"/><Relationship Id="rId3" Type="http://schemas.openxmlformats.org/officeDocument/2006/relationships/settings" Target="settings.xml"/><Relationship Id="rId12" Type="http://schemas.openxmlformats.org/officeDocument/2006/relationships/hyperlink" Target="https://www.un.org/ga/search/view_doc.asp?symbol=A/70/684" TargetMode="External"/><Relationship Id="rId17" Type="http://schemas.openxmlformats.org/officeDocument/2006/relationships/hyperlink" Target="https://www.itu.int/en/council/Documents/basic-texts-2023/RES-140-E.pdf" TargetMode="External"/><Relationship Id="rId25" Type="http://schemas.openxmlformats.org/officeDocument/2006/relationships/hyperlink" Target="https://www.itu.int/net/wsis/implementation/2014/forum/inc/doc/outcome/362828V2E.pdf" TargetMode="External"/><Relationship Id="rId33" Type="http://schemas.openxmlformats.org/officeDocument/2006/relationships/hyperlink" Target="https://publicadministration.desa.un.org/sites/default/files/2021-04/2025/WSIS%2B20_ZERO_DRAFT.pdf" TargetMode="External"/><Relationship Id="rId38" Type="http://schemas.openxmlformats.org/officeDocument/2006/relationships/hyperlink" Target="https://docs.un.org/a/res/70/125" TargetMode="External"/><Relationship Id="rId46" Type="http://schemas.openxmlformats.org/officeDocument/2006/relationships/hyperlink" Target="https://publicadministration.desa.un.org/es/node/2824" TargetMode="External"/><Relationship Id="rId59" Type="http://schemas.openxmlformats.org/officeDocument/2006/relationships/hyperlink" Target="https://www.itu.int/initiatives/digital-unga2025/wsis20-edition/" TargetMode="External"/><Relationship Id="rId20" Type="http://schemas.openxmlformats.org/officeDocument/2006/relationships/hyperlink" Target="https://www.itu.int/md/S24-CL-C-0141/es" TargetMode="External"/><Relationship Id="rId41" Type="http://schemas.openxmlformats.org/officeDocument/2006/relationships/hyperlink" Target="https://www.itu.int/net/wsis/docs2/tunis/off/6rev1.html" TargetMode="External"/><Relationship Id="rId54" Type="http://schemas.openxmlformats.org/officeDocument/2006/relationships/hyperlink" Target="https://www.itu.int/net4/wsis/forum/2025/es/Agenda/Session/554"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cs.un.org/es/A/RES/80/173" TargetMode="External"/><Relationship Id="rId23" Type="http://schemas.openxmlformats.org/officeDocument/2006/relationships/hyperlink" Target="https://www.itu.int/pub/T-RES-T.75-2022/es" TargetMode="External"/><Relationship Id="rId28" Type="http://schemas.openxmlformats.org/officeDocument/2006/relationships/hyperlink" Target="https://www.itu.int/en/itu-wsis/Documents/WSIS+10Report.pdf" TargetMode="External"/><Relationship Id="rId36" Type="http://schemas.openxmlformats.org/officeDocument/2006/relationships/hyperlink" Target="https://docs.un.org/es/A/RES/79/277" TargetMode="External"/><Relationship Id="rId49" Type="http://schemas.openxmlformats.org/officeDocument/2006/relationships/hyperlink" Target="https://www.itu.int/net4/wsis/ungis/content/upload/doc/roadmaps/ITU-WSIS20-Roadmap.pdf" TargetMode="External"/><Relationship Id="rId57" Type="http://schemas.openxmlformats.org/officeDocument/2006/relationships/hyperlink" Target="https://www.itu.int/net4/wsis/forum/2025/Agenda/Session/555" TargetMode="External"/><Relationship Id="rId10" Type="http://schemas.openxmlformats.org/officeDocument/2006/relationships/hyperlink" Target="http://www.un.org/en/ga/search/view_doc.asp?symbol=A/RES/70/212" TargetMode="External"/><Relationship Id="rId31" Type="http://schemas.openxmlformats.org/officeDocument/2006/relationships/hyperlink" Target="https://www.itu.int/en/itu-wsis/Documents/WSIS20/WSIS+20Report.pdf" TargetMode="External"/><Relationship Id="rId44" Type="http://schemas.openxmlformats.org/officeDocument/2006/relationships/hyperlink" Target="https://docs.un.org/es/A/RES/80/173" TargetMode="External"/><Relationship Id="rId52" Type="http://schemas.openxmlformats.org/officeDocument/2006/relationships/hyperlink" Target="https://www.itu.int/en/itu-wsis/Pages/CWG-WSIS%26SDG_Call_for_Inputs_2025.aspx" TargetMode="External"/><Relationship Id="rId60" Type="http://schemas.openxmlformats.org/officeDocument/2006/relationships/hyperlink" Target="https://itu.int/go/IU5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s-dds-ny.un.org/doc/UNDOC/GEN/N22/755/00/pdf/N2275500.pdf?OpenElement" TargetMode="External"/><Relationship Id="rId13" Type="http://schemas.openxmlformats.org/officeDocument/2006/relationships/hyperlink" Target="http://www.un.org/en/ga/search/view_doc.asp?symbol=A/RES/73/218" TargetMode="External"/><Relationship Id="rId18" Type="http://schemas.openxmlformats.org/officeDocument/2006/relationships/hyperlink" Target="https://www.itu.int/en/council/cwg-wsis/Documents/Resolution172-PP10.pdf" TargetMode="External"/><Relationship Id="rId39" Type="http://schemas.openxmlformats.org/officeDocument/2006/relationships/hyperlink" Target="https://docs.un.org/en/A/RES/79/27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statements.un.org/estatements/10.0010/20251216100000000/fsvEYyHnNDt/sJcKcYYu_nyc_en.pdf" TargetMode="External"/><Relationship Id="rId3" Type="http://schemas.openxmlformats.org/officeDocument/2006/relationships/hyperlink" Target="https://journal.un.org/es/new-york/officials/2025-12-17" TargetMode="External"/><Relationship Id="rId7" Type="http://schemas.openxmlformats.org/officeDocument/2006/relationships/hyperlink" Target="https://estatements.un.org/estatements/10.0010/20251216150000000/CFfKXYwvMAL/YNEvUnmWgS_nyc_en.pdf" TargetMode="External"/><Relationship Id="rId2" Type="http://schemas.openxmlformats.org/officeDocument/2006/relationships/hyperlink" Target="https://journal.un.org/es/new-york/officials/2025-12-16" TargetMode="External"/><Relationship Id="rId1" Type="http://schemas.openxmlformats.org/officeDocument/2006/relationships/hyperlink" Target="https://e-speakers.e-delegate.un.org/6932eb7b26106187a2e18d9705122025" TargetMode="External"/><Relationship Id="rId6" Type="http://schemas.openxmlformats.org/officeDocument/2006/relationships/hyperlink" Target="https://estatements.un.org/estatements/10.0010/20251216150000000/CFfKXYwvMAL/YNEvUnmWgS_nyc_en.pdf" TargetMode="External"/><Relationship Id="rId5" Type="http://schemas.openxmlformats.org/officeDocument/2006/relationships/hyperlink" Target="https://journal.un.org/en/new-york/officials/2025-12-17" TargetMode="External"/><Relationship Id="rId4" Type="http://schemas.openxmlformats.org/officeDocument/2006/relationships/hyperlink" Target="https://journal.un.org/en/new-york/officials/2025-12-16" TargetMode="External"/><Relationship Id="rId9" Type="http://schemas.openxmlformats.org/officeDocument/2006/relationships/hyperlink" Target="https://estatements.un.org/estatements/10.0010/20251216100000000/fsvEYyHnNDt/sJcKcYYu_nyc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4B32-995A-4260-880A-FF372E5F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7</TotalTime>
  <Pages>11</Pages>
  <Words>5544</Words>
  <Characters>33145</Characters>
  <Application>Microsoft Office Word</Application>
  <DocSecurity>0</DocSecurity>
  <Lines>494</Lines>
  <Paragraphs>120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relativo al examen general de la Asamblea General de las Naciones Unidas sobre la aplicación de los resultados de la Cumbre Mundial sobre la Sociedad de la Información</vt:lpstr>
    </vt:vector>
  </TitlesOfParts>
  <Manager>Secretaría General - Pool</Manager>
  <Company>International Telecommunication Union</Company>
  <LinksUpToDate>false</LinksUpToDate>
  <CharactersWithSpaces>38569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examen general de la Asamblea General de las Naciones Unidas sobre la aplicación de los resultados de la Cumbre Mundial sobre la Sociedad de la Información</dc:title>
  <dc:subject>Consejo 2026 de la UIT</dc:subject>
  <cp:keywords>C26; C2026; Council 2026; PP26</cp:keywords>
  <dc:description/>
  <cp:lastPrinted>2006-03-24T09:51:00Z</cp:lastPrinted>
  <dcterms:created xsi:type="dcterms:W3CDTF">2026-04-02T08:05:00Z</dcterms:created>
  <dcterms:modified xsi:type="dcterms:W3CDTF">2026-04-02T08:11:00Z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