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EB7B34" w14:paraId="4984FDD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39530A9" w14:textId="42EFEB9C" w:rsidR="00796BD3" w:rsidRPr="00EB7B34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EB7B34">
              <w:rPr>
                <w:b/>
                <w:lang w:val="ru-RU"/>
              </w:rPr>
              <w:t>Пункт повестки дня:</w:t>
            </w:r>
            <w:r w:rsidR="00616963" w:rsidRPr="00EB7B34">
              <w:rPr>
                <w:b/>
                <w:lang w:val="ru-RU"/>
              </w:rPr>
              <w:t xml:space="preserve"> </w:t>
            </w:r>
            <w:r w:rsidR="00616963" w:rsidRPr="00EB7B34">
              <w:rPr>
                <w:rFonts w:eastAsia="Calibri" w:cs="Calibri"/>
                <w:b/>
                <w:bCs/>
                <w:color w:val="000000" w:themeColor="text1"/>
                <w:szCs w:val="24"/>
                <w:lang w:val="ru-RU"/>
              </w:rPr>
              <w:t>PL-2</w:t>
            </w:r>
          </w:p>
        </w:tc>
        <w:tc>
          <w:tcPr>
            <w:tcW w:w="5245" w:type="dxa"/>
          </w:tcPr>
          <w:p w14:paraId="6D78ACAB" w14:textId="5EEC3FB6" w:rsidR="00796BD3" w:rsidRPr="00EB7B3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B7B34">
              <w:rPr>
                <w:b/>
                <w:lang w:val="ru-RU"/>
              </w:rPr>
              <w:t xml:space="preserve">Документ </w:t>
            </w:r>
            <w:r w:rsidR="00796BD3" w:rsidRPr="00EB7B34">
              <w:rPr>
                <w:b/>
                <w:lang w:val="ru-RU"/>
              </w:rPr>
              <w:t>C2</w:t>
            </w:r>
            <w:r w:rsidR="00BE00DD" w:rsidRPr="00EB7B34">
              <w:rPr>
                <w:b/>
                <w:lang w:val="ru-RU"/>
              </w:rPr>
              <w:t>6</w:t>
            </w:r>
            <w:r w:rsidR="00796BD3" w:rsidRPr="00EB7B34">
              <w:rPr>
                <w:b/>
                <w:lang w:val="ru-RU"/>
              </w:rPr>
              <w:t>/</w:t>
            </w:r>
            <w:r w:rsidR="00616963" w:rsidRPr="00EB7B34">
              <w:rPr>
                <w:b/>
                <w:lang w:val="ru-RU"/>
              </w:rPr>
              <w:t>59</w:t>
            </w:r>
            <w:r w:rsidR="00796BD3" w:rsidRPr="00EB7B34">
              <w:rPr>
                <w:b/>
                <w:lang w:val="ru-RU"/>
              </w:rPr>
              <w:t>-R</w:t>
            </w:r>
          </w:p>
        </w:tc>
      </w:tr>
      <w:tr w:rsidR="00796BD3" w:rsidRPr="00EB7B34" w14:paraId="41FD1EB2" w14:textId="77777777" w:rsidTr="00D17718">
        <w:trPr>
          <w:cantSplit/>
        </w:trPr>
        <w:tc>
          <w:tcPr>
            <w:tcW w:w="3969" w:type="dxa"/>
            <w:vMerge/>
          </w:tcPr>
          <w:p w14:paraId="0E0A8277" w14:textId="77777777" w:rsidR="00796BD3" w:rsidRPr="00EB7B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43BB78B" w14:textId="4D1DEADB" w:rsidR="00796BD3" w:rsidRPr="00EB7B34" w:rsidRDefault="00616963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EB7B34">
              <w:rPr>
                <w:b/>
                <w:lang w:val="ru-RU"/>
              </w:rPr>
              <w:t>27 марта 2026 года</w:t>
            </w:r>
          </w:p>
        </w:tc>
      </w:tr>
      <w:tr w:rsidR="00796BD3" w:rsidRPr="00EB7B34" w14:paraId="2DF7BD7D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68F6C48" w14:textId="77777777" w:rsidR="00796BD3" w:rsidRPr="00EB7B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739C2EC" w14:textId="77777777" w:rsidR="00796BD3" w:rsidRPr="00EB7B34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EB7B34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EB7B34" w14:paraId="0B4D5BB7" w14:textId="77777777" w:rsidTr="00D17718">
        <w:trPr>
          <w:cantSplit/>
          <w:trHeight w:val="23"/>
        </w:trPr>
        <w:tc>
          <w:tcPr>
            <w:tcW w:w="3969" w:type="dxa"/>
          </w:tcPr>
          <w:p w14:paraId="142D3184" w14:textId="77777777" w:rsidR="00796BD3" w:rsidRPr="00EB7B34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4D144E9" w14:textId="77777777" w:rsidR="00796BD3" w:rsidRPr="00EB7B34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B7B34" w14:paraId="4E80DC3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1C43062" w14:textId="77777777" w:rsidR="00796BD3" w:rsidRPr="00EB7B34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EB7B34">
              <w:t>Отчет Генерального секретаря</w:t>
            </w:r>
          </w:p>
        </w:tc>
      </w:tr>
      <w:tr w:rsidR="00796BD3" w:rsidRPr="00433D86" w14:paraId="024A823E" w14:textId="77777777" w:rsidTr="00F2068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08D2829" w14:textId="26FF370E" w:rsidR="00796BD3" w:rsidRPr="00E70C6D" w:rsidRDefault="00616963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E70C6D">
              <w:rPr>
                <w:sz w:val="32"/>
              </w:rPr>
              <w:t>ОТЧЕТ О РАБОТЕ ГЕНЕРАЛЬНОЙ АССАМБЛЕИ ОРГАНИЗАЦИИ</w:t>
            </w:r>
            <w:r w:rsidR="00E70C6D" w:rsidRPr="00E70C6D">
              <w:rPr>
                <w:sz w:val="32"/>
              </w:rPr>
              <w:t xml:space="preserve"> </w:t>
            </w:r>
            <w:r w:rsidRPr="00E70C6D">
              <w:rPr>
                <w:sz w:val="32"/>
              </w:rPr>
              <w:t>ОБЪЕДИНЕННЫХ НАЦИЙ ПО ОБЩЕМУ ОБЗОРУ</w:t>
            </w:r>
            <w:r w:rsidR="0009751C" w:rsidRPr="00E70C6D">
              <w:rPr>
                <w:sz w:val="32"/>
              </w:rPr>
              <w:t> </w:t>
            </w:r>
            <w:r w:rsidRPr="00E70C6D">
              <w:rPr>
                <w:sz w:val="32"/>
              </w:rPr>
              <w:t>ХОДА ОСУЩЕСТВЛЕНИЯ РЕШЕНИЙ ВСЕМИРНОЙ ВСТРЕЧИ НА</w:t>
            </w:r>
            <w:r w:rsidR="0009751C" w:rsidRPr="00E70C6D">
              <w:rPr>
                <w:sz w:val="32"/>
              </w:rPr>
              <w:t> </w:t>
            </w:r>
            <w:r w:rsidRPr="00E70C6D">
              <w:rPr>
                <w:sz w:val="32"/>
              </w:rPr>
              <w:t>ВЫСШЕМ УРОВНЕ ПО ВОПРОСАМ ИНФОРМАЦИОННОГО ОБЩЕСТВА</w:t>
            </w:r>
          </w:p>
        </w:tc>
      </w:tr>
      <w:tr w:rsidR="00796BD3" w:rsidRPr="00433D86" w14:paraId="0E13F666" w14:textId="77777777" w:rsidTr="00F20684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7F7333BA" w14:textId="77777777" w:rsidR="00796BD3" w:rsidRPr="00EB7B34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7B34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194510D" w14:textId="3A80F46C" w:rsidR="00796BD3" w:rsidRPr="00EB7B34" w:rsidRDefault="00616963" w:rsidP="009A7E91">
            <w:pPr>
              <w:jc w:val="both"/>
              <w:rPr>
                <w:lang w:val="ru-RU"/>
              </w:rPr>
            </w:pPr>
            <w:r w:rsidRPr="00EB7B34">
              <w:rPr>
                <w:lang w:val="ru-RU"/>
              </w:rPr>
              <w:t>В соответствии с Резолюцией 140 (Пересм. Бухарест, 2022</w:t>
            </w:r>
            <w:r w:rsidR="00E2623B" w:rsidRPr="00EB7B34">
              <w:rPr>
                <w:lang w:val="ru-RU"/>
              </w:rPr>
              <w:t> </w:t>
            </w:r>
            <w:r w:rsidRPr="00EB7B34">
              <w:rPr>
                <w:lang w:val="ru-RU"/>
              </w:rPr>
              <w:t>г.) Полномочной конференции и Резолюцией 1334 (Изм. 2023</w:t>
            </w:r>
            <w:r w:rsidR="00E2623B" w:rsidRPr="00EB7B34">
              <w:rPr>
                <w:lang w:val="ru-RU"/>
              </w:rPr>
              <w:t> </w:t>
            </w:r>
            <w:r w:rsidRPr="00EB7B34">
              <w:rPr>
                <w:lang w:val="ru-RU"/>
              </w:rPr>
              <w:t>г.) Совета Генеральному секретарю было поручено подготовить для Совета и Полномочной конференции 2026</w:t>
            </w:r>
            <w:r w:rsidR="00E2623B" w:rsidRPr="00EB7B34">
              <w:rPr>
                <w:lang w:val="ru-RU"/>
              </w:rPr>
              <w:t> </w:t>
            </w:r>
            <w:r w:rsidRPr="00EB7B34">
              <w:rPr>
                <w:lang w:val="ru-RU"/>
              </w:rPr>
              <w:t>года через РГС-ВВУИО&amp;ЦУР отчет об итогах совещания высокого уровня Генеральной Ассамблеи ООН 2025</w:t>
            </w:r>
            <w:r w:rsidR="00E2623B" w:rsidRPr="00EB7B34">
              <w:rPr>
                <w:lang w:val="ru-RU"/>
              </w:rPr>
              <w:t> </w:t>
            </w:r>
            <w:r w:rsidRPr="00EB7B34">
              <w:rPr>
                <w:lang w:val="ru-RU"/>
              </w:rPr>
              <w:t>года, посвященного общему обзору хода осуществления решений Всемирной встречи на высшем уровне по вопросам информационного общества.</w:t>
            </w:r>
          </w:p>
          <w:p w14:paraId="31F6081C" w14:textId="77777777" w:rsidR="00796BD3" w:rsidRPr="00EB7B34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7B34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46A1F057" w14:textId="72D09E74" w:rsidR="00796BD3" w:rsidRPr="00EB7B34" w:rsidRDefault="00616963" w:rsidP="00D17718">
            <w:pPr>
              <w:rPr>
                <w:lang w:val="ru-RU"/>
              </w:rPr>
            </w:pPr>
            <w:r w:rsidRPr="00EB7B34">
              <w:rPr>
                <w:lang w:val="ru-RU"/>
              </w:rPr>
              <w:t xml:space="preserve">Совету предлагается </w:t>
            </w:r>
            <w:r w:rsidRPr="00EB7B34">
              <w:rPr>
                <w:b/>
                <w:bCs/>
                <w:lang w:val="ru-RU"/>
              </w:rPr>
              <w:t>принять к сведению</w:t>
            </w:r>
            <w:r w:rsidRPr="00EB7B34">
              <w:rPr>
                <w:lang w:val="ru-RU"/>
              </w:rPr>
              <w:t xml:space="preserve"> настоящий документ.</w:t>
            </w:r>
          </w:p>
          <w:p w14:paraId="4D8E1A9A" w14:textId="77777777" w:rsidR="00796BD3" w:rsidRPr="00EB7B34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7B34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5F9F51C5" w14:textId="1D0A683B" w:rsidR="00796BD3" w:rsidRPr="00EB7B34" w:rsidRDefault="00616963" w:rsidP="00D17718">
            <w:pPr>
              <w:rPr>
                <w:lang w:val="ru-RU"/>
              </w:rPr>
            </w:pPr>
            <w:r w:rsidRPr="00EB7B34">
              <w:rPr>
                <w:lang w:val="ru-RU"/>
              </w:rPr>
              <w:t>Платформы для созыва мероприятий, партнерства и международное сотрудничество</w:t>
            </w:r>
          </w:p>
          <w:p w14:paraId="7E10EBDF" w14:textId="77777777" w:rsidR="00796BD3" w:rsidRPr="00EB7B34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EB7B34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6A35CD22" w14:textId="34C559A1" w:rsidR="00345D2A" w:rsidRPr="00EB7B34" w:rsidRDefault="00616963" w:rsidP="00CD7980">
            <w:pPr>
              <w:rPr>
                <w:szCs w:val="22"/>
                <w:lang w:val="ru-RU"/>
              </w:rPr>
            </w:pPr>
            <w:r w:rsidRPr="00EB7B34">
              <w:rPr>
                <w:szCs w:val="24"/>
                <w:lang w:val="ru-RU"/>
              </w:rPr>
              <w:t>В рамках выделенного бюджета на 2025</w:t>
            </w:r>
            <w:r w:rsidR="00CD7980" w:rsidRPr="00CD7980">
              <w:rPr>
                <w:szCs w:val="24"/>
                <w:lang w:val="ru-RU"/>
              </w:rPr>
              <w:t>-</w:t>
            </w:r>
            <w:r w:rsidRPr="00EB7B34">
              <w:rPr>
                <w:szCs w:val="24"/>
                <w:lang w:val="ru-RU"/>
              </w:rPr>
              <w:t>2026</w:t>
            </w:r>
            <w:r w:rsidR="00E2623B" w:rsidRPr="00EB7B34">
              <w:rPr>
                <w:szCs w:val="24"/>
                <w:lang w:val="ru-RU"/>
              </w:rPr>
              <w:t> </w:t>
            </w:r>
            <w:r w:rsidRPr="00EB7B34">
              <w:rPr>
                <w:szCs w:val="24"/>
                <w:lang w:val="ru-RU"/>
              </w:rPr>
              <w:t>годы.</w:t>
            </w:r>
          </w:p>
          <w:p w14:paraId="2D0B8CC3" w14:textId="77777777" w:rsidR="00796BD3" w:rsidRPr="00EB7B34" w:rsidRDefault="00796BD3" w:rsidP="009A7E91">
            <w:pPr>
              <w:spacing w:before="0"/>
              <w:rPr>
                <w:sz w:val="20"/>
                <w:szCs w:val="18"/>
                <w:lang w:val="ru-RU"/>
              </w:rPr>
            </w:pPr>
            <w:r w:rsidRPr="00EB7B34">
              <w:rPr>
                <w:sz w:val="20"/>
                <w:szCs w:val="18"/>
                <w:lang w:val="ru-RU"/>
              </w:rPr>
              <w:t>__________________</w:t>
            </w:r>
          </w:p>
          <w:p w14:paraId="4E5A12F6" w14:textId="77777777" w:rsidR="00796BD3" w:rsidRPr="00EB7B34" w:rsidRDefault="00404455" w:rsidP="00D17718">
            <w:pPr>
              <w:spacing w:after="160"/>
              <w:rPr>
                <w:b/>
                <w:bCs/>
                <w:sz w:val="24"/>
                <w:szCs w:val="24"/>
                <w:lang w:val="ru-RU"/>
              </w:rPr>
            </w:pPr>
            <w:r w:rsidRPr="00EB7B34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0BB7325E" w14:textId="0C4930B9" w:rsidR="00F20684" w:rsidRPr="00CD7980" w:rsidRDefault="00404455" w:rsidP="00CD7980">
            <w:pPr>
              <w:spacing w:after="120"/>
              <w:jc w:val="both"/>
              <w:rPr>
                <w:i/>
                <w:iCs/>
                <w:spacing w:val="-2"/>
                <w:sz w:val="6"/>
                <w:szCs w:val="6"/>
                <w:lang w:val="ru-RU"/>
              </w:rPr>
            </w:pPr>
            <w:hyperlink r:id="rId7" w:history="1"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Веб-сайт РГС-ВВУИО&amp;ЦУР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резолюции 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docs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un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org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ru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A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RES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/70/125"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separate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>A</w: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t>/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>RES</w: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t>/70/125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end"/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8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RES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/70/1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>,</w:t>
            </w:r>
            <w:r w:rsidRPr="00CD7980">
              <w:rPr>
                <w:i/>
                <w:iCs/>
                <w:color w:val="0000FF"/>
                <w:spacing w:val="-2"/>
                <w:sz w:val="20"/>
                <w:lang w:val="ru-RU"/>
              </w:rPr>
              <w:t xml:space="preserve"> </w:t>
            </w:r>
            <w:hyperlink r:id="rId9" w:tgtFrame="_blank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RES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/77/150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10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RES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/71/212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11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RES</w:t>
              </w:r>
              <w:r w:rsidRPr="00CD7980">
                <w:rPr>
                  <w:rStyle w:val="Hyperlink"/>
                  <w:i/>
                  <w:iCs/>
                  <w:spacing w:val="-2"/>
                  <w:sz w:val="20"/>
                  <w:lang w:val="ru-RU"/>
                </w:rPr>
                <w:t>/70/299</w:t>
              </w:r>
            </w:hyperlink>
            <w:r w:rsidR="00E70C6D" w:rsidRPr="00CD7980">
              <w:rPr>
                <w:i/>
                <w:iCs/>
                <w:spacing w:val="-2"/>
                <w:sz w:val="20"/>
                <w:lang w:val="ru-RU"/>
              </w:rPr>
              <w:t>,</w:t>
            </w:r>
            <w:r w:rsidR="00E70C6D" w:rsidRPr="00CD7980">
              <w:rPr>
                <w:i/>
                <w:iCs/>
                <w:spacing w:val="-2"/>
                <w:sz w:val="20"/>
                <w:lang w:val="ru-RU"/>
              </w:rPr>
              <w:t xml:space="preserve"> </w:t>
            </w:r>
            <w:hyperlink r:id="rId12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A/RES/70/684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docs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un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org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ru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A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RES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/73/218"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separate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>A/RES/73/218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end"/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docs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un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org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ru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A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RES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/79/277"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separate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>A/RES/79/277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end"/>
            </w:r>
            <w:r w:rsidRPr="00CD7980">
              <w:rPr>
                <w:rFonts w:cs="Calibri"/>
                <w:i/>
                <w:iCs/>
                <w:spacing w:val="-2"/>
                <w:sz w:val="20"/>
                <w:lang w:val="ru-RU" w:eastAsia="en-GB"/>
              </w:rPr>
              <w:t xml:space="preserve"> и</w: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</w:t>
            </w:r>
            <w:hyperlink r:id="rId13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A/RES/80/173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ГА ООН</w:t>
            </w:r>
            <w:r w:rsidRPr="00CD7980">
              <w:rPr>
                <w:rFonts w:cs="Calibri"/>
                <w:i/>
                <w:iCs/>
                <w:spacing w:val="-2"/>
                <w:sz w:val="20"/>
                <w:lang w:val="ru-RU" w:eastAsia="en-GB"/>
              </w:rPr>
              <w:t xml:space="preserve">; </w: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t>резолюция 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docs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un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org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ru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E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instrText>RES</w:instrText>
            </w:r>
            <w:r w:rsidRPr="00CD7980">
              <w:rPr>
                <w:rStyle w:val="Hyperlink"/>
                <w:i/>
                <w:iCs/>
                <w:spacing w:val="-2"/>
                <w:sz w:val="20"/>
                <w:lang w:val="ru-RU"/>
              </w:rPr>
              <w:instrText>/2025/18"</w:instrTex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separate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>E/RES/2025/18</w:t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fldChar w:fldCharType="end"/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ЭКОСОС ООН; Резолюции </w:t>
            </w:r>
            <w:hyperlink r:id="rId14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140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. 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Бухарест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, 2022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15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172 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.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Гвадалахара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, 2010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16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71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.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Бухарест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, 2022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Полномочной конференции; Резолюции </w:t>
            </w:r>
            <w:hyperlink r:id="rId17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1332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Изм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. 2024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, </w:t>
            </w:r>
            <w:hyperlink r:id="rId18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1334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Изм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. 2023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Совета; Резолюция </w:t>
            </w:r>
            <w:hyperlink r:id="rId19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30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.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Баку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, 2025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ВКРЭ; Резолюция </w:t>
            </w:r>
            <w:hyperlink r:id="rId20" w:history="1"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75 (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.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Женева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, 2022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 ВАСЭ; </w:t>
            </w:r>
            <w:r w:rsidRPr="00CD7980">
              <w:rPr>
                <w:rFonts w:eastAsia="Calibri" w:cs="Calibri"/>
                <w:i/>
                <w:iCs/>
                <w:spacing w:val="-2"/>
                <w:sz w:val="20"/>
                <w:lang w:val="ru-RU"/>
              </w:rPr>
              <w:t xml:space="preserve">Резолюция </w:t>
            </w:r>
            <w:hyperlink r:id="rId21">
              <w:proofErr w:type="spellStart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t>МСЭ</w:t>
              </w:r>
              <w:proofErr w:type="spellEnd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noBreakHyphen/>
                <w:t>R 61-3 (</w:t>
              </w:r>
              <w:proofErr w:type="spellStart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t>Пересм</w:t>
              </w:r>
              <w:proofErr w:type="spellEnd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t xml:space="preserve">. </w:t>
              </w:r>
              <w:proofErr w:type="spellStart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t>Дубай</w:t>
              </w:r>
              <w:proofErr w:type="spellEnd"/>
              <w:r w:rsidRPr="00CD7980">
                <w:rPr>
                  <w:rStyle w:val="Hyperlink"/>
                  <w:rFonts w:eastAsia="Calibri"/>
                  <w:i/>
                  <w:iCs/>
                  <w:spacing w:val="-2"/>
                  <w:sz w:val="20"/>
                </w:rPr>
                <w:t>, 2023 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hyperlink r:id="rId22" w:tgtFrame="_blank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Заявление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ВВУИО+10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о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выполнении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решений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</w:t>
              </w:r>
              <w:proofErr w:type="spellEnd"/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hyperlink r:id="rId23" w:anchor="page=21" w:tgtFrame="_blank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Концепция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ВВУИО+10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на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период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после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2015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года</w:t>
              </w:r>
              <w:proofErr w:type="spellEnd"/>
            </w:hyperlink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; </w:t>
            </w:r>
            <w:hyperlink r:id="rId24" w:tgtFrame="_blank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Заключительный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обзор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целевых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показателей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</w:t>
              </w:r>
              <w:proofErr w:type="spellEnd"/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>;</w:t>
            </w:r>
            <w:r w:rsidRPr="00CD7980">
              <w:rPr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i/>
                <w:iCs/>
                <w:spacing w:val="-2"/>
                <w:sz w:val="20"/>
              </w:rPr>
              <w:instrText>www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itu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int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en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itu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-</w:instrText>
            </w:r>
            <w:r w:rsidRPr="00CD7980">
              <w:rPr>
                <w:i/>
                <w:iCs/>
                <w:spacing w:val="-2"/>
                <w:sz w:val="20"/>
              </w:rPr>
              <w:instrText>wsis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Documents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WSIS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+10</w:instrText>
            </w:r>
            <w:r w:rsidRPr="00CD7980">
              <w:rPr>
                <w:i/>
                <w:iCs/>
                <w:spacing w:val="-2"/>
                <w:sz w:val="20"/>
              </w:rPr>
              <w:instrText>Report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pdf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" \</w:instrText>
            </w:r>
            <w:r w:rsidRPr="00CD7980">
              <w:rPr>
                <w:i/>
                <w:iCs/>
                <w:spacing w:val="-2"/>
                <w:sz w:val="20"/>
              </w:rPr>
              <w:instrText>t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 xml:space="preserve"> "_</w:instrText>
            </w:r>
            <w:r w:rsidRPr="00CD7980">
              <w:rPr>
                <w:i/>
                <w:iCs/>
                <w:spacing w:val="-2"/>
                <w:sz w:val="20"/>
              </w:rPr>
              <w:instrText>blank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"</w:instrText>
            </w:r>
            <w:r w:rsidRPr="00CD7980">
              <w:rPr>
                <w:i/>
                <w:iCs/>
                <w:spacing w:val="-2"/>
                <w:sz w:val="20"/>
              </w:rPr>
            </w:r>
            <w:r w:rsidRPr="00CD7980">
              <w:rPr>
                <w:i/>
                <w:iCs/>
                <w:spacing w:val="-2"/>
                <w:sz w:val="20"/>
              </w:rPr>
              <w:fldChar w:fldCharType="separate"/>
            </w:r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Отчет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ВВУИО+10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: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Вклад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МСЭ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в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выполнение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решений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ВВУИО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за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десятилетний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период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и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последующие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меры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(2005−2014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гг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>.)</w:t>
            </w:r>
            <w:r w:rsidRPr="00CD7980">
              <w:rPr>
                <w:rStyle w:val="Hyperlink"/>
                <w:i/>
                <w:iCs/>
                <w:color w:val="auto"/>
                <w:spacing w:val="-2"/>
                <w:sz w:val="20"/>
                <w:u w:val="none"/>
                <w:lang w:val="ru-RU"/>
              </w:rPr>
              <w:t>;</w:t>
            </w:r>
            <w:r w:rsidRPr="00CD7980">
              <w:rPr>
                <w:rStyle w:val="Hyperlink"/>
                <w:i/>
                <w:iCs/>
                <w:spacing w:val="-2"/>
                <w:sz w:val="20"/>
                <w:u w:val="none"/>
                <w:lang w:val="ru-RU"/>
              </w:rPr>
              <w:t xml:space="preserve"> </w:t>
            </w:r>
            <w:r w:rsidRPr="00CD7980">
              <w:rPr>
                <w:i/>
                <w:iCs/>
                <w:spacing w:val="-2"/>
                <w:sz w:val="20"/>
              </w:rPr>
              <w:fldChar w:fldCharType="end"/>
            </w:r>
            <w:hyperlink r:id="rId25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Дорожная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карта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деятельности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МСЭ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содействию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реализации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Повестки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дня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в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области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устойчивого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развития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на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период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2030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года</w:t>
              </w:r>
              <w:proofErr w:type="spellEnd"/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r w:rsidRPr="00CD7980">
              <w:rPr>
                <w:i/>
                <w:iCs/>
                <w:spacing w:val="-2"/>
                <w:sz w:val="20"/>
              </w:rPr>
              <w:fldChar w:fldCharType="begin"/>
            </w:r>
            <w:r w:rsidRPr="00CD7980">
              <w:rPr>
                <w:i/>
                <w:iCs/>
                <w:spacing w:val="-2"/>
                <w:sz w:val="20"/>
              </w:rPr>
              <w:instrText>HYPERLINK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 xml:space="preserve"> "</w:instrText>
            </w:r>
            <w:r w:rsidRPr="00CD7980">
              <w:rPr>
                <w:i/>
                <w:iCs/>
                <w:spacing w:val="-2"/>
                <w:sz w:val="20"/>
              </w:rPr>
              <w:instrText>https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://</w:instrText>
            </w:r>
            <w:r w:rsidRPr="00CD7980">
              <w:rPr>
                <w:i/>
                <w:iCs/>
                <w:spacing w:val="-2"/>
                <w:sz w:val="20"/>
              </w:rPr>
              <w:instrText>www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itu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int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dms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_</w:instrText>
            </w:r>
            <w:r w:rsidRPr="00CD7980">
              <w:rPr>
                <w:i/>
                <w:iCs/>
                <w:spacing w:val="-2"/>
                <w:sz w:val="20"/>
              </w:rPr>
              <w:instrText>pub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itu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-</w:instrText>
            </w:r>
            <w:r w:rsidRPr="00CD7980">
              <w:rPr>
                <w:i/>
                <w:iCs/>
                <w:spacing w:val="-2"/>
                <w:sz w:val="20"/>
              </w:rPr>
              <w:instrText>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md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/22/</w:instrText>
            </w:r>
            <w:r w:rsidRPr="00CD7980">
              <w:rPr>
                <w:i/>
                <w:iCs/>
                <w:spacing w:val="-2"/>
                <w:sz w:val="20"/>
              </w:rPr>
              <w:instrText>cl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c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/</w:instrText>
            </w:r>
            <w:r w:rsidRPr="00CD7980">
              <w:rPr>
                <w:i/>
                <w:iCs/>
                <w:spacing w:val="-2"/>
                <w:sz w:val="20"/>
              </w:rPr>
              <w:instrText>S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22-</w:instrText>
            </w:r>
            <w:r w:rsidRPr="00CD7980">
              <w:rPr>
                <w:i/>
                <w:iCs/>
                <w:spacing w:val="-2"/>
                <w:sz w:val="20"/>
              </w:rPr>
              <w:instrText>CL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-</w:instrText>
            </w:r>
            <w:r w:rsidRPr="00CD7980">
              <w:rPr>
                <w:i/>
                <w:iCs/>
                <w:spacing w:val="-2"/>
                <w:sz w:val="20"/>
              </w:rPr>
              <w:instrText>C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-0059!!</w:instrText>
            </w:r>
            <w:r w:rsidRPr="00CD7980">
              <w:rPr>
                <w:i/>
                <w:iCs/>
                <w:spacing w:val="-2"/>
                <w:sz w:val="20"/>
              </w:rPr>
              <w:instrText>MSW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-</w:instrText>
            </w:r>
            <w:r w:rsidRPr="00CD7980">
              <w:rPr>
                <w:i/>
                <w:iCs/>
                <w:spacing w:val="-2"/>
                <w:sz w:val="20"/>
              </w:rPr>
              <w:instrText>E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.</w:instrText>
            </w:r>
            <w:r w:rsidRPr="00CD7980">
              <w:rPr>
                <w:i/>
                <w:iCs/>
                <w:spacing w:val="-2"/>
                <w:sz w:val="20"/>
              </w:rPr>
              <w:instrText>docx</w:instrText>
            </w:r>
            <w:r w:rsidRPr="00CD7980">
              <w:rPr>
                <w:i/>
                <w:iCs/>
                <w:spacing w:val="-2"/>
                <w:sz w:val="20"/>
                <w:lang w:val="ru-RU"/>
              </w:rPr>
              <w:instrText>"</w:instrText>
            </w:r>
            <w:r w:rsidRPr="00CD7980">
              <w:rPr>
                <w:i/>
                <w:iCs/>
                <w:spacing w:val="-2"/>
                <w:sz w:val="20"/>
              </w:rPr>
            </w:r>
            <w:r w:rsidRPr="00CD7980">
              <w:rPr>
                <w:i/>
                <w:iCs/>
                <w:spacing w:val="-2"/>
                <w:sz w:val="20"/>
              </w:rPr>
              <w:fldChar w:fldCharType="separate"/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Всемирная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встреча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на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высшем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уровне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по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вопросам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информационного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общества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(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ВВУИО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)+20: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ВВУИО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после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2025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года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−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дорожная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карта</w:t>
            </w:r>
            <w:proofErr w:type="spellEnd"/>
            <w:r w:rsidRPr="00CD7980">
              <w:rPr>
                <w:rStyle w:val="Hyperlink"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CD7980">
              <w:rPr>
                <w:rStyle w:val="Hyperlink"/>
                <w:i/>
                <w:iCs/>
                <w:spacing w:val="-2"/>
                <w:sz w:val="20"/>
              </w:rPr>
              <w:t>ВВУИО+20</w:t>
            </w:r>
            <w:proofErr w:type="spellEnd"/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r w:rsidRPr="00CD7980">
              <w:rPr>
                <w:i/>
                <w:iCs/>
                <w:spacing w:val="-2"/>
                <w:sz w:val="20"/>
              </w:rPr>
              <w:fldChar w:fldCharType="end"/>
            </w:r>
            <w:hyperlink r:id="rId26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Отчет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ВВУИО+20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: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Построение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цифрового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будущего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для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всех</w:t>
              </w:r>
              <w:proofErr w:type="spellEnd"/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hyperlink r:id="rId27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Итоговые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документы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Саммита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будущего</w:t>
              </w:r>
              <w:proofErr w:type="spellEnd"/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hyperlink r:id="rId28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Доклад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Комиссии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по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науке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и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технике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в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целях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развития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о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работе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ее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двадцать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восьмой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сессии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(7−11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апреля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2025 г.)</w:t>
              </w:r>
            </w:hyperlink>
            <w:r w:rsidRPr="00CD7980">
              <w:rPr>
                <w:i/>
                <w:iCs/>
                <w:spacing w:val="-2"/>
                <w:sz w:val="20"/>
                <w:lang w:val="ru-RU"/>
              </w:rPr>
              <w:t xml:space="preserve">; </w:t>
            </w:r>
            <w:hyperlink r:id="rId29" w:history="1"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Форум</w:t>
              </w:r>
              <w:proofErr w:type="spellEnd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 xml:space="preserve"> </w:t>
              </w:r>
              <w:proofErr w:type="spellStart"/>
              <w:r w:rsidRPr="00CD7980">
                <w:rPr>
                  <w:rStyle w:val="Hyperlink"/>
                  <w:i/>
                  <w:iCs/>
                  <w:spacing w:val="-2"/>
                  <w:sz w:val="20"/>
                </w:rPr>
                <w:t>ВВУИО</w:t>
              </w:r>
              <w:proofErr w:type="spellEnd"/>
            </w:hyperlink>
          </w:p>
        </w:tc>
      </w:tr>
      <w:bookmarkEnd w:id="2"/>
      <w:bookmarkEnd w:id="6"/>
    </w:tbl>
    <w:p w14:paraId="2CC42775" w14:textId="77777777" w:rsidR="00E96043" w:rsidRPr="00EB7B34" w:rsidRDefault="00E9604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EB7B34">
        <w:rPr>
          <w:lang w:val="ru-RU"/>
        </w:rPr>
        <w:br w:type="page"/>
      </w:r>
    </w:p>
    <w:p w14:paraId="2AEA4DC5" w14:textId="7F3444D9" w:rsidR="00616963" w:rsidRPr="00EB7B34" w:rsidRDefault="00616963" w:rsidP="00616963">
      <w:pPr>
        <w:pStyle w:val="Heading1"/>
        <w:rPr>
          <w:lang w:val="ru-RU" w:eastAsia="en-GB"/>
        </w:rPr>
      </w:pPr>
      <w:r w:rsidRPr="00EB7B34">
        <w:rPr>
          <w:lang w:val="ru-RU" w:eastAsia="en-GB"/>
        </w:rPr>
        <w:lastRenderedPageBreak/>
        <w:t>I</w:t>
      </w:r>
      <w:r w:rsidRPr="00EB7B34">
        <w:rPr>
          <w:lang w:val="ru-RU" w:eastAsia="en-GB"/>
        </w:rPr>
        <w:tab/>
        <w:t>Справочная информация о совещании высокого уровня Генеральной Ассамблеи Организации Объединенных Наций (ГА</w:t>
      </w:r>
      <w:r w:rsidR="00C15102" w:rsidRPr="00EB7B34">
        <w:rPr>
          <w:lang w:val="ru-RU" w:eastAsia="en-GB"/>
        </w:rPr>
        <w:t> </w:t>
      </w:r>
      <w:r w:rsidRPr="00EB7B34">
        <w:rPr>
          <w:lang w:val="ru-RU" w:eastAsia="en-GB"/>
        </w:rPr>
        <w:t>ООН), посвященном общему обзору хода осуществления решений Всемирной встречи на высшем уровне по вопросам информационного общества (ВВУИО+20)</w:t>
      </w:r>
    </w:p>
    <w:p w14:paraId="79B6364F" w14:textId="77E29F29" w:rsidR="00616963" w:rsidRPr="00EB7B34" w:rsidRDefault="00616963" w:rsidP="00CD7980">
      <w:pPr>
        <w:jc w:val="both"/>
        <w:rPr>
          <w:lang w:val="ru-RU" w:eastAsia="en-GB"/>
        </w:rPr>
      </w:pPr>
      <w:r w:rsidRPr="00EB7B34">
        <w:rPr>
          <w:lang w:val="ru-RU" w:eastAsia="en-GB"/>
        </w:rPr>
        <w:t xml:space="preserve">Генеральная Ассамблея Организации Объединенных Наций созвала </w:t>
      </w:r>
      <w:r w:rsidRPr="00CD7980">
        <w:rPr>
          <w:rStyle w:val="Hyperlink"/>
        </w:rPr>
        <w:fldChar w:fldCharType="begin"/>
      </w:r>
      <w:r w:rsidRPr="00CD7980">
        <w:rPr>
          <w:rStyle w:val="Hyperlink"/>
        </w:rPr>
        <w:instrText>HYPERLINK</w:instrText>
      </w:r>
      <w:r w:rsidRPr="00CD7980">
        <w:rPr>
          <w:rStyle w:val="Hyperlink"/>
          <w:lang w:val="ru-RU"/>
        </w:rPr>
        <w:instrText xml:space="preserve"> "</w:instrText>
      </w:r>
      <w:r w:rsidRPr="00CD7980">
        <w:rPr>
          <w:rStyle w:val="Hyperlink"/>
        </w:rPr>
        <w:instrText>https</w:instrText>
      </w:r>
      <w:r w:rsidRPr="00CD7980">
        <w:rPr>
          <w:rStyle w:val="Hyperlink"/>
          <w:lang w:val="ru-RU"/>
        </w:rPr>
        <w:instrText>://</w:instrText>
      </w:r>
      <w:r w:rsidRPr="00CD7980">
        <w:rPr>
          <w:rStyle w:val="Hyperlink"/>
        </w:rPr>
        <w:instrText>publicadministration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desa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un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org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wsis</w:instrText>
      </w:r>
      <w:r w:rsidRPr="00CD7980">
        <w:rPr>
          <w:rStyle w:val="Hyperlink"/>
          <w:lang w:val="ru-RU"/>
        </w:rPr>
        <w:instrText>20/</w:instrText>
      </w:r>
      <w:r w:rsidRPr="00CD7980">
        <w:rPr>
          <w:rStyle w:val="Hyperlink"/>
        </w:rPr>
        <w:instrText>GA</w:instrText>
      </w:r>
      <w:r w:rsidRPr="00CD7980">
        <w:rPr>
          <w:rStyle w:val="Hyperlink"/>
          <w:lang w:val="ru-RU"/>
        </w:rPr>
        <w:instrText>%20</w:instrText>
      </w:r>
      <w:r w:rsidRPr="00CD7980">
        <w:rPr>
          <w:rStyle w:val="Hyperlink"/>
        </w:rPr>
        <w:instrText>High</w:instrText>
      </w:r>
      <w:r w:rsidRPr="00CD7980">
        <w:rPr>
          <w:rStyle w:val="Hyperlink"/>
          <w:lang w:val="ru-RU"/>
        </w:rPr>
        <w:instrText>-</w:instrText>
      </w:r>
      <w:r w:rsidRPr="00CD7980">
        <w:rPr>
          <w:rStyle w:val="Hyperlink"/>
        </w:rPr>
        <w:instrText>Level</w:instrText>
      </w:r>
      <w:r w:rsidRPr="00CD7980">
        <w:rPr>
          <w:rStyle w:val="Hyperlink"/>
          <w:lang w:val="ru-RU"/>
        </w:rPr>
        <w:instrText>-</w:instrText>
      </w:r>
      <w:r w:rsidRPr="00CD7980">
        <w:rPr>
          <w:rStyle w:val="Hyperlink"/>
        </w:rPr>
        <w:instrText>Meeting</w:instrText>
      </w:r>
      <w:r w:rsidRPr="00CD7980">
        <w:rPr>
          <w:rStyle w:val="Hyperlink"/>
          <w:lang w:val="ru-RU"/>
        </w:rPr>
        <w:instrText>"</w:instrText>
      </w:r>
      <w:r w:rsidRPr="00CD7980">
        <w:rPr>
          <w:rStyle w:val="Hyperlink"/>
        </w:rPr>
      </w:r>
      <w:r w:rsidRPr="00CD7980">
        <w:rPr>
          <w:rStyle w:val="Hyperlink"/>
        </w:rPr>
        <w:fldChar w:fldCharType="separate"/>
      </w:r>
      <w:proofErr w:type="spellStart"/>
      <w:r w:rsidRPr="00CD7980">
        <w:rPr>
          <w:rStyle w:val="Hyperlink"/>
        </w:rPr>
        <w:t>совещание</w:t>
      </w:r>
      <w:proofErr w:type="spellEnd"/>
      <w:r w:rsidRPr="00CD7980">
        <w:rPr>
          <w:rStyle w:val="Hyperlink"/>
        </w:rPr>
        <w:t xml:space="preserve"> </w:t>
      </w:r>
      <w:proofErr w:type="spellStart"/>
      <w:r w:rsidRPr="00CD7980">
        <w:rPr>
          <w:rStyle w:val="Hyperlink"/>
        </w:rPr>
        <w:t>высокого</w:t>
      </w:r>
      <w:proofErr w:type="spellEnd"/>
      <w:r w:rsidRPr="00CD7980">
        <w:rPr>
          <w:rStyle w:val="Hyperlink"/>
        </w:rPr>
        <w:t xml:space="preserve"> </w:t>
      </w:r>
      <w:proofErr w:type="spellStart"/>
      <w:r w:rsidRPr="00CD7980">
        <w:rPr>
          <w:rStyle w:val="Hyperlink"/>
        </w:rPr>
        <w:t>уровня</w:t>
      </w:r>
      <w:proofErr w:type="spellEnd"/>
      <w:r w:rsidRPr="00CD7980">
        <w:rPr>
          <w:rStyle w:val="Hyperlink"/>
        </w:rPr>
        <w:fldChar w:fldCharType="end"/>
      </w:r>
      <w:r w:rsidRPr="00EB7B34">
        <w:rPr>
          <w:lang w:val="ru-RU" w:eastAsia="en-GB"/>
        </w:rPr>
        <w:t xml:space="preserve"> по общему обзору ВВУИО+20 16</w:t>
      </w:r>
      <w:r w:rsidR="00C15102" w:rsidRPr="00EB7B34">
        <w:rPr>
          <w:lang w:val="ru-RU" w:eastAsia="en-GB"/>
        </w:rPr>
        <w:t>­</w:t>
      </w:r>
      <w:r w:rsidRPr="00EB7B34">
        <w:rPr>
          <w:lang w:val="ru-RU" w:eastAsia="en-GB"/>
        </w:rPr>
        <w:t>17 декабря 2025</w:t>
      </w:r>
      <w:r w:rsidR="00C15102" w:rsidRPr="00EB7B34">
        <w:rPr>
          <w:lang w:val="ru-RU" w:eastAsia="en-GB"/>
        </w:rPr>
        <w:t> </w:t>
      </w:r>
      <w:r w:rsidRPr="00EB7B34">
        <w:rPr>
          <w:lang w:val="ru-RU" w:eastAsia="en-GB"/>
        </w:rPr>
        <w:t>года в Нью-Йорке в соответствии с резолюцией ГА ООН "</w:t>
      </w:r>
      <w:r w:rsidRPr="00EB7B34">
        <w:rPr>
          <w:i/>
          <w:iCs/>
          <w:lang w:val="ru-RU" w:eastAsia="en-GB"/>
        </w:rPr>
        <w:t>Итоговый документ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общества"</w:t>
      </w:r>
      <w:r w:rsidRPr="00EB7B34">
        <w:rPr>
          <w:lang w:val="ru-RU" w:eastAsia="en-GB"/>
        </w:rPr>
        <w:t xml:space="preserve"> (</w:t>
      </w:r>
      <w:hyperlink r:id="rId30" w:history="1">
        <w:r w:rsidRPr="00CD7980">
          <w:rPr>
            <w:rStyle w:val="Hyperlink"/>
          </w:rPr>
          <w:t>A/RES/70/125</w:t>
        </w:r>
      </w:hyperlink>
      <w:r w:rsidRPr="00EB7B34">
        <w:rPr>
          <w:lang w:val="ru-RU" w:eastAsia="en-GB"/>
        </w:rPr>
        <w:t>) и резолюцией ГА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ООН "</w:t>
      </w:r>
      <w:r w:rsidRPr="00EB7B34">
        <w:rPr>
          <w:i/>
          <w:iCs/>
          <w:lang w:val="ru-RU" w:eastAsia="en-GB"/>
        </w:rPr>
        <w:t>Порядок проведения Генеральной Ассамблеей общего обзора хода осуществления решений Всемирной встречи на высшем уровне по вопросам информационного общества</w:t>
      </w:r>
      <w:r w:rsidRPr="00EB7B34">
        <w:rPr>
          <w:lang w:val="ru-RU" w:eastAsia="en-GB"/>
        </w:rPr>
        <w:t>" (</w:t>
      </w:r>
      <w:r w:rsidRPr="00CD7980">
        <w:rPr>
          <w:rStyle w:val="Hyperlink"/>
        </w:rPr>
        <w:fldChar w:fldCharType="begin"/>
      </w:r>
      <w:r w:rsidRPr="00CD7980">
        <w:rPr>
          <w:rStyle w:val="Hyperlink"/>
        </w:rPr>
        <w:instrText>HYPERLINK</w:instrText>
      </w:r>
      <w:r w:rsidRPr="00CD7980">
        <w:rPr>
          <w:rStyle w:val="Hyperlink"/>
          <w:lang w:val="ru-RU"/>
        </w:rPr>
        <w:instrText xml:space="preserve"> "</w:instrText>
      </w:r>
      <w:r w:rsidRPr="00CD7980">
        <w:rPr>
          <w:rStyle w:val="Hyperlink"/>
        </w:rPr>
        <w:instrText>https</w:instrText>
      </w:r>
      <w:r w:rsidRPr="00CD7980">
        <w:rPr>
          <w:rStyle w:val="Hyperlink"/>
          <w:lang w:val="ru-RU"/>
        </w:rPr>
        <w:instrText>://</w:instrText>
      </w:r>
      <w:r w:rsidRPr="00CD7980">
        <w:rPr>
          <w:rStyle w:val="Hyperlink"/>
        </w:rPr>
        <w:instrText>docs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un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org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ru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A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RES</w:instrText>
      </w:r>
      <w:r w:rsidRPr="00CD7980">
        <w:rPr>
          <w:rStyle w:val="Hyperlink"/>
          <w:lang w:val="ru-RU"/>
        </w:rPr>
        <w:instrText>/79/277"</w:instrText>
      </w:r>
      <w:r w:rsidRPr="00CD7980">
        <w:rPr>
          <w:rStyle w:val="Hyperlink"/>
        </w:rPr>
      </w:r>
      <w:r w:rsidRPr="00CD7980">
        <w:rPr>
          <w:rStyle w:val="Hyperlink"/>
        </w:rPr>
        <w:fldChar w:fldCharType="separate"/>
      </w:r>
      <w:r w:rsidRPr="00CD7980">
        <w:rPr>
          <w:rStyle w:val="Hyperlink"/>
        </w:rPr>
        <w:t>A/RES/79/277</w:t>
      </w:r>
      <w:r w:rsidRPr="00CD7980">
        <w:rPr>
          <w:rStyle w:val="Hyperlink"/>
        </w:rPr>
        <w:fldChar w:fldCharType="end"/>
      </w:r>
      <w:r w:rsidRPr="00EB7B34">
        <w:rPr>
          <w:lang w:val="ru-RU" w:eastAsia="en-GB"/>
        </w:rPr>
        <w:t>).</w:t>
      </w:r>
    </w:p>
    <w:p w14:paraId="5E4E7A4B" w14:textId="77777777" w:rsidR="00616963" w:rsidRPr="00EB7B34" w:rsidRDefault="00616963" w:rsidP="00CD7980">
      <w:pPr>
        <w:jc w:val="both"/>
        <w:rPr>
          <w:lang w:val="ru-RU" w:eastAsia="en-GB"/>
        </w:rPr>
      </w:pPr>
      <w:r w:rsidRPr="00EB7B34">
        <w:rPr>
          <w:lang w:val="ru-RU" w:eastAsia="en-GB"/>
        </w:rPr>
        <w:t xml:space="preserve">Совещание ознаменовало двадцатую годовщину принятия </w:t>
      </w:r>
      <w:hyperlink r:id="rId31" w:history="1">
        <w:proofErr w:type="spellStart"/>
        <w:r w:rsidRPr="00CD7980">
          <w:rPr>
            <w:rStyle w:val="Hyperlink"/>
          </w:rPr>
          <w:t>Женевской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декларации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принципов</w:t>
        </w:r>
        <w:proofErr w:type="spellEnd"/>
        <w:r w:rsidRPr="00CD7980">
          <w:rPr>
            <w:rStyle w:val="Hyperlink"/>
          </w:rPr>
          <w:t xml:space="preserve"> и </w:t>
        </w:r>
        <w:proofErr w:type="spellStart"/>
        <w:r w:rsidRPr="00CD7980">
          <w:rPr>
            <w:rStyle w:val="Hyperlink"/>
          </w:rPr>
          <w:t>Плана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действий</w:t>
        </w:r>
        <w:proofErr w:type="spellEnd"/>
        <w:r w:rsidRPr="00CD7980">
          <w:rPr>
            <w:rStyle w:val="Hyperlink"/>
          </w:rPr>
          <w:t xml:space="preserve"> (2003 г.)</w:t>
        </w:r>
      </w:hyperlink>
      <w:r w:rsidRPr="00EB7B34">
        <w:rPr>
          <w:lang w:val="ru-RU" w:eastAsia="en-GB"/>
        </w:rPr>
        <w:t xml:space="preserve"> и </w:t>
      </w:r>
      <w:hyperlink r:id="rId32" w:history="1">
        <w:proofErr w:type="spellStart"/>
        <w:r w:rsidRPr="00CD7980">
          <w:rPr>
            <w:rStyle w:val="Hyperlink"/>
          </w:rPr>
          <w:t>Тунисской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программы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для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информационного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общества</w:t>
        </w:r>
        <w:proofErr w:type="spellEnd"/>
        <w:r w:rsidRPr="00CD7980">
          <w:rPr>
            <w:rStyle w:val="Hyperlink"/>
          </w:rPr>
          <w:t xml:space="preserve"> (2005 г.)</w:t>
        </w:r>
      </w:hyperlink>
      <w:r w:rsidRPr="00EB7B34">
        <w:rPr>
          <w:lang w:val="ru-RU" w:eastAsia="en-GB"/>
        </w:rPr>
        <w:t>, предоставив государствам-членам и заинтересованным сторонам ключевую возможность оценить прогресс, выявить сохраняющиеся пробелы и установить приоритеты для следующего этапа глобального цифрового сотрудничества. В ходе этого совещания, собравшего представителей государств-членов, учреждений системы Организации Объединенных Наций, международных и региональных организаций, а также сообщества многих заинтересованных сторон, включая частный сектор, гражданское общество, техническое сообщество, академические организации и молодежь, был подчеркнут всеобъемлющий и совместный характер глобальных усилий в области информационного общества</w:t>
      </w:r>
      <w:r w:rsidRPr="00EB7B34">
        <w:rPr>
          <w:rFonts w:cs="Calibri"/>
          <w:position w:val="6"/>
          <w:sz w:val="16"/>
          <w:lang w:val="ru-RU" w:eastAsia="en-GB"/>
        </w:rPr>
        <w:footnoteReference w:id="1"/>
      </w:r>
      <w:r w:rsidRPr="00EB7B34">
        <w:rPr>
          <w:lang w:val="ru-RU" w:eastAsia="en-GB"/>
        </w:rPr>
        <w:t>.</w:t>
      </w:r>
    </w:p>
    <w:p w14:paraId="03B68A5B" w14:textId="77777777" w:rsidR="00616963" w:rsidRPr="00EB7B34" w:rsidRDefault="00616963" w:rsidP="00616963">
      <w:pPr>
        <w:pStyle w:val="Heading1"/>
        <w:rPr>
          <w:lang w:val="ru-RU" w:eastAsia="en-GB"/>
        </w:rPr>
      </w:pPr>
      <w:r w:rsidRPr="00EB7B34">
        <w:rPr>
          <w:lang w:val="ru-RU" w:eastAsia="en-GB"/>
        </w:rPr>
        <w:t>II</w:t>
      </w:r>
      <w:r w:rsidRPr="00EB7B34">
        <w:rPr>
          <w:lang w:val="ru-RU" w:eastAsia="en-GB"/>
        </w:rPr>
        <w:tab/>
        <w:t>Обзор заявлений, сделанных в ходе пленарных заседаний</w:t>
      </w:r>
    </w:p>
    <w:p w14:paraId="0CE6893F" w14:textId="3AE708D7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Совещание высокого уровня открылось заявлением Председателя Генеральной Ассамблеи Е.П.</w:t>
      </w:r>
      <w:r w:rsidR="00C15102" w:rsidRPr="00EB7B34">
        <w:rPr>
          <w:lang w:val="ru-RU" w:eastAsia="en-GB"/>
        </w:rPr>
        <w:t> </w:t>
      </w:r>
      <w:r w:rsidRPr="00EB7B34">
        <w:rPr>
          <w:lang w:val="ru-RU" w:eastAsia="en-GB"/>
        </w:rPr>
        <w:t>г-жи Анналены Бербок, которая отметила, что спустя два десятилетия после ВВУИО концепция ориентированного на интересы людей, открытого для всех и нацеленного на развитие информационного общества остается незавершенной, а в некоторых областях она сталкивается со все более серьезными рисками. Она подчеркнула сохраняющийся цифровой разрыв в том, что касается доступа, приемлемости в ценовом отношении и навыков, по</w:t>
      </w:r>
      <w:r w:rsidR="00C15102" w:rsidRPr="00EB7B34">
        <w:rPr>
          <w:lang w:val="ru-RU" w:eastAsia="en-GB"/>
        </w:rPr>
        <w:t>­</w:t>
      </w:r>
      <w:r w:rsidRPr="00EB7B34">
        <w:rPr>
          <w:lang w:val="ru-RU" w:eastAsia="en-GB"/>
        </w:rPr>
        <w:t>прежнему имеющий место цифровой гендерный разрыв и необходимость ответственного управления появляющимися технологиями, включая искусственный интеллект. Подчеркнув, что для прогресса необходим подход с участием многих заинтересованных сторон, она обратила внимание на важное значение партнерств для укрепления сотрудничества, содействия достижению всеобъемлющих результатов и обеспечения того, чтобы Организация Объединенных Наций и далее соответствовала своему назначению в цифровую эпоху.</w:t>
      </w:r>
    </w:p>
    <w:p w14:paraId="032BF49B" w14:textId="70A18152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 xml:space="preserve">Выступая от имени Генерального секретаря ООН, г-н Гай Райдер, заместитель Генерального секретаря по вопросам политики, подчеркнул центральную роль сообщества многих заинтересованных сторон в продвижении повестки дня ВВУИО и отметил, что итоговый документ ВВУИО+20 отражает широкое сотрудничество между государствами-членами, заинтересованными сторонами и системой ООН. Он признал прогресс, достигнутый за последние два десятилетия, отметив при этом сохраняющиеся проблемы, в том числе цифровые разрывы и управление появляющимися технологиями. Подчеркивая важность таких платформ, как Форум по вопросам управления использованием интернета, он подчеркнул взаимодополняющий и взаимоусиливающий характер ВВУИО+20 и Глобального цифрового </w:t>
      </w:r>
      <w:r w:rsidRPr="00EB7B34">
        <w:rPr>
          <w:lang w:val="ru-RU" w:eastAsia="en-GB"/>
        </w:rPr>
        <w:lastRenderedPageBreak/>
        <w:t>договора с учетом того, что ВВУИО обеспечивает архитектуру реализации и придание первоочередного значения развитию в целях поддержки открытой для всех и устойчивой цифровой трансформации.</w:t>
      </w:r>
    </w:p>
    <w:p w14:paraId="4853930F" w14:textId="5A8CD08D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Затем Ассамблея предложила государствам-членам, а также представителям организаций системы ООН и более широкого сообщества заинтересованных сторон представить свои заявления. В ходе двухдневного совещания было сделано 120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заявлений</w:t>
      </w:r>
      <w:r w:rsidRPr="00EB7B34">
        <w:rPr>
          <w:rFonts w:cs="Calibri"/>
          <w:position w:val="6"/>
          <w:sz w:val="16"/>
          <w:lang w:val="ru-RU" w:eastAsia="en-GB"/>
        </w:rPr>
        <w:footnoteReference w:id="2"/>
      </w:r>
      <w:r w:rsidRPr="00EB7B34">
        <w:rPr>
          <w:lang w:val="ru-RU" w:eastAsia="en-GB"/>
        </w:rPr>
        <w:t>. В своих заявлениях государства-члены и заинтересованные стороны признали прогресс, достигнутый после ВВУИО в расширении возможностей установления соединений и цифровых услуг, подчеркнув при этом, что сохраняющиеся цифровые разрывы остаются серьезной проблемой. Многие ораторы подчеркнули, что они представляют собой разрывы в уровнях развития, включая разрывы в том, что касается доступа, приемлемости в ценовом отношении, навыков, гендерного аспекта, инфраструктуры и полноценного использования; при этом особую обеспокоенность вызывают развивающиеся страны, наименее развитые страны, малые островные развивающиеся государства и маргинализированные группы населения. Делегаты подчеркнули, что без устойчивых инвестиций, создания потенциала и адресной поддержки стремительные технологические изменения могут еще больше углубить неравенство, в том числе создав новые разрывы, связанные с данными и появляющимися технологиями.</w:t>
      </w:r>
    </w:p>
    <w:p w14:paraId="493D7B7F" w14:textId="417AC2F5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Было подчеркнуто преобразующее воздействие появляющихся технологий, включая искусственный интеллект и цифровую инфраструктуру общего пользования, а также подтверждена важность ориентированных на человека, открытых для всех и основанных на правах человека подходов к цифровой трансформации. Была также подчеркнута необходимость ответственного управления, передачи технологий, развития цифровых навыков и устойчивого финансирования; при этом Направления деятельности ВВУИО были подтверждены в качестве практической основы для реализации и поддержки прогресса в осуществлении Повестки дня на период до 2030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года в увязке с Глобальным цифровым договором. Сотрудничество многих заинтересованных сторон, в том числе с помощью открытых для всех платформ, таких как Форум ВВУИО и Форум по вопросам управления использованием интернета, было признано крайне важным, наряду с межотраслевыми приоритетами гендерного равенства и защиты прав человека в онлайновой среде.</w:t>
      </w:r>
    </w:p>
    <w:p w14:paraId="56B787D5" w14:textId="0CB083F9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>Генеральный секретарь МСЭ г-жа Дорин Богдан-Мартин выступила на совещании высокого уровня с заявлением</w:t>
      </w:r>
      <w:r w:rsidRPr="00EB7B34">
        <w:rPr>
          <w:position w:val="6"/>
          <w:sz w:val="16"/>
          <w:lang w:val="ru-RU"/>
        </w:rPr>
        <w:footnoteReference w:id="3"/>
      </w:r>
      <w:r w:rsidRPr="00EB7B34">
        <w:rPr>
          <w:lang w:val="ru-RU"/>
        </w:rPr>
        <w:t>, что способствовало укреплению функции МСЭ как специализированного учреждения Организации Объединенных Наций в области цифровых технологий и ведущей содействующей организации в процессе ВВУИО, которое также поддерживает разработку ориентированной на интересы людей, открытой для всех и нацеленной на развитие концепции выполнения решений ВВУИО в период после 2025</w:t>
      </w:r>
      <w:r w:rsidR="00C15102" w:rsidRPr="00EB7B34">
        <w:rPr>
          <w:lang w:val="ru-RU"/>
        </w:rPr>
        <w:t> </w:t>
      </w:r>
      <w:r w:rsidRPr="00EB7B34">
        <w:rPr>
          <w:lang w:val="ru-RU"/>
        </w:rPr>
        <w:t>года. Была подчеркнута готовность МСЭ продолжать координировать, организовывать и поддерживать выполнение решений ВВУИО вместе с членами МСЭ и партнерами ООН.</w:t>
      </w:r>
    </w:p>
    <w:p w14:paraId="59E2E845" w14:textId="1ED4C188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/>
        </w:rPr>
        <w:t>Выступая от имени Государств – Членов МСЭ и в качестве Председателя Мероприятия высокого уровня ВВУИО+20 2025</w:t>
      </w:r>
      <w:r w:rsidR="00071A18">
        <w:rPr>
          <w:lang w:val="en-US"/>
        </w:rPr>
        <w:t> </w:t>
      </w:r>
      <w:r w:rsidRPr="00EB7B34">
        <w:rPr>
          <w:lang w:val="ru-RU"/>
        </w:rPr>
        <w:t>года, Е.П.</w:t>
      </w:r>
      <w:r w:rsidR="00C15102" w:rsidRPr="00EB7B34">
        <w:rPr>
          <w:lang w:val="ru-RU"/>
        </w:rPr>
        <w:t> </w:t>
      </w:r>
      <w:r w:rsidRPr="00EB7B34">
        <w:rPr>
          <w:lang w:val="ru-RU"/>
        </w:rPr>
        <w:t xml:space="preserve">г-н Солли Малаци, министр связи и цифровых технологий Южной Африки, сделал заявление, в котором подчеркнул поддержку процесса ВВУИО+20 и подтвердил важность открытого для всех цифрового сотрудничества, преодоления цифровых </w:t>
      </w:r>
      <w:r w:rsidRPr="00EB7B34">
        <w:rPr>
          <w:lang w:val="ru-RU"/>
        </w:rPr>
        <w:lastRenderedPageBreak/>
        <w:t>разрывов и укрепления участия многих заинтересованных сторон для содействия цифровому развитию и дальнейшей реализации концепции ВВУИО</w:t>
      </w:r>
      <w:r w:rsidRPr="00EB7B34">
        <w:rPr>
          <w:position w:val="6"/>
          <w:sz w:val="16"/>
          <w:lang w:val="ru-RU"/>
        </w:rPr>
        <w:footnoteReference w:id="4"/>
      </w:r>
      <w:r w:rsidRPr="00EB7B34">
        <w:rPr>
          <w:lang w:val="ru-RU"/>
        </w:rPr>
        <w:t>.</w:t>
      </w:r>
    </w:p>
    <w:p w14:paraId="70F57C80" w14:textId="77777777" w:rsidR="00616963" w:rsidRPr="00EB7B34" w:rsidRDefault="00616963" w:rsidP="00616963">
      <w:pPr>
        <w:keepNext/>
        <w:keepLines/>
        <w:spacing w:before="480"/>
        <w:ind w:left="567" w:hanging="567"/>
        <w:outlineLvl w:val="0"/>
        <w:rPr>
          <w:b/>
          <w:sz w:val="28"/>
          <w:lang w:val="ru-RU" w:eastAsia="en-GB"/>
        </w:rPr>
      </w:pPr>
      <w:r w:rsidRPr="00EB7B34">
        <w:rPr>
          <w:b/>
          <w:sz w:val="28"/>
          <w:lang w:val="ru-RU" w:eastAsia="en-GB"/>
        </w:rPr>
        <w:t>III</w:t>
      </w:r>
      <w:r w:rsidRPr="00EB7B34">
        <w:rPr>
          <w:b/>
          <w:sz w:val="28"/>
          <w:lang w:val="ru-RU" w:eastAsia="en-GB"/>
        </w:rPr>
        <w:tab/>
        <w:t>Итоги общего обзора и ключевые элементы выполнения МСЭ решений ВВУИО после 2025 года</w:t>
      </w:r>
    </w:p>
    <w:p w14:paraId="14B627C0" w14:textId="785B14C7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Генеральная Ассамблея приняла Итоговый документ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 (</w:t>
      </w:r>
      <w:r w:rsidRPr="00CD7980">
        <w:rPr>
          <w:rStyle w:val="Hyperlink"/>
        </w:rPr>
        <w:fldChar w:fldCharType="begin"/>
      </w:r>
      <w:r w:rsidRPr="00CD7980">
        <w:rPr>
          <w:rStyle w:val="Hyperlink"/>
        </w:rPr>
        <w:instrText>HYPERLINK</w:instrText>
      </w:r>
      <w:r w:rsidRPr="00CD7980">
        <w:rPr>
          <w:rStyle w:val="Hyperlink"/>
          <w:lang w:val="ru-RU"/>
        </w:rPr>
        <w:instrText xml:space="preserve"> "</w:instrText>
      </w:r>
      <w:r w:rsidRPr="00CD7980">
        <w:rPr>
          <w:rStyle w:val="Hyperlink"/>
        </w:rPr>
        <w:instrText>https</w:instrText>
      </w:r>
      <w:r w:rsidRPr="00CD7980">
        <w:rPr>
          <w:rStyle w:val="Hyperlink"/>
          <w:lang w:val="ru-RU"/>
        </w:rPr>
        <w:instrText>://</w:instrText>
      </w:r>
      <w:r w:rsidRPr="00CD7980">
        <w:rPr>
          <w:rStyle w:val="Hyperlink"/>
        </w:rPr>
        <w:instrText>docs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un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org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ru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A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RES</w:instrText>
      </w:r>
      <w:r w:rsidRPr="00CD7980">
        <w:rPr>
          <w:rStyle w:val="Hyperlink"/>
          <w:lang w:val="ru-RU"/>
        </w:rPr>
        <w:instrText>/80/173"</w:instrText>
      </w:r>
      <w:r w:rsidRPr="00CD7980">
        <w:rPr>
          <w:rStyle w:val="Hyperlink"/>
        </w:rPr>
      </w:r>
      <w:r w:rsidRPr="00CD7980">
        <w:rPr>
          <w:rStyle w:val="Hyperlink"/>
        </w:rPr>
        <w:fldChar w:fldCharType="separate"/>
      </w:r>
      <w:r w:rsidRPr="00CD7980">
        <w:rPr>
          <w:rStyle w:val="Hyperlink"/>
        </w:rPr>
        <w:t>A/RES/80/173</w:t>
      </w:r>
      <w:r w:rsidRPr="00CD7980">
        <w:rPr>
          <w:rStyle w:val="Hyperlink"/>
        </w:rPr>
        <w:fldChar w:fldCharType="end"/>
      </w:r>
      <w:r w:rsidRPr="00EB7B34">
        <w:rPr>
          <w:lang w:val="ru-RU" w:eastAsia="en-GB"/>
        </w:rPr>
        <w:t>). Ассамблея вновь подтвердила, что ВВУИО является руководящей и центральной рамочной основой Организации Объединенных Наций для продвижения открытого для всех, ориентированного на интересы людей цифрового развития. В резолюции подчеркивается сохраняющаяся актуальность Женевских принципов, Тунисской программы и Направлений деятельности ВВУИО и содержится призыв к их более активному выполнению в соответствии с Повесткой дня в области устойчивого развития на период до 2030 года и в увязке с Глобальным цифровым</w:t>
      </w:r>
      <w:r w:rsidR="00C15102" w:rsidRPr="00EB7B34">
        <w:rPr>
          <w:lang w:val="ru-RU" w:eastAsia="en-GB"/>
        </w:rPr>
        <w:t> </w:t>
      </w:r>
      <w:r w:rsidRPr="00EB7B34">
        <w:rPr>
          <w:lang w:val="ru-RU" w:eastAsia="en-GB"/>
        </w:rPr>
        <w:t>договором.</w:t>
      </w:r>
    </w:p>
    <w:p w14:paraId="2B1F9DEF" w14:textId="2A22E9B1" w:rsidR="00616963" w:rsidRPr="00EB7B34" w:rsidRDefault="00616963" w:rsidP="00DE50DA">
      <w:pPr>
        <w:jc w:val="both"/>
        <w:rPr>
          <w:iCs/>
          <w:lang w:val="ru-RU" w:eastAsia="en-GB"/>
        </w:rPr>
      </w:pPr>
      <w:r w:rsidRPr="00EB7B34">
        <w:rPr>
          <w:lang w:val="ru-RU" w:eastAsia="en-GB"/>
        </w:rPr>
        <w:t xml:space="preserve">В резолюции также подтверждается ключевая роль Международного союза электросвязи (МСЭ) в содействии выполнению решений ВВУИО, в том числе благодаря его ведущей роли по нескольким Направлениям деятельности ВВУИО, созыву Форума ВВУИО, обеспечению функционирования </w:t>
      </w:r>
      <w:r w:rsidRPr="00EB7B34">
        <w:rPr>
          <w:iCs/>
          <w:lang w:val="ru-RU" w:eastAsia="en-GB"/>
        </w:rPr>
        <w:t>платформы для анализа результатов деятельности в связи</w:t>
      </w:r>
      <w:r w:rsidRPr="00EB7B34">
        <w:rPr>
          <w:lang w:val="ru-RU" w:eastAsia="en-GB"/>
        </w:rPr>
        <w:t xml:space="preserve"> с ВВУИО, организации конкурса "Награды ВВУИО", а также выполнению функций секретариата Группы Организации Объединенных Наций по вопросам информационного общества (ГИО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ООН). В ней содержится призыв к постоянному задействованию многих заинтересованных сторон, укреплению партнерств и расширению потенциала в области данных и измерений для поддержки основанной на фактических данных цифровой политики и ее реализации.</w:t>
      </w:r>
    </w:p>
    <w:p w14:paraId="76FAA19A" w14:textId="0081851C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В резолюции был продлен мандат ВВУИО и содержалась просьба к Генеральной Ассамблее созвать в 2035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году совещание высокого уровня с целью обзора прогресса, оценки проблем и определения приоритетов для дальнейшего выполнения решений ВВУИО с участием всех заинтересованных сторон.</w:t>
      </w:r>
    </w:p>
    <w:p w14:paraId="0816919A" w14:textId="4435EFB0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 xml:space="preserve">Итоговый документ содержит руководящие указания высокого уровня по выполнению решений ВВУИО после 2025 года и предусматривает принятие МСЭ последующих мер в соответствии с его мандатом и с учетом руководящих указаний его членов. Перечень пунктов (ориентировочный и неисчерпывающий), содержащих упоминания о работе и мероприятиях МСЭ, содержится в </w:t>
      </w:r>
      <w:r w:rsidR="00C15102" w:rsidRPr="00CD7980">
        <w:rPr>
          <w:rStyle w:val="Hyperlink"/>
        </w:rPr>
        <w:fldChar w:fldCharType="begin"/>
      </w:r>
      <w:r w:rsidR="00C15102" w:rsidRPr="00CD7980">
        <w:rPr>
          <w:rStyle w:val="Hyperlink"/>
        </w:rPr>
        <w:instrText>HYPERLINK</w:instrText>
      </w:r>
      <w:r w:rsidR="00C15102" w:rsidRPr="00CD7980">
        <w:rPr>
          <w:rStyle w:val="Hyperlink"/>
          <w:lang w:val="ru-RU"/>
        </w:rPr>
        <w:instrText xml:space="preserve"> \</w:instrText>
      </w:r>
      <w:r w:rsidR="00C15102" w:rsidRPr="00CD7980">
        <w:rPr>
          <w:rStyle w:val="Hyperlink"/>
        </w:rPr>
        <w:instrText>l</w:instrText>
      </w:r>
      <w:r w:rsidR="00C15102" w:rsidRPr="00CD7980">
        <w:rPr>
          <w:rStyle w:val="Hyperlink"/>
          <w:lang w:val="ru-RU"/>
        </w:rPr>
        <w:instrText xml:space="preserve"> "</w:instrText>
      </w:r>
      <w:r w:rsidR="00C15102" w:rsidRPr="00CD7980">
        <w:rPr>
          <w:rStyle w:val="Hyperlink"/>
        </w:rPr>
        <w:instrText>Annex</w:instrText>
      </w:r>
      <w:r w:rsidR="00C15102" w:rsidRPr="00CD7980">
        <w:rPr>
          <w:rStyle w:val="Hyperlink"/>
          <w:lang w:val="ru-RU"/>
        </w:rPr>
        <w:instrText>"</w:instrText>
      </w:r>
      <w:r w:rsidR="00C15102" w:rsidRPr="00CD7980">
        <w:rPr>
          <w:rStyle w:val="Hyperlink"/>
        </w:rPr>
      </w:r>
      <w:r w:rsidR="00C15102" w:rsidRPr="00CD7980">
        <w:rPr>
          <w:rStyle w:val="Hyperlink"/>
        </w:rPr>
        <w:fldChar w:fldCharType="separate"/>
      </w:r>
      <w:proofErr w:type="spellStart"/>
      <w:r w:rsidR="00C15102" w:rsidRPr="00CD7980">
        <w:rPr>
          <w:rStyle w:val="Hyperlink"/>
        </w:rPr>
        <w:t>П</w:t>
      </w:r>
      <w:r w:rsidRPr="00CD7980">
        <w:rPr>
          <w:rStyle w:val="Hyperlink"/>
        </w:rPr>
        <w:t>риложении</w:t>
      </w:r>
      <w:proofErr w:type="spellEnd"/>
      <w:r w:rsidR="00C15102" w:rsidRPr="00CD7980">
        <w:rPr>
          <w:rStyle w:val="Hyperlink"/>
        </w:rPr>
        <w:fldChar w:fldCharType="end"/>
      </w:r>
      <w:r w:rsidRPr="00EB7B34">
        <w:rPr>
          <w:lang w:val="ru-RU" w:eastAsia="en-GB"/>
        </w:rPr>
        <w:t>.</w:t>
      </w:r>
    </w:p>
    <w:p w14:paraId="64DC6FC6" w14:textId="7E3B627A" w:rsidR="00616963" w:rsidRPr="00EB7B34" w:rsidRDefault="00616963" w:rsidP="00616963">
      <w:pPr>
        <w:keepNext/>
        <w:keepLines/>
        <w:spacing w:before="480"/>
        <w:ind w:left="567" w:hanging="567"/>
        <w:outlineLvl w:val="0"/>
        <w:rPr>
          <w:rFonts w:cs="Calibri"/>
          <w:b/>
          <w:sz w:val="28"/>
          <w:lang w:val="ru-RU" w:eastAsia="en-GB"/>
        </w:rPr>
      </w:pPr>
      <w:r w:rsidRPr="00EB7B34">
        <w:rPr>
          <w:rFonts w:cs="Calibri"/>
          <w:b/>
          <w:sz w:val="28"/>
          <w:lang w:val="ru-RU" w:eastAsia="en-GB"/>
        </w:rPr>
        <w:t>IV</w:t>
      </w:r>
      <w:r w:rsidRPr="00EB7B34">
        <w:rPr>
          <w:rFonts w:cs="Calibri"/>
          <w:b/>
          <w:sz w:val="28"/>
          <w:lang w:val="ru-RU" w:eastAsia="en-GB"/>
        </w:rPr>
        <w:tab/>
      </w:r>
      <w:r w:rsidRPr="00EB7B34">
        <w:rPr>
          <w:b/>
          <w:sz w:val="28"/>
          <w:lang w:val="ru-RU"/>
        </w:rPr>
        <w:t>Межучрежденческое взаимодействие и более широкое участие ООН: ГИО ООН, IAWG-AI и Партнерство по измерению ИКТ в целях</w:t>
      </w:r>
      <w:r w:rsidR="00C15102" w:rsidRPr="00EB7B34">
        <w:rPr>
          <w:b/>
          <w:sz w:val="28"/>
          <w:lang w:val="ru-RU"/>
        </w:rPr>
        <w:t> </w:t>
      </w:r>
      <w:r w:rsidRPr="00EB7B34">
        <w:rPr>
          <w:b/>
          <w:sz w:val="28"/>
          <w:lang w:val="ru-RU"/>
        </w:rPr>
        <w:t>развития</w:t>
      </w:r>
    </w:p>
    <w:p w14:paraId="77B8ECEC" w14:textId="77777777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 xml:space="preserve">В резолюции подчеркивается необходимость продолжения деятельности и укрепления Группы Организации Объединенных Наций по вопросам информационного общества (ГИО ООН) как межучрежденческого механизма цифрового сотрудничества системы ООН, функции постоянного секретариата которой выполняет МСЭ. В ней содержится призыв к большей гибкости, эффективности и результативности, расширению членского состава и активизации многостороннего диалога, партнерств и обзора прогресса, а также к поощрению сотрудничества </w:t>
      </w:r>
      <w:r w:rsidRPr="00EB7B34">
        <w:rPr>
          <w:lang w:val="ru-RU"/>
        </w:rPr>
        <w:lastRenderedPageBreak/>
        <w:t>в рамках ЭКОСОС, ПФВУ, КНТР, ФУИ и других форумов для интеграции цифровой трансформации в устойчивое развитие. ГИО ООН предлагается подготовить дорожную карту совместной реализации в рамках существующих мандатов для представления на сессии КНТР в 2026 году, обеспечивая согласованность между ВВУИО и ГЦД, а также ресурсосберегающий, унифицированный подход в рамках всей системы ООН.</w:t>
      </w:r>
    </w:p>
    <w:p w14:paraId="0C660C74" w14:textId="384A2191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>Кроме того, МСЭ, координаторам Направлений деятельности ВВУИО и другим членам ГИО</w:t>
      </w:r>
      <w:r w:rsidR="005B487F" w:rsidRPr="00EB7B34">
        <w:rPr>
          <w:lang w:val="ru-RU"/>
        </w:rPr>
        <w:t> </w:t>
      </w:r>
      <w:r w:rsidRPr="00EB7B34">
        <w:rPr>
          <w:lang w:val="ru-RU"/>
        </w:rPr>
        <w:t>ООН предлагается создать внутреннюю целевую группу для оценки пробелов в финансировании цифрового развития для развивающихся стран и предложения рекомендаций, а координаторам Направлений деятельности – разработать целевые дорожные карты реализации, увязывающие Направления деятельности ВВУИО с задачами ЦУР и обязательствами Глобального цифрового договора, включая мониторинг показателей. Отчет о результатах будет представлен на сессии КНТР в 2027</w:t>
      </w:r>
      <w:r w:rsidR="005B487F" w:rsidRPr="00EB7B34">
        <w:rPr>
          <w:lang w:val="ru-RU"/>
        </w:rPr>
        <w:t> </w:t>
      </w:r>
      <w:r w:rsidRPr="00EB7B34">
        <w:rPr>
          <w:lang w:val="ru-RU"/>
        </w:rPr>
        <w:t>году.</w:t>
      </w:r>
    </w:p>
    <w:p w14:paraId="41F87537" w14:textId="239B2DBD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>В резолюции подчеркивается, что Партнерство по измерению ИКТ в целях развития, координаторами которого являются МСЭ, ЮНКТАД и ДЭСВ ООН, представляет собой один из ключевых механизмов отслеживания прогресса; Партнерству предлагается в сотрудничестве с координаторами Направлений деятельности и при поддержке Статистической комиссии проводить систематический обзор существующих показателей и методик и представить отчет о своих выводах ежегодной сессии КНТР в 2027</w:t>
      </w:r>
      <w:r w:rsidR="005B487F" w:rsidRPr="00EB7B34">
        <w:rPr>
          <w:lang w:val="ru-RU"/>
        </w:rPr>
        <w:t> </w:t>
      </w:r>
      <w:r w:rsidRPr="00EB7B34">
        <w:rPr>
          <w:lang w:val="ru-RU"/>
        </w:rPr>
        <w:t>году.</w:t>
      </w:r>
    </w:p>
    <w:p w14:paraId="73B585DC" w14:textId="13368188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>Межучрежденческой рабочей группе ООН по искусственному интеллекту (IAWG-AI) в консультации с координаторам Направлений деятельности ВВУИО поручено составить карту существующих инициатив ООН по наращиванию потенциала ИИ, выявить пробелы и устранить их с помощью стипендий, исследовательских программ и задействования потенциала ООН, уделяя при этом особое внимание развивающимся странам.</w:t>
      </w:r>
    </w:p>
    <w:p w14:paraId="15DD42AF" w14:textId="721EF22A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>Кроме того, в резолюции отмечается создание междисциплинарной Независимой международной научной группы по ИИ для проведения основанных на фактических данных оценок воздействия, рисков и перспектив ИИ, а также приветствуется проведение Глобального диалога по вопросам управления ИИ с участием правительств и заинтересованных сторон; первый доклад, как ожидается, будет представлен в ходе первого раунда Глобального диалога Организации Объединенных Наций по управлению ИИ в 2026</w:t>
      </w:r>
      <w:r w:rsidR="005B487F" w:rsidRPr="00EB7B34">
        <w:rPr>
          <w:lang w:val="ru-RU"/>
        </w:rPr>
        <w:t> </w:t>
      </w:r>
      <w:r w:rsidRPr="00EB7B34">
        <w:rPr>
          <w:lang w:val="ru-RU"/>
        </w:rPr>
        <w:t>году.</w:t>
      </w:r>
    </w:p>
    <w:p w14:paraId="6453ED7E" w14:textId="283D3C5B" w:rsidR="00616963" w:rsidRPr="00EB7B34" w:rsidRDefault="00616963" w:rsidP="00616963">
      <w:pPr>
        <w:keepNext/>
        <w:keepLines/>
        <w:spacing w:before="480"/>
        <w:ind w:left="567" w:hanging="567"/>
        <w:outlineLvl w:val="0"/>
        <w:rPr>
          <w:b/>
          <w:sz w:val="28"/>
          <w:lang w:val="ru-RU" w:eastAsia="en-GB"/>
        </w:rPr>
      </w:pPr>
      <w:r w:rsidRPr="00EB7B34">
        <w:rPr>
          <w:b/>
          <w:sz w:val="28"/>
          <w:lang w:val="ru-RU" w:eastAsia="en-GB"/>
        </w:rPr>
        <w:t>V</w:t>
      </w:r>
      <w:r w:rsidRPr="00EB7B34">
        <w:rPr>
          <w:b/>
          <w:sz w:val="28"/>
          <w:lang w:val="ru-RU" w:eastAsia="en-GB"/>
        </w:rPr>
        <w:tab/>
        <w:t>Вклад МСЭ в процесс обзора ВВУИО+20</w:t>
      </w:r>
    </w:p>
    <w:p w14:paraId="02CAE447" w14:textId="504135B7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 xml:space="preserve">В качестве специализированного учреждения Организации Объединенных Наций в области цифровых технологий и одного из учреждений, которые стояли у истоков процесса ВВУИО, МСЭ выполнял ключевые функции на протяжении всего процесса обзора ВВУИО+20. МСЭ активно содействовал и поддерживал подготовительный процесс, проходивший под руководством ГА ООН, включая взаимодействие с содействующими организациями ВВУИО+20, участие в консультативных собраниях и внесение предметного вклада в итоговый документ ВВУИО+20, как это отражено </w:t>
      </w:r>
      <w:hyperlink r:id="rId33" w:history="1">
        <w:proofErr w:type="spellStart"/>
        <w:r w:rsidRPr="00CD7980">
          <w:rPr>
            <w:rStyle w:val="Hyperlink"/>
          </w:rPr>
          <w:t>здесь</w:t>
        </w:r>
        <w:proofErr w:type="spellEnd"/>
      </w:hyperlink>
      <w:r w:rsidRPr="00EB7B34">
        <w:rPr>
          <w:lang w:val="ru-RU" w:eastAsia="en-GB"/>
        </w:rPr>
        <w:t xml:space="preserve">, на специальной странице секретариата ВВУИО+20. МСЭ руководствовался </w:t>
      </w:r>
      <w:hyperlink r:id="rId34" w:history="1">
        <w:proofErr w:type="spellStart"/>
        <w:r w:rsidRPr="00CD7980">
          <w:rPr>
            <w:rStyle w:val="Hyperlink"/>
          </w:rPr>
          <w:t>подготовленным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Генеральным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секретарем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МСЭ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документом</w:t>
        </w:r>
        <w:proofErr w:type="spellEnd"/>
        <w:r w:rsidRPr="00CD7980">
          <w:rPr>
            <w:rStyle w:val="Hyperlink"/>
          </w:rPr>
          <w:t xml:space="preserve"> "</w:t>
        </w:r>
        <w:proofErr w:type="spellStart"/>
        <w:r w:rsidRPr="00CD7980">
          <w:rPr>
            <w:rStyle w:val="Hyperlink"/>
          </w:rPr>
          <w:t>Всемирная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встреча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на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высшем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уровне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вопросам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информационного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общества</w:t>
        </w:r>
        <w:proofErr w:type="spellEnd"/>
        <w:r w:rsidRPr="00CD7980">
          <w:rPr>
            <w:rStyle w:val="Hyperlink"/>
          </w:rPr>
          <w:t xml:space="preserve"> (</w:t>
        </w:r>
        <w:proofErr w:type="spellStart"/>
        <w:r w:rsidRPr="00CD7980">
          <w:rPr>
            <w:rStyle w:val="Hyperlink"/>
          </w:rPr>
          <w:t>ВВУИО</w:t>
        </w:r>
        <w:proofErr w:type="spellEnd"/>
        <w:r w:rsidRPr="00CD7980">
          <w:rPr>
            <w:rStyle w:val="Hyperlink"/>
          </w:rPr>
          <w:t xml:space="preserve">)+20: </w:t>
        </w:r>
        <w:proofErr w:type="spellStart"/>
        <w:r w:rsidRPr="00CD7980">
          <w:rPr>
            <w:rStyle w:val="Hyperlink"/>
          </w:rPr>
          <w:t>ВВУИО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после</w:t>
        </w:r>
        <w:proofErr w:type="spellEnd"/>
        <w:r w:rsidRPr="00CD7980">
          <w:rPr>
            <w:rStyle w:val="Hyperlink"/>
          </w:rPr>
          <w:t xml:space="preserve"> 2025 </w:t>
        </w:r>
        <w:proofErr w:type="spellStart"/>
        <w:r w:rsidRPr="00CD7980">
          <w:rPr>
            <w:rStyle w:val="Hyperlink"/>
          </w:rPr>
          <w:t>года</w:t>
        </w:r>
        <w:proofErr w:type="spellEnd"/>
        <w:r w:rsidRPr="00CD7980">
          <w:rPr>
            <w:rStyle w:val="Hyperlink"/>
          </w:rPr>
          <w:t xml:space="preserve"> – </w:t>
        </w:r>
        <w:proofErr w:type="spellStart"/>
        <w:r w:rsidRPr="00CD7980">
          <w:rPr>
            <w:rStyle w:val="Hyperlink"/>
          </w:rPr>
          <w:t>дорожная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карта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ВВУИО+20</w:t>
        </w:r>
        <w:proofErr w:type="spellEnd"/>
        <w:r w:rsidRPr="00CD7980">
          <w:rPr>
            <w:rStyle w:val="Hyperlink"/>
          </w:rPr>
          <w:t>"</w:t>
        </w:r>
      </w:hyperlink>
      <w:r w:rsidRPr="00EB7B34">
        <w:rPr>
          <w:lang w:val="ru-RU" w:eastAsia="en-GB"/>
        </w:rPr>
        <w:t>, в котором определяется стратегическая направленность роли МСЭ в процессе обзора ВВУИО+20 и деятельности по подготовке к нему.</w:t>
      </w:r>
    </w:p>
    <w:p w14:paraId="3CA421AE" w14:textId="34DDEE02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Генеральный секретарь обеспечивала стратегическое руководство на протяжении всего процесса обзора ВВУИО+20 и в соответствии с Резолюцией 140 (Пересм. Бухарест, 2022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г.) Полномочной конференции и Резолюциями 1332 (Изм. 2024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г.) и 1334 (Изм. 2023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 xml:space="preserve">г.) Совета подготовила и представила в рамках проводимого под руководством ГА ООН Обзора ВВУИО+20 </w:t>
      </w:r>
      <w:hyperlink r:id="rId35" w:history="1">
        <w:proofErr w:type="spellStart"/>
        <w:r w:rsidRPr="00CD7980">
          <w:rPr>
            <w:rStyle w:val="Hyperlink"/>
          </w:rPr>
          <w:t>Отчет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ВВУИО+20</w:t>
        </w:r>
        <w:proofErr w:type="spellEnd"/>
        <w:r w:rsidRPr="00CD7980">
          <w:rPr>
            <w:rStyle w:val="Hyperlink"/>
          </w:rPr>
          <w:t xml:space="preserve"> "</w:t>
        </w:r>
        <w:proofErr w:type="spellStart"/>
        <w:r w:rsidRPr="00CD7980">
          <w:rPr>
            <w:rStyle w:val="Hyperlink"/>
          </w:rPr>
          <w:t>Построение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цифрового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будущего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для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всех</w:t>
        </w:r>
        <w:proofErr w:type="spellEnd"/>
        <w:r w:rsidRPr="00CD7980">
          <w:rPr>
            <w:rStyle w:val="Hyperlink"/>
          </w:rPr>
          <w:t>"</w:t>
        </w:r>
      </w:hyperlink>
      <w:r w:rsidRPr="00EB7B34">
        <w:rPr>
          <w:lang w:val="ru-RU" w:eastAsia="en-GB"/>
        </w:rPr>
        <w:t xml:space="preserve">, в котором документально отражен </w:t>
      </w:r>
      <w:r w:rsidRPr="00EB7B34">
        <w:rPr>
          <w:lang w:val="ru-RU" w:eastAsia="en-GB"/>
        </w:rPr>
        <w:lastRenderedPageBreak/>
        <w:t>двадцатилетний период реализации решений ВВУИО и вклад МСЭ в политику, техническую помощь, развитие потенциала, работу с данными и формирование</w:t>
      </w:r>
      <w:r w:rsidR="005B487F" w:rsidRPr="00EB7B34">
        <w:rPr>
          <w:lang w:val="ru-RU" w:eastAsia="en-GB"/>
        </w:rPr>
        <w:t> </w:t>
      </w:r>
      <w:r w:rsidRPr="00EB7B34">
        <w:rPr>
          <w:lang w:val="ru-RU" w:eastAsia="en-GB"/>
        </w:rPr>
        <w:t>партнерств.</w:t>
      </w:r>
    </w:p>
    <w:p w14:paraId="7FACD84A" w14:textId="6C55230F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 w:eastAsia="en-GB"/>
        </w:rPr>
        <w:t xml:space="preserve">Резюме </w:t>
      </w:r>
      <w:hyperlink r:id="rId36" w:history="1">
        <w:proofErr w:type="spellStart"/>
        <w:r w:rsidRPr="00CD7980">
          <w:rPr>
            <w:rStyle w:val="Hyperlink"/>
          </w:rPr>
          <w:t>Призыва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МСЭ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представлять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вклады</w:t>
        </w:r>
        <w:proofErr w:type="spellEnd"/>
        <w:r w:rsidRPr="00CD7980">
          <w:rPr>
            <w:rStyle w:val="Hyperlink"/>
          </w:rPr>
          <w:t xml:space="preserve"> в </w:t>
        </w:r>
        <w:proofErr w:type="spellStart"/>
        <w:r w:rsidRPr="00CD7980">
          <w:rPr>
            <w:rStyle w:val="Hyperlink"/>
          </w:rPr>
          <w:t>рамках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обзора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ВВУИО+20</w:t>
        </w:r>
        <w:proofErr w:type="spellEnd"/>
      </w:hyperlink>
      <w:r w:rsidRPr="00EB7B34">
        <w:rPr>
          <w:lang w:val="ru-RU" w:eastAsia="en-GB"/>
        </w:rPr>
        <w:t>, подготовка которого координировалась через Рабочую группу Совета по ВВУИО и ЦУР, было препровождено Председателем РГС-ВВУИО&amp;ЦУР участникам проводимого под руководством ГА</w:t>
      </w:r>
      <w:r w:rsidR="005B487F" w:rsidRPr="00EB7B34">
        <w:rPr>
          <w:lang w:val="ru-RU" w:eastAsia="en-GB"/>
        </w:rPr>
        <w:t> </w:t>
      </w:r>
      <w:r w:rsidRPr="00EB7B34">
        <w:rPr>
          <w:lang w:val="ru-RU" w:eastAsia="en-GB"/>
        </w:rPr>
        <w:t>ООН Обзора ВВУИО+20, что обеспечило отражение различных точек зрения правительств и заинтересованных сторон и их вклад в общий процесс. Действуя под руководством Председателя и при поддержке заместителей Председателя и секретариата, РГС послужила ключевой платформой для мониторинга, координации и консультаций по относящимся к ВВУИО вкладам МСЭ.</w:t>
      </w:r>
    </w:p>
    <w:p w14:paraId="24F29C0D" w14:textId="192EF229" w:rsidR="00616963" w:rsidRPr="00EB7B34" w:rsidRDefault="00616963" w:rsidP="00616963">
      <w:pPr>
        <w:keepNext/>
        <w:keepLines/>
        <w:spacing w:before="480"/>
        <w:ind w:left="567" w:hanging="567"/>
        <w:outlineLvl w:val="0"/>
        <w:rPr>
          <w:b/>
          <w:sz w:val="28"/>
          <w:lang w:val="ru-RU" w:eastAsia="en-GB"/>
        </w:rPr>
      </w:pPr>
      <w:r w:rsidRPr="00EB7B34">
        <w:rPr>
          <w:b/>
          <w:sz w:val="28"/>
          <w:lang w:val="ru-RU" w:eastAsia="en-GB"/>
        </w:rPr>
        <w:t>VI</w:t>
      </w:r>
      <w:r w:rsidRPr="00EB7B34">
        <w:rPr>
          <w:b/>
          <w:sz w:val="28"/>
          <w:lang w:val="ru-RU" w:eastAsia="en-GB"/>
        </w:rPr>
        <w:tab/>
        <w:t>Вклады МСЭ в сопутствующие мероприятия в ходе совещания высокого уровня ГА ООН ВВУИО+20</w:t>
      </w:r>
    </w:p>
    <w:p w14:paraId="0A595A4B" w14:textId="38E88F6D" w:rsidR="00616963" w:rsidRPr="00DE50DA" w:rsidRDefault="00616963" w:rsidP="00DE50DA">
      <w:pPr>
        <w:jc w:val="both"/>
        <w:rPr>
          <w:spacing w:val="-2"/>
          <w:lang w:val="ru-RU" w:eastAsia="en-GB"/>
        </w:rPr>
      </w:pPr>
      <w:r w:rsidRPr="00DE50DA">
        <w:rPr>
          <w:spacing w:val="-2"/>
          <w:lang w:val="ru-RU" w:eastAsia="en-GB"/>
        </w:rPr>
        <w:t>На полях совещания высокого уровня МСЭ организовал следующие сопутствующие</w:t>
      </w:r>
      <w:r w:rsidR="005B487F" w:rsidRPr="00DE50DA">
        <w:rPr>
          <w:spacing w:val="-2"/>
          <w:lang w:val="ru-RU" w:eastAsia="en-GB"/>
        </w:rPr>
        <w:t> </w:t>
      </w:r>
      <w:r w:rsidRPr="00DE50DA">
        <w:rPr>
          <w:spacing w:val="-2"/>
          <w:lang w:val="ru-RU" w:eastAsia="en-GB"/>
        </w:rPr>
        <w:t>мероприятия:</w:t>
      </w:r>
    </w:p>
    <w:p w14:paraId="20E9B23C" w14:textId="4EC2A103" w:rsidR="00616963" w:rsidRPr="00EB7B34" w:rsidRDefault="00616963" w:rsidP="00DE50DA">
      <w:pPr>
        <w:spacing w:before="86"/>
        <w:ind w:left="567" w:hanging="567"/>
        <w:jc w:val="both"/>
        <w:rPr>
          <w:lang w:val="ru-RU" w:eastAsia="en-GB"/>
        </w:rPr>
      </w:pPr>
      <w:r w:rsidRPr="00EB7B34">
        <w:rPr>
          <w:lang w:val="ru-RU"/>
        </w:rPr>
        <w:t>–</w:t>
      </w:r>
      <w:r w:rsidRPr="00EB7B34">
        <w:rPr>
          <w:lang w:val="ru-RU"/>
        </w:rPr>
        <w:tab/>
      </w:r>
      <w:hyperlink r:id="rId37" w:history="1">
        <w:proofErr w:type="spellStart"/>
        <w:r w:rsidRPr="00CD7980">
          <w:rPr>
            <w:rStyle w:val="Hyperlink"/>
          </w:rPr>
          <w:t>Совместное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празднование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двадцатилетия</w:t>
        </w:r>
        <w:proofErr w:type="spellEnd"/>
        <w:r w:rsidRPr="00CD7980">
          <w:rPr>
            <w:rStyle w:val="Hyperlink"/>
          </w:rPr>
          <w:t xml:space="preserve"> и </w:t>
        </w:r>
        <w:proofErr w:type="spellStart"/>
        <w:r w:rsidRPr="00CD7980">
          <w:rPr>
            <w:rStyle w:val="Hyperlink"/>
          </w:rPr>
          <w:t>достижение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будущих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вех</w:t>
        </w:r>
        <w:proofErr w:type="spellEnd"/>
      </w:hyperlink>
      <w:r w:rsidRPr="00EB7B34">
        <w:rPr>
          <w:lang w:val="ru-RU" w:eastAsia="en-GB"/>
        </w:rPr>
        <w:t xml:space="preserve"> – 15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декабря, штаб</w:t>
      </w:r>
      <w:r w:rsidR="005B487F" w:rsidRPr="00EB7B34">
        <w:rPr>
          <w:lang w:val="ru-RU" w:eastAsia="en-GB"/>
        </w:rPr>
        <w:t>­</w:t>
      </w:r>
      <w:r w:rsidRPr="00EB7B34">
        <w:rPr>
          <w:lang w:val="ru-RU" w:eastAsia="en-GB"/>
        </w:rPr>
        <w:t>квартира ПРООН, Нью-Йорк. Организаторы: МСЭ, ПРООН, ЮНЕСКО, Швейцария.</w:t>
      </w:r>
    </w:p>
    <w:p w14:paraId="40676A1C" w14:textId="100B94DA" w:rsidR="00616963" w:rsidRPr="00EB7B34" w:rsidRDefault="00616963" w:rsidP="00DE50DA">
      <w:pPr>
        <w:spacing w:before="86"/>
        <w:ind w:left="567" w:hanging="567"/>
        <w:jc w:val="both"/>
        <w:rPr>
          <w:lang w:val="ru-RU" w:eastAsia="en-GB"/>
        </w:rPr>
      </w:pPr>
      <w:r w:rsidRPr="00EB7B34">
        <w:rPr>
          <w:lang w:val="ru-RU"/>
        </w:rPr>
        <w:t>–</w:t>
      </w:r>
      <w:r w:rsidRPr="00EB7B34">
        <w:rPr>
          <w:lang w:val="ru-RU"/>
        </w:rPr>
        <w:tab/>
      </w:r>
      <w:hyperlink r:id="rId38" w:history="1">
        <w:proofErr w:type="spellStart"/>
        <w:r w:rsidRPr="00CD7980">
          <w:rPr>
            <w:rStyle w:val="Hyperlink"/>
          </w:rPr>
          <w:t>ООН</w:t>
        </w:r>
        <w:proofErr w:type="spellEnd"/>
        <w:r w:rsidRPr="00CD7980">
          <w:rPr>
            <w:rStyle w:val="Hyperlink"/>
          </w:rPr>
          <w:t xml:space="preserve"> в </w:t>
        </w:r>
        <w:proofErr w:type="spellStart"/>
        <w:r w:rsidRPr="00CD7980">
          <w:rPr>
            <w:rStyle w:val="Hyperlink"/>
          </w:rPr>
          <w:t>действии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для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цифрового</w:t>
        </w:r>
        <w:proofErr w:type="spellEnd"/>
        <w:r w:rsidRPr="00CD7980">
          <w:rPr>
            <w:rStyle w:val="Hyperlink"/>
          </w:rPr>
          <w:t xml:space="preserve"> </w:t>
        </w:r>
        <w:proofErr w:type="spellStart"/>
        <w:r w:rsidRPr="00CD7980">
          <w:rPr>
            <w:rStyle w:val="Hyperlink"/>
          </w:rPr>
          <w:t>сотрудничества</w:t>
        </w:r>
        <w:proofErr w:type="spellEnd"/>
      </w:hyperlink>
      <w:r w:rsidRPr="00EB7B34">
        <w:rPr>
          <w:lang w:val="ru-RU" w:eastAsia="en-GB"/>
        </w:rPr>
        <w:t xml:space="preserve"> – 15</w:t>
      </w:r>
      <w:r w:rsidR="00071A18">
        <w:rPr>
          <w:lang w:val="en-US" w:eastAsia="en-GB"/>
        </w:rPr>
        <w:t> </w:t>
      </w:r>
      <w:r w:rsidRPr="00EB7B34">
        <w:rPr>
          <w:lang w:val="ru-RU" w:eastAsia="en-GB"/>
        </w:rPr>
        <w:t>декабря, штаб-квартира ПРООН, Нью-Йорк. Организаторы: МСЭ, ЮНКТАД, ПРООН, ЮНЕСКО, ЭСКЗА ООН в сотрудничестве с членами ГИО ООН.</w:t>
      </w:r>
    </w:p>
    <w:p w14:paraId="5A5E847E" w14:textId="3BED8E02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Оба мероприятия прошли в смешанном формате в штаб-квартире ПРООН в Нью-Йорке, предоставив государствам-членам, учреждениям системы ООН и заинтересованным сторонам платформу для обмена опытом и обсуждения приоритетов развития глобального цифрового</w:t>
      </w:r>
      <w:r w:rsidR="00182A7E" w:rsidRPr="00EB7B34">
        <w:rPr>
          <w:lang w:val="ru-RU" w:eastAsia="en-GB"/>
        </w:rPr>
        <w:t> </w:t>
      </w:r>
      <w:r w:rsidRPr="00EB7B34">
        <w:rPr>
          <w:lang w:val="ru-RU" w:eastAsia="en-GB"/>
        </w:rPr>
        <w:t>сотрудничества.</w:t>
      </w:r>
    </w:p>
    <w:p w14:paraId="770DCB2F" w14:textId="42011326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 xml:space="preserve">Кроме того, МСЭ в сотрудничестве с ПРООН организовал специальное мероприятие </w:t>
      </w:r>
      <w:hyperlink r:id="rId39" w:anchor="/ru" w:history="1">
        <w:r w:rsidRPr="00CD7980">
          <w:rPr>
            <w:rStyle w:val="Hyperlink"/>
          </w:rPr>
          <w:t>"</w:t>
        </w:r>
        <w:proofErr w:type="spellStart"/>
        <w:r w:rsidRPr="00CD7980">
          <w:rPr>
            <w:rStyle w:val="Hyperlink"/>
          </w:rPr>
          <w:t>Digital@UNGA</w:t>
        </w:r>
        <w:proofErr w:type="spellEnd"/>
        <w:r w:rsidRPr="00CD7980">
          <w:rPr>
            <w:rStyle w:val="Hyperlink"/>
          </w:rPr>
          <w:t xml:space="preserve"> 2025 </w:t>
        </w:r>
        <w:proofErr w:type="spellStart"/>
        <w:r w:rsidRPr="00CD7980">
          <w:rPr>
            <w:rStyle w:val="Hyperlink"/>
          </w:rPr>
          <w:t>году</w:t>
        </w:r>
        <w:proofErr w:type="spellEnd"/>
        <w:r w:rsidRPr="00CD7980">
          <w:rPr>
            <w:rStyle w:val="Hyperlink"/>
          </w:rPr>
          <w:t xml:space="preserve"> – </w:t>
        </w:r>
        <w:proofErr w:type="spellStart"/>
        <w:r w:rsidRPr="00CD7980">
          <w:rPr>
            <w:rStyle w:val="Hyperlink"/>
          </w:rPr>
          <w:t>ВВУИО+20</w:t>
        </w:r>
        <w:proofErr w:type="spellEnd"/>
        <w:r w:rsidRPr="00CD7980">
          <w:rPr>
            <w:rStyle w:val="Hyperlink"/>
          </w:rPr>
          <w:t>"</w:t>
        </w:r>
      </w:hyperlink>
      <w:r w:rsidRPr="00EB7B34">
        <w:rPr>
          <w:lang w:val="ru-RU"/>
        </w:rPr>
        <w:t xml:space="preserve"> по теме "Отмечая два десятилетия цифрового прогресса на благо людей и процветания". В ходе мероприятия было показано, как цифровые технологии, поставленные на службу рамочных механизмов ВВУИО, способствуют устойчивому развитию в сферах образования, здравоохранения, установления соединений, государственных услуг и экономической интеграции. Кроме того, подчеркивалась роль сотрудничества многих заинтересованных сторон, осуществляемого в рамках таких инициатив, как Цифровая коалиция МСЭ "Партнерства для подключения", в мобилизации ресурсов, формировании партнерств и принятии обязательств в целях обеспечения универсальной и реальной возможности установления соединений.</w:t>
      </w:r>
    </w:p>
    <w:p w14:paraId="6738BC1D" w14:textId="77777777" w:rsidR="00616963" w:rsidRPr="00EB7B34" w:rsidRDefault="00616963" w:rsidP="00DE50DA">
      <w:pPr>
        <w:jc w:val="both"/>
        <w:rPr>
          <w:lang w:val="ru-RU"/>
        </w:rPr>
      </w:pPr>
      <w:r w:rsidRPr="00EB7B34">
        <w:rPr>
          <w:lang w:val="ru-RU"/>
        </w:rPr>
        <w:t xml:space="preserve">Помимо этого, МСЭ активно участвовал в проведении широкого круга сопутствующих мероприятий, связанных с ВВУИО+20, которые были организованы учреждениями ООН и заинтересованными сторонами, в том числе путем выполнения функций соорганизатора и предметных выступлений. Полный список сопутствующих мероприятий размещен </w:t>
      </w:r>
      <w:r w:rsidRPr="00CD7980">
        <w:rPr>
          <w:rStyle w:val="Hyperlink"/>
        </w:rPr>
        <w:fldChar w:fldCharType="begin"/>
      </w:r>
      <w:r w:rsidRPr="00CD7980">
        <w:rPr>
          <w:rStyle w:val="Hyperlink"/>
        </w:rPr>
        <w:instrText>HYPERLINK</w:instrText>
      </w:r>
      <w:r w:rsidRPr="00CD7980">
        <w:rPr>
          <w:rStyle w:val="Hyperlink"/>
          <w:lang w:val="ru-RU"/>
        </w:rPr>
        <w:instrText xml:space="preserve"> "</w:instrText>
      </w:r>
      <w:r w:rsidRPr="00CD7980">
        <w:rPr>
          <w:rStyle w:val="Hyperlink"/>
        </w:rPr>
        <w:instrText>https</w:instrText>
      </w:r>
      <w:r w:rsidRPr="00CD7980">
        <w:rPr>
          <w:rStyle w:val="Hyperlink"/>
          <w:lang w:val="ru-RU"/>
        </w:rPr>
        <w:instrText>://</w:instrText>
      </w:r>
      <w:r w:rsidRPr="00CD7980">
        <w:rPr>
          <w:rStyle w:val="Hyperlink"/>
        </w:rPr>
        <w:instrText>itu</w:instrText>
      </w:r>
      <w:r w:rsidRPr="00CD7980">
        <w:rPr>
          <w:rStyle w:val="Hyperlink"/>
          <w:lang w:val="ru-RU"/>
        </w:rPr>
        <w:instrText>.</w:instrText>
      </w:r>
      <w:r w:rsidRPr="00CD7980">
        <w:rPr>
          <w:rStyle w:val="Hyperlink"/>
        </w:rPr>
        <w:instrText>int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go</w:instrText>
      </w:r>
      <w:r w:rsidRPr="00CD7980">
        <w:rPr>
          <w:rStyle w:val="Hyperlink"/>
          <w:lang w:val="ru-RU"/>
        </w:rPr>
        <w:instrText>/</w:instrText>
      </w:r>
      <w:r w:rsidRPr="00CD7980">
        <w:rPr>
          <w:rStyle w:val="Hyperlink"/>
        </w:rPr>
        <w:instrText>IU</w:instrText>
      </w:r>
      <w:r w:rsidRPr="00CD7980">
        <w:rPr>
          <w:rStyle w:val="Hyperlink"/>
          <w:lang w:val="ru-RU"/>
        </w:rPr>
        <w:instrText>59"</w:instrText>
      </w:r>
      <w:r w:rsidRPr="00CD7980">
        <w:rPr>
          <w:rStyle w:val="Hyperlink"/>
        </w:rPr>
      </w:r>
      <w:r w:rsidRPr="00CD7980">
        <w:rPr>
          <w:rStyle w:val="Hyperlink"/>
        </w:rPr>
        <w:fldChar w:fldCharType="separate"/>
      </w:r>
      <w:proofErr w:type="spellStart"/>
      <w:r w:rsidRPr="00CD7980">
        <w:rPr>
          <w:rStyle w:val="Hyperlink"/>
        </w:rPr>
        <w:t>здесь</w:t>
      </w:r>
      <w:proofErr w:type="spellEnd"/>
      <w:r w:rsidRPr="00CD7980">
        <w:rPr>
          <w:rStyle w:val="Hyperlink"/>
        </w:rPr>
        <w:fldChar w:fldCharType="end"/>
      </w:r>
      <w:r w:rsidRPr="00EB7B34">
        <w:rPr>
          <w:lang w:val="ru-RU"/>
        </w:rPr>
        <w:t>.</w:t>
      </w:r>
    </w:p>
    <w:p w14:paraId="06959010" w14:textId="77777777" w:rsidR="00616963" w:rsidRPr="00EB7B34" w:rsidRDefault="00616963" w:rsidP="00616963">
      <w:pPr>
        <w:keepNext/>
        <w:keepLines/>
        <w:spacing w:before="480"/>
        <w:ind w:left="567" w:hanging="567"/>
        <w:outlineLvl w:val="0"/>
        <w:rPr>
          <w:b/>
          <w:sz w:val="28"/>
          <w:lang w:val="ru-RU" w:eastAsia="en-GB"/>
        </w:rPr>
      </w:pPr>
      <w:r w:rsidRPr="00EB7B34">
        <w:rPr>
          <w:b/>
          <w:sz w:val="28"/>
          <w:lang w:val="ru-RU" w:eastAsia="en-GB"/>
        </w:rPr>
        <w:t>VII</w:t>
      </w:r>
      <w:r w:rsidRPr="00EB7B34">
        <w:rPr>
          <w:b/>
          <w:sz w:val="28"/>
          <w:lang w:val="ru-RU" w:eastAsia="en-GB"/>
        </w:rPr>
        <w:tab/>
        <w:t>Дальнейшие шаги</w:t>
      </w:r>
    </w:p>
    <w:p w14:paraId="32C45C07" w14:textId="5848C9C4" w:rsidR="00616963" w:rsidRPr="00EB7B34" w:rsidRDefault="00616963" w:rsidP="00DE50DA">
      <w:pPr>
        <w:jc w:val="both"/>
        <w:rPr>
          <w:lang w:val="ru-RU" w:eastAsia="en-GB"/>
        </w:rPr>
      </w:pPr>
      <w:r w:rsidRPr="00EB7B34">
        <w:rPr>
          <w:lang w:val="ru-RU" w:eastAsia="en-GB"/>
        </w:rPr>
        <w:t>Итоги совещания высокого уровня ВВУИО+20 лежат в основе обновленного мандата и стратегических ориентиров деятельности МСЭ в целях сохранения лидирующей роли МСЭ в выполнении решений ВВУИО. Секретариат будет отражать принятую резолюцию в будущих обновлениях относящихся к ВВУИО отчетов и дорожных карт, поддерживать последующую деятельность в рамках РГС-ВВУИО&amp;ЦУР, Целевой группы, ГИО</w:t>
      </w:r>
      <w:r w:rsidR="00182A7E" w:rsidRPr="00EB7B34">
        <w:rPr>
          <w:lang w:val="ru-RU" w:eastAsia="en-GB"/>
        </w:rPr>
        <w:t> </w:t>
      </w:r>
      <w:r w:rsidRPr="00EB7B34">
        <w:rPr>
          <w:lang w:val="ru-RU" w:eastAsia="en-GB"/>
        </w:rPr>
        <w:t xml:space="preserve">ООН, Партнерства и других механизмов, а также продолжать работу с Государствами-Членами и заинтересованными сторонами по воплощению обязательств ВВУИО в конкретные результаты деятельности на </w:t>
      </w:r>
      <w:r w:rsidRPr="00EB7B34">
        <w:rPr>
          <w:lang w:val="ru-RU" w:eastAsia="en-GB"/>
        </w:rPr>
        <w:lastRenderedPageBreak/>
        <w:t>период до 2030 года и далее до 2035</w:t>
      </w:r>
      <w:r w:rsidR="00182A7E" w:rsidRPr="00EB7B34">
        <w:rPr>
          <w:lang w:val="ru-RU" w:eastAsia="en-GB"/>
        </w:rPr>
        <w:t> </w:t>
      </w:r>
      <w:r w:rsidRPr="00EB7B34">
        <w:rPr>
          <w:lang w:val="ru-RU" w:eastAsia="en-GB"/>
        </w:rPr>
        <w:t>года. В данном контексте МСЭ будет также способствовать подготовке к Совету 2026</w:t>
      </w:r>
      <w:r w:rsidR="00182A7E" w:rsidRPr="00EB7B34">
        <w:rPr>
          <w:lang w:val="ru-RU" w:eastAsia="en-GB"/>
        </w:rPr>
        <w:t> </w:t>
      </w:r>
      <w:r w:rsidRPr="00EB7B34">
        <w:rPr>
          <w:lang w:val="ru-RU" w:eastAsia="en-GB"/>
        </w:rPr>
        <w:t>года и Полномочной конференции 2026</w:t>
      </w:r>
      <w:r w:rsidR="00182A7E" w:rsidRPr="00EB7B34">
        <w:rPr>
          <w:lang w:val="ru-RU" w:eastAsia="en-GB"/>
        </w:rPr>
        <w:t> </w:t>
      </w:r>
      <w:r w:rsidRPr="00EB7B34">
        <w:rPr>
          <w:lang w:val="ru-RU" w:eastAsia="en-GB"/>
        </w:rPr>
        <w:t>года и взаимодействию в ходе их проведения, обеспечивая всестороннюю интеграцию связанных с ВВУИО приоритетов, дорожных карт и итоговых документов в обсуждения, решения и стратегическое планирование в рамках всего Союза.</w:t>
      </w:r>
    </w:p>
    <w:p w14:paraId="320B4472" w14:textId="77777777" w:rsidR="00616963" w:rsidRPr="00EB7B34" w:rsidRDefault="00616963" w:rsidP="00616963">
      <w:pPr>
        <w:pStyle w:val="Normalaftertitle"/>
        <w:spacing w:before="1440"/>
        <w:rPr>
          <w:lang w:val="ru-RU" w:eastAsia="en-GB"/>
        </w:rPr>
      </w:pPr>
      <w:r w:rsidRPr="00EB7B34">
        <w:rPr>
          <w:b/>
          <w:bCs/>
          <w:lang w:val="ru-RU" w:eastAsia="en-GB"/>
        </w:rPr>
        <w:t>Приложение</w:t>
      </w:r>
      <w:r w:rsidRPr="00EB7B34">
        <w:rPr>
          <w:lang w:val="ru-RU" w:eastAsia="en-GB"/>
        </w:rPr>
        <w:t>: 1</w:t>
      </w:r>
    </w:p>
    <w:p w14:paraId="754DA353" w14:textId="77777777" w:rsidR="00616963" w:rsidRPr="00EB7B34" w:rsidRDefault="00616963" w:rsidP="00616963">
      <w:pPr>
        <w:overflowPunct/>
        <w:autoSpaceDE/>
        <w:autoSpaceDN/>
        <w:adjustRightInd/>
        <w:spacing w:before="0"/>
        <w:textAlignment w:val="auto"/>
        <w:rPr>
          <w:i/>
          <w:iCs/>
          <w:lang w:val="ru-RU"/>
        </w:rPr>
      </w:pPr>
      <w:r w:rsidRPr="00EB7B34">
        <w:rPr>
          <w:i/>
          <w:iCs/>
          <w:lang w:val="ru-RU"/>
        </w:rPr>
        <w:br w:type="page"/>
      </w:r>
    </w:p>
    <w:p w14:paraId="3E7FA628" w14:textId="77777777" w:rsidR="00616963" w:rsidRPr="00EB7B34" w:rsidRDefault="00616963" w:rsidP="00616963">
      <w:pPr>
        <w:pStyle w:val="AnnexNo"/>
        <w:rPr>
          <w:bCs/>
          <w:iCs/>
          <w:lang w:val="ru-RU"/>
        </w:rPr>
      </w:pPr>
      <w:bookmarkStart w:id="7" w:name="Annex"/>
      <w:bookmarkEnd w:id="7"/>
      <w:r w:rsidRPr="00EB7B34">
        <w:rPr>
          <w:lang w:val="ru-RU"/>
        </w:rPr>
        <w:lastRenderedPageBreak/>
        <w:t>ПРИЛОЖЕНИЕ</w:t>
      </w:r>
    </w:p>
    <w:p w14:paraId="421621E0" w14:textId="77777777" w:rsidR="00616963" w:rsidRPr="00EB7B34" w:rsidRDefault="00616963" w:rsidP="00616963">
      <w:pPr>
        <w:pStyle w:val="Annextitle"/>
        <w:rPr>
          <w:lang w:val="ru-RU"/>
        </w:rPr>
      </w:pPr>
      <w:r w:rsidRPr="00EB7B34">
        <w:rPr>
          <w:lang w:val="ru-RU"/>
        </w:rPr>
        <w:t>Пункты из итогового документа ВВУИО+20, в которых упоминается о работе и мероприятиях МСЭ, связанных с реализацией процесса ВВУИО</w:t>
      </w:r>
    </w:p>
    <w:p w14:paraId="661E63F1" w14:textId="42BF19A9" w:rsidR="00616963" w:rsidRPr="00EB7B34" w:rsidRDefault="00616963" w:rsidP="00DE50DA">
      <w:pPr>
        <w:spacing w:before="240"/>
        <w:jc w:val="both"/>
        <w:rPr>
          <w:i/>
          <w:iCs/>
          <w:lang w:val="ru-RU"/>
        </w:rPr>
      </w:pPr>
      <w:r w:rsidRPr="00EB7B34">
        <w:rPr>
          <w:i/>
          <w:iCs/>
          <w:lang w:val="ru-RU"/>
        </w:rPr>
        <w:t>учитывая доклад о 20</w:t>
      </w:r>
      <w:r w:rsidRPr="00EB7B34">
        <w:rPr>
          <w:i/>
          <w:iCs/>
          <w:lang w:val="ru-RU"/>
        </w:rPr>
        <w:noBreakHyphen/>
        <w:t>летнем обзоре, подготовленный Комиссией по науке и технике в целях развития в апреле 2025 года, итоговые документы Форума по управлению интернетом, состоявшегося в июне 2025 года в Норвегии, и Мероприятия высокого уровня Форума ВВУИО+20, состоявшегося в июле 2025 года, консультации, проведенные Организацией Объединенных Наций по вопросам образования, науки и культуры в июне 2025</w:t>
      </w:r>
      <w:r w:rsidR="00182A7E" w:rsidRPr="00EB7B34">
        <w:rPr>
          <w:i/>
          <w:iCs/>
          <w:lang w:val="ru-RU"/>
        </w:rPr>
        <w:t> </w:t>
      </w:r>
      <w:r w:rsidRPr="00EB7B34">
        <w:rPr>
          <w:i/>
          <w:iCs/>
          <w:lang w:val="ru-RU"/>
        </w:rPr>
        <w:t>года, итоговые документы других международных и региональных конференций и материалы, представленные координаторами направлений действий Всемирной встречи на высшем уровне по вопросам информационного общества,</w:t>
      </w:r>
    </w:p>
    <w:p w14:paraId="36ECFF06" w14:textId="0515E2CA" w:rsidR="00616963" w:rsidRPr="00EB7B34" w:rsidRDefault="00616963" w:rsidP="00DE50DA">
      <w:pPr>
        <w:jc w:val="both"/>
        <w:rPr>
          <w:rFonts w:cs="Calibri"/>
          <w:i/>
          <w:lang w:val="ru-RU" w:eastAsia="en-GB"/>
        </w:rPr>
      </w:pPr>
      <w:r w:rsidRPr="00EB7B34">
        <w:rPr>
          <w:rFonts w:cs="Calibri"/>
          <w:i/>
          <w:lang w:val="ru-RU" w:eastAsia="en-GB"/>
        </w:rPr>
        <w:t>9</w:t>
      </w:r>
      <w:r w:rsidRPr="00EB7B34">
        <w:rPr>
          <w:rFonts w:cs="Calibri"/>
          <w:i/>
          <w:lang w:val="ru-RU" w:eastAsia="en-GB"/>
        </w:rPr>
        <w:tab/>
        <w:t>Мы признаем, что всеобщее подключение и полноценный и недорогой доступ к информационно-коммуникационным технологиям и интернету являются основополагающими условиями для реализации концепции Всемирной встречи на высшем уровне.</w:t>
      </w:r>
    </w:p>
    <w:p w14:paraId="3D00674A" w14:textId="4A384494" w:rsidR="00616963" w:rsidRPr="00EB7B34" w:rsidRDefault="00616963" w:rsidP="00DE50DA">
      <w:pPr>
        <w:jc w:val="both"/>
        <w:rPr>
          <w:rFonts w:cs="Calibri"/>
          <w:i/>
          <w:lang w:val="ru-RU" w:eastAsia="en-GB"/>
        </w:rPr>
      </w:pPr>
      <w:r w:rsidRPr="00EB7B34">
        <w:rPr>
          <w:rFonts w:cs="Calibri"/>
          <w:i/>
          <w:lang w:val="ru-RU" w:eastAsia="en-GB"/>
        </w:rPr>
        <w:t>18</w:t>
      </w:r>
      <w:r w:rsidRPr="00EB7B34">
        <w:rPr>
          <w:rFonts w:cs="Calibri"/>
          <w:i/>
          <w:lang w:val="ru-RU" w:eastAsia="en-GB"/>
        </w:rPr>
        <w:tab/>
        <w:t>Мы подтверждаем центральную роль направлений действий Всемирной встречи на высшем уровне, определенных в Женевском плане действий, в качестве важнейшей рамочной основы для воплощения концепции Всемирной встречи на высшем уровне в конкретные результаты. Мы подчеркиваем важность укрепления процесса реализации направлений действий Всемирной встречи на высшем уровне, последующей деятельности в связи с ними и их обзора, а также обеспечения их постоянной актуальности в соответствии с концепцией Всемирной встречи на высшем уровне и их вклада в осуществление Повестки дня в области устойчивого развития на период до 2030 года.</w:t>
      </w:r>
    </w:p>
    <w:p w14:paraId="5387611E" w14:textId="142BF3D4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20</w:t>
      </w:r>
      <w:r w:rsidRPr="00EB7B34">
        <w:rPr>
          <w:i/>
          <w:lang w:val="ru-RU"/>
        </w:rPr>
        <w:tab/>
        <w:t>Мы с большим удовлетворением отмечаем, что за период после Всемирной встречи на высшем уровне по вопросам информационного общества доступ к интернету и цифровым услугам значительно расширился. По данным Международного союза электросвязи, более 93 процентов населения планеты сегодня проживает в районах, охваченных сетями 4G. Во всем мире доля людей в возрасте 10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лет и старше, имеющих мобильный телефон, достигла 82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процентов, а показатель использования интернета вырос с чуть более 15 процентов в 2005 году до 74 процентов в 2025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году.</w:t>
      </w:r>
    </w:p>
    <w:p w14:paraId="0BA59092" w14:textId="0817DA10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21</w:t>
      </w:r>
      <w:r w:rsidRPr="00EB7B34">
        <w:rPr>
          <w:i/>
          <w:lang w:val="ru-RU"/>
        </w:rPr>
        <w:tab/>
        <w:t>Однако мы глубоко обеспокоены тем, что сохраняется существенный цифровой разрыв между регионами, странами и общинами и внутри них, который создает особые проблемы для развивающихся стран. По данным Международного союза электросвязи, доля людей, пользующихся интернетом в странах с высоким уровнем дохода (94 процента), более чем в четыре раза превышает аналогичный показатель в странах с низким уровнем дохода (23 процента), а в некоторых странах этот показатель составляет менее 20 процентов. Согласно оценкам Международного союза электросвязи, доля населения, имеющего доступ к интернету в городских районах по всему миру, составляет почти 85 процентов, а в сельских районах — 58 процентов.</w:t>
      </w:r>
    </w:p>
    <w:p w14:paraId="69A7EE41" w14:textId="07051CC3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22</w:t>
      </w:r>
      <w:r w:rsidRPr="00EB7B34">
        <w:rPr>
          <w:i/>
          <w:lang w:val="ru-RU"/>
        </w:rPr>
        <w:tab/>
        <w:t>Нас особенно беспокоит сохраняющийся гендерный цифровой разрыв. По данным Международного союза электросвязи, только 78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процентов женщин и девочек в возрасте 10 лет и старше во всем мире пользуются мобильным телефоном по сравнению с 87 процентами мужчин, и только 71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процент женщин, как сообщается, пользуются интернетом по сравнению почти с 77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 xml:space="preserve">процентами мужчин. Женщины и девочки также недостаточно представлены в научно-технических и инженерно-математических учебных заведениях, в сферах занятости, предпринимательства и других областях цифровой </w:t>
      </w:r>
      <w:r w:rsidRPr="00EB7B34">
        <w:rPr>
          <w:i/>
          <w:lang w:val="ru-RU"/>
        </w:rPr>
        <w:lastRenderedPageBreak/>
        <w:t>деятельности. Все заинтересованные стороны должны сыграть свою роль в сокращении и устранении гендерного цифрового разрыва.</w:t>
      </w:r>
    </w:p>
    <w:p w14:paraId="6A6C1CCF" w14:textId="77777777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53</w:t>
      </w:r>
      <w:r w:rsidRPr="00EB7B34">
        <w:rPr>
          <w:i/>
          <w:lang w:val="ru-RU"/>
        </w:rPr>
        <w:tab/>
        <w:t>Мы высоко оцениваем работу региональных комиссий и других региональных организаций по поддержке создания позитивных и благоприятных условий. Мы призываем их, Комиссию по науке и технике в целях развития и координаторов направлений действий, в рамках их соответствующих мандатов, обмениваться опытом в вопросах создания благоприятных условий и поддерживать разработку ориентированных на спрос директивных рекомендаций и мер по оказанию технической помощи и наращиванию потенциала, сообразно обстоятельствам, в целях создания таких условий.</w:t>
      </w:r>
    </w:p>
    <w:p w14:paraId="509A324D" w14:textId="5D196378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67</w:t>
      </w:r>
      <w:r w:rsidRPr="00EB7B34">
        <w:rPr>
          <w:i/>
          <w:lang w:val="ru-RU"/>
        </w:rPr>
        <w:tab/>
        <w:t>Мы предлагаем Международному союзу электросвязи, выполняющему функции секретариата Группы Организации Объединенных Наций по вопросам информационного общества, совместно с координаторами направлений деятельности Всемирной встречи на высшем уровне и другими членами Группы в пределах имеющихся ресурсов, создать внутреннюю целевую группу для проведения оценки пробелов и проблем и представления конкретных рекомендаций по укреплению механизмов финансирования цифрового развития развивающихся стран на основе передовой практики, в том числе многосторонних финансовых учреждений, партнеров по процессу развития и других соответствующих заинтересованных сторон, таких как частный сектор, и в дополнение к этой практике. Мы просим далее завершить эту работу и доложить о ее итогах Комиссии по науке и технике в целях развития на ее тридцатой сессии в 2027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году для рассмотрения государствами-членами. Мы предлагаем также внутренней целевой группе отслеживать выполнение финансовых обязательств, связанных с реализацией этих итогов.</w:t>
      </w:r>
    </w:p>
    <w:p w14:paraId="46888C8A" w14:textId="403ECA1B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86</w:t>
      </w:r>
      <w:r w:rsidRPr="00EB7B34">
        <w:rPr>
          <w:i/>
          <w:lang w:val="ru-RU"/>
        </w:rPr>
        <w:tab/>
        <w:t>Мы призываем Межведомственную рабочую группу по искусственному интеллекту в консультации с координаторами направлений деятельности картировать существующие в рамках всей системы Организации Объединенных Наций инициативы по укреплению потенциала, выявить потенциальные пробелы и устранить их, в том числе путем учреждения стипендии для укрепления потенциала государственных должностных лиц в области искусственного интеллекта и исследовательских программ, с использованием возможностей, имеющихся в рамках всей системы Организации Объединенных Наций, при уделении особого внимания развивающимся странам, и доложить об этом в ходе первого Глобального диалога по вопросам управления искусственным интеллектом в 2026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году.</w:t>
      </w:r>
    </w:p>
    <w:p w14:paraId="7F84586E" w14:textId="42ED69ED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100</w:t>
      </w:r>
      <w:r w:rsidRPr="00EB7B34">
        <w:rPr>
          <w:i/>
          <w:lang w:val="ru-RU"/>
        </w:rPr>
        <w:tab/>
        <w:t>Мы призываем Форум докладывать об итогах своих ежегодных заседаний и межсессионной работы соответствующим структурам и процессам Организации Объединенных Наций и призываем, в частности, Группу Организации Объединенных Наций по вопросам информационного общества и все соответствующие структуры Организации Объединенных Наций, координаторов направлений деятельности, Комиссию по науке и технике в целях развития и Форум Всемирной встречи на высшем уровне по вопросам информационного общества учитывать итоги работы Форума по управлению интернетом в своей работе и обсуждениях.</w:t>
      </w:r>
    </w:p>
    <w:p w14:paraId="13416D0C" w14:textId="04646002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107</w:t>
      </w:r>
      <w:r w:rsidRPr="00EB7B34">
        <w:rPr>
          <w:i/>
          <w:lang w:val="ru-RU"/>
        </w:rPr>
        <w:tab/>
        <w:t>Мы приветствуем усилия, предпринятые структурами Организации Объединенных Наций, включая координаторов направлений деятельности Всемирной встречи на высшем уровне, за последние два десятилетия для содействия осуществлению решений Всемирной встречи на высшем уровне в рамках своих мандатов и сфер ответственности. Мы выражаем признательность Международному союзу электросвязи за создание платформы для анализа результатов деятельности в связи со Всемирной встречей на высшем уровне и учреждение премий Всемирной встречи на высшем уровне и призываем все заинтересованные стороны пополнять базу данных для анализа результатов этой деятельности.</w:t>
      </w:r>
    </w:p>
    <w:p w14:paraId="50012D37" w14:textId="5DEFEA8E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108</w:t>
      </w:r>
      <w:r w:rsidRPr="00EB7B34">
        <w:rPr>
          <w:i/>
          <w:lang w:val="ru-RU"/>
        </w:rPr>
        <w:tab/>
        <w:t xml:space="preserve">Мы отмечаем работу, проделанную Международным союзом электросвязи в сотрудничестве с Организацией Объединенных Наций по вопросам образования, науки и </w:t>
      </w:r>
      <w:r w:rsidRPr="00EB7B34">
        <w:rPr>
          <w:i/>
          <w:lang w:val="ru-RU"/>
        </w:rPr>
        <w:lastRenderedPageBreak/>
        <w:t>культуры, Конференцией Организации Объединенных Наций по торговле и развитию и Программой развития Организации Объединенных Наций для учреждения Форума Всемирной встречи на высшем уровне по вопросам информационного общества, который стал важной платформой для обмена информацией и передовой практикой и для диалога и сотрудничества широкого круга заинтересованных сторон, а также для создания сетей и координации инициатив в целях реализации концепции Всемирной встречи на высшем уровне. Мы призываем к тому, чтобы Форум и впредь проводился на ежегодной основе.</w:t>
      </w:r>
    </w:p>
    <w:p w14:paraId="5830783C" w14:textId="71E9BD2D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109</w:t>
      </w:r>
      <w:r w:rsidRPr="00EB7B34">
        <w:rPr>
          <w:i/>
          <w:lang w:val="ru-RU"/>
        </w:rPr>
        <w:tab/>
        <w:t>Мы подтверждаем нашу приверженность концепции направлений деятельности, сформулированной в Женевском плане действий и Тунисской программе для информационного общества. Мы отмечаем большое значение, придаваемое этой концепции многими правительствами при разработке национальных стратегий и подходов в области цифрового развития. Мы призываем координаторов направлений деятельности обеспечить тесную увязку с Повесткой дня на период до 2030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года при рассмотрении новых видов работы по осуществлению решений Всемирной встречи на высшем уровне с учетом их существующих мандатов и имеющихся ресурсов.</w:t>
      </w:r>
    </w:p>
    <w:p w14:paraId="56818D28" w14:textId="6A763965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110</w:t>
      </w:r>
      <w:r w:rsidRPr="00EB7B34">
        <w:rPr>
          <w:i/>
          <w:lang w:val="ru-RU"/>
        </w:rPr>
        <w:tab/>
        <w:t>Защита, поощрение и соблюдение прав человека играют важную роль в работе по всем направлениям деятельности. Мы напоминаем, что Управление Верховного комиссара Организации Объединенных Наций по правам человека продолжает способствовать осуществлению и оценке этой работы. Мы призываем также координаторов направлений деятельности рассматривать вопросы гендерного равенства и расширения прав и возможностей женщин и девочек в качестве основной темы своей работы при всестороннем участии Структуры Организации Объединенных Наций по вопросам гендерного равенства и расширения прав и возможностей женщин ("ООН</w:t>
      </w:r>
      <w:r w:rsidRPr="00EB7B34">
        <w:rPr>
          <w:i/>
          <w:lang w:val="ru-RU"/>
        </w:rPr>
        <w:noBreakHyphen/>
        <w:t>женщины") и других заинтересованных сторон.</w:t>
      </w:r>
    </w:p>
    <w:p w14:paraId="43111EEF" w14:textId="620C4F5A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113</w:t>
      </w:r>
      <w:r w:rsidRPr="00EB7B34">
        <w:rPr>
          <w:i/>
          <w:lang w:val="ru-RU"/>
        </w:rPr>
        <w:tab/>
        <w:t>Мы просим координаторов направлений деятельности в координации с Группой Организации Объединенных Наций по вопросам информационного общества разработать целевые и ориентированные на достижение результатов дорожные карты работы по своим соответствующим направлениям деятельности и осуществления решений, изложенных в настоящей резолюции, обеспечив увязку направлений деятельности, утвержденных на Всемирной встрече на высшем уровне, с соответствующими задачами, поставленными в рамках целей в области устойчивого развития, и обязательствами по Глобальному цифровому договору, включая целевые задачи, показатели и числовые параметры, которые могут быть разработаны для содействия мониторингу и оценке, и представить доклад о результатах этих усилий Комиссии по науке и технике в целях развития на ее тридцатой сессии в 2027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году.</w:t>
      </w:r>
    </w:p>
    <w:p w14:paraId="02DC83C8" w14:textId="77777777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114</w:t>
      </w:r>
      <w:r w:rsidRPr="00EB7B34">
        <w:rPr>
          <w:i/>
          <w:lang w:val="ru-RU"/>
        </w:rPr>
        <w:tab/>
        <w:t>Мы приветствуем работу Партнерства по измерению ИКТ в целях развития, которое вносит ценный вклад в разработку показателей, сбор и распространение данных об информационном обществе. Мы приветствуем работу структур Организации Объединенных Наций и других заинтересованных сторон по разработке целевых задач, показателей и числовых параметров в рамках своих мандатов и областей специализации.</w:t>
      </w:r>
    </w:p>
    <w:p w14:paraId="60B831AC" w14:textId="62451DFB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115</w:t>
      </w:r>
      <w:r w:rsidRPr="00EB7B34">
        <w:rPr>
          <w:i/>
          <w:lang w:val="ru-RU"/>
        </w:rPr>
        <w:tab/>
        <w:t>Мы привержены делу дальнейшего развития и упрочения согласованных на международном уровне целевых задач, показателей и числовых параметров для всеобщего полноценного и приемлемого по цене подключения к сетям связи и цифрового развития. Мы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призываем Организацию Объединенных Наций и другие соответствующие организации и форумы проводить периодический обзор методик определения показателей в сфере информационно-коммуникационных технологий, принимая во внимание различные уровни развития и национальные условия, и распространять информацию о результатах проводимых в странах тематических исследований.</w:t>
      </w:r>
    </w:p>
    <w:p w14:paraId="15567F29" w14:textId="4E8F9F2E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lastRenderedPageBreak/>
        <w:t>117</w:t>
      </w:r>
      <w:r w:rsidRPr="00EB7B34">
        <w:rPr>
          <w:i/>
          <w:lang w:val="ru-RU"/>
        </w:rPr>
        <w:tab/>
        <w:t>Мы просим Партнерство по измерению ИКТ в целях развития в сотрудничестве с координаторами направлений деятельности и при поддержке Статистической комиссии провести систематический обзор существующих показателей и методик и доложить о своих выводах Комиссии по науке и технике в целях развития на ее тридцатой сессии в 2027 году.</w:t>
      </w:r>
    </w:p>
    <w:p w14:paraId="3259130C" w14:textId="77777777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121</w:t>
      </w:r>
      <w:r w:rsidRPr="00EB7B34">
        <w:rPr>
          <w:i/>
          <w:lang w:val="ru-RU"/>
        </w:rPr>
        <w:tab/>
        <w:t>Мы призываем к продолжению и укреплению работы Группы Организации Объединенных Наций по вопросам информационного общества, Председатель которой сменяется в порядке ротации на ежегодной основе и функции секретариата которой выполняет Международный союз электросвязи, в качестве межучрежденческого механизма системы Организации Объединенных Наций, отвечающего за обеспечение согласованности политики и координацию программ по вопросам цифровых технологий. Мы предлагаем Группе повысить свою гибкость, эффективность и результативность и расширить свой состав за счет включения в него других структур Организации Объединенных Наций с целью содействовать многостороннему диалогу, налаживанию партнерских отношений и обзору прогресса в области цифрового сотрудничества.</w:t>
      </w:r>
    </w:p>
    <w:p w14:paraId="1E3C9452" w14:textId="010FFE5C" w:rsidR="00616963" w:rsidRPr="00EB7B34" w:rsidRDefault="00616963" w:rsidP="00DE50DA">
      <w:pPr>
        <w:jc w:val="both"/>
        <w:rPr>
          <w:rFonts w:cs="Calibri"/>
          <w:i/>
          <w:lang w:val="ru-RU" w:eastAsia="en-GB"/>
        </w:rPr>
      </w:pPr>
      <w:r w:rsidRPr="00EB7B34">
        <w:rPr>
          <w:rFonts w:cs="Calibri"/>
          <w:i/>
          <w:lang w:val="ru-RU" w:eastAsia="en-GB"/>
        </w:rPr>
        <w:t>122</w:t>
      </w:r>
      <w:r w:rsidRPr="00EB7B34">
        <w:rPr>
          <w:rFonts w:cs="Calibri"/>
          <w:i/>
          <w:lang w:val="ru-RU" w:eastAsia="en-GB"/>
        </w:rPr>
        <w:tab/>
        <w:t>Мы принимаем к сведению процесс Всемирной встречи на высшем уровне и подготовленную Группой Организации Объединенных Наций по вопросам информационного общества матрицу для согласования Повестки дня на период до 2030</w:t>
      </w:r>
      <w:r w:rsidR="00182A7E" w:rsidRPr="00EB7B34">
        <w:rPr>
          <w:rFonts w:cs="Calibri"/>
          <w:i/>
          <w:lang w:val="ru-RU" w:eastAsia="en-GB"/>
        </w:rPr>
        <w:t> </w:t>
      </w:r>
      <w:r w:rsidRPr="00EB7B34">
        <w:rPr>
          <w:rFonts w:cs="Calibri"/>
          <w:i/>
          <w:lang w:val="ru-RU" w:eastAsia="en-GB"/>
        </w:rPr>
        <w:t>года и Глобального цифрового договора, в которой цели Глобального цифрового договора и предусмотренные в нем обязательства сопоставляются с существующими структурами, механизмами и мероприятиями Всемирной встречи на высшем уровне и предлагается структурированный подход для эффективной последующей деятельности и осуществления. В развитие этой работы и в соответствии с рекомендациями Экономического и Социального Совета мы просим Группу Организации Объединенных Наций по вопросам информационного общества в рамках существующих мандатов и имеющихся ресурсов подготовить дорожную карту совместного осуществления для представления на рассмотрение Комиссии по науке и технике в целях развития на ее двадцать девятой сессии в 2026</w:t>
      </w:r>
      <w:r w:rsidR="00182A7E" w:rsidRPr="00EB7B34">
        <w:rPr>
          <w:rFonts w:cs="Calibri"/>
          <w:i/>
          <w:lang w:val="ru-RU" w:eastAsia="en-GB"/>
        </w:rPr>
        <w:t> </w:t>
      </w:r>
      <w:r w:rsidRPr="00EB7B34">
        <w:rPr>
          <w:rFonts w:cs="Calibri"/>
          <w:i/>
          <w:lang w:val="ru-RU" w:eastAsia="en-GB"/>
        </w:rPr>
        <w:t>году. Эта дорожная карта должна быть направлена на укрепление согласованности между Всемирной встречей на высшем уровне и Глобальным цифровым договором, обеспечивая применение единого, предусматривающего эффективное использование ресурсов подхода, который позволяет избежать дублирования усилий и максимально повысить эффективность взаимодействия в рамках всей системы Организации Объединенных Наций.</w:t>
      </w:r>
    </w:p>
    <w:p w14:paraId="1512C2EB" w14:textId="0511C859" w:rsidR="00616963" w:rsidRPr="00EB7B34" w:rsidRDefault="00616963" w:rsidP="00DE50DA">
      <w:pPr>
        <w:jc w:val="both"/>
        <w:rPr>
          <w:i/>
          <w:lang w:val="ru-RU"/>
        </w:rPr>
      </w:pPr>
      <w:r w:rsidRPr="00EB7B34">
        <w:rPr>
          <w:i/>
          <w:lang w:val="ru-RU"/>
        </w:rPr>
        <w:t>127</w:t>
      </w:r>
      <w:r w:rsidRPr="00EB7B34">
        <w:rPr>
          <w:i/>
          <w:lang w:val="ru-RU"/>
        </w:rPr>
        <w:tab/>
        <w:t>Мы просим Генеральную Ассамблею провести в 2035</w:t>
      </w:r>
      <w:r w:rsidR="00182A7E" w:rsidRPr="00EB7B34">
        <w:rPr>
          <w:i/>
          <w:lang w:val="ru-RU"/>
        </w:rPr>
        <w:t> </w:t>
      </w:r>
      <w:r w:rsidRPr="00EB7B34">
        <w:rPr>
          <w:i/>
          <w:lang w:val="ru-RU"/>
        </w:rPr>
        <w:t>году совещание высокого уровня, посвященное общему обзору хода осуществления решений Всемирной встречи на высшем уровне по вопросам информационного общества, что предполагает участие всех заинтересованных сторон и внесение ими вклада, в том числе в процесс подготовки, для оценки прогресса, достигнутого в осуществлении решений Всемирной встречи на высшем уровне по вопросам информационного общества, и связанных с этим трудностей и для выявления областей, требующих дальнейшего внимания.</w:t>
      </w:r>
    </w:p>
    <w:p w14:paraId="0C20E25A" w14:textId="77777777" w:rsidR="00796BD3" w:rsidRPr="00EB7B34" w:rsidRDefault="00C462C5" w:rsidP="00616963">
      <w:pPr>
        <w:spacing w:before="720"/>
        <w:jc w:val="center"/>
        <w:rPr>
          <w:lang w:val="ru-RU"/>
        </w:rPr>
      </w:pPr>
      <w:r w:rsidRPr="00EB7B34">
        <w:rPr>
          <w:lang w:val="ru-RU"/>
        </w:rPr>
        <w:t>______________</w:t>
      </w:r>
    </w:p>
    <w:sectPr w:rsidR="00796BD3" w:rsidRPr="00EB7B34" w:rsidSect="00796BD3">
      <w:footerReference w:type="default" r:id="rId40"/>
      <w:headerReference w:type="first" r:id="rId41"/>
      <w:footerReference w:type="first" r:id="rId4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AA38" w14:textId="77777777" w:rsidR="00616963" w:rsidRDefault="00616963">
      <w:r>
        <w:separator/>
      </w:r>
    </w:p>
  </w:endnote>
  <w:endnote w:type="continuationSeparator" w:id="0">
    <w:p w14:paraId="64762FA0" w14:textId="77777777" w:rsidR="00616963" w:rsidRDefault="006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B4286D2" w14:textId="77777777" w:rsidTr="00E31DCE">
      <w:trPr>
        <w:jc w:val="center"/>
      </w:trPr>
      <w:tc>
        <w:tcPr>
          <w:tcW w:w="1803" w:type="dxa"/>
          <w:vAlign w:val="center"/>
        </w:tcPr>
        <w:p w14:paraId="15EAB638" w14:textId="22A90AAF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85D3837" w14:textId="62484FB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16963">
            <w:rPr>
              <w:bCs/>
              <w:lang w:val="ru-RU"/>
            </w:rPr>
            <w:t>59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23B154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23E5ACE" w14:textId="77777777" w:rsidTr="00E31DCE">
      <w:trPr>
        <w:jc w:val="center"/>
      </w:trPr>
      <w:tc>
        <w:tcPr>
          <w:tcW w:w="1803" w:type="dxa"/>
          <w:vAlign w:val="center"/>
        </w:tcPr>
        <w:p w14:paraId="4959EED8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1A2CC2EA" w14:textId="1173728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16963">
            <w:rPr>
              <w:bCs/>
              <w:lang w:val="ru-RU"/>
            </w:rPr>
            <w:t>59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D2E7BD5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5A24" w14:textId="77777777" w:rsidR="00616963" w:rsidRDefault="00616963">
      <w:r>
        <w:t>____________________</w:t>
      </w:r>
    </w:p>
  </w:footnote>
  <w:footnote w:type="continuationSeparator" w:id="0">
    <w:p w14:paraId="07F9F7C1" w14:textId="77777777" w:rsidR="00616963" w:rsidRDefault="00616963">
      <w:r>
        <w:continuationSeparator/>
      </w:r>
    </w:p>
  </w:footnote>
  <w:footnote w:id="1">
    <w:p w14:paraId="0BCC5C89" w14:textId="622E4D2D" w:rsidR="00616963" w:rsidRPr="0026739F" w:rsidRDefault="00616963" w:rsidP="00616963">
      <w:pPr>
        <w:pStyle w:val="FootnoteText"/>
        <w:jc w:val="both"/>
        <w:rPr>
          <w:lang w:val="ru-RU"/>
        </w:rPr>
      </w:pPr>
      <w:r w:rsidRPr="00EE53F9">
        <w:rPr>
          <w:rStyle w:val="FootnoteReference"/>
        </w:rPr>
        <w:footnoteRef/>
      </w:r>
      <w:r w:rsidRPr="0026739F">
        <w:rPr>
          <w:lang w:val="ru-RU"/>
        </w:rPr>
        <w:tab/>
      </w:r>
      <w:r>
        <w:rPr>
          <w:lang w:val="ru-RU"/>
        </w:rPr>
        <w:t>Список</w:t>
      </w:r>
      <w:r w:rsidRPr="0026739F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26739F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26739F">
        <w:rPr>
          <w:lang w:val="ru-RU"/>
        </w:rPr>
        <w:t>-</w:t>
      </w:r>
      <w:r>
        <w:rPr>
          <w:lang w:val="ru-RU"/>
        </w:rPr>
        <w:t>членов</w:t>
      </w:r>
      <w:r w:rsidRPr="0026739F">
        <w:rPr>
          <w:lang w:val="ru-RU"/>
        </w:rPr>
        <w:t xml:space="preserve">, </w:t>
      </w:r>
      <w:r>
        <w:rPr>
          <w:lang w:val="ru-RU"/>
        </w:rPr>
        <w:t>наблюдателей и заинтересованных сторон, выступивших в ходе ВВУИО+20</w:t>
      </w:r>
      <w:r w:rsidRPr="0026739F">
        <w:rPr>
          <w:lang w:val="ru-RU"/>
        </w:rPr>
        <w:t xml:space="preserve">: </w:t>
      </w:r>
      <w:hyperlink r:id="rId1" w:history="1">
        <w:r w:rsidRPr="00CD7980">
          <w:rPr>
            <w:rStyle w:val="Hyperlink"/>
          </w:rPr>
          <w:t>https://e-speakers.e-delegate.un.org/6932eb7b26106187a2e18d9705122025</w:t>
        </w:r>
      </w:hyperlink>
      <w:r w:rsidRPr="0026739F">
        <w:rPr>
          <w:lang w:val="ru-RU"/>
        </w:rPr>
        <w:t>.</w:t>
      </w:r>
    </w:p>
  </w:footnote>
  <w:footnote w:id="2">
    <w:p w14:paraId="3A0698DC" w14:textId="0CF4CD47" w:rsidR="00616963" w:rsidRPr="003F3154" w:rsidRDefault="00616963" w:rsidP="00DE50DA">
      <w:pPr>
        <w:pStyle w:val="FootnoteText"/>
        <w:jc w:val="both"/>
        <w:rPr>
          <w:lang w:val="ru-RU"/>
        </w:rPr>
      </w:pPr>
      <w:r w:rsidRPr="00170713">
        <w:rPr>
          <w:rStyle w:val="FootnoteReference"/>
          <w:szCs w:val="16"/>
        </w:rPr>
        <w:footnoteRef/>
      </w:r>
      <w:r w:rsidRPr="003F3154">
        <w:rPr>
          <w:lang w:val="ru-RU"/>
        </w:rPr>
        <w:tab/>
      </w:r>
      <w:r>
        <w:rPr>
          <w:lang w:val="ru-RU"/>
        </w:rPr>
        <w:t>Заявления</w:t>
      </w:r>
      <w:r w:rsidRPr="003F3154">
        <w:rPr>
          <w:lang w:val="ru-RU"/>
        </w:rPr>
        <w:t xml:space="preserve">, </w:t>
      </w:r>
      <w:r>
        <w:rPr>
          <w:lang w:val="ru-RU"/>
        </w:rPr>
        <w:t>сделанные 16 декабря</w:t>
      </w:r>
      <w:r w:rsidRPr="003F3154">
        <w:rPr>
          <w:lang w:val="ru-RU"/>
        </w:rPr>
        <w:t xml:space="preserve">: </w:t>
      </w:r>
      <w:hyperlink r:id="rId2" w:history="1">
        <w:r w:rsidRPr="00CD7980">
          <w:rPr>
            <w:rStyle w:val="Hyperlink"/>
          </w:rPr>
          <w:t>https://</w:t>
        </w:r>
        <w:proofErr w:type="spellStart"/>
        <w:r w:rsidRPr="00CD7980">
          <w:rPr>
            <w:rStyle w:val="Hyperlink"/>
          </w:rPr>
          <w:t>journal.un.org</w:t>
        </w:r>
        <w:proofErr w:type="spellEnd"/>
        <w:r w:rsidRPr="00CD7980">
          <w:rPr>
            <w:rStyle w:val="Hyperlink"/>
          </w:rPr>
          <w:t>/en/new-</w:t>
        </w:r>
        <w:proofErr w:type="spellStart"/>
        <w:r w:rsidRPr="00CD7980">
          <w:rPr>
            <w:rStyle w:val="Hyperlink"/>
          </w:rPr>
          <w:t>york</w:t>
        </w:r>
        <w:proofErr w:type="spellEnd"/>
        <w:r w:rsidRPr="00CD7980">
          <w:rPr>
            <w:rStyle w:val="Hyperlink"/>
          </w:rPr>
          <w:t>/officials/2025-12-16</w:t>
        </w:r>
      </w:hyperlink>
      <w:r w:rsidRPr="00CD7980">
        <w:rPr>
          <w:rStyle w:val="Hyperlink"/>
        </w:rPr>
        <w:t>; и 17</w:t>
      </w:r>
      <w:r w:rsidR="00C15102" w:rsidRPr="00CD7980">
        <w:rPr>
          <w:rStyle w:val="Hyperlink"/>
        </w:rPr>
        <w:t> </w:t>
      </w:r>
      <w:proofErr w:type="spellStart"/>
      <w:r w:rsidRPr="00CD7980">
        <w:rPr>
          <w:rStyle w:val="Hyperlink"/>
        </w:rPr>
        <w:t>декабря</w:t>
      </w:r>
      <w:proofErr w:type="spellEnd"/>
      <w:r w:rsidRPr="00CD7980">
        <w:rPr>
          <w:rStyle w:val="Hyperlink"/>
        </w:rPr>
        <w:t xml:space="preserve">: </w:t>
      </w:r>
      <w:hyperlink r:id="rId3" w:history="1">
        <w:r w:rsidRPr="00CD7980">
          <w:rPr>
            <w:rStyle w:val="Hyperlink"/>
          </w:rPr>
          <w:t>https://</w:t>
        </w:r>
        <w:proofErr w:type="spellStart"/>
        <w:r w:rsidRPr="00CD7980">
          <w:rPr>
            <w:rStyle w:val="Hyperlink"/>
          </w:rPr>
          <w:t>journal.un.org</w:t>
        </w:r>
        <w:proofErr w:type="spellEnd"/>
        <w:r w:rsidRPr="00CD7980">
          <w:rPr>
            <w:rStyle w:val="Hyperlink"/>
          </w:rPr>
          <w:t>/en/new-</w:t>
        </w:r>
        <w:proofErr w:type="spellStart"/>
        <w:r w:rsidRPr="00CD7980">
          <w:rPr>
            <w:rStyle w:val="Hyperlink"/>
          </w:rPr>
          <w:t>york</w:t>
        </w:r>
        <w:proofErr w:type="spellEnd"/>
        <w:r w:rsidRPr="00CD7980">
          <w:rPr>
            <w:rStyle w:val="Hyperlink"/>
          </w:rPr>
          <w:t>/officials/2025-12-17</w:t>
        </w:r>
      </w:hyperlink>
      <w:r w:rsidRPr="003F3154">
        <w:rPr>
          <w:lang w:val="ru-RU"/>
        </w:rPr>
        <w:t>.</w:t>
      </w:r>
    </w:p>
  </w:footnote>
  <w:footnote w:id="3">
    <w:p w14:paraId="2A230664" w14:textId="2CF16E8D" w:rsidR="00616963" w:rsidRPr="003F3154" w:rsidRDefault="00616963" w:rsidP="00DE50DA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3F3154">
        <w:rPr>
          <w:lang w:val="ru-RU"/>
        </w:rPr>
        <w:tab/>
      </w:r>
      <w:r>
        <w:rPr>
          <w:lang w:val="ru-RU"/>
        </w:rPr>
        <w:t xml:space="preserve">Заявление </w:t>
      </w:r>
      <w:r w:rsidRPr="003F3154">
        <w:rPr>
          <w:lang w:val="ru-RU"/>
        </w:rPr>
        <w:t>Генерального секретаря МСЭ г-ж</w:t>
      </w:r>
      <w:r>
        <w:rPr>
          <w:lang w:val="ru-RU"/>
        </w:rPr>
        <w:t>и</w:t>
      </w:r>
      <w:r w:rsidR="00C15102">
        <w:rPr>
          <w:lang w:val="en-US"/>
        </w:rPr>
        <w:t> </w:t>
      </w:r>
      <w:r w:rsidRPr="003F3154">
        <w:rPr>
          <w:lang w:val="ru-RU"/>
        </w:rPr>
        <w:t>Дорин Б</w:t>
      </w:r>
      <w:r>
        <w:rPr>
          <w:lang w:val="ru-RU"/>
        </w:rPr>
        <w:t>огдан</w:t>
      </w:r>
      <w:r w:rsidRPr="003F3154">
        <w:rPr>
          <w:lang w:val="ru-RU"/>
        </w:rPr>
        <w:t>-М</w:t>
      </w:r>
      <w:r>
        <w:rPr>
          <w:lang w:val="ru-RU"/>
        </w:rPr>
        <w:t>артин</w:t>
      </w:r>
      <w:r w:rsidRPr="003F3154">
        <w:rPr>
          <w:lang w:val="ru-RU"/>
        </w:rPr>
        <w:t xml:space="preserve">: </w:t>
      </w:r>
      <w:hyperlink r:id="rId4" w:history="1">
        <w:r w:rsidR="00C15102" w:rsidRPr="00CD7980">
          <w:rPr>
            <w:rStyle w:val="Hyperlink"/>
          </w:rPr>
          <w:t>https</w:t>
        </w:r>
        <w:r w:rsidR="00C15102" w:rsidRPr="00DE50DA">
          <w:rPr>
            <w:rStyle w:val="Hyperlink"/>
            <w:lang w:val="ru-RU"/>
          </w:rPr>
          <w:t>://</w:t>
        </w:r>
        <w:proofErr w:type="spellStart"/>
        <w:r w:rsidR="00C15102" w:rsidRPr="00CD7980">
          <w:rPr>
            <w:rStyle w:val="Hyperlink"/>
          </w:rPr>
          <w:t>estatements</w:t>
        </w:r>
        <w:proofErr w:type="spellEnd"/>
        <w:r w:rsidR="00C15102" w:rsidRPr="00DE50DA">
          <w:rPr>
            <w:rStyle w:val="Hyperlink"/>
            <w:lang w:val="ru-RU"/>
          </w:rPr>
          <w:t>.</w:t>
        </w:r>
        <w:r w:rsidR="00C15102" w:rsidRPr="00CD7980">
          <w:rPr>
            <w:rStyle w:val="Hyperlink"/>
          </w:rPr>
          <w:t>un</w:t>
        </w:r>
        <w:r w:rsidR="00C15102" w:rsidRPr="00DE50DA">
          <w:rPr>
            <w:rStyle w:val="Hyperlink"/>
            <w:lang w:val="ru-RU"/>
          </w:rPr>
          <w:t>.</w:t>
        </w:r>
        <w:r w:rsidR="00C15102" w:rsidRPr="00CD7980">
          <w:rPr>
            <w:rStyle w:val="Hyperlink"/>
          </w:rPr>
          <w:t>org</w:t>
        </w:r>
        <w:r w:rsidR="00C15102" w:rsidRPr="00DE50DA">
          <w:rPr>
            <w:rStyle w:val="Hyperlink"/>
            <w:lang w:val="ru-RU"/>
          </w:rPr>
          <w:t>/</w:t>
        </w:r>
        <w:proofErr w:type="spellStart"/>
        <w:r w:rsidR="00C15102" w:rsidRPr="00CD7980">
          <w:rPr>
            <w:rStyle w:val="Hyperlink"/>
          </w:rPr>
          <w:t>estatements</w:t>
        </w:r>
        <w:proofErr w:type="spellEnd"/>
        <w:r w:rsidR="00C15102" w:rsidRPr="00DE50DA">
          <w:rPr>
            <w:rStyle w:val="Hyperlink"/>
            <w:lang w:val="ru-RU"/>
          </w:rPr>
          <w:t>/10.0010/20251216150000000/</w:t>
        </w:r>
        <w:proofErr w:type="spellStart"/>
        <w:r w:rsidR="00C15102" w:rsidRPr="00CD7980">
          <w:rPr>
            <w:rStyle w:val="Hyperlink"/>
          </w:rPr>
          <w:t>CFfKXYwvMAL</w:t>
        </w:r>
        <w:proofErr w:type="spellEnd"/>
        <w:r w:rsidR="00C15102" w:rsidRPr="00DE50DA">
          <w:rPr>
            <w:rStyle w:val="Hyperlink"/>
            <w:lang w:val="ru-RU"/>
          </w:rPr>
          <w:t>/</w:t>
        </w:r>
        <w:proofErr w:type="spellStart"/>
        <w:r w:rsidR="00C15102" w:rsidRPr="00CD7980">
          <w:rPr>
            <w:rStyle w:val="Hyperlink"/>
          </w:rPr>
          <w:t>YNEvUnmWgS</w:t>
        </w:r>
        <w:proofErr w:type="spellEnd"/>
        <w:r w:rsidR="00C15102" w:rsidRPr="00DE50DA">
          <w:rPr>
            <w:rStyle w:val="Hyperlink"/>
            <w:lang w:val="ru-RU"/>
          </w:rPr>
          <w:t>_</w:t>
        </w:r>
        <w:proofErr w:type="spellStart"/>
        <w:r w:rsidR="00C15102" w:rsidRPr="00CD7980">
          <w:rPr>
            <w:rStyle w:val="Hyperlink"/>
          </w:rPr>
          <w:t>nyc</w:t>
        </w:r>
        <w:proofErr w:type="spellEnd"/>
        <w:r w:rsidR="00C15102" w:rsidRPr="00DE50DA">
          <w:rPr>
            <w:rStyle w:val="Hyperlink"/>
            <w:lang w:val="ru-RU"/>
          </w:rPr>
          <w:t>_</w:t>
        </w:r>
        <w:r w:rsidR="00C15102" w:rsidRPr="00CD7980">
          <w:rPr>
            <w:rStyle w:val="Hyperlink"/>
          </w:rPr>
          <w:t>en</w:t>
        </w:r>
        <w:r w:rsidR="00C15102" w:rsidRPr="00DE50DA">
          <w:rPr>
            <w:rStyle w:val="Hyperlink"/>
            <w:lang w:val="ru-RU"/>
          </w:rPr>
          <w:t>.</w:t>
        </w:r>
        <w:r w:rsidR="00C15102" w:rsidRPr="00CD7980">
          <w:rPr>
            <w:rStyle w:val="Hyperlink"/>
          </w:rPr>
          <w:t>pdf</w:t>
        </w:r>
      </w:hyperlink>
      <w:r w:rsidRPr="003F3154">
        <w:rPr>
          <w:lang w:val="ru-RU"/>
        </w:rPr>
        <w:t>.</w:t>
      </w:r>
    </w:p>
  </w:footnote>
  <w:footnote w:id="4">
    <w:p w14:paraId="1CB8F555" w14:textId="4DA1721B" w:rsidR="00616963" w:rsidRPr="005019BC" w:rsidRDefault="00616963" w:rsidP="00DE50DA">
      <w:pPr>
        <w:pStyle w:val="FootnoteText"/>
        <w:jc w:val="both"/>
        <w:rPr>
          <w:lang w:val="ru-RU"/>
        </w:rPr>
      </w:pPr>
      <w:r>
        <w:rPr>
          <w:rStyle w:val="FootnoteReference"/>
        </w:rPr>
        <w:footnoteRef/>
      </w:r>
      <w:r w:rsidRPr="005019BC">
        <w:rPr>
          <w:lang w:val="ru-RU"/>
        </w:rPr>
        <w:tab/>
      </w:r>
      <w:r>
        <w:rPr>
          <w:lang w:val="ru-RU"/>
        </w:rPr>
        <w:t>Заявление</w:t>
      </w:r>
      <w:r w:rsidRPr="005019BC">
        <w:rPr>
          <w:lang w:val="ru-RU"/>
        </w:rPr>
        <w:t xml:space="preserve"> </w:t>
      </w:r>
      <w:r>
        <w:rPr>
          <w:lang w:val="ru-RU"/>
        </w:rPr>
        <w:t>Е</w:t>
      </w:r>
      <w:r w:rsidRPr="005019BC">
        <w:rPr>
          <w:lang w:val="ru-RU"/>
        </w:rPr>
        <w:t>.</w:t>
      </w:r>
      <w:r>
        <w:rPr>
          <w:lang w:val="ru-RU"/>
        </w:rPr>
        <w:t>П</w:t>
      </w:r>
      <w:r w:rsidRPr="005019BC">
        <w:rPr>
          <w:lang w:val="ru-RU"/>
        </w:rPr>
        <w:t>.</w:t>
      </w:r>
      <w:r w:rsidR="005B487F">
        <w:rPr>
          <w:lang w:val="en-US"/>
        </w:rPr>
        <w:t> </w:t>
      </w:r>
      <w:r w:rsidRPr="005019BC">
        <w:rPr>
          <w:lang w:val="ru-RU"/>
        </w:rPr>
        <w:t xml:space="preserve">Солли Малаци, </w:t>
      </w:r>
      <w:r>
        <w:rPr>
          <w:lang w:val="ru-RU"/>
        </w:rPr>
        <w:t>министра</w:t>
      </w:r>
      <w:r w:rsidRPr="005019BC">
        <w:rPr>
          <w:lang w:val="ru-RU"/>
        </w:rPr>
        <w:t xml:space="preserve"> </w:t>
      </w:r>
      <w:r>
        <w:rPr>
          <w:lang w:val="ru-RU"/>
        </w:rPr>
        <w:t>связи</w:t>
      </w:r>
      <w:r w:rsidRPr="005019BC">
        <w:rPr>
          <w:lang w:val="ru-RU"/>
        </w:rPr>
        <w:t xml:space="preserve"> </w:t>
      </w:r>
      <w:r>
        <w:rPr>
          <w:lang w:val="ru-RU"/>
        </w:rPr>
        <w:t>и</w:t>
      </w:r>
      <w:r w:rsidRPr="005019BC">
        <w:rPr>
          <w:lang w:val="ru-RU"/>
        </w:rPr>
        <w:t xml:space="preserve"> </w:t>
      </w:r>
      <w:r>
        <w:rPr>
          <w:lang w:val="ru-RU"/>
        </w:rPr>
        <w:t>цифровых</w:t>
      </w:r>
      <w:r w:rsidRPr="005019BC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5019BC">
        <w:rPr>
          <w:lang w:val="ru-RU"/>
        </w:rPr>
        <w:t xml:space="preserve"> </w:t>
      </w:r>
      <w:r>
        <w:rPr>
          <w:lang w:val="ru-RU"/>
        </w:rPr>
        <w:t>Южной Африки</w:t>
      </w:r>
      <w:r w:rsidRPr="005019BC">
        <w:rPr>
          <w:lang w:val="ru-RU"/>
        </w:rPr>
        <w:t xml:space="preserve">: </w:t>
      </w:r>
      <w:hyperlink r:id="rId5" w:history="1">
        <w:r w:rsidR="005B487F" w:rsidRPr="00CD7980">
          <w:rPr>
            <w:rStyle w:val="Hyperlink"/>
          </w:rPr>
          <w:t>https://estatements.un.org/estatements/10.0010/20251216100000000/fsvEYyHnNDt/</w:t>
        </w:r>
        <w:r w:rsidR="005B487F" w:rsidRPr="00CD7980">
          <w:rPr>
            <w:rStyle w:val="Hyperlink"/>
          </w:rPr>
          <w:br/>
        </w:r>
        <w:proofErr w:type="spellStart"/>
        <w:r w:rsidR="005B487F" w:rsidRPr="00CD7980">
          <w:rPr>
            <w:rStyle w:val="Hyperlink"/>
          </w:rPr>
          <w:t>sJcKcYYu_nyc_en.pdf</w:t>
        </w:r>
        <w:proofErr w:type="spellEnd"/>
      </w:hyperlink>
      <w:r w:rsidRPr="005019B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A8F3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3"/>
    <w:rsid w:val="00005BE0"/>
    <w:rsid w:val="0002183E"/>
    <w:rsid w:val="000569B4"/>
    <w:rsid w:val="0006007D"/>
    <w:rsid w:val="00071A18"/>
    <w:rsid w:val="00080E82"/>
    <w:rsid w:val="000934DD"/>
    <w:rsid w:val="0009751C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82A7E"/>
    <w:rsid w:val="00192B41"/>
    <w:rsid w:val="001B7B09"/>
    <w:rsid w:val="001E6719"/>
    <w:rsid w:val="001E7F50"/>
    <w:rsid w:val="00225368"/>
    <w:rsid w:val="00227FF0"/>
    <w:rsid w:val="00244C39"/>
    <w:rsid w:val="00273B3E"/>
    <w:rsid w:val="00276F05"/>
    <w:rsid w:val="00277DEA"/>
    <w:rsid w:val="00291EB6"/>
    <w:rsid w:val="002A02AF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4455"/>
    <w:rsid w:val="004070A0"/>
    <w:rsid w:val="00425CA7"/>
    <w:rsid w:val="00433D86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5B487F"/>
    <w:rsid w:val="00601994"/>
    <w:rsid w:val="00616963"/>
    <w:rsid w:val="00660449"/>
    <w:rsid w:val="00672F8A"/>
    <w:rsid w:val="006E2D42"/>
    <w:rsid w:val="006F2DEF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37277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A7E91"/>
    <w:rsid w:val="009B0BAE"/>
    <w:rsid w:val="009C1C89"/>
    <w:rsid w:val="009C74F2"/>
    <w:rsid w:val="009D222F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A2297"/>
    <w:rsid w:val="00AE2C85"/>
    <w:rsid w:val="00B0107F"/>
    <w:rsid w:val="00B12A37"/>
    <w:rsid w:val="00B41837"/>
    <w:rsid w:val="00B63EF2"/>
    <w:rsid w:val="00B715AD"/>
    <w:rsid w:val="00B90FF6"/>
    <w:rsid w:val="00BA7D89"/>
    <w:rsid w:val="00BC0D39"/>
    <w:rsid w:val="00BC7BC0"/>
    <w:rsid w:val="00BD57B7"/>
    <w:rsid w:val="00BE00DD"/>
    <w:rsid w:val="00BE63E2"/>
    <w:rsid w:val="00C14CA4"/>
    <w:rsid w:val="00C15102"/>
    <w:rsid w:val="00C462C5"/>
    <w:rsid w:val="00CD2009"/>
    <w:rsid w:val="00CD7980"/>
    <w:rsid w:val="00CF629C"/>
    <w:rsid w:val="00D17718"/>
    <w:rsid w:val="00D631AA"/>
    <w:rsid w:val="00D92EEA"/>
    <w:rsid w:val="00DA5D4E"/>
    <w:rsid w:val="00DA770A"/>
    <w:rsid w:val="00DE50DA"/>
    <w:rsid w:val="00E05752"/>
    <w:rsid w:val="00E176BA"/>
    <w:rsid w:val="00E2623B"/>
    <w:rsid w:val="00E423EC"/>
    <w:rsid w:val="00E55121"/>
    <w:rsid w:val="00E70C6D"/>
    <w:rsid w:val="00E90788"/>
    <w:rsid w:val="00E96043"/>
    <w:rsid w:val="00EB4FCB"/>
    <w:rsid w:val="00EB7B34"/>
    <w:rsid w:val="00EC6BC5"/>
    <w:rsid w:val="00F20684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C127A"/>
  <w15:docId w15:val="{8B47181F-598B-479A-8BAC-92245532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96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E50D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567"/>
      </w:tabs>
      <w:spacing w:before="36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E70C6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rsid w:val="00616963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un.org/ru/A/RES/80/173" TargetMode="External"/><Relationship Id="rId18" Type="http://schemas.openxmlformats.org/officeDocument/2006/relationships/hyperlink" Target="https://www.itu.int/md/S23-CL-C-0120/en" TargetMode="External"/><Relationship Id="rId26" Type="http://schemas.openxmlformats.org/officeDocument/2006/relationships/hyperlink" Target="https://www.itu.int/en/itu-wsis/Documents/WSIS20/WSIS+20Report.pdf" TargetMode="External"/><Relationship Id="rId39" Type="http://schemas.openxmlformats.org/officeDocument/2006/relationships/hyperlink" Target="https://www.itu.int/initiatives/digital-unga2025/wsis20-edition/" TargetMode="External"/><Relationship Id="rId21" Type="http://schemas.openxmlformats.org/officeDocument/2006/relationships/hyperlink" Target="https://www.itu.int/pub/R-RES-R.61-3-2023" TargetMode="External"/><Relationship Id="rId34" Type="http://schemas.openxmlformats.org/officeDocument/2006/relationships/hyperlink" Target="https://www.itu.int/net4/wsis/ungis/content/upload/doc/roadmaps/ITU-WSIS20-Roadmap.pdf" TargetMode="External"/><Relationship Id="rId42" Type="http://schemas.openxmlformats.org/officeDocument/2006/relationships/footer" Target="footer2.xml"/><Relationship Id="rId7" Type="http://schemas.openxmlformats.org/officeDocument/2006/relationships/hyperlink" Target="https://www.itu.int/en/council/cwg-wsis/Pages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council/Documents/basic-texts-2023/RES-071-R.pdf" TargetMode="External"/><Relationship Id="rId20" Type="http://schemas.openxmlformats.org/officeDocument/2006/relationships/hyperlink" Target="https://www.itu.int/pub/publications.aspx?lang=en&amp;parent=T-RES-T.75-2022" TargetMode="External"/><Relationship Id="rId29" Type="http://schemas.openxmlformats.org/officeDocument/2006/relationships/hyperlink" Target="https://www.itu.int/net4/wsis/forum/2026/ru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un.org/ru/A/RES/70/299" TargetMode="External"/><Relationship Id="rId24" Type="http://schemas.openxmlformats.org/officeDocument/2006/relationships/hyperlink" Target="http://www.itu.int/en/ITU-D/Statistics/Documents/publications/wsisreview2014/WSIS2014_review.pdf" TargetMode="External"/><Relationship Id="rId32" Type="http://schemas.openxmlformats.org/officeDocument/2006/relationships/hyperlink" Target="https://www.itu.int/net/wsis/docs2/tunis/off/6rev1.html" TargetMode="External"/><Relationship Id="rId37" Type="http://schemas.openxmlformats.org/officeDocument/2006/relationships/hyperlink" Target="https://www.itu.int/net4/wsis/forum/2025/ru/Agenda/Session/554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en/council/cwg-wsis/Documents/Resolution172-PP10.pdf" TargetMode="External"/><Relationship Id="rId23" Type="http://schemas.openxmlformats.org/officeDocument/2006/relationships/hyperlink" Target="https://www.itu.int/net/wsis/implementation/2014/forum/inc/doc/outcome/362828V2r.pdf" TargetMode="External"/><Relationship Id="rId28" Type="http://schemas.openxmlformats.org/officeDocument/2006/relationships/hyperlink" Target="https://unctad.org/system/files/official-document/ecn162025d4_ru.pdf" TargetMode="External"/><Relationship Id="rId36" Type="http://schemas.openxmlformats.org/officeDocument/2006/relationships/hyperlink" Target="https://www.itu.int/en/itu-wsis/Pages/CWG-WSIS%26SDG_Call_for_Inputs_2025.aspx" TargetMode="External"/><Relationship Id="rId10" Type="http://schemas.openxmlformats.org/officeDocument/2006/relationships/hyperlink" Target="https://docs.un.org/ru/A/RES/71/212" TargetMode="External"/><Relationship Id="rId19" Type="http://schemas.openxmlformats.org/officeDocument/2006/relationships/hyperlink" Target="https://www.itu.int/dms_pub/itu-d/opb/tdc/D-TDC-WTDC-2025-PDF-R.pdf" TargetMode="External"/><Relationship Id="rId31" Type="http://schemas.openxmlformats.org/officeDocument/2006/relationships/hyperlink" Target="https://www.itu.int/net/wsis/docs/geneva/official/dop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un.org/ru/A/RES/77/150" TargetMode="External"/><Relationship Id="rId14" Type="http://schemas.openxmlformats.org/officeDocument/2006/relationships/hyperlink" Target="https://www.itu.int/en/council/Documents/basic-texts-2023/RES-140-R.pdf" TargetMode="External"/><Relationship Id="rId22" Type="http://schemas.openxmlformats.org/officeDocument/2006/relationships/hyperlink" Target="https://www.itu.int/net/wsis/implementation/2014/forum/inc/doc/outcome/362828v2r.pdf" TargetMode="External"/><Relationship Id="rId27" Type="http://schemas.openxmlformats.org/officeDocument/2006/relationships/hyperlink" Target="https://www.un.org/sites/un2.un.org/files/sotf-pact_for_the_future_adopted.pdf" TargetMode="External"/><Relationship Id="rId30" Type="http://schemas.openxmlformats.org/officeDocument/2006/relationships/hyperlink" Target="https://docs.un.org/ru/a/res/70/125" TargetMode="External"/><Relationship Id="rId35" Type="http://schemas.openxmlformats.org/officeDocument/2006/relationships/hyperlink" Target="https://www.itu.int/en/itu-wsis/Documents/WSIS20/WSIS+20Report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cs.un.org/ru/A/RES/70/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un.org/ru/A/70/684" TargetMode="External"/><Relationship Id="rId17" Type="http://schemas.openxmlformats.org/officeDocument/2006/relationships/hyperlink" Target="https://www.itu.int/md/S24-CL-C-0141/en" TargetMode="External"/><Relationship Id="rId25" Type="http://schemas.openxmlformats.org/officeDocument/2006/relationships/hyperlink" Target="https://www.itu.int/md/S22-CWGWSIS38-C-0014/en" TargetMode="External"/><Relationship Id="rId33" Type="http://schemas.openxmlformats.org/officeDocument/2006/relationships/hyperlink" Target="https://publicadministration.desa.un.org/wsis20" TargetMode="External"/><Relationship Id="rId38" Type="http://schemas.openxmlformats.org/officeDocument/2006/relationships/hyperlink" Target="https://www.itu.int/net4/wsis/forum/2025/ru/Agenda/Session/55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.un.org/en/new-york/officials/2025-12-17" TargetMode="External"/><Relationship Id="rId2" Type="http://schemas.openxmlformats.org/officeDocument/2006/relationships/hyperlink" Target="https://journal.un.org/en/new-york/officials/2025-12-16" TargetMode="External"/><Relationship Id="rId1" Type="http://schemas.openxmlformats.org/officeDocument/2006/relationships/hyperlink" Target="https://e-speakers.e-delegate.un.org/6932eb7b26106187a2e18d9705122025" TargetMode="External"/><Relationship Id="rId5" Type="http://schemas.openxmlformats.org/officeDocument/2006/relationships/hyperlink" Target="https://estatements.un.org/estatements/10.0010/20251216100000000/fsvEYyHnNDt/sJcKcYYu_nyc_en.pdf" TargetMode="External"/><Relationship Id="rId4" Type="http://schemas.openxmlformats.org/officeDocument/2006/relationships/hyperlink" Target="https://estatements.un.org/estatements/10.0010/20251216150000000/CFfKXYwvMAL/YNEvUnmWgS_nyc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0</TotalTime>
  <Pages>11</Pages>
  <Words>5382</Words>
  <Characters>30896</Characters>
  <Application>Microsoft Office Word</Application>
  <DocSecurity>0</DocSecurity>
  <Lines>1544</Lines>
  <Paragraphs>1036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35242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United Nations General Assembly's overall review of the implementation of the outcomes of the World Summit on the Information Society</dc:title>
  <dc:subject>ITU Council 2026</dc:subject>
  <cp:keywords>C26; C2026; Council 2026; PP26</cp:keywords>
  <dc:description/>
  <cp:lastPrinted>2006-03-28T16:12:00Z</cp:lastPrinted>
  <dcterms:created xsi:type="dcterms:W3CDTF">2026-04-09T12:24:00Z</dcterms:created>
  <dcterms:modified xsi:type="dcterms:W3CDTF">2026-04-09T12:24:00Z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