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54172A" w14:paraId="52D4AE16" w14:textId="77777777" w:rsidTr="00796BDB">
        <w:trPr>
          <w:cantSplit/>
          <w:trHeight w:val="23"/>
        </w:trPr>
        <w:tc>
          <w:tcPr>
            <w:tcW w:w="3969" w:type="dxa"/>
            <w:vMerge w:val="restart"/>
            <w:tcMar>
              <w:left w:w="0" w:type="dxa"/>
            </w:tcMar>
          </w:tcPr>
          <w:p w14:paraId="10A82B35" w14:textId="35AF328C" w:rsidR="00D72F49" w:rsidRPr="0054172A" w:rsidRDefault="00D72F49" w:rsidP="00796BDB">
            <w:pPr>
              <w:tabs>
                <w:tab w:val="left" w:pos="851"/>
              </w:tabs>
              <w:spacing w:before="0" w:line="240" w:lineRule="atLeast"/>
              <w:rPr>
                <w:b/>
              </w:rPr>
            </w:pPr>
            <w:r w:rsidRPr="0054172A">
              <w:rPr>
                <w:b/>
              </w:rPr>
              <w:t xml:space="preserve">Point de l'ordre du </w:t>
            </w:r>
            <w:proofErr w:type="gramStart"/>
            <w:r w:rsidRPr="0054172A">
              <w:rPr>
                <w:b/>
              </w:rPr>
              <w:t>jour:</w:t>
            </w:r>
            <w:proofErr w:type="gramEnd"/>
            <w:r w:rsidR="00D4663D" w:rsidRPr="0054172A">
              <w:rPr>
                <w:b/>
              </w:rPr>
              <w:t xml:space="preserve"> </w:t>
            </w:r>
            <w:proofErr w:type="spellStart"/>
            <w:r w:rsidR="00D4663D" w:rsidRPr="0054172A">
              <w:rPr>
                <w:b/>
              </w:rPr>
              <w:t>PL</w:t>
            </w:r>
            <w:r w:rsidR="00E03D26">
              <w:rPr>
                <w:b/>
              </w:rPr>
              <w:t>-</w:t>
            </w:r>
            <w:r w:rsidR="00D4663D" w:rsidRPr="0054172A">
              <w:rPr>
                <w:b/>
              </w:rPr>
              <w:t>2</w:t>
            </w:r>
            <w:proofErr w:type="spellEnd"/>
          </w:p>
        </w:tc>
        <w:tc>
          <w:tcPr>
            <w:tcW w:w="5245" w:type="dxa"/>
          </w:tcPr>
          <w:p w14:paraId="1E8E4408" w14:textId="4B3DA359" w:rsidR="00D72F49" w:rsidRPr="0054172A" w:rsidRDefault="00D72F49" w:rsidP="00796BDB">
            <w:pPr>
              <w:tabs>
                <w:tab w:val="left" w:pos="851"/>
              </w:tabs>
              <w:spacing w:before="0" w:line="240" w:lineRule="atLeast"/>
              <w:jc w:val="right"/>
              <w:rPr>
                <w:b/>
              </w:rPr>
            </w:pPr>
            <w:r w:rsidRPr="0054172A">
              <w:rPr>
                <w:b/>
              </w:rPr>
              <w:t>Document C2</w:t>
            </w:r>
            <w:r w:rsidR="00E4448E" w:rsidRPr="0054172A">
              <w:rPr>
                <w:b/>
              </w:rPr>
              <w:t>6</w:t>
            </w:r>
            <w:r w:rsidRPr="0054172A">
              <w:rPr>
                <w:b/>
              </w:rPr>
              <w:t>/</w:t>
            </w:r>
            <w:r w:rsidR="003F25E0" w:rsidRPr="0054172A">
              <w:rPr>
                <w:b/>
              </w:rPr>
              <w:t>59</w:t>
            </w:r>
            <w:r w:rsidRPr="0054172A">
              <w:rPr>
                <w:b/>
              </w:rPr>
              <w:t>-F</w:t>
            </w:r>
          </w:p>
        </w:tc>
      </w:tr>
      <w:tr w:rsidR="00D72F49" w:rsidRPr="0054172A" w14:paraId="471D34D7" w14:textId="77777777" w:rsidTr="00796BDB">
        <w:trPr>
          <w:cantSplit/>
        </w:trPr>
        <w:tc>
          <w:tcPr>
            <w:tcW w:w="3969" w:type="dxa"/>
            <w:vMerge/>
          </w:tcPr>
          <w:p w14:paraId="44277143" w14:textId="77777777" w:rsidR="00D72F49" w:rsidRPr="0054172A" w:rsidRDefault="00D72F49" w:rsidP="00796BDB">
            <w:pPr>
              <w:tabs>
                <w:tab w:val="left" w:pos="851"/>
              </w:tabs>
              <w:spacing w:line="240" w:lineRule="atLeast"/>
              <w:rPr>
                <w:b/>
              </w:rPr>
            </w:pPr>
          </w:p>
        </w:tc>
        <w:tc>
          <w:tcPr>
            <w:tcW w:w="5245" w:type="dxa"/>
          </w:tcPr>
          <w:p w14:paraId="3830E710" w14:textId="6EA1A9D3" w:rsidR="00D72F49" w:rsidRPr="0054172A" w:rsidRDefault="003F25E0" w:rsidP="00796BDB">
            <w:pPr>
              <w:tabs>
                <w:tab w:val="left" w:pos="851"/>
              </w:tabs>
              <w:spacing w:before="0"/>
              <w:jc w:val="right"/>
              <w:rPr>
                <w:b/>
              </w:rPr>
            </w:pPr>
            <w:r w:rsidRPr="0054172A">
              <w:rPr>
                <w:b/>
              </w:rPr>
              <w:t>2</w:t>
            </w:r>
            <w:r w:rsidR="00401FBC" w:rsidRPr="0054172A">
              <w:rPr>
                <w:b/>
              </w:rPr>
              <w:t>7 mars</w:t>
            </w:r>
            <w:r w:rsidRPr="0054172A">
              <w:rPr>
                <w:b/>
              </w:rPr>
              <w:t xml:space="preserve"> 2026</w:t>
            </w:r>
          </w:p>
        </w:tc>
      </w:tr>
      <w:tr w:rsidR="00D72F49" w:rsidRPr="0054172A" w14:paraId="3F412470" w14:textId="77777777" w:rsidTr="00796BDB">
        <w:trPr>
          <w:cantSplit/>
          <w:trHeight w:val="23"/>
        </w:trPr>
        <w:tc>
          <w:tcPr>
            <w:tcW w:w="3969" w:type="dxa"/>
            <w:vMerge/>
          </w:tcPr>
          <w:p w14:paraId="468108C0" w14:textId="77777777" w:rsidR="00D72F49" w:rsidRPr="0054172A" w:rsidRDefault="00D72F49" w:rsidP="00796BDB">
            <w:pPr>
              <w:tabs>
                <w:tab w:val="left" w:pos="851"/>
              </w:tabs>
              <w:spacing w:line="240" w:lineRule="atLeast"/>
              <w:rPr>
                <w:b/>
              </w:rPr>
            </w:pPr>
          </w:p>
        </w:tc>
        <w:tc>
          <w:tcPr>
            <w:tcW w:w="5245" w:type="dxa"/>
          </w:tcPr>
          <w:p w14:paraId="5F399620" w14:textId="77777777" w:rsidR="00D72F49" w:rsidRPr="0054172A" w:rsidRDefault="00D72F49" w:rsidP="00796BDB">
            <w:pPr>
              <w:tabs>
                <w:tab w:val="left" w:pos="851"/>
              </w:tabs>
              <w:spacing w:before="0" w:line="240" w:lineRule="atLeast"/>
              <w:jc w:val="right"/>
              <w:rPr>
                <w:b/>
              </w:rPr>
            </w:pPr>
            <w:proofErr w:type="gramStart"/>
            <w:r w:rsidRPr="0054172A">
              <w:rPr>
                <w:b/>
              </w:rPr>
              <w:t>Original:</w:t>
            </w:r>
            <w:proofErr w:type="gramEnd"/>
            <w:r w:rsidRPr="0054172A">
              <w:rPr>
                <w:b/>
              </w:rPr>
              <w:t xml:space="preserve"> anglais</w:t>
            </w:r>
          </w:p>
        </w:tc>
      </w:tr>
      <w:tr w:rsidR="00D72F49" w:rsidRPr="0054172A" w14:paraId="41CB73E7" w14:textId="77777777" w:rsidTr="00796BDB">
        <w:trPr>
          <w:cantSplit/>
        </w:trPr>
        <w:tc>
          <w:tcPr>
            <w:tcW w:w="9214" w:type="dxa"/>
            <w:gridSpan w:val="2"/>
            <w:tcMar>
              <w:left w:w="0" w:type="dxa"/>
            </w:tcMar>
          </w:tcPr>
          <w:p w14:paraId="225213B9" w14:textId="77777777" w:rsidR="00D72F49" w:rsidRPr="0054172A" w:rsidRDefault="00D72F49" w:rsidP="00937AFF">
            <w:pPr>
              <w:pStyle w:val="Source"/>
              <w:spacing w:before="360"/>
              <w:jc w:val="left"/>
              <w:rPr>
                <w:sz w:val="34"/>
                <w:szCs w:val="34"/>
              </w:rPr>
            </w:pPr>
            <w:r w:rsidRPr="0054172A">
              <w:rPr>
                <w:rFonts w:cstheme="minorHAnsi"/>
                <w:color w:val="000000"/>
                <w:sz w:val="34"/>
                <w:szCs w:val="34"/>
              </w:rPr>
              <w:t xml:space="preserve">Rapport </w:t>
            </w:r>
            <w:r w:rsidR="00E95647" w:rsidRPr="0054172A">
              <w:rPr>
                <w:rFonts w:cstheme="minorHAnsi"/>
                <w:color w:val="000000"/>
                <w:sz w:val="34"/>
                <w:szCs w:val="34"/>
              </w:rPr>
              <w:t xml:space="preserve">de la </w:t>
            </w:r>
            <w:r w:rsidRPr="0054172A">
              <w:rPr>
                <w:rFonts w:cstheme="minorHAnsi"/>
                <w:color w:val="000000"/>
                <w:sz w:val="34"/>
                <w:szCs w:val="34"/>
              </w:rPr>
              <w:t>Secrétaire général</w:t>
            </w:r>
            <w:r w:rsidR="00E95647" w:rsidRPr="0054172A">
              <w:rPr>
                <w:rFonts w:cstheme="minorHAnsi"/>
                <w:color w:val="000000"/>
                <w:sz w:val="34"/>
                <w:szCs w:val="34"/>
              </w:rPr>
              <w:t>e</w:t>
            </w:r>
          </w:p>
        </w:tc>
      </w:tr>
      <w:tr w:rsidR="00D72F49" w:rsidRPr="0054172A" w14:paraId="30185143" w14:textId="77777777" w:rsidTr="00796BDB">
        <w:trPr>
          <w:cantSplit/>
        </w:trPr>
        <w:tc>
          <w:tcPr>
            <w:tcW w:w="9214" w:type="dxa"/>
            <w:gridSpan w:val="2"/>
            <w:tcMar>
              <w:left w:w="0" w:type="dxa"/>
            </w:tcMar>
          </w:tcPr>
          <w:p w14:paraId="352A3AA3" w14:textId="7B933A33" w:rsidR="00D72F49" w:rsidRPr="0054172A" w:rsidRDefault="00274194" w:rsidP="00937AFF">
            <w:pPr>
              <w:pStyle w:val="Subtitle"/>
              <w:framePr w:hSpace="0" w:wrap="auto" w:hAnchor="text" w:xAlign="left" w:yAlign="inline"/>
              <w:spacing w:after="120"/>
              <w:rPr>
                <w:sz w:val="32"/>
                <w:szCs w:val="32"/>
                <w:lang w:val="fr-FR"/>
              </w:rPr>
            </w:pPr>
            <w:r w:rsidRPr="0054172A">
              <w:rPr>
                <w:rFonts w:cstheme="minorHAnsi"/>
                <w:sz w:val="32"/>
                <w:szCs w:val="32"/>
                <w:lang w:val="fr-FR"/>
              </w:rPr>
              <w:t>RAPPORT DE L'ASSEMBLÉE GÉNÉRALE DES NATIONS UNIES SUR L'EXAMEN D'ENSEMBLE DE LA MISE EN ŒUVRE DES RÉSULTATS DU SOMMET MONDIAL SUR LA SOCIÉTÉ DE L'INFORMATION</w:t>
            </w:r>
          </w:p>
        </w:tc>
      </w:tr>
      <w:tr w:rsidR="00D72F49" w:rsidRPr="0054172A" w14:paraId="0F20C667" w14:textId="77777777" w:rsidTr="00796BDB">
        <w:trPr>
          <w:cantSplit/>
        </w:trPr>
        <w:tc>
          <w:tcPr>
            <w:tcW w:w="9214" w:type="dxa"/>
            <w:gridSpan w:val="2"/>
            <w:tcBorders>
              <w:top w:val="single" w:sz="4" w:space="0" w:color="auto"/>
              <w:bottom w:val="single" w:sz="4" w:space="0" w:color="auto"/>
            </w:tcBorders>
            <w:tcMar>
              <w:left w:w="0" w:type="dxa"/>
            </w:tcMar>
          </w:tcPr>
          <w:p w14:paraId="2FF24D35" w14:textId="77777777" w:rsidR="00D72F49" w:rsidRPr="0054172A" w:rsidRDefault="00F37FE5" w:rsidP="00796BDB">
            <w:pPr>
              <w:spacing w:before="160"/>
              <w:rPr>
                <w:b/>
                <w:bCs/>
                <w:sz w:val="26"/>
                <w:szCs w:val="26"/>
              </w:rPr>
            </w:pPr>
            <w:r w:rsidRPr="0054172A">
              <w:rPr>
                <w:b/>
                <w:bCs/>
                <w:sz w:val="26"/>
                <w:szCs w:val="26"/>
              </w:rPr>
              <w:t>Objet</w:t>
            </w:r>
          </w:p>
          <w:p w14:paraId="7D88CA3C" w14:textId="3CFAE328" w:rsidR="00D72F49" w:rsidRPr="0054172A" w:rsidRDefault="003F25E0" w:rsidP="00274194">
            <w:pPr>
              <w:jc w:val="both"/>
            </w:pPr>
            <w:r w:rsidRPr="0054172A">
              <w:t>Conformément la Résolution 14</w:t>
            </w:r>
            <w:r w:rsidR="006A7C10" w:rsidRPr="0054172A">
              <w:t>0</w:t>
            </w:r>
            <w:r w:rsidRPr="0054172A">
              <w:t xml:space="preserve"> (Rév. Bucarest, 2022) de la Conférence de plénipotentiaires et à la Résolution 1334 (modifiée en 2023), la Secrétaire générale était chargée d'élaborer un</w:t>
            </w:r>
            <w:r w:rsidR="00E663EE" w:rsidRPr="0054172A">
              <w:t> </w:t>
            </w:r>
            <w:r w:rsidRPr="0054172A">
              <w:t>rapport sur les résultats de la réunion de haut niveau de l'Assemblée générale des Nations</w:t>
            </w:r>
            <w:r w:rsidR="00D4663D" w:rsidRPr="0054172A">
              <w:t> </w:t>
            </w:r>
            <w:r w:rsidRPr="0054172A">
              <w:t>Unies sur l'examen d'ensemble de la mise en œuvre des résultats du SMSI tenue en</w:t>
            </w:r>
            <w:r w:rsidR="00E663EE" w:rsidRPr="0054172A">
              <w:t> </w:t>
            </w:r>
            <w:r w:rsidRPr="0054172A">
              <w:t>2025, en vue de le soumettre à la session de 2026 du Conseil, par l'intermédiaire du</w:t>
            </w:r>
            <w:r w:rsidR="00E663EE" w:rsidRPr="0054172A">
              <w:t> </w:t>
            </w:r>
            <w:r w:rsidRPr="0054172A">
              <w:t>GTC</w:t>
            </w:r>
            <w:r w:rsidR="00D4663D" w:rsidRPr="0054172A">
              <w:noBreakHyphen/>
            </w:r>
            <w:r w:rsidRPr="0054172A">
              <w:t>SMSI/ODD, et à la Conférence de plénipotentiaires de 2026.</w:t>
            </w:r>
          </w:p>
          <w:p w14:paraId="03C353CA" w14:textId="77777777" w:rsidR="00D72F49" w:rsidRPr="0054172A" w:rsidRDefault="00D72F49" w:rsidP="00796BDB">
            <w:pPr>
              <w:spacing w:before="160"/>
              <w:rPr>
                <w:b/>
                <w:bCs/>
                <w:sz w:val="26"/>
                <w:szCs w:val="26"/>
              </w:rPr>
            </w:pPr>
            <w:proofErr w:type="gramStart"/>
            <w:r w:rsidRPr="0054172A">
              <w:rPr>
                <w:b/>
                <w:bCs/>
                <w:sz w:val="26"/>
                <w:szCs w:val="26"/>
              </w:rPr>
              <w:t>Suite à</w:t>
            </w:r>
            <w:proofErr w:type="gramEnd"/>
            <w:r w:rsidRPr="0054172A">
              <w:rPr>
                <w:b/>
                <w:bCs/>
                <w:sz w:val="26"/>
                <w:szCs w:val="26"/>
              </w:rPr>
              <w:t xml:space="preserve"> donner par le Conseil</w:t>
            </w:r>
          </w:p>
          <w:p w14:paraId="777226C0" w14:textId="1F1FC91F" w:rsidR="00D72F49" w:rsidRPr="0054172A" w:rsidRDefault="003F25E0" w:rsidP="00796BDB">
            <w:r w:rsidRPr="0054172A">
              <w:t xml:space="preserve">Le Conseil est invité </w:t>
            </w:r>
            <w:r w:rsidRPr="0054172A">
              <w:rPr>
                <w:b/>
                <w:bCs/>
              </w:rPr>
              <w:t xml:space="preserve">à </w:t>
            </w:r>
            <w:r w:rsidR="00401FBC" w:rsidRPr="0054172A">
              <w:rPr>
                <w:b/>
                <w:bCs/>
              </w:rPr>
              <w:t>prendre note</w:t>
            </w:r>
            <w:r w:rsidR="00401FBC" w:rsidRPr="0054172A">
              <w:t xml:space="preserve"> du</w:t>
            </w:r>
            <w:r w:rsidRPr="0054172A">
              <w:t xml:space="preserve"> présent document.</w:t>
            </w:r>
          </w:p>
          <w:p w14:paraId="714580B1" w14:textId="77777777" w:rsidR="00D72F49" w:rsidRPr="0054172A" w:rsidRDefault="00D72F49" w:rsidP="00796BDB">
            <w:pPr>
              <w:spacing w:before="160"/>
              <w:rPr>
                <w:b/>
                <w:bCs/>
                <w:sz w:val="26"/>
                <w:szCs w:val="26"/>
              </w:rPr>
            </w:pPr>
            <w:r w:rsidRPr="0054172A">
              <w:rPr>
                <w:b/>
                <w:bCs/>
                <w:sz w:val="26"/>
                <w:szCs w:val="26"/>
              </w:rPr>
              <w:t xml:space="preserve">Lien(s) pertinent(s) avec le </w:t>
            </w:r>
            <w:r w:rsidR="00F37FE5" w:rsidRPr="0054172A">
              <w:rPr>
                <w:b/>
                <w:bCs/>
                <w:sz w:val="26"/>
                <w:szCs w:val="26"/>
              </w:rPr>
              <w:t>p</w:t>
            </w:r>
            <w:r w:rsidRPr="0054172A">
              <w:rPr>
                <w:b/>
                <w:bCs/>
                <w:sz w:val="26"/>
                <w:szCs w:val="26"/>
              </w:rPr>
              <w:t>lan stratégique</w:t>
            </w:r>
          </w:p>
          <w:p w14:paraId="12670AB4" w14:textId="200AD01B" w:rsidR="00D72F49" w:rsidRPr="0054172A" w:rsidRDefault="003F25E0" w:rsidP="00796BDB">
            <w:r w:rsidRPr="0054172A">
              <w:t>Plates-formes fédératrices, partenariats et coopération internationale.</w:t>
            </w:r>
          </w:p>
          <w:p w14:paraId="16124D5F" w14:textId="77777777" w:rsidR="00E95647" w:rsidRPr="0054172A" w:rsidRDefault="00D72F49" w:rsidP="00796BDB">
            <w:pPr>
              <w:spacing w:before="160"/>
              <w:rPr>
                <w:b/>
                <w:bCs/>
                <w:sz w:val="26"/>
                <w:szCs w:val="26"/>
              </w:rPr>
            </w:pPr>
            <w:r w:rsidRPr="0054172A">
              <w:rPr>
                <w:b/>
                <w:bCs/>
                <w:sz w:val="26"/>
                <w:szCs w:val="26"/>
              </w:rPr>
              <w:t>Incidences financières</w:t>
            </w:r>
          </w:p>
          <w:p w14:paraId="572EEEE8" w14:textId="7198D08A" w:rsidR="00D72F49" w:rsidRPr="0054172A" w:rsidRDefault="003F25E0" w:rsidP="00796BDB">
            <w:pPr>
              <w:rPr>
                <w:szCs w:val="24"/>
              </w:rPr>
            </w:pPr>
            <w:r w:rsidRPr="0054172A">
              <w:rPr>
                <w:szCs w:val="24"/>
              </w:rPr>
              <w:t>Dans les limites du budget alloué pour 2025-2026.</w:t>
            </w:r>
          </w:p>
          <w:p w14:paraId="3E90195E" w14:textId="77777777" w:rsidR="00D72F49" w:rsidRPr="0054172A" w:rsidRDefault="00D72F49" w:rsidP="00937AFF">
            <w:pPr>
              <w:spacing w:before="0"/>
              <w:rPr>
                <w:caps/>
                <w:sz w:val="22"/>
              </w:rPr>
            </w:pPr>
            <w:r w:rsidRPr="0054172A">
              <w:rPr>
                <w:sz w:val="22"/>
              </w:rPr>
              <w:t>__________________</w:t>
            </w:r>
          </w:p>
          <w:p w14:paraId="3929F1E2" w14:textId="77777777" w:rsidR="00D72F49" w:rsidRPr="0054172A" w:rsidRDefault="00D72F49" w:rsidP="00796BDB">
            <w:pPr>
              <w:spacing w:before="160"/>
              <w:rPr>
                <w:b/>
                <w:bCs/>
                <w:sz w:val="26"/>
                <w:szCs w:val="26"/>
              </w:rPr>
            </w:pPr>
            <w:r w:rsidRPr="0054172A">
              <w:rPr>
                <w:b/>
                <w:bCs/>
                <w:sz w:val="26"/>
                <w:szCs w:val="26"/>
              </w:rPr>
              <w:t>Références</w:t>
            </w:r>
          </w:p>
          <w:p w14:paraId="19313090" w14:textId="70561442" w:rsidR="00D72F49" w:rsidRPr="00274194" w:rsidRDefault="00E7406E" w:rsidP="00937AFF">
            <w:pPr>
              <w:pStyle w:val="Referencetext"/>
              <w:framePr w:hSpace="0" w:wrap="auto" w:vAnchor="margin" w:hAnchor="text" w:xAlign="left" w:yAlign="inline"/>
              <w:jc w:val="both"/>
            </w:pPr>
            <w:hyperlink r:id="rId8" w:anchor="/fr" w:history="1">
              <w:r w:rsidRPr="00274194">
                <w:rPr>
                  <w:rStyle w:val="Hyperlink"/>
                  <w:rFonts w:eastAsia="Times New Roman" w:cs="Times New Roman"/>
                </w:rPr>
                <w:t>Site web du GTC-SMSI/ODD</w:t>
              </w:r>
            </w:hyperlink>
            <w:r w:rsidR="00E663EE" w:rsidRPr="00274194">
              <w:t>;</w:t>
            </w:r>
            <w:r w:rsidRPr="00274194">
              <w:t xml:space="preserve"> Résolutions </w:t>
            </w:r>
            <w:hyperlink r:id="rId9" w:history="1">
              <w:r w:rsidRPr="00274194">
                <w:rPr>
                  <w:rStyle w:val="Hyperlink"/>
                  <w:spacing w:val="-2"/>
                </w:rPr>
                <w:t>A/RES/70/125</w:t>
              </w:r>
            </w:hyperlink>
            <w:r w:rsidRPr="00274194">
              <w:rPr>
                <w:spacing w:val="-2"/>
              </w:rPr>
              <w:t xml:space="preserve">, </w:t>
            </w:r>
            <w:hyperlink r:id="rId10" w:history="1">
              <w:r w:rsidRPr="00274194">
                <w:rPr>
                  <w:rStyle w:val="Hyperlink"/>
                  <w:spacing w:val="-2"/>
                </w:rPr>
                <w:t>A/RES/70/1</w:t>
              </w:r>
            </w:hyperlink>
            <w:r w:rsidRPr="00274194">
              <w:rPr>
                <w:spacing w:val="-2"/>
              </w:rPr>
              <w:t xml:space="preserve">, </w:t>
            </w:r>
            <w:hyperlink r:id="rId11" w:tgtFrame="_blank" w:history="1">
              <w:r w:rsidRPr="00274194">
                <w:rPr>
                  <w:rStyle w:val="Hyperlink"/>
                  <w:spacing w:val="-2"/>
                </w:rPr>
                <w:t>A/RES/77/150</w:t>
              </w:r>
            </w:hyperlink>
            <w:r w:rsidRPr="00274194">
              <w:rPr>
                <w:spacing w:val="-2"/>
              </w:rPr>
              <w:t xml:space="preserve">, </w:t>
            </w:r>
            <w:hyperlink r:id="rId12" w:history="1">
              <w:r w:rsidRPr="00274194">
                <w:rPr>
                  <w:rStyle w:val="Hyperlink"/>
                  <w:spacing w:val="-2"/>
                </w:rPr>
                <w:t>A/RES/71/212</w:t>
              </w:r>
            </w:hyperlink>
            <w:r w:rsidRPr="00274194">
              <w:rPr>
                <w:spacing w:val="-2"/>
              </w:rPr>
              <w:t>,</w:t>
            </w:r>
            <w:r w:rsidRPr="00274194">
              <w:t xml:space="preserve"> </w:t>
            </w:r>
            <w:hyperlink r:id="rId13" w:history="1">
              <w:r w:rsidRPr="00274194">
                <w:rPr>
                  <w:rStyle w:val="Hyperlink"/>
                </w:rPr>
                <w:t>A/RES/70/299</w:t>
              </w:r>
            </w:hyperlink>
            <w:r w:rsidRPr="00274194">
              <w:t xml:space="preserve">, </w:t>
            </w:r>
            <w:hyperlink r:id="rId14" w:history="1">
              <w:r w:rsidRPr="00274194">
                <w:rPr>
                  <w:rStyle w:val="Hyperlink"/>
                </w:rPr>
                <w:t>A/RES/70/684</w:t>
              </w:r>
            </w:hyperlink>
            <w:r w:rsidRPr="00274194">
              <w:t xml:space="preserve">, </w:t>
            </w:r>
            <w:hyperlink r:id="rId15" w:history="1">
              <w:r w:rsidRPr="00274194">
                <w:rPr>
                  <w:rStyle w:val="Hyperlink"/>
                </w:rPr>
                <w:t>A/RES/73/218</w:t>
              </w:r>
            </w:hyperlink>
            <w:r w:rsidR="00E663EE" w:rsidRPr="00274194">
              <w:t>,</w:t>
            </w:r>
            <w:r w:rsidRPr="00274194">
              <w:t xml:space="preserve"> </w:t>
            </w:r>
            <w:hyperlink r:id="rId16" w:history="1">
              <w:r w:rsidRPr="00274194">
                <w:rPr>
                  <w:rStyle w:val="Hyperlink"/>
                  <w:rFonts w:cs="Calibri"/>
                  <w:lang w:eastAsia="en-GB"/>
                </w:rPr>
                <w:t>A/RES/79/277</w:t>
              </w:r>
            </w:hyperlink>
            <w:r w:rsidR="00E663EE" w:rsidRPr="00274194">
              <w:rPr>
                <w:rFonts w:cs="Calibri"/>
                <w:lang w:eastAsia="en-GB"/>
              </w:rPr>
              <w:t>,</w:t>
            </w:r>
            <w:r w:rsidRPr="00274194">
              <w:t xml:space="preserve"> </w:t>
            </w:r>
            <w:hyperlink r:id="rId17" w:history="1">
              <w:r w:rsidRPr="00274194">
                <w:rPr>
                  <w:rStyle w:val="Hyperlink"/>
                </w:rPr>
                <w:t>A/RES/80/173</w:t>
              </w:r>
            </w:hyperlink>
            <w:r w:rsidRPr="00274194">
              <w:t xml:space="preserve"> de l'Assemblée générale de l'ONU; Résolution </w:t>
            </w:r>
            <w:hyperlink r:id="rId18" w:history="1">
              <w:r w:rsidRPr="00274194">
                <w:rPr>
                  <w:rStyle w:val="Hyperlink"/>
                  <w:spacing w:val="-2"/>
                </w:rPr>
                <w:t>E/RES/2025/18</w:t>
              </w:r>
            </w:hyperlink>
            <w:r w:rsidRPr="00274194">
              <w:t xml:space="preserve"> du Conseil économique et social</w:t>
            </w:r>
            <w:r w:rsidR="000979E8" w:rsidRPr="00274194">
              <w:t> </w:t>
            </w:r>
            <w:r w:rsidRPr="00274194">
              <w:t>de l'ONU;</w:t>
            </w:r>
            <w:r w:rsidRPr="00274194">
              <w:rPr>
                <w:spacing w:val="-2"/>
              </w:rPr>
              <w:t xml:space="preserve"> Résolutions </w:t>
            </w:r>
            <w:hyperlink r:id="rId19" w:history="1">
              <w:r w:rsidRPr="00274194">
                <w:rPr>
                  <w:rStyle w:val="Hyperlink"/>
                  <w:spacing w:val="-2"/>
                </w:rPr>
                <w:t xml:space="preserve">140 </w:t>
              </w:r>
              <w:r w:rsidRPr="00274194">
                <w:rPr>
                  <w:rStyle w:val="Hyperlink"/>
                  <w:color w:val="auto"/>
                  <w:spacing w:val="-2"/>
                </w:rPr>
                <w:t>(Rév. Bucarest, 2022)</w:t>
              </w:r>
            </w:hyperlink>
            <w:r w:rsidRPr="00274194">
              <w:rPr>
                <w:spacing w:val="-2"/>
              </w:rPr>
              <w:t xml:space="preserve">, </w:t>
            </w:r>
            <w:hyperlink r:id="rId20" w:history="1">
              <w:r w:rsidRPr="00274194">
                <w:rPr>
                  <w:rStyle w:val="Hyperlink"/>
                  <w:spacing w:val="-2"/>
                </w:rPr>
                <w:t xml:space="preserve">172 </w:t>
              </w:r>
              <w:r w:rsidRPr="00274194">
                <w:rPr>
                  <w:rStyle w:val="Hyperlink"/>
                  <w:color w:val="auto"/>
                  <w:spacing w:val="-2"/>
                </w:rPr>
                <w:t>(Rév. Guadalajara, 2010)</w:t>
              </w:r>
            </w:hyperlink>
            <w:r w:rsidRPr="00274194">
              <w:rPr>
                <w:spacing w:val="-2"/>
              </w:rPr>
              <w:t xml:space="preserve">, </w:t>
            </w:r>
            <w:hyperlink r:id="rId21" w:history="1">
              <w:r w:rsidRPr="00274194">
                <w:rPr>
                  <w:rStyle w:val="Hyperlink"/>
                  <w:spacing w:val="-2"/>
                </w:rPr>
                <w:t>71</w:t>
              </w:r>
              <w:r w:rsidR="000979E8" w:rsidRPr="00274194">
                <w:rPr>
                  <w:rStyle w:val="Hyperlink"/>
                  <w:color w:val="auto"/>
                  <w:spacing w:val="-2"/>
                </w:rPr>
                <w:t> </w:t>
              </w:r>
              <w:r w:rsidRPr="00274194">
                <w:rPr>
                  <w:rStyle w:val="Hyperlink"/>
                  <w:color w:val="auto"/>
                  <w:spacing w:val="-2"/>
                </w:rPr>
                <w:t>(Rév.</w:t>
              </w:r>
              <w:r w:rsidR="000979E8" w:rsidRPr="00274194">
                <w:rPr>
                  <w:rStyle w:val="Hyperlink"/>
                  <w:color w:val="auto"/>
                  <w:spacing w:val="-2"/>
                </w:rPr>
                <w:t> </w:t>
              </w:r>
              <w:r w:rsidRPr="00274194">
                <w:rPr>
                  <w:rStyle w:val="Hyperlink"/>
                  <w:color w:val="auto"/>
                  <w:spacing w:val="-2"/>
                </w:rPr>
                <w:t>Bucarest 2022)</w:t>
              </w:r>
            </w:hyperlink>
            <w:r w:rsidRPr="00274194">
              <w:t xml:space="preserve"> de la Conférence de plénipotentiaires; Résolutions </w:t>
            </w:r>
            <w:hyperlink r:id="rId22" w:history="1">
              <w:r w:rsidRPr="00274194">
                <w:rPr>
                  <w:rStyle w:val="Hyperlink"/>
                </w:rPr>
                <w:t xml:space="preserve">1332 </w:t>
              </w:r>
              <w:r w:rsidRPr="00274194">
                <w:rPr>
                  <w:rStyle w:val="Hyperlink"/>
                  <w:color w:val="auto"/>
                </w:rPr>
                <w:t>(Mod. 2024)</w:t>
              </w:r>
            </w:hyperlink>
            <w:r w:rsidRPr="00274194">
              <w:t xml:space="preserve">, </w:t>
            </w:r>
            <w:hyperlink r:id="rId23" w:history="1">
              <w:r w:rsidRPr="00274194">
                <w:rPr>
                  <w:rStyle w:val="Hyperlink"/>
                </w:rPr>
                <w:t>1334</w:t>
              </w:r>
              <w:r w:rsidR="000979E8" w:rsidRPr="00274194">
                <w:rPr>
                  <w:rStyle w:val="Hyperlink"/>
                </w:rPr>
                <w:t> </w:t>
              </w:r>
              <w:r w:rsidRPr="00274194">
                <w:rPr>
                  <w:rStyle w:val="Hyperlink"/>
                  <w:color w:val="auto"/>
                </w:rPr>
                <w:t>(Mod. 2023)</w:t>
              </w:r>
            </w:hyperlink>
            <w:r w:rsidRPr="00274194">
              <w:t xml:space="preserve"> du Conseil; </w:t>
            </w:r>
            <w:r w:rsidRPr="00274194">
              <w:rPr>
                <w:spacing w:val="-2"/>
              </w:rPr>
              <w:t xml:space="preserve">Résolution </w:t>
            </w:r>
            <w:hyperlink r:id="rId24" w:history="1">
              <w:r w:rsidRPr="00274194">
                <w:rPr>
                  <w:rStyle w:val="Hyperlink"/>
                  <w:spacing w:val="-2"/>
                </w:rPr>
                <w:t>30</w:t>
              </w:r>
              <w:r w:rsidRPr="00274194">
                <w:rPr>
                  <w:rStyle w:val="Hyperlink"/>
                  <w:color w:val="auto"/>
                  <w:spacing w:val="-2"/>
                </w:rPr>
                <w:t xml:space="preserve"> (Rév.</w:t>
              </w:r>
              <w:r w:rsidR="006A3C5C" w:rsidRPr="00274194">
                <w:rPr>
                  <w:rStyle w:val="Hyperlink"/>
                  <w:color w:val="auto"/>
                  <w:spacing w:val="-2"/>
                </w:rPr>
                <w:t> </w:t>
              </w:r>
              <w:r w:rsidRPr="00274194">
                <w:rPr>
                  <w:rStyle w:val="Hyperlink"/>
                  <w:color w:val="auto"/>
                  <w:spacing w:val="-2"/>
                </w:rPr>
                <w:t>Bakou, 2025)</w:t>
              </w:r>
            </w:hyperlink>
            <w:r w:rsidRPr="00274194">
              <w:rPr>
                <w:spacing w:val="-2"/>
              </w:rPr>
              <w:t xml:space="preserve"> de la </w:t>
            </w:r>
            <w:proofErr w:type="gramStart"/>
            <w:r w:rsidRPr="00274194">
              <w:rPr>
                <w:spacing w:val="-2"/>
              </w:rPr>
              <w:t>CMDT;</w:t>
            </w:r>
            <w:proofErr w:type="gramEnd"/>
            <w:r w:rsidRPr="00274194">
              <w:rPr>
                <w:spacing w:val="-2"/>
              </w:rPr>
              <w:t xml:space="preserve"> Résolution </w:t>
            </w:r>
            <w:hyperlink r:id="rId25" w:history="1">
              <w:r w:rsidRPr="00274194">
                <w:rPr>
                  <w:rStyle w:val="Hyperlink"/>
                  <w:spacing w:val="-2"/>
                </w:rPr>
                <w:t>75</w:t>
              </w:r>
              <w:r w:rsidRPr="00274194">
                <w:rPr>
                  <w:rStyle w:val="Hyperlink"/>
                  <w:color w:val="auto"/>
                  <w:spacing w:val="-2"/>
                </w:rPr>
                <w:t xml:space="preserve"> (Rév. Genève, 2022)</w:t>
              </w:r>
            </w:hyperlink>
            <w:r w:rsidRPr="00274194">
              <w:rPr>
                <w:spacing w:val="-2"/>
              </w:rPr>
              <w:t xml:space="preserve"> de </w:t>
            </w:r>
            <w:proofErr w:type="gramStart"/>
            <w:r w:rsidRPr="00274194">
              <w:rPr>
                <w:spacing w:val="-2"/>
              </w:rPr>
              <w:t>l'AMNT;</w:t>
            </w:r>
            <w:proofErr w:type="gramEnd"/>
            <w:r w:rsidRPr="00274194">
              <w:rPr>
                <w:spacing w:val="-2"/>
              </w:rPr>
              <w:t xml:space="preserve"> </w:t>
            </w:r>
            <w:r w:rsidRPr="00274194">
              <w:rPr>
                <w:rFonts w:eastAsia="Calibri" w:cs="Calibri"/>
                <w:spacing w:val="-2"/>
              </w:rPr>
              <w:t xml:space="preserve">Résolution </w:t>
            </w:r>
            <w:hyperlink r:id="rId26">
              <w:r w:rsidRPr="00274194">
                <w:rPr>
                  <w:rStyle w:val="Hyperlink"/>
                  <w:rFonts w:eastAsia="Calibri" w:cs="Calibri"/>
                  <w:spacing w:val="-2"/>
                </w:rPr>
                <w:t xml:space="preserve">UIT-R 61-3 </w:t>
              </w:r>
              <w:r w:rsidRPr="00274194">
                <w:rPr>
                  <w:rStyle w:val="Hyperlink"/>
                  <w:rFonts w:eastAsia="Calibri" w:cs="Calibri"/>
                  <w:color w:val="auto"/>
                  <w:spacing w:val="-2"/>
                </w:rPr>
                <w:t>(Rév. Dubaï, 2023)</w:t>
              </w:r>
            </w:hyperlink>
            <w:r w:rsidRPr="00274194">
              <w:t xml:space="preserve">; </w:t>
            </w:r>
            <w:hyperlink r:id="rId27" w:tgtFrame="_blank" w:history="1">
              <w:r w:rsidRPr="00274194">
                <w:rPr>
                  <w:rStyle w:val="Hyperlink"/>
                </w:rPr>
                <w:t>Déclaration du SMSI+10 sur la mise en œuvre des résultats du SMSI</w:t>
              </w:r>
            </w:hyperlink>
            <w:r w:rsidRPr="00274194">
              <w:t xml:space="preserve">; </w:t>
            </w:r>
            <w:hyperlink r:id="rId28" w:tgtFrame="_blank" w:history="1">
              <w:r w:rsidRPr="00274194">
                <w:rPr>
                  <w:rStyle w:val="Hyperlink"/>
                </w:rPr>
                <w:t>Vision du SMSI+10 pour l'après-2015</w:t>
              </w:r>
            </w:hyperlink>
            <w:r w:rsidRPr="00274194">
              <w:t xml:space="preserve">; </w:t>
            </w:r>
            <w:hyperlink r:id="rId29" w:tgtFrame="_blank" w:history="1">
              <w:r w:rsidRPr="00274194">
                <w:rPr>
                  <w:rStyle w:val="Hyperlink"/>
                </w:rPr>
                <w:t>Examen final des cibles du SMSI</w:t>
              </w:r>
            </w:hyperlink>
            <w:r w:rsidRPr="00274194">
              <w:t xml:space="preserve">; </w:t>
            </w:r>
            <w:hyperlink r:id="rId30" w:tgtFrame="_blank" w:history="1">
              <w:r w:rsidR="00195631" w:rsidRPr="00274194">
                <w:rPr>
                  <w:rStyle w:val="Hyperlink"/>
                  <w:color w:val="auto"/>
                </w:rPr>
                <w:t>Rapport SMSI+10: Contribution de l'UIT sur dix ans à la mise en œuvre et au suivi des résultats du SMSI (2005-2014)</w:t>
              </w:r>
            </w:hyperlink>
            <w:r w:rsidR="00195631" w:rsidRPr="00274194">
              <w:rPr>
                <w:rStyle w:val="Hyperlink"/>
                <w:color w:val="auto"/>
              </w:rPr>
              <w:t xml:space="preserve">; </w:t>
            </w:r>
            <w:hyperlink r:id="rId31" w:history="1">
              <w:r w:rsidRPr="00274194">
                <w:rPr>
                  <w:rStyle w:val="Hyperlink"/>
                </w:rPr>
                <w:t>Feuille de route pour les activités de l'UIT visant à contribuer à la réalisation du Programme de développement durable à l'horizon</w:t>
              </w:r>
              <w:r w:rsidR="00E663EE" w:rsidRPr="00274194">
                <w:rPr>
                  <w:rStyle w:val="Hyperlink"/>
                </w:rPr>
                <w:t> </w:t>
              </w:r>
              <w:r w:rsidRPr="00274194">
                <w:rPr>
                  <w:rStyle w:val="Hyperlink"/>
                </w:rPr>
                <w:t>2030</w:t>
              </w:r>
            </w:hyperlink>
            <w:r w:rsidRPr="00274194">
              <w:t xml:space="preserve">; </w:t>
            </w:r>
            <w:hyperlink r:id="rId32" w:history="1">
              <w:r w:rsidRPr="00274194">
                <w:rPr>
                  <w:rStyle w:val="Hyperlink"/>
                </w:rPr>
                <w:t>Sommet mondial sur la société de l'information (SMSI)+20: le SMSI après</w:t>
              </w:r>
              <w:r w:rsidR="00E663EE" w:rsidRPr="00274194">
                <w:rPr>
                  <w:rStyle w:val="Hyperlink"/>
                </w:rPr>
                <w:t> </w:t>
              </w:r>
              <w:r w:rsidRPr="00274194">
                <w:rPr>
                  <w:rStyle w:val="Hyperlink"/>
                </w:rPr>
                <w:t>2025</w:t>
              </w:r>
              <w:r w:rsidR="00E663EE" w:rsidRPr="00274194">
                <w:rPr>
                  <w:rStyle w:val="Hyperlink"/>
                </w:rPr>
                <w:t> </w:t>
              </w:r>
              <w:r w:rsidRPr="00274194">
                <w:rPr>
                  <w:rStyle w:val="Hyperlink"/>
                </w:rPr>
                <w:t>– Feuille de route pour le SMSI+20</w:t>
              </w:r>
              <w:r w:rsidRPr="00274194">
                <w:t xml:space="preserve">; </w:t>
              </w:r>
            </w:hyperlink>
            <w:hyperlink r:id="rId33" w:history="1">
              <w:r w:rsidRPr="00274194">
                <w:rPr>
                  <w:rStyle w:val="Hyperlink"/>
                </w:rPr>
                <w:t>Rapport sur le SMSI+20 "Bâtir un avenir numérique pour tous"</w:t>
              </w:r>
            </w:hyperlink>
            <w:r w:rsidRPr="00274194">
              <w:t xml:space="preserve">; </w:t>
            </w:r>
            <w:hyperlink r:id="rId34" w:history="1">
              <w:r w:rsidRPr="00274194">
                <w:rPr>
                  <w:rStyle w:val="Hyperlink"/>
                </w:rPr>
                <w:t>Résultats finals du Sommet de l'avenir</w:t>
              </w:r>
            </w:hyperlink>
            <w:r w:rsidRPr="00274194">
              <w:t xml:space="preserve">; </w:t>
            </w:r>
            <w:hyperlink r:id="rId35" w:history="1">
              <w:r w:rsidRPr="00274194">
                <w:rPr>
                  <w:rStyle w:val="Hyperlink"/>
                </w:rPr>
                <w:t>Commission de la science et</w:t>
              </w:r>
              <w:r w:rsidR="000979E8" w:rsidRPr="00274194">
                <w:rPr>
                  <w:rStyle w:val="Hyperlink"/>
                </w:rPr>
                <w:t> </w:t>
              </w:r>
              <w:r w:rsidRPr="00274194">
                <w:rPr>
                  <w:rStyle w:val="Hyperlink"/>
                </w:rPr>
                <w:t>de</w:t>
              </w:r>
              <w:r w:rsidR="000979E8" w:rsidRPr="00274194">
                <w:rPr>
                  <w:rStyle w:val="Hyperlink"/>
                </w:rPr>
                <w:t> </w:t>
              </w:r>
              <w:r w:rsidRPr="00274194">
                <w:rPr>
                  <w:rStyle w:val="Hyperlink"/>
                </w:rPr>
                <w:t>la technique au service du développement: R</w:t>
              </w:r>
              <w:r w:rsidR="000979E8" w:rsidRPr="00274194">
                <w:rPr>
                  <w:rStyle w:val="Hyperlink"/>
                </w:rPr>
                <w:t>apport</w:t>
              </w:r>
              <w:r w:rsidRPr="00274194">
                <w:rPr>
                  <w:rStyle w:val="Hyperlink"/>
                </w:rPr>
                <w:t xml:space="preserve"> sur les travaux de la vingt</w:t>
              </w:r>
              <w:r w:rsidR="000979E8" w:rsidRPr="00274194">
                <w:rPr>
                  <w:rStyle w:val="Hyperlink"/>
                </w:rPr>
                <w:noBreakHyphen/>
              </w:r>
              <w:r w:rsidRPr="00274194">
                <w:rPr>
                  <w:rStyle w:val="Hyperlink"/>
                </w:rPr>
                <w:t>huitième</w:t>
              </w:r>
              <w:r w:rsidR="000979E8" w:rsidRPr="00274194">
                <w:rPr>
                  <w:rStyle w:val="Hyperlink"/>
                </w:rPr>
                <w:t> </w:t>
              </w:r>
              <w:r w:rsidRPr="00274194">
                <w:rPr>
                  <w:rStyle w:val="Hyperlink"/>
                </w:rPr>
                <w:t>session (7-11 avril 2025)</w:t>
              </w:r>
            </w:hyperlink>
            <w:r w:rsidRPr="00274194">
              <w:t xml:space="preserve">; </w:t>
            </w:r>
            <w:hyperlink r:id="rId36" w:history="1">
              <w:r w:rsidRPr="00274194">
                <w:rPr>
                  <w:rStyle w:val="Hyperlink"/>
                </w:rPr>
                <w:t>Avant-projet de document adopté à l'issue du</w:t>
              </w:r>
              <w:r w:rsidR="000979E8" w:rsidRPr="00274194">
                <w:rPr>
                  <w:rStyle w:val="Hyperlink"/>
                </w:rPr>
                <w:t> </w:t>
              </w:r>
              <w:r w:rsidRPr="00274194">
                <w:rPr>
                  <w:rStyle w:val="Hyperlink"/>
                </w:rPr>
                <w:t>SMSI+20</w:t>
              </w:r>
            </w:hyperlink>
            <w:r w:rsidRPr="00274194">
              <w:t>;</w:t>
            </w:r>
            <w:r w:rsidRPr="00274194">
              <w:rPr>
                <w:rStyle w:val="Hyperlink"/>
              </w:rPr>
              <w:t xml:space="preserve"> </w:t>
            </w:r>
            <w:hyperlink r:id="rId37" w:history="1">
              <w:r w:rsidRPr="00274194">
                <w:rPr>
                  <w:rStyle w:val="Hyperlink"/>
                </w:rPr>
                <w:t>Forum du</w:t>
              </w:r>
              <w:r w:rsidR="000979E8" w:rsidRPr="00274194">
                <w:rPr>
                  <w:rStyle w:val="Hyperlink"/>
                </w:rPr>
                <w:t> </w:t>
              </w:r>
              <w:r w:rsidRPr="00274194">
                <w:rPr>
                  <w:rStyle w:val="Hyperlink"/>
                </w:rPr>
                <w:t>SMSI</w:t>
              </w:r>
            </w:hyperlink>
          </w:p>
        </w:tc>
      </w:tr>
    </w:tbl>
    <w:p w14:paraId="6F8DA527" w14:textId="77777777" w:rsidR="00A51849" w:rsidRPr="00937AFF" w:rsidRDefault="00A51849">
      <w:pPr>
        <w:tabs>
          <w:tab w:val="clear" w:pos="567"/>
          <w:tab w:val="clear" w:pos="1134"/>
          <w:tab w:val="clear" w:pos="1701"/>
          <w:tab w:val="clear" w:pos="2268"/>
          <w:tab w:val="clear" w:pos="2835"/>
        </w:tabs>
        <w:overflowPunct/>
        <w:autoSpaceDE/>
        <w:autoSpaceDN/>
        <w:adjustRightInd/>
        <w:spacing w:before="0"/>
        <w:textAlignment w:val="auto"/>
        <w:rPr>
          <w:sz w:val="10"/>
          <w:szCs w:val="10"/>
        </w:rPr>
      </w:pPr>
      <w:r w:rsidRPr="00937AFF">
        <w:rPr>
          <w:sz w:val="10"/>
          <w:szCs w:val="10"/>
        </w:rPr>
        <w:br w:type="page"/>
      </w:r>
    </w:p>
    <w:p w14:paraId="7EC0ADA3" w14:textId="3AA9C982" w:rsidR="006A11AE" w:rsidRPr="0054172A" w:rsidRDefault="00047CEB" w:rsidP="00047CEB">
      <w:pPr>
        <w:pStyle w:val="Heading1"/>
      </w:pPr>
      <w:r w:rsidRPr="0054172A">
        <w:lastRenderedPageBreak/>
        <w:t>I</w:t>
      </w:r>
      <w:r w:rsidR="003F25E0" w:rsidRPr="0054172A">
        <w:tab/>
        <w:t>Informations générales concernant la réunion de haut niveau de l'Assemblée générale des Nations Unies sur l'examen d'ensemble de la mise en œuvre des textes issus du Sommet mondial sur la société de l'information (SMSI+20)</w:t>
      </w:r>
    </w:p>
    <w:p w14:paraId="018D0FEA" w14:textId="01631332" w:rsidR="003F25E0" w:rsidRPr="0054172A" w:rsidRDefault="003F25E0" w:rsidP="00E65F8D">
      <w:pPr>
        <w:jc w:val="both"/>
      </w:pPr>
      <w:r w:rsidRPr="0054172A">
        <w:rPr>
          <w:lang w:eastAsia="en-GB"/>
        </w:rPr>
        <w:t>Conformément à ses Résolutions intitulées "</w:t>
      </w:r>
      <w:hyperlink r:id="rId38" w:history="1">
        <w:r w:rsidRPr="0054172A">
          <w:rPr>
            <w:rStyle w:val="Hyperlink"/>
          </w:rPr>
          <w:t>Document final de la réunion de haut niveau</w:t>
        </w:r>
      </w:hyperlink>
      <w:r w:rsidRPr="0054172A">
        <w:rPr>
          <w:lang w:eastAsia="en-GB"/>
        </w:rPr>
        <w:t xml:space="preserve"> de l</w:t>
      </w:r>
      <w:r w:rsidR="000A4706" w:rsidRPr="0054172A">
        <w:rPr>
          <w:lang w:eastAsia="en-GB"/>
        </w:rPr>
        <w:t>'</w:t>
      </w:r>
      <w:r w:rsidRPr="0054172A">
        <w:rPr>
          <w:lang w:eastAsia="en-GB"/>
        </w:rPr>
        <w:t>Assemblée générale sur l</w:t>
      </w:r>
      <w:r w:rsidR="000A4706" w:rsidRPr="0054172A">
        <w:rPr>
          <w:lang w:eastAsia="en-GB"/>
        </w:rPr>
        <w:t>'</w:t>
      </w:r>
      <w:r w:rsidRPr="0054172A">
        <w:rPr>
          <w:lang w:eastAsia="en-GB"/>
        </w:rPr>
        <w:t>examen d</w:t>
      </w:r>
      <w:r w:rsidR="000A4706" w:rsidRPr="0054172A">
        <w:rPr>
          <w:lang w:eastAsia="en-GB"/>
        </w:rPr>
        <w:t>'</w:t>
      </w:r>
      <w:r w:rsidRPr="0054172A">
        <w:rPr>
          <w:lang w:eastAsia="en-GB"/>
        </w:rPr>
        <w:t>ensemble de la mise en œuvre des textes issus du Sommet mondial sur la société de l</w:t>
      </w:r>
      <w:r w:rsidR="000A4706" w:rsidRPr="0054172A">
        <w:rPr>
          <w:lang w:eastAsia="en-GB"/>
        </w:rPr>
        <w:t>'</w:t>
      </w:r>
      <w:r w:rsidRPr="0054172A">
        <w:rPr>
          <w:lang w:eastAsia="en-GB"/>
        </w:rPr>
        <w:t>information" (</w:t>
      </w:r>
      <w:hyperlink r:id="rId39" w:history="1">
        <w:r w:rsidR="003C491A" w:rsidRPr="0054172A">
          <w:rPr>
            <w:rStyle w:val="Hyperlink"/>
          </w:rPr>
          <w:t>A/RES/70/125</w:t>
        </w:r>
      </w:hyperlink>
      <w:r w:rsidR="003C491A" w:rsidRPr="0054172A">
        <w:rPr>
          <w:lang w:eastAsia="en-GB"/>
        </w:rPr>
        <w:t>) e</w:t>
      </w:r>
      <w:r w:rsidRPr="0054172A">
        <w:rPr>
          <w:lang w:eastAsia="en-GB"/>
        </w:rPr>
        <w:t>t "Modalités de l</w:t>
      </w:r>
      <w:r w:rsidR="000A4706" w:rsidRPr="0054172A">
        <w:rPr>
          <w:lang w:eastAsia="en-GB"/>
        </w:rPr>
        <w:t>'</w:t>
      </w:r>
      <w:r w:rsidRPr="0054172A">
        <w:rPr>
          <w:lang w:eastAsia="en-GB"/>
        </w:rPr>
        <w:t>examen d</w:t>
      </w:r>
      <w:r w:rsidR="000A4706" w:rsidRPr="0054172A">
        <w:rPr>
          <w:lang w:eastAsia="en-GB"/>
        </w:rPr>
        <w:t>'</w:t>
      </w:r>
      <w:r w:rsidRPr="0054172A">
        <w:rPr>
          <w:lang w:eastAsia="en-GB"/>
        </w:rPr>
        <w:t>ensemble par l</w:t>
      </w:r>
      <w:r w:rsidR="000A4706" w:rsidRPr="0054172A">
        <w:rPr>
          <w:lang w:eastAsia="en-GB"/>
        </w:rPr>
        <w:t>'</w:t>
      </w:r>
      <w:r w:rsidRPr="0054172A">
        <w:rPr>
          <w:lang w:eastAsia="en-GB"/>
        </w:rPr>
        <w:t>Assemblée générale de la mise en œuvre des textes issus du Sommet</w:t>
      </w:r>
      <w:r w:rsidR="003C491A" w:rsidRPr="0054172A">
        <w:rPr>
          <w:lang w:eastAsia="en-GB"/>
        </w:rPr>
        <w:t> </w:t>
      </w:r>
      <w:r w:rsidRPr="0054172A">
        <w:rPr>
          <w:lang w:eastAsia="en-GB"/>
        </w:rPr>
        <w:t>mondial sur la société de l</w:t>
      </w:r>
      <w:r w:rsidR="000A4706" w:rsidRPr="0054172A">
        <w:rPr>
          <w:lang w:eastAsia="en-GB"/>
        </w:rPr>
        <w:t>'</w:t>
      </w:r>
      <w:r w:rsidRPr="0054172A">
        <w:rPr>
          <w:lang w:eastAsia="en-GB"/>
        </w:rPr>
        <w:t xml:space="preserve">information" </w:t>
      </w:r>
      <w:r w:rsidRPr="0054172A">
        <w:rPr>
          <w:rStyle w:val="Hyperlink"/>
          <w:rFonts w:eastAsia="Times New Roman" w:cs="Calibri"/>
          <w:color w:val="auto"/>
          <w:szCs w:val="20"/>
        </w:rPr>
        <w:t>(</w:t>
      </w:r>
      <w:hyperlink r:id="rId40" w:history="1">
        <w:r w:rsidRPr="0054172A">
          <w:rPr>
            <w:rStyle w:val="Hyperlink"/>
            <w:rFonts w:eastAsia="Times New Roman" w:cs="Calibri"/>
            <w:szCs w:val="20"/>
          </w:rPr>
          <w:t>A/RES/79/277</w:t>
        </w:r>
      </w:hyperlink>
      <w:r w:rsidRPr="0054172A">
        <w:rPr>
          <w:rStyle w:val="Hyperlink"/>
          <w:rFonts w:eastAsia="Times New Roman" w:cs="Calibri"/>
          <w:color w:val="auto"/>
          <w:szCs w:val="20"/>
        </w:rPr>
        <w:t>),</w:t>
      </w:r>
      <w:r w:rsidRPr="0054172A">
        <w:rPr>
          <w:lang w:eastAsia="en-GB"/>
        </w:rPr>
        <w:t xml:space="preserve"> l'Assemblée générale des Nations</w:t>
      </w:r>
      <w:r w:rsidR="003C491A" w:rsidRPr="0054172A">
        <w:rPr>
          <w:lang w:eastAsia="en-GB"/>
        </w:rPr>
        <w:t> </w:t>
      </w:r>
      <w:r w:rsidRPr="0054172A">
        <w:rPr>
          <w:lang w:eastAsia="en-GB"/>
        </w:rPr>
        <w:t>Unies a tenu une réunion de haut niveau sur l'examen d'ensemble du SMSI+20, les</w:t>
      </w:r>
      <w:r w:rsidR="003C491A" w:rsidRPr="0054172A">
        <w:rPr>
          <w:lang w:eastAsia="en-GB"/>
        </w:rPr>
        <w:t> </w:t>
      </w:r>
      <w:r w:rsidRPr="0054172A">
        <w:rPr>
          <w:lang w:eastAsia="en-GB"/>
        </w:rPr>
        <w:t>16 et 17</w:t>
      </w:r>
      <w:r w:rsidR="0096009E" w:rsidRPr="0054172A">
        <w:rPr>
          <w:lang w:eastAsia="en-GB"/>
        </w:rPr>
        <w:t> </w:t>
      </w:r>
      <w:r w:rsidRPr="0054172A">
        <w:rPr>
          <w:lang w:eastAsia="en-GB"/>
        </w:rPr>
        <w:t>décembre 2025.</w:t>
      </w:r>
    </w:p>
    <w:p w14:paraId="27A06CE2" w14:textId="373C4EB5" w:rsidR="003F25E0" w:rsidRPr="00E03D26" w:rsidRDefault="003F25E0" w:rsidP="00E65F8D">
      <w:pPr>
        <w:jc w:val="both"/>
        <w:rPr>
          <w:spacing w:val="-2"/>
          <w:lang w:eastAsia="en-GB"/>
        </w:rPr>
      </w:pPr>
      <w:r w:rsidRPr="00E03D26">
        <w:rPr>
          <w:spacing w:val="-2"/>
          <w:lang w:eastAsia="en-GB"/>
        </w:rPr>
        <w:t xml:space="preserve">Cette réunion a marqué le vingtième anniversaire de l'adoption de la </w:t>
      </w:r>
      <w:hyperlink r:id="rId41" w:history="1">
        <w:r w:rsidRPr="00E03D26">
          <w:rPr>
            <w:rStyle w:val="Hyperlink"/>
            <w:rFonts w:eastAsia="Times New Roman" w:cs="Times New Roman"/>
            <w:spacing w:val="-2"/>
            <w:szCs w:val="20"/>
            <w:lang w:eastAsia="en-GB"/>
          </w:rPr>
          <w:t>Déclaration de principes et du Plan d'action lors de la phase de Genève (2003)</w:t>
        </w:r>
      </w:hyperlink>
      <w:r w:rsidRPr="00E03D26">
        <w:rPr>
          <w:spacing w:val="-2"/>
          <w:lang w:eastAsia="en-GB"/>
        </w:rPr>
        <w:t xml:space="preserve"> et de l'</w:t>
      </w:r>
      <w:hyperlink r:id="rId42" w:history="1">
        <w:r w:rsidR="003C491A" w:rsidRPr="00E03D26">
          <w:rPr>
            <w:rStyle w:val="Hyperlink"/>
            <w:spacing w:val="-2"/>
          </w:rPr>
          <w:t>Agenda de Tunis pour la société de l'information (2005)</w:t>
        </w:r>
      </w:hyperlink>
      <w:r w:rsidR="003C491A" w:rsidRPr="00E03D26">
        <w:rPr>
          <w:rStyle w:val="Hyperlink"/>
          <w:rFonts w:eastAsia="Times New Roman" w:cs="Times New Roman"/>
          <w:color w:val="auto"/>
          <w:spacing w:val="-2"/>
          <w:szCs w:val="20"/>
          <w:lang w:eastAsia="en-GB"/>
        </w:rPr>
        <w:t>,</w:t>
      </w:r>
      <w:r w:rsidRPr="00E03D26">
        <w:rPr>
          <w:spacing w:val="-2"/>
          <w:lang w:eastAsia="en-GB"/>
        </w:rPr>
        <w:t xml:space="preserve"> offrant aux États Membres et aux parties prenantes une occasion déterminante d'évaluer les progrès accomplis, de recenser les lacunes persistantes et de fixer les priorités pour la prochaine étape en matière de coopération mondiale dans le domaine du numérique. Rassemblant des représentants des États Membres, des entités des Nations Unies, d'organisations internationales et régionales et de la communauté multi</w:t>
      </w:r>
      <w:r w:rsidR="00CE2BA1" w:rsidRPr="00E03D26">
        <w:rPr>
          <w:spacing w:val="-2"/>
          <w:lang w:eastAsia="en-GB"/>
        </w:rPr>
        <w:noBreakHyphen/>
      </w:r>
      <w:r w:rsidRPr="00E03D26">
        <w:rPr>
          <w:spacing w:val="-2"/>
          <w:lang w:eastAsia="en-GB"/>
        </w:rPr>
        <w:t>partie</w:t>
      </w:r>
      <w:r w:rsidR="00BA480A" w:rsidRPr="00E03D26">
        <w:rPr>
          <w:spacing w:val="-2"/>
          <w:lang w:eastAsia="en-GB"/>
        </w:rPr>
        <w:t>s</w:t>
      </w:r>
      <w:r w:rsidRPr="00E03D26">
        <w:rPr>
          <w:spacing w:val="-2"/>
          <w:lang w:eastAsia="en-GB"/>
        </w:rPr>
        <w:t xml:space="preserve"> prenantes du SMSI (comprenant des acteurs du secteur privé, de la société civile, des milieux techniques et universitaires et de la jeunesse), cette réunion a mis en lumière la nature inclusive et collaborative de l'action menée à l'échelle internationale autour de la société de l'information</w:t>
      </w:r>
      <w:r w:rsidR="00BA480A" w:rsidRPr="00E03D26">
        <w:rPr>
          <w:rFonts w:cs="Calibri"/>
          <w:spacing w:val="-2"/>
          <w:position w:val="6"/>
          <w:sz w:val="16"/>
          <w:lang w:eastAsia="en-GB"/>
        </w:rPr>
        <w:footnoteReference w:id="1"/>
      </w:r>
      <w:r w:rsidRPr="00E03D26">
        <w:rPr>
          <w:spacing w:val="-2"/>
          <w:lang w:eastAsia="en-GB"/>
        </w:rPr>
        <w:t>.</w:t>
      </w:r>
    </w:p>
    <w:p w14:paraId="507DF13E" w14:textId="77777777" w:rsidR="003F25E0" w:rsidRPr="0054172A" w:rsidRDefault="003F25E0" w:rsidP="00047CEB">
      <w:pPr>
        <w:pStyle w:val="Heading1"/>
        <w:rPr>
          <w:lang w:eastAsia="en-GB"/>
        </w:rPr>
      </w:pPr>
      <w:r w:rsidRPr="0054172A">
        <w:rPr>
          <w:lang w:eastAsia="en-GB"/>
        </w:rPr>
        <w:t>II</w:t>
      </w:r>
      <w:r w:rsidRPr="0054172A">
        <w:rPr>
          <w:lang w:eastAsia="en-GB"/>
        </w:rPr>
        <w:tab/>
        <w:t>Aperçu des déclarations prononcées en plénière</w:t>
      </w:r>
    </w:p>
    <w:p w14:paraId="0A9CBAE2" w14:textId="7A5DF09E" w:rsidR="003F25E0" w:rsidRPr="0054172A" w:rsidRDefault="003F25E0" w:rsidP="00E65F8D">
      <w:pPr>
        <w:jc w:val="both"/>
        <w:rPr>
          <w:lang w:eastAsia="en-GB"/>
        </w:rPr>
      </w:pPr>
      <w:r w:rsidRPr="0054172A">
        <w:rPr>
          <w:lang w:eastAsia="en-GB"/>
        </w:rPr>
        <w:t>La réunion de haut niveau s'est ouverte sur une déclaration prononcée par S.</w:t>
      </w:r>
      <w:r w:rsidR="00BA480A" w:rsidRPr="0054172A">
        <w:rPr>
          <w:lang w:eastAsia="en-GB"/>
        </w:rPr>
        <w:t> </w:t>
      </w:r>
      <w:r w:rsidRPr="0054172A">
        <w:rPr>
          <w:lang w:eastAsia="en-GB"/>
        </w:rPr>
        <w:t>E.</w:t>
      </w:r>
      <w:r w:rsidR="00CE2BA1" w:rsidRPr="0054172A">
        <w:rPr>
          <w:lang w:eastAsia="en-GB"/>
        </w:rPr>
        <w:t> </w:t>
      </w:r>
      <w:r w:rsidRPr="0054172A">
        <w:rPr>
          <w:lang w:eastAsia="en-GB"/>
        </w:rPr>
        <w:t>Mme</w:t>
      </w:r>
      <w:r w:rsidR="00CE2BA1" w:rsidRPr="0054172A">
        <w:rPr>
          <w:lang w:eastAsia="en-GB"/>
        </w:rPr>
        <w:t> </w:t>
      </w:r>
      <w:r w:rsidRPr="0054172A">
        <w:rPr>
          <w:lang w:eastAsia="en-GB"/>
        </w:rPr>
        <w:t>Annalena Baerbock, Présidente de l'Assemblée générale, qui a constaté que, vingt</w:t>
      </w:r>
      <w:r w:rsidR="00CE2BA1" w:rsidRPr="0054172A">
        <w:rPr>
          <w:lang w:eastAsia="en-GB"/>
        </w:rPr>
        <w:t> </w:t>
      </w:r>
      <w:r w:rsidRPr="0054172A">
        <w:rPr>
          <w:lang w:eastAsia="en-GB"/>
        </w:rPr>
        <w:t>ans après le SMSI, le projet visant à édifier une société de l</w:t>
      </w:r>
      <w:r w:rsidR="000A4706" w:rsidRPr="0054172A">
        <w:rPr>
          <w:lang w:eastAsia="en-GB"/>
        </w:rPr>
        <w:t>'</w:t>
      </w:r>
      <w:r w:rsidRPr="0054172A">
        <w:rPr>
          <w:lang w:eastAsia="en-GB"/>
        </w:rPr>
        <w:t>information à dimension humaine, ouverte à tous et privilégiant le développement n'était pas encore entièrement mis en œuvre et, dans certains domaines, de plus en plus mis à mal. Elle a souligné les fractures numériques qui subsistent en matière d'accès, d'accessibilité financière et de compétences, l'écart persistant entre les hommes et les femmes en matière de numérique et la nécessité de se doter d'une gouvernance responsable pour les technologies émergentes, y compris pour l'intelligence artificielle. Soulignant qu'une approche multi</w:t>
      </w:r>
      <w:r w:rsidR="00CE2BA1" w:rsidRPr="0054172A">
        <w:rPr>
          <w:lang w:eastAsia="en-GB"/>
        </w:rPr>
        <w:noBreakHyphen/>
      </w:r>
      <w:r w:rsidRPr="0054172A">
        <w:rPr>
          <w:lang w:eastAsia="en-GB"/>
        </w:rPr>
        <w:t>parties prenantes est indispensable pour aller de l'avant, elle a insisté sur l'importance des partenariats pour renforcer la coopération, encourager des résultats inclusifs et faire en sorte que les Nations Unies restent en adéquation avec leur mission à l'ère du numérique.</w:t>
      </w:r>
    </w:p>
    <w:p w14:paraId="39BA1E09" w14:textId="6648BC58" w:rsidR="003F25E0" w:rsidRPr="0054172A" w:rsidRDefault="003F25E0" w:rsidP="00E65F8D">
      <w:pPr>
        <w:jc w:val="both"/>
        <w:rPr>
          <w:lang w:eastAsia="en-GB"/>
        </w:rPr>
      </w:pPr>
      <w:r w:rsidRPr="0054172A">
        <w:rPr>
          <w:lang w:eastAsia="en-GB"/>
        </w:rPr>
        <w:t>S'exprimant au nom du Secrétaire général de l'Organisation des Nations Unies (ONU), M.</w:t>
      </w:r>
      <w:r w:rsidR="00F7433F" w:rsidRPr="0054172A">
        <w:rPr>
          <w:lang w:eastAsia="en-GB"/>
        </w:rPr>
        <w:t> </w:t>
      </w:r>
      <w:r w:rsidRPr="0054172A">
        <w:rPr>
          <w:lang w:eastAsia="en-GB"/>
        </w:rPr>
        <w:t>Guy Ryder, Secrétaire général adjoint de l'ONU chargé des politiques, a mis en exergue le rôle central que joue la communauté multi-parties prenantes pour faire avancer le programme du SMSI et a noté que les résultats du SMSI+20 témoignent de la large collaboration entre les États Membres, les parties prenantes et le système des Nations</w:t>
      </w:r>
      <w:r w:rsidR="00F7433F" w:rsidRPr="0054172A">
        <w:rPr>
          <w:lang w:eastAsia="en-GB"/>
        </w:rPr>
        <w:t> </w:t>
      </w:r>
      <w:r w:rsidRPr="0054172A">
        <w:rPr>
          <w:lang w:eastAsia="en-GB"/>
        </w:rPr>
        <w:t xml:space="preserve">Unies. Il a salué les progrès accomplis ces vingt dernières années, tout en soulignant les défis qu'il reste à relever, notamment les fractures numériques et la gouvernance des technologies émergentes. Il a </w:t>
      </w:r>
      <w:r w:rsidRPr="0054172A">
        <w:rPr>
          <w:lang w:eastAsia="en-GB"/>
        </w:rPr>
        <w:lastRenderedPageBreak/>
        <w:t>rappelé l'importance des cadres tels que le Forum sur la gouvernance de l'Internet et insisté sur le fait que le SMSI+20 et le Pacte numérique mondial sont complémentaires et se renforcent mutuellement, le SMSI offrant une architecture de mise en œuvre et une perspective centrée sur le développement pour appuyer une transformation numérique inclusive et durable.</w:t>
      </w:r>
    </w:p>
    <w:p w14:paraId="341F0002" w14:textId="41626086" w:rsidR="003F25E0" w:rsidRPr="0054172A" w:rsidRDefault="003F25E0" w:rsidP="00E65F8D">
      <w:pPr>
        <w:jc w:val="both"/>
        <w:rPr>
          <w:lang w:eastAsia="en-GB"/>
        </w:rPr>
      </w:pPr>
      <w:r w:rsidRPr="0054172A">
        <w:rPr>
          <w:lang w:eastAsia="en-GB"/>
        </w:rPr>
        <w:t>Les États-Membres, ainsi que les représentants des entités du système des Nations Unies et de la communauté multi-parties prenantes au sens large ont ensuite été invités à faire une déclaration. Cent vingt déclarations ont été prononcées au cours des deux jours de réunion</w:t>
      </w:r>
      <w:r w:rsidR="00BA480A" w:rsidRPr="0054172A">
        <w:rPr>
          <w:rFonts w:cs="Calibri"/>
          <w:position w:val="6"/>
          <w:sz w:val="16"/>
          <w:lang w:eastAsia="en-GB"/>
        </w:rPr>
        <w:footnoteReference w:id="2"/>
      </w:r>
      <w:r w:rsidRPr="0054172A">
        <w:rPr>
          <w:lang w:eastAsia="en-GB"/>
        </w:rPr>
        <w:t>. Dans leurs déclarations, les États Membres et les parties prenantes ont reconnu les progrès accomplis concernant le développement de la connectivité et des services numériques depuis le SMSI, tout en soulignant que les fractures numériques qui subsistent restent un défi majeur. Ces fractures, ont-ils largement souligné, concernent le développement, avec des écarts en matière d'accès, d'accessibilité financière, de compétences, d'égalité hommes</w:t>
      </w:r>
      <w:r w:rsidR="00F7433F" w:rsidRPr="0054172A">
        <w:rPr>
          <w:lang w:eastAsia="en-GB"/>
        </w:rPr>
        <w:noBreakHyphen/>
      </w:r>
      <w:r w:rsidRPr="0054172A">
        <w:rPr>
          <w:lang w:eastAsia="en-GB"/>
        </w:rPr>
        <w:t>femmes, d'infrastructure et d'utilisation efficace, en particulier dans les pays en développement, les pays les moins avancés et les petits États insulaires en développement, et au sein des populations marginalisées. Les délégués ont insisté sur le fait qu'en l'absence d'investissements continus, d'activités de renforcement des capacités et d'appui ciblé, l'évolution technologie rapide pourrait creuser encore les inégalités, voire créer de nouvelles fractures liées aux données et aux technologies émergentes.</w:t>
      </w:r>
    </w:p>
    <w:p w14:paraId="2450242B" w14:textId="3EBE0553" w:rsidR="003F25E0" w:rsidRPr="0054172A" w:rsidRDefault="003F25E0" w:rsidP="00E65F8D">
      <w:pPr>
        <w:jc w:val="both"/>
        <w:rPr>
          <w:lang w:eastAsia="en-GB"/>
        </w:rPr>
      </w:pPr>
      <w:r w:rsidRPr="0054172A">
        <w:rPr>
          <w:lang w:eastAsia="en-GB"/>
        </w:rPr>
        <w:t>Les effets transformateurs des technologies émergentes, y compris l'intelligence artificielle et l'infrastructure publique numérique, ont été soulignés et l'importance d'aborder la transformation numérique selon une perspective centrée sur l'humain, inclusive et fondée sur les droits a été réaffirmée. La nécessité d'assurer une gouvernance responsable, un transfert de technologies, le développement des compétences numériques et un financement durable a été mise en avant, tandis qu'il a été réaffirmé que les grandes orientations du SMSI offrent un cadre pratique de mise en œuvre et d'appui des progrès en vue de mener à bien le Programme de développement durable à l'horizon 2030, dans la droite ligne du Pacte numérique mondial. La coopération multi-parties prenantes, y compris au moyen de cadres inclusifs tels que le Forum du SMSI et le Forum sur la gouvernance de l'Internet, a été qualifiée d'essentielle, de même que les priorités transversales que sont l'égalité homme</w:t>
      </w:r>
      <w:r w:rsidR="002E3105" w:rsidRPr="0054172A">
        <w:rPr>
          <w:lang w:eastAsia="en-GB"/>
        </w:rPr>
        <w:t>s</w:t>
      </w:r>
      <w:r w:rsidRPr="0054172A">
        <w:rPr>
          <w:lang w:eastAsia="en-GB"/>
        </w:rPr>
        <w:t>-femmes et la protection des droits humains en ligne.</w:t>
      </w:r>
    </w:p>
    <w:p w14:paraId="31885E7D" w14:textId="67374A63" w:rsidR="003F25E0" w:rsidRPr="00E03D26" w:rsidRDefault="003F25E0" w:rsidP="00E65F8D">
      <w:pPr>
        <w:widowControl w:val="0"/>
        <w:jc w:val="both"/>
        <w:rPr>
          <w:spacing w:val="-2"/>
        </w:rPr>
      </w:pPr>
      <w:r w:rsidRPr="00E03D26">
        <w:rPr>
          <w:spacing w:val="-2"/>
        </w:rPr>
        <w:t>Mme Doreen Bogdan-Martin, Secrétaire générale de l'UIT, a prononcé une déclaration</w:t>
      </w:r>
      <w:r w:rsidRPr="00E03D26">
        <w:rPr>
          <w:spacing w:val="-2"/>
          <w:position w:val="6"/>
          <w:sz w:val="16"/>
        </w:rPr>
        <w:footnoteReference w:id="3"/>
      </w:r>
      <w:r w:rsidRPr="00E03D26">
        <w:rPr>
          <w:spacing w:val="-2"/>
        </w:rPr>
        <w:t xml:space="preserve"> à la réunion de haut niveau, renforçant le rôle de l'UIT en tant qu'institution spécialisée des Nations Unies pour les technologies numériques et coordonnateur principal du processus du</w:t>
      </w:r>
      <w:r w:rsidR="0044187C" w:rsidRPr="00E03D26">
        <w:rPr>
          <w:spacing w:val="-2"/>
        </w:rPr>
        <w:t> </w:t>
      </w:r>
      <w:r w:rsidRPr="00E03D26">
        <w:rPr>
          <w:spacing w:val="-2"/>
        </w:rPr>
        <w:t xml:space="preserve">SMSI, tout en défendant une vision </w:t>
      </w:r>
      <w:r w:rsidRPr="00E03D26">
        <w:rPr>
          <w:spacing w:val="-2"/>
          <w:lang w:eastAsia="en-GB"/>
        </w:rPr>
        <w:t>à dimension humaine, ouverte à tous et privilégiant le développement pour la mise en œuvre des résultats du SMSI après 2025. Elle a en outre insisté sur le fait que l'UIT était disposée à continuer de coordonner, d'organiser et d'appuyer la mise en œuvre des résultats du SMSI aux côtés de ses membres et des partenaires des Nations Unies.</w:t>
      </w:r>
    </w:p>
    <w:p w14:paraId="579DA538" w14:textId="5805A14E" w:rsidR="003F25E0" w:rsidRPr="0054172A" w:rsidRDefault="003F25E0" w:rsidP="00E65F8D">
      <w:pPr>
        <w:jc w:val="both"/>
        <w:rPr>
          <w:lang w:eastAsia="en-GB"/>
        </w:rPr>
      </w:pPr>
      <w:r w:rsidRPr="0054172A">
        <w:t xml:space="preserve">S'exprimant au nom des États Membres de l'UIT et en tant que Président de la Manifestation de haut niveau SMSI+20 de 2025, S. E. M. Solly Malatsi, Ministre des communications et des </w:t>
      </w:r>
      <w:r w:rsidRPr="0054172A">
        <w:lastRenderedPageBreak/>
        <w:t>technologies numériques de la République sudafricaine, amis en avant, dans sa déclaration, l'appui apporté au processus du SMSI+20 et réaffirmé l'importance d'une coopération inclusive dans le domaine du numérique, de la réduction des fractures numériques et du renforcement de l'engagement multi-parties prenantes pour promouvoir le développement du numérique et faire perdurer la vision du SMSI</w:t>
      </w:r>
      <w:r w:rsidR="00A82C21" w:rsidRPr="0054172A">
        <w:rPr>
          <w:position w:val="6"/>
          <w:sz w:val="16"/>
        </w:rPr>
        <w:footnoteReference w:id="4"/>
      </w:r>
      <w:r w:rsidRPr="0054172A">
        <w:t>.</w:t>
      </w:r>
    </w:p>
    <w:p w14:paraId="55D83DF1" w14:textId="77777777" w:rsidR="003F25E0" w:rsidRPr="0054172A" w:rsidRDefault="003F25E0" w:rsidP="00047CEB">
      <w:pPr>
        <w:pStyle w:val="Heading1"/>
        <w:rPr>
          <w:b w:val="0"/>
          <w:lang w:eastAsia="en-GB"/>
        </w:rPr>
      </w:pPr>
      <w:r w:rsidRPr="0054172A">
        <w:rPr>
          <w:lang w:eastAsia="en-GB"/>
        </w:rPr>
        <w:t>III</w:t>
      </w:r>
      <w:r w:rsidRPr="0054172A">
        <w:rPr>
          <w:lang w:eastAsia="en-GB"/>
        </w:rPr>
        <w:tab/>
        <w:t>Document final sur l'examen d'ensemble et principaux éléments concernant la mise en œuvre par l'UIT des résultats du SMSI après 2025</w:t>
      </w:r>
    </w:p>
    <w:p w14:paraId="63CD3644" w14:textId="52BFD251" w:rsidR="003F25E0" w:rsidRPr="0054172A" w:rsidRDefault="003F25E0" w:rsidP="00E65F8D">
      <w:pPr>
        <w:jc w:val="both"/>
        <w:rPr>
          <w:lang w:eastAsia="en-GB"/>
        </w:rPr>
      </w:pPr>
      <w:r w:rsidRPr="0054172A">
        <w:rPr>
          <w:lang w:eastAsia="en-GB"/>
        </w:rPr>
        <w:t>L'Assemblée générale des Nations Unies a adopté le document final de sa réunion de haut niveau sur l'examen d'ensemble de la mise en œuvre des textes issus du Sommet mondial sur la société de l'information (</w:t>
      </w:r>
      <w:hyperlink r:id="rId43" w:history="1">
        <w:r w:rsidR="00A82C21" w:rsidRPr="0054172A">
          <w:rPr>
            <w:rStyle w:val="Hyperlink"/>
            <w:rFonts w:eastAsia="Times New Roman" w:cs="Times New Roman"/>
            <w:szCs w:val="20"/>
            <w:lang w:eastAsia="en-GB"/>
          </w:rPr>
          <w:t>A/RES/80/173</w:t>
        </w:r>
      </w:hyperlink>
      <w:r w:rsidR="00A82C21" w:rsidRPr="0054172A">
        <w:rPr>
          <w:lang w:eastAsia="en-GB"/>
        </w:rPr>
        <w:t>).</w:t>
      </w:r>
      <w:r w:rsidRPr="0054172A" w:rsidDel="00E471D3">
        <w:rPr>
          <w:lang w:eastAsia="en-GB"/>
        </w:rPr>
        <w:t xml:space="preserve"> </w:t>
      </w:r>
      <w:r w:rsidRPr="0054172A">
        <w:rPr>
          <w:lang w:eastAsia="en-GB"/>
        </w:rPr>
        <w:t>L'Assemblée a réaffirmé que le SMSI est le cadre directeur incontournable des Nations Unies en faveur d'un développement numérique inclusif et à dimension humaine. Dans sa Résolution, elle souligne que la Déclaration de principes de Genève, l'Agenda de Tunis et les grandes orientations du SMSI gardent toute leur actualité, et appelle de ses vœux le renforcement de leur mise en œuvre dans la droite ligne du Programme de développement durable à l'horizon 2030 et d'une manière cohérente avec le Pacte numérique mondial.</w:t>
      </w:r>
    </w:p>
    <w:p w14:paraId="52A7C83C" w14:textId="4AE05F28" w:rsidR="003F25E0" w:rsidRPr="0054172A" w:rsidRDefault="003F25E0" w:rsidP="00E65F8D">
      <w:pPr>
        <w:jc w:val="both"/>
        <w:rPr>
          <w:lang w:eastAsia="en-GB"/>
        </w:rPr>
      </w:pPr>
      <w:r w:rsidRPr="0054172A">
        <w:rPr>
          <w:lang w:eastAsia="en-GB"/>
        </w:rPr>
        <w:t>Toujours dans cette Résolution, l'Assemblée générale réaffirme le rôle essentiel que joue l'Union internationale des télécommunications (UIT) dans la coordination de la mise en œuvre des résultats du SMSI, notamment en étant le chef de file de la mise en œuvre de plusieurs grandes orientations du SMSI, en organisant les Prix du SMSI, en tenant à jour la plate-forme de l'inventaire des activités du SMSI et en assurant le secrétariat du Groupe des Nations Unies sur la société de l</w:t>
      </w:r>
      <w:r w:rsidR="000A4706" w:rsidRPr="0054172A">
        <w:rPr>
          <w:lang w:eastAsia="en-GB"/>
        </w:rPr>
        <w:t>'</w:t>
      </w:r>
      <w:r w:rsidRPr="0054172A">
        <w:rPr>
          <w:lang w:eastAsia="en-GB"/>
        </w:rPr>
        <w:t>information. Elle encourage la poursuite du dialogue multi</w:t>
      </w:r>
      <w:r w:rsidR="008054F7" w:rsidRPr="0054172A">
        <w:rPr>
          <w:lang w:eastAsia="en-GB"/>
        </w:rPr>
        <w:noBreakHyphen/>
      </w:r>
      <w:r w:rsidRPr="0054172A">
        <w:rPr>
          <w:lang w:eastAsia="en-GB"/>
        </w:rPr>
        <w:t>parties prenantes, le renforcement des partenariats ainsi que l'amélioration des capacités de mesure et des capacités en matière de données pour appuyer l'élaboration et la mise en œuvre de politiques éclairées en matière de numérique.</w:t>
      </w:r>
    </w:p>
    <w:p w14:paraId="09B99777" w14:textId="77777777" w:rsidR="003F25E0" w:rsidRPr="0054172A" w:rsidRDefault="003F25E0" w:rsidP="00E65F8D">
      <w:pPr>
        <w:jc w:val="both"/>
        <w:rPr>
          <w:lang w:eastAsia="en-GB"/>
        </w:rPr>
      </w:pPr>
      <w:r w:rsidRPr="0054172A">
        <w:rPr>
          <w:lang w:eastAsia="en-GB"/>
        </w:rPr>
        <w:t>Cette Résolution renouvèle le mandat du SMSI, l'Assemblée générale étant priée d'organiser une réunion de haut niveau en 2035 afin de faire le point sur les progrès accomplis et les problèmes qui se posent et de recenser les priorités appelant la poursuite de la mise en œuvre des résultats du SMSI, avec la participation de toutes les parties prenantes.</w:t>
      </w:r>
    </w:p>
    <w:p w14:paraId="2FF478C3" w14:textId="655D6AE6" w:rsidR="003F25E0" w:rsidRPr="0054172A" w:rsidRDefault="003F25E0" w:rsidP="00E65F8D">
      <w:pPr>
        <w:jc w:val="both"/>
        <w:rPr>
          <w:lang w:eastAsia="en-GB"/>
        </w:rPr>
      </w:pPr>
      <w:r w:rsidRPr="0054172A">
        <w:rPr>
          <w:lang w:eastAsia="en-GB"/>
        </w:rPr>
        <w:t>Le document final adopté à la réunion donne des orientations de haut niveau sur la mise en</w:t>
      </w:r>
      <w:r w:rsidR="00A82C21" w:rsidRPr="0054172A">
        <w:rPr>
          <w:lang w:eastAsia="en-GB"/>
        </w:rPr>
        <w:t> </w:t>
      </w:r>
      <w:r w:rsidRPr="0054172A">
        <w:rPr>
          <w:lang w:eastAsia="en-GB"/>
        </w:rPr>
        <w:t xml:space="preserve">œuvre des résultats du SMSI après 2025 et appelle des activités de suivi menées par l'UIT, conformément à ses mandats et compte tenu des instructions données par ses membres. La liste des paragraphes (donnée à titre indicatif et non exhaustive) faisant référence aux travaux et activités de l'UIT figure en </w:t>
      </w:r>
      <w:hyperlink w:anchor="ANNEXE" w:history="1">
        <w:r w:rsidRPr="0054172A">
          <w:rPr>
            <w:rStyle w:val="Hyperlink"/>
            <w:rFonts w:eastAsia="Times New Roman" w:cs="Times New Roman"/>
            <w:szCs w:val="20"/>
            <w:lang w:eastAsia="en-GB"/>
          </w:rPr>
          <w:t>annexe</w:t>
        </w:r>
      </w:hyperlink>
      <w:r w:rsidRPr="0054172A">
        <w:rPr>
          <w:lang w:eastAsia="en-GB"/>
        </w:rPr>
        <w:t>.</w:t>
      </w:r>
    </w:p>
    <w:p w14:paraId="50C9A416" w14:textId="77777777" w:rsidR="003F25E0" w:rsidRPr="0054172A" w:rsidRDefault="003F25E0" w:rsidP="00047CEB">
      <w:pPr>
        <w:pStyle w:val="Heading1"/>
        <w:rPr>
          <w:rFonts w:cs="Calibri"/>
          <w:b w:val="0"/>
          <w:lang w:eastAsia="en-GB"/>
        </w:rPr>
      </w:pPr>
      <w:r w:rsidRPr="0054172A">
        <w:rPr>
          <w:rFonts w:cs="Calibri"/>
          <w:lang w:eastAsia="en-GB"/>
        </w:rPr>
        <w:lastRenderedPageBreak/>
        <w:t>IV</w:t>
      </w:r>
      <w:r w:rsidRPr="0054172A">
        <w:rPr>
          <w:rFonts w:cs="Calibri"/>
          <w:lang w:eastAsia="en-GB"/>
        </w:rPr>
        <w:tab/>
        <w:t xml:space="preserve">Dialogue interinstitutions et au sein des Nations Unies au sens </w:t>
      </w:r>
      <w:proofErr w:type="gramStart"/>
      <w:r w:rsidRPr="0054172A">
        <w:rPr>
          <w:rFonts w:cs="Calibri"/>
          <w:lang w:eastAsia="en-GB"/>
        </w:rPr>
        <w:t>large:</w:t>
      </w:r>
      <w:proofErr w:type="gramEnd"/>
      <w:r w:rsidRPr="0054172A">
        <w:t xml:space="preserve"> Groupe des Nations Unies sur la société de l'information, Groupe de travail interinstitutions des Nations Unies sur l'intelligence artificielle et Partenariat sur la mesure des TIC au service du développement</w:t>
      </w:r>
    </w:p>
    <w:p w14:paraId="62A8B243" w14:textId="00A2050C" w:rsidR="003F25E0" w:rsidRPr="0054172A" w:rsidRDefault="003F25E0" w:rsidP="00E65F8D">
      <w:pPr>
        <w:jc w:val="both"/>
      </w:pPr>
      <w:r w:rsidRPr="0054172A">
        <w:t>Dans la Résolution, l'accent est mis sur la poursuite et le renforcement des travaux du Groupe des Nations Unies sur la société de l</w:t>
      </w:r>
      <w:r w:rsidR="000A4706" w:rsidRPr="0054172A">
        <w:t>'</w:t>
      </w:r>
      <w:r w:rsidRPr="0054172A">
        <w:t>information (UNGIS), en tant que mécanisme interinstitutions de coopération dans le domaine du numérique à l'échelle du système des Nations Unies, dont le secrétariat permanent est assuré par l'UIT. Le Groupe UNGIS est invité à gagner en souplesse, en efficacité et en efficience, à accueillir de nouveaux membres, à intensifier le dialogue entre parties prenantes, à renforcer les partenariats et à faire l'examen des progrès accomplis, tandis qu'est encouragée la collaboration avec le Conseil économique et social, le Forum politique de haut niveau, la Commission de la science et de la technique au service du développement, le Forum sur la gouvernance de l'Internet et d'autres entités afin d'intégrer la transformation numérique dans le développement durable. Le Groupe UNGIS est prié d'élaborer une feuille de route, dans le respect de son mandat, pour une mise en œuvre conjointe, qui sera présentée à la Commission de la science et de la technique au service du développement à sa session de 2026 et visera à assurer la cohérence entre le SMSI et le Pacte numérique mondial, ainsi qu'une approche homogène utilisant rationnellement les ressources à l'échelle du système des Nations Unies.</w:t>
      </w:r>
    </w:p>
    <w:p w14:paraId="7CCB9F1C" w14:textId="73020374" w:rsidR="003F25E0" w:rsidRPr="0054172A" w:rsidRDefault="003F25E0" w:rsidP="00E65F8D">
      <w:pPr>
        <w:jc w:val="both"/>
      </w:pPr>
      <w:r w:rsidRPr="0054172A">
        <w:t>Par ailleurs, l'UIT, les coordonnateurs pour les grandes orientations du SMSI et les autres membres du Groupe UNGIS sont invités à constituer, en interne, une équipe spéciale chargée d'analyser les lacunes concernant le financement du développement numérique dans les pays en développement et de formuler des recommandations, tandis que les coordonnateurs pour les grandes orientations sont priés d'élaborer des feuilles de routes ciblées rattachant les grandes orientations du SMSI aux cibles associées aux ODD et aux engagements du Pacte numérique mondial, avec des indicateurs de suivi. Les résultats correspondants seront présentés à la Commission de la science et de la technique au service du développement à sa session de 2027.</w:t>
      </w:r>
    </w:p>
    <w:p w14:paraId="2AA3EF28" w14:textId="79BAE1E8" w:rsidR="003F25E0" w:rsidRPr="00E03D26" w:rsidRDefault="003F25E0" w:rsidP="00E65F8D">
      <w:pPr>
        <w:jc w:val="both"/>
        <w:rPr>
          <w:spacing w:val="-2"/>
        </w:rPr>
      </w:pPr>
      <w:r w:rsidRPr="00E03D26">
        <w:rPr>
          <w:spacing w:val="-2"/>
        </w:rPr>
        <w:t>La Résolution met en avant le Partenariat sur la mesure des TIC au service du développement, coordonné par l'UIT avec la Conférence des Nations Unies sur le commerce et le développement (CNUCED) et le Département des affaires économiques et sociales des Nations Unies, en tant que mécanisme essentiel pour suivre les progrès accomplis, et le Partenariat est prié de procéder, en concertation avec les coordonnateurs pour les grandes orientations et avec l'appui de la Commission de statistique, à une étude exhaustive des méthodes et indicateurs existants et de rendre compte des conclusions de son étude à la Commission de la science et de la technique au service du développement à sa session de</w:t>
      </w:r>
      <w:r w:rsidR="008054F7" w:rsidRPr="00E03D26">
        <w:rPr>
          <w:spacing w:val="-2"/>
        </w:rPr>
        <w:t> </w:t>
      </w:r>
      <w:r w:rsidRPr="00E03D26">
        <w:rPr>
          <w:spacing w:val="-2"/>
        </w:rPr>
        <w:t>2027.</w:t>
      </w:r>
    </w:p>
    <w:p w14:paraId="6E1AA047" w14:textId="62218F2C" w:rsidR="003F25E0" w:rsidRPr="00606901" w:rsidRDefault="003F25E0" w:rsidP="00606901">
      <w:pPr>
        <w:jc w:val="both"/>
        <w:rPr>
          <w:spacing w:val="-2"/>
        </w:rPr>
      </w:pPr>
      <w:r w:rsidRPr="00606901">
        <w:rPr>
          <w:spacing w:val="-2"/>
          <w:lang w:eastAsia="en-GB"/>
        </w:rPr>
        <w:t>Le</w:t>
      </w:r>
      <w:r w:rsidRPr="00606901">
        <w:rPr>
          <w:spacing w:val="-2"/>
        </w:rPr>
        <w:t xml:space="preserve"> Groupe de travail interinstitutions sur l</w:t>
      </w:r>
      <w:r w:rsidR="000A4706" w:rsidRPr="00606901">
        <w:rPr>
          <w:spacing w:val="-2"/>
        </w:rPr>
        <w:t>'</w:t>
      </w:r>
      <w:r w:rsidRPr="00606901">
        <w:rPr>
          <w:spacing w:val="-2"/>
        </w:rPr>
        <w:t>intelligence artificielle, agissant en concertation avec les coordonnateurs pour les grandes orientations du SMSI, est chargé de dresser l</w:t>
      </w:r>
      <w:r w:rsidR="000A4706" w:rsidRPr="00606901">
        <w:rPr>
          <w:spacing w:val="-2"/>
        </w:rPr>
        <w:t>'</w:t>
      </w:r>
      <w:r w:rsidRPr="00606901">
        <w:rPr>
          <w:spacing w:val="-2"/>
        </w:rPr>
        <w:t>inventaire des initiatives de renforcement des capacités en matière d'IA engagées à l</w:t>
      </w:r>
      <w:r w:rsidR="000A4706" w:rsidRPr="00606901">
        <w:rPr>
          <w:spacing w:val="-2"/>
        </w:rPr>
        <w:t>'</w:t>
      </w:r>
      <w:r w:rsidRPr="00606901">
        <w:rPr>
          <w:spacing w:val="-2"/>
        </w:rPr>
        <w:t>échelle du système des Nations Unies, de recenser les lacunes et d'y remédier en mettant en place des programmes de bourses et de recherche et en tirant parti des capacités dont dispose le système des Nations Unies, une attention particulière étant apportée aux pays en développement.</w:t>
      </w:r>
    </w:p>
    <w:p w14:paraId="0E83C054" w14:textId="3125F544" w:rsidR="003F25E0" w:rsidRPr="00E65F8D" w:rsidRDefault="003F25E0" w:rsidP="00E65F8D">
      <w:pPr>
        <w:jc w:val="both"/>
        <w:rPr>
          <w:spacing w:val="-2"/>
        </w:rPr>
      </w:pPr>
      <w:r w:rsidRPr="00E65F8D">
        <w:rPr>
          <w:spacing w:val="-2"/>
          <w:lang w:eastAsia="en-GB"/>
        </w:rPr>
        <w:t>Enfin</w:t>
      </w:r>
      <w:r w:rsidRPr="00E65F8D">
        <w:rPr>
          <w:spacing w:val="-2"/>
        </w:rPr>
        <w:t>, il est pris acte dans la Résolution de la création d'un groupe scientifique international indépendant de l</w:t>
      </w:r>
      <w:r w:rsidR="000A4706" w:rsidRPr="00E65F8D">
        <w:rPr>
          <w:spacing w:val="-2"/>
        </w:rPr>
        <w:t>'</w:t>
      </w:r>
      <w:r w:rsidRPr="00E65F8D">
        <w:rPr>
          <w:spacing w:val="-2"/>
        </w:rPr>
        <w:t xml:space="preserve">intelligence artificielle à vocation multidisciplinaire, qui est chargé de procéder, données factuelles à l'appui, à une analyse des incidences et des risques liés à l'IA, ainsi que des perspectives que cette technologie ouvre, tandis que le lancement du Dialogue </w:t>
      </w:r>
      <w:r w:rsidRPr="00E65F8D">
        <w:rPr>
          <w:spacing w:val="-2"/>
        </w:rPr>
        <w:lastRenderedPageBreak/>
        <w:t>mondial sur la gouvernance de l</w:t>
      </w:r>
      <w:r w:rsidR="000A4706" w:rsidRPr="00E65F8D">
        <w:rPr>
          <w:spacing w:val="-2"/>
        </w:rPr>
        <w:t>'</w:t>
      </w:r>
      <w:r w:rsidRPr="00E65F8D">
        <w:rPr>
          <w:spacing w:val="-2"/>
        </w:rPr>
        <w:t>intelligence artificielle, auquel participent les États et toutes les parties concernées, est saluée, de même que la présentation du premier rapport attendue lors de l</w:t>
      </w:r>
      <w:r w:rsidR="000A4706" w:rsidRPr="00E65F8D">
        <w:rPr>
          <w:spacing w:val="-2"/>
        </w:rPr>
        <w:t>'</w:t>
      </w:r>
      <w:r w:rsidRPr="00E65F8D">
        <w:rPr>
          <w:spacing w:val="-2"/>
        </w:rPr>
        <w:t>ouverture du Dialogue mondial sur la gouvernance de l</w:t>
      </w:r>
      <w:r w:rsidR="000A4706" w:rsidRPr="00E65F8D">
        <w:rPr>
          <w:spacing w:val="-2"/>
        </w:rPr>
        <w:t>'</w:t>
      </w:r>
      <w:r w:rsidRPr="00E65F8D">
        <w:rPr>
          <w:spacing w:val="-2"/>
        </w:rPr>
        <w:t>intelligence artificielle en 2026.</w:t>
      </w:r>
    </w:p>
    <w:p w14:paraId="6F7605CB" w14:textId="77777777" w:rsidR="003F25E0" w:rsidRPr="0054172A" w:rsidRDefault="003F25E0" w:rsidP="00047CEB">
      <w:pPr>
        <w:pStyle w:val="Heading1"/>
        <w:rPr>
          <w:b w:val="0"/>
          <w:lang w:eastAsia="en-GB"/>
        </w:rPr>
      </w:pPr>
      <w:r w:rsidRPr="0054172A">
        <w:rPr>
          <w:lang w:eastAsia="en-GB"/>
        </w:rPr>
        <w:t>V</w:t>
      </w:r>
      <w:r w:rsidRPr="0054172A">
        <w:rPr>
          <w:lang w:eastAsia="en-GB"/>
        </w:rPr>
        <w:tab/>
        <w:t>Contribution de l'UIT au processus d'examen du SMSI+20</w:t>
      </w:r>
    </w:p>
    <w:p w14:paraId="1DC92E31" w14:textId="3A01136E" w:rsidR="003F25E0" w:rsidRPr="0054172A" w:rsidRDefault="003F25E0" w:rsidP="00E65F8D">
      <w:pPr>
        <w:jc w:val="both"/>
        <w:rPr>
          <w:lang w:eastAsia="en-GB"/>
        </w:rPr>
      </w:pPr>
      <w:r w:rsidRPr="0054172A">
        <w:rPr>
          <w:lang w:eastAsia="en-GB"/>
        </w:rPr>
        <w:t xml:space="preserve">En sa qualité d'institution spécialisée des Nations Unies pour les technologies numériques et d'institution à l'origine du processus du SMSI, l'UIT a joué un rôle central tout au long du processus d'examen du SMSI+20. L'Union a apporté une contribution et un appui actifs au processus de préparation mené sous la direction de l'Assemblée générale des Nations Unies, notamment en échangeant avec les co-coordonnateurs du SMSI+20, en prenant part à des réunions de consultation et en fournissant une contribution de fond au document final adopté sur le SMSI+20, comme expliqué </w:t>
      </w:r>
      <w:hyperlink r:id="rId44" w:history="1">
        <w:r w:rsidRPr="0054172A">
          <w:rPr>
            <w:rStyle w:val="Hyperlink"/>
            <w:rFonts w:eastAsia="Times New Roman" w:cs="Times New Roman"/>
            <w:szCs w:val="20"/>
            <w:lang w:eastAsia="en-GB"/>
          </w:rPr>
          <w:t>ici</w:t>
        </w:r>
      </w:hyperlink>
      <w:r w:rsidRPr="0054172A">
        <w:rPr>
          <w:lang w:eastAsia="en-GB"/>
        </w:rPr>
        <w:t xml:space="preserve"> sur la page consacrée au Secrétariat du SMSI+20. L'UIT s'est appuyée pour ce faire sur le rapport de sa </w:t>
      </w:r>
      <w:hyperlink r:id="rId45" w:history="1">
        <w:r w:rsidR="00A82C21" w:rsidRPr="0054172A">
          <w:rPr>
            <w:rStyle w:val="Hyperlink"/>
            <w:rFonts w:eastAsia="Times New Roman" w:cs="Times New Roman"/>
            <w:szCs w:val="20"/>
            <w:lang w:eastAsia="en-GB"/>
          </w:rPr>
          <w:t>Secrétaire générale, intitulé "Sommet mondial sur la société de l'information (SMSI)+</w:t>
        </w:r>
        <w:proofErr w:type="gramStart"/>
        <w:r w:rsidR="00A82C21" w:rsidRPr="0054172A">
          <w:rPr>
            <w:rStyle w:val="Hyperlink"/>
            <w:rFonts w:eastAsia="Times New Roman" w:cs="Times New Roman"/>
            <w:szCs w:val="20"/>
            <w:lang w:eastAsia="en-GB"/>
          </w:rPr>
          <w:t>20:</w:t>
        </w:r>
        <w:proofErr w:type="gramEnd"/>
        <w:r w:rsidR="00A82C21" w:rsidRPr="0054172A">
          <w:rPr>
            <w:rStyle w:val="Hyperlink"/>
            <w:rFonts w:eastAsia="Times New Roman" w:cs="Times New Roman"/>
            <w:szCs w:val="20"/>
            <w:lang w:eastAsia="en-GB"/>
          </w:rPr>
          <w:t xml:space="preserve"> le SMSI après 2025 – Feuille de route pour le SMSI+20"</w:t>
        </w:r>
      </w:hyperlink>
      <w:r w:rsidRPr="0054172A">
        <w:rPr>
          <w:lang w:eastAsia="en-GB"/>
        </w:rPr>
        <w:t>, qui donne des orientations stratégiques quant au rôle que l'UIT doit avoir dans le processus d'examen du SMSI+20 et les activités préparatoires associées.</w:t>
      </w:r>
    </w:p>
    <w:p w14:paraId="49FDC193" w14:textId="1F999EA3" w:rsidR="003F25E0" w:rsidRPr="00E65F8D" w:rsidRDefault="003F25E0" w:rsidP="00E65F8D">
      <w:pPr>
        <w:jc w:val="both"/>
        <w:rPr>
          <w:spacing w:val="-2"/>
          <w:lang w:eastAsia="en-GB"/>
        </w:rPr>
      </w:pPr>
      <w:r w:rsidRPr="00E65F8D">
        <w:rPr>
          <w:spacing w:val="-2"/>
          <w:lang w:eastAsia="en-GB"/>
        </w:rPr>
        <w:t>La Secrétaire générale a assuré une fonction de direction stratégique tout au long du processus d'examen du SMSI+20 et, conformément à la Résolution 140 (Rév. Bucarest, 2022) de la Conférence de plénipotentiaires et aux Résolutions 1332 (modifiée en 2024) et 1334 (modifiée en 2023) du Conseil, a élaboré et soumis, aux fins de l'examen d'ensemble du</w:t>
      </w:r>
      <w:r w:rsidR="00A82C21" w:rsidRPr="00E65F8D">
        <w:rPr>
          <w:spacing w:val="-2"/>
          <w:lang w:eastAsia="en-GB"/>
        </w:rPr>
        <w:t> </w:t>
      </w:r>
      <w:r w:rsidRPr="00E65F8D">
        <w:rPr>
          <w:spacing w:val="-2"/>
          <w:lang w:eastAsia="en-GB"/>
        </w:rPr>
        <w:t xml:space="preserve">SMSI+20 mené par l'Assemblée générale des Nations Unies, le </w:t>
      </w:r>
      <w:hyperlink r:id="rId46" w:history="1">
        <w:r w:rsidRPr="00E65F8D">
          <w:rPr>
            <w:rStyle w:val="Hyperlink"/>
            <w:rFonts w:eastAsia="Times New Roman" w:cs="Times New Roman"/>
            <w:spacing w:val="-2"/>
            <w:szCs w:val="20"/>
            <w:lang w:eastAsia="en-GB"/>
          </w:rPr>
          <w:t xml:space="preserve">Rapport sur le SMSI+20: </w:t>
        </w:r>
        <w:r w:rsidRPr="00E65F8D">
          <w:rPr>
            <w:rStyle w:val="Hyperlink"/>
            <w:rFonts w:eastAsia="Times New Roman" w:cs="Times New Roman"/>
            <w:spacing w:val="-2"/>
            <w:szCs w:val="20"/>
          </w:rPr>
          <w:t>"</w:t>
        </w:r>
        <w:r w:rsidRPr="00E65F8D">
          <w:rPr>
            <w:rStyle w:val="Hyperlink"/>
            <w:rFonts w:eastAsia="Times New Roman" w:cs="Times New Roman"/>
            <w:spacing w:val="-2"/>
            <w:szCs w:val="20"/>
            <w:lang w:eastAsia="en-GB"/>
          </w:rPr>
          <w:t>Bâtir un avenir numérique pour tous</w:t>
        </w:r>
        <w:r w:rsidRPr="00E65F8D">
          <w:rPr>
            <w:rStyle w:val="Hyperlink"/>
            <w:rFonts w:eastAsia="Times New Roman" w:cs="Times New Roman"/>
            <w:spacing w:val="-2"/>
            <w:szCs w:val="20"/>
          </w:rPr>
          <w:t>"</w:t>
        </w:r>
      </w:hyperlink>
      <w:r w:rsidRPr="00E65F8D">
        <w:rPr>
          <w:spacing w:val="-2"/>
          <w:lang w:eastAsia="en-GB"/>
        </w:rPr>
        <w:t>, dressant l'état des lieux de vingt années de mise en</w:t>
      </w:r>
      <w:r w:rsidR="00A82C21" w:rsidRPr="00E65F8D">
        <w:rPr>
          <w:spacing w:val="-2"/>
          <w:lang w:eastAsia="en-GB"/>
        </w:rPr>
        <w:t> </w:t>
      </w:r>
      <w:r w:rsidRPr="00E65F8D">
        <w:rPr>
          <w:spacing w:val="-2"/>
          <w:lang w:eastAsia="en-GB"/>
        </w:rPr>
        <w:t>œuvre des résultats du SMSI et des contributions apportées par l'UIT dans les domaines des politiques, de l'assistance technique, du renforcement des capacités, des données et des partenariats.</w:t>
      </w:r>
    </w:p>
    <w:p w14:paraId="26F811F3" w14:textId="419CA3A3" w:rsidR="003F25E0" w:rsidRPr="0054172A" w:rsidRDefault="003F25E0" w:rsidP="00E65F8D">
      <w:pPr>
        <w:jc w:val="both"/>
        <w:rPr>
          <w:lang w:eastAsia="en-GB"/>
        </w:rPr>
      </w:pPr>
      <w:r w:rsidRPr="0054172A">
        <w:rPr>
          <w:lang w:eastAsia="en-GB"/>
        </w:rPr>
        <w:t xml:space="preserve">Le résumé des </w:t>
      </w:r>
      <w:hyperlink r:id="rId47" w:history="1">
        <w:r w:rsidRPr="0054172A">
          <w:rPr>
            <w:rStyle w:val="Hyperlink"/>
            <w:rFonts w:eastAsia="Times New Roman" w:cs="Times New Roman"/>
            <w:szCs w:val="20"/>
            <w:lang w:eastAsia="en-GB"/>
          </w:rPr>
          <w:t>résultats de l'appel à contributions de l'UIT sur l'examen du SMSI+20</w:t>
        </w:r>
      </w:hyperlink>
      <w:r w:rsidRPr="0054172A">
        <w:rPr>
          <w:lang w:eastAsia="en-GB"/>
        </w:rPr>
        <w:t>, coordonné par le Groupe de travail du Conseil sur le SMSI et les ODD (GTC-SMSI/ODD), a été transmis par la Présidente du GTC-SMSI/ODD au groupe chargé de l'examen du SMSI+20 mené par l'Assemblée générale des Nations Unies, ce qui a permis de faire en sorte que les points de vue très divers des pays et des parties prenants soient pris en compte et utilisés pour l'ensemble du processus. Sous la direction de sa Présidente, avec l'appui des Vice</w:t>
      </w:r>
      <w:r w:rsidR="008054F7" w:rsidRPr="0054172A">
        <w:rPr>
          <w:lang w:eastAsia="en-GB"/>
        </w:rPr>
        <w:noBreakHyphen/>
      </w:r>
      <w:r w:rsidRPr="0054172A">
        <w:rPr>
          <w:lang w:eastAsia="en-GB"/>
        </w:rPr>
        <w:t xml:space="preserve">Présidents et du Secrétariat, le GTC-SMSI/ODD a offert </w:t>
      </w:r>
      <w:proofErr w:type="gramStart"/>
      <w:r w:rsidRPr="0054172A">
        <w:rPr>
          <w:lang w:eastAsia="en-GB"/>
        </w:rPr>
        <w:t>une plate-forme essentiel</w:t>
      </w:r>
      <w:proofErr w:type="gramEnd"/>
      <w:r w:rsidRPr="0054172A">
        <w:rPr>
          <w:lang w:eastAsia="en-GB"/>
        </w:rPr>
        <w:t xml:space="preserve"> de suivi, de coordination et de concertation concernant les contributions de l'UIT liées au SMSI.</w:t>
      </w:r>
    </w:p>
    <w:p w14:paraId="15D5602F" w14:textId="77777777" w:rsidR="003F25E0" w:rsidRPr="0054172A" w:rsidRDefault="003F25E0" w:rsidP="00396D85">
      <w:pPr>
        <w:pStyle w:val="Heading1"/>
        <w:rPr>
          <w:b w:val="0"/>
          <w:lang w:eastAsia="en-GB"/>
        </w:rPr>
      </w:pPr>
      <w:r w:rsidRPr="0054172A">
        <w:rPr>
          <w:lang w:eastAsia="en-GB"/>
        </w:rPr>
        <w:t>VI</w:t>
      </w:r>
      <w:r w:rsidRPr="0054172A">
        <w:rPr>
          <w:lang w:eastAsia="en-GB"/>
        </w:rPr>
        <w:tab/>
        <w:t>Contributions de l'UIT aux manifestations organisées en marge de la réunion de haut niveau sur le SMSI+20 de l'Assemblée générale des Nations Unies</w:t>
      </w:r>
    </w:p>
    <w:p w14:paraId="35D7BACD" w14:textId="77777777" w:rsidR="003F25E0" w:rsidRPr="0054172A" w:rsidRDefault="003F25E0" w:rsidP="00E65F8D">
      <w:pPr>
        <w:keepNext/>
        <w:keepLines/>
        <w:spacing w:before="80"/>
        <w:jc w:val="both"/>
        <w:rPr>
          <w:lang w:eastAsia="en-GB"/>
        </w:rPr>
      </w:pPr>
      <w:r w:rsidRPr="0054172A">
        <w:rPr>
          <w:lang w:eastAsia="en-GB"/>
        </w:rPr>
        <w:t xml:space="preserve">En marge de la réunion de haut niveau, l'UIT a organisé les manifestations </w:t>
      </w:r>
      <w:proofErr w:type="gramStart"/>
      <w:r w:rsidRPr="0054172A">
        <w:rPr>
          <w:lang w:eastAsia="en-GB"/>
        </w:rPr>
        <w:t>suivantes:</w:t>
      </w:r>
      <w:proofErr w:type="gramEnd"/>
    </w:p>
    <w:p w14:paraId="30260824" w14:textId="1A52D02D" w:rsidR="003F25E0" w:rsidRPr="0054172A" w:rsidRDefault="003F25E0" w:rsidP="00E65F8D">
      <w:pPr>
        <w:pStyle w:val="enumlev1"/>
        <w:keepNext/>
        <w:keepLines/>
        <w:spacing w:before="60"/>
        <w:jc w:val="both"/>
        <w:rPr>
          <w:lang w:eastAsia="en-GB"/>
        </w:rPr>
      </w:pPr>
      <w:r w:rsidRPr="0054172A">
        <w:t>–</w:t>
      </w:r>
      <w:r w:rsidRPr="0054172A">
        <w:tab/>
      </w:r>
      <w:hyperlink r:id="rId48" w:history="1">
        <w:r w:rsidRPr="0054172A">
          <w:rPr>
            <w:rStyle w:val="Hyperlink"/>
            <w:rFonts w:eastAsia="Times New Roman" w:cs="Times New Roman"/>
            <w:szCs w:val="20"/>
          </w:rPr>
          <w:t>Célébrer le 20ème anniversaire et franchir les prochaines grandes étapes ensemble</w:t>
        </w:r>
      </w:hyperlink>
      <w:r w:rsidRPr="0054172A">
        <w:rPr>
          <w:lang w:eastAsia="en-GB"/>
        </w:rPr>
        <w:t xml:space="preserve"> – 15 décembre, siège du PNUD (New York). Organisée par l'UIT, le PNUD, l'UNESCO et la</w:t>
      </w:r>
      <w:r w:rsidR="00A34895" w:rsidRPr="0054172A">
        <w:rPr>
          <w:lang w:eastAsia="en-GB"/>
        </w:rPr>
        <w:t> </w:t>
      </w:r>
      <w:r w:rsidRPr="0054172A">
        <w:rPr>
          <w:lang w:eastAsia="en-GB"/>
        </w:rPr>
        <w:t>Suisse.</w:t>
      </w:r>
    </w:p>
    <w:p w14:paraId="3E13135C" w14:textId="40D67F28" w:rsidR="003F25E0" w:rsidRPr="00E65F8D" w:rsidRDefault="003F25E0" w:rsidP="00E65F8D">
      <w:pPr>
        <w:pStyle w:val="enumlev1"/>
        <w:spacing w:before="60"/>
        <w:jc w:val="both"/>
        <w:rPr>
          <w:spacing w:val="-2"/>
          <w:lang w:eastAsia="en-GB"/>
        </w:rPr>
      </w:pPr>
      <w:r w:rsidRPr="00E65F8D">
        <w:rPr>
          <w:spacing w:val="-2"/>
        </w:rPr>
        <w:t>–</w:t>
      </w:r>
      <w:r w:rsidRPr="00E65F8D">
        <w:rPr>
          <w:spacing w:val="-2"/>
        </w:rPr>
        <w:tab/>
      </w:r>
      <w:hyperlink r:id="rId49" w:history="1">
        <w:r w:rsidRPr="00E65F8D">
          <w:rPr>
            <w:rStyle w:val="Hyperlink"/>
            <w:rFonts w:eastAsia="Times New Roman" w:cs="Times New Roman"/>
            <w:spacing w:val="-2"/>
            <w:szCs w:val="20"/>
          </w:rPr>
          <w:t>Les Nations Unies à l'œuvre au service de la coopération dans le domaine du numérique</w:t>
        </w:r>
      </w:hyperlink>
      <w:r w:rsidRPr="00E65F8D">
        <w:rPr>
          <w:spacing w:val="-2"/>
          <w:lang w:eastAsia="en-GB"/>
        </w:rPr>
        <w:t xml:space="preserve"> – 15 décembre, siège du PNUD (New York). Organisée par l'UIT, la CNUCED, le PNUD, l'UNESCO et la CESAO des Nations Unies, en collaboration avec les membres du Groupe UNGIS.</w:t>
      </w:r>
    </w:p>
    <w:p w14:paraId="7CDA98CB" w14:textId="77777777" w:rsidR="003F25E0" w:rsidRPr="0054172A" w:rsidRDefault="003F25E0" w:rsidP="00606901">
      <w:pPr>
        <w:jc w:val="both"/>
        <w:rPr>
          <w:lang w:eastAsia="en-GB"/>
        </w:rPr>
      </w:pPr>
      <w:r w:rsidRPr="0054172A">
        <w:rPr>
          <w:lang w:eastAsia="en-GB"/>
        </w:rPr>
        <w:lastRenderedPageBreak/>
        <w:t>Organisées sous une forme hybride au siège du PNUD à New York, ces deux séances ont donné aux États Membres, aux entités des Nations Unies et aux parties prenantes l'occasion de faire part de leur expérience et de discuter des priorités pour faire progresser la coopération mondiale dans le domaine du numérique.</w:t>
      </w:r>
    </w:p>
    <w:p w14:paraId="6924A4EC" w14:textId="1FD5B4FE" w:rsidR="003F25E0" w:rsidRPr="0054172A" w:rsidRDefault="003F25E0" w:rsidP="00606901">
      <w:pPr>
        <w:jc w:val="both"/>
      </w:pPr>
      <w:r w:rsidRPr="0054172A">
        <w:rPr>
          <w:lang w:eastAsia="en-GB"/>
        </w:rPr>
        <w:t>En</w:t>
      </w:r>
      <w:r w:rsidRPr="0054172A">
        <w:t xml:space="preserve"> outre, l'UIT a organisé, en partenariat avec le PNUD, une édition spéciale de la manifestation </w:t>
      </w:r>
      <w:hyperlink r:id="rId50" w:anchor="/fr" w:history="1">
        <w:r w:rsidRPr="0054172A">
          <w:rPr>
            <w:rStyle w:val="Hyperlink"/>
            <w:rFonts w:eastAsia="Times New Roman" w:cs="Times New Roman"/>
            <w:szCs w:val="20"/>
            <w:lang w:eastAsia="en-GB"/>
          </w:rPr>
          <w:t>Digital@UNGA 2025</w:t>
        </w:r>
        <w:r w:rsidRPr="0054172A">
          <w:rPr>
            <w:rStyle w:val="Hyperlink"/>
            <w:rFonts w:eastAsia="Times New Roman" w:cs="Times New Roman"/>
            <w:szCs w:val="20"/>
          </w:rPr>
          <w:t xml:space="preserve"> consacrée au SMSI+20</w:t>
        </w:r>
      </w:hyperlink>
      <w:r w:rsidRPr="0054172A">
        <w:t xml:space="preserve"> sur le thème "Célébrer vingt ans de progrès numérique au service des hommes et de la prospérité". Cette manifestation a permis de montrer de quelle manière les technologies numériques, qui sont au cœur du cadre du SMSI, font avancer le développement durable dans les domaines de l'éducation, de la santé, de la connectivité, des services publics et de l'inclusion économique. Elle a en outre mis en lumière le rôle que joue la collaboration multi-parties prenantes, mise en œuvre au moyen d'initiatives telles que la Coalition pour le numérique "Partner2Connect", dans la mobilisation de ressources, de partenariats et d'engagements pour parvenir une connectivité universelle et efficace.</w:t>
      </w:r>
    </w:p>
    <w:p w14:paraId="3DD7D145" w14:textId="4A414B3D" w:rsidR="003F25E0" w:rsidRPr="0054172A" w:rsidRDefault="003F25E0" w:rsidP="00606901">
      <w:pPr>
        <w:jc w:val="both"/>
      </w:pPr>
      <w:r w:rsidRPr="0054172A">
        <w:t xml:space="preserve">L'UIT a de plus contribué activement à un large éventail de manifestations organisées en marge du SMSI+20 par des entités des Nations Unies et des partie prenantes, y compris en étant co-organisateur ou en y faisant des interventions sur des questions de fond. La liste complète de ces manifestations est disponible </w:t>
      </w:r>
      <w:hyperlink r:id="rId51" w:history="1">
        <w:r w:rsidRPr="0054172A">
          <w:rPr>
            <w:rStyle w:val="Hyperlink"/>
            <w:rFonts w:eastAsia="Times New Roman" w:cs="Times New Roman"/>
            <w:szCs w:val="20"/>
          </w:rPr>
          <w:t>ici</w:t>
        </w:r>
      </w:hyperlink>
      <w:r w:rsidRPr="0054172A">
        <w:t>.</w:t>
      </w:r>
    </w:p>
    <w:p w14:paraId="1B840E3F" w14:textId="5F1BC749" w:rsidR="003F25E0" w:rsidRPr="0054172A" w:rsidRDefault="003F25E0" w:rsidP="00A34895">
      <w:pPr>
        <w:pStyle w:val="Heading1"/>
        <w:rPr>
          <w:lang w:eastAsia="en-GB"/>
        </w:rPr>
      </w:pPr>
      <w:r w:rsidRPr="0054172A">
        <w:rPr>
          <w:lang w:eastAsia="en-GB"/>
        </w:rPr>
        <w:t>VII</w:t>
      </w:r>
      <w:r w:rsidRPr="0054172A">
        <w:rPr>
          <w:lang w:eastAsia="en-GB"/>
        </w:rPr>
        <w:tab/>
      </w:r>
      <w:r w:rsidR="00401FBC" w:rsidRPr="0054172A">
        <w:rPr>
          <w:lang w:eastAsia="en-GB"/>
        </w:rPr>
        <w:t>Prochaines étapes</w:t>
      </w:r>
    </w:p>
    <w:p w14:paraId="342359FC" w14:textId="5097DF0E" w:rsidR="003F25E0" w:rsidRPr="0054172A" w:rsidRDefault="003F25E0" w:rsidP="00606901">
      <w:pPr>
        <w:spacing w:before="80"/>
        <w:jc w:val="both"/>
        <w:rPr>
          <w:lang w:eastAsia="en-GB"/>
        </w:rPr>
      </w:pPr>
      <w:r w:rsidRPr="0054172A">
        <w:rPr>
          <w:lang w:eastAsia="en-GB"/>
        </w:rPr>
        <w:t>Le document adopté à la réunion de haut niveau du SMSI+20 donne un mandat renouvelé et des orientations stratégiques pour que l'UIT continue à être le chef de file de la mise en œuvre des résultats du SMSI. Le Secrétariat intégrera les éléments de la Résolution adoptée dans les prochaines versions mises à jour des rapports et feuilles de route se rapportant au SMSI, appuiera le suivi par l'intermédiaire du GTC-SMSI/ODD, de l'Équipe spéciale, du Groupe UNGIS, du Partenariat et d'autres mécanismes, et continuera de travailler avec les</w:t>
      </w:r>
      <w:r w:rsidR="00A34895" w:rsidRPr="0054172A">
        <w:rPr>
          <w:lang w:eastAsia="en-GB"/>
        </w:rPr>
        <w:t> </w:t>
      </w:r>
      <w:r w:rsidRPr="0054172A">
        <w:rPr>
          <w:lang w:eastAsia="en-GB"/>
        </w:rPr>
        <w:t>États Membres et les parties prenantes pour traduire les engagements pris dans le cadre du SMSI en effets concrets à l'horizon 2030 puis 2035. Dans ce contexte, l'UIT s'attachera à faire progresser les travaux préparatoires et les échanges pendant la session de 2026 du Conseil et pendant la Conférence de plénipotentiaires de 2026, pour faire en sorte que les priorités, les feuilles de route et les résultats liés au SMIS soient pleinement pris en compte dans les discussions, les décisions et la planification stratégique à l'échelle de l'Union.</w:t>
      </w:r>
    </w:p>
    <w:p w14:paraId="1EC748D6" w14:textId="3C156E83" w:rsidR="003F25E0" w:rsidRPr="0054172A" w:rsidRDefault="003F25E0" w:rsidP="00606901">
      <w:pPr>
        <w:spacing w:before="2400"/>
        <w:rPr>
          <w:lang w:eastAsia="en-GB"/>
        </w:rPr>
      </w:pPr>
      <w:proofErr w:type="gramStart"/>
      <w:r w:rsidRPr="0054172A">
        <w:rPr>
          <w:b/>
          <w:bCs/>
          <w:lang w:eastAsia="en-GB"/>
        </w:rPr>
        <w:t>Annexe</w:t>
      </w:r>
      <w:r w:rsidRPr="0054172A">
        <w:rPr>
          <w:lang w:eastAsia="en-GB"/>
        </w:rPr>
        <w:t>:</w:t>
      </w:r>
      <w:proofErr w:type="gramEnd"/>
      <w:r w:rsidRPr="0054172A">
        <w:rPr>
          <w:lang w:eastAsia="en-GB"/>
        </w:rPr>
        <w:t xml:space="preserve"> 1</w:t>
      </w:r>
      <w:r w:rsidRPr="0054172A">
        <w:rPr>
          <w:lang w:eastAsia="en-GB"/>
        </w:rPr>
        <w:br w:type="page"/>
      </w:r>
    </w:p>
    <w:p w14:paraId="1D3D5D0D" w14:textId="70B7D5D1" w:rsidR="003F25E0" w:rsidRPr="0054172A" w:rsidRDefault="003F25E0" w:rsidP="009B5612">
      <w:pPr>
        <w:pStyle w:val="AnnexNo"/>
      </w:pPr>
      <w:bookmarkStart w:id="0" w:name="ANNEXE"/>
      <w:r w:rsidRPr="0054172A">
        <w:lastRenderedPageBreak/>
        <w:t>ANNEXE</w:t>
      </w:r>
      <w:bookmarkEnd w:id="0"/>
    </w:p>
    <w:p w14:paraId="23573205" w14:textId="14D7B0F5" w:rsidR="003F25E0" w:rsidRPr="0054172A" w:rsidRDefault="00401FBC" w:rsidP="00401FBC">
      <w:pPr>
        <w:pStyle w:val="Annextitle"/>
      </w:pPr>
      <w:r w:rsidRPr="0054172A">
        <w:t>Paragraphes du document final du SMSI+20 faisant référence</w:t>
      </w:r>
      <w:r w:rsidRPr="0054172A">
        <w:br/>
        <w:t>à l'engagement et aux activités de l'UIT en faveur de</w:t>
      </w:r>
      <w:r w:rsidRPr="0054172A">
        <w:br/>
        <w:t>la mise en œuvre du processus du SMSI</w:t>
      </w:r>
    </w:p>
    <w:p w14:paraId="73D15DA5" w14:textId="113CD98E" w:rsidR="003F25E0" w:rsidRPr="0054172A" w:rsidRDefault="003F25E0" w:rsidP="00606901">
      <w:pPr>
        <w:jc w:val="both"/>
        <w:rPr>
          <w:i/>
          <w:iCs/>
        </w:rPr>
      </w:pPr>
      <w:r w:rsidRPr="0054172A">
        <w:rPr>
          <w:i/>
          <w:iCs/>
        </w:rPr>
        <w:t>S</w:t>
      </w:r>
      <w:r w:rsidR="000A4706" w:rsidRPr="0054172A">
        <w:rPr>
          <w:i/>
          <w:iCs/>
        </w:rPr>
        <w:t>'</w:t>
      </w:r>
      <w:r w:rsidRPr="0054172A">
        <w:rPr>
          <w:i/>
          <w:iCs/>
        </w:rPr>
        <w:t>appuyant sur le rapport d</w:t>
      </w:r>
      <w:r w:rsidR="000A4706" w:rsidRPr="0054172A">
        <w:rPr>
          <w:i/>
          <w:iCs/>
        </w:rPr>
        <w:t>'</w:t>
      </w:r>
      <w:r w:rsidRPr="0054172A">
        <w:rPr>
          <w:i/>
          <w:iCs/>
        </w:rPr>
        <w:t>examen 20 ans après élaboré en avril 2025 par la Commission de la science et de la technique au service du développement, sur les résultats du Forum sur la gouvernance d</w:t>
      </w:r>
      <w:r w:rsidR="000A4706" w:rsidRPr="0054172A">
        <w:rPr>
          <w:i/>
          <w:iCs/>
        </w:rPr>
        <w:t>'</w:t>
      </w:r>
      <w:r w:rsidRPr="0054172A">
        <w:rPr>
          <w:i/>
          <w:iCs/>
        </w:rPr>
        <w:t>Internet tenu en Norvège en juin 2025 et de la manifestation de haut niveau du Forum du SMSI+20 2024 tenue en juillet 2025, sur les consultations menées par l</w:t>
      </w:r>
      <w:r w:rsidR="000A4706" w:rsidRPr="0054172A">
        <w:rPr>
          <w:i/>
          <w:iCs/>
        </w:rPr>
        <w:t>'</w:t>
      </w:r>
      <w:r w:rsidRPr="0054172A">
        <w:rPr>
          <w:i/>
          <w:iCs/>
        </w:rPr>
        <w:t>Organisation des Nations Unies pour l</w:t>
      </w:r>
      <w:r w:rsidR="000A4706" w:rsidRPr="0054172A">
        <w:rPr>
          <w:i/>
          <w:iCs/>
        </w:rPr>
        <w:t>'</w:t>
      </w:r>
      <w:r w:rsidRPr="0054172A">
        <w:rPr>
          <w:i/>
          <w:iCs/>
        </w:rPr>
        <w:t>éducation, la science et la culture en juin 2025, sur d</w:t>
      </w:r>
      <w:r w:rsidR="000A4706" w:rsidRPr="0054172A">
        <w:rPr>
          <w:i/>
          <w:iCs/>
        </w:rPr>
        <w:t>'</w:t>
      </w:r>
      <w:r w:rsidRPr="0054172A">
        <w:rPr>
          <w:i/>
          <w:iCs/>
        </w:rPr>
        <w:t>autres conférences internationales et régionales et sur les contributions des entités qui facilitent la mise en œuvre des grandes orientations arrêtées au Sommet mondial sur la société de l</w:t>
      </w:r>
      <w:r w:rsidR="000A4706" w:rsidRPr="0054172A">
        <w:rPr>
          <w:i/>
          <w:iCs/>
        </w:rPr>
        <w:t>'</w:t>
      </w:r>
      <w:r w:rsidRPr="0054172A">
        <w:rPr>
          <w:i/>
          <w:iCs/>
        </w:rPr>
        <w:t>information,</w:t>
      </w:r>
    </w:p>
    <w:p w14:paraId="42026CE4" w14:textId="4504837D" w:rsidR="003F25E0" w:rsidRPr="0054172A" w:rsidRDefault="003F25E0" w:rsidP="00606901">
      <w:pPr>
        <w:jc w:val="both"/>
        <w:rPr>
          <w:i/>
          <w:iCs/>
        </w:rPr>
      </w:pPr>
      <w:r w:rsidRPr="0054172A">
        <w:rPr>
          <w:i/>
          <w:iCs/>
        </w:rPr>
        <w:t>9</w:t>
      </w:r>
      <w:r w:rsidRPr="0054172A">
        <w:rPr>
          <w:i/>
          <w:iCs/>
        </w:rPr>
        <w:tab/>
        <w:t>Nous savons que la connectivité universelle et un accès aux technologies de l</w:t>
      </w:r>
      <w:r w:rsidR="000A4706" w:rsidRPr="0054172A">
        <w:rPr>
          <w:i/>
          <w:iCs/>
        </w:rPr>
        <w:t>'</w:t>
      </w:r>
      <w:r w:rsidRPr="0054172A">
        <w:rPr>
          <w:i/>
          <w:iCs/>
        </w:rPr>
        <w:t>information et des communications et à Internet, qui soit efficace et d</w:t>
      </w:r>
      <w:r w:rsidR="000A4706" w:rsidRPr="0054172A">
        <w:rPr>
          <w:i/>
          <w:iCs/>
        </w:rPr>
        <w:t>'</w:t>
      </w:r>
      <w:r w:rsidRPr="0054172A">
        <w:rPr>
          <w:i/>
          <w:iCs/>
        </w:rPr>
        <w:t>un coût abordable, sont fondamentaux pour donner corps aux ambitions du Sommet mondial.</w:t>
      </w:r>
    </w:p>
    <w:p w14:paraId="72183AAC" w14:textId="42762ADE" w:rsidR="003F25E0" w:rsidRPr="0054172A" w:rsidRDefault="003F25E0" w:rsidP="00606901">
      <w:pPr>
        <w:jc w:val="both"/>
        <w:rPr>
          <w:i/>
          <w:iCs/>
        </w:rPr>
      </w:pPr>
      <w:r w:rsidRPr="0054172A">
        <w:rPr>
          <w:i/>
          <w:iCs/>
        </w:rPr>
        <w:t>18</w:t>
      </w:r>
      <w:r w:rsidRPr="0054172A">
        <w:rPr>
          <w:i/>
          <w:iCs/>
        </w:rPr>
        <w:tab/>
        <w:t>Nous réaffirmons que les grandes orientations arrêtées au Sommet mondial, qui sont énoncées dans le Plan d</w:t>
      </w:r>
      <w:r w:rsidR="000A4706" w:rsidRPr="0054172A">
        <w:rPr>
          <w:i/>
          <w:iCs/>
        </w:rPr>
        <w:t>'</w:t>
      </w:r>
      <w:r w:rsidRPr="0054172A">
        <w:rPr>
          <w:i/>
          <w:iCs/>
        </w:rPr>
        <w:t>action de Genève, sont le principal cadre qui permet de concrétiser les ambitions du Sommet. Nous soulignons qu</w:t>
      </w:r>
      <w:r w:rsidR="000A4706" w:rsidRPr="0054172A">
        <w:rPr>
          <w:i/>
          <w:iCs/>
        </w:rPr>
        <w:t>'</w:t>
      </w:r>
      <w:r w:rsidRPr="0054172A">
        <w:rPr>
          <w:i/>
          <w:iCs/>
        </w:rPr>
        <w:t>il importe de renforcer la mise en œuvre, le suivi et l</w:t>
      </w:r>
      <w:r w:rsidR="000A4706" w:rsidRPr="0054172A">
        <w:rPr>
          <w:i/>
          <w:iCs/>
        </w:rPr>
        <w:t>'</w:t>
      </w:r>
      <w:r w:rsidRPr="0054172A">
        <w:rPr>
          <w:i/>
          <w:iCs/>
        </w:rPr>
        <w:t>examen des grandes orientations du Sommet mondial, et de veiller à ce qu</w:t>
      </w:r>
      <w:r w:rsidR="000A4706" w:rsidRPr="0054172A">
        <w:rPr>
          <w:i/>
          <w:iCs/>
        </w:rPr>
        <w:t>'</w:t>
      </w:r>
      <w:r w:rsidRPr="0054172A">
        <w:rPr>
          <w:i/>
          <w:iCs/>
        </w:rPr>
        <w:t>elles restent alignées sur les ambitions du Sommet et à ce qu</w:t>
      </w:r>
      <w:r w:rsidR="000A4706" w:rsidRPr="0054172A">
        <w:rPr>
          <w:i/>
          <w:iCs/>
        </w:rPr>
        <w:t>'</w:t>
      </w:r>
      <w:r w:rsidRPr="0054172A">
        <w:rPr>
          <w:i/>
          <w:iCs/>
        </w:rPr>
        <w:t>elles continuent de contribuer au Programme de développement durable à l</w:t>
      </w:r>
      <w:r w:rsidR="000A4706" w:rsidRPr="0054172A">
        <w:rPr>
          <w:i/>
          <w:iCs/>
        </w:rPr>
        <w:t>'</w:t>
      </w:r>
      <w:r w:rsidRPr="0054172A">
        <w:rPr>
          <w:i/>
          <w:iCs/>
        </w:rPr>
        <w:t>horizon 2030.</w:t>
      </w:r>
    </w:p>
    <w:p w14:paraId="268FBC24" w14:textId="27943B0F" w:rsidR="003F25E0" w:rsidRPr="0054172A" w:rsidRDefault="003F25E0" w:rsidP="00606901">
      <w:pPr>
        <w:jc w:val="both"/>
        <w:rPr>
          <w:i/>
          <w:iCs/>
        </w:rPr>
      </w:pPr>
      <w:r w:rsidRPr="0054172A">
        <w:rPr>
          <w:i/>
          <w:iCs/>
        </w:rPr>
        <w:t>20</w:t>
      </w:r>
      <w:r w:rsidRPr="0054172A">
        <w:rPr>
          <w:i/>
          <w:iCs/>
        </w:rPr>
        <w:tab/>
        <w:t>Nous saluons l</w:t>
      </w:r>
      <w:r w:rsidR="000A4706" w:rsidRPr="0054172A">
        <w:rPr>
          <w:i/>
          <w:iCs/>
        </w:rPr>
        <w:t>'</w:t>
      </w:r>
      <w:r w:rsidRPr="0054172A">
        <w:rPr>
          <w:i/>
          <w:iCs/>
        </w:rPr>
        <w:t>élargissement spectaculaire de l</w:t>
      </w:r>
      <w:r w:rsidR="000A4706" w:rsidRPr="0054172A">
        <w:rPr>
          <w:i/>
          <w:iCs/>
        </w:rPr>
        <w:t>'</w:t>
      </w:r>
      <w:r w:rsidRPr="0054172A">
        <w:rPr>
          <w:i/>
          <w:iCs/>
        </w:rPr>
        <w:t>accès à Internet et aux services numériques qui a eu lieu depuis le Sommet mondial sur la société de l</w:t>
      </w:r>
      <w:r w:rsidR="000A4706" w:rsidRPr="0054172A">
        <w:rPr>
          <w:i/>
          <w:iCs/>
        </w:rPr>
        <w:t>'</w:t>
      </w:r>
      <w:r w:rsidRPr="0054172A">
        <w:rPr>
          <w:i/>
          <w:iCs/>
        </w:rPr>
        <w:t>information. Selon l</w:t>
      </w:r>
      <w:r w:rsidR="000A4706" w:rsidRPr="0054172A">
        <w:rPr>
          <w:i/>
          <w:iCs/>
        </w:rPr>
        <w:t>'</w:t>
      </w:r>
      <w:r w:rsidRPr="0054172A">
        <w:rPr>
          <w:i/>
          <w:iCs/>
        </w:rPr>
        <w:t>Union internationale des télécommunications, plus de 93% de la population mondiale vit aujourd</w:t>
      </w:r>
      <w:r w:rsidR="000A4706" w:rsidRPr="0054172A">
        <w:rPr>
          <w:i/>
          <w:iCs/>
        </w:rPr>
        <w:t>'</w:t>
      </w:r>
      <w:r w:rsidRPr="0054172A">
        <w:rPr>
          <w:i/>
          <w:iCs/>
        </w:rPr>
        <w:t>hui dans des zones couvertes par des réseaux 4G. La proportion de personnes âgées de 10 ans et plus qui ont un téléphone portable a atteint 82% à l</w:t>
      </w:r>
      <w:r w:rsidR="000A4706" w:rsidRPr="0054172A">
        <w:rPr>
          <w:i/>
          <w:iCs/>
        </w:rPr>
        <w:t>'</w:t>
      </w:r>
      <w:r w:rsidRPr="0054172A">
        <w:rPr>
          <w:i/>
          <w:iCs/>
        </w:rPr>
        <w:t>échelle mondiale, tandis que l</w:t>
      </w:r>
      <w:r w:rsidR="000A4706" w:rsidRPr="0054172A">
        <w:rPr>
          <w:i/>
          <w:iCs/>
        </w:rPr>
        <w:t>'</w:t>
      </w:r>
      <w:r w:rsidRPr="0054172A">
        <w:rPr>
          <w:i/>
          <w:iCs/>
        </w:rPr>
        <w:t>utilisation d</w:t>
      </w:r>
      <w:r w:rsidR="000A4706" w:rsidRPr="0054172A">
        <w:rPr>
          <w:i/>
          <w:iCs/>
        </w:rPr>
        <w:t>'</w:t>
      </w:r>
      <w:r w:rsidRPr="0054172A">
        <w:rPr>
          <w:i/>
          <w:iCs/>
        </w:rPr>
        <w:t>Internet est passée d</w:t>
      </w:r>
      <w:r w:rsidR="000A4706" w:rsidRPr="0054172A">
        <w:rPr>
          <w:i/>
          <w:iCs/>
        </w:rPr>
        <w:t>'</w:t>
      </w:r>
      <w:r w:rsidRPr="0054172A">
        <w:rPr>
          <w:i/>
          <w:iCs/>
        </w:rPr>
        <w:t>un peu plus de 15% en 2005 à 74% en 2025.</w:t>
      </w:r>
    </w:p>
    <w:p w14:paraId="73317B08" w14:textId="572D009E" w:rsidR="003F25E0" w:rsidRPr="0054172A" w:rsidRDefault="003F25E0" w:rsidP="00606901">
      <w:pPr>
        <w:jc w:val="both"/>
        <w:rPr>
          <w:i/>
          <w:iCs/>
        </w:rPr>
      </w:pPr>
      <w:r w:rsidRPr="0054172A">
        <w:rPr>
          <w:i/>
          <w:iCs/>
        </w:rPr>
        <w:t>21</w:t>
      </w:r>
      <w:r w:rsidRPr="0054172A">
        <w:rPr>
          <w:i/>
          <w:iCs/>
        </w:rPr>
        <w:tab/>
        <w:t>Nous sommes toutefois très préoccupés par les fractures numériques béantes qui persistent entre les régions, les pays et les populations et à l</w:t>
      </w:r>
      <w:r w:rsidR="000A4706" w:rsidRPr="0054172A">
        <w:rPr>
          <w:i/>
          <w:iCs/>
        </w:rPr>
        <w:t>'</w:t>
      </w:r>
      <w:r w:rsidRPr="0054172A">
        <w:rPr>
          <w:i/>
          <w:iCs/>
        </w:rPr>
        <w:t>intérieur d</w:t>
      </w:r>
      <w:r w:rsidR="000A4706" w:rsidRPr="0054172A">
        <w:rPr>
          <w:i/>
          <w:iCs/>
        </w:rPr>
        <w:t>'</w:t>
      </w:r>
      <w:r w:rsidRPr="0054172A">
        <w:rPr>
          <w:i/>
          <w:iCs/>
        </w:rPr>
        <w:t>une même région, d</w:t>
      </w:r>
      <w:r w:rsidR="000A4706" w:rsidRPr="0054172A">
        <w:rPr>
          <w:i/>
          <w:iCs/>
        </w:rPr>
        <w:t>'</w:t>
      </w:r>
      <w:r w:rsidRPr="0054172A">
        <w:rPr>
          <w:i/>
          <w:iCs/>
        </w:rPr>
        <w:t>un même pays et d</w:t>
      </w:r>
      <w:r w:rsidR="000A4706" w:rsidRPr="0054172A">
        <w:rPr>
          <w:i/>
          <w:iCs/>
        </w:rPr>
        <w:t>'</w:t>
      </w:r>
      <w:r w:rsidRPr="0054172A">
        <w:rPr>
          <w:i/>
          <w:iCs/>
        </w:rPr>
        <w:t>une même population, qui posent des problèmes particuliers aux pays en développement. La proportion de personnes qui, selon l</w:t>
      </w:r>
      <w:r w:rsidR="000A4706" w:rsidRPr="0054172A">
        <w:rPr>
          <w:i/>
          <w:iCs/>
        </w:rPr>
        <w:t>'</w:t>
      </w:r>
      <w:r w:rsidRPr="0054172A">
        <w:rPr>
          <w:i/>
          <w:iCs/>
        </w:rPr>
        <w:t>Union internationale des télécommunications, utilisent Internet dans les pays à revenu élevé (94%) est plus de quatre fois supérieure à celle des pays à faible revenu (23%), la proportion étant inférieure à 20% dans certains pays. La part de la population qui, selon l</w:t>
      </w:r>
      <w:r w:rsidR="000A4706" w:rsidRPr="0054172A">
        <w:rPr>
          <w:i/>
          <w:iCs/>
        </w:rPr>
        <w:t>'</w:t>
      </w:r>
      <w:r w:rsidRPr="0054172A">
        <w:rPr>
          <w:i/>
          <w:iCs/>
        </w:rPr>
        <w:t>Union internationale des télécommunications, a accès à Internet dans les zones urbaines du monde entier est estimée à près de 85%, contre 58% dans les zones rurales.</w:t>
      </w:r>
    </w:p>
    <w:p w14:paraId="4C49C676" w14:textId="7BAD2ACC" w:rsidR="003F25E0" w:rsidRPr="0054172A" w:rsidRDefault="003F25E0" w:rsidP="00606901">
      <w:pPr>
        <w:jc w:val="both"/>
        <w:rPr>
          <w:i/>
          <w:iCs/>
        </w:rPr>
      </w:pPr>
      <w:r w:rsidRPr="0054172A">
        <w:rPr>
          <w:i/>
          <w:iCs/>
        </w:rPr>
        <w:t>22</w:t>
      </w:r>
      <w:r w:rsidRPr="0054172A">
        <w:rPr>
          <w:i/>
          <w:iCs/>
        </w:rPr>
        <w:tab/>
        <w:t>Nous sommes particulièrement préoccupés par les fractures numériques qui persistent entre les genres. Selon l</w:t>
      </w:r>
      <w:r w:rsidR="000A4706" w:rsidRPr="0054172A">
        <w:rPr>
          <w:i/>
          <w:iCs/>
        </w:rPr>
        <w:t>'</w:t>
      </w:r>
      <w:r w:rsidRPr="0054172A">
        <w:rPr>
          <w:i/>
          <w:iCs/>
        </w:rPr>
        <w:t>Union internationale des télécommunications, seulement 78% des femmes et des filles âgées de 10 ans et plus dans le monde utilisent un téléphone portable, contre 87% des hommes, et seulement 71% des femmes utilisent Internet, contre près de 77% des hommes. Les femmes et les filles sont également sous-représentées dans l</w:t>
      </w:r>
      <w:r w:rsidR="000A4706" w:rsidRPr="0054172A">
        <w:rPr>
          <w:i/>
          <w:iCs/>
        </w:rPr>
        <w:t>'</w:t>
      </w:r>
      <w:r w:rsidRPr="0054172A">
        <w:rPr>
          <w:i/>
          <w:iCs/>
        </w:rPr>
        <w:t>enseignement des sciences, de la technologie, de l</w:t>
      </w:r>
      <w:r w:rsidR="000A4706" w:rsidRPr="0054172A">
        <w:rPr>
          <w:i/>
          <w:iCs/>
        </w:rPr>
        <w:t>'</w:t>
      </w:r>
      <w:r w:rsidRPr="0054172A">
        <w:rPr>
          <w:i/>
          <w:iCs/>
        </w:rPr>
        <w:t>ingénierie et des mathématiques, et dans l</w:t>
      </w:r>
      <w:r w:rsidR="000A4706" w:rsidRPr="0054172A">
        <w:rPr>
          <w:i/>
          <w:iCs/>
        </w:rPr>
        <w:t>'</w:t>
      </w:r>
      <w:r w:rsidRPr="0054172A">
        <w:rPr>
          <w:i/>
          <w:iCs/>
        </w:rPr>
        <w:t>emploi, l</w:t>
      </w:r>
      <w:r w:rsidR="000A4706" w:rsidRPr="0054172A">
        <w:rPr>
          <w:i/>
          <w:iCs/>
        </w:rPr>
        <w:t>'</w:t>
      </w:r>
      <w:r w:rsidRPr="0054172A">
        <w:rPr>
          <w:i/>
          <w:iCs/>
        </w:rPr>
        <w:t>entrepreneuriat et d</w:t>
      </w:r>
      <w:r w:rsidR="000A4706" w:rsidRPr="0054172A">
        <w:rPr>
          <w:i/>
          <w:iCs/>
        </w:rPr>
        <w:t>'</w:t>
      </w:r>
      <w:r w:rsidRPr="0054172A">
        <w:rPr>
          <w:i/>
          <w:iCs/>
        </w:rPr>
        <w:t>autres domaines de l</w:t>
      </w:r>
      <w:r w:rsidR="000A4706" w:rsidRPr="0054172A">
        <w:rPr>
          <w:i/>
          <w:iCs/>
        </w:rPr>
        <w:t>'</w:t>
      </w:r>
      <w:r w:rsidRPr="0054172A">
        <w:rPr>
          <w:i/>
          <w:iCs/>
        </w:rPr>
        <w:t xml:space="preserve">activité numérique. Toutes les parties prenantes </w:t>
      </w:r>
      <w:r w:rsidRPr="0054172A">
        <w:rPr>
          <w:i/>
          <w:iCs/>
        </w:rPr>
        <w:lastRenderedPageBreak/>
        <w:t>ont un rôle à jouer pour ce qui est de lutter contre ces fractures numériques entre les genres et d</w:t>
      </w:r>
      <w:r w:rsidR="000A4706" w:rsidRPr="0054172A">
        <w:rPr>
          <w:i/>
          <w:iCs/>
        </w:rPr>
        <w:t>'</w:t>
      </w:r>
      <w:r w:rsidRPr="0054172A">
        <w:rPr>
          <w:i/>
          <w:iCs/>
        </w:rPr>
        <w:t>y remédier.</w:t>
      </w:r>
    </w:p>
    <w:p w14:paraId="454F6DB7" w14:textId="45778FFD" w:rsidR="003F25E0" w:rsidRPr="0054172A" w:rsidRDefault="003F25E0" w:rsidP="00606901">
      <w:pPr>
        <w:jc w:val="both"/>
        <w:rPr>
          <w:i/>
          <w:iCs/>
        </w:rPr>
      </w:pPr>
      <w:r w:rsidRPr="0054172A">
        <w:rPr>
          <w:i/>
          <w:iCs/>
        </w:rPr>
        <w:t>53</w:t>
      </w:r>
      <w:r w:rsidRPr="0054172A">
        <w:rPr>
          <w:i/>
          <w:iCs/>
        </w:rPr>
        <w:tab/>
        <w:t>Nous saluons le travail que font les commissions régionales et d</w:t>
      </w:r>
      <w:r w:rsidR="000A4706" w:rsidRPr="0054172A">
        <w:rPr>
          <w:i/>
          <w:iCs/>
        </w:rPr>
        <w:t>'</w:t>
      </w:r>
      <w:r w:rsidRPr="0054172A">
        <w:rPr>
          <w:i/>
          <w:iCs/>
        </w:rPr>
        <w:t>autres organisations régionales pour soutenir l</w:t>
      </w:r>
      <w:r w:rsidR="000A4706" w:rsidRPr="0054172A">
        <w:rPr>
          <w:i/>
          <w:iCs/>
        </w:rPr>
        <w:t>'</w:t>
      </w:r>
      <w:r w:rsidRPr="0054172A">
        <w:rPr>
          <w:i/>
          <w:iCs/>
        </w:rPr>
        <w:t>instauration d</w:t>
      </w:r>
      <w:r w:rsidR="000A4706" w:rsidRPr="0054172A">
        <w:rPr>
          <w:i/>
          <w:iCs/>
        </w:rPr>
        <w:t>'</w:t>
      </w:r>
      <w:r w:rsidRPr="0054172A">
        <w:rPr>
          <w:i/>
          <w:iCs/>
        </w:rPr>
        <w:t>un climat positif et favorable. Nous les invitons, ainsi que la Commission de la science et de la technologie au service du développement et les entités qui facilitent la mise en œuvre des grandes orientations, dans le cadre de leur mandat, à partager leur expérience en matière de climat favorable et à aider à élaborer des directives de politique générale, à mettre en place une assistance technique et à renforcer les capacités, selon qu</w:t>
      </w:r>
      <w:r w:rsidR="000A4706" w:rsidRPr="0054172A">
        <w:rPr>
          <w:i/>
          <w:iCs/>
        </w:rPr>
        <w:t>'</w:t>
      </w:r>
      <w:r w:rsidRPr="0054172A">
        <w:rPr>
          <w:i/>
          <w:iCs/>
        </w:rPr>
        <w:t>il conviendra et si on leur en fait la demande.</w:t>
      </w:r>
    </w:p>
    <w:p w14:paraId="1330DEF3" w14:textId="51A13C35" w:rsidR="003F25E0" w:rsidRPr="0054172A" w:rsidRDefault="003F25E0" w:rsidP="00606901">
      <w:pPr>
        <w:jc w:val="both"/>
        <w:rPr>
          <w:i/>
          <w:iCs/>
        </w:rPr>
      </w:pPr>
      <w:r w:rsidRPr="0054172A">
        <w:rPr>
          <w:i/>
          <w:iCs/>
        </w:rPr>
        <w:t>67</w:t>
      </w:r>
      <w:r w:rsidRPr="0054172A">
        <w:rPr>
          <w:i/>
          <w:iCs/>
        </w:rPr>
        <w:tab/>
        <w:t>Nous invitons l</w:t>
      </w:r>
      <w:r w:rsidR="000A4706" w:rsidRPr="0054172A">
        <w:rPr>
          <w:i/>
          <w:iCs/>
        </w:rPr>
        <w:t>'</w:t>
      </w:r>
      <w:r w:rsidRPr="0054172A">
        <w:rPr>
          <w:i/>
          <w:iCs/>
        </w:rPr>
        <w:t>Union internationale des télécommunications, qui assure le secrétariat du Groupe des Nations Unies sur la société de l</w:t>
      </w:r>
      <w:r w:rsidR="000A4706" w:rsidRPr="0054172A">
        <w:rPr>
          <w:i/>
          <w:iCs/>
        </w:rPr>
        <w:t>'</w:t>
      </w:r>
      <w:r w:rsidRPr="0054172A">
        <w:rPr>
          <w:i/>
          <w:iCs/>
        </w:rPr>
        <w:t>information, à constituer en interne, en collaboration avec les entités qui facilitent la mise en œuvre des grandes orientations arrêtées au Sommet mondial et d</w:t>
      </w:r>
      <w:r w:rsidR="000A4706" w:rsidRPr="0054172A">
        <w:rPr>
          <w:i/>
          <w:iCs/>
        </w:rPr>
        <w:t>'</w:t>
      </w:r>
      <w:r w:rsidRPr="0054172A">
        <w:rPr>
          <w:i/>
          <w:iCs/>
        </w:rPr>
        <w:t>autres membres du Groupe et au moyen des ressources existantes, une équipe spéciale chargée de formuler des recommandations concrètes sur les moyens de renforcer les mécanismes de financement du développement numérique des pays en développement, après avoir analysé les lacunes et les difficultés qui se présentent à cet égard, et ce, en s</w:t>
      </w:r>
      <w:r w:rsidR="000A4706" w:rsidRPr="0054172A">
        <w:rPr>
          <w:i/>
          <w:iCs/>
        </w:rPr>
        <w:t>'</w:t>
      </w:r>
      <w:r w:rsidRPr="0054172A">
        <w:rPr>
          <w:i/>
          <w:iCs/>
        </w:rPr>
        <w:t>inspirant des meilleures pratiques existantes, notamment celles des institutions financières multilatérales, des partenaires de développement et d</w:t>
      </w:r>
      <w:r w:rsidR="000A4706" w:rsidRPr="0054172A">
        <w:rPr>
          <w:i/>
          <w:iCs/>
        </w:rPr>
        <w:t>'</w:t>
      </w:r>
      <w:r w:rsidRPr="0054172A">
        <w:rPr>
          <w:i/>
          <w:iCs/>
        </w:rPr>
        <w:t>autres parties concernées comme le secteur privé, et en les complétant. Nous demandons en outre que l</w:t>
      </w:r>
      <w:r w:rsidR="000A4706" w:rsidRPr="0054172A">
        <w:rPr>
          <w:i/>
          <w:iCs/>
        </w:rPr>
        <w:t>'</w:t>
      </w:r>
      <w:r w:rsidRPr="0054172A">
        <w:rPr>
          <w:i/>
          <w:iCs/>
        </w:rPr>
        <w:t>équipe ait achevé ses travaux à la trentième session de la Commission de la science et de la technique au service du développement, qui se tiendra en 2027, et qu</w:t>
      </w:r>
      <w:r w:rsidR="000A4706" w:rsidRPr="0054172A">
        <w:rPr>
          <w:i/>
          <w:iCs/>
        </w:rPr>
        <w:t>'</w:t>
      </w:r>
      <w:r w:rsidRPr="0054172A">
        <w:rPr>
          <w:i/>
          <w:iCs/>
        </w:rPr>
        <w:t>elle présente ses conclusions à la Commission à cette même session, de façon que les États Membres puissent les examiner. Nous invitons enfin l</w:t>
      </w:r>
      <w:r w:rsidR="000A4706" w:rsidRPr="0054172A">
        <w:rPr>
          <w:i/>
          <w:iCs/>
        </w:rPr>
        <w:t>'</w:t>
      </w:r>
      <w:r w:rsidRPr="0054172A">
        <w:rPr>
          <w:i/>
          <w:iCs/>
        </w:rPr>
        <w:t>équipe à examiner de près les engagements financiers nécessaires à la mise en œuvre desdites conclusions.</w:t>
      </w:r>
    </w:p>
    <w:p w14:paraId="54E5BF1B" w14:textId="01A114B4" w:rsidR="003F25E0" w:rsidRPr="0054172A" w:rsidRDefault="003F25E0" w:rsidP="00606901">
      <w:pPr>
        <w:jc w:val="both"/>
        <w:rPr>
          <w:i/>
          <w:iCs/>
        </w:rPr>
      </w:pPr>
      <w:r w:rsidRPr="0054172A">
        <w:rPr>
          <w:i/>
          <w:iCs/>
        </w:rPr>
        <w:t>86</w:t>
      </w:r>
      <w:r w:rsidRPr="0054172A">
        <w:rPr>
          <w:i/>
          <w:iCs/>
        </w:rPr>
        <w:tab/>
        <w:t>Nous demandons au Groupe de travail interinstitutions sur l</w:t>
      </w:r>
      <w:r w:rsidR="000A4706" w:rsidRPr="0054172A">
        <w:rPr>
          <w:i/>
          <w:iCs/>
        </w:rPr>
        <w:t>'</w:t>
      </w:r>
      <w:r w:rsidRPr="0054172A">
        <w:rPr>
          <w:i/>
          <w:iCs/>
        </w:rPr>
        <w:t>intelligence artificielle, agissant en concertation avec les entités qui facilitent la mise en œuvre des grandes orientations, de dresser l</w:t>
      </w:r>
      <w:r w:rsidR="000A4706" w:rsidRPr="0054172A">
        <w:rPr>
          <w:i/>
          <w:iCs/>
        </w:rPr>
        <w:t>'</w:t>
      </w:r>
      <w:r w:rsidRPr="0054172A">
        <w:rPr>
          <w:i/>
          <w:iCs/>
        </w:rPr>
        <w:t>inventaire des initiatives de renforcement des capacités engagées à l</w:t>
      </w:r>
      <w:r w:rsidR="000A4706" w:rsidRPr="0054172A">
        <w:rPr>
          <w:i/>
          <w:iCs/>
        </w:rPr>
        <w:t>'</w:t>
      </w:r>
      <w:r w:rsidRPr="0054172A">
        <w:rPr>
          <w:i/>
          <w:iCs/>
        </w:rPr>
        <w:t>échelle du système des Nations Unies, de recenser d</w:t>
      </w:r>
      <w:r w:rsidR="000A4706" w:rsidRPr="0054172A">
        <w:rPr>
          <w:i/>
          <w:iCs/>
        </w:rPr>
        <w:t>'</w:t>
      </w:r>
      <w:r w:rsidRPr="0054172A">
        <w:rPr>
          <w:i/>
          <w:iCs/>
        </w:rPr>
        <w:t>éventuelles lacunes et d</w:t>
      </w:r>
      <w:r w:rsidR="000A4706" w:rsidRPr="0054172A">
        <w:rPr>
          <w:i/>
          <w:iCs/>
        </w:rPr>
        <w:t>'</w:t>
      </w:r>
      <w:r w:rsidRPr="0054172A">
        <w:rPr>
          <w:i/>
          <w:iCs/>
        </w:rPr>
        <w:t>y remédier, notamment en créant une bourse aux fins du renforcement des capacités en matière d</w:t>
      </w:r>
      <w:r w:rsidR="000A4706" w:rsidRPr="0054172A">
        <w:rPr>
          <w:i/>
          <w:iCs/>
        </w:rPr>
        <w:t>'</w:t>
      </w:r>
      <w:r w:rsidRPr="0054172A">
        <w:rPr>
          <w:i/>
          <w:iCs/>
        </w:rPr>
        <w:t>intelligence artificielle à l</w:t>
      </w:r>
      <w:r w:rsidR="000A4706" w:rsidRPr="0054172A">
        <w:rPr>
          <w:i/>
          <w:iCs/>
        </w:rPr>
        <w:t>'</w:t>
      </w:r>
      <w:r w:rsidRPr="0054172A">
        <w:rPr>
          <w:i/>
          <w:iCs/>
        </w:rPr>
        <w:t>intention des fonctionnaires et des programmes de recherches, et ce, en tirant parti des capacités dont dispose le système des Nations Unies, une attention particulière étant apportée aux pays en développement, et d</w:t>
      </w:r>
      <w:r w:rsidR="000A4706" w:rsidRPr="0054172A">
        <w:rPr>
          <w:i/>
          <w:iCs/>
        </w:rPr>
        <w:t>'</w:t>
      </w:r>
      <w:r w:rsidRPr="0054172A">
        <w:rPr>
          <w:i/>
          <w:iCs/>
        </w:rPr>
        <w:t>en rendre compte à l</w:t>
      </w:r>
      <w:r w:rsidR="000A4706" w:rsidRPr="0054172A">
        <w:rPr>
          <w:i/>
          <w:iCs/>
        </w:rPr>
        <w:t>'</w:t>
      </w:r>
      <w:r w:rsidRPr="0054172A">
        <w:rPr>
          <w:i/>
          <w:iCs/>
        </w:rPr>
        <w:t>ouverture du Dialogue mondial sur la gouvernance de l</w:t>
      </w:r>
      <w:r w:rsidR="000A4706" w:rsidRPr="0054172A">
        <w:rPr>
          <w:i/>
          <w:iCs/>
        </w:rPr>
        <w:t>'</w:t>
      </w:r>
      <w:r w:rsidRPr="0054172A">
        <w:rPr>
          <w:i/>
          <w:iCs/>
        </w:rPr>
        <w:t>intelligence artificielle en 2026.</w:t>
      </w:r>
    </w:p>
    <w:p w14:paraId="0CE15CCF" w14:textId="216FACDB" w:rsidR="003F25E0" w:rsidRPr="0054172A" w:rsidRDefault="003F25E0" w:rsidP="00606901">
      <w:pPr>
        <w:jc w:val="both"/>
        <w:rPr>
          <w:i/>
          <w:iCs/>
        </w:rPr>
      </w:pPr>
      <w:r w:rsidRPr="0054172A">
        <w:rPr>
          <w:i/>
          <w:iCs/>
        </w:rPr>
        <w:t>100</w:t>
      </w:r>
      <w:r w:rsidRPr="0054172A">
        <w:rPr>
          <w:i/>
          <w:iCs/>
        </w:rPr>
        <w:tab/>
        <w:t>Nous demandons au Forum sur la gouvernance d</w:t>
      </w:r>
      <w:r w:rsidR="000A4706" w:rsidRPr="0054172A">
        <w:rPr>
          <w:i/>
          <w:iCs/>
        </w:rPr>
        <w:t>'</w:t>
      </w:r>
      <w:r w:rsidRPr="0054172A">
        <w:rPr>
          <w:i/>
          <w:iCs/>
        </w:rPr>
        <w:t>Internet de rendre compte des résultats de ses réunions annuelles et de ses travaux intersessions aux entités et instances des Nations Unies compétentes et demandons en particulier au Groupe des Nations Unies sur la société de l</w:t>
      </w:r>
      <w:r w:rsidR="000A4706" w:rsidRPr="0054172A">
        <w:rPr>
          <w:i/>
          <w:iCs/>
        </w:rPr>
        <w:t>'</w:t>
      </w:r>
      <w:r w:rsidRPr="0054172A">
        <w:rPr>
          <w:i/>
          <w:iCs/>
        </w:rPr>
        <w:t>information et à toutes les entités des Nations Unies compétentes, aux entités qui facilitent la mise en œuvre des grandes orientations, à la Commission de la science et de la technique au service du développement et au Forum de suivi du Sommet mondial sur la société de l</w:t>
      </w:r>
      <w:r w:rsidR="000A4706" w:rsidRPr="0054172A">
        <w:rPr>
          <w:i/>
          <w:iCs/>
        </w:rPr>
        <w:t>'</w:t>
      </w:r>
      <w:r w:rsidRPr="0054172A">
        <w:rPr>
          <w:i/>
          <w:iCs/>
        </w:rPr>
        <w:t>information de tenir compte des résultats du Forum sur la gouvernance d</w:t>
      </w:r>
      <w:r w:rsidR="000A4706" w:rsidRPr="0054172A">
        <w:rPr>
          <w:i/>
          <w:iCs/>
        </w:rPr>
        <w:t>'</w:t>
      </w:r>
      <w:r w:rsidRPr="0054172A">
        <w:rPr>
          <w:i/>
          <w:iCs/>
        </w:rPr>
        <w:t>Internet dans leurs travaux et leurs débats.</w:t>
      </w:r>
    </w:p>
    <w:p w14:paraId="3CB21730" w14:textId="19887E98" w:rsidR="003F25E0" w:rsidRPr="0054172A" w:rsidRDefault="003F25E0" w:rsidP="00606901">
      <w:pPr>
        <w:jc w:val="both"/>
        <w:rPr>
          <w:i/>
          <w:iCs/>
        </w:rPr>
      </w:pPr>
      <w:r w:rsidRPr="0054172A">
        <w:rPr>
          <w:i/>
          <w:iCs/>
        </w:rPr>
        <w:t>107</w:t>
      </w:r>
      <w:r w:rsidRPr="0054172A">
        <w:rPr>
          <w:i/>
          <w:iCs/>
        </w:rPr>
        <w:tab/>
        <w:t>Nous saluons l</w:t>
      </w:r>
      <w:r w:rsidR="000A4706" w:rsidRPr="0054172A">
        <w:rPr>
          <w:i/>
          <w:iCs/>
        </w:rPr>
        <w:t>'</w:t>
      </w:r>
      <w:r w:rsidRPr="0054172A">
        <w:rPr>
          <w:i/>
          <w:iCs/>
        </w:rPr>
        <w:t>action menée durant les deux dernières décennies par les entités des Nations Unies, notamment celles qui facilitent la mise en œuvre des grandes orientations arrêtées au Sommet mondial, afin d</w:t>
      </w:r>
      <w:r w:rsidR="000A4706" w:rsidRPr="0054172A">
        <w:rPr>
          <w:i/>
          <w:iCs/>
        </w:rPr>
        <w:t>'</w:t>
      </w:r>
      <w:r w:rsidRPr="0054172A">
        <w:rPr>
          <w:i/>
          <w:iCs/>
        </w:rPr>
        <w:t>appuyer, dans le respect de leurs mandats et dans leur domaine de compétence, la mise en œuvre des textes issus du Sommet. Nous félicitons l</w:t>
      </w:r>
      <w:r w:rsidR="000A4706" w:rsidRPr="0054172A">
        <w:rPr>
          <w:i/>
          <w:iCs/>
        </w:rPr>
        <w:t>'</w:t>
      </w:r>
      <w:r w:rsidRPr="0054172A">
        <w:rPr>
          <w:i/>
          <w:iCs/>
        </w:rPr>
        <w:t>Union internationale des télécommunications d</w:t>
      </w:r>
      <w:r w:rsidR="000A4706" w:rsidRPr="0054172A">
        <w:rPr>
          <w:i/>
          <w:iCs/>
        </w:rPr>
        <w:t>'</w:t>
      </w:r>
      <w:r w:rsidRPr="0054172A">
        <w:rPr>
          <w:i/>
          <w:iCs/>
        </w:rPr>
        <w:t>avoir créé une plate</w:t>
      </w:r>
      <w:r w:rsidR="00A34895" w:rsidRPr="0054172A">
        <w:rPr>
          <w:i/>
          <w:iCs/>
        </w:rPr>
        <w:t>-</w:t>
      </w:r>
      <w:r w:rsidRPr="0054172A">
        <w:rPr>
          <w:i/>
          <w:iCs/>
        </w:rPr>
        <w:t>forme faisant l</w:t>
      </w:r>
      <w:r w:rsidR="000A4706" w:rsidRPr="0054172A">
        <w:rPr>
          <w:i/>
          <w:iCs/>
        </w:rPr>
        <w:t>'</w:t>
      </w:r>
      <w:r w:rsidRPr="0054172A">
        <w:rPr>
          <w:i/>
          <w:iCs/>
        </w:rPr>
        <w:t xml:space="preserve">inventaire des </w:t>
      </w:r>
      <w:r w:rsidRPr="0054172A">
        <w:rPr>
          <w:i/>
          <w:iCs/>
        </w:rPr>
        <w:lastRenderedPageBreak/>
        <w:t>activités menées au titre du Sommet mondial et de remettre des prix du Sommet mondial et encourageons toutes les parties prenantes à contribuer à la base de données dudit inventaire.</w:t>
      </w:r>
    </w:p>
    <w:p w14:paraId="173069CD" w14:textId="3C2EF152" w:rsidR="003F25E0" w:rsidRPr="0054172A" w:rsidRDefault="003F25E0" w:rsidP="00606901">
      <w:pPr>
        <w:jc w:val="both"/>
        <w:rPr>
          <w:i/>
          <w:iCs/>
        </w:rPr>
      </w:pPr>
      <w:r w:rsidRPr="0054172A">
        <w:rPr>
          <w:i/>
          <w:iCs/>
        </w:rPr>
        <w:t>10</w:t>
      </w:r>
      <w:r w:rsidR="00401FBC" w:rsidRPr="0054172A">
        <w:rPr>
          <w:i/>
          <w:iCs/>
        </w:rPr>
        <w:t>8</w:t>
      </w:r>
      <w:r w:rsidRPr="0054172A">
        <w:rPr>
          <w:i/>
          <w:iCs/>
        </w:rPr>
        <w:tab/>
        <w:t>Nous nous félicitons que l</w:t>
      </w:r>
      <w:r w:rsidR="000A4706" w:rsidRPr="0054172A">
        <w:rPr>
          <w:i/>
          <w:iCs/>
        </w:rPr>
        <w:t>'</w:t>
      </w:r>
      <w:r w:rsidRPr="0054172A">
        <w:rPr>
          <w:i/>
          <w:iCs/>
        </w:rPr>
        <w:t>Union internationale des télécommunications, agissant en collaboration avec l</w:t>
      </w:r>
      <w:r w:rsidR="000A4706" w:rsidRPr="0054172A">
        <w:rPr>
          <w:i/>
          <w:iCs/>
        </w:rPr>
        <w:t>'</w:t>
      </w:r>
      <w:r w:rsidRPr="0054172A">
        <w:rPr>
          <w:i/>
          <w:iCs/>
        </w:rPr>
        <w:t>Organisation des Nations Unies pour l</w:t>
      </w:r>
      <w:r w:rsidR="000A4706" w:rsidRPr="0054172A">
        <w:rPr>
          <w:i/>
          <w:iCs/>
        </w:rPr>
        <w:t>'</w:t>
      </w:r>
      <w:r w:rsidRPr="0054172A">
        <w:rPr>
          <w:i/>
          <w:iCs/>
        </w:rPr>
        <w:t>éducation, la science et la culture, la Conférence des Nations Unies sur le commerce et le développement et le Programme des Nations Unies pour le développement, s</w:t>
      </w:r>
      <w:r w:rsidR="000A4706" w:rsidRPr="0054172A">
        <w:rPr>
          <w:i/>
          <w:iCs/>
        </w:rPr>
        <w:t>'</w:t>
      </w:r>
      <w:r w:rsidRPr="0054172A">
        <w:rPr>
          <w:i/>
          <w:iCs/>
        </w:rPr>
        <w:t>emploie chaque année à organiser le Forum de suivi du Sommet mondial sur la société de l</w:t>
      </w:r>
      <w:r w:rsidR="000A4706" w:rsidRPr="0054172A">
        <w:rPr>
          <w:i/>
          <w:iCs/>
        </w:rPr>
        <w:t>'</w:t>
      </w:r>
      <w:r w:rsidRPr="0054172A">
        <w:rPr>
          <w:i/>
          <w:iCs/>
        </w:rPr>
        <w:t>information, qui est désormais l</w:t>
      </w:r>
      <w:r w:rsidR="000A4706" w:rsidRPr="0054172A">
        <w:rPr>
          <w:i/>
          <w:iCs/>
        </w:rPr>
        <w:t>'</w:t>
      </w:r>
      <w:r w:rsidRPr="0054172A">
        <w:rPr>
          <w:i/>
          <w:iCs/>
        </w:rPr>
        <w:t>un des lieux principaux de la mise en commun des informations et des meilleures pratiques, ainsi qu</w:t>
      </w:r>
      <w:r w:rsidR="000A4706" w:rsidRPr="0054172A">
        <w:rPr>
          <w:i/>
          <w:iCs/>
        </w:rPr>
        <w:t>'</w:t>
      </w:r>
      <w:r w:rsidRPr="0054172A">
        <w:rPr>
          <w:i/>
          <w:iCs/>
        </w:rPr>
        <w:t>une instance de dialogue et de collaboration entre parties prenantes, et permet de créer des réseaux et de coordonner des initiatives visant à donner corps aux ambitions du Sommet mondial. Nous demandons que le Forum continue d</w:t>
      </w:r>
      <w:r w:rsidR="000A4706" w:rsidRPr="0054172A">
        <w:rPr>
          <w:i/>
          <w:iCs/>
        </w:rPr>
        <w:t>'</w:t>
      </w:r>
      <w:r w:rsidRPr="0054172A">
        <w:rPr>
          <w:i/>
          <w:iCs/>
        </w:rPr>
        <w:t>avoir lieu chaque année.</w:t>
      </w:r>
    </w:p>
    <w:p w14:paraId="37579D63" w14:textId="6A2A2420" w:rsidR="003F25E0" w:rsidRPr="0054172A" w:rsidRDefault="003F25E0" w:rsidP="00606901">
      <w:pPr>
        <w:jc w:val="both"/>
        <w:rPr>
          <w:i/>
          <w:iCs/>
        </w:rPr>
      </w:pPr>
      <w:r w:rsidRPr="0054172A">
        <w:rPr>
          <w:i/>
          <w:iCs/>
        </w:rPr>
        <w:t>1</w:t>
      </w:r>
      <w:r w:rsidR="00401FBC" w:rsidRPr="0054172A">
        <w:rPr>
          <w:i/>
          <w:iCs/>
        </w:rPr>
        <w:t>09</w:t>
      </w:r>
      <w:r w:rsidRPr="0054172A">
        <w:rPr>
          <w:i/>
          <w:iCs/>
        </w:rPr>
        <w:tab/>
        <w:t>Nous réaffirmons notre attachement au cadre formé par les grandes orientations arrêtées dans le Plan d</w:t>
      </w:r>
      <w:r w:rsidR="000A4706" w:rsidRPr="0054172A">
        <w:rPr>
          <w:i/>
          <w:iCs/>
        </w:rPr>
        <w:t>'</w:t>
      </w:r>
      <w:r w:rsidRPr="0054172A">
        <w:rPr>
          <w:i/>
          <w:iCs/>
        </w:rPr>
        <w:t>action de Genève et l</w:t>
      </w:r>
      <w:r w:rsidR="000A4706" w:rsidRPr="0054172A">
        <w:rPr>
          <w:i/>
          <w:iCs/>
        </w:rPr>
        <w:t>'</w:t>
      </w:r>
      <w:r w:rsidRPr="0054172A">
        <w:rPr>
          <w:i/>
          <w:iCs/>
        </w:rPr>
        <w:t>Agenda de Tunis pour la société de l</w:t>
      </w:r>
      <w:r w:rsidR="000A4706" w:rsidRPr="0054172A">
        <w:rPr>
          <w:i/>
          <w:iCs/>
        </w:rPr>
        <w:t>'</w:t>
      </w:r>
      <w:r w:rsidRPr="0054172A">
        <w:rPr>
          <w:i/>
          <w:iCs/>
        </w:rPr>
        <w:t>information. Nous constatons tout l</w:t>
      </w:r>
      <w:r w:rsidR="000A4706" w:rsidRPr="0054172A">
        <w:rPr>
          <w:i/>
          <w:iCs/>
        </w:rPr>
        <w:t>'</w:t>
      </w:r>
      <w:r w:rsidRPr="0054172A">
        <w:rPr>
          <w:i/>
          <w:iCs/>
        </w:rPr>
        <w:t>intérêt que lui ont porté nombre d</w:t>
      </w:r>
      <w:r w:rsidR="000A4706" w:rsidRPr="0054172A">
        <w:rPr>
          <w:i/>
          <w:iCs/>
        </w:rPr>
        <w:t>'</w:t>
      </w:r>
      <w:r w:rsidRPr="0054172A">
        <w:rPr>
          <w:i/>
          <w:iCs/>
        </w:rPr>
        <w:t>États lorsqu</w:t>
      </w:r>
      <w:r w:rsidR="000A4706" w:rsidRPr="0054172A">
        <w:rPr>
          <w:i/>
          <w:iCs/>
        </w:rPr>
        <w:t>'</w:t>
      </w:r>
      <w:r w:rsidRPr="0054172A">
        <w:rPr>
          <w:i/>
          <w:iCs/>
        </w:rPr>
        <w:t>ils ont élaboré leurs stratégies et modèles nationaux de développement numérique. Nous demandons aux entités qui facilitent la mise en œuvre des grandes orientations de faire en sorte que les nouvelles activités qu</w:t>
      </w:r>
      <w:r w:rsidR="000A4706" w:rsidRPr="0054172A">
        <w:rPr>
          <w:i/>
          <w:iCs/>
        </w:rPr>
        <w:t>'</w:t>
      </w:r>
      <w:r w:rsidRPr="0054172A">
        <w:rPr>
          <w:i/>
          <w:iCs/>
        </w:rPr>
        <w:t>elles envisagent de mener aux fins de la mise en œuvre des textes issus du Sommet mondial, dans le respect de leur mandat et au moyen des ressources dont elles disposent, aillent dans le sens du Programme de développement durable à l</w:t>
      </w:r>
      <w:r w:rsidR="000A4706" w:rsidRPr="0054172A">
        <w:rPr>
          <w:i/>
          <w:iCs/>
        </w:rPr>
        <w:t>'</w:t>
      </w:r>
      <w:r w:rsidRPr="0054172A">
        <w:rPr>
          <w:i/>
          <w:iCs/>
        </w:rPr>
        <w:t>horizon 2030.</w:t>
      </w:r>
    </w:p>
    <w:p w14:paraId="373DB67B" w14:textId="65FCF5E1" w:rsidR="003F25E0" w:rsidRPr="0054172A" w:rsidRDefault="003F25E0" w:rsidP="00606901">
      <w:pPr>
        <w:jc w:val="both"/>
        <w:rPr>
          <w:i/>
          <w:iCs/>
        </w:rPr>
      </w:pPr>
      <w:r w:rsidRPr="0054172A">
        <w:rPr>
          <w:i/>
          <w:iCs/>
        </w:rPr>
        <w:t>11</w:t>
      </w:r>
      <w:r w:rsidR="00401FBC" w:rsidRPr="0054172A">
        <w:rPr>
          <w:i/>
          <w:iCs/>
        </w:rPr>
        <w:t>0</w:t>
      </w:r>
      <w:r w:rsidRPr="0054172A">
        <w:rPr>
          <w:i/>
          <w:iCs/>
        </w:rPr>
        <w:tab/>
        <w:t>Il importe que les droits humains soient protégés, promus et respectés lors de la mise en œuvre de toutes les grandes orientations. Nous rappelons que le Haut-Commissariat des Nations Unies aux droits de l</w:t>
      </w:r>
      <w:r w:rsidR="000A4706" w:rsidRPr="0054172A">
        <w:rPr>
          <w:i/>
          <w:iCs/>
        </w:rPr>
        <w:t>'</w:t>
      </w:r>
      <w:r w:rsidRPr="0054172A">
        <w:rPr>
          <w:i/>
          <w:iCs/>
        </w:rPr>
        <w:t>homme continue de concourir à cette mise en œuvre, en la facilitant, et de participer à son évaluation. Nous demandons également aux entités qui facilitent la mise en œuvre des grandes orientations de faire de l</w:t>
      </w:r>
      <w:r w:rsidR="000A4706" w:rsidRPr="0054172A">
        <w:rPr>
          <w:i/>
          <w:iCs/>
        </w:rPr>
        <w:t>'</w:t>
      </w:r>
      <w:r w:rsidRPr="0054172A">
        <w:rPr>
          <w:i/>
          <w:iCs/>
        </w:rPr>
        <w:t>égalité des genres et de l</w:t>
      </w:r>
      <w:r w:rsidR="000A4706" w:rsidRPr="0054172A">
        <w:rPr>
          <w:i/>
          <w:iCs/>
        </w:rPr>
        <w:t>'</w:t>
      </w:r>
      <w:r w:rsidRPr="0054172A">
        <w:rPr>
          <w:i/>
          <w:iCs/>
        </w:rPr>
        <w:t>autonomisation des femmes et des filles l</w:t>
      </w:r>
      <w:r w:rsidR="000A4706" w:rsidRPr="0054172A">
        <w:rPr>
          <w:i/>
          <w:iCs/>
        </w:rPr>
        <w:t>'</w:t>
      </w:r>
      <w:r w:rsidRPr="0054172A">
        <w:rPr>
          <w:i/>
          <w:iCs/>
        </w:rPr>
        <w:t>un des thèmes majeurs de leurs travaux, et ce, en y associant pleinement l</w:t>
      </w:r>
      <w:r w:rsidR="000A4706" w:rsidRPr="0054172A">
        <w:rPr>
          <w:i/>
          <w:iCs/>
        </w:rPr>
        <w:t>'</w:t>
      </w:r>
      <w:r w:rsidRPr="0054172A">
        <w:rPr>
          <w:i/>
          <w:iCs/>
        </w:rPr>
        <w:t>Entité des Nations Unies pour l</w:t>
      </w:r>
      <w:r w:rsidR="000A4706" w:rsidRPr="0054172A">
        <w:rPr>
          <w:i/>
          <w:iCs/>
        </w:rPr>
        <w:t>'</w:t>
      </w:r>
      <w:r w:rsidRPr="0054172A">
        <w:rPr>
          <w:i/>
          <w:iCs/>
        </w:rPr>
        <w:t>égalité des sexes et l</w:t>
      </w:r>
      <w:r w:rsidR="000A4706" w:rsidRPr="0054172A">
        <w:rPr>
          <w:i/>
          <w:iCs/>
        </w:rPr>
        <w:t>'</w:t>
      </w:r>
      <w:r w:rsidRPr="0054172A">
        <w:rPr>
          <w:i/>
          <w:iCs/>
        </w:rPr>
        <w:t>autonomisation des femmes (ONU-Femmes) et d</w:t>
      </w:r>
      <w:r w:rsidR="000A4706" w:rsidRPr="0054172A">
        <w:rPr>
          <w:i/>
          <w:iCs/>
        </w:rPr>
        <w:t>'</w:t>
      </w:r>
      <w:r w:rsidRPr="0054172A">
        <w:rPr>
          <w:i/>
          <w:iCs/>
        </w:rPr>
        <w:t>autres parties prenantes.</w:t>
      </w:r>
    </w:p>
    <w:p w14:paraId="558E6C84" w14:textId="19C5F364" w:rsidR="003F25E0" w:rsidRPr="0054172A" w:rsidRDefault="003F25E0" w:rsidP="00606901">
      <w:pPr>
        <w:jc w:val="both"/>
        <w:rPr>
          <w:i/>
          <w:iCs/>
        </w:rPr>
      </w:pPr>
      <w:r w:rsidRPr="0054172A">
        <w:rPr>
          <w:i/>
          <w:iCs/>
        </w:rPr>
        <w:t>113</w:t>
      </w:r>
      <w:r w:rsidRPr="0054172A">
        <w:rPr>
          <w:i/>
          <w:iCs/>
        </w:rPr>
        <w:tab/>
        <w:t>Nous prions les entités qui facilitent le mise en œuvre des grandes orientations d</w:t>
      </w:r>
      <w:r w:rsidR="000A4706" w:rsidRPr="0054172A">
        <w:rPr>
          <w:i/>
          <w:iCs/>
        </w:rPr>
        <w:t>'</w:t>
      </w:r>
      <w:r w:rsidRPr="0054172A">
        <w:rPr>
          <w:i/>
          <w:iCs/>
        </w:rPr>
        <w:t>élaborer, en concertation avec le Groupe des Nations Unies sur la société de l</w:t>
      </w:r>
      <w:r w:rsidR="000A4706" w:rsidRPr="0054172A">
        <w:rPr>
          <w:i/>
          <w:iCs/>
        </w:rPr>
        <w:t>'</w:t>
      </w:r>
      <w:r w:rsidRPr="0054172A">
        <w:rPr>
          <w:i/>
          <w:iCs/>
        </w:rPr>
        <w:t>information, des feuilles de route ciblées et axées sur les résultats aux fins de la mise en œuvre de leurs grandes orientations et des décisions prises dans la présente résolution, en rattachant chaque orientation arrêtée au Sommet mondial avec les cibles et objectifs de développement durable et les engagements du Pacte numérique mondial qui leur correspondent, y compris les objectifs, indicateurs et instruments de mesure à même de faciliter le suivi et l</w:t>
      </w:r>
      <w:r w:rsidR="000A4706" w:rsidRPr="0054172A">
        <w:rPr>
          <w:i/>
          <w:iCs/>
        </w:rPr>
        <w:t>'</w:t>
      </w:r>
      <w:r w:rsidRPr="0054172A">
        <w:rPr>
          <w:i/>
          <w:iCs/>
        </w:rPr>
        <w:t>évaluation, et de rendre compte des résultats de leurs travaux à la Commission de la science et de la technique au service du développement à sa trentième session, en 2027.</w:t>
      </w:r>
    </w:p>
    <w:p w14:paraId="53E5EA01" w14:textId="392C62D9" w:rsidR="003F25E0" w:rsidRPr="0054172A" w:rsidRDefault="003F25E0" w:rsidP="00606901">
      <w:pPr>
        <w:jc w:val="both"/>
        <w:rPr>
          <w:i/>
          <w:iCs/>
        </w:rPr>
      </w:pPr>
      <w:r w:rsidRPr="0054172A">
        <w:rPr>
          <w:i/>
          <w:iCs/>
        </w:rPr>
        <w:t>11</w:t>
      </w:r>
      <w:r w:rsidR="00401FBC" w:rsidRPr="0054172A">
        <w:rPr>
          <w:i/>
          <w:iCs/>
        </w:rPr>
        <w:t>4</w:t>
      </w:r>
      <w:r w:rsidRPr="0054172A">
        <w:rPr>
          <w:i/>
          <w:iCs/>
        </w:rPr>
        <w:tab/>
        <w:t>Nous saluons les travaux menés dans le cadre du Partenariat sur la mesure des TIC au service du développement, dont la contribution à l</w:t>
      </w:r>
      <w:r w:rsidR="000A4706" w:rsidRPr="0054172A">
        <w:rPr>
          <w:i/>
          <w:iCs/>
        </w:rPr>
        <w:t>'</w:t>
      </w:r>
      <w:r w:rsidRPr="0054172A">
        <w:rPr>
          <w:i/>
          <w:iCs/>
        </w:rPr>
        <w:t>élaboration d</w:t>
      </w:r>
      <w:r w:rsidR="000A4706" w:rsidRPr="0054172A">
        <w:rPr>
          <w:i/>
          <w:iCs/>
        </w:rPr>
        <w:t>'</w:t>
      </w:r>
      <w:r w:rsidRPr="0054172A">
        <w:rPr>
          <w:i/>
          <w:iCs/>
        </w:rPr>
        <w:t>indicateurs et au recueil et à la diffusion de données relatives à la société de l</w:t>
      </w:r>
      <w:r w:rsidR="000A4706" w:rsidRPr="0054172A">
        <w:rPr>
          <w:i/>
          <w:iCs/>
        </w:rPr>
        <w:t>'</w:t>
      </w:r>
      <w:r w:rsidRPr="0054172A">
        <w:rPr>
          <w:i/>
          <w:iCs/>
        </w:rPr>
        <w:t>information est précieuse. Nous saluons les travaux menés par les entités des Nations Unies et d</w:t>
      </w:r>
      <w:r w:rsidR="000A4706" w:rsidRPr="0054172A">
        <w:rPr>
          <w:i/>
          <w:iCs/>
        </w:rPr>
        <w:t>'</w:t>
      </w:r>
      <w:r w:rsidRPr="0054172A">
        <w:rPr>
          <w:i/>
          <w:iCs/>
        </w:rPr>
        <w:t>autres parties prenantes qui, dans le respect de leur mandat et dans leur domaine de compétence, élaborent des objectifs, des indicateurs et des instruments de mesure.</w:t>
      </w:r>
    </w:p>
    <w:p w14:paraId="364F1157" w14:textId="04E5E2AC" w:rsidR="003F25E0" w:rsidRPr="0054172A" w:rsidRDefault="003F25E0" w:rsidP="00606901">
      <w:pPr>
        <w:jc w:val="both"/>
        <w:rPr>
          <w:i/>
          <w:iCs/>
        </w:rPr>
      </w:pPr>
      <w:r w:rsidRPr="0054172A">
        <w:rPr>
          <w:i/>
          <w:iCs/>
        </w:rPr>
        <w:t>11</w:t>
      </w:r>
      <w:r w:rsidR="00401FBC" w:rsidRPr="0054172A">
        <w:rPr>
          <w:i/>
          <w:iCs/>
        </w:rPr>
        <w:t>5</w:t>
      </w:r>
      <w:r w:rsidRPr="0054172A">
        <w:rPr>
          <w:i/>
          <w:iCs/>
        </w:rPr>
        <w:tab/>
        <w:t>Nous sommes déterminés à continuer d</w:t>
      </w:r>
      <w:r w:rsidR="000A4706" w:rsidRPr="0054172A">
        <w:rPr>
          <w:i/>
          <w:iCs/>
        </w:rPr>
        <w:t>'</w:t>
      </w:r>
      <w:r w:rsidRPr="0054172A">
        <w:rPr>
          <w:i/>
          <w:iCs/>
        </w:rPr>
        <w:t>élaborer des objectifs, des indicateurs et des instruments de mesure visant une connectivité universelle et efficace, à un coût abordable, et le développement numérique, en les arrêtant d</w:t>
      </w:r>
      <w:r w:rsidR="000A4706" w:rsidRPr="0054172A">
        <w:rPr>
          <w:i/>
          <w:iCs/>
        </w:rPr>
        <w:t>'</w:t>
      </w:r>
      <w:r w:rsidRPr="0054172A">
        <w:rPr>
          <w:i/>
          <w:iCs/>
        </w:rPr>
        <w:t>un commun accord à l</w:t>
      </w:r>
      <w:r w:rsidR="000A4706" w:rsidRPr="0054172A">
        <w:rPr>
          <w:i/>
          <w:iCs/>
        </w:rPr>
        <w:t>'</w:t>
      </w:r>
      <w:r w:rsidRPr="0054172A">
        <w:rPr>
          <w:i/>
          <w:iCs/>
        </w:rPr>
        <w:t>échelon international, et d</w:t>
      </w:r>
      <w:r w:rsidR="000A4706" w:rsidRPr="0054172A">
        <w:rPr>
          <w:i/>
          <w:iCs/>
        </w:rPr>
        <w:t>'</w:t>
      </w:r>
      <w:r w:rsidRPr="0054172A">
        <w:rPr>
          <w:i/>
          <w:iCs/>
        </w:rPr>
        <w:t>améliorer ceux qui existent déjà. Nous demandons à l</w:t>
      </w:r>
      <w:r w:rsidR="000A4706" w:rsidRPr="0054172A">
        <w:rPr>
          <w:i/>
          <w:iCs/>
        </w:rPr>
        <w:t>'</w:t>
      </w:r>
      <w:r w:rsidRPr="0054172A">
        <w:rPr>
          <w:i/>
          <w:iCs/>
        </w:rPr>
        <w:t xml:space="preserve">Organisation des Nations Unies et </w:t>
      </w:r>
      <w:r w:rsidRPr="0054172A">
        <w:rPr>
          <w:i/>
          <w:iCs/>
        </w:rPr>
        <w:lastRenderedPageBreak/>
        <w:t>aux autres organisations et instances concernées d</w:t>
      </w:r>
      <w:r w:rsidR="000A4706" w:rsidRPr="0054172A">
        <w:rPr>
          <w:i/>
          <w:iCs/>
        </w:rPr>
        <w:t>'</w:t>
      </w:r>
      <w:r w:rsidRPr="0054172A">
        <w:rPr>
          <w:i/>
          <w:iCs/>
        </w:rPr>
        <w:t>examiner périodiquement les méthodes utilisées pour mesurer les progrès accomplis dans le domaine des technologies de l</w:t>
      </w:r>
      <w:r w:rsidR="000A4706" w:rsidRPr="0054172A">
        <w:rPr>
          <w:i/>
          <w:iCs/>
        </w:rPr>
        <w:t>'</w:t>
      </w:r>
      <w:r w:rsidRPr="0054172A">
        <w:rPr>
          <w:i/>
          <w:iCs/>
        </w:rPr>
        <w:t>information et des communications, compte tenu des différents niveaux de développement et de la situation propre à chaque pays, et de faire part d</w:t>
      </w:r>
      <w:r w:rsidR="000A4706" w:rsidRPr="0054172A">
        <w:rPr>
          <w:i/>
          <w:iCs/>
        </w:rPr>
        <w:t>'</w:t>
      </w:r>
      <w:r w:rsidRPr="0054172A">
        <w:rPr>
          <w:i/>
          <w:iCs/>
        </w:rPr>
        <w:t>études de cas nationales.</w:t>
      </w:r>
    </w:p>
    <w:p w14:paraId="1258FC71" w14:textId="17E2BA1A" w:rsidR="003F25E0" w:rsidRPr="0054172A" w:rsidRDefault="003F25E0" w:rsidP="00606901">
      <w:pPr>
        <w:jc w:val="both"/>
        <w:rPr>
          <w:i/>
          <w:iCs/>
        </w:rPr>
      </w:pPr>
      <w:r w:rsidRPr="0054172A">
        <w:rPr>
          <w:i/>
          <w:iCs/>
        </w:rPr>
        <w:t>117</w:t>
      </w:r>
      <w:r w:rsidRPr="0054172A">
        <w:rPr>
          <w:i/>
          <w:iCs/>
        </w:rPr>
        <w:tab/>
        <w:t>Nous prions le Partenariat sur la mesure des TIC au service du développement de procéder, en concertation avec les entités qui facilitent la mise en œuvre des grandes orientations et avec l</w:t>
      </w:r>
      <w:r w:rsidR="000A4706" w:rsidRPr="0054172A">
        <w:rPr>
          <w:i/>
          <w:iCs/>
        </w:rPr>
        <w:t>'</w:t>
      </w:r>
      <w:r w:rsidRPr="0054172A">
        <w:rPr>
          <w:i/>
          <w:iCs/>
        </w:rPr>
        <w:t>appui de la Commission de statistique, à une étude exhaustive des méthodes et indicateurs existants et de rendre compte des conclusions de son étude à la Commission de la science et de la technique au service du développement à sa trentième session, en 2027.</w:t>
      </w:r>
    </w:p>
    <w:p w14:paraId="7AD9399D" w14:textId="1991BEC7" w:rsidR="003F25E0" w:rsidRPr="0054172A" w:rsidRDefault="003F25E0" w:rsidP="00606901">
      <w:pPr>
        <w:jc w:val="both"/>
        <w:rPr>
          <w:i/>
          <w:iCs/>
        </w:rPr>
      </w:pPr>
      <w:r w:rsidRPr="0054172A">
        <w:rPr>
          <w:i/>
          <w:iCs/>
        </w:rPr>
        <w:t>121</w:t>
      </w:r>
      <w:r w:rsidRPr="0054172A">
        <w:rPr>
          <w:i/>
          <w:iCs/>
        </w:rPr>
        <w:tab/>
        <w:t>Nous demandons qu</w:t>
      </w:r>
      <w:r w:rsidR="000A4706" w:rsidRPr="0054172A">
        <w:rPr>
          <w:i/>
          <w:iCs/>
        </w:rPr>
        <w:t>'</w:t>
      </w:r>
      <w:r w:rsidRPr="0054172A">
        <w:rPr>
          <w:i/>
          <w:iCs/>
        </w:rPr>
        <w:t>en tant que mécanisme interinstitutions du système des Nations Unies chargé d</w:t>
      </w:r>
      <w:r w:rsidR="000A4706" w:rsidRPr="0054172A">
        <w:rPr>
          <w:i/>
          <w:iCs/>
        </w:rPr>
        <w:t>'</w:t>
      </w:r>
      <w:r w:rsidRPr="0054172A">
        <w:rPr>
          <w:i/>
          <w:iCs/>
        </w:rPr>
        <w:t>assurer la cohérence des politiques et la coordination des programmes dans le domaine numérique, le Groupe des Nations Unies sur la société de l</w:t>
      </w:r>
      <w:r w:rsidR="000A4706" w:rsidRPr="0054172A">
        <w:rPr>
          <w:i/>
          <w:iCs/>
        </w:rPr>
        <w:t>'</w:t>
      </w:r>
      <w:r w:rsidRPr="0054172A">
        <w:rPr>
          <w:i/>
          <w:iCs/>
        </w:rPr>
        <w:t>information, dont la présidence est pourvue par roulement annuel et dont le secrétariat est assuré par l</w:t>
      </w:r>
      <w:r w:rsidR="000A4706" w:rsidRPr="0054172A">
        <w:rPr>
          <w:i/>
          <w:iCs/>
        </w:rPr>
        <w:t>'</w:t>
      </w:r>
      <w:r w:rsidRPr="0054172A">
        <w:rPr>
          <w:i/>
          <w:iCs/>
        </w:rPr>
        <w:t>Union internationale des télécommunications, poursuive et renforce ses travaux. Nous invitons le Groupe à gagner en souplesse, en efficacité et en efficience et à accueillir en son sein d</w:t>
      </w:r>
      <w:r w:rsidR="000A4706" w:rsidRPr="0054172A">
        <w:rPr>
          <w:i/>
          <w:iCs/>
        </w:rPr>
        <w:t>'</w:t>
      </w:r>
      <w:r w:rsidRPr="0054172A">
        <w:rPr>
          <w:i/>
          <w:iCs/>
        </w:rPr>
        <w:t>autres entités des Nations Unies, de façon à favoriser le dialogue entre parties prenantes, à nouer des partenariats et à faire l</w:t>
      </w:r>
      <w:r w:rsidR="000A4706" w:rsidRPr="0054172A">
        <w:rPr>
          <w:i/>
          <w:iCs/>
        </w:rPr>
        <w:t>'</w:t>
      </w:r>
      <w:r w:rsidRPr="0054172A">
        <w:rPr>
          <w:i/>
          <w:iCs/>
        </w:rPr>
        <w:t>examen des progrès accomplis en matière de coopération numérique.</w:t>
      </w:r>
    </w:p>
    <w:p w14:paraId="7A842F92" w14:textId="2CB5958B" w:rsidR="003F25E0" w:rsidRPr="0054172A" w:rsidRDefault="003F25E0" w:rsidP="00606901">
      <w:pPr>
        <w:jc w:val="both"/>
        <w:rPr>
          <w:i/>
          <w:iCs/>
        </w:rPr>
      </w:pPr>
      <w:r w:rsidRPr="0054172A">
        <w:rPr>
          <w:i/>
          <w:iCs/>
        </w:rPr>
        <w:t>122</w:t>
      </w:r>
      <w:r w:rsidRPr="0054172A">
        <w:rPr>
          <w:i/>
          <w:iCs/>
        </w:rPr>
        <w:tab/>
        <w:t>Nous prenons note de la grille Pacte numérique mondial Sommet mondial et Programme 2030 élaborée par le Groupe des Nations Unies sur la société de l</w:t>
      </w:r>
      <w:r w:rsidR="000A4706" w:rsidRPr="0054172A">
        <w:rPr>
          <w:i/>
          <w:iCs/>
        </w:rPr>
        <w:t>'</w:t>
      </w:r>
      <w:r w:rsidRPr="0054172A">
        <w:rPr>
          <w:i/>
          <w:iCs/>
        </w:rPr>
        <w:t>information, qui rattache les objectifs et engagements du Pacte numérique mondial aux structures, mécanismes et activités relevant du Sommet mondial, permettant ainsi d</w:t>
      </w:r>
      <w:r w:rsidR="000A4706" w:rsidRPr="0054172A">
        <w:rPr>
          <w:i/>
          <w:iCs/>
        </w:rPr>
        <w:t>'</w:t>
      </w:r>
      <w:r w:rsidRPr="0054172A">
        <w:rPr>
          <w:i/>
          <w:iCs/>
        </w:rPr>
        <w:t>assurer de façon structurée leur suivi et leur mise en œuvre. Sur la base de ces travaux et conformément aux recommandations du Conseil économique et social, nous prions le Groupe d</w:t>
      </w:r>
      <w:r w:rsidR="000A4706" w:rsidRPr="0054172A">
        <w:rPr>
          <w:i/>
          <w:iCs/>
        </w:rPr>
        <w:t>'</w:t>
      </w:r>
      <w:r w:rsidRPr="0054172A">
        <w:rPr>
          <w:i/>
          <w:iCs/>
        </w:rPr>
        <w:t>élaborer, dans le respect de son mandat et au moyen des ressources existantes, une feuille de route pour une mise en œuvre conjointe, qui sera soumise à l</w:t>
      </w:r>
      <w:r w:rsidR="000A4706" w:rsidRPr="0054172A">
        <w:rPr>
          <w:i/>
          <w:iCs/>
        </w:rPr>
        <w:t>'</w:t>
      </w:r>
      <w:r w:rsidRPr="0054172A">
        <w:rPr>
          <w:i/>
          <w:iCs/>
        </w:rPr>
        <w:t>examen de la Commission de la science et de la technique au service du développement à sa vingt-neuvième session, en 2026. Cette feuille de route devra viser à renforcer la cohérence entre le Sommet mondial et le Pacte numérique mondial, de façon à assurer une coopération numérique homogène, qui utilise rationnellement les ressources, évite les chevauchements d</w:t>
      </w:r>
      <w:r w:rsidR="000A4706" w:rsidRPr="0054172A">
        <w:rPr>
          <w:i/>
          <w:iCs/>
        </w:rPr>
        <w:t>'</w:t>
      </w:r>
      <w:r w:rsidRPr="0054172A">
        <w:rPr>
          <w:i/>
          <w:iCs/>
        </w:rPr>
        <w:t>activités et maximise les synergies dans l</w:t>
      </w:r>
      <w:r w:rsidR="000A4706" w:rsidRPr="0054172A">
        <w:rPr>
          <w:i/>
          <w:iCs/>
        </w:rPr>
        <w:t>'</w:t>
      </w:r>
      <w:r w:rsidRPr="0054172A">
        <w:rPr>
          <w:i/>
          <w:iCs/>
        </w:rPr>
        <w:t>ensemble du système des Nations Unies.</w:t>
      </w:r>
    </w:p>
    <w:p w14:paraId="7059C2D0" w14:textId="4F3D59DC" w:rsidR="003F25E0" w:rsidRDefault="003F25E0" w:rsidP="00606901">
      <w:pPr>
        <w:jc w:val="both"/>
        <w:rPr>
          <w:i/>
          <w:iCs/>
        </w:rPr>
      </w:pPr>
      <w:r w:rsidRPr="0054172A">
        <w:rPr>
          <w:i/>
          <w:iCs/>
        </w:rPr>
        <w:t>127</w:t>
      </w:r>
      <w:r w:rsidRPr="0054172A">
        <w:rPr>
          <w:i/>
          <w:iCs/>
        </w:rPr>
        <w:tab/>
        <w:t>Nous prions l</w:t>
      </w:r>
      <w:r w:rsidR="000A4706" w:rsidRPr="0054172A">
        <w:rPr>
          <w:i/>
          <w:iCs/>
        </w:rPr>
        <w:t>'</w:t>
      </w:r>
      <w:r w:rsidRPr="0054172A">
        <w:rPr>
          <w:i/>
          <w:iCs/>
        </w:rPr>
        <w:t>Assemblée générale d</w:t>
      </w:r>
      <w:r w:rsidR="000A4706" w:rsidRPr="0054172A">
        <w:rPr>
          <w:i/>
          <w:iCs/>
        </w:rPr>
        <w:t>'</w:t>
      </w:r>
      <w:r w:rsidRPr="0054172A">
        <w:rPr>
          <w:i/>
          <w:iCs/>
        </w:rPr>
        <w:t>organiser, en 2035, une réunion de haut niveau sur l</w:t>
      </w:r>
      <w:r w:rsidR="000A4706" w:rsidRPr="0054172A">
        <w:rPr>
          <w:i/>
          <w:iCs/>
        </w:rPr>
        <w:t>'</w:t>
      </w:r>
      <w:r w:rsidRPr="0054172A">
        <w:rPr>
          <w:i/>
          <w:iCs/>
        </w:rPr>
        <w:t>examen d</w:t>
      </w:r>
      <w:r w:rsidR="000A4706" w:rsidRPr="0054172A">
        <w:rPr>
          <w:i/>
          <w:iCs/>
        </w:rPr>
        <w:t>'</w:t>
      </w:r>
      <w:r w:rsidRPr="0054172A">
        <w:rPr>
          <w:i/>
          <w:iCs/>
        </w:rPr>
        <w:t>ensemble de la suite donnée aux textes issus du Sommet mondial sur la société de l</w:t>
      </w:r>
      <w:r w:rsidR="000A4706" w:rsidRPr="0054172A">
        <w:rPr>
          <w:i/>
          <w:iCs/>
        </w:rPr>
        <w:t>'</w:t>
      </w:r>
      <w:r w:rsidRPr="0054172A">
        <w:rPr>
          <w:i/>
          <w:iCs/>
        </w:rPr>
        <w:t>information, à laquelle participeront et contribueront toutes les parties prenantes, y compris au stade des préparatifs, et qui sera l</w:t>
      </w:r>
      <w:r w:rsidR="000A4706" w:rsidRPr="0054172A">
        <w:rPr>
          <w:i/>
          <w:iCs/>
        </w:rPr>
        <w:t>'</w:t>
      </w:r>
      <w:r w:rsidRPr="0054172A">
        <w:rPr>
          <w:i/>
          <w:iCs/>
        </w:rPr>
        <w:t>occasion de faire le point des progrès accomplis et des problèmes qui se posent et de recenser les domaines dont il faut continuer de s</w:t>
      </w:r>
      <w:r w:rsidR="000A4706" w:rsidRPr="0054172A">
        <w:rPr>
          <w:i/>
          <w:iCs/>
        </w:rPr>
        <w:t>'</w:t>
      </w:r>
      <w:r w:rsidRPr="0054172A">
        <w:rPr>
          <w:i/>
          <w:iCs/>
        </w:rPr>
        <w:t>occuper.</w:t>
      </w:r>
    </w:p>
    <w:p w14:paraId="79DA71E8" w14:textId="77777777" w:rsidR="00606901" w:rsidRPr="0054172A" w:rsidRDefault="00606901" w:rsidP="00606901">
      <w:pPr>
        <w:jc w:val="both"/>
        <w:rPr>
          <w:i/>
          <w:iCs/>
        </w:rPr>
      </w:pPr>
    </w:p>
    <w:p w14:paraId="40D249A4" w14:textId="77777777" w:rsidR="00897553" w:rsidRPr="0054172A" w:rsidRDefault="006A11AE" w:rsidP="002D2336">
      <w:pPr>
        <w:jc w:val="center"/>
      </w:pPr>
      <w:r w:rsidRPr="0054172A">
        <w:t>______________</w:t>
      </w:r>
    </w:p>
    <w:sectPr w:rsidR="00897553" w:rsidRPr="0054172A" w:rsidSect="00937AFF">
      <w:headerReference w:type="even" r:id="rId52"/>
      <w:footerReference w:type="even" r:id="rId53"/>
      <w:footerReference w:type="default" r:id="rId54"/>
      <w:headerReference w:type="first" r:id="rId55"/>
      <w:footerReference w:type="first" r:id="rId56"/>
      <w:pgSz w:w="11907" w:h="16840" w:code="9"/>
      <w:pgMar w:top="1247" w:right="1418" w:bottom="1247"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A526" w14:textId="77777777" w:rsidR="00FA0D9A" w:rsidRDefault="00FA0D9A">
      <w:r>
        <w:separator/>
      </w:r>
    </w:p>
  </w:endnote>
  <w:endnote w:type="continuationSeparator" w:id="0">
    <w:p w14:paraId="3BA048F2" w14:textId="77777777" w:rsidR="00FA0D9A" w:rsidRDefault="00FA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0219" w14:textId="18C1320D" w:rsidR="00732045" w:rsidRDefault="0054172A">
    <w:pPr>
      <w:pStyle w:val="Footer"/>
    </w:pPr>
    <w:fldSimple w:instr=" FILENAME \p \* MERGEFORMAT ">
      <w:r w:rsidR="00FA0D9A">
        <w:t>Document1</w:t>
      </w:r>
    </w:fldSimple>
    <w:r w:rsidR="00732045">
      <w:tab/>
    </w:r>
    <w:r w:rsidR="002F1B76">
      <w:fldChar w:fldCharType="begin"/>
    </w:r>
    <w:r w:rsidR="00732045">
      <w:instrText xml:space="preserve"> savedate \@ dd.MM.yy </w:instrText>
    </w:r>
    <w:r w:rsidR="002F1B76">
      <w:fldChar w:fldCharType="separate"/>
    </w:r>
    <w:r w:rsidR="00274194">
      <w:t>01.04.26</w:t>
    </w:r>
    <w:r w:rsidR="002F1B76">
      <w:fldChar w:fldCharType="end"/>
    </w:r>
    <w:r w:rsidR="00732045">
      <w:tab/>
    </w:r>
    <w:r w:rsidR="002F1B76">
      <w:fldChar w:fldCharType="begin"/>
    </w:r>
    <w:r w:rsidR="00732045">
      <w:instrText xml:space="preserve"> printdate \@ dd.MM.yy </w:instrText>
    </w:r>
    <w:r w:rsidR="002F1B76">
      <w:fldChar w:fldCharType="separate"/>
    </w:r>
    <w:r w:rsidR="00FA0D9A">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A6826BF" w14:textId="77777777" w:rsidTr="00E31DCE">
      <w:trPr>
        <w:jc w:val="center"/>
      </w:trPr>
      <w:tc>
        <w:tcPr>
          <w:tcW w:w="1803" w:type="dxa"/>
          <w:vAlign w:val="center"/>
        </w:tcPr>
        <w:p w14:paraId="75A7AEAF" w14:textId="2E778872" w:rsidR="00A51849" w:rsidRDefault="00B95A3F" w:rsidP="00A51849">
          <w:pPr>
            <w:pStyle w:val="Header"/>
            <w:jc w:val="left"/>
            <w:rPr>
              <w:noProof/>
            </w:rPr>
          </w:pPr>
          <w:r>
            <w:rPr>
              <w:noProof/>
            </w:rPr>
            <w:t>2600456</w:t>
          </w:r>
        </w:p>
      </w:tc>
      <w:tc>
        <w:tcPr>
          <w:tcW w:w="8261" w:type="dxa"/>
        </w:tcPr>
        <w:p w14:paraId="3CE57938" w14:textId="7ADAB0E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054F7">
            <w:rPr>
              <w:bCs/>
            </w:rPr>
            <w:t>59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8A33938"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CE429EA" w14:textId="77777777" w:rsidTr="00E31DCE">
      <w:trPr>
        <w:jc w:val="center"/>
      </w:trPr>
      <w:tc>
        <w:tcPr>
          <w:tcW w:w="1803" w:type="dxa"/>
          <w:vAlign w:val="center"/>
        </w:tcPr>
        <w:p w14:paraId="0C0C7920"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58F7E11" w14:textId="485917F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F25E0">
            <w:rPr>
              <w:bCs/>
            </w:rPr>
            <w:t>59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828EABF"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5EED" w14:textId="77777777" w:rsidR="00FA0D9A" w:rsidRDefault="00FA0D9A">
      <w:r>
        <w:t>____________________</w:t>
      </w:r>
    </w:p>
  </w:footnote>
  <w:footnote w:type="continuationSeparator" w:id="0">
    <w:p w14:paraId="54D1A653" w14:textId="77777777" w:rsidR="00FA0D9A" w:rsidRDefault="00FA0D9A">
      <w:r>
        <w:continuationSeparator/>
      </w:r>
    </w:p>
  </w:footnote>
  <w:footnote w:id="1">
    <w:p w14:paraId="1FA43A51" w14:textId="154CC929" w:rsidR="00BA480A" w:rsidRPr="00104008" w:rsidRDefault="00BA480A" w:rsidP="00BA480A">
      <w:pPr>
        <w:pStyle w:val="FootnoteText"/>
        <w:jc w:val="both"/>
      </w:pPr>
      <w:r w:rsidRPr="00104008">
        <w:rPr>
          <w:rStyle w:val="FootnoteReference"/>
        </w:rPr>
        <w:footnoteRef/>
      </w:r>
      <w:r w:rsidRPr="00104008">
        <w:tab/>
        <w:t>Liste des États Membres, observateurs et parties prenantes ayant prononcé une déclaration lors du SMSI+</w:t>
      </w:r>
      <w:proofErr w:type="gramStart"/>
      <w:r w:rsidRPr="00104008">
        <w:t>20:</w:t>
      </w:r>
      <w:proofErr w:type="gramEnd"/>
      <w:r w:rsidRPr="00104008">
        <w:t xml:space="preserve"> </w:t>
      </w:r>
      <w:hyperlink r:id="rId1" w:history="1">
        <w:r w:rsidRPr="00104008">
          <w:rPr>
            <w:rStyle w:val="Hyperlink"/>
          </w:rPr>
          <w:t>https://e-speakers.e-delegate.un.org/6932eb7b26106187a2e18d9705122025</w:t>
        </w:r>
      </w:hyperlink>
      <w:r w:rsidRPr="00104008">
        <w:t>.</w:t>
      </w:r>
    </w:p>
  </w:footnote>
  <w:footnote w:id="2">
    <w:p w14:paraId="5B6B6083" w14:textId="1CE10D97" w:rsidR="00BA480A" w:rsidRPr="00104008" w:rsidRDefault="00BA480A" w:rsidP="00E65F8D">
      <w:pPr>
        <w:pStyle w:val="FootnoteText"/>
        <w:ind w:right="-154"/>
        <w:jc w:val="both"/>
      </w:pPr>
      <w:r w:rsidRPr="00104008">
        <w:rPr>
          <w:rStyle w:val="FootnoteReference"/>
          <w:szCs w:val="16"/>
        </w:rPr>
        <w:footnoteRef/>
      </w:r>
      <w:r w:rsidRPr="00104008">
        <w:rPr>
          <w:sz w:val="20"/>
        </w:rPr>
        <w:tab/>
      </w:r>
      <w:r w:rsidRPr="006B2FB2">
        <w:rPr>
          <w:szCs w:val="22"/>
        </w:rPr>
        <w:t xml:space="preserve">Déclarations prononcées le 16 </w:t>
      </w:r>
      <w:proofErr w:type="gramStart"/>
      <w:r w:rsidRPr="006B2FB2">
        <w:rPr>
          <w:szCs w:val="22"/>
        </w:rPr>
        <w:t>décembre:</w:t>
      </w:r>
      <w:proofErr w:type="gramEnd"/>
      <w:r w:rsidRPr="006B2FB2">
        <w:rPr>
          <w:szCs w:val="22"/>
        </w:rPr>
        <w:t xml:space="preserve"> </w:t>
      </w:r>
      <w:hyperlink r:id="rId2" w:history="1">
        <w:r w:rsidRPr="00992EF9">
          <w:rPr>
            <w:rStyle w:val="Hyperlink"/>
          </w:rPr>
          <w:t>https://journal.un.org/en/new-york/officials/2025-12</w:t>
        </w:r>
        <w:r w:rsidRPr="00992EF9">
          <w:rPr>
            <w:rStyle w:val="Hyperlink"/>
          </w:rPr>
          <w:noBreakHyphen/>
          <w:t>16</w:t>
        </w:r>
      </w:hyperlink>
      <w:r w:rsidRPr="006B2FB2">
        <w:rPr>
          <w:szCs w:val="22"/>
        </w:rPr>
        <w:t xml:space="preserve">; et le 17 </w:t>
      </w:r>
      <w:proofErr w:type="gramStart"/>
      <w:r w:rsidRPr="006B2FB2">
        <w:rPr>
          <w:szCs w:val="22"/>
        </w:rPr>
        <w:t>décembre:</w:t>
      </w:r>
      <w:proofErr w:type="gramEnd"/>
      <w:r w:rsidRPr="006B2FB2">
        <w:rPr>
          <w:szCs w:val="22"/>
        </w:rPr>
        <w:t xml:space="preserve"> </w:t>
      </w:r>
      <w:hyperlink r:id="rId3" w:history="1">
        <w:r w:rsidRPr="006B2FB2">
          <w:rPr>
            <w:rStyle w:val="Hyperlink"/>
          </w:rPr>
          <w:t>https://journal.un.org/en/new-york/officials/2025-12-17</w:t>
        </w:r>
      </w:hyperlink>
      <w:r w:rsidRPr="006B2FB2">
        <w:rPr>
          <w:szCs w:val="22"/>
        </w:rPr>
        <w:t>.</w:t>
      </w:r>
    </w:p>
  </w:footnote>
  <w:footnote w:id="3">
    <w:p w14:paraId="7CD5657C" w14:textId="5FA64C0A" w:rsidR="003F25E0" w:rsidRPr="00104008" w:rsidRDefault="003F25E0" w:rsidP="00E65F8D">
      <w:pPr>
        <w:pStyle w:val="FootnoteText"/>
        <w:jc w:val="both"/>
      </w:pPr>
      <w:r w:rsidRPr="006B2FB2">
        <w:rPr>
          <w:rStyle w:val="FootnoteReference"/>
        </w:rPr>
        <w:footnoteRef/>
      </w:r>
      <w:r w:rsidRPr="00104008">
        <w:tab/>
      </w:r>
      <w:r w:rsidRPr="00BA480A">
        <w:rPr>
          <w:szCs w:val="22"/>
        </w:rPr>
        <w:t xml:space="preserve">Déclaration de Mme Doreen Bogdan-Martin, Secrétaire générale de </w:t>
      </w:r>
      <w:proofErr w:type="gramStart"/>
      <w:r w:rsidRPr="00BA480A">
        <w:rPr>
          <w:szCs w:val="22"/>
        </w:rPr>
        <w:t>l'UIT:</w:t>
      </w:r>
      <w:proofErr w:type="gramEnd"/>
      <w:r w:rsidRPr="00BA480A">
        <w:rPr>
          <w:szCs w:val="22"/>
        </w:rPr>
        <w:t xml:space="preserve"> </w:t>
      </w:r>
      <w:hyperlink r:id="rId4" w:history="1">
        <w:r w:rsidR="0044187C" w:rsidRPr="00BC03A0">
          <w:rPr>
            <w:rStyle w:val="Hyperlink"/>
          </w:rPr>
          <w:t>https://estatements.un.org/estatements/10.0010/20251216150000000/CFfKXYwvMAL/YNEvUnmWgS_nyc_en.pdf</w:t>
        </w:r>
      </w:hyperlink>
      <w:r w:rsidRPr="00BA480A">
        <w:rPr>
          <w:szCs w:val="22"/>
        </w:rPr>
        <w:t>.</w:t>
      </w:r>
    </w:p>
  </w:footnote>
  <w:footnote w:id="4">
    <w:p w14:paraId="3170C3C9" w14:textId="40257735" w:rsidR="00A82C21" w:rsidRPr="00104008" w:rsidRDefault="00A82C21" w:rsidP="00E65F8D">
      <w:pPr>
        <w:pStyle w:val="FootnoteText"/>
        <w:jc w:val="both"/>
      </w:pPr>
      <w:r w:rsidRPr="00104008">
        <w:rPr>
          <w:rStyle w:val="FootnoteReference"/>
        </w:rPr>
        <w:footnoteRef/>
      </w:r>
      <w:r w:rsidRPr="00104008">
        <w:tab/>
      </w:r>
      <w:r>
        <w:t>Déclaration de S</w:t>
      </w:r>
      <w:r w:rsidRPr="00104008">
        <w:t>.</w:t>
      </w:r>
      <w:r>
        <w:t xml:space="preserve"> </w:t>
      </w:r>
      <w:r w:rsidRPr="00104008">
        <w:t>E.</w:t>
      </w:r>
      <w:r>
        <w:t xml:space="preserve"> M.</w:t>
      </w:r>
      <w:r w:rsidRPr="00104008">
        <w:t xml:space="preserve"> Solly Malatsi, </w:t>
      </w:r>
      <w:proofErr w:type="gramStart"/>
      <w:r w:rsidRPr="00104008">
        <w:t>Minist</w:t>
      </w:r>
      <w:r>
        <w:t>re</w:t>
      </w:r>
      <w:r w:rsidRPr="00104008">
        <w:t xml:space="preserve"> </w:t>
      </w:r>
      <w:r>
        <w:t>des</w:t>
      </w:r>
      <w:r w:rsidRPr="00104008">
        <w:t xml:space="preserve"> </w:t>
      </w:r>
      <w:r>
        <w:t>c</w:t>
      </w:r>
      <w:r w:rsidRPr="00104008">
        <w:t>ommunications</w:t>
      </w:r>
      <w:proofErr w:type="gramEnd"/>
      <w:r w:rsidRPr="00104008">
        <w:t xml:space="preserve"> </w:t>
      </w:r>
      <w:r>
        <w:t xml:space="preserve">des technologies numériques de la </w:t>
      </w:r>
      <w:r w:rsidRPr="00396D85">
        <w:t xml:space="preserve">République </w:t>
      </w:r>
      <w:proofErr w:type="gramStart"/>
      <w:r w:rsidRPr="00396D85">
        <w:t>sudafricaine:</w:t>
      </w:r>
      <w:proofErr w:type="gramEnd"/>
      <w:r w:rsidRPr="00396D85">
        <w:t xml:space="preserve"> </w:t>
      </w:r>
      <w:hyperlink r:id="rId5" w:history="1">
        <w:r w:rsidR="00396D85" w:rsidRPr="004F30AB">
          <w:rPr>
            <w:rStyle w:val="Hyperlink"/>
          </w:rPr>
          <w:t>https://estatements.un.org/estatements/10.0010/</w:t>
        </w:r>
        <w:r w:rsidR="00396D85" w:rsidRPr="004F30AB">
          <w:rPr>
            <w:rStyle w:val="Hyperlink"/>
          </w:rPr>
          <w:br/>
          <w:t>20251216100000000/fsvEYyHnNDt/sJcKcYYu_nyc_en.pdf</w:t>
        </w:r>
      </w:hyperlink>
      <w:r w:rsidRPr="00396D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93B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6491690"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F1DB" w14:textId="77777777" w:rsidR="00A51849" w:rsidRPr="001342E0" w:rsidRDefault="001342E0" w:rsidP="001342E0">
    <w:pPr>
      <w:pStyle w:val="Header"/>
    </w:pPr>
    <w:r>
      <w:rPr>
        <w:noProof/>
      </w:rPr>
      <w:drawing>
        <wp:inline distT="0" distB="0" distL="0" distR="0" wp14:anchorId="69C71F69" wp14:editId="170CF3B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961033345">
    <w:abstractNumId w:val="9"/>
  </w:num>
  <w:num w:numId="2" w16cid:durableId="341396377">
    <w:abstractNumId w:val="7"/>
  </w:num>
  <w:num w:numId="3" w16cid:durableId="276564150">
    <w:abstractNumId w:val="6"/>
  </w:num>
  <w:num w:numId="4" w16cid:durableId="465900276">
    <w:abstractNumId w:val="5"/>
  </w:num>
  <w:num w:numId="5" w16cid:durableId="1292399902">
    <w:abstractNumId w:val="4"/>
  </w:num>
  <w:num w:numId="6" w16cid:durableId="1937324305">
    <w:abstractNumId w:val="8"/>
  </w:num>
  <w:num w:numId="7" w16cid:durableId="1140806792">
    <w:abstractNumId w:val="3"/>
  </w:num>
  <w:num w:numId="8" w16cid:durableId="1952320842">
    <w:abstractNumId w:val="2"/>
  </w:num>
  <w:num w:numId="9" w16cid:durableId="955940088">
    <w:abstractNumId w:val="1"/>
  </w:num>
  <w:num w:numId="10" w16cid:durableId="95561603">
    <w:abstractNumId w:val="0"/>
  </w:num>
  <w:num w:numId="11" w16cid:durableId="824855387">
    <w:abstractNumId w:val="8"/>
  </w:num>
  <w:num w:numId="12" w16cid:durableId="97601656">
    <w:abstractNumId w:val="3"/>
  </w:num>
  <w:num w:numId="13" w16cid:durableId="1583100628">
    <w:abstractNumId w:val="2"/>
  </w:num>
  <w:num w:numId="14" w16cid:durableId="658073176">
    <w:abstractNumId w:val="1"/>
  </w:num>
  <w:num w:numId="15" w16cid:durableId="141258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9A"/>
    <w:rsid w:val="00047CEB"/>
    <w:rsid w:val="00076A2C"/>
    <w:rsid w:val="000979E8"/>
    <w:rsid w:val="000A4706"/>
    <w:rsid w:val="000D0D0A"/>
    <w:rsid w:val="000D4F96"/>
    <w:rsid w:val="000E3B2A"/>
    <w:rsid w:val="001015D0"/>
    <w:rsid w:val="00103163"/>
    <w:rsid w:val="00106B19"/>
    <w:rsid w:val="001133EF"/>
    <w:rsid w:val="00115D93"/>
    <w:rsid w:val="001247A8"/>
    <w:rsid w:val="001342E0"/>
    <w:rsid w:val="001370B2"/>
    <w:rsid w:val="001378C0"/>
    <w:rsid w:val="001658F9"/>
    <w:rsid w:val="0018694A"/>
    <w:rsid w:val="0019129B"/>
    <w:rsid w:val="00195631"/>
    <w:rsid w:val="001A3287"/>
    <w:rsid w:val="001A6508"/>
    <w:rsid w:val="001D4C31"/>
    <w:rsid w:val="001E4D21"/>
    <w:rsid w:val="00207CD1"/>
    <w:rsid w:val="00226657"/>
    <w:rsid w:val="002477A2"/>
    <w:rsid w:val="00263A51"/>
    <w:rsid w:val="00267E02"/>
    <w:rsid w:val="00271321"/>
    <w:rsid w:val="00274194"/>
    <w:rsid w:val="00277DEA"/>
    <w:rsid w:val="002A5D44"/>
    <w:rsid w:val="002C3F32"/>
    <w:rsid w:val="002C4E3D"/>
    <w:rsid w:val="002C6277"/>
    <w:rsid w:val="002D2336"/>
    <w:rsid w:val="002E0BC4"/>
    <w:rsid w:val="002E3105"/>
    <w:rsid w:val="002F1B76"/>
    <w:rsid w:val="0033568E"/>
    <w:rsid w:val="00355FF5"/>
    <w:rsid w:val="00361350"/>
    <w:rsid w:val="00396D85"/>
    <w:rsid w:val="003C3FAE"/>
    <w:rsid w:val="003C491A"/>
    <w:rsid w:val="003F25E0"/>
    <w:rsid w:val="00401FBC"/>
    <w:rsid w:val="004038CB"/>
    <w:rsid w:val="0040546F"/>
    <w:rsid w:val="004177BD"/>
    <w:rsid w:val="0042404A"/>
    <w:rsid w:val="0044187C"/>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4172A"/>
    <w:rsid w:val="00553536"/>
    <w:rsid w:val="00566679"/>
    <w:rsid w:val="00571EEA"/>
    <w:rsid w:val="00575417"/>
    <w:rsid w:val="005768E1"/>
    <w:rsid w:val="005B1938"/>
    <w:rsid w:val="005C3890"/>
    <w:rsid w:val="005E78AF"/>
    <w:rsid w:val="005F7BFE"/>
    <w:rsid w:val="00600017"/>
    <w:rsid w:val="00602682"/>
    <w:rsid w:val="00606901"/>
    <w:rsid w:val="006235CA"/>
    <w:rsid w:val="0062366E"/>
    <w:rsid w:val="0066296E"/>
    <w:rsid w:val="00663579"/>
    <w:rsid w:val="006643AB"/>
    <w:rsid w:val="006A11AE"/>
    <w:rsid w:val="006A3C5C"/>
    <w:rsid w:val="006A7C10"/>
    <w:rsid w:val="006B224B"/>
    <w:rsid w:val="006B2FB2"/>
    <w:rsid w:val="006F0A53"/>
    <w:rsid w:val="00711C21"/>
    <w:rsid w:val="0071402E"/>
    <w:rsid w:val="007210CD"/>
    <w:rsid w:val="00732045"/>
    <w:rsid w:val="0073275D"/>
    <w:rsid w:val="007369DB"/>
    <w:rsid w:val="0077110E"/>
    <w:rsid w:val="007956C2"/>
    <w:rsid w:val="00796BDB"/>
    <w:rsid w:val="007A187E"/>
    <w:rsid w:val="007C72C2"/>
    <w:rsid w:val="007D4436"/>
    <w:rsid w:val="007E2AEA"/>
    <w:rsid w:val="007F257A"/>
    <w:rsid w:val="007F3665"/>
    <w:rsid w:val="00800037"/>
    <w:rsid w:val="008054F7"/>
    <w:rsid w:val="0082299A"/>
    <w:rsid w:val="0083391C"/>
    <w:rsid w:val="008435DD"/>
    <w:rsid w:val="0084546D"/>
    <w:rsid w:val="00861D73"/>
    <w:rsid w:val="00882919"/>
    <w:rsid w:val="00893F5A"/>
    <w:rsid w:val="00897553"/>
    <w:rsid w:val="008A4E87"/>
    <w:rsid w:val="008D76E6"/>
    <w:rsid w:val="008E022A"/>
    <w:rsid w:val="0092392D"/>
    <w:rsid w:val="0093234A"/>
    <w:rsid w:val="00937AFF"/>
    <w:rsid w:val="00956A78"/>
    <w:rsid w:val="0096009E"/>
    <w:rsid w:val="0097363B"/>
    <w:rsid w:val="00973F53"/>
    <w:rsid w:val="0098348E"/>
    <w:rsid w:val="009A6BAA"/>
    <w:rsid w:val="009A76A8"/>
    <w:rsid w:val="009B5612"/>
    <w:rsid w:val="009C307F"/>
    <w:rsid w:val="009C353C"/>
    <w:rsid w:val="009D5955"/>
    <w:rsid w:val="009F0FB8"/>
    <w:rsid w:val="00A01F4F"/>
    <w:rsid w:val="00A109AF"/>
    <w:rsid w:val="00A125FB"/>
    <w:rsid w:val="00A2113E"/>
    <w:rsid w:val="00A23A51"/>
    <w:rsid w:val="00A24607"/>
    <w:rsid w:val="00A25CD3"/>
    <w:rsid w:val="00A323BA"/>
    <w:rsid w:val="00A34895"/>
    <w:rsid w:val="00A51849"/>
    <w:rsid w:val="00A709FE"/>
    <w:rsid w:val="00A73C60"/>
    <w:rsid w:val="00A82767"/>
    <w:rsid w:val="00A82C21"/>
    <w:rsid w:val="00A9219B"/>
    <w:rsid w:val="00AA332F"/>
    <w:rsid w:val="00AA7BBB"/>
    <w:rsid w:val="00AB64A8"/>
    <w:rsid w:val="00AC0266"/>
    <w:rsid w:val="00AC0F1D"/>
    <w:rsid w:val="00AD24EC"/>
    <w:rsid w:val="00B27B00"/>
    <w:rsid w:val="00B309F9"/>
    <w:rsid w:val="00B32B60"/>
    <w:rsid w:val="00B51005"/>
    <w:rsid w:val="00B61619"/>
    <w:rsid w:val="00B95A3F"/>
    <w:rsid w:val="00BA480A"/>
    <w:rsid w:val="00BB38C1"/>
    <w:rsid w:val="00BB4545"/>
    <w:rsid w:val="00BC1ECA"/>
    <w:rsid w:val="00BD5873"/>
    <w:rsid w:val="00BF4B60"/>
    <w:rsid w:val="00C049D7"/>
    <w:rsid w:val="00C04BE3"/>
    <w:rsid w:val="00C25D29"/>
    <w:rsid w:val="00C2625E"/>
    <w:rsid w:val="00C27A7C"/>
    <w:rsid w:val="00C42437"/>
    <w:rsid w:val="00CA08ED"/>
    <w:rsid w:val="00CC63BA"/>
    <w:rsid w:val="00CC6EAA"/>
    <w:rsid w:val="00CE2BA1"/>
    <w:rsid w:val="00CE5172"/>
    <w:rsid w:val="00CF0534"/>
    <w:rsid w:val="00CF183B"/>
    <w:rsid w:val="00D03B5F"/>
    <w:rsid w:val="00D375CD"/>
    <w:rsid w:val="00D37B53"/>
    <w:rsid w:val="00D4663D"/>
    <w:rsid w:val="00D553A2"/>
    <w:rsid w:val="00D72F49"/>
    <w:rsid w:val="00D774D3"/>
    <w:rsid w:val="00D904E8"/>
    <w:rsid w:val="00D91363"/>
    <w:rsid w:val="00DA08C3"/>
    <w:rsid w:val="00DB5A3E"/>
    <w:rsid w:val="00DC22AA"/>
    <w:rsid w:val="00DD1A99"/>
    <w:rsid w:val="00DE62C6"/>
    <w:rsid w:val="00DF74DD"/>
    <w:rsid w:val="00E03D26"/>
    <w:rsid w:val="00E25AD0"/>
    <w:rsid w:val="00E4428F"/>
    <w:rsid w:val="00E4448E"/>
    <w:rsid w:val="00E47427"/>
    <w:rsid w:val="00E65F8D"/>
    <w:rsid w:val="00E663EE"/>
    <w:rsid w:val="00E7406E"/>
    <w:rsid w:val="00E93668"/>
    <w:rsid w:val="00E95647"/>
    <w:rsid w:val="00EB6350"/>
    <w:rsid w:val="00ED799B"/>
    <w:rsid w:val="00F15B57"/>
    <w:rsid w:val="00F35EF4"/>
    <w:rsid w:val="00F37FE5"/>
    <w:rsid w:val="00F427DB"/>
    <w:rsid w:val="00F7433F"/>
    <w:rsid w:val="00FA0D9A"/>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52A1B4"/>
  <w15:docId w15:val="{9E599DC2-17EC-47AE-8E20-1BC210D6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级链,超????,하이퍼링크2,하이퍼링크21,超链接1,CEO_Hyperlink,超??级链Ú,fL????,fL?级,超??级链"/>
    <w:basedOn w:val="DefaultParagraphFont"/>
    <w:uiPriority w:val="99"/>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0A4706"/>
    <w:rPr>
      <w:sz w:val="16"/>
      <w:szCs w:val="16"/>
    </w:rPr>
  </w:style>
  <w:style w:type="paragraph" w:styleId="CommentText">
    <w:name w:val="annotation text"/>
    <w:basedOn w:val="Normal"/>
    <w:link w:val="CommentTextChar"/>
    <w:semiHidden/>
    <w:unhideWhenUsed/>
    <w:rsid w:val="000A4706"/>
    <w:rPr>
      <w:sz w:val="20"/>
    </w:rPr>
  </w:style>
  <w:style w:type="character" w:customStyle="1" w:styleId="CommentTextChar">
    <w:name w:val="Comment Text Char"/>
    <w:basedOn w:val="DefaultParagraphFont"/>
    <w:link w:val="CommentText"/>
    <w:semiHidden/>
    <w:rsid w:val="000A4706"/>
    <w:rPr>
      <w:rFonts w:ascii="Calibri" w:hAnsi="Calibri"/>
      <w:lang w:val="fr-FR" w:eastAsia="en-US"/>
    </w:rPr>
  </w:style>
  <w:style w:type="paragraph" w:styleId="CommentSubject">
    <w:name w:val="annotation subject"/>
    <w:basedOn w:val="CommentText"/>
    <w:next w:val="CommentText"/>
    <w:link w:val="CommentSubjectChar"/>
    <w:semiHidden/>
    <w:unhideWhenUsed/>
    <w:rsid w:val="000A4706"/>
    <w:rPr>
      <w:b/>
      <w:bCs/>
    </w:rPr>
  </w:style>
  <w:style w:type="character" w:customStyle="1" w:styleId="CommentSubjectChar">
    <w:name w:val="Comment Subject Char"/>
    <w:basedOn w:val="CommentTextChar"/>
    <w:link w:val="CommentSubject"/>
    <w:semiHidden/>
    <w:rsid w:val="000A4706"/>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A/RES/70/299" TargetMode="External"/><Relationship Id="rId18" Type="http://schemas.openxmlformats.org/officeDocument/2006/relationships/hyperlink" Target="https://docs.un.org/fr/E/RES/2025/18" TargetMode="External"/><Relationship Id="rId26" Type="http://schemas.openxmlformats.org/officeDocument/2006/relationships/hyperlink" Target="https://www.itu.int/pub/R-RES-R.61-3-2023/fr" TargetMode="External"/><Relationship Id="rId39" Type="http://schemas.openxmlformats.org/officeDocument/2006/relationships/hyperlink" Target="https://docs.un.org/fr/a/res/70/125" TargetMode="External"/><Relationship Id="rId21" Type="http://schemas.openxmlformats.org/officeDocument/2006/relationships/hyperlink" Target="https://www.itu.int/en/council/Documents/basic-texts-2023/RES-071-E.pdf" TargetMode="External"/><Relationship Id="rId34" Type="http://schemas.openxmlformats.org/officeDocument/2006/relationships/hyperlink" Target="https://www.un.org/sites/un2.un.org/files/sotf-pact_for_the_future_adopted.pdf" TargetMode="External"/><Relationship Id="rId42" Type="http://schemas.openxmlformats.org/officeDocument/2006/relationships/hyperlink" Target="https://www.itu.int/net/wsis/docs2/tunis/off/6rev1.html" TargetMode="External"/><Relationship Id="rId47" Type="http://schemas.openxmlformats.org/officeDocument/2006/relationships/hyperlink" Target="https://www.itu.int/en/itu-wsis/Pages/CWG-WSIS%26SDG_Call_for_Inputs_2025.aspx" TargetMode="External"/><Relationship Id="rId50" Type="http://schemas.openxmlformats.org/officeDocument/2006/relationships/hyperlink" Target="https://www.itu.int/initiatives/digital-unga2025/wsis20-edition/"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un.org/fr/A/RES/79/277" TargetMode="External"/><Relationship Id="rId29" Type="http://schemas.openxmlformats.org/officeDocument/2006/relationships/hyperlink" Target="http://www.itu.int/en/ITU-D/Statistics/Documents/publications/wsisreview2014/WSIS2014_review.pdf" TargetMode="External"/><Relationship Id="rId11" Type="http://schemas.openxmlformats.org/officeDocument/2006/relationships/hyperlink" Target="https://docs.un.org/a/res/77/150" TargetMode="External"/><Relationship Id="rId24" Type="http://schemas.openxmlformats.org/officeDocument/2006/relationships/hyperlink" Target="https://www.itu.int/itu-d/meetings/wtdc25/wp-content/uploads/sites/29/2025/11/090-E.pdf" TargetMode="External"/><Relationship Id="rId32" Type="http://schemas.openxmlformats.org/officeDocument/2006/relationships/hyperlink" Target="https://www.itu.int/dms_pub/itu-s/md/22/cl/c/S22-CL-C-0059!!MSW-F.docx" TargetMode="External"/><Relationship Id="rId37" Type="http://schemas.openxmlformats.org/officeDocument/2006/relationships/hyperlink" Target="https://www.itu.int/net4/wsis/forum/2026/fr" TargetMode="External"/><Relationship Id="rId40" Type="http://schemas.openxmlformats.org/officeDocument/2006/relationships/hyperlink" Target="https://docs.un.org/fr/A/RES/79/277" TargetMode="External"/><Relationship Id="rId45" Type="http://schemas.openxmlformats.org/officeDocument/2006/relationships/hyperlink" Target="https://www.itu.int/net4/wsis/ungis/content/upload/doc/roadmaps/ITU-WSIS20-Roadmap.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itu.int/en/council/Documents/basic-texts-2023/RES-140-E.pdf" TargetMode="External"/><Relationship Id="rId4" Type="http://schemas.openxmlformats.org/officeDocument/2006/relationships/settings" Target="settings.xml"/><Relationship Id="rId9" Type="http://schemas.openxmlformats.org/officeDocument/2006/relationships/hyperlink" Target="https://docs.un.org/a/res/70/125" TargetMode="External"/><Relationship Id="rId14" Type="http://schemas.openxmlformats.org/officeDocument/2006/relationships/hyperlink" Target="https://docs.un.org/A/RES/70/684" TargetMode="External"/><Relationship Id="rId22" Type="http://schemas.openxmlformats.org/officeDocument/2006/relationships/hyperlink" Target="https://www.itu.int/md/S24-CL-C-0141/fr" TargetMode="External"/><Relationship Id="rId27" Type="http://schemas.openxmlformats.org/officeDocument/2006/relationships/hyperlink" Target="https://www.itu.int/net/wsis/implementation/2014/forum/inc/doc/outcome/362828V2F.pdf" TargetMode="External"/><Relationship Id="rId30" Type="http://schemas.openxmlformats.org/officeDocument/2006/relationships/hyperlink" Target="https://www.itu.int/en/itu-wsis/Documents/WSIS+10Report.pdf" TargetMode="External"/><Relationship Id="rId35" Type="http://schemas.openxmlformats.org/officeDocument/2006/relationships/hyperlink" Target="https://unctad.org/system/files/official-document/ecn162025d4_fr.pdf" TargetMode="External"/><Relationship Id="rId43" Type="http://schemas.openxmlformats.org/officeDocument/2006/relationships/hyperlink" Target="https://docs.un.org/fr/A/RES/80/173" TargetMode="External"/><Relationship Id="rId48" Type="http://schemas.openxmlformats.org/officeDocument/2006/relationships/hyperlink" Target="https://www.itu.int/net4/wsis/forum/2025/fr/Agenda/Session/554" TargetMode="External"/><Relationship Id="rId56" Type="http://schemas.openxmlformats.org/officeDocument/2006/relationships/footer" Target="footer3.xml"/><Relationship Id="rId8" Type="http://schemas.openxmlformats.org/officeDocument/2006/relationships/hyperlink" Target="https://www.itu.int/en/council/cwg-wsis/Pages/default.aspx" TargetMode="External"/><Relationship Id="rId51" Type="http://schemas.openxmlformats.org/officeDocument/2006/relationships/hyperlink" Target="https://itu.int/go/IU59" TargetMode="External"/><Relationship Id="rId3" Type="http://schemas.openxmlformats.org/officeDocument/2006/relationships/styles" Target="styles.xml"/><Relationship Id="rId12" Type="http://schemas.openxmlformats.org/officeDocument/2006/relationships/hyperlink" Target="https://docs.un.org/A/RES/71/212" TargetMode="External"/><Relationship Id="rId17" Type="http://schemas.openxmlformats.org/officeDocument/2006/relationships/hyperlink" Target="https://docs.un.org/fr/A/RES/80/173" TargetMode="External"/><Relationship Id="rId25" Type="http://schemas.openxmlformats.org/officeDocument/2006/relationships/hyperlink" Target="https://www.itu.int/pub/T-RES-T.75-2022/fr" TargetMode="External"/><Relationship Id="rId33" Type="http://schemas.openxmlformats.org/officeDocument/2006/relationships/hyperlink" Target="https://www.itu.int/en/itu-wsis/Documents/WSIS20/WSIS+20Report.pdf" TargetMode="External"/><Relationship Id="rId38" Type="http://schemas.openxmlformats.org/officeDocument/2006/relationships/hyperlink" Target="https://publicadministration.desa.un.org/fr/node/2847" TargetMode="External"/><Relationship Id="rId46" Type="http://schemas.openxmlformats.org/officeDocument/2006/relationships/hyperlink" Target="https://www.itu.int/en/itu-wsis/Documents/WSIS20/WSIS+20Report.pdf" TargetMode="External"/><Relationship Id="rId20" Type="http://schemas.openxmlformats.org/officeDocument/2006/relationships/hyperlink" Target="https://www.itu.int/en/council/cwg-wsis/Documents/Resolution172-PP10.pdf" TargetMode="External"/><Relationship Id="rId41" Type="http://schemas.openxmlformats.org/officeDocument/2006/relationships/hyperlink" Target="https://www.itu.int/net/wsis/docs/geneva/official/dop.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un.org/A/RES/73/218" TargetMode="External"/><Relationship Id="rId23" Type="http://schemas.openxmlformats.org/officeDocument/2006/relationships/hyperlink" Target="https://www.itu.int/md/S23-CL-C-0120/fr" TargetMode="External"/><Relationship Id="rId28" Type="http://schemas.openxmlformats.org/officeDocument/2006/relationships/hyperlink" Target="https://www.itu.int/net/wsis/implementation/2014/forum/inc/doc/outcome/362828V2F.pdf" TargetMode="External"/><Relationship Id="rId36" Type="http://schemas.openxmlformats.org/officeDocument/2006/relationships/hyperlink" Target="https://publicadministration.desa.un.org/sites/default/files/2021-04/2025/WSIS%2B20_ZERO_DRAFT.pdf" TargetMode="External"/><Relationship Id="rId49" Type="http://schemas.openxmlformats.org/officeDocument/2006/relationships/hyperlink" Target="https://www.itu.int/net4/wsis/forum/2025/fr/Agenda/Session/555" TargetMode="External"/><Relationship Id="rId57" Type="http://schemas.openxmlformats.org/officeDocument/2006/relationships/fontTable" Target="fontTable.xml"/><Relationship Id="rId10" Type="http://schemas.openxmlformats.org/officeDocument/2006/relationships/hyperlink" Target="https://docs.un.org/a/res/70/125" TargetMode="External"/><Relationship Id="rId31" Type="http://schemas.openxmlformats.org/officeDocument/2006/relationships/hyperlink" Target="https://www.itu.int/md/S22-CWGWSIS38-C-0014/fr" TargetMode="External"/><Relationship Id="rId44" Type="http://schemas.openxmlformats.org/officeDocument/2006/relationships/hyperlink" Target="https://publicadministration.desa.un.org/fr/node/2847" TargetMode="External"/><Relationship Id="rId5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ournal.un.org/en/new-york/officials/2025-12-17" TargetMode="External"/><Relationship Id="rId2" Type="http://schemas.openxmlformats.org/officeDocument/2006/relationships/hyperlink" Target="https://journal.un.org/fr/new-york/officials/2025-1216" TargetMode="External"/><Relationship Id="rId1" Type="http://schemas.openxmlformats.org/officeDocument/2006/relationships/hyperlink" Target="https://e-speakers.e-delegate.un.org/6932eb7b26106187a2e18d9705122025" TargetMode="External"/><Relationship Id="rId5" Type="http://schemas.openxmlformats.org/officeDocument/2006/relationships/hyperlink" Target="https://estatements.un.org/estatements/10.0010/20251216100000000/fsvEYyHnNDt/sJcKcYYu_nyc_en.pdf" TargetMode="External"/><Relationship Id="rId4" Type="http://schemas.openxmlformats.org/officeDocument/2006/relationships/hyperlink" Target="https://estatements.un.org/estatements/10.0010/20251216150000000/CFfKXYwvMAL/YNEvUnmWgS_nyc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85E5C-C48E-4441-A8B7-CF9EEEFD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5</TotalTime>
  <Pages>11</Pages>
  <Words>5703</Words>
  <Characters>34317</Characters>
  <Application>Microsoft Office Word</Application>
  <DocSecurity>0</DocSecurity>
  <Lines>512</Lines>
  <Paragraphs>125</Paragraphs>
  <ScaleCrop>false</ScaleCrop>
  <HeadingPairs>
    <vt:vector size="2" baseType="variant">
      <vt:variant>
        <vt:lpstr>Title</vt:lpstr>
      </vt:variant>
      <vt:variant>
        <vt:i4>1</vt:i4>
      </vt:variant>
    </vt:vector>
  </HeadingPairs>
  <TitlesOfParts>
    <vt:vector size="1" baseType="lpstr">
      <vt:lpstr>Rapport de l'Assemblée générale des Nations Unies sur l'examen d'ensemble de la mise en œuvre des résultats du Sommet mondial sur la société de l'information</vt:lpstr>
    </vt:vector>
  </TitlesOfParts>
  <Manager>Secrétariat général - Pool</Manager>
  <Company>Union internationale des télécommunications (UIT)</Company>
  <LinksUpToDate>false</LinksUpToDate>
  <CharactersWithSpaces>39895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l'Assemblée générale des Nations Unies sur l'examen d'ensemble de la mise en œuvre des résultats du Sommet mondial sur la société de l'information</dc:title>
  <dc:subject>Conseil 2026 de l'UIT</dc:subject>
  <cp:keywords>C26; C2026; Council 2026; PP26</cp:keywords>
  <dc:description/>
  <cp:lastPrinted>2000-07-18T08:55:00Z</cp:lastPrinted>
  <dcterms:created xsi:type="dcterms:W3CDTF">2026-04-02T07:59:00Z</dcterms:created>
  <dcterms:modified xsi:type="dcterms:W3CDTF">2026-04-02T08:04:00Z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