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BD7785" w14:paraId="55C0D153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8C866A6" w14:textId="05ED9AC7" w:rsidR="00796BD3" w:rsidRPr="00BD7785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BD7785">
              <w:rPr>
                <w:b/>
                <w:lang w:val="ru-RU"/>
              </w:rPr>
              <w:t>Пункт повестки дня:</w:t>
            </w:r>
            <w:r w:rsidR="00D82C3A" w:rsidRPr="00BD7785">
              <w:rPr>
                <w:b/>
                <w:lang w:val="ru-RU"/>
              </w:rPr>
              <w:t xml:space="preserve"> PL</w:t>
            </w:r>
            <w:r w:rsidR="00304FAC">
              <w:rPr>
                <w:b/>
                <w:lang w:val="ru-RU"/>
              </w:rPr>
              <w:t xml:space="preserve"> </w:t>
            </w:r>
            <w:r w:rsidR="00D82C3A" w:rsidRPr="00BD7785">
              <w:rPr>
                <w:b/>
                <w:lang w:val="ru-RU"/>
              </w:rPr>
              <w:t>2</w:t>
            </w:r>
          </w:p>
        </w:tc>
        <w:tc>
          <w:tcPr>
            <w:tcW w:w="5245" w:type="dxa"/>
          </w:tcPr>
          <w:p w14:paraId="1B16D39C" w14:textId="644EC392" w:rsidR="00796BD3" w:rsidRPr="00BD7785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D7785">
              <w:rPr>
                <w:b/>
                <w:lang w:val="ru-RU"/>
              </w:rPr>
              <w:t xml:space="preserve">Документ </w:t>
            </w:r>
            <w:r w:rsidR="00796BD3" w:rsidRPr="00BD7785">
              <w:rPr>
                <w:b/>
                <w:lang w:val="ru-RU"/>
              </w:rPr>
              <w:t>C2</w:t>
            </w:r>
            <w:r w:rsidR="00BE00DD" w:rsidRPr="00BD7785">
              <w:rPr>
                <w:b/>
                <w:lang w:val="ru-RU"/>
              </w:rPr>
              <w:t>6</w:t>
            </w:r>
            <w:r w:rsidR="00796BD3" w:rsidRPr="00BD7785">
              <w:rPr>
                <w:b/>
                <w:lang w:val="ru-RU"/>
              </w:rPr>
              <w:t>/</w:t>
            </w:r>
            <w:r w:rsidR="00D82C3A" w:rsidRPr="00BD7785">
              <w:rPr>
                <w:b/>
                <w:lang w:val="ru-RU"/>
              </w:rPr>
              <w:t>58</w:t>
            </w:r>
            <w:r w:rsidR="00796BD3" w:rsidRPr="00BD7785">
              <w:rPr>
                <w:b/>
                <w:lang w:val="ru-RU"/>
              </w:rPr>
              <w:t>-R</w:t>
            </w:r>
          </w:p>
        </w:tc>
      </w:tr>
      <w:tr w:rsidR="00796BD3" w:rsidRPr="00BD7785" w14:paraId="6DB54F5C" w14:textId="77777777" w:rsidTr="00D17718">
        <w:trPr>
          <w:cantSplit/>
        </w:trPr>
        <w:tc>
          <w:tcPr>
            <w:tcW w:w="3969" w:type="dxa"/>
            <w:vMerge/>
          </w:tcPr>
          <w:p w14:paraId="612B4C32" w14:textId="77777777" w:rsidR="00796BD3" w:rsidRPr="00BD778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516FB58" w14:textId="4E5661A5" w:rsidR="00796BD3" w:rsidRPr="00BD7785" w:rsidRDefault="00D82C3A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BD7785">
              <w:rPr>
                <w:b/>
                <w:lang w:val="ru-RU"/>
              </w:rPr>
              <w:t>27 марта 2026 года</w:t>
            </w:r>
          </w:p>
        </w:tc>
      </w:tr>
      <w:tr w:rsidR="00796BD3" w:rsidRPr="00BD7785" w14:paraId="76733C8B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5FB267F1" w14:textId="77777777" w:rsidR="00796BD3" w:rsidRPr="00BD778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5A4A7B90" w14:textId="77777777" w:rsidR="00796BD3" w:rsidRPr="00BD7785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D7785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BD7785" w14:paraId="56426A31" w14:textId="77777777" w:rsidTr="00D17718">
        <w:trPr>
          <w:cantSplit/>
          <w:trHeight w:val="23"/>
        </w:trPr>
        <w:tc>
          <w:tcPr>
            <w:tcW w:w="3969" w:type="dxa"/>
          </w:tcPr>
          <w:p w14:paraId="3DE69CA7" w14:textId="77777777" w:rsidR="00796BD3" w:rsidRPr="00BD7785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53148BC2" w14:textId="77777777" w:rsidR="00796BD3" w:rsidRPr="00BD7785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BD7785" w14:paraId="4984681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CF0B609" w14:textId="77777777" w:rsidR="00796BD3" w:rsidRPr="00BD7785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BD7785">
              <w:t>Отчет Генерального секретаря</w:t>
            </w:r>
          </w:p>
        </w:tc>
      </w:tr>
      <w:tr w:rsidR="00796BD3" w:rsidRPr="00E802C1" w14:paraId="0CEEE44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79AE923" w14:textId="306FAAEC" w:rsidR="00796BD3" w:rsidRPr="00304FAC" w:rsidRDefault="00D82C3A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304FAC">
              <w:rPr>
                <w:sz w:val="32"/>
              </w:rPr>
              <w:t>ЗАКЛЮЧИТЕЛЬНЫЙ И ВСЕСТОРОННИЙ ОТЧЕТ О ДЕЯТЕЛЬНОСТИ МСЭ ПО ВЫПОЛНЕНИЮ РЕШЕНИЙ ВВУИО И ПОВЕСТКИ ДНЯ В ОБЛАСТИ УСТОЙЧИВОГО РАЗВИТИЯ НА ПЕРИОД ДО 2030 ГОДА СОВМЕСТНО С ПРЕДЛОЖЕНИЯМИ ОТНОСИТЕЛЬНО ДАЛЬНЕЙШЕЙ ДЕЯТЕЛЬНОСТИ</w:t>
            </w:r>
          </w:p>
        </w:tc>
      </w:tr>
      <w:tr w:rsidR="00796BD3" w:rsidRPr="00E802C1" w14:paraId="163D820A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3B8DF65" w14:textId="77777777" w:rsidR="00796BD3" w:rsidRPr="00BD7785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D7785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265F10D7" w14:textId="24FAF76B" w:rsidR="00796BD3" w:rsidRPr="00BD7785" w:rsidRDefault="00D82C3A" w:rsidP="00D17718">
            <w:pPr>
              <w:rPr>
                <w:lang w:val="ru-RU"/>
              </w:rPr>
            </w:pPr>
            <w:r w:rsidRPr="00BD7785">
              <w:rPr>
                <w:lang w:val="ru-RU"/>
              </w:rPr>
              <w:t>В соответствии с Резолюцией 1332 (C11, последнее изменение C24) о роли МСЭ в выполнении решений ВВУИО и Повестки дня в области устойчивого развития на период до 2030 года настоящий документ является заключительным и всесторонним отчетом о деятельности МСЭ по выполнению решений ВВУИО и Повестки дня в области устойчивого развития на период до 2030 года совместно с предложениями относительно дальнейшей деятельности.</w:t>
            </w:r>
          </w:p>
          <w:p w14:paraId="2815D835" w14:textId="77777777" w:rsidR="00796BD3" w:rsidRPr="00BD7785" w:rsidRDefault="0033025A" w:rsidP="0028360D">
            <w:pPr>
              <w:spacing w:before="160" w:line="25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BD7785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69142365" w14:textId="0492CD34" w:rsidR="00796BD3" w:rsidRPr="00BD7785" w:rsidRDefault="00D82C3A" w:rsidP="0028360D">
            <w:pPr>
              <w:spacing w:line="250" w:lineRule="exact"/>
              <w:rPr>
                <w:lang w:val="ru-RU"/>
              </w:rPr>
            </w:pPr>
            <w:r w:rsidRPr="00BD7785">
              <w:rPr>
                <w:lang w:val="ru-RU"/>
              </w:rPr>
              <w:t xml:space="preserve">Совету предлагается </w:t>
            </w:r>
            <w:r w:rsidRPr="00BD7785">
              <w:rPr>
                <w:b/>
                <w:bCs/>
                <w:lang w:val="ru-RU"/>
              </w:rPr>
              <w:t>рассмотреть</w:t>
            </w:r>
            <w:r w:rsidRPr="00BD7785">
              <w:rPr>
                <w:lang w:val="ru-RU"/>
              </w:rPr>
              <w:t xml:space="preserve"> настоящий документ.</w:t>
            </w:r>
          </w:p>
          <w:p w14:paraId="449ED818" w14:textId="77777777" w:rsidR="00796BD3" w:rsidRPr="00BD7785" w:rsidRDefault="0033025A" w:rsidP="0028360D">
            <w:pPr>
              <w:spacing w:before="160" w:line="25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BD7785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1CD4FAF8" w14:textId="73982AC0" w:rsidR="00796BD3" w:rsidRPr="00BD7785" w:rsidRDefault="00D82C3A" w:rsidP="0028360D">
            <w:pPr>
              <w:spacing w:line="250" w:lineRule="exact"/>
              <w:rPr>
                <w:lang w:val="ru-RU"/>
              </w:rPr>
            </w:pPr>
            <w:r w:rsidRPr="00BD7785">
              <w:rPr>
                <w:lang w:val="ru-RU"/>
              </w:rPr>
              <w:t>Платформы для созыва мероприятий, партнерства и международное сотрудничество.</w:t>
            </w:r>
          </w:p>
          <w:p w14:paraId="31ACC54D" w14:textId="77777777" w:rsidR="00796BD3" w:rsidRPr="00BD7785" w:rsidRDefault="0033025A" w:rsidP="0028360D">
            <w:pPr>
              <w:spacing w:before="160" w:line="250" w:lineRule="exact"/>
              <w:rPr>
                <w:b/>
                <w:bCs/>
                <w:sz w:val="24"/>
                <w:szCs w:val="24"/>
                <w:lang w:val="ru-RU"/>
              </w:rPr>
            </w:pPr>
            <w:r w:rsidRPr="00BD7785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4C19E035" w14:textId="07D5C4FA" w:rsidR="00345D2A" w:rsidRPr="00BD7785" w:rsidRDefault="00D82C3A" w:rsidP="0028360D">
            <w:pPr>
              <w:spacing w:line="250" w:lineRule="exact"/>
              <w:rPr>
                <w:szCs w:val="22"/>
                <w:lang w:val="ru-RU"/>
              </w:rPr>
            </w:pPr>
            <w:r w:rsidRPr="00BD7785">
              <w:rPr>
                <w:szCs w:val="22"/>
                <w:lang w:val="ru-RU"/>
              </w:rPr>
              <w:t>В рамках выделенного бюджета на 2025–2026 годы.</w:t>
            </w:r>
          </w:p>
          <w:p w14:paraId="17BB24CD" w14:textId="77777777" w:rsidR="00796BD3" w:rsidRPr="00BD7785" w:rsidRDefault="00796BD3" w:rsidP="00304FAC">
            <w:pPr>
              <w:spacing w:before="0"/>
              <w:rPr>
                <w:caps/>
                <w:sz w:val="20"/>
                <w:szCs w:val="18"/>
                <w:lang w:val="ru-RU"/>
              </w:rPr>
            </w:pPr>
            <w:r w:rsidRPr="00BD7785">
              <w:rPr>
                <w:sz w:val="20"/>
                <w:szCs w:val="18"/>
                <w:lang w:val="ru-RU"/>
              </w:rPr>
              <w:t>__________________</w:t>
            </w:r>
          </w:p>
          <w:p w14:paraId="017F9442" w14:textId="77777777" w:rsidR="00796BD3" w:rsidRPr="00BD7785" w:rsidRDefault="0033025A" w:rsidP="00304FAC">
            <w:pPr>
              <w:rPr>
                <w:b/>
                <w:bCs/>
                <w:sz w:val="26"/>
                <w:szCs w:val="26"/>
                <w:lang w:val="ru-RU"/>
              </w:rPr>
            </w:pPr>
            <w:r w:rsidRPr="00BD7785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6675BE8" w14:textId="785C48C8" w:rsidR="00796BD3" w:rsidRPr="00BD7785" w:rsidRDefault="00D82C3A" w:rsidP="00E802C1">
            <w:pPr>
              <w:spacing w:before="60" w:after="40" w:line="240" w:lineRule="exact"/>
              <w:jc w:val="both"/>
              <w:rPr>
                <w:i/>
                <w:iCs/>
                <w:lang w:val="ru-RU"/>
              </w:rPr>
            </w:pPr>
            <w:hyperlink r:id="rId7" w:anchor="/ru" w:history="1">
              <w:r w:rsidRPr="00BD7785">
                <w:rPr>
                  <w:rStyle w:val="Hyperlink"/>
                  <w:i/>
                  <w:iCs/>
                  <w:lang w:val="ru-RU"/>
                </w:rPr>
                <w:t>Веб-сайт CWG-WSIS&amp;SDG</w:t>
              </w:r>
            </w:hyperlink>
            <w:r w:rsidRPr="00BD7785">
              <w:rPr>
                <w:i/>
                <w:iCs/>
                <w:lang w:val="ru-RU"/>
              </w:rPr>
              <w:t xml:space="preserve">; резолюции </w:t>
            </w:r>
            <w:hyperlink r:id="rId8" w:history="1">
              <w:r w:rsidRPr="00BD7785">
                <w:rPr>
                  <w:rStyle w:val="Hyperlink"/>
                  <w:i/>
                  <w:iCs/>
                  <w:lang w:val="ru-RU"/>
                </w:rPr>
                <w:t>A/RES/70/125</w:t>
              </w:r>
            </w:hyperlink>
            <w:r w:rsidRPr="00BD7785">
              <w:rPr>
                <w:i/>
                <w:iCs/>
                <w:lang w:val="ru-RU"/>
              </w:rPr>
              <w:t xml:space="preserve">, </w:t>
            </w:r>
            <w:hyperlink r:id="rId9" w:history="1">
              <w:r w:rsidRPr="00BD7785">
                <w:rPr>
                  <w:rStyle w:val="Hyperlink"/>
                  <w:i/>
                  <w:iCs/>
                  <w:lang w:val="ru-RU"/>
                </w:rPr>
                <w:t>A/RES/70/1</w:t>
              </w:r>
            </w:hyperlink>
            <w:r w:rsidRPr="00BD7785">
              <w:rPr>
                <w:i/>
                <w:iCs/>
                <w:lang w:val="ru-RU"/>
              </w:rPr>
              <w:t xml:space="preserve">, </w:t>
            </w:r>
            <w:hyperlink r:id="rId10" w:tgtFrame="_blank" w:history="1">
              <w:r w:rsidRPr="00BD7785">
                <w:rPr>
                  <w:rStyle w:val="Hyperlink"/>
                  <w:i/>
                  <w:iCs/>
                  <w:lang w:val="ru-RU"/>
                </w:rPr>
                <w:t>A/RES/77/150</w:t>
              </w:r>
            </w:hyperlink>
            <w:r w:rsidRPr="00BD7785">
              <w:rPr>
                <w:i/>
                <w:iCs/>
                <w:lang w:val="ru-RU"/>
              </w:rPr>
              <w:t xml:space="preserve">, </w:t>
            </w:r>
            <w:hyperlink r:id="rId11" w:history="1">
              <w:r w:rsidRPr="00BD7785">
                <w:rPr>
                  <w:rStyle w:val="Hyperlink"/>
                  <w:i/>
                  <w:iCs/>
                  <w:lang w:val="ru-RU"/>
                </w:rPr>
                <w:t>A/RES/71/212</w:t>
              </w:r>
            </w:hyperlink>
            <w:r w:rsidRPr="00BD7785">
              <w:rPr>
                <w:i/>
                <w:iCs/>
                <w:lang w:val="ru-RU"/>
              </w:rPr>
              <w:t xml:space="preserve">, </w:t>
            </w:r>
            <w:hyperlink r:id="rId12" w:history="1">
              <w:r w:rsidRPr="00BD7785">
                <w:rPr>
                  <w:rStyle w:val="Hyperlink"/>
                  <w:i/>
                  <w:iCs/>
                  <w:lang w:val="ru-RU"/>
                </w:rPr>
                <w:t>A/RES/70/299</w:t>
              </w:r>
            </w:hyperlink>
            <w:r w:rsidRPr="00BD7785">
              <w:rPr>
                <w:i/>
                <w:iCs/>
                <w:lang w:val="ru-RU"/>
              </w:rPr>
              <w:t xml:space="preserve">, </w:t>
            </w:r>
            <w:hyperlink r:id="rId13" w:history="1">
              <w:r w:rsidRPr="00BD7785">
                <w:rPr>
                  <w:rStyle w:val="Hyperlink"/>
                  <w:i/>
                  <w:iCs/>
                  <w:lang w:val="ru-RU"/>
                </w:rPr>
                <w:t>A/RES/70/684</w:t>
              </w:r>
            </w:hyperlink>
            <w:r w:rsidRPr="00BD7785">
              <w:rPr>
                <w:i/>
                <w:iCs/>
                <w:lang w:val="ru-RU"/>
              </w:rPr>
              <w:t xml:space="preserve">, </w:t>
            </w:r>
            <w:hyperlink r:id="rId14" w:history="1">
              <w:r w:rsidRPr="00BD7785">
                <w:rPr>
                  <w:rStyle w:val="Hyperlink"/>
                  <w:i/>
                  <w:iCs/>
                  <w:lang w:val="ru-RU"/>
                </w:rPr>
                <w:t>A/RES/73/218</w:t>
              </w:r>
            </w:hyperlink>
            <w:r w:rsidRPr="00BD7785">
              <w:rPr>
                <w:i/>
                <w:iCs/>
                <w:lang w:val="ru-RU"/>
              </w:rPr>
              <w:t xml:space="preserve">; </w:t>
            </w:r>
            <w:hyperlink r:id="rId15" w:history="1">
              <w:r w:rsidRPr="00BD7785">
                <w:rPr>
                  <w:rStyle w:val="Hyperlink"/>
                  <w:i/>
                  <w:iCs/>
                  <w:lang w:val="ru-RU"/>
                </w:rPr>
                <w:t>A/RES/80/173</w:t>
              </w:r>
            </w:hyperlink>
            <w:r w:rsidRPr="00BD7785">
              <w:rPr>
                <w:i/>
                <w:iCs/>
                <w:lang w:val="ru-RU"/>
              </w:rPr>
              <w:t xml:space="preserve"> ГА ООН; резолюция </w:t>
            </w:r>
            <w:hyperlink r:id="rId16" w:history="1">
              <w:r w:rsidRPr="00BD7785">
                <w:rPr>
                  <w:rStyle w:val="Hyperlink"/>
                  <w:i/>
                  <w:iCs/>
                  <w:lang w:val="ru-RU"/>
                </w:rPr>
                <w:t>E/RES/2025/18</w:t>
              </w:r>
            </w:hyperlink>
            <w:r w:rsidRPr="00BD7785">
              <w:rPr>
                <w:i/>
                <w:iCs/>
                <w:lang w:val="ru-RU"/>
              </w:rPr>
              <w:t xml:space="preserve"> ЭКОСОС ООН; Резолюции </w:t>
            </w:r>
            <w:hyperlink r:id="rId17" w:history="1">
              <w:r w:rsidRPr="00BD7785">
                <w:rPr>
                  <w:rStyle w:val="Hyperlink"/>
                  <w:i/>
                  <w:iCs/>
                  <w:lang w:val="ru-RU"/>
                </w:rPr>
                <w:t>140 (Пересм. Бухарест, 2022 г.)</w:t>
              </w:r>
            </w:hyperlink>
            <w:r w:rsidRPr="00BD7785">
              <w:rPr>
                <w:i/>
                <w:iCs/>
                <w:lang w:val="ru-RU"/>
              </w:rPr>
              <w:t xml:space="preserve">, </w:t>
            </w:r>
            <w:hyperlink r:id="rId18" w:history="1">
              <w:r w:rsidRPr="00BD7785">
                <w:rPr>
                  <w:rStyle w:val="Hyperlink"/>
                  <w:i/>
                  <w:iCs/>
                  <w:lang w:val="ru-RU"/>
                </w:rPr>
                <w:t>172 (Пересм. Гвадалахара, 2010 г.)</w:t>
              </w:r>
            </w:hyperlink>
            <w:r w:rsidRPr="00BD7785">
              <w:rPr>
                <w:i/>
                <w:iCs/>
                <w:lang w:val="ru-RU"/>
              </w:rPr>
              <w:t xml:space="preserve">, </w:t>
            </w:r>
            <w:hyperlink r:id="rId19" w:history="1">
              <w:r w:rsidRPr="00BD7785">
                <w:rPr>
                  <w:rStyle w:val="Hyperlink"/>
                  <w:i/>
                  <w:iCs/>
                  <w:lang w:val="ru-RU"/>
                </w:rPr>
                <w:t>71 (Пересм. Бухарест, 2022 г.)</w:t>
              </w:r>
            </w:hyperlink>
            <w:r w:rsidRPr="00BD7785">
              <w:rPr>
                <w:i/>
                <w:iCs/>
                <w:lang w:val="ru-RU"/>
              </w:rPr>
              <w:t xml:space="preserve"> Полномочной конференции; Резолюции </w:t>
            </w:r>
            <w:hyperlink r:id="rId20" w:history="1">
              <w:r w:rsidRPr="00BD7785">
                <w:rPr>
                  <w:rStyle w:val="Hyperlink"/>
                  <w:i/>
                  <w:iCs/>
                  <w:lang w:val="ru-RU"/>
                </w:rPr>
                <w:t>1332 (Изм. 2024 г.)</w:t>
              </w:r>
            </w:hyperlink>
            <w:r w:rsidRPr="00BD7785">
              <w:rPr>
                <w:i/>
                <w:iCs/>
                <w:lang w:val="ru-RU"/>
              </w:rPr>
              <w:t xml:space="preserve">, </w:t>
            </w:r>
            <w:hyperlink r:id="rId21" w:history="1">
              <w:r w:rsidRPr="00BD7785">
                <w:rPr>
                  <w:rStyle w:val="Hyperlink"/>
                  <w:i/>
                  <w:iCs/>
                  <w:lang w:val="ru-RU"/>
                </w:rPr>
                <w:t>1334 (Изм. 2023 г.)</w:t>
              </w:r>
            </w:hyperlink>
            <w:r w:rsidRPr="00BD7785">
              <w:rPr>
                <w:i/>
                <w:iCs/>
                <w:lang w:val="ru-RU"/>
              </w:rPr>
              <w:t xml:space="preserve"> Совета; Резолюция </w:t>
            </w:r>
            <w:hyperlink r:id="rId22" w:history="1">
              <w:r w:rsidRPr="00BD7785">
                <w:rPr>
                  <w:rStyle w:val="Hyperlink"/>
                  <w:i/>
                  <w:iCs/>
                  <w:lang w:val="ru-RU"/>
                </w:rPr>
                <w:t>30 (Пересм. Баку, 2025 г.)</w:t>
              </w:r>
            </w:hyperlink>
            <w:r w:rsidRPr="00BD7785">
              <w:rPr>
                <w:i/>
                <w:iCs/>
                <w:lang w:val="ru-RU"/>
              </w:rPr>
              <w:t xml:space="preserve"> ВКРЭ; Резолюция </w:t>
            </w:r>
            <w:hyperlink r:id="rId23" w:history="1">
              <w:r w:rsidRPr="00BD7785">
                <w:rPr>
                  <w:rStyle w:val="Hyperlink"/>
                  <w:i/>
                  <w:iCs/>
                  <w:lang w:val="ru-RU"/>
                </w:rPr>
                <w:t>75 (Пересм. Женева, 2022 г.)</w:t>
              </w:r>
            </w:hyperlink>
            <w:r w:rsidRPr="00BD7785">
              <w:rPr>
                <w:i/>
                <w:iCs/>
                <w:lang w:val="ru-RU"/>
              </w:rPr>
              <w:t xml:space="preserve"> ВАСЭ; Резолюция </w:t>
            </w:r>
            <w:hyperlink r:id="rId24">
              <w:r w:rsidRPr="00BD7785">
                <w:rPr>
                  <w:rStyle w:val="Hyperlink"/>
                  <w:i/>
                  <w:iCs/>
                  <w:lang w:val="ru-RU"/>
                </w:rPr>
                <w:t>МСЭ</w:t>
              </w:r>
              <w:r w:rsidRPr="00BD7785">
                <w:rPr>
                  <w:rStyle w:val="Hyperlink"/>
                  <w:i/>
                  <w:iCs/>
                  <w:lang w:val="ru-RU"/>
                </w:rPr>
                <w:noBreakHyphen/>
                <w:t>R 61-3 (Пересм. Дубай, 2023 г.)</w:t>
              </w:r>
            </w:hyperlink>
            <w:r w:rsidRPr="00BD7785">
              <w:rPr>
                <w:i/>
                <w:iCs/>
                <w:lang w:val="ru-RU"/>
              </w:rPr>
              <w:t xml:space="preserve">; </w:t>
            </w:r>
            <w:hyperlink r:id="rId25" w:tgtFrame="_blank" w:history="1">
              <w:r w:rsidRPr="00BD7785">
                <w:rPr>
                  <w:rStyle w:val="Hyperlink"/>
                  <w:i/>
                  <w:iCs/>
                  <w:lang w:val="ru-RU"/>
                </w:rPr>
                <w:t>Заявление ВВУИО+10 о выполнении решений ВВУИО</w:t>
              </w:r>
            </w:hyperlink>
            <w:r w:rsidRPr="00BD7785">
              <w:rPr>
                <w:i/>
                <w:iCs/>
                <w:lang w:val="ru-RU"/>
              </w:rPr>
              <w:t xml:space="preserve">; </w:t>
            </w:r>
            <w:hyperlink r:id="rId26" w:anchor="page=21" w:tgtFrame="_blank" w:history="1">
              <w:r w:rsidRPr="00BD7785">
                <w:rPr>
                  <w:rStyle w:val="Hyperlink"/>
                  <w:i/>
                  <w:iCs/>
                  <w:lang w:val="ru-RU"/>
                </w:rPr>
                <w:t>Концепция ВВУИО+10 на период после 2015 года</w:t>
              </w:r>
            </w:hyperlink>
            <w:r w:rsidRPr="00BD7785">
              <w:rPr>
                <w:i/>
                <w:iCs/>
                <w:lang w:val="ru-RU"/>
              </w:rPr>
              <w:t xml:space="preserve">; </w:t>
            </w:r>
            <w:hyperlink r:id="rId27" w:tgtFrame="_blank" w:history="1">
              <w:r w:rsidRPr="00BD7785">
                <w:rPr>
                  <w:rStyle w:val="Hyperlink"/>
                  <w:i/>
                  <w:iCs/>
                  <w:lang w:val="ru-RU"/>
                </w:rPr>
                <w:t>Заключительный обзор целевых показателей ВВУИО</w:t>
              </w:r>
            </w:hyperlink>
            <w:r w:rsidRPr="00BD7785">
              <w:rPr>
                <w:i/>
                <w:iCs/>
                <w:lang w:val="ru-RU"/>
              </w:rPr>
              <w:t xml:space="preserve">; </w:t>
            </w:r>
            <w:hyperlink r:id="rId28" w:tgtFrame="_blank" w:history="1">
              <w:r w:rsidRPr="00BD7785">
                <w:rPr>
                  <w:rStyle w:val="Hyperlink"/>
                  <w:i/>
                  <w:iCs/>
                  <w:lang w:val="ru-RU"/>
                </w:rPr>
                <w:t xml:space="preserve">Отчет ВВУИО+10; Вклад МСЭ в выполнение решений ВВУИО за десятилетний период и последующие меры (2005−2014 гг.); </w:t>
              </w:r>
            </w:hyperlink>
            <w:hyperlink r:id="rId29" w:history="1">
              <w:r w:rsidRPr="00BD7785">
                <w:rPr>
                  <w:rStyle w:val="Hyperlink"/>
                  <w:i/>
                  <w:iCs/>
                  <w:lang w:val="ru-RU"/>
                </w:rPr>
                <w:t>Дорожная карта деятельности МСЭ по содействию реализации Повестки дня в области устойчивого развития на период до 2030 года</w:t>
              </w:r>
            </w:hyperlink>
            <w:r w:rsidRPr="00BD7785">
              <w:rPr>
                <w:i/>
                <w:iCs/>
                <w:lang w:val="ru-RU"/>
              </w:rPr>
              <w:t xml:space="preserve">; </w:t>
            </w:r>
            <w:hyperlink r:id="rId30" w:history="1">
              <w:r w:rsidRPr="00BD7785">
                <w:rPr>
                  <w:rStyle w:val="Hyperlink"/>
                  <w:i/>
                  <w:iCs/>
                  <w:lang w:val="ru-RU"/>
                </w:rPr>
                <w:t xml:space="preserve">Всемирная встреча на высшем уровне по вопросам информационного общества (ВВУИО)+20: ВВУИО после 2025 года − дорожная карта ВВУИО+20; </w:t>
              </w:r>
            </w:hyperlink>
            <w:hyperlink r:id="rId31" w:history="1">
              <w:r w:rsidRPr="00BD7785">
                <w:rPr>
                  <w:rStyle w:val="Hyperlink"/>
                  <w:i/>
                  <w:iCs/>
                  <w:lang w:val="ru-RU"/>
                </w:rPr>
                <w:t>Отчет ВВУИО+20: Построение цифрового будущего для всех</w:t>
              </w:r>
            </w:hyperlink>
            <w:r w:rsidRPr="00BD7785">
              <w:rPr>
                <w:i/>
                <w:iCs/>
                <w:lang w:val="ru-RU"/>
              </w:rPr>
              <w:t xml:space="preserve">; </w:t>
            </w:r>
            <w:hyperlink r:id="rId32" w:history="1">
              <w:r w:rsidRPr="00BD7785">
                <w:rPr>
                  <w:rStyle w:val="Hyperlink"/>
                  <w:i/>
                  <w:iCs/>
                  <w:lang w:val="ru-RU"/>
                </w:rPr>
                <w:t>Итоговые документы Саммита будущего</w:t>
              </w:r>
            </w:hyperlink>
            <w:r w:rsidRPr="00BD7785">
              <w:rPr>
                <w:i/>
                <w:iCs/>
                <w:lang w:val="ru-RU"/>
              </w:rPr>
              <w:t xml:space="preserve">; </w:t>
            </w:r>
            <w:hyperlink r:id="rId33" w:history="1">
              <w:r w:rsidRPr="00BD7785">
                <w:rPr>
                  <w:rStyle w:val="Hyperlink"/>
                  <w:i/>
                  <w:iCs/>
                  <w:lang w:val="ru-RU"/>
                </w:rPr>
                <w:t>Отчет Комиссии по науке и технике в целях развития о работе ее двадцать восьмой сессии (7−11 апреля 2025 г.)</w:t>
              </w:r>
            </w:hyperlink>
            <w:r w:rsidRPr="00BD7785">
              <w:rPr>
                <w:i/>
                <w:iCs/>
                <w:lang w:val="ru-RU"/>
              </w:rPr>
              <w:t xml:space="preserve">; </w:t>
            </w:r>
            <w:hyperlink r:id="rId34" w:history="1">
              <w:r w:rsidRPr="00BD7785">
                <w:rPr>
                  <w:rStyle w:val="Hyperlink"/>
                  <w:i/>
                  <w:iCs/>
                  <w:lang w:val="ru-RU"/>
                </w:rPr>
                <w:t>Форум ВВУИО</w:t>
              </w:r>
            </w:hyperlink>
          </w:p>
        </w:tc>
      </w:tr>
    </w:tbl>
    <w:bookmarkEnd w:id="2"/>
    <w:bookmarkEnd w:id="6"/>
    <w:p w14:paraId="0C4F035D" w14:textId="07A13982" w:rsidR="00D82C3A" w:rsidRPr="00BD7785" w:rsidRDefault="00D82C3A" w:rsidP="00D82C3A">
      <w:pPr>
        <w:jc w:val="center"/>
        <w:rPr>
          <w:b/>
          <w:bCs/>
          <w:sz w:val="26"/>
          <w:szCs w:val="26"/>
          <w:lang w:val="ru-RU"/>
        </w:rPr>
      </w:pPr>
      <w:r w:rsidRPr="00BD7785">
        <w:rPr>
          <w:b/>
          <w:bCs/>
          <w:sz w:val="26"/>
          <w:szCs w:val="26"/>
          <w:lang w:val="ru-RU"/>
        </w:rPr>
        <w:lastRenderedPageBreak/>
        <w:t xml:space="preserve">Заключительный и всесторонний отчет о деятельности МСЭ </w:t>
      </w:r>
      <w:r w:rsidRPr="00BD7785">
        <w:rPr>
          <w:b/>
          <w:bCs/>
          <w:sz w:val="26"/>
          <w:szCs w:val="26"/>
          <w:lang w:val="ru-RU"/>
        </w:rPr>
        <w:br/>
        <w:t xml:space="preserve">по выполнению решений ВВУИО и Повестки дня в области устойчивого </w:t>
      </w:r>
      <w:r w:rsidRPr="00BD7785">
        <w:rPr>
          <w:b/>
          <w:bCs/>
          <w:sz w:val="26"/>
          <w:szCs w:val="26"/>
          <w:lang w:val="ru-RU"/>
        </w:rPr>
        <w:br/>
        <w:t xml:space="preserve">развития на период до 2030 года совместно с предложениями </w:t>
      </w:r>
      <w:r w:rsidRPr="00BD7785">
        <w:rPr>
          <w:b/>
          <w:bCs/>
          <w:sz w:val="26"/>
          <w:szCs w:val="26"/>
          <w:lang w:val="ru-RU"/>
        </w:rPr>
        <w:br/>
        <w:t>относительно дальнейшей деятельности</w:t>
      </w:r>
    </w:p>
    <w:p w14:paraId="4E40CC65" w14:textId="4C5DAFD1" w:rsidR="00D82C3A" w:rsidRPr="00BD7785" w:rsidRDefault="00D82C3A" w:rsidP="00E802C1">
      <w:pPr>
        <w:pStyle w:val="Normalaftertitle"/>
        <w:jc w:val="both"/>
        <w:rPr>
          <w:lang w:val="ru-RU"/>
        </w:rPr>
      </w:pPr>
      <w:r w:rsidRPr="00BD7785">
        <w:rPr>
          <w:lang w:val="ru-RU"/>
        </w:rPr>
        <w:t>В декабре 2025 года по итогам Обзора ВВУИО+20 Генеральная Ассамблея Организации Объединенных Наций (ГА ООН) приняла Итоговый документ совещания высокого уровня Генеральной Ассамблеи, посвященного общему обзору хода осуществления решений Всемирной встречи на высшем уровне по вопросам информационного общества (</w:t>
      </w:r>
      <w:hyperlink r:id="rId35" w:history="1">
        <w:r w:rsidRPr="00BD7785">
          <w:rPr>
            <w:rStyle w:val="Hyperlink"/>
            <w:lang w:val="ru-RU"/>
          </w:rPr>
          <w:t>A/RES/80/173</w:t>
        </w:r>
      </w:hyperlink>
      <w:r w:rsidRPr="00BD7785">
        <w:rPr>
          <w:lang w:val="ru-RU"/>
        </w:rPr>
        <w:t>). В нем было подтверждено, что процесс, начало которому положила Всемирная встреча на высшем уровне по вопросам информационного общества, остается главным механизмом ООН для открытого для всех цифрового развития и ключевым фактором достижения Целей в области устойчивого развития на период до 2035 года.</w:t>
      </w:r>
    </w:p>
    <w:p w14:paraId="26EE0EB7" w14:textId="2BA61A29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Международный союз электросвязи (МСЭ) продолжает возглавлять процесс ВВУИО, координируя реализацию Направлений деятельности, поддерживая участие многих заинтересованных сторон и содействуя формированию ориентированного на людей, открытого для всех и нацеленного на развитие информационного общества. Выполнение решений ВВУИО в рамках МСЭ закреплено в ключевых резолюциях Полномочной конференции (ПК), Совета и Секторов, в том числе в Резолюциях </w:t>
      </w:r>
      <w:hyperlink r:id="rId36" w:history="1">
        <w:r w:rsidRPr="00D82C3A">
          <w:rPr>
            <w:rStyle w:val="Hyperlink"/>
            <w:lang w:val="ru-RU"/>
          </w:rPr>
          <w:t>140 (Пересм. Бухарест, 2022 г.)</w:t>
        </w:r>
      </w:hyperlink>
      <w:r w:rsidRPr="00D82C3A">
        <w:rPr>
          <w:lang w:val="ru-RU"/>
        </w:rPr>
        <w:t xml:space="preserve">, </w:t>
      </w:r>
      <w:hyperlink r:id="rId37" w:history="1">
        <w:r w:rsidRPr="00D82C3A">
          <w:rPr>
            <w:rStyle w:val="Hyperlink"/>
            <w:lang w:val="ru-RU"/>
          </w:rPr>
          <w:t>172 (Пересм. Гвадалахара, 2010 г.)</w:t>
        </w:r>
      </w:hyperlink>
      <w:r w:rsidRPr="00D82C3A">
        <w:rPr>
          <w:lang w:val="ru-RU"/>
        </w:rPr>
        <w:t xml:space="preserve">, </w:t>
      </w:r>
      <w:hyperlink r:id="rId38" w:history="1">
        <w:r w:rsidRPr="00D82C3A">
          <w:rPr>
            <w:rStyle w:val="Hyperlink"/>
            <w:lang w:val="ru-RU"/>
          </w:rPr>
          <w:t>71 (Пересм. Бухарест, 2022 г.)</w:t>
        </w:r>
      </w:hyperlink>
      <w:r w:rsidRPr="00D82C3A">
        <w:rPr>
          <w:lang w:val="ru-RU"/>
        </w:rPr>
        <w:t xml:space="preserve"> ПК, Резолюциях </w:t>
      </w:r>
      <w:hyperlink r:id="rId39" w:history="1">
        <w:r w:rsidRPr="00D82C3A">
          <w:rPr>
            <w:rStyle w:val="Hyperlink"/>
            <w:lang w:val="ru-RU"/>
          </w:rPr>
          <w:t>1332 (Изм. 2024 г.)</w:t>
        </w:r>
      </w:hyperlink>
      <w:r w:rsidRPr="00D82C3A">
        <w:rPr>
          <w:lang w:val="ru-RU"/>
        </w:rPr>
        <w:t xml:space="preserve">, </w:t>
      </w:r>
      <w:hyperlink r:id="rId40" w:history="1">
        <w:r w:rsidRPr="00D82C3A">
          <w:rPr>
            <w:rStyle w:val="Hyperlink"/>
            <w:lang w:val="ru-RU"/>
          </w:rPr>
          <w:t>1334 (Изм. 2023 г.)</w:t>
        </w:r>
      </w:hyperlink>
      <w:r w:rsidRPr="00D82C3A">
        <w:rPr>
          <w:lang w:val="ru-RU"/>
        </w:rPr>
        <w:t xml:space="preserve"> Совета, Резолюциях Секторов (Резолюции </w:t>
      </w:r>
      <w:hyperlink r:id="rId41" w:history="1">
        <w:r w:rsidRPr="00D82C3A">
          <w:rPr>
            <w:rStyle w:val="Hyperlink"/>
            <w:lang w:val="ru-RU"/>
          </w:rPr>
          <w:t>30 (Пересм. Баку, 2025 г.)</w:t>
        </w:r>
      </w:hyperlink>
      <w:r w:rsidRPr="00D82C3A">
        <w:rPr>
          <w:lang w:val="ru-RU"/>
        </w:rPr>
        <w:t xml:space="preserve"> ВКРЭ, Резолюции</w:t>
      </w:r>
      <w:r w:rsidR="00BD7785" w:rsidRPr="00BD7785">
        <w:rPr>
          <w:lang w:val="ru-RU"/>
        </w:rPr>
        <w:t> </w:t>
      </w:r>
      <w:hyperlink r:id="rId42" w:history="1">
        <w:r w:rsidRPr="00D82C3A">
          <w:rPr>
            <w:rStyle w:val="Hyperlink"/>
            <w:lang w:val="ru-RU"/>
          </w:rPr>
          <w:t>75</w:t>
        </w:r>
        <w:r w:rsidR="00BD7785" w:rsidRPr="00BD7785">
          <w:rPr>
            <w:rStyle w:val="Hyperlink"/>
            <w:lang w:val="ru-RU"/>
          </w:rPr>
          <w:t> </w:t>
        </w:r>
        <w:r w:rsidRPr="00D82C3A">
          <w:rPr>
            <w:rStyle w:val="Hyperlink"/>
            <w:lang w:val="ru-RU"/>
          </w:rPr>
          <w:t>(Пересм. Женева, 2022 г.)</w:t>
        </w:r>
      </w:hyperlink>
      <w:r w:rsidRPr="00D82C3A">
        <w:rPr>
          <w:lang w:val="ru-RU"/>
        </w:rPr>
        <w:t xml:space="preserve"> ВАСЭ) и Резолюции </w:t>
      </w:r>
      <w:hyperlink r:id="rId43" w:history="1">
        <w:r w:rsidRPr="00D82C3A">
          <w:rPr>
            <w:rStyle w:val="Hyperlink"/>
            <w:lang w:val="ru-RU"/>
          </w:rPr>
          <w:t>МСЭ-R 61-3 (Пересм. Дубай, 2023</w:t>
        </w:r>
        <w:r w:rsidR="00BD7785" w:rsidRPr="00BD7785">
          <w:rPr>
            <w:rStyle w:val="Hyperlink"/>
            <w:lang w:val="ru-RU"/>
          </w:rPr>
          <w:t> </w:t>
        </w:r>
        <w:r w:rsidRPr="00D82C3A">
          <w:rPr>
            <w:rStyle w:val="Hyperlink"/>
            <w:lang w:val="ru-RU"/>
          </w:rPr>
          <w:t>г.)</w:t>
        </w:r>
      </w:hyperlink>
      <w:r w:rsidRPr="00D82C3A">
        <w:rPr>
          <w:lang w:val="ru-RU"/>
        </w:rPr>
        <w:t xml:space="preserve"> АР. В этих Резолюциях определяются мандаты МСЭ на скоординированную последующую деятельность и выполнение решений ВВУИО, согласованных с приоритетами в</w:t>
      </w:r>
      <w:r w:rsidR="00BD7785" w:rsidRPr="00BD7785">
        <w:rPr>
          <w:lang w:val="ru-RU"/>
        </w:rPr>
        <w:t> </w:t>
      </w:r>
      <w:r w:rsidRPr="00D82C3A">
        <w:rPr>
          <w:lang w:val="ru-RU"/>
        </w:rPr>
        <w:t>области устойчивого развития.</w:t>
      </w:r>
    </w:p>
    <w:p w14:paraId="15B75C06" w14:textId="6602DC1B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Следуя </w:t>
      </w:r>
      <w:hyperlink r:id="rId44" w:history="1">
        <w:r w:rsidRPr="00D82C3A">
          <w:rPr>
            <w:rStyle w:val="Hyperlink"/>
            <w:lang w:val="ru-RU"/>
          </w:rPr>
          <w:t>дорожной карте Генерального секретаря для ВВУИО+20</w:t>
        </w:r>
      </w:hyperlink>
      <w:r w:rsidRPr="00D82C3A">
        <w:rPr>
          <w:lang w:val="ru-RU"/>
        </w:rPr>
        <w:t>, МСЭ играет ведущую роль в</w:t>
      </w:r>
      <w:r w:rsidR="00BD7785" w:rsidRPr="00BD7785">
        <w:rPr>
          <w:lang w:val="ru-RU"/>
        </w:rPr>
        <w:t> </w:t>
      </w:r>
      <w:r w:rsidRPr="00D82C3A">
        <w:rPr>
          <w:lang w:val="ru-RU"/>
        </w:rPr>
        <w:t xml:space="preserve">содействии проведению Генеральной Ассамблеей ООН обзора ВВУИО+20, в том числе посредством </w:t>
      </w:r>
      <w:hyperlink r:id="rId45" w:history="1">
        <w:r w:rsidRPr="00D82C3A">
          <w:rPr>
            <w:rStyle w:val="Hyperlink"/>
            <w:lang w:val="ru-RU"/>
          </w:rPr>
          <w:t>Призыва МСЭ вносить вклады в обзор ВВУИО+20</w:t>
        </w:r>
      </w:hyperlink>
      <w:r w:rsidRPr="00D82C3A">
        <w:rPr>
          <w:lang w:val="ru-RU"/>
        </w:rPr>
        <w:t xml:space="preserve"> и </w:t>
      </w:r>
      <w:hyperlink r:id="rId46" w:history="1">
        <w:r w:rsidRPr="00D82C3A">
          <w:rPr>
            <w:rStyle w:val="Hyperlink"/>
            <w:lang w:val="ru-RU"/>
          </w:rPr>
          <w:t>20-летних отчетов о выполнении решений ВВУИО</w:t>
        </w:r>
      </w:hyperlink>
      <w:r w:rsidRPr="00D82C3A">
        <w:rPr>
          <w:lang w:val="ru-RU"/>
        </w:rPr>
        <w:t xml:space="preserve"> Государствами-Членами и заинтересованными сторонами.</w:t>
      </w:r>
    </w:p>
    <w:p w14:paraId="365207FB" w14:textId="75A788DE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Процесс ВВУИО+20 ознаменовал собой важнейшую веху в оценке двух десятилетий выполнения решений ВВУИО и определении направлений будущего цифрового сотрудничества. МСЭ активно участвовал в </w:t>
      </w:r>
      <w:hyperlink r:id="rId47" w:history="1">
        <w:r w:rsidRPr="00D82C3A">
          <w:rPr>
            <w:rStyle w:val="Hyperlink"/>
            <w:lang w:val="ru-RU"/>
          </w:rPr>
          <w:t>проводимом под руководством ГА ООН процессе обзора ВВУИО+20</w:t>
        </w:r>
      </w:hyperlink>
      <w:r w:rsidRPr="00D82C3A">
        <w:rPr>
          <w:lang w:val="ru-RU"/>
        </w:rPr>
        <w:t>, взаимодействуя с содействующими организациями ВВУИО+20, членами МСЭ и другими заинтересованными сторонами, в том числе путем проведения консультаций с</w:t>
      </w:r>
      <w:r w:rsidR="00BD7785" w:rsidRPr="00BD7785">
        <w:rPr>
          <w:lang w:val="ru-RU"/>
        </w:rPr>
        <w:t> </w:t>
      </w:r>
      <w:r w:rsidRPr="00D82C3A">
        <w:rPr>
          <w:lang w:val="ru-RU"/>
        </w:rPr>
        <w:t xml:space="preserve">участием многих заинтересованных сторон, представления вкладов по существу и организации </w:t>
      </w:r>
      <w:hyperlink r:id="rId48" w:history="1">
        <w:r w:rsidRPr="00D82C3A">
          <w:rPr>
            <w:rStyle w:val="Hyperlink"/>
            <w:lang w:val="ru-RU"/>
          </w:rPr>
          <w:t>сопутствующих мероприятий</w:t>
        </w:r>
      </w:hyperlink>
      <w:r w:rsidRPr="00D82C3A">
        <w:rPr>
          <w:lang w:val="ru-RU"/>
        </w:rPr>
        <w:t xml:space="preserve"> на полях совещания высокого уровня ВВУИО+20 Генеральной Ассамблеи Организации Объединенных Наций в декабре. </w:t>
      </w:r>
      <w:hyperlink r:id="rId49" w:history="1">
        <w:r w:rsidRPr="00D82C3A">
          <w:rPr>
            <w:rStyle w:val="Hyperlink"/>
            <w:lang w:val="ru-RU"/>
          </w:rPr>
          <w:t>Вклад МСЭ в обзор ВВУИО+20</w:t>
        </w:r>
      </w:hyperlink>
      <w:r w:rsidRPr="00D82C3A">
        <w:rPr>
          <w:lang w:val="ru-RU"/>
        </w:rPr>
        <w:t xml:space="preserve"> подчеркивает его роль в 20-летнем процессе выполнения решений ВВУИО и формировании будущей повестки дня, а </w:t>
      </w:r>
      <w:hyperlink r:id="rId50" w:history="1">
        <w:r w:rsidRPr="00D82C3A">
          <w:rPr>
            <w:rStyle w:val="Hyperlink"/>
            <w:lang w:val="ru-RU"/>
          </w:rPr>
          <w:t>подготовительный процесс совместного обзора ВВУИО+20</w:t>
        </w:r>
      </w:hyperlink>
      <w:r w:rsidRPr="00D82C3A">
        <w:rPr>
          <w:lang w:val="ru-RU"/>
        </w:rPr>
        <w:t xml:space="preserve"> демонстрирует ведущую роль МСЭ и сотрудничество с учреждениями ООН, включая ЮНЕСКО, ПРООН, ДЭСВ ООН, КНТР и региональные комиссии, для обеспечения скоординированных обсуждений и вкладов. Более подробная информация содержится в</w:t>
      </w:r>
      <w:r w:rsidR="00BD7785" w:rsidRPr="00BD7785">
        <w:rPr>
          <w:lang w:val="ru-RU"/>
        </w:rPr>
        <w:t> </w:t>
      </w:r>
      <w:hyperlink r:id="rId51" w:history="1">
        <w:r w:rsidRPr="00D82C3A">
          <w:rPr>
            <w:rStyle w:val="Hyperlink"/>
            <w:lang w:val="ru-RU"/>
          </w:rPr>
          <w:t>Отчете в рамках ВВУИО+20 "Построение цифрового будущего для всех"</w:t>
        </w:r>
      </w:hyperlink>
      <w:r w:rsidRPr="00D82C3A">
        <w:rPr>
          <w:lang w:val="ru-RU"/>
        </w:rPr>
        <w:t>, представленном на</w:t>
      </w:r>
      <w:r w:rsidR="00BD7785" w:rsidRPr="00BD7785">
        <w:rPr>
          <w:lang w:val="ru-RU"/>
        </w:rPr>
        <w:t> </w:t>
      </w:r>
      <w:r w:rsidRPr="00D82C3A">
        <w:rPr>
          <w:lang w:val="ru-RU"/>
        </w:rPr>
        <w:t xml:space="preserve">сессии Совета МСЭ 2025 года, и в </w:t>
      </w:r>
      <w:hyperlink r:id="rId52" w:history="1">
        <w:r w:rsidRPr="00D82C3A">
          <w:rPr>
            <w:rStyle w:val="Hyperlink"/>
            <w:lang w:val="ru-RU"/>
          </w:rPr>
          <w:t>Отчете о работе Генеральной Ассамблеи Организации Объединенных Наций по проведению общего обзора хода осуществления решений Всемирной встречи на высшем уровне по вопросам информационного общества</w:t>
        </w:r>
      </w:hyperlink>
      <w:r w:rsidRPr="00D82C3A">
        <w:rPr>
          <w:lang w:val="ru-RU"/>
        </w:rPr>
        <w:t xml:space="preserve">; текущие обновления доступны через веб-сайт </w:t>
      </w:r>
      <w:hyperlink r:id="rId53" w:history="1">
        <w:r w:rsidRPr="00D82C3A">
          <w:rPr>
            <w:rStyle w:val="Hyperlink"/>
            <w:lang w:val="ru-RU"/>
          </w:rPr>
          <w:t>Портала МСЭ для ВВУИО</w:t>
        </w:r>
      </w:hyperlink>
      <w:r w:rsidRPr="00D82C3A">
        <w:rPr>
          <w:lang w:val="ru-RU"/>
        </w:rPr>
        <w:t>.</w:t>
      </w:r>
    </w:p>
    <w:p w14:paraId="0408EBB3" w14:textId="23486A17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>МСЭ принимал активное участие в основных процессах ООН, в частности в Саммите по ЦУР в</w:t>
      </w:r>
      <w:r w:rsidR="00BD7785">
        <w:rPr>
          <w:lang w:val="en-US"/>
        </w:rPr>
        <w:t> </w:t>
      </w:r>
      <w:r w:rsidRPr="00D82C3A">
        <w:rPr>
          <w:lang w:val="ru-RU"/>
        </w:rPr>
        <w:t xml:space="preserve">2023 году и Саммите будущего в 2024 году. В соответствии с резолюцией </w:t>
      </w:r>
      <w:hyperlink r:id="rId54" w:history="1">
        <w:r w:rsidRPr="00D82C3A">
          <w:rPr>
            <w:rStyle w:val="Hyperlink"/>
            <w:lang w:val="ru-RU"/>
          </w:rPr>
          <w:t>E/RES/2025/18</w:t>
        </w:r>
      </w:hyperlink>
      <w:r w:rsidRPr="00D82C3A">
        <w:rPr>
          <w:lang w:val="ru-RU"/>
        </w:rPr>
        <w:t xml:space="preserve"> </w:t>
      </w:r>
      <w:r w:rsidRPr="00D82C3A">
        <w:rPr>
          <w:lang w:val="ru-RU"/>
        </w:rPr>
        <w:lastRenderedPageBreak/>
        <w:t>ЭКОСОС МСЭ интегрирует Глобальный цифровой договор (ГЦД) в архитектуру ВВУИО, укрепляя ВВУИО как основу реализации глобального цифрового сотрудничества.</w:t>
      </w:r>
    </w:p>
    <w:p w14:paraId="6546D864" w14:textId="5C630AD4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МСЭ, являясь постоянным секретариатом </w:t>
      </w:r>
      <w:hyperlink r:id="rId55" w:history="1">
        <w:r w:rsidRPr="00D82C3A">
          <w:rPr>
            <w:rStyle w:val="Hyperlink"/>
            <w:lang w:val="ru-RU"/>
          </w:rPr>
          <w:t>Группы Организации Объединенных Наций по вопросам информационного общества (ГИО ООН)</w:t>
        </w:r>
      </w:hyperlink>
      <w:r w:rsidRPr="00D82C3A">
        <w:rPr>
          <w:lang w:val="ru-RU"/>
        </w:rPr>
        <w:t xml:space="preserve"> и выполняя на ротационной основе функции Председателя и заместителя Председателя, поддерживает усилия ООН по координации в</w:t>
      </w:r>
      <w:r w:rsidR="00BD7785">
        <w:rPr>
          <w:lang w:val="en-US"/>
        </w:rPr>
        <w:t> </w:t>
      </w:r>
      <w:r w:rsidRPr="00D82C3A">
        <w:rPr>
          <w:lang w:val="ru-RU"/>
        </w:rPr>
        <w:t xml:space="preserve">области цифрового сотрудничества. В состав ГИО ООН как межучрежденческого механизма системы ООН для повышения согласованности политики и координации программ по цифровым вопросам входят 31 учреждение ООН и 17 наблюдателей. После ГЦД Группа руководит реализацией в рамках </w:t>
      </w:r>
      <w:hyperlink r:id="rId56" w:history="1">
        <w:r w:rsidRPr="00D82C3A">
          <w:rPr>
            <w:rStyle w:val="Hyperlink"/>
            <w:lang w:val="ru-RU"/>
          </w:rPr>
          <w:t>процесса ВВУИО и Повестки дня на период до 2030 года – матрицы ГЦД</w:t>
        </w:r>
      </w:hyperlink>
      <w:r w:rsidRPr="00D82C3A">
        <w:rPr>
          <w:lang w:val="ru-RU"/>
        </w:rPr>
        <w:t xml:space="preserve"> и активно участвует в крупных мероприятиях в области цифровых технологий и развития, включая обзор ВВУИО+20, Политический форум высокого уровня (ПФВУ), Форум по</w:t>
      </w:r>
      <w:r w:rsidR="00BD7785">
        <w:rPr>
          <w:lang w:val="en-US"/>
        </w:rPr>
        <w:t> </w:t>
      </w:r>
      <w:r w:rsidRPr="00D82C3A">
        <w:rPr>
          <w:lang w:val="ru-RU"/>
        </w:rPr>
        <w:t>вопросам управления использованием интернета (ФУИ) и др.</w:t>
      </w:r>
    </w:p>
    <w:p w14:paraId="69E84E2A" w14:textId="718A75FA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Совместно с УЦНТ ООН МСЭ является сопредседателем Рабочей группы по цифровым технологиям (РГЦТ) с целью обеспечения поддержки в реализации ГЦД и Пакта во имя будущего. Под руководством МСЭ РГЦТ разработала </w:t>
      </w:r>
      <w:hyperlink r:id="rId57" w:history="1">
        <w:r w:rsidRPr="00D82C3A">
          <w:rPr>
            <w:rStyle w:val="Hyperlink"/>
            <w:lang w:val="ru-RU"/>
          </w:rPr>
          <w:t>карту реализации ГЦД</w:t>
        </w:r>
      </w:hyperlink>
      <w:r w:rsidRPr="00D82C3A">
        <w:rPr>
          <w:lang w:val="ru-RU"/>
        </w:rPr>
        <w:t xml:space="preserve"> на основе </w:t>
      </w:r>
      <w:hyperlink r:id="rId58" w:history="1">
        <w:r w:rsidRPr="00D82C3A">
          <w:rPr>
            <w:rStyle w:val="Hyperlink"/>
            <w:lang w:val="ru-RU"/>
          </w:rPr>
          <w:t>процесса ВВУИО и Повестки дня на период до 2030 года – матрицы ГЦД</w:t>
        </w:r>
      </w:hyperlink>
      <w:r w:rsidRPr="00D82C3A">
        <w:rPr>
          <w:lang w:val="ru-RU"/>
        </w:rPr>
        <w:t>, созданной ГИО ООН, в которой изложены инициативы ООН с обязательствами в рамках ГЦД и Направлениями деятельности ВВУИО. МСЭ также участвует в деятельности других рабочих групп Руководящего комитета Пакта по ЦУР, миру и безопасности, молодежи и реформе управления ООН.</w:t>
      </w:r>
    </w:p>
    <w:p w14:paraId="2804ABA3" w14:textId="2420C48C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После ПК-22 МСЭ провел три мероприятия </w:t>
      </w:r>
      <w:hyperlink r:id="rId59" w:history="1">
        <w:r w:rsidRPr="00D82C3A">
          <w:rPr>
            <w:rStyle w:val="Hyperlink"/>
            <w:lang w:val="ru-RU"/>
          </w:rPr>
          <w:t>Форума ВВУИО</w:t>
        </w:r>
      </w:hyperlink>
      <w:r w:rsidRPr="00D82C3A">
        <w:rPr>
          <w:lang w:val="ru-RU"/>
        </w:rPr>
        <w:t xml:space="preserve"> (</w:t>
      </w:r>
      <w:hyperlink r:id="rId60" w:history="1">
        <w:r w:rsidRPr="00D82C3A">
          <w:rPr>
            <w:rStyle w:val="Hyperlink"/>
            <w:lang w:val="ru-RU"/>
          </w:rPr>
          <w:t>2023</w:t>
        </w:r>
      </w:hyperlink>
      <w:r w:rsidRPr="00D82C3A">
        <w:rPr>
          <w:lang w:val="ru-RU"/>
        </w:rPr>
        <w:t xml:space="preserve">, </w:t>
      </w:r>
      <w:hyperlink r:id="rId61" w:history="1">
        <w:r w:rsidRPr="00D82C3A">
          <w:rPr>
            <w:rStyle w:val="Hyperlink"/>
            <w:lang w:val="ru-RU"/>
          </w:rPr>
          <w:t>2024</w:t>
        </w:r>
      </w:hyperlink>
      <w:r w:rsidRPr="00D82C3A">
        <w:rPr>
          <w:lang w:val="ru-RU"/>
        </w:rPr>
        <w:t xml:space="preserve"> и </w:t>
      </w:r>
      <w:hyperlink r:id="rId62" w:history="1">
        <w:r w:rsidRPr="00D82C3A">
          <w:rPr>
            <w:rStyle w:val="Hyperlink"/>
            <w:lang w:val="ru-RU"/>
          </w:rPr>
          <w:t>2025</w:t>
        </w:r>
      </w:hyperlink>
      <w:r w:rsidRPr="00D82C3A">
        <w:rPr>
          <w:lang w:val="ru-RU"/>
        </w:rPr>
        <w:t xml:space="preserve"> гг.), в том числе мероприятия высокого уровня ВВУИО+20 в 2024 и 2025 годах, внеся свой вклад в общий обзор и обеспечивая глобальную платформу для диалога и сотрудничества.</w:t>
      </w:r>
      <w:r w:rsidR="00C326F8">
        <w:rPr>
          <w:lang w:val="ru-RU"/>
        </w:rPr>
        <w:t xml:space="preserve"> </w:t>
      </w:r>
      <w:hyperlink r:id="rId63" w:history="1">
        <w:r w:rsidRPr="00D82C3A">
          <w:rPr>
            <w:rStyle w:val="Hyperlink"/>
            <w:lang w:val="ru-RU"/>
          </w:rPr>
          <w:t>Форум ВВУИО</w:t>
        </w:r>
      </w:hyperlink>
      <w:r w:rsidRPr="00D82C3A">
        <w:rPr>
          <w:lang w:val="ru-RU"/>
        </w:rPr>
        <w:t>, проводимый МСЭ (в 2024 и 2025 гг. – совместно со Швейцарской Конфедерацией) и организуемый совместно с ЮНЕСКО, ПРООН и ЮНКТАД в сотрудничестве с</w:t>
      </w:r>
      <w:r w:rsidR="00996D1A">
        <w:rPr>
          <w:lang w:val="en-US"/>
        </w:rPr>
        <w:t> </w:t>
      </w:r>
      <w:r w:rsidRPr="00D82C3A">
        <w:rPr>
          <w:lang w:val="ru-RU"/>
        </w:rPr>
        <w:t>более чем 50</w:t>
      </w:r>
      <w:r w:rsidR="00A71BE6">
        <w:rPr>
          <w:lang w:val="en-US"/>
        </w:rPr>
        <w:t> </w:t>
      </w:r>
      <w:r w:rsidRPr="00D82C3A">
        <w:rPr>
          <w:lang w:val="ru-RU"/>
        </w:rPr>
        <w:t>партнерами ООН, является ведущей глобальной платформой для содействия всеобъемлющему цифровому развитию и анализа хода реализации Направлений деятельности ВВУИО. Благодаря созданию потенциала, партнерствам и обмену знаниями в нем приняли участие более 50 000 заинтересованных сторон более чем из 160 стран, которые сформировали общую перспективу и ориентированную на практические действия дорожную карту для цифрового развития и появляющихся технологий.</w:t>
      </w:r>
    </w:p>
    <w:p w14:paraId="56395A70" w14:textId="1936AD84" w:rsidR="00D82C3A" w:rsidRPr="00304FAC" w:rsidRDefault="00D82C3A" w:rsidP="00E802C1">
      <w:pPr>
        <w:jc w:val="both"/>
        <w:rPr>
          <w:b/>
          <w:bCs/>
          <w:lang w:val="ru-RU"/>
        </w:rPr>
      </w:pPr>
      <w:r w:rsidRPr="00D82C3A">
        <w:rPr>
          <w:lang w:val="ru-RU"/>
        </w:rPr>
        <w:t xml:space="preserve">МСЭ ведет и укрепляет </w:t>
      </w:r>
      <w:hyperlink r:id="rId64" w:history="1">
        <w:r w:rsidRPr="00D82C3A">
          <w:rPr>
            <w:rStyle w:val="Hyperlink"/>
            <w:lang w:val="ru-RU"/>
          </w:rPr>
          <w:t>Аналитическую платформу ВВУИО</w:t>
        </w:r>
      </w:hyperlink>
      <w:r w:rsidRPr="00D82C3A">
        <w:rPr>
          <w:lang w:val="ru-RU"/>
        </w:rPr>
        <w:t xml:space="preserve"> – глобальное хранилище более 19</w:t>
      </w:r>
      <w:r w:rsidR="00996D1A">
        <w:rPr>
          <w:lang w:val="en-US"/>
        </w:rPr>
        <w:t> </w:t>
      </w:r>
      <w:r w:rsidRPr="00D82C3A">
        <w:rPr>
          <w:lang w:val="ru-RU"/>
        </w:rPr>
        <w:t>000 связанных с ИКТ инициатив, согласованных с Направлениями деятельности ВВУИО, ЦУР и ГЦД, тем самым способствуя прозрачности, обмену знаниями, основанной на фактах политике и инновациям и при этом поощряя заинтересованные стороны вносить вклад в</w:t>
      </w:r>
      <w:r w:rsidR="00996D1A">
        <w:rPr>
          <w:lang w:val="en-US"/>
        </w:rPr>
        <w:t> </w:t>
      </w:r>
      <w:r w:rsidRPr="00D82C3A">
        <w:rPr>
          <w:lang w:val="ru-RU"/>
        </w:rPr>
        <w:t xml:space="preserve">разработку аналитических инструментов, позволяющих получать стратегические аналитические данные, обновлять их и поддерживать их развитие. Его роль, включая конкурс "Награды ВВУИО", изложена в </w:t>
      </w:r>
      <w:hyperlink r:id="rId65" w:history="1">
        <w:r w:rsidR="00C326F8">
          <w:rPr>
            <w:rStyle w:val="Hyperlink"/>
            <w:lang w:val="ru-RU"/>
          </w:rPr>
          <w:t>Резолюции E/RES/2025/18 ЭКОСОС</w:t>
        </w:r>
      </w:hyperlink>
      <w:r w:rsidRPr="00D82C3A">
        <w:rPr>
          <w:lang w:val="ru-RU"/>
        </w:rPr>
        <w:t>.</w:t>
      </w:r>
    </w:p>
    <w:p w14:paraId="714F6CCD" w14:textId="507ACF6A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Начиная с 2012 года МСЭ организует конкурс </w:t>
      </w:r>
      <w:hyperlink r:id="rId66" w:history="1">
        <w:r w:rsidRPr="00D82C3A">
          <w:rPr>
            <w:rStyle w:val="Hyperlink"/>
            <w:lang w:val="ru-RU"/>
          </w:rPr>
          <w:t>"Награды ВВУИО"</w:t>
        </w:r>
      </w:hyperlink>
      <w:r w:rsidRPr="00D82C3A">
        <w:rPr>
          <w:lang w:val="ru-RU"/>
        </w:rPr>
        <w:t xml:space="preserve"> – всемирно известный конкурс, посвященный передовому опыту использования цифровых технологий в целях развития и вознаграждающий выдающиеся достижения и инновации в рамках более чем 9000 проектов; на сегодняшний день насчитывается 252 победителя и 720 лауреатов конкурса, который охватил сотни тысяч заинтересованных сторон и привлек внимание миллионов людей. Список победителей 2023−2025 годов доступен в онлайновом режиме.</w:t>
      </w:r>
    </w:p>
    <w:p w14:paraId="0F0DE6D1" w14:textId="585DFCB9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С 2011 года МСЭ координирует деятельность </w:t>
      </w:r>
      <w:hyperlink r:id="rId67" w:history="1">
        <w:r w:rsidRPr="00D82C3A">
          <w:rPr>
            <w:rStyle w:val="Hyperlink"/>
            <w:lang w:val="ru-RU"/>
          </w:rPr>
          <w:t>Целевого фонда ВВУИО</w:t>
        </w:r>
      </w:hyperlink>
      <w:r w:rsidRPr="00D82C3A">
        <w:rPr>
          <w:lang w:val="ru-RU"/>
        </w:rPr>
        <w:t>, учрежденного Резолюцией 140 ПК, для поддержки выполнения решений ВВУИО. В соответствии с</w:t>
      </w:r>
      <w:r w:rsidR="00996D1A">
        <w:rPr>
          <w:lang w:val="en-US"/>
        </w:rPr>
        <w:t> </w:t>
      </w:r>
      <w:r w:rsidRPr="00D82C3A">
        <w:rPr>
          <w:lang w:val="ru-RU"/>
        </w:rPr>
        <w:t>Резолюциями 1332 и 1334 Совета всем членам и заинтересованным сторонам настоятельно рекомендуется вносить добровольные взносы; партнерам Форума ВВУИО 2023 года и мероприятий высокого уровня ВВУИО+20 в 2024–2025 годах выражается признательность за</w:t>
      </w:r>
      <w:r w:rsidR="00996D1A">
        <w:rPr>
          <w:lang w:val="en-US"/>
        </w:rPr>
        <w:t> </w:t>
      </w:r>
      <w:r w:rsidRPr="00D82C3A">
        <w:rPr>
          <w:lang w:val="ru-RU"/>
        </w:rPr>
        <w:t>их</w:t>
      </w:r>
      <w:r w:rsidR="00996D1A">
        <w:rPr>
          <w:lang w:val="en-US"/>
        </w:rPr>
        <w:t> </w:t>
      </w:r>
      <w:r w:rsidRPr="00D82C3A">
        <w:rPr>
          <w:lang w:val="ru-RU"/>
        </w:rPr>
        <w:t>поддержку.</w:t>
      </w:r>
    </w:p>
    <w:p w14:paraId="235C9A99" w14:textId="77777777" w:rsidR="00D82C3A" w:rsidRPr="00D82C3A" w:rsidRDefault="00D82C3A" w:rsidP="00E802C1">
      <w:pPr>
        <w:jc w:val="both"/>
        <w:rPr>
          <w:b/>
          <w:bCs/>
          <w:lang w:val="ru-RU"/>
        </w:rPr>
      </w:pPr>
      <w:r w:rsidRPr="00D82C3A">
        <w:rPr>
          <w:lang w:val="ru-RU"/>
        </w:rPr>
        <w:lastRenderedPageBreak/>
        <w:t xml:space="preserve">В </w:t>
      </w:r>
      <w:hyperlink r:id="rId68" w:history="1">
        <w:r w:rsidRPr="00D82C3A">
          <w:rPr>
            <w:rStyle w:val="Hyperlink"/>
            <w:lang w:val="ru-RU"/>
          </w:rPr>
          <w:t>ежегодных отчетах о вкладе МСЭ в выполнение решений ВВУИО</w:t>
        </w:r>
      </w:hyperlink>
      <w:r w:rsidRPr="00D82C3A">
        <w:rPr>
          <w:lang w:val="ru-RU"/>
        </w:rPr>
        <w:t xml:space="preserve"> излагаются основные связанные с ВВУИО инициативы и виды деятельности трех Секторов МСЭ – стандартизации, радиосвязи и развития – и Генерального секретариата и освещается прогресс на оперативном и политическом уровнях в выполнении связанных с ВВУИО мандатов МСЭ. Отчеты всех Секторов доступны на </w:t>
      </w:r>
      <w:hyperlink r:id="rId69" w:history="1">
        <w:r w:rsidRPr="00D82C3A">
          <w:rPr>
            <w:rStyle w:val="Hyperlink"/>
            <w:lang w:val="ru-RU"/>
          </w:rPr>
          <w:t>веб-сайте</w:t>
        </w:r>
      </w:hyperlink>
      <w:r w:rsidRPr="00D82C3A">
        <w:rPr>
          <w:lang w:val="ru-RU"/>
        </w:rPr>
        <w:t xml:space="preserve"> РГС-ВВУИО&amp;ЦУР.</w:t>
      </w:r>
    </w:p>
    <w:p w14:paraId="32A39BAD" w14:textId="7571B887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Дорожные карты МСЭ по </w:t>
      </w:r>
      <w:hyperlink r:id="rId70" w:history="1">
        <w:r w:rsidRPr="00D82C3A">
          <w:rPr>
            <w:rStyle w:val="Hyperlink"/>
            <w:lang w:val="ru-RU"/>
          </w:rPr>
          <w:t>Направлениям деятельности C2, С4, C5 и C6 ВВУИО</w:t>
        </w:r>
      </w:hyperlink>
      <w:r w:rsidRPr="00D82C3A">
        <w:rPr>
          <w:lang w:val="ru-RU"/>
        </w:rPr>
        <w:t xml:space="preserve"> обеспечивают ориентиры для достижения целей ВВУИО, увязывая запланированную деятельность со</w:t>
      </w:r>
      <w:r w:rsidR="00996D1A">
        <w:rPr>
          <w:lang w:val="en-US"/>
        </w:rPr>
        <w:t> </w:t>
      </w:r>
      <w:r w:rsidRPr="00D82C3A">
        <w:rPr>
          <w:lang w:val="ru-RU"/>
        </w:rPr>
        <w:t>стратегическими задачами, резолюциями, программами, инициативами МСЭ и ЦУР. В</w:t>
      </w:r>
      <w:r w:rsidR="00996D1A">
        <w:rPr>
          <w:lang w:val="en-US"/>
        </w:rPr>
        <w:t> </w:t>
      </w:r>
      <w:r w:rsidRPr="00D82C3A">
        <w:rPr>
          <w:lang w:val="ru-RU"/>
        </w:rPr>
        <w:t xml:space="preserve">каждой дорожной карте указаны сроки, ожидаемые результаты, ключевые партнеры, и она регулярно обновляется как гибкий инструмент реализации. Кроме того, МСЭ и другие содействующие организации по Направлениям деятельности ВВУИО подготовили </w:t>
      </w:r>
      <w:hyperlink r:id="rId71" w:anchor="actionLines" w:history="1">
        <w:r w:rsidRPr="00D82C3A">
          <w:rPr>
            <w:rStyle w:val="Hyperlink"/>
            <w:lang w:val="ru-RU"/>
          </w:rPr>
          <w:t>презентации</w:t>
        </w:r>
      </w:hyperlink>
      <w:r w:rsidRPr="00D82C3A">
        <w:rPr>
          <w:lang w:val="ru-RU"/>
        </w:rPr>
        <w:t>, освещающие 20-летний период с ключевыми вехами, проблемами и возникающими тенденциями после 2025 года.</w:t>
      </w:r>
    </w:p>
    <w:p w14:paraId="49980940" w14:textId="757DB25D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МСЭ участвует в работе Руководящего комитета </w:t>
      </w:r>
      <w:hyperlink r:id="rId72" w:history="1">
        <w:r w:rsidRPr="00D82C3A">
          <w:rPr>
            <w:rStyle w:val="Hyperlink"/>
            <w:lang w:val="ru-RU"/>
          </w:rPr>
          <w:t>Партнерства по измерению ИКТ в целях развития</w:t>
        </w:r>
      </w:hyperlink>
      <w:r w:rsidRPr="00D82C3A">
        <w:rPr>
          <w:lang w:val="ru-RU"/>
        </w:rPr>
        <w:t xml:space="preserve"> совместно с ЮНКТАД и ДЭСВ ООН. Кроме того, МСЭ продолжает выполнять функции секретариата Партнерства, в том числе предоставляя хостинг для веб-сайта Партнерства и поддерживая его координационную и техническую работу. Партнерство повышает качество данных по ИКТ и их доступность в целях устойчивого развития, увязывая основные показатели с</w:t>
      </w:r>
      <w:r w:rsidR="00996D1A">
        <w:rPr>
          <w:lang w:val="en-US"/>
        </w:rPr>
        <w:t> </w:t>
      </w:r>
      <w:r w:rsidRPr="00D82C3A">
        <w:rPr>
          <w:lang w:val="ru-RU"/>
        </w:rPr>
        <w:t>Направлениями деятельности ВВУИО, Глобальным цифровым договором и системой ООН по</w:t>
      </w:r>
      <w:r w:rsidR="00996D1A">
        <w:rPr>
          <w:lang w:val="en-US"/>
        </w:rPr>
        <w:t> </w:t>
      </w:r>
      <w:r w:rsidRPr="00D82C3A">
        <w:rPr>
          <w:lang w:val="ru-RU"/>
        </w:rPr>
        <w:t xml:space="preserve">обеспечению реальной возможности установления соединений, выявляя имеющиеся пробелы и поддерживая обзор ВВУИО+20 за 20 лет; при этом МСЭ размещает все основные данные на портале </w:t>
      </w:r>
      <w:hyperlink r:id="rId73" w:history="1">
        <w:r w:rsidRPr="00D82C3A">
          <w:rPr>
            <w:rStyle w:val="Hyperlink"/>
            <w:lang w:val="ru-RU"/>
          </w:rPr>
          <w:t>"Центр данных МСЭ"</w:t>
        </w:r>
      </w:hyperlink>
      <w:r w:rsidRPr="00D82C3A">
        <w:rPr>
          <w:lang w:val="ru-RU"/>
        </w:rPr>
        <w:t>.</w:t>
      </w:r>
    </w:p>
    <w:p w14:paraId="68A7A813" w14:textId="77777777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Одним из стержневых элементов ВВУИО является региональный аспект, реализуемый через региональные комиссии ООН, региональные отделения МСЭ, региональные организации электросвязи и партнеров в различных отраслях. МСЭ активно организует региональные мероприятия и принимает в них участие, чтобы ускорить выполнение решений ВВУИО и увязать их с Повесткой дня на период до 2030 года; при этом подробная информация регулярно публикуется в </w:t>
      </w:r>
      <w:hyperlink r:id="rId74" w:history="1">
        <w:r w:rsidRPr="00D82C3A">
          <w:rPr>
            <w:rStyle w:val="Hyperlink"/>
            <w:lang w:val="ru-RU"/>
          </w:rPr>
          <w:t>ежегодных отчетах</w:t>
        </w:r>
      </w:hyperlink>
      <w:r w:rsidRPr="00D82C3A">
        <w:rPr>
          <w:lang w:val="ru-RU"/>
        </w:rPr>
        <w:t>.</w:t>
      </w:r>
    </w:p>
    <w:p w14:paraId="02E7DA37" w14:textId="63E853BA" w:rsidR="00D82C3A" w:rsidRPr="00D82C3A" w:rsidRDefault="00D82C3A" w:rsidP="00E802C1">
      <w:pPr>
        <w:jc w:val="both"/>
        <w:rPr>
          <w:b/>
          <w:bCs/>
          <w:lang w:val="ru-RU"/>
        </w:rPr>
      </w:pPr>
      <w:r w:rsidRPr="00D82C3A">
        <w:rPr>
          <w:lang w:val="ru-RU"/>
        </w:rPr>
        <w:t xml:space="preserve">Ежегодно 17 мая МСЭ отмечает </w:t>
      </w:r>
      <w:hyperlink r:id="rId75" w:history="1">
        <w:r w:rsidRPr="00D82C3A">
          <w:rPr>
            <w:rStyle w:val="Hyperlink"/>
            <w:lang w:val="ru-RU"/>
          </w:rPr>
          <w:t>Всемирный день электросвязи и информационного общества</w:t>
        </w:r>
      </w:hyperlink>
      <w:r w:rsidRPr="00D82C3A">
        <w:rPr>
          <w:lang w:val="ru-RU"/>
        </w:rPr>
        <w:t xml:space="preserve"> (ВДЭИО), с тем чтобы подчеркнуть роль ИКТ в развитии и преодолении цифрового разрыва. В</w:t>
      </w:r>
      <w:r w:rsidR="00996D1A">
        <w:rPr>
          <w:lang w:val="en-US"/>
        </w:rPr>
        <w:t> </w:t>
      </w:r>
      <w:hyperlink r:id="rId76" w:history="1">
        <w:r w:rsidRPr="00D82C3A">
          <w:rPr>
            <w:rStyle w:val="Hyperlink"/>
            <w:lang w:val="ru-RU"/>
          </w:rPr>
          <w:t>2023</w:t>
        </w:r>
      </w:hyperlink>
      <w:r w:rsidRPr="00D82C3A">
        <w:rPr>
          <w:lang w:val="ru-RU"/>
        </w:rPr>
        <w:t xml:space="preserve"> году его темой стало расширение возможностей наименее развитых стран, в </w:t>
      </w:r>
      <w:hyperlink r:id="rId77" w:history="1">
        <w:r w:rsidRPr="00D82C3A">
          <w:rPr>
            <w:rStyle w:val="Hyperlink"/>
            <w:lang w:val="ru-RU"/>
          </w:rPr>
          <w:t>2024</w:t>
        </w:r>
      </w:hyperlink>
      <w:r w:rsidRPr="00D82C3A">
        <w:rPr>
          <w:lang w:val="ru-RU"/>
        </w:rPr>
        <w:t xml:space="preserve"> году – цифровые инновации в интересах устойчивого развития, а в </w:t>
      </w:r>
      <w:hyperlink r:id="rId78" w:history="1">
        <w:r w:rsidRPr="00D82C3A">
          <w:rPr>
            <w:rStyle w:val="Hyperlink"/>
            <w:lang w:val="ru-RU"/>
          </w:rPr>
          <w:t>2025</w:t>
        </w:r>
      </w:hyperlink>
      <w:r w:rsidRPr="00D82C3A">
        <w:rPr>
          <w:lang w:val="ru-RU"/>
        </w:rPr>
        <w:t xml:space="preserve"> году – в 160-ю годовщину МСЭ – гендерное равенство в цифровой трансформации.</w:t>
      </w:r>
    </w:p>
    <w:p w14:paraId="13AB2662" w14:textId="58AEE745" w:rsidR="00D82C3A" w:rsidRPr="00D82C3A" w:rsidRDefault="00D82C3A" w:rsidP="00E802C1">
      <w:pPr>
        <w:jc w:val="both"/>
        <w:rPr>
          <w:lang w:val="ru-RU"/>
        </w:rPr>
      </w:pPr>
      <w:hyperlink r:id="rId79" w:history="1">
        <w:r w:rsidRPr="00D82C3A">
          <w:rPr>
            <w:rStyle w:val="Hyperlink"/>
            <w:lang w:val="ru-RU"/>
          </w:rPr>
          <w:t>Дорожная карта деятельности МСЭ в поддержку Повестки дня на период до 2030 года</w:t>
        </w:r>
      </w:hyperlink>
      <w:r w:rsidRPr="00D82C3A">
        <w:rPr>
          <w:lang w:val="ru-RU"/>
        </w:rPr>
        <w:t xml:space="preserve"> служит ориентиром для усилий по ее реализации; ежегодные отчеты доступны на веб-сайте РГС</w:t>
      </w:r>
      <w:r w:rsidR="00996D1A">
        <w:rPr>
          <w:lang w:val="ru-RU"/>
        </w:rPr>
        <w:noBreakHyphen/>
      </w:r>
      <w:r w:rsidRPr="00D82C3A">
        <w:rPr>
          <w:lang w:val="ru-RU"/>
        </w:rPr>
        <w:t>ВВУИО&amp;ЦУР. Приверженность МСЭ Повестке дня на период до 2030 года интегрирована в</w:t>
      </w:r>
      <w:r w:rsidR="00996D1A">
        <w:rPr>
          <w:lang w:val="en-US"/>
        </w:rPr>
        <w:t> </w:t>
      </w:r>
      <w:hyperlink r:id="rId80" w:history="1">
        <w:r w:rsidRPr="00D82C3A">
          <w:rPr>
            <w:rStyle w:val="Hyperlink"/>
            <w:lang w:val="ru-RU"/>
          </w:rPr>
          <w:t>Стратегический план МСЭ на 2024–2027 годы</w:t>
        </w:r>
      </w:hyperlink>
      <w:r w:rsidRPr="00D82C3A">
        <w:rPr>
          <w:lang w:val="ru-RU"/>
        </w:rPr>
        <w:t xml:space="preserve">, в котором основное внимание уделяется универсальной возможности установления соединений и устойчивой цифровой трансформации, а также содействию использованию появляющихся технологий. В Повестке дня </w:t>
      </w:r>
      <w:hyperlink r:id="rId81" w:history="1">
        <w:r w:rsidRPr="00D82C3A">
          <w:rPr>
            <w:rStyle w:val="Hyperlink"/>
            <w:lang w:val="ru-RU"/>
          </w:rPr>
          <w:t>"Соединим к 2030 году"</w:t>
        </w:r>
      </w:hyperlink>
      <w:r w:rsidRPr="00D82C3A">
        <w:rPr>
          <w:lang w:val="ru-RU"/>
        </w:rPr>
        <w:t xml:space="preserve"> изложена концепция МСЭ относительно того, как ИКТ могут ускорить достижение ЦУР.</w:t>
      </w:r>
    </w:p>
    <w:p w14:paraId="27EC2C23" w14:textId="77777777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Как подчеркивается в </w:t>
      </w:r>
      <w:hyperlink r:id="rId82" w:history="1">
        <w:r w:rsidRPr="00D82C3A">
          <w:rPr>
            <w:rStyle w:val="Hyperlink"/>
            <w:lang w:val="ru-RU"/>
          </w:rPr>
          <w:t>Отчете ВВУИО+20</w:t>
        </w:r>
      </w:hyperlink>
      <w:r w:rsidRPr="00D82C3A">
        <w:rPr>
          <w:lang w:val="ru-RU"/>
        </w:rPr>
        <w:t>, электросвязь и ИКТ как ключевые движущие силы цифровой трансформации и цифровой экономики способствуют инновациям, всеобъемлющему росту, электронной коммерции, развитию МСП и модернизации государственных услуг, поддерживая при этом важнейшие сектора и содействуя формированию жизнеспособной, устойчивой и готовой к будущему экономики. В Отчете ВВУИО+20 вновь подтверждается, что электросвязь/ИКТ являются не только катализаторами социально-экономического развития, но и важнейшими предпосылками для жизнеспособной, устойчивой и готовой к будущему цифровой экономики.</w:t>
      </w:r>
    </w:p>
    <w:p w14:paraId="2A65FD7A" w14:textId="3445AB43" w:rsidR="00D82C3A" w:rsidRPr="00D82C3A" w:rsidRDefault="00D82C3A" w:rsidP="00E802C1">
      <w:pPr>
        <w:jc w:val="both"/>
        <w:rPr>
          <w:lang w:val="ru-RU"/>
        </w:rPr>
      </w:pPr>
      <w:hyperlink r:id="rId83" w:history="1">
        <w:r w:rsidRPr="00D82C3A">
          <w:rPr>
            <w:rStyle w:val="Hyperlink"/>
            <w:lang w:val="ru-RU"/>
          </w:rPr>
          <w:t>Комиссия по широкополосной связи в интересах устойчивого развития</w:t>
        </w:r>
      </w:hyperlink>
      <w:r w:rsidRPr="00D82C3A">
        <w:rPr>
          <w:lang w:val="ru-RU"/>
        </w:rPr>
        <w:t xml:space="preserve"> была учреждена в</w:t>
      </w:r>
      <w:r w:rsidR="007E4124">
        <w:rPr>
          <w:lang w:val="en-US"/>
        </w:rPr>
        <w:t> </w:t>
      </w:r>
      <w:r w:rsidRPr="00D82C3A">
        <w:rPr>
          <w:lang w:val="ru-RU"/>
        </w:rPr>
        <w:t>2010</w:t>
      </w:r>
      <w:r w:rsidR="007E4124">
        <w:rPr>
          <w:lang w:val="en-US"/>
        </w:rPr>
        <w:t> </w:t>
      </w:r>
      <w:r w:rsidRPr="00D82C3A">
        <w:rPr>
          <w:lang w:val="ru-RU"/>
        </w:rPr>
        <w:t>году МСЭ и ЮНЕСКО под руководством Е.П. президента Руанды Поля Кагаме и г</w:t>
      </w:r>
      <w:r w:rsidR="007E4124">
        <w:rPr>
          <w:lang w:val="ru-RU"/>
        </w:rPr>
        <w:noBreakHyphen/>
      </w:r>
      <w:r w:rsidRPr="00D82C3A">
        <w:rPr>
          <w:lang w:val="ru-RU"/>
        </w:rPr>
        <w:t>на</w:t>
      </w:r>
      <w:r w:rsidR="007E4124">
        <w:rPr>
          <w:lang w:val="en-US"/>
        </w:rPr>
        <w:t> </w:t>
      </w:r>
      <w:r w:rsidRPr="00D82C3A">
        <w:rPr>
          <w:lang w:val="ru-RU"/>
        </w:rPr>
        <w:t xml:space="preserve">Карлоса Слима Элу, мексиканского отраслевого лидера и основателя Фонда Карлоса Слима, для продвижения универсальной возможности установления широкополосных соединений в целях выполнения Повестки дня ООН на период до 2030 года и ее </w:t>
      </w:r>
      <w:hyperlink r:id="rId84" w:history="1">
        <w:r w:rsidRPr="00D82C3A">
          <w:rPr>
            <w:rStyle w:val="Hyperlink"/>
            <w:lang w:val="ru-RU"/>
          </w:rPr>
          <w:t>семи целевых показателей в области информационно-пропагандистской деятельности</w:t>
        </w:r>
      </w:hyperlink>
      <w:r w:rsidRPr="00D82C3A">
        <w:rPr>
          <w:lang w:val="ru-RU"/>
        </w:rPr>
        <w:t xml:space="preserve">. В 2025 году Комиссия отметила 15-ю годовщину своего создания, ознаменовавшую важную веху в мониторинге прогресса в области широкополосной связи и охвата цифровыми технологиями. После 15 лет усилий по содействию установлению широкополосных соединений в рамках многосторонних партнерств и информационно-пропагандистской деятельности в конце 2025 года истек срок действия стратегического фундамента работы Комиссии – </w:t>
      </w:r>
      <w:hyperlink r:id="rId85" w:history="1">
        <w:r w:rsidRPr="00D82C3A">
          <w:rPr>
            <w:rStyle w:val="Hyperlink"/>
            <w:lang w:val="ru-RU"/>
          </w:rPr>
          <w:t>целевых показателей в области информационно-пропагандистской деятельности в отношении широкополосной связи</w:t>
        </w:r>
      </w:hyperlink>
      <w:r w:rsidRPr="00D82C3A">
        <w:rPr>
          <w:lang w:val="ru-RU"/>
        </w:rPr>
        <w:t>. За</w:t>
      </w:r>
      <w:r w:rsidR="007E4124">
        <w:rPr>
          <w:lang w:val="en-US"/>
        </w:rPr>
        <w:t> </w:t>
      </w:r>
      <w:r w:rsidRPr="00D82C3A">
        <w:rPr>
          <w:lang w:val="ru-RU"/>
        </w:rPr>
        <w:t xml:space="preserve">время своего существования Комиссия опубликовала более 100 информационных материалов, в том числе 15 флагманских ежегодных отчетов </w:t>
      </w:r>
      <w:hyperlink r:id="rId86" w:history="1">
        <w:r w:rsidRPr="00D82C3A">
          <w:rPr>
            <w:rStyle w:val="Hyperlink"/>
            <w:lang w:val="ru-RU"/>
          </w:rPr>
          <w:t>"Состояние широкополосной связи"</w:t>
        </w:r>
      </w:hyperlink>
      <w:r w:rsidRPr="00D82C3A">
        <w:rPr>
          <w:lang w:val="ru-RU"/>
        </w:rPr>
        <w:t>, в которых содержатся данные, аналитические материалы и региональный анализ и предлагаются решения для устранения пробелов в возможности установления соединений. В</w:t>
      </w:r>
      <w:r w:rsidR="007E4124">
        <w:rPr>
          <w:lang w:val="en-US"/>
        </w:rPr>
        <w:t> </w:t>
      </w:r>
      <w:r w:rsidRPr="00D82C3A">
        <w:rPr>
          <w:lang w:val="ru-RU"/>
        </w:rPr>
        <w:t xml:space="preserve">2025 году Комиссия выпустила специальную серию из четырех отчетов под рубрикой "Состояние широкополосной связи в 2025 году", в которых отражена возрастающая сложность широкополосной и цифровой экосистем, представлены конкретные взгляды на конкретные области и прогресс в достижении семи </w:t>
      </w:r>
      <w:hyperlink r:id="rId87" w:history="1">
        <w:r w:rsidRPr="00D82C3A">
          <w:rPr>
            <w:rStyle w:val="Hyperlink"/>
            <w:lang w:val="ru-RU"/>
          </w:rPr>
          <w:t>целевых показателей информационно-пропагандистской деятельности Комиссии</w:t>
        </w:r>
      </w:hyperlink>
      <w:r w:rsidRPr="00D82C3A">
        <w:rPr>
          <w:lang w:val="ru-RU"/>
        </w:rPr>
        <w:t xml:space="preserve">. Более 35 </w:t>
      </w:r>
      <w:hyperlink r:id="rId88" w:history="1">
        <w:r w:rsidRPr="00D82C3A">
          <w:rPr>
            <w:rStyle w:val="Hyperlink"/>
            <w:lang w:val="ru-RU"/>
          </w:rPr>
          <w:t>рабочих групп</w:t>
        </w:r>
      </w:hyperlink>
      <w:r w:rsidRPr="00D82C3A">
        <w:rPr>
          <w:lang w:val="ru-RU"/>
        </w:rPr>
        <w:t xml:space="preserve"> Комиссии при поддержке сообщества из более чем 500 международных экспертов представили новаторские исследования и практические рекомендации в таких приоритетных областях, как цифровое здравоохранение, образование, гендерная проблематика, охват цифровыми технологиями, финансирование и многое другое. В 2025 году рабочая группа </w:t>
      </w:r>
      <w:hyperlink r:id="rId89" w:history="1">
        <w:r w:rsidRPr="00D82C3A">
          <w:rPr>
            <w:rStyle w:val="Hyperlink"/>
            <w:lang w:val="ru-RU"/>
          </w:rPr>
          <w:t>по управлению данными</w:t>
        </w:r>
      </w:hyperlink>
      <w:r w:rsidRPr="00D82C3A">
        <w:rPr>
          <w:lang w:val="ru-RU"/>
        </w:rPr>
        <w:t xml:space="preserve"> под совместным председательством МСЭ, ЮНЕСКО, ПРООН и Африканского союза завершила работу над выполнением своих основных задач и представила заключительный отчет. Комиссия способствовала более активной реализации ряда глобальных инициатив, включая инициативу "РАВНЫЕ" для преодоления гендерного цифрового разрыва, Giga для подключения всех школ к интернету, а также инициативу ЮНЕСКО по электронным школам. Она приняла участие в подготовке Всеобщей декларации безопасности ребенка в онлайновой среде и опубликовала Программу действий по поддержке стратегий цифрового реагирования во время пандемии COVID-19. Некоторые направления деятельности Комиссии по-прежнему используются в ее совместной работе в рамках других стратегических инициатив, включая </w:t>
      </w:r>
      <w:hyperlink r:id="rId90" w:history="1">
        <w:r w:rsidRPr="00D82C3A">
          <w:rPr>
            <w:rStyle w:val="Hyperlink"/>
            <w:lang w:val="ru-RU"/>
          </w:rPr>
          <w:t>Глобальное партнерство "РАВНЫЕ"</w:t>
        </w:r>
      </w:hyperlink>
      <w:r w:rsidRPr="00D82C3A">
        <w:rPr>
          <w:lang w:val="ru-RU"/>
        </w:rPr>
        <w:t xml:space="preserve">, </w:t>
      </w:r>
      <w:hyperlink r:id="rId91" w:history="1">
        <w:r w:rsidRPr="00D82C3A">
          <w:rPr>
            <w:rStyle w:val="Hyperlink"/>
            <w:lang w:val="ru-RU"/>
          </w:rPr>
          <w:t>проект ЮНИСЕФ – МСЭ Giga</w:t>
        </w:r>
      </w:hyperlink>
      <w:r w:rsidRPr="00D82C3A">
        <w:rPr>
          <w:lang w:val="ru-RU"/>
        </w:rPr>
        <w:t xml:space="preserve">, </w:t>
      </w:r>
      <w:hyperlink r:id="rId92" w:history="1">
        <w:r w:rsidRPr="00D82C3A">
          <w:rPr>
            <w:rStyle w:val="Hyperlink"/>
            <w:lang w:val="ru-RU"/>
          </w:rPr>
          <w:t>Комплект материалов по управлению данными</w:t>
        </w:r>
      </w:hyperlink>
      <w:r w:rsidRPr="00D82C3A">
        <w:rPr>
          <w:lang w:val="ru-RU"/>
        </w:rPr>
        <w:t xml:space="preserve"> и </w:t>
      </w:r>
      <w:hyperlink r:id="rId93" w:history="1">
        <w:r w:rsidRPr="00D82C3A">
          <w:rPr>
            <w:rStyle w:val="Hyperlink"/>
            <w:lang w:val="ru-RU"/>
          </w:rPr>
          <w:t>Цифровую коалицию МСЭ "Партнерства для подключения"</w:t>
        </w:r>
      </w:hyperlink>
      <w:r w:rsidRPr="00D82C3A">
        <w:rPr>
          <w:lang w:val="ru-RU"/>
        </w:rPr>
        <w:t>. Комиссия создала важный прецедент, свидетельствующий о большом значении совместной работы по</w:t>
      </w:r>
      <w:r w:rsidR="007E4124">
        <w:rPr>
          <w:lang w:val="en-US"/>
        </w:rPr>
        <w:t> </w:t>
      </w:r>
      <w:r w:rsidRPr="00D82C3A">
        <w:rPr>
          <w:lang w:val="ru-RU"/>
        </w:rPr>
        <w:t>установлению соединений для тех, кто еще не подключен, и помогла заложить основы цифрового будущего. Комиссия перейдет к новому этапу в своей деятельности, распространяя сферу применения своего опыта и специализированных знаний на эру ИИ и данных.</w:t>
      </w:r>
    </w:p>
    <w:p w14:paraId="25BA0518" w14:textId="49CCE497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Через </w:t>
      </w:r>
      <w:hyperlink r:id="rId94" w:history="1">
        <w:r w:rsidRPr="00D82C3A">
          <w:rPr>
            <w:rStyle w:val="Hyperlink"/>
            <w:lang w:val="ru-RU"/>
          </w:rPr>
          <w:t>Цифровую коалицию МСЭ "Партнерства для подключения" (P2C)</w:t>
        </w:r>
      </w:hyperlink>
      <w:r w:rsidRPr="00D82C3A">
        <w:rPr>
          <w:lang w:val="ru-RU"/>
        </w:rPr>
        <w:t xml:space="preserve"> МСЭ содействует глобальному цифровому сотрудничеству и государственно-частным партнерствам в сферах доступа, внедрения, создания стоимости и инвестиций. Инициатива P2C, представленная на Генеральной Ассамблее ООН в 2021 году и запущенная в ходе ВКРЭ-22, способствует развитию универсальной и реальной возможности установления соединений и устойчивой цифровой трансформации в соответствии с ЦУР, ВВУИО и Глобальным цифровым договором. К концу 2025 года P2C привлекла более 80 млрд. долларов США в виде обязательств от 1060</w:t>
      </w:r>
      <w:r w:rsidR="00005EE1">
        <w:rPr>
          <w:lang w:val="en-US"/>
        </w:rPr>
        <w:t> </w:t>
      </w:r>
      <w:r w:rsidRPr="00D82C3A">
        <w:rPr>
          <w:lang w:val="ru-RU"/>
        </w:rPr>
        <w:t>участвующих организаций из 149 стран, включая правительства, 30 учреждений ООН, НПО, банки развития и ведущих партнеров из частного сектора. Общая цель состоит в том, чтобы к</w:t>
      </w:r>
      <w:r w:rsidR="007E4124">
        <w:rPr>
          <w:lang w:val="en-US"/>
        </w:rPr>
        <w:t> </w:t>
      </w:r>
      <w:r w:rsidRPr="00D82C3A">
        <w:rPr>
          <w:lang w:val="ru-RU"/>
        </w:rPr>
        <w:t>концу 2026 года достичь уровня в 100 млрд. долларов США.</w:t>
      </w:r>
    </w:p>
    <w:p w14:paraId="6C62200A" w14:textId="3DD167C9" w:rsidR="00D82C3A" w:rsidRPr="00D82C3A" w:rsidRDefault="00D82C3A" w:rsidP="00E802C1">
      <w:pPr>
        <w:jc w:val="both"/>
        <w:rPr>
          <w:lang w:val="ru-RU"/>
        </w:rPr>
      </w:pPr>
      <w:hyperlink r:id="rId95" w:history="1">
        <w:r w:rsidRPr="00D82C3A">
          <w:rPr>
            <w:rStyle w:val="Hyperlink"/>
            <w:lang w:val="ru-RU"/>
          </w:rPr>
          <w:t>Giga</w:t>
        </w:r>
      </w:hyperlink>
      <w:r w:rsidRPr="00D82C3A">
        <w:rPr>
          <w:lang w:val="ru-RU"/>
        </w:rPr>
        <w:t>, партнерство МСЭ и ЮНИСЕФ, помогает правительствам подключать все школы к</w:t>
      </w:r>
      <w:r w:rsidR="007E4124">
        <w:rPr>
          <w:lang w:val="en-US"/>
        </w:rPr>
        <w:t> </w:t>
      </w:r>
      <w:r w:rsidRPr="00D82C3A">
        <w:rPr>
          <w:lang w:val="ru-RU"/>
        </w:rPr>
        <w:t>интернету, решая задачу для 2,2 миллиарда человек, которые все еще не подключены, и</w:t>
      </w:r>
      <w:r w:rsidR="007E4124">
        <w:rPr>
          <w:lang w:val="en-US"/>
        </w:rPr>
        <w:t> </w:t>
      </w:r>
      <w:r w:rsidRPr="00D82C3A">
        <w:rPr>
          <w:lang w:val="ru-RU"/>
        </w:rPr>
        <w:t>для</w:t>
      </w:r>
      <w:r w:rsidR="007E4124">
        <w:rPr>
          <w:lang w:val="en-US"/>
        </w:rPr>
        <w:t> </w:t>
      </w:r>
      <w:r w:rsidRPr="00D82C3A">
        <w:rPr>
          <w:lang w:val="ru-RU"/>
        </w:rPr>
        <w:t>половины школ, не имеющих соединения. В соответствии с Направлениями деятельности C2 и C4 ВВУИО Giga поддерживает географическое картирование, анализ инфраструктуры, моделирование затрат и инновационное финансирование, основанное на создании потенциала. С 2019 года в рамках этой инициативы нанесено на карту более 2,2 миллиона школ, завершено моделирование инфраструктуры в 9 странах и подготовлено 128 делегатов из</w:t>
      </w:r>
      <w:r w:rsidR="007E4124">
        <w:rPr>
          <w:lang w:val="en-US"/>
        </w:rPr>
        <w:t> </w:t>
      </w:r>
      <w:r w:rsidRPr="00D82C3A">
        <w:rPr>
          <w:lang w:val="ru-RU"/>
        </w:rPr>
        <w:t>52 стран, принявших участие в пяти сессиях Центра обучения Giga.</w:t>
      </w:r>
    </w:p>
    <w:p w14:paraId="0B7413ED" w14:textId="53378150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МСЭ подчеркивает, что </w:t>
      </w:r>
      <w:hyperlink r:id="rId96" w:history="1">
        <w:r w:rsidRPr="00D82C3A">
          <w:rPr>
            <w:rStyle w:val="Hyperlink"/>
            <w:lang w:val="ru-RU"/>
          </w:rPr>
          <w:t>цифровая общественная инфраструктура (DPI)</w:t>
        </w:r>
      </w:hyperlink>
      <w:r w:rsidRPr="00D82C3A">
        <w:rPr>
          <w:lang w:val="ru-RU"/>
        </w:rPr>
        <w:t xml:space="preserve"> является основополагающим элементом справедливой цифровой экономики и общества, охватывая цифровую идентичность, платежи и управление данными в качестве ключевого фактора инклюзивной цифровой экономики. С помощью таких инициатив, как Африканский проект DPI, партнерство Giga и Форум OpenWallet, МСЭ поддерживает функционально совместимую и масштабируемую цифровую инфраструктуру и стимулирует применение приложений DPI в</w:t>
      </w:r>
      <w:r w:rsidR="007E4124">
        <w:rPr>
          <w:lang w:val="en-US"/>
        </w:rPr>
        <w:t> </w:t>
      </w:r>
      <w:r w:rsidRPr="00D82C3A">
        <w:rPr>
          <w:lang w:val="ru-RU"/>
        </w:rPr>
        <w:t>образовании, платежах и управлении данными с целью содействовать справедливому доступу и охвату во всем мире.</w:t>
      </w:r>
    </w:p>
    <w:p w14:paraId="7F2D1AF9" w14:textId="2D78D436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Инициатива </w:t>
      </w:r>
      <w:hyperlink r:id="rId97" w:history="1">
        <w:r w:rsidRPr="00D82C3A">
          <w:rPr>
            <w:rStyle w:val="Hyperlink"/>
            <w:lang w:val="ru-RU"/>
          </w:rPr>
          <w:t>Digital@UNGA</w:t>
        </w:r>
      </w:hyperlink>
      <w:r w:rsidRPr="00D82C3A">
        <w:rPr>
          <w:lang w:val="ru-RU"/>
        </w:rPr>
        <w:t xml:space="preserve"> МСЭ, запущенная в 2023 году в рамках программы "Цифровые технологии для ЦУР" (SDG Digital) (</w:t>
      </w:r>
      <w:hyperlink r:id="rId98" w:history="1">
        <w:r w:rsidRPr="00D82C3A">
          <w:rPr>
            <w:rStyle w:val="Hyperlink"/>
            <w:lang w:val="ru-RU"/>
          </w:rPr>
          <w:t>SDG Digital 2023</w:t>
        </w:r>
      </w:hyperlink>
      <w:r w:rsidRPr="00D82C3A">
        <w:rPr>
          <w:lang w:val="ru-RU"/>
        </w:rPr>
        <w:t xml:space="preserve">, </w:t>
      </w:r>
      <w:hyperlink r:id="rId99" w:history="1">
        <w:r w:rsidRPr="00D82C3A">
          <w:rPr>
            <w:rStyle w:val="Hyperlink"/>
            <w:lang w:val="ru-RU"/>
          </w:rPr>
          <w:t>SDG Digital 2024</w:t>
        </w:r>
      </w:hyperlink>
      <w:r w:rsidRPr="00D82C3A">
        <w:rPr>
          <w:lang w:val="ru-RU"/>
        </w:rPr>
        <w:t xml:space="preserve">, мероприятие </w:t>
      </w:r>
      <w:hyperlink r:id="rId100" w:history="1">
        <w:r w:rsidRPr="00D82C3A">
          <w:rPr>
            <w:rStyle w:val="Hyperlink"/>
            <w:lang w:val="ru-RU"/>
          </w:rPr>
          <w:t>Digital@UNGA 2025 года – ВВУИО+20</w:t>
        </w:r>
      </w:hyperlink>
      <w:r w:rsidRPr="00D82C3A">
        <w:rPr>
          <w:lang w:val="ru-RU"/>
        </w:rPr>
        <w:t>), демонстрирует, как цифровые технологии ускоряют выполнение Повестки дня на период до 2030 года. В партнерстве с ПРООН она собирает мировых лидеров в</w:t>
      </w:r>
      <w:r w:rsidR="007E4124">
        <w:rPr>
          <w:lang w:val="en-US"/>
        </w:rPr>
        <w:t> </w:t>
      </w:r>
      <w:r w:rsidRPr="00D82C3A">
        <w:rPr>
          <w:lang w:val="ru-RU"/>
        </w:rPr>
        <w:t xml:space="preserve">ГА ООН, чтобы представлять преобразующие решения, стимулировать сотрудничество и награждать лауреатов </w:t>
      </w:r>
      <w:hyperlink r:id="rId101" w:history="1">
        <w:r w:rsidRPr="00D82C3A">
          <w:rPr>
            <w:rStyle w:val="Hyperlink"/>
            <w:lang w:val="ru-RU"/>
          </w:rPr>
          <w:t>премии "Цифровые инновационные решения для ЦУР"</w:t>
        </w:r>
      </w:hyperlink>
      <w:r w:rsidRPr="00D82C3A">
        <w:rPr>
          <w:lang w:val="ru-RU"/>
        </w:rPr>
        <w:t>, вручаемой за</w:t>
      </w:r>
      <w:r w:rsidR="007E4124">
        <w:rPr>
          <w:lang w:val="en-US"/>
        </w:rPr>
        <w:t> </w:t>
      </w:r>
      <w:r w:rsidRPr="00D82C3A">
        <w:rPr>
          <w:lang w:val="ru-RU"/>
        </w:rPr>
        <w:t>прорывные достижения в сфере цифровых технологий.</w:t>
      </w:r>
    </w:p>
    <w:p w14:paraId="0070C549" w14:textId="546A4567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Продвигаясь вперед в выполнении решений ВВУИО и Повестки дня на период до 2030 года, МСЭ активно предоставляет технические экспертные знания и предметные вклады, а также координирует поддержку процессов ООН и межправительственных инициатив, организуя сопутствующие мероприятия или участвуя в них для обеспечения признания цифровых технологий в качестве ключевых факторов устойчивого развития. Среди некоторых направлений, по которым вносятся вклады, – </w:t>
      </w:r>
      <w:hyperlink r:id="rId102" w:history="1">
        <w:r w:rsidRPr="00D82C3A">
          <w:rPr>
            <w:rStyle w:val="Hyperlink"/>
            <w:lang w:val="ru-RU"/>
          </w:rPr>
          <w:t>ГА ООН</w:t>
        </w:r>
      </w:hyperlink>
      <w:r w:rsidRPr="00D82C3A">
        <w:rPr>
          <w:lang w:val="ru-RU"/>
        </w:rPr>
        <w:t xml:space="preserve">, </w:t>
      </w:r>
      <w:hyperlink r:id="rId103" w:history="1">
        <w:r w:rsidRPr="00D82C3A">
          <w:rPr>
            <w:rStyle w:val="Hyperlink"/>
            <w:lang w:val="ru-RU"/>
          </w:rPr>
          <w:t>ПФВУ</w:t>
        </w:r>
      </w:hyperlink>
      <w:r w:rsidRPr="00D82C3A">
        <w:rPr>
          <w:lang w:val="ru-RU"/>
        </w:rPr>
        <w:t xml:space="preserve">, </w:t>
      </w:r>
      <w:hyperlink r:id="rId104" w:history="1">
        <w:r w:rsidRPr="00D82C3A">
          <w:rPr>
            <w:rStyle w:val="Hyperlink"/>
            <w:lang w:val="ru-RU"/>
          </w:rPr>
          <w:t>КНТР</w:t>
        </w:r>
      </w:hyperlink>
      <w:r w:rsidRPr="00D82C3A">
        <w:rPr>
          <w:lang w:val="ru-RU"/>
        </w:rPr>
        <w:t xml:space="preserve">, </w:t>
      </w:r>
      <w:hyperlink r:id="rId105" w:history="1">
        <w:r w:rsidRPr="00D82C3A">
          <w:rPr>
            <w:rStyle w:val="Hyperlink"/>
            <w:lang w:val="ru-RU"/>
          </w:rPr>
          <w:t>ЭКОСОС</w:t>
        </w:r>
      </w:hyperlink>
      <w:r w:rsidRPr="00D82C3A">
        <w:rPr>
          <w:lang w:val="ru-RU"/>
        </w:rPr>
        <w:t xml:space="preserve">, </w:t>
      </w:r>
      <w:hyperlink r:id="rId106" w:history="1">
        <w:r w:rsidRPr="00D82C3A">
          <w:rPr>
            <w:rStyle w:val="Hyperlink"/>
            <w:lang w:val="ru-RU"/>
          </w:rPr>
          <w:t>ФУИ</w:t>
        </w:r>
      </w:hyperlink>
      <w:r w:rsidRPr="00D82C3A">
        <w:rPr>
          <w:lang w:val="ru-RU"/>
        </w:rPr>
        <w:t xml:space="preserve">, </w:t>
      </w:r>
      <w:hyperlink r:id="rId107" w:history="1">
        <w:r w:rsidRPr="00D82C3A">
          <w:rPr>
            <w:rStyle w:val="Hyperlink"/>
            <w:lang w:val="ru-RU"/>
          </w:rPr>
          <w:t>КПЖ</w:t>
        </w:r>
      </w:hyperlink>
      <w:r w:rsidRPr="00D82C3A">
        <w:rPr>
          <w:lang w:val="ru-RU"/>
        </w:rPr>
        <w:t xml:space="preserve">, </w:t>
      </w:r>
      <w:hyperlink r:id="rId108" w:history="1">
        <w:r w:rsidRPr="00D82C3A">
          <w:rPr>
            <w:rStyle w:val="Hyperlink"/>
            <w:lang w:val="ru-RU"/>
          </w:rPr>
          <w:t>НРС и ЛЛДС</w:t>
        </w:r>
      </w:hyperlink>
      <w:r w:rsidRPr="00D82C3A">
        <w:rPr>
          <w:lang w:val="ru-RU"/>
        </w:rPr>
        <w:t xml:space="preserve">, </w:t>
      </w:r>
      <w:hyperlink r:id="rId109" w:history="1">
        <w:r w:rsidRPr="00D82C3A">
          <w:rPr>
            <w:rStyle w:val="Hyperlink"/>
            <w:lang w:val="ru-RU"/>
          </w:rPr>
          <w:t>Всемирный социальный саммит</w:t>
        </w:r>
      </w:hyperlink>
      <w:r w:rsidRPr="00D82C3A">
        <w:rPr>
          <w:lang w:val="ru-RU"/>
        </w:rPr>
        <w:t xml:space="preserve">, </w:t>
      </w:r>
      <w:hyperlink r:id="rId110" w:history="1">
        <w:r w:rsidRPr="00D82C3A">
          <w:rPr>
            <w:rStyle w:val="Hyperlink"/>
            <w:lang w:val="ru-RU"/>
          </w:rPr>
          <w:t>региональные обзоры ООН</w:t>
        </w:r>
      </w:hyperlink>
      <w:r w:rsidRPr="00D82C3A">
        <w:rPr>
          <w:lang w:val="ru-RU"/>
        </w:rPr>
        <w:t xml:space="preserve">, </w:t>
      </w:r>
      <w:hyperlink r:id="rId111" w:history="1">
        <w:r w:rsidRPr="00D82C3A">
          <w:rPr>
            <w:rStyle w:val="Hyperlink"/>
            <w:lang w:val="ru-RU"/>
          </w:rPr>
          <w:t>Саммит по ЦУР</w:t>
        </w:r>
      </w:hyperlink>
      <w:r w:rsidRPr="00D82C3A">
        <w:rPr>
          <w:lang w:val="ru-RU"/>
        </w:rPr>
        <w:t xml:space="preserve">, </w:t>
      </w:r>
      <w:hyperlink r:id="rId112" w:history="1">
        <w:r w:rsidRPr="00D82C3A">
          <w:rPr>
            <w:rStyle w:val="Hyperlink"/>
            <w:lang w:val="ru-RU"/>
          </w:rPr>
          <w:t>Саммит будущего</w:t>
        </w:r>
      </w:hyperlink>
      <w:r w:rsidRPr="00D82C3A">
        <w:rPr>
          <w:lang w:val="ru-RU"/>
        </w:rPr>
        <w:t>.</w:t>
      </w:r>
    </w:p>
    <w:p w14:paraId="014D3AB2" w14:textId="315E5CE9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 xml:space="preserve">В настоящее время ведется подготовка к получению вкладов для ВВУИО в 2026 году. Государствам-Членам и заинтересованным сторонам предлагается принять участие в </w:t>
      </w:r>
      <w:hyperlink r:id="rId113" w:history="1">
        <w:r w:rsidRPr="00D82C3A">
          <w:rPr>
            <w:rStyle w:val="Hyperlink"/>
            <w:lang w:val="ru-RU"/>
          </w:rPr>
          <w:t>процессе открытых консультаций</w:t>
        </w:r>
      </w:hyperlink>
      <w:r w:rsidRPr="00D82C3A">
        <w:rPr>
          <w:lang w:val="ru-RU"/>
        </w:rPr>
        <w:t xml:space="preserve">, работе </w:t>
      </w:r>
      <w:hyperlink r:id="rId114" w:history="1">
        <w:r w:rsidRPr="00D82C3A">
          <w:rPr>
            <w:rStyle w:val="Hyperlink"/>
            <w:lang w:val="ru-RU"/>
          </w:rPr>
          <w:t>Аналитической платформы ВВУИО</w:t>
        </w:r>
      </w:hyperlink>
      <w:r w:rsidRPr="00D82C3A">
        <w:rPr>
          <w:lang w:val="ru-RU"/>
        </w:rPr>
        <w:t xml:space="preserve">, конкурсе </w:t>
      </w:r>
      <w:hyperlink r:id="rId115" w:history="1">
        <w:r w:rsidRPr="00D82C3A">
          <w:rPr>
            <w:rStyle w:val="Hyperlink"/>
            <w:lang w:val="ru-RU"/>
          </w:rPr>
          <w:t>"Награды ВВУИО"</w:t>
        </w:r>
      </w:hyperlink>
      <w:r w:rsidRPr="00D82C3A">
        <w:rPr>
          <w:lang w:val="ru-RU"/>
        </w:rPr>
        <w:t xml:space="preserve"> и </w:t>
      </w:r>
      <w:hyperlink r:id="rId116" w:history="1">
        <w:r w:rsidRPr="00D82C3A">
          <w:rPr>
            <w:rStyle w:val="Hyperlink"/>
            <w:lang w:val="ru-RU"/>
          </w:rPr>
          <w:t>Целевом фонде ВВУИО</w:t>
        </w:r>
      </w:hyperlink>
      <w:r w:rsidRPr="00D82C3A">
        <w:rPr>
          <w:lang w:val="ru-RU"/>
        </w:rPr>
        <w:t>.</w:t>
      </w:r>
    </w:p>
    <w:p w14:paraId="0AD1627C" w14:textId="77777777" w:rsidR="00D82C3A" w:rsidRPr="00D82C3A" w:rsidRDefault="00D82C3A" w:rsidP="00E802C1">
      <w:pPr>
        <w:jc w:val="both"/>
        <w:rPr>
          <w:lang w:val="ru-RU"/>
        </w:rPr>
      </w:pPr>
      <w:r w:rsidRPr="00D82C3A">
        <w:rPr>
          <w:lang w:val="ru-RU"/>
        </w:rPr>
        <w:t>С учетом Обзора ВВУИО+20 и Резолюций МСЭ дальнейшая деятельность включает:</w:t>
      </w:r>
    </w:p>
    <w:p w14:paraId="1DBBE748" w14:textId="0C1F16F0" w:rsidR="00D82C3A" w:rsidRPr="00D82C3A" w:rsidRDefault="00D82C3A" w:rsidP="00E802C1">
      <w:pPr>
        <w:pStyle w:val="enumlev1"/>
        <w:jc w:val="both"/>
        <w:rPr>
          <w:lang w:val="ru-RU"/>
        </w:rPr>
      </w:pPr>
      <w:r w:rsidRPr="00D82C3A">
        <w:rPr>
          <w:lang w:val="ru-RU"/>
        </w:rPr>
        <w:t>–</w:t>
      </w:r>
      <w:r w:rsidRPr="00D82C3A">
        <w:rPr>
          <w:lang w:val="ru-RU"/>
        </w:rPr>
        <w:tab/>
        <w:t>продолжение работы ВВУИО в качестве рамочного механизма ООН для цифрового сотрудничества, включая интеграцию Глобального цифрового договора в архитектуру ВВУИО, в координации с ГИО ООН и соответствующими учреждениями ООН;</w:t>
      </w:r>
    </w:p>
    <w:p w14:paraId="4CA47125" w14:textId="77777777" w:rsidR="00D82C3A" w:rsidRPr="00D82C3A" w:rsidRDefault="00D82C3A" w:rsidP="00E802C1">
      <w:pPr>
        <w:pStyle w:val="enumlev1"/>
        <w:jc w:val="both"/>
        <w:rPr>
          <w:lang w:val="ru-RU"/>
        </w:rPr>
      </w:pPr>
      <w:r w:rsidRPr="00D82C3A">
        <w:rPr>
          <w:lang w:val="ru-RU"/>
        </w:rPr>
        <w:t>–</w:t>
      </w:r>
      <w:r w:rsidRPr="00D82C3A">
        <w:rPr>
          <w:lang w:val="ru-RU"/>
        </w:rPr>
        <w:tab/>
        <w:t>ускорение координации и реализации Направлений деятельности ВВУИО с помощью обновленных, поддающихся измерению дорожных карт для содействующих организаций по Направлениям деятельности ВВУИО и согласования с программами МСЭ и региональными приоритетами;</w:t>
      </w:r>
    </w:p>
    <w:p w14:paraId="5B957DD1" w14:textId="77777777" w:rsidR="00D82C3A" w:rsidRPr="00D82C3A" w:rsidRDefault="00D82C3A" w:rsidP="00E802C1">
      <w:pPr>
        <w:pStyle w:val="enumlev1"/>
        <w:jc w:val="both"/>
        <w:rPr>
          <w:lang w:val="ru-RU"/>
        </w:rPr>
      </w:pPr>
      <w:r w:rsidRPr="00D82C3A">
        <w:rPr>
          <w:lang w:val="ru-RU"/>
        </w:rPr>
        <w:t>–</w:t>
      </w:r>
      <w:r w:rsidRPr="00D82C3A">
        <w:rPr>
          <w:lang w:val="ru-RU"/>
        </w:rPr>
        <w:tab/>
        <w:t>совершенствование измерения воздействия и отчетности с использованием аналитической базы данных ВВУИО, увязывающей Направления деятельности, ЦУР и задачи ГЦД;</w:t>
      </w:r>
    </w:p>
    <w:p w14:paraId="1108B1EA" w14:textId="15D61D85" w:rsidR="00D82C3A" w:rsidRPr="00D82C3A" w:rsidRDefault="00D82C3A" w:rsidP="00E802C1">
      <w:pPr>
        <w:pStyle w:val="enumlev1"/>
        <w:jc w:val="both"/>
        <w:rPr>
          <w:lang w:val="ru-RU"/>
        </w:rPr>
      </w:pPr>
      <w:r w:rsidRPr="00D82C3A">
        <w:rPr>
          <w:lang w:val="ru-RU"/>
        </w:rPr>
        <w:t>–</w:t>
      </w:r>
      <w:r w:rsidRPr="00D82C3A">
        <w:rPr>
          <w:lang w:val="ru-RU"/>
        </w:rPr>
        <w:tab/>
        <w:t xml:space="preserve">содействие последующей деятельности в связи с ВВУИО в области финансирования цифрового развития путем создания через Секретариат ГИО ООН (МСЭ) целевой группы для проведения оценки пробелов и проблем и представления конкретных </w:t>
      </w:r>
      <w:r w:rsidRPr="00D82C3A">
        <w:rPr>
          <w:lang w:val="ru-RU"/>
        </w:rPr>
        <w:lastRenderedPageBreak/>
        <w:t>рекомендаций по укреплению механизмов финансирования цифрового развития для</w:t>
      </w:r>
      <w:r w:rsidR="007E4124">
        <w:rPr>
          <w:lang w:val="en-US"/>
        </w:rPr>
        <w:t> </w:t>
      </w:r>
      <w:r w:rsidRPr="00D82C3A">
        <w:rPr>
          <w:lang w:val="ru-RU"/>
        </w:rPr>
        <w:t>развивающихся стран;</w:t>
      </w:r>
    </w:p>
    <w:p w14:paraId="159E2292" w14:textId="400B8FAF" w:rsidR="00D82C3A" w:rsidRPr="007E4124" w:rsidRDefault="00D82C3A" w:rsidP="00E802C1">
      <w:pPr>
        <w:pStyle w:val="enumlev1"/>
        <w:jc w:val="both"/>
        <w:rPr>
          <w:lang w:val="ru-RU"/>
        </w:rPr>
      </w:pPr>
      <w:r w:rsidRPr="00D82C3A">
        <w:rPr>
          <w:lang w:val="ru-RU"/>
        </w:rPr>
        <w:t>–</w:t>
      </w:r>
      <w:r w:rsidRPr="00D82C3A">
        <w:rPr>
          <w:lang w:val="ru-RU"/>
        </w:rPr>
        <w:tab/>
        <w:t>активизацию выполнения решений ВВУИО на региональном и национальном уровнях через отделения МСЭ и партнерские отношения с региональными комиссиями ООН, страновыми группами ООН и региональными организациями электросвязи</w:t>
      </w:r>
      <w:r w:rsidR="007E4124">
        <w:rPr>
          <w:lang w:val="ru-RU"/>
        </w:rPr>
        <w:t>;</w:t>
      </w:r>
    </w:p>
    <w:p w14:paraId="6EA0F63B" w14:textId="77777777" w:rsidR="00D82C3A" w:rsidRPr="00D82C3A" w:rsidRDefault="00D82C3A" w:rsidP="00E802C1">
      <w:pPr>
        <w:pStyle w:val="enumlev1"/>
        <w:jc w:val="both"/>
        <w:rPr>
          <w:lang w:val="ru-RU"/>
        </w:rPr>
      </w:pPr>
      <w:r w:rsidRPr="00D82C3A">
        <w:rPr>
          <w:lang w:val="ru-RU"/>
        </w:rPr>
        <w:t>–</w:t>
      </w:r>
      <w:r w:rsidRPr="00D82C3A">
        <w:rPr>
          <w:lang w:val="ru-RU"/>
        </w:rPr>
        <w:tab/>
        <w:t>поддержку участия многих заинтересованных сторон с помощью механизмов ВВУИО, включая Форум ВВУИО и конкурс "Награды ВВУИО";</w:t>
      </w:r>
    </w:p>
    <w:p w14:paraId="3013224E" w14:textId="49EEC959" w:rsidR="00D82C3A" w:rsidRPr="00D82C3A" w:rsidRDefault="00D82C3A" w:rsidP="00E802C1">
      <w:pPr>
        <w:pStyle w:val="enumlev1"/>
        <w:jc w:val="both"/>
        <w:rPr>
          <w:lang w:val="ru-RU"/>
        </w:rPr>
      </w:pPr>
      <w:r w:rsidRPr="00D82C3A">
        <w:rPr>
          <w:lang w:val="ru-RU"/>
        </w:rPr>
        <w:t>–</w:t>
      </w:r>
      <w:r w:rsidRPr="00D82C3A">
        <w:rPr>
          <w:lang w:val="ru-RU"/>
        </w:rPr>
        <w:tab/>
        <w:t>обеспечение координации деятельности системы ООН по цифровым вопросам при</w:t>
      </w:r>
      <w:r w:rsidR="007E4124">
        <w:rPr>
          <w:lang w:val="ru-RU"/>
        </w:rPr>
        <w:t> </w:t>
      </w:r>
      <w:r w:rsidRPr="00D82C3A">
        <w:rPr>
          <w:lang w:val="ru-RU"/>
        </w:rPr>
        <w:t>выполнении МСЭ функций постоянного секретариата ГИО ООН.</w:t>
      </w:r>
    </w:p>
    <w:p w14:paraId="2A395148" w14:textId="77777777" w:rsidR="00796BD3" w:rsidRPr="00BD7785" w:rsidRDefault="00C462C5" w:rsidP="00005EE1">
      <w:pPr>
        <w:spacing w:before="720"/>
        <w:jc w:val="center"/>
        <w:rPr>
          <w:lang w:val="ru-RU"/>
        </w:rPr>
      </w:pPr>
      <w:r w:rsidRPr="00BD7785">
        <w:rPr>
          <w:lang w:val="ru-RU"/>
        </w:rPr>
        <w:t>______________</w:t>
      </w:r>
    </w:p>
    <w:sectPr w:rsidR="00796BD3" w:rsidRPr="00BD7785" w:rsidSect="00796BD3">
      <w:footerReference w:type="default" r:id="rId117"/>
      <w:headerReference w:type="first" r:id="rId118"/>
      <w:footerReference w:type="first" r:id="rId11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6D2A" w14:textId="77777777" w:rsidR="005F6C90" w:rsidRDefault="005F6C90">
      <w:r>
        <w:separator/>
      </w:r>
    </w:p>
  </w:endnote>
  <w:endnote w:type="continuationSeparator" w:id="0">
    <w:p w14:paraId="13292CF2" w14:textId="77777777" w:rsidR="005F6C90" w:rsidRDefault="005F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501C007" w14:textId="77777777" w:rsidTr="00E31DCE">
      <w:trPr>
        <w:jc w:val="center"/>
      </w:trPr>
      <w:tc>
        <w:tcPr>
          <w:tcW w:w="1803" w:type="dxa"/>
          <w:vAlign w:val="center"/>
        </w:tcPr>
        <w:p w14:paraId="324153B0" w14:textId="500A425E" w:rsidR="00672F8A" w:rsidRDefault="00304FAC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2600455</w:t>
          </w:r>
        </w:p>
      </w:tc>
      <w:tc>
        <w:tcPr>
          <w:tcW w:w="8261" w:type="dxa"/>
        </w:tcPr>
        <w:p w14:paraId="0F345085" w14:textId="119AE891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D82C3A">
            <w:rPr>
              <w:bCs/>
              <w:lang w:val="ru-RU"/>
            </w:rPr>
            <w:t>58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F30B1D9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713BF73" w14:textId="77777777" w:rsidTr="00E31DCE">
      <w:trPr>
        <w:jc w:val="center"/>
      </w:trPr>
      <w:tc>
        <w:tcPr>
          <w:tcW w:w="1803" w:type="dxa"/>
          <w:vAlign w:val="center"/>
        </w:tcPr>
        <w:p w14:paraId="3D5E4A2A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654FF26A" w14:textId="730BCF5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D82C3A">
            <w:rPr>
              <w:bCs/>
              <w:lang w:val="ru-RU"/>
            </w:rPr>
            <w:t>58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BA46AAE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F7AB" w14:textId="77777777" w:rsidR="005F6C90" w:rsidRDefault="005F6C90">
      <w:r>
        <w:t>____________________</w:t>
      </w:r>
    </w:p>
  </w:footnote>
  <w:footnote w:type="continuationSeparator" w:id="0">
    <w:p w14:paraId="2A27590C" w14:textId="77777777" w:rsidR="005F6C90" w:rsidRDefault="005F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D318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B66C0FA" wp14:editId="0005DF10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04EC5"/>
    <w:multiLevelType w:val="hybridMultilevel"/>
    <w:tmpl w:val="229C0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43911">
    <w:abstractNumId w:val="0"/>
  </w:num>
  <w:num w:numId="2" w16cid:durableId="1250308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90"/>
    <w:rsid w:val="00005BE0"/>
    <w:rsid w:val="00005EE1"/>
    <w:rsid w:val="0002183E"/>
    <w:rsid w:val="0003592C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8360D"/>
    <w:rsid w:val="00291EB6"/>
    <w:rsid w:val="002C3F32"/>
    <w:rsid w:val="002D2F57"/>
    <w:rsid w:val="002D48C5"/>
    <w:rsid w:val="002F22D7"/>
    <w:rsid w:val="00304FAC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34AF9"/>
    <w:rsid w:val="005A64D5"/>
    <w:rsid w:val="005B3DEC"/>
    <w:rsid w:val="005F6C90"/>
    <w:rsid w:val="00601994"/>
    <w:rsid w:val="00660449"/>
    <w:rsid w:val="00672F8A"/>
    <w:rsid w:val="006E2D42"/>
    <w:rsid w:val="00703676"/>
    <w:rsid w:val="00707304"/>
    <w:rsid w:val="00732269"/>
    <w:rsid w:val="00744FF4"/>
    <w:rsid w:val="00762555"/>
    <w:rsid w:val="0077110E"/>
    <w:rsid w:val="00784980"/>
    <w:rsid w:val="00785ABD"/>
    <w:rsid w:val="00796BD3"/>
    <w:rsid w:val="007A2DD4"/>
    <w:rsid w:val="007D38B5"/>
    <w:rsid w:val="007E4124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96D1A"/>
    <w:rsid w:val="009A76A8"/>
    <w:rsid w:val="009B0BAE"/>
    <w:rsid w:val="009C1C89"/>
    <w:rsid w:val="009F3448"/>
    <w:rsid w:val="00A01CF9"/>
    <w:rsid w:val="00A01F4F"/>
    <w:rsid w:val="00A109AF"/>
    <w:rsid w:val="00A1139D"/>
    <w:rsid w:val="00A20B63"/>
    <w:rsid w:val="00A3481C"/>
    <w:rsid w:val="00A405F9"/>
    <w:rsid w:val="00A71773"/>
    <w:rsid w:val="00A71BE6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D7785"/>
    <w:rsid w:val="00BE00DD"/>
    <w:rsid w:val="00BE63E2"/>
    <w:rsid w:val="00C326F8"/>
    <w:rsid w:val="00C462C5"/>
    <w:rsid w:val="00CD2009"/>
    <w:rsid w:val="00CF629C"/>
    <w:rsid w:val="00D07A11"/>
    <w:rsid w:val="00D17718"/>
    <w:rsid w:val="00D631AA"/>
    <w:rsid w:val="00D77D51"/>
    <w:rsid w:val="00D82C3A"/>
    <w:rsid w:val="00D92EEA"/>
    <w:rsid w:val="00DA5D4E"/>
    <w:rsid w:val="00DA770A"/>
    <w:rsid w:val="00DD263A"/>
    <w:rsid w:val="00E05752"/>
    <w:rsid w:val="00E176BA"/>
    <w:rsid w:val="00E423EC"/>
    <w:rsid w:val="00E55121"/>
    <w:rsid w:val="00E802C1"/>
    <w:rsid w:val="00EB4FCB"/>
    <w:rsid w:val="00EC6BC5"/>
    <w:rsid w:val="00F06C3F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5E592F2"/>
  <w15:docId w15:val="{9D6AADAD-AF0F-4FD9-BEF4-0FD07AF0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qFormat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uiPriority w:val="99"/>
    <w:qFormat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qFormat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qFormat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qFormat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qFormat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qFormat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qFormat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qFormat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qFormat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qFormat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qFormat/>
    <w:rsid w:val="001E6719"/>
    <w:rPr>
      <w:b/>
    </w:rPr>
  </w:style>
  <w:style w:type="paragraph" w:customStyle="1" w:styleId="Chaptitle">
    <w:name w:val="Chap_title"/>
    <w:basedOn w:val="Arttitle"/>
    <w:next w:val="Normalaftertitle"/>
    <w:qFormat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tu.int/net/wsis/implementation/2014/forum/inc/doc/outcome/362828V2E.pdf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www.itu.int/md/S23-CL-C-0120/en" TargetMode="External"/><Relationship Id="rId42" Type="http://schemas.openxmlformats.org/officeDocument/2006/relationships/hyperlink" Target="https://www.itu.int/pub/T-RES-T.75-2022" TargetMode="External"/><Relationship Id="rId47" Type="http://schemas.openxmlformats.org/officeDocument/2006/relationships/hyperlink" Target="https://publicadministration.desa.un.org/wsis20" TargetMode="External"/><Relationship Id="rId63" Type="http://schemas.openxmlformats.org/officeDocument/2006/relationships/hyperlink" Target="http://www.wsis.org/forum" TargetMode="External"/><Relationship Id="rId68" Type="http://schemas.openxmlformats.org/officeDocument/2006/relationships/hyperlink" Target="https://www.itu.int/en/itu-wsis/Pages/Contribution.aspx" TargetMode="External"/><Relationship Id="rId84" Type="http://schemas.openxmlformats.org/officeDocument/2006/relationships/hyperlink" Target="https://eur03.safelinks.protection.outlook.com/?url=https%3A%2F%2Fwww.broadbandcommission.org%2Fadvocacy-targets%2F&amp;data=05%7C02%7CAnna.Polomska%40itu.int%7C0032d5f0e570464c862708de78707dfd%7C23e464d704e64b87913c24bd89219fd3%7C0%7C0%7C639080621702853466%7CUnknown%7CTWFpbGZsb3d8eyJFbXB0eU1hcGkiOnRydWUsIlYiOiIwLjAuMDAwMCIsIlAiOiJXaW4zMiIsIkFOIjoiTWFpbCIsIldUIjoyfQ%3D%3D%7C0%7C%7C%7C&amp;sdata=SSg78ZwFHpdZj%2Fh3SkCjGWrUFxFE45%2FxFPLwFhTM1BQ%3D&amp;reserved=0" TargetMode="External"/><Relationship Id="rId89" Type="http://schemas.openxmlformats.org/officeDocument/2006/relationships/hyperlink" Target="https://eur03.safelinks.protection.outlook.com/?url=https%3A%2F%2Fwww.broadbandcommission.org%2Fworking-groups%2Fdata-governance%2F&amp;data=05%7C02%7CAnna.Polomska%40itu.int%7C0032d5f0e570464c862708de78707dfd%7C23e464d704e64b87913c24bd89219fd3%7C0%7C0%7C639080621702912993%7CUnknown%7CTWFpbGZsb3d8eyJFbXB0eU1hcGkiOnRydWUsIlYiOiIwLjAuMDAwMCIsIlAiOiJXaW4zMiIsIkFOIjoiTWFpbCIsIldUIjoyfQ%3D%3D%7C0%7C%7C%7C&amp;sdata=xAUSnjOcg0Vv05xZ%2BUCcdR2Hv3iLA02s%2BbFvazAvdVQ%3D&amp;reserved=0" TargetMode="External"/><Relationship Id="rId112" Type="http://schemas.openxmlformats.org/officeDocument/2006/relationships/hyperlink" Target="http://itu.int/go/WSISUNevents" TargetMode="External"/><Relationship Id="rId16" Type="http://schemas.openxmlformats.org/officeDocument/2006/relationships/hyperlink" Target="https://undocs.org/E/RES/2025/18" TargetMode="External"/><Relationship Id="rId107" Type="http://schemas.openxmlformats.org/officeDocument/2006/relationships/hyperlink" Target="http://itu.int/go/WSISUNevents" TargetMode="External"/><Relationship Id="rId11" Type="http://schemas.openxmlformats.org/officeDocument/2006/relationships/hyperlink" Target="https://docs.un.org/A/RES/71/212" TargetMode="External"/><Relationship Id="rId32" Type="http://schemas.openxmlformats.org/officeDocument/2006/relationships/hyperlink" Target="https://www.un.org/sites/un2.un.org/files/sotf-pact_for_the_future_adopted.pdf" TargetMode="External"/><Relationship Id="rId37" Type="http://schemas.openxmlformats.org/officeDocument/2006/relationships/hyperlink" Target="https://www.itu.int/en/council/cwg-wsis/Documents/Resolution172-PP10.pdf" TargetMode="External"/><Relationship Id="rId53" Type="http://schemas.openxmlformats.org/officeDocument/2006/relationships/hyperlink" Target="https://www.itu.int/en/itu-wsis/Pages/default.aspx" TargetMode="External"/><Relationship Id="rId58" Type="http://schemas.openxmlformats.org/officeDocument/2006/relationships/hyperlink" Target="https://www.itu.int/net4/wsis/ungis/Content/upload/gdc/UNGIS-CompiledMatrixOfLinkages-WSIS-GDC.pdf" TargetMode="External"/><Relationship Id="rId74" Type="http://schemas.openxmlformats.org/officeDocument/2006/relationships/hyperlink" Target="https://www.itu.int/en/itu-wsis/Pages/Contribution.aspx" TargetMode="External"/><Relationship Id="rId79" Type="http://schemas.openxmlformats.org/officeDocument/2006/relationships/hyperlink" Target="https://www.itu.int/dms_pub/itu-s/md/25/cwgwsis43/c/S25-CWGWSIS43-C-0006!R1!MSW-E.docx" TargetMode="External"/><Relationship Id="rId102" Type="http://schemas.openxmlformats.org/officeDocument/2006/relationships/hyperlink" Target="http://itu.int/go/WSISUNevents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ur03.safelinks.protection.outlook.com/?url=https%3A%2F%2Fwww.equalsintech.org%2F&amp;data=05%7C02%7CAnna.Polomska%40itu.int%7C0032d5f0e570464c862708de78707dfd%7C23e464d704e64b87913c24bd89219fd3%7C0%7C0%7C639080621702949186%7CUnknown%7CTWFpbGZsb3d8eyJFbXB0eU1hcGkiOnRydWUsIlYiOiIwLjAuMDAwMCIsIlAiOiJXaW4zMiIsIkFOIjoiTWFpbCIsIldUIjoyfQ%3D%3D%7C0%7C%7C%7C&amp;sdata=euBgAZeaDvroDFr07ydHCTtI15CaqG4JbqdUoNLIx0o%3D&amp;reserved=0" TargetMode="External"/><Relationship Id="rId95" Type="http://schemas.openxmlformats.org/officeDocument/2006/relationships/hyperlink" Target="https://www.itu.int/en/ITU-D/Initiatives/GIGA/Pages/default.aspx" TargetMode="External"/><Relationship Id="rId22" Type="http://schemas.openxmlformats.org/officeDocument/2006/relationships/hyperlink" Target="https://www.itu.int/en/ITU-D/Documents/BAP/D22-WTDC25-C-0090%21%21PDF-r.pdf" TargetMode="External"/><Relationship Id="rId27" Type="http://schemas.openxmlformats.org/officeDocument/2006/relationships/hyperlink" Target="http://www.itu.int/en/ITU-D/Statistics/Documents/publications/wsisreview2014/WSIS2014_review.pdf" TargetMode="External"/><Relationship Id="rId43" Type="http://schemas.openxmlformats.org/officeDocument/2006/relationships/hyperlink" Target="https://www.itu.int/pub/R-RES-R.61" TargetMode="External"/><Relationship Id="rId48" Type="http://schemas.openxmlformats.org/officeDocument/2006/relationships/hyperlink" Target="https://www.itu.int/en/itu-wsis/Documents/WSIS20/ITUsEngagementsDuring-WSIS20HLReview.pdf" TargetMode="External"/><Relationship Id="rId64" Type="http://schemas.openxmlformats.org/officeDocument/2006/relationships/hyperlink" Target="http://www.wsis.org/stocktaking" TargetMode="External"/><Relationship Id="rId69" Type="http://schemas.openxmlformats.org/officeDocument/2006/relationships/hyperlink" Target="https://www.itu.int/en/council/cwg-wsis/Pages/default.aspx" TargetMode="External"/><Relationship Id="rId113" Type="http://schemas.openxmlformats.org/officeDocument/2006/relationships/hyperlink" Target="https://www.itu.int/net4/wsis/forum/2026/Home/Consultations" TargetMode="External"/><Relationship Id="rId118" Type="http://schemas.openxmlformats.org/officeDocument/2006/relationships/header" Target="header1.xml"/><Relationship Id="rId80" Type="http://schemas.openxmlformats.org/officeDocument/2006/relationships/hyperlink" Target="https://www.itu.int/en/council/planning/Pages/default.aspx" TargetMode="External"/><Relationship Id="rId85" Type="http://schemas.openxmlformats.org/officeDocument/2006/relationships/hyperlink" Target="https://eur03.safelinks.protection.outlook.com/?url=https%3A%2F%2Fwww.broadbandcommission.org%2Fadvocacy-targets%2F&amp;data=05%7C02%7CAnna.Polomska%40itu.int%7C0032d5f0e570464c862708de78707dfd%7C23e464d704e64b87913c24bd89219fd3%7C0%7C0%7C639080621702865518%7CUnknown%7CTWFpbGZsb3d8eyJFbXB0eU1hcGkiOnRydWUsIlYiOiIwLjAuMDAwMCIsIlAiOiJXaW4zMiIsIkFOIjoiTWFpbCIsIldUIjoyfQ%3D%3D%7C0%7C%7C%7C&amp;sdata=nU0uRMFc0p8cm4CAAMHF1WuopqlSL2AXXyHd4ILVHPs%3D&amp;reserved=0" TargetMode="External"/><Relationship Id="rId12" Type="http://schemas.openxmlformats.org/officeDocument/2006/relationships/hyperlink" Target="https://docs.un.org/A/RES/70/299" TargetMode="External"/><Relationship Id="rId17" Type="http://schemas.openxmlformats.org/officeDocument/2006/relationships/hyperlink" Target="https://www.itu.int/en/council/Documents/basic-texts-2023/RES-140-r.pdf" TargetMode="External"/><Relationship Id="rId33" Type="http://schemas.openxmlformats.org/officeDocument/2006/relationships/hyperlink" Target="https://unctad.org/system/files/official-document/ecn162025d4_en.pdf" TargetMode="External"/><Relationship Id="rId38" Type="http://schemas.openxmlformats.org/officeDocument/2006/relationships/hyperlink" Target="https://www.itu.int/en/council/Documents/basic-texts-2023/RES-071-R.pdf" TargetMode="External"/><Relationship Id="rId59" Type="http://schemas.openxmlformats.org/officeDocument/2006/relationships/hyperlink" Target="http://www.wsis.org/forum" TargetMode="External"/><Relationship Id="rId103" Type="http://schemas.openxmlformats.org/officeDocument/2006/relationships/hyperlink" Target="https://hlpf.un.org/" TargetMode="External"/><Relationship Id="rId108" Type="http://schemas.openxmlformats.org/officeDocument/2006/relationships/hyperlink" Target="http://itu.int/go/WSISUNevents" TargetMode="External"/><Relationship Id="rId54" Type="http://schemas.openxmlformats.org/officeDocument/2006/relationships/hyperlink" Target="https://undocs.org/E/RES/2025/18" TargetMode="External"/><Relationship Id="rId70" Type="http://schemas.openxmlformats.org/officeDocument/2006/relationships/hyperlink" Target="https://www.itu.int/en/itu-wsis/Pages/Roadmaps.aspx" TargetMode="External"/><Relationship Id="rId75" Type="http://schemas.openxmlformats.org/officeDocument/2006/relationships/hyperlink" Target="https://wtisd.itu.int/2025/about/" TargetMode="External"/><Relationship Id="rId91" Type="http://schemas.openxmlformats.org/officeDocument/2006/relationships/hyperlink" Target="https://eur03.safelinks.protection.outlook.com/?url=https%3A%2F%2Fgiga.global%2F&amp;data=05%7C02%7CAnna.Polomska%40itu.int%7C0032d5f0e570464c862708de78707dfd%7C23e464d704e64b87913c24bd89219fd3%7C0%7C0%7C639080621702963066%7CUnknown%7CTWFpbGZsb3d8eyJFbXB0eU1hcGkiOnRydWUsIlYiOiIwLjAuMDAwMCIsIlAiOiJXaW4zMiIsIkFOIjoiTWFpbCIsIldUIjoyfQ%3D%3D%7C0%7C%7C%7C&amp;sdata=5FE7Eq%2B%2FT%2BSmRXHSYRAS9RLZ%2BuBmRcmkMV2BcQbsVQM%3D&amp;reserved=0" TargetMode="External"/><Relationship Id="rId96" Type="http://schemas.openxmlformats.org/officeDocument/2006/relationships/hyperlink" Target="https://www.itu.int/en/ITU-D/Technology/Pages/dpi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itu.int/pub/publications.aspx?lang=en&amp;parent=T-RES-T.75-2022" TargetMode="External"/><Relationship Id="rId28" Type="http://schemas.openxmlformats.org/officeDocument/2006/relationships/hyperlink" Target="https://www.itu.int/en/itu-wsis/Documents/WSIS+10Report.pdf" TargetMode="External"/><Relationship Id="rId49" Type="http://schemas.openxmlformats.org/officeDocument/2006/relationships/hyperlink" Target="https://www.itu.int/net/wsis/review/2025.html" TargetMode="External"/><Relationship Id="rId114" Type="http://schemas.openxmlformats.org/officeDocument/2006/relationships/hyperlink" Target="http://www.wsis.org/stocktaking" TargetMode="External"/><Relationship Id="rId119" Type="http://schemas.openxmlformats.org/officeDocument/2006/relationships/footer" Target="footer2.xml"/><Relationship Id="rId44" Type="http://schemas.openxmlformats.org/officeDocument/2006/relationships/hyperlink" Target="https://www.itu.int/dms_pub/itu-s/md/22/cl/c/S22-CL-C-0059!!MSW-R.docx" TargetMode="External"/><Relationship Id="rId60" Type="http://schemas.openxmlformats.org/officeDocument/2006/relationships/hyperlink" Target="https://www.itu.int/net4/wsis/forum/2023/en" TargetMode="External"/><Relationship Id="rId65" Type="http://schemas.openxmlformats.org/officeDocument/2006/relationships/hyperlink" Target="https://docs.un.org/en/E/RES/2025/18" TargetMode="External"/><Relationship Id="rId81" Type="http://schemas.openxmlformats.org/officeDocument/2006/relationships/hyperlink" Target="https://www.itu.int/en/mediacentre/backgrounders/Pages/connect-2030-agenda.aspx" TargetMode="External"/><Relationship Id="rId86" Type="http://schemas.openxmlformats.org/officeDocument/2006/relationships/hyperlink" Target="https://eur03.safelinks.protection.outlook.com/?url=https%3A%2F%2Fbroadbandcommission.org%2Fstate-of-broadband-archive%2F&amp;data=05%7C02%7CAnna.Polomska%40itu.int%7C0032d5f0e570464c862708de78707dfd%7C23e464d704e64b87913c24bd89219fd3%7C0%7C0%7C639080621702884669%7CUnknown%7CTWFpbGZsb3d8eyJFbXB0eU1hcGkiOnRydWUsIlYiOiIwLjAuMDAwMCIsIlAiOiJXaW4zMiIsIkFOIjoiTWFpbCIsIldUIjoyfQ%3D%3D%7C0%7C%7C%7C&amp;sdata=WoVBt4NMPpgDZzMOb4Y4979oKcNxX1tTDA60%2B6vusRU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un.org/a/res/70/1" TargetMode="External"/><Relationship Id="rId13" Type="http://schemas.openxmlformats.org/officeDocument/2006/relationships/hyperlink" Target="https://docs.un.org/A/RES/70/684" TargetMode="External"/><Relationship Id="rId18" Type="http://schemas.openxmlformats.org/officeDocument/2006/relationships/hyperlink" Target="https://www.itu.int/en/council/cwg-wsis/Documents/Resolution172-PP10.pdf" TargetMode="External"/><Relationship Id="rId39" Type="http://schemas.openxmlformats.org/officeDocument/2006/relationships/hyperlink" Target="https://www.itu.int/md/S24-CL-C-0141/en" TargetMode="External"/><Relationship Id="rId109" Type="http://schemas.openxmlformats.org/officeDocument/2006/relationships/hyperlink" Target="http://itu.int/go/WSISUNevents" TargetMode="External"/><Relationship Id="rId34" Type="http://schemas.openxmlformats.org/officeDocument/2006/relationships/hyperlink" Target="http://www.wsis.org/forum" TargetMode="External"/><Relationship Id="rId50" Type="http://schemas.openxmlformats.org/officeDocument/2006/relationships/hyperlink" Target="https://www.itu.int/net4/wsis/forum/2025/Home/About" TargetMode="External"/><Relationship Id="rId55" Type="http://schemas.openxmlformats.org/officeDocument/2006/relationships/hyperlink" Target="http://www.ungis.org/" TargetMode="External"/><Relationship Id="rId76" Type="http://schemas.openxmlformats.org/officeDocument/2006/relationships/hyperlink" Target="https://www.itu.int/en/history/Pages/WTISDEvents.aspx?event=13.62" TargetMode="External"/><Relationship Id="rId97" Type="http://schemas.openxmlformats.org/officeDocument/2006/relationships/hyperlink" Target="https://www.itu.int/initiatives/digital-unga2025/" TargetMode="External"/><Relationship Id="rId104" Type="http://schemas.openxmlformats.org/officeDocument/2006/relationships/hyperlink" Target="http://itu.int/go/WSISUNevents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www.itu.int/en/council/cwg-wsis/Pages/default.aspx" TargetMode="External"/><Relationship Id="rId71" Type="http://schemas.openxmlformats.org/officeDocument/2006/relationships/hyperlink" Target="https://www.itu.int/net4/wsis/forum/2024/Home/About" TargetMode="External"/><Relationship Id="rId92" Type="http://schemas.openxmlformats.org/officeDocument/2006/relationships/hyperlink" Target="https://eur03.safelinks.protection.outlook.com/?url=https%3A%2F%2Fwww.broadbandcommission.org%2Fworking-groups%2Fdata-governance%2F&amp;data=05%7C02%7CAnna.Polomska%40itu.int%7C0032d5f0e570464c862708de78707dfd%7C23e464d704e64b87913c24bd89219fd3%7C0%7C0%7C639080621702975855%7CUnknown%7CTWFpbGZsb3d8eyJFbXB0eU1hcGkiOnRydWUsIlYiOiIwLjAuMDAwMCIsIlAiOiJXaW4zMiIsIkFOIjoiTWFpbCIsIldUIjoyfQ%3D%3D%7C0%7C%7C%7C&amp;sdata=2%2BJfuSmqwj2w%2Bpq7aos20MsJ9KQ%2B7r2y2PUBRQsZBC8%3D&amp;reserved=0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itu.int/md/S22-CWGWSIS38-C-0014/en" TargetMode="External"/><Relationship Id="rId24" Type="http://schemas.openxmlformats.org/officeDocument/2006/relationships/hyperlink" Target="https://www.itu.int/pub/R-RES-R.61-3-2023" TargetMode="External"/><Relationship Id="rId40" Type="http://schemas.openxmlformats.org/officeDocument/2006/relationships/hyperlink" Target="https://www.itu.int/md/S23-CL-C-0120/en" TargetMode="External"/><Relationship Id="rId45" Type="http://schemas.openxmlformats.org/officeDocument/2006/relationships/hyperlink" Target="https://www.itu.int/en/itu-wsis/Pages/CWG-WSIS%26SDG_Call_for_Inputs_2025.aspx" TargetMode="External"/><Relationship Id="rId66" Type="http://schemas.openxmlformats.org/officeDocument/2006/relationships/hyperlink" Target="http://www.wsis.org/prizes" TargetMode="External"/><Relationship Id="rId87" Type="http://schemas.openxmlformats.org/officeDocument/2006/relationships/hyperlink" Target="https://eur03.safelinks.protection.outlook.com/?url=https%3A%2F%2Fwww.broadbandcommission.org%2Fadvocacy-targets%2F&amp;data=05%7C02%7CAnna.Polomska%40itu.int%7C0032d5f0e570464c862708de78707dfd%7C23e464d704e64b87913c24bd89219fd3%7C0%7C0%7C639080621702925339%7CUnknown%7CTWFpbGZsb3d8eyJFbXB0eU1hcGkiOnRydWUsIlYiOiIwLjAuMDAwMCIsIlAiOiJXaW4zMiIsIkFOIjoiTWFpbCIsIldUIjoyfQ%3D%3D%7C0%7C%7C%7C&amp;sdata=ogTFD2MajdYV6BeGGb4D468yNDUBzhzCJCqzyOTpzKM%3D&amp;reserved=0" TargetMode="External"/><Relationship Id="rId110" Type="http://schemas.openxmlformats.org/officeDocument/2006/relationships/hyperlink" Target="http://itu.int/go/WSISUNevents" TargetMode="External"/><Relationship Id="rId115" Type="http://schemas.openxmlformats.org/officeDocument/2006/relationships/hyperlink" Target="http://www.wsis.org/prizes" TargetMode="External"/><Relationship Id="rId61" Type="http://schemas.openxmlformats.org/officeDocument/2006/relationships/hyperlink" Target="https://www.itu.int/net4/wsis/forum/2024/en" TargetMode="External"/><Relationship Id="rId82" Type="http://schemas.openxmlformats.org/officeDocument/2006/relationships/hyperlink" Target="https://www.itu.int/en/itu-wsis/Documents/WSIS20/WSIS+20Report.pdf" TargetMode="External"/><Relationship Id="rId19" Type="http://schemas.openxmlformats.org/officeDocument/2006/relationships/hyperlink" Target="https://www.itu.int/en/council/Documents/basic-texts-2023/RES-071-r.pdf" TargetMode="External"/><Relationship Id="rId14" Type="http://schemas.openxmlformats.org/officeDocument/2006/relationships/hyperlink" Target="https://docs.un.org/A/RES/73/218" TargetMode="External"/><Relationship Id="rId30" Type="http://schemas.openxmlformats.org/officeDocument/2006/relationships/hyperlink" Target="https://www.itu.int/dms_pub/itu-s/md/22/cl/c/S22-CL-C-0059!!MSW-E.docx" TargetMode="External"/><Relationship Id="rId35" Type="http://schemas.openxmlformats.org/officeDocument/2006/relationships/hyperlink" Target="https://docs.un.org/A/RES/80/173" TargetMode="External"/><Relationship Id="rId56" Type="http://schemas.openxmlformats.org/officeDocument/2006/relationships/hyperlink" Target="https://www.itu.int/net4/wsis/ungis/Articles/View/2239" TargetMode="External"/><Relationship Id="rId77" Type="http://schemas.openxmlformats.org/officeDocument/2006/relationships/hyperlink" Target="https://www.itu.int/hub/2024/04/wtisd-2024-digital-innovation-for-sustainable-development/" TargetMode="External"/><Relationship Id="rId100" Type="http://schemas.openxmlformats.org/officeDocument/2006/relationships/hyperlink" Target="https://www.itu.int/initiatives/digital-unga2025/wsis20-edition/" TargetMode="External"/><Relationship Id="rId105" Type="http://schemas.openxmlformats.org/officeDocument/2006/relationships/hyperlink" Target="http://itu.int/go/WSISUNevents" TargetMode="External"/><Relationship Id="rId8" Type="http://schemas.openxmlformats.org/officeDocument/2006/relationships/hyperlink" Target="https://docs.un.org/a/res/70/125" TargetMode="External"/><Relationship Id="rId51" Type="http://schemas.openxmlformats.org/officeDocument/2006/relationships/hyperlink" Target="https://www.itu.int/en/itu-wsis/Documents/WSIS20/WSIS+20Report.pdf" TargetMode="External"/><Relationship Id="rId72" Type="http://schemas.openxmlformats.org/officeDocument/2006/relationships/hyperlink" Target="https://www.itu.int/en/ITU-D/Statistics/Pages/intlcoop/partnership/default.aspx" TargetMode="External"/><Relationship Id="rId93" Type="http://schemas.openxmlformats.org/officeDocument/2006/relationships/hyperlink" Target="https://www.itu.int/partner2connect/" TargetMode="External"/><Relationship Id="rId98" Type="http://schemas.openxmlformats.org/officeDocument/2006/relationships/hyperlink" Target="https://www.itu.int/initiatives/sdgdigital/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www.itu.int/net/wsis/implementation/2014/forum/inc/doc/outcome/362828V2E.pdf" TargetMode="External"/><Relationship Id="rId46" Type="http://schemas.openxmlformats.org/officeDocument/2006/relationships/hyperlink" Target="https://www.itu.int/net/wsis/review/reports/twenty-year.html" TargetMode="External"/><Relationship Id="rId67" Type="http://schemas.openxmlformats.org/officeDocument/2006/relationships/hyperlink" Target="https://www.itu.int/en/itu-wsis/Pages/WSIS-Fund-in-Trust.aspx" TargetMode="External"/><Relationship Id="rId116" Type="http://schemas.openxmlformats.org/officeDocument/2006/relationships/hyperlink" Target="http://itu.int/go/WSISFundinTrust" TargetMode="External"/><Relationship Id="rId20" Type="http://schemas.openxmlformats.org/officeDocument/2006/relationships/hyperlink" Target="https://www.itu.int/md/S24-CL-C-0141/en" TargetMode="External"/><Relationship Id="rId41" Type="http://schemas.openxmlformats.org/officeDocument/2006/relationships/hyperlink" Target="https://www.itu.int/en/ITU-D/Documents/BAP/D22-WTDC25-C-0090%21%21PDF-r.pdf" TargetMode="External"/><Relationship Id="rId62" Type="http://schemas.openxmlformats.org/officeDocument/2006/relationships/hyperlink" Target="https://www.itu.int/net4/wsis/forum/2025/en" TargetMode="External"/><Relationship Id="rId83" Type="http://schemas.openxmlformats.org/officeDocument/2006/relationships/hyperlink" Target="https://eur03.safelinks.protection.outlook.com/?url=https%3A%2F%2Fwww.broadbandcommission.org%2F&amp;data=05%7C02%7CAnna.Polomska%40itu.int%7C0032d5f0e570464c862708de78707dfd%7C23e464d704e64b87913c24bd89219fd3%7C0%7C0%7C639080621702833713%7CUnknown%7CTWFpbGZsb3d8eyJFbXB0eU1hcGkiOnRydWUsIlYiOiIwLjAuMDAwMCIsIlAiOiJXaW4zMiIsIkFOIjoiTWFpbCIsIldUIjoyfQ%3D%3D%7C0%7C%7C%7C&amp;sdata=fWRkMvQl%2FJUcvoV%2FY2xa1PjVt8kv6ffkwNBf5r1FMAI%3D&amp;reserved=0" TargetMode="External"/><Relationship Id="rId88" Type="http://schemas.openxmlformats.org/officeDocument/2006/relationships/hyperlink" Target="https://eur03.safelinks.protection.outlook.com/?url=https%3A%2F%2Fbroadbandcommission.org%2Fworking-groups%2F&amp;data=05%7C02%7CAnna.Polomska%40itu.int%7C0032d5f0e570464c862708de78707dfd%7C23e464d704e64b87913c24bd89219fd3%7C0%7C0%7C639080621702899576%7CUnknown%7CTWFpbGZsb3d8eyJFbXB0eU1hcGkiOnRydWUsIlYiOiIwLjAuMDAwMCIsIlAiOiJXaW4zMiIsIkFOIjoiTWFpbCIsIldUIjoyfQ%3D%3D%7C0%7C%7C%7C&amp;sdata=4cZty%2FXAuTE6v7TqPwJ%2FGYVORQOtk2tSgGrX3824Kdo%3D&amp;reserved=0" TargetMode="External"/><Relationship Id="rId111" Type="http://schemas.openxmlformats.org/officeDocument/2006/relationships/hyperlink" Target="http://itu.int/go/WSISUNevents" TargetMode="External"/><Relationship Id="rId15" Type="http://schemas.openxmlformats.org/officeDocument/2006/relationships/hyperlink" Target="https://docs.un.org/A/RES/80/173" TargetMode="External"/><Relationship Id="rId36" Type="http://schemas.openxmlformats.org/officeDocument/2006/relationships/hyperlink" Target="https://www.itu.int/en/council/Documents/basic-texts-2023/RES-140-R.pdf" TargetMode="External"/><Relationship Id="rId57" Type="http://schemas.openxmlformats.org/officeDocument/2006/relationships/hyperlink" Target="https://unctad.org/system/files/information-document/gdc_implementation_map_en.pdf" TargetMode="External"/><Relationship Id="rId106" Type="http://schemas.openxmlformats.org/officeDocument/2006/relationships/hyperlink" Target="http://itu.int/go/WSISUNevents" TargetMode="External"/><Relationship Id="rId10" Type="http://schemas.openxmlformats.org/officeDocument/2006/relationships/hyperlink" Target="https://docs.un.org/a/res/77/150" TargetMode="External"/><Relationship Id="rId31" Type="http://schemas.openxmlformats.org/officeDocument/2006/relationships/hyperlink" Target="https://www.itu.int/en/itu-wsis/Documents/WSIS20/WSIS+20Report.pdf" TargetMode="External"/><Relationship Id="rId52" Type="http://schemas.openxmlformats.org/officeDocument/2006/relationships/hyperlink" Target="https://www.itu.int/md/S26-CWGWSIS44-C-0005/en" TargetMode="External"/><Relationship Id="rId73" Type="http://schemas.openxmlformats.org/officeDocument/2006/relationships/hyperlink" Target="https://datahub.itu.int/" TargetMode="External"/><Relationship Id="rId78" Type="http://schemas.openxmlformats.org/officeDocument/2006/relationships/hyperlink" Target="https://wtisd.itu.int/2025/about/" TargetMode="External"/><Relationship Id="rId94" Type="http://schemas.openxmlformats.org/officeDocument/2006/relationships/hyperlink" Target="https://www.itu.int/partner2connect/" TargetMode="External"/><Relationship Id="rId99" Type="http://schemas.openxmlformats.org/officeDocument/2006/relationships/hyperlink" Target="https://www.itu.int/initiatives/sdgdigital2024/" TargetMode="External"/><Relationship Id="rId101" Type="http://schemas.openxmlformats.org/officeDocument/2006/relationships/hyperlink" Target="https://www.itu.int/initiatives/sdgdigital2024/award/abou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7</Pages>
  <Words>2847</Words>
  <Characters>30413</Characters>
  <Application>Microsoft Office Word</Application>
  <DocSecurity>0</DocSecurity>
  <Lines>482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33170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and comprehensive report on the ITU activities for implementation of the WSIS outcomes and the 2030 Sustainable Development Agenda together with proposals for further activities</dc:title>
  <dc:subject>ITU Council 2026</dc:subject>
  <cp:keywords>C26; C2026; Council 2026; PP26</cp:keywords>
  <dc:description/>
  <cp:lastPrinted>2006-03-28T16:12:00Z</cp:lastPrinted>
  <dcterms:created xsi:type="dcterms:W3CDTF">2026-04-15T16:00:00Z</dcterms:created>
  <dcterms:modified xsi:type="dcterms:W3CDTF">2026-04-15T16:01:00Z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