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62587E" w14:paraId="2B41784C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326AFBE" w14:textId="79CFBC60" w:rsidR="00FE57F6" w:rsidRPr="0062587E" w:rsidRDefault="00CC1FAF" w:rsidP="00C4421B">
            <w:pPr>
              <w:tabs>
                <w:tab w:val="left" w:pos="851"/>
              </w:tabs>
              <w:spacing w:before="0" w:line="240" w:lineRule="atLeast"/>
              <w:rPr>
                <w:b/>
                <w:noProof/>
                <w:lang w:val="es-ES"/>
              </w:rPr>
            </w:pPr>
            <w:bookmarkStart w:id="0" w:name="_Hlk133421839"/>
            <w:r w:rsidRPr="0062587E">
              <w:rPr>
                <w:b/>
                <w:noProof/>
                <w:lang w:val="es-ES"/>
              </w:rPr>
              <w:t>Punto del o</w:t>
            </w:r>
            <w:r w:rsidR="00BB6FD8" w:rsidRPr="0062587E">
              <w:rPr>
                <w:b/>
                <w:noProof/>
                <w:lang w:val="es-ES"/>
              </w:rPr>
              <w:t>rden del día</w:t>
            </w:r>
            <w:r w:rsidR="00FE57F6" w:rsidRPr="0062587E">
              <w:rPr>
                <w:b/>
                <w:noProof/>
                <w:lang w:val="es-ES"/>
              </w:rPr>
              <w:t xml:space="preserve">: </w:t>
            </w:r>
            <w:r w:rsidR="002901FF" w:rsidRPr="0062587E">
              <w:rPr>
                <w:b/>
                <w:noProof/>
                <w:lang w:val="es-ES"/>
              </w:rPr>
              <w:t>ADM 1</w:t>
            </w:r>
          </w:p>
        </w:tc>
        <w:tc>
          <w:tcPr>
            <w:tcW w:w="5245" w:type="dxa"/>
          </w:tcPr>
          <w:p w14:paraId="2E31100C" w14:textId="5A258ABC" w:rsidR="00FE57F6" w:rsidRPr="0062587E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noProof/>
                <w:lang w:val="es-ES"/>
              </w:rPr>
            </w:pPr>
            <w:r w:rsidRPr="0062587E">
              <w:rPr>
                <w:b/>
                <w:noProof/>
                <w:lang w:val="es-ES"/>
              </w:rPr>
              <w:t>Document</w:t>
            </w:r>
            <w:r w:rsidR="00F24B71" w:rsidRPr="0062587E">
              <w:rPr>
                <w:b/>
                <w:noProof/>
                <w:lang w:val="es-ES"/>
              </w:rPr>
              <w:t>o</w:t>
            </w:r>
            <w:r w:rsidRPr="0062587E">
              <w:rPr>
                <w:b/>
                <w:noProof/>
                <w:lang w:val="es-ES"/>
              </w:rPr>
              <w:t xml:space="preserve"> C2</w:t>
            </w:r>
            <w:r w:rsidR="00F85E5C" w:rsidRPr="0062587E">
              <w:rPr>
                <w:b/>
                <w:noProof/>
                <w:lang w:val="es-ES"/>
              </w:rPr>
              <w:t>6</w:t>
            </w:r>
            <w:r w:rsidRPr="0062587E">
              <w:rPr>
                <w:b/>
                <w:noProof/>
                <w:lang w:val="es-ES"/>
              </w:rPr>
              <w:t>/</w:t>
            </w:r>
            <w:r w:rsidR="002901FF" w:rsidRPr="0062587E">
              <w:rPr>
                <w:b/>
                <w:noProof/>
                <w:lang w:val="es-ES"/>
              </w:rPr>
              <w:t>56</w:t>
            </w:r>
            <w:r w:rsidRPr="0062587E">
              <w:rPr>
                <w:b/>
                <w:noProof/>
                <w:lang w:val="es-ES"/>
              </w:rPr>
              <w:t>-</w:t>
            </w:r>
            <w:r w:rsidR="00F24B71" w:rsidRPr="0062587E">
              <w:rPr>
                <w:b/>
                <w:noProof/>
                <w:lang w:val="es-ES"/>
              </w:rPr>
              <w:t>S</w:t>
            </w:r>
          </w:p>
        </w:tc>
      </w:tr>
      <w:tr w:rsidR="00FE57F6" w:rsidRPr="0062587E" w14:paraId="7F2E2845" w14:textId="77777777" w:rsidTr="00C4421B">
        <w:trPr>
          <w:cantSplit/>
        </w:trPr>
        <w:tc>
          <w:tcPr>
            <w:tcW w:w="3969" w:type="dxa"/>
            <w:vMerge/>
          </w:tcPr>
          <w:p w14:paraId="09B0D095" w14:textId="77777777" w:rsidR="00FE57F6" w:rsidRPr="0062587E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noProof/>
                <w:lang w:val="es-ES"/>
              </w:rPr>
            </w:pPr>
          </w:p>
        </w:tc>
        <w:tc>
          <w:tcPr>
            <w:tcW w:w="5245" w:type="dxa"/>
          </w:tcPr>
          <w:p w14:paraId="5F3E96DB" w14:textId="1F4EFB99" w:rsidR="00FE57F6" w:rsidRPr="0062587E" w:rsidRDefault="002901FF" w:rsidP="00C4421B">
            <w:pPr>
              <w:tabs>
                <w:tab w:val="left" w:pos="851"/>
              </w:tabs>
              <w:spacing w:before="0"/>
              <w:jc w:val="right"/>
              <w:rPr>
                <w:b/>
                <w:noProof/>
                <w:lang w:val="es-ES"/>
              </w:rPr>
            </w:pPr>
            <w:r w:rsidRPr="0062587E">
              <w:rPr>
                <w:b/>
                <w:noProof/>
                <w:lang w:val="es-ES"/>
              </w:rPr>
              <w:t>27 de marzo de 2026</w:t>
            </w:r>
          </w:p>
        </w:tc>
      </w:tr>
      <w:tr w:rsidR="00FE57F6" w:rsidRPr="0062587E" w14:paraId="1807E76D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28CBE1AB" w14:textId="77777777" w:rsidR="00FE57F6" w:rsidRPr="0062587E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noProof/>
                <w:lang w:val="es-ES"/>
              </w:rPr>
            </w:pPr>
          </w:p>
        </w:tc>
        <w:tc>
          <w:tcPr>
            <w:tcW w:w="5245" w:type="dxa"/>
          </w:tcPr>
          <w:p w14:paraId="309D27AD" w14:textId="77777777" w:rsidR="00FE57F6" w:rsidRPr="0062587E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noProof/>
                <w:lang w:val="es-ES"/>
              </w:rPr>
            </w:pPr>
            <w:r w:rsidRPr="0062587E">
              <w:rPr>
                <w:rFonts w:cstheme="minorHAnsi"/>
                <w:b/>
                <w:bCs/>
                <w:noProof/>
                <w:lang w:val="es-ES"/>
              </w:rPr>
              <w:t>Original: inglés</w:t>
            </w:r>
          </w:p>
        </w:tc>
      </w:tr>
      <w:tr w:rsidR="00FE57F6" w:rsidRPr="0062587E" w14:paraId="335F8843" w14:textId="77777777" w:rsidTr="00C4421B">
        <w:trPr>
          <w:cantSplit/>
          <w:trHeight w:val="23"/>
        </w:trPr>
        <w:tc>
          <w:tcPr>
            <w:tcW w:w="3969" w:type="dxa"/>
          </w:tcPr>
          <w:p w14:paraId="0245F055" w14:textId="77777777" w:rsidR="00FE57F6" w:rsidRPr="0062587E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noProof/>
                <w:lang w:val="es-ES"/>
              </w:rPr>
            </w:pPr>
          </w:p>
        </w:tc>
        <w:tc>
          <w:tcPr>
            <w:tcW w:w="5245" w:type="dxa"/>
          </w:tcPr>
          <w:p w14:paraId="5021950A" w14:textId="77777777" w:rsidR="00FE57F6" w:rsidRPr="0062587E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noProof/>
                <w:lang w:val="es-ES"/>
              </w:rPr>
            </w:pPr>
          </w:p>
        </w:tc>
      </w:tr>
      <w:tr w:rsidR="00FE57F6" w:rsidRPr="00BC4A45" w14:paraId="2C8C9F0F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2FB44D5" w14:textId="77777777" w:rsidR="00FE57F6" w:rsidRPr="0062587E" w:rsidRDefault="00157AC4" w:rsidP="00C4421B">
            <w:pPr>
              <w:pStyle w:val="Source"/>
              <w:jc w:val="left"/>
              <w:rPr>
                <w:noProof/>
                <w:sz w:val="34"/>
                <w:szCs w:val="34"/>
                <w:lang w:val="es-ES"/>
              </w:rPr>
            </w:pPr>
            <w:r w:rsidRPr="0062587E">
              <w:rPr>
                <w:rFonts w:cstheme="minorHAnsi"/>
                <w:noProof/>
                <w:sz w:val="34"/>
                <w:szCs w:val="34"/>
                <w:lang w:val="es-ES"/>
              </w:rPr>
              <w:t>Informe de la Secretaria General</w:t>
            </w:r>
          </w:p>
        </w:tc>
      </w:tr>
      <w:tr w:rsidR="00FE57F6" w:rsidRPr="00BC4A45" w14:paraId="174CF4A1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9BEC9B5" w14:textId="199FCCA3" w:rsidR="00FE57F6" w:rsidRPr="0062587E" w:rsidRDefault="00A62A99" w:rsidP="00C4421B">
            <w:pPr>
              <w:pStyle w:val="Subtitle"/>
              <w:framePr w:hSpace="0" w:wrap="auto" w:hAnchor="text" w:xAlign="left" w:yAlign="inline"/>
              <w:rPr>
                <w:noProof/>
                <w:lang w:val="es-ES"/>
              </w:rPr>
            </w:pPr>
            <w:r w:rsidRPr="0062587E">
              <w:rPr>
                <w:noProof/>
                <w:lang w:val="es-ES"/>
              </w:rPr>
              <w:t>NUEVAS SOLICITUDES DE EXONERACIÓN DEL PAGO DE LA CUOTA DE ORGANIZACIONES INTERNACIONALES</w:t>
            </w:r>
          </w:p>
        </w:tc>
      </w:tr>
      <w:tr w:rsidR="00FE57F6" w:rsidRPr="00BC4A45" w14:paraId="5B7A3D67" w14:textId="77777777" w:rsidTr="00C4421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E519016" w14:textId="77777777" w:rsidR="00FE57F6" w:rsidRPr="0062587E" w:rsidRDefault="00F24B71" w:rsidP="00C4421B">
            <w:pPr>
              <w:spacing w:before="160"/>
              <w:rPr>
                <w:b/>
                <w:bCs/>
                <w:noProof/>
                <w:sz w:val="26"/>
                <w:szCs w:val="26"/>
                <w:lang w:val="es-ES"/>
              </w:rPr>
            </w:pPr>
            <w:r w:rsidRPr="0062587E">
              <w:rPr>
                <w:b/>
                <w:bCs/>
                <w:noProof/>
                <w:sz w:val="26"/>
                <w:szCs w:val="26"/>
                <w:lang w:val="es-ES"/>
              </w:rPr>
              <w:t>Finalidad</w:t>
            </w:r>
          </w:p>
          <w:p w14:paraId="1A11A6C3" w14:textId="4B3FF263" w:rsidR="00FE57F6" w:rsidRPr="0062587E" w:rsidRDefault="002901FF" w:rsidP="00192CCC">
            <w:pPr>
              <w:jc w:val="both"/>
              <w:rPr>
                <w:noProof/>
                <w:lang w:val="es-ES"/>
              </w:rPr>
            </w:pPr>
            <w:r w:rsidRPr="0062587E">
              <w:rPr>
                <w:noProof/>
                <w:lang w:val="es-ES"/>
              </w:rPr>
              <w:t>Cada año, la UIT recibe solicitudes de organizaciones de carácter internacional a efectos de la exoneración del pago de la cuota de afiliación y de otras contribuciones financieras a la Unión en régimen de reciprocidad. La Secretaría examina estas nuevas solicitudes de acuerdo con los criterios establecidos por el Consejo.</w:t>
            </w:r>
          </w:p>
          <w:p w14:paraId="3237499A" w14:textId="77777777" w:rsidR="00FE57F6" w:rsidRPr="0062587E" w:rsidRDefault="00F24B71" w:rsidP="00C4421B">
            <w:pPr>
              <w:spacing w:before="160"/>
              <w:rPr>
                <w:b/>
                <w:bCs/>
                <w:noProof/>
                <w:sz w:val="26"/>
                <w:szCs w:val="26"/>
                <w:lang w:val="es-ES"/>
              </w:rPr>
            </w:pPr>
            <w:r w:rsidRPr="0062587E">
              <w:rPr>
                <w:b/>
                <w:bCs/>
                <w:noProof/>
                <w:sz w:val="26"/>
                <w:szCs w:val="26"/>
                <w:lang w:val="es-ES"/>
              </w:rPr>
              <w:t xml:space="preserve">Acción solicitada </w:t>
            </w:r>
            <w:r w:rsidR="00677A97" w:rsidRPr="0062587E">
              <w:rPr>
                <w:b/>
                <w:bCs/>
                <w:noProof/>
                <w:sz w:val="26"/>
                <w:szCs w:val="26"/>
                <w:lang w:val="es-ES"/>
              </w:rPr>
              <w:t>al</w:t>
            </w:r>
            <w:r w:rsidRPr="0062587E">
              <w:rPr>
                <w:b/>
                <w:bCs/>
                <w:noProof/>
                <w:sz w:val="26"/>
                <w:szCs w:val="26"/>
                <w:lang w:val="es-ES"/>
              </w:rPr>
              <w:t xml:space="preserve"> Consejo</w:t>
            </w:r>
          </w:p>
          <w:p w14:paraId="0E0F6CB8" w14:textId="48463827" w:rsidR="00F92BED" w:rsidRPr="0062587E" w:rsidRDefault="002901FF" w:rsidP="00192CCC">
            <w:pPr>
              <w:spacing w:before="160"/>
              <w:jc w:val="both"/>
              <w:rPr>
                <w:noProof/>
                <w:szCs w:val="24"/>
                <w:lang w:val="es-ES"/>
              </w:rPr>
            </w:pPr>
            <w:r w:rsidRPr="0062587E">
              <w:rPr>
                <w:noProof/>
                <w:szCs w:val="24"/>
                <w:lang w:val="es-ES"/>
              </w:rPr>
              <w:t xml:space="preserve">Se invita al Consejo a </w:t>
            </w:r>
            <w:r w:rsidRPr="0062587E">
              <w:rPr>
                <w:b/>
                <w:bCs/>
                <w:noProof/>
                <w:szCs w:val="24"/>
                <w:lang w:val="es-ES"/>
              </w:rPr>
              <w:t>examinar</w:t>
            </w:r>
            <w:r w:rsidRPr="0062587E">
              <w:rPr>
                <w:noProof/>
                <w:szCs w:val="24"/>
                <w:lang w:val="es-ES"/>
              </w:rPr>
              <w:t xml:space="preserve"> las recomendaciones de la Secretaria General en relación con las nuevas solicitudes de exoneración.</w:t>
            </w:r>
          </w:p>
          <w:p w14:paraId="00CA852C" w14:textId="77777777" w:rsidR="00F92BED" w:rsidRPr="0062587E" w:rsidRDefault="00F92BED" w:rsidP="00C4421B">
            <w:pPr>
              <w:spacing w:before="160"/>
              <w:rPr>
                <w:b/>
                <w:bCs/>
                <w:noProof/>
                <w:sz w:val="26"/>
                <w:szCs w:val="26"/>
                <w:lang w:val="es-ES"/>
              </w:rPr>
            </w:pPr>
            <w:r w:rsidRPr="0062587E">
              <w:rPr>
                <w:b/>
                <w:bCs/>
                <w:noProof/>
                <w:sz w:val="26"/>
                <w:szCs w:val="26"/>
                <w:lang w:val="es-ES"/>
              </w:rPr>
              <w:t>Vínculo(s) pertinente(s) con el Plan Estratégico</w:t>
            </w:r>
          </w:p>
          <w:p w14:paraId="7463908B" w14:textId="21AD90D1" w:rsidR="00F92BED" w:rsidRPr="0062587E" w:rsidRDefault="002901FF" w:rsidP="00C4421B">
            <w:pPr>
              <w:rPr>
                <w:noProof/>
                <w:lang w:val="es-ES"/>
              </w:rPr>
            </w:pPr>
            <w:r w:rsidRPr="0062587E">
              <w:rPr>
                <w:noProof/>
                <w:lang w:val="es-ES"/>
              </w:rPr>
              <w:t>Asociaciones y cooperación internacional.</w:t>
            </w:r>
          </w:p>
          <w:p w14:paraId="2AAD211B" w14:textId="77777777" w:rsidR="00F92BED" w:rsidRPr="0062587E" w:rsidRDefault="00F92BED" w:rsidP="00C4421B">
            <w:pPr>
              <w:spacing w:before="160"/>
              <w:rPr>
                <w:b/>
                <w:bCs/>
                <w:noProof/>
                <w:sz w:val="26"/>
                <w:szCs w:val="26"/>
                <w:lang w:val="es-ES"/>
              </w:rPr>
            </w:pPr>
            <w:r w:rsidRPr="0062587E">
              <w:rPr>
                <w:b/>
                <w:bCs/>
                <w:noProof/>
                <w:sz w:val="26"/>
                <w:szCs w:val="26"/>
                <w:lang w:val="es-ES"/>
              </w:rPr>
              <w:t>Repercusiones financieras</w:t>
            </w:r>
          </w:p>
          <w:p w14:paraId="4EDBCA85" w14:textId="5CAF08B8" w:rsidR="00F92BED" w:rsidRPr="0062587E" w:rsidRDefault="002901FF" w:rsidP="00192CCC">
            <w:pPr>
              <w:jc w:val="both"/>
              <w:rPr>
                <w:noProof/>
                <w:lang w:val="es-ES"/>
              </w:rPr>
            </w:pPr>
            <w:r w:rsidRPr="0062587E">
              <w:rPr>
                <w:noProof/>
                <w:lang w:val="es-ES"/>
              </w:rPr>
              <w:t>Se recomienda exonerar de la cuota de afiliación a dos organizaciones, lo que supone un total de 48</w:t>
            </w:r>
            <w:r w:rsidR="00F16E5C" w:rsidRPr="0062587E">
              <w:rPr>
                <w:noProof/>
                <w:lang w:val="es-ES"/>
              </w:rPr>
              <w:t> </w:t>
            </w:r>
            <w:r w:rsidRPr="0062587E">
              <w:rPr>
                <w:noProof/>
                <w:lang w:val="es-ES"/>
              </w:rPr>
              <w:t xml:space="preserve">000 </w:t>
            </w:r>
            <w:r w:rsidR="00F16E5C" w:rsidRPr="0062587E">
              <w:rPr>
                <w:noProof/>
                <w:lang w:val="es-ES"/>
              </w:rPr>
              <w:t>francos suizos</w:t>
            </w:r>
            <w:r w:rsidRPr="0062587E">
              <w:rPr>
                <w:noProof/>
                <w:lang w:val="es-ES"/>
              </w:rPr>
              <w:t xml:space="preserve"> al año.</w:t>
            </w:r>
          </w:p>
          <w:p w14:paraId="60F5359E" w14:textId="77777777" w:rsidR="00FE57F6" w:rsidRPr="0062587E" w:rsidRDefault="00FE57F6" w:rsidP="00C4421B">
            <w:pPr>
              <w:spacing w:before="160"/>
              <w:rPr>
                <w:caps/>
                <w:noProof/>
                <w:sz w:val="22"/>
                <w:lang w:val="es-ES"/>
              </w:rPr>
            </w:pPr>
            <w:r w:rsidRPr="0062587E">
              <w:rPr>
                <w:noProof/>
                <w:sz w:val="22"/>
                <w:lang w:val="es-ES"/>
              </w:rPr>
              <w:t>__________________</w:t>
            </w:r>
          </w:p>
          <w:p w14:paraId="3A16DE6B" w14:textId="77777777" w:rsidR="00FE57F6" w:rsidRPr="0062587E" w:rsidRDefault="00F24B71" w:rsidP="00C4421B">
            <w:pPr>
              <w:spacing w:before="160"/>
              <w:rPr>
                <w:b/>
                <w:bCs/>
                <w:noProof/>
                <w:sz w:val="26"/>
                <w:szCs w:val="26"/>
                <w:lang w:val="es-ES"/>
              </w:rPr>
            </w:pPr>
            <w:r w:rsidRPr="0062587E">
              <w:rPr>
                <w:b/>
                <w:bCs/>
                <w:noProof/>
                <w:sz w:val="26"/>
                <w:szCs w:val="26"/>
                <w:lang w:val="es-ES"/>
              </w:rPr>
              <w:t>Referencia</w:t>
            </w:r>
            <w:r w:rsidR="00F92BED" w:rsidRPr="0062587E">
              <w:rPr>
                <w:b/>
                <w:bCs/>
                <w:noProof/>
                <w:sz w:val="26"/>
                <w:szCs w:val="26"/>
                <w:lang w:val="es-ES"/>
              </w:rPr>
              <w:t>s</w:t>
            </w:r>
            <w:r w:rsidR="00D375E0" w:rsidRPr="0062587E">
              <w:rPr>
                <w:noProof/>
                <w:sz w:val="26"/>
                <w:szCs w:val="26"/>
                <w:lang w:val="es-ES"/>
              </w:rPr>
              <w:t xml:space="preserve"> </w:t>
            </w:r>
          </w:p>
          <w:p w14:paraId="1A5F778E" w14:textId="151592A9" w:rsidR="00FE57F6" w:rsidRPr="00192CCC" w:rsidRDefault="002901FF" w:rsidP="00C4421B">
            <w:pPr>
              <w:spacing w:after="160"/>
              <w:rPr>
                <w:i/>
                <w:iCs/>
                <w:noProof/>
                <w:sz w:val="22"/>
                <w:szCs w:val="22"/>
                <w:lang w:val="es-ES"/>
              </w:rPr>
            </w:pPr>
            <w:r w:rsidRPr="00192CCC">
              <w:rPr>
                <w:i/>
                <w:iCs/>
                <w:noProof/>
                <w:sz w:val="22"/>
                <w:szCs w:val="22"/>
                <w:lang w:val="es-ES"/>
              </w:rPr>
              <w:t xml:space="preserve">Documento </w:t>
            </w:r>
            <w:hyperlink r:id="rId6" w:history="1">
              <w:r w:rsidRPr="00192CCC">
                <w:rPr>
                  <w:rStyle w:val="Hyperlink"/>
                  <w:rFonts w:eastAsia="Times New Roman" w:cs="Times New Roman"/>
                  <w:i/>
                  <w:iCs/>
                  <w:noProof/>
                  <w:sz w:val="22"/>
                  <w:lang w:val="es-ES"/>
                </w:rPr>
                <w:t>C2000/28(Rev.1)</w:t>
              </w:r>
            </w:hyperlink>
            <w:r w:rsidRPr="00192CCC">
              <w:rPr>
                <w:i/>
                <w:iCs/>
                <w:noProof/>
                <w:sz w:val="22"/>
                <w:szCs w:val="22"/>
                <w:lang w:val="es-ES"/>
              </w:rPr>
              <w:t xml:space="preserve">, Resolución </w:t>
            </w:r>
            <w:hyperlink r:id="rId7" w:history="1">
              <w:r w:rsidRPr="00192CCC">
                <w:rPr>
                  <w:rStyle w:val="Hyperlink"/>
                  <w:rFonts w:eastAsia="Times New Roman" w:cs="Times New Roman"/>
                  <w:i/>
                  <w:iCs/>
                  <w:noProof/>
                  <w:sz w:val="22"/>
                  <w:lang w:val="es-ES"/>
                </w:rPr>
                <w:t>925</w:t>
              </w:r>
            </w:hyperlink>
            <w:r w:rsidRPr="00192CCC">
              <w:rPr>
                <w:i/>
                <w:iCs/>
                <w:noProof/>
                <w:sz w:val="22"/>
                <w:szCs w:val="22"/>
                <w:lang w:val="es-ES"/>
              </w:rPr>
              <w:t xml:space="preserve"> del Consejo, </w:t>
            </w:r>
            <w:hyperlink r:id="rId8" w:anchor="/es" w:history="1">
              <w:r w:rsidRPr="00192CCC">
                <w:rPr>
                  <w:rStyle w:val="Hyperlink"/>
                  <w:rFonts w:eastAsia="Times New Roman" w:cs="Times New Roman"/>
                  <w:i/>
                  <w:iCs/>
                  <w:noProof/>
                  <w:sz w:val="22"/>
                  <w:lang w:val="es-ES"/>
                </w:rPr>
                <w:t>Criterios de exoneración del Consejo (Rev. 2017)</w:t>
              </w:r>
            </w:hyperlink>
          </w:p>
        </w:tc>
      </w:tr>
      <w:bookmarkEnd w:id="0"/>
    </w:tbl>
    <w:p w14:paraId="3F9758B9" w14:textId="77777777" w:rsidR="001559F5" w:rsidRPr="0062587E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noProof/>
          <w:lang w:val="es-ES"/>
        </w:rPr>
      </w:pPr>
      <w:r w:rsidRPr="0062587E">
        <w:rPr>
          <w:noProof/>
          <w:lang w:val="es-ES"/>
        </w:rPr>
        <w:br w:type="page"/>
      </w:r>
    </w:p>
    <w:p w14:paraId="2AB706CA" w14:textId="77777777" w:rsidR="002901FF" w:rsidRPr="0062587E" w:rsidRDefault="002901FF" w:rsidP="002901FF">
      <w:pPr>
        <w:pStyle w:val="Heading1"/>
        <w:rPr>
          <w:noProof/>
          <w:lang w:val="es-ES"/>
        </w:rPr>
      </w:pPr>
      <w:r w:rsidRPr="0062587E">
        <w:rPr>
          <w:noProof/>
          <w:lang w:val="es-ES"/>
        </w:rPr>
        <w:lastRenderedPageBreak/>
        <w:t>1</w:t>
      </w:r>
      <w:r w:rsidRPr="0062587E">
        <w:rPr>
          <w:noProof/>
          <w:lang w:val="es-ES"/>
        </w:rPr>
        <w:tab/>
        <w:t>Antecedentes</w:t>
      </w:r>
    </w:p>
    <w:p w14:paraId="4A8C2A4E" w14:textId="37D73971" w:rsidR="002901FF" w:rsidRPr="0062587E" w:rsidRDefault="002901FF" w:rsidP="00192CCC">
      <w:pPr>
        <w:jc w:val="both"/>
        <w:rPr>
          <w:noProof/>
          <w:lang w:val="es-ES"/>
        </w:rPr>
      </w:pPr>
      <w:r w:rsidRPr="0062587E">
        <w:rPr>
          <w:noProof/>
          <w:lang w:val="es-ES"/>
        </w:rPr>
        <w:t>1.1</w:t>
      </w:r>
      <w:r w:rsidRPr="0062587E">
        <w:rPr>
          <w:noProof/>
          <w:lang w:val="es-ES"/>
        </w:rPr>
        <w:tab/>
        <w:t xml:space="preserve">Cada año, la UIT recibe solicitudes de organizaciones de carácter internacional a efectos de la exoneración del pago de la cuota de afiliación y de otras contribuciones financieras a la Unión. Estas solicitudes se examinan con arreglo al procedimiento establecido por el Consejo en su reunión de 2000 (Documento </w:t>
      </w:r>
      <w:hyperlink r:id="rId9" w:history="1">
        <w:r w:rsidRPr="0062587E">
          <w:rPr>
            <w:rStyle w:val="Hyperlink"/>
            <w:noProof/>
            <w:lang w:val="es-ES"/>
          </w:rPr>
          <w:t>C2000/28(Rev.1)</w:t>
        </w:r>
      </w:hyperlink>
      <w:r w:rsidRPr="0062587E">
        <w:rPr>
          <w:noProof/>
          <w:lang w:val="es-ES"/>
        </w:rPr>
        <w:t xml:space="preserve">) y de conformidad con el número 476 del Convenio y la </w:t>
      </w:r>
      <w:r w:rsidRPr="0062587E">
        <w:rPr>
          <w:rFonts w:eastAsiaTheme="minorHAnsi" w:cstheme="minorBidi"/>
          <w:noProof/>
          <w:szCs w:val="22"/>
          <w:lang w:val="es-ES"/>
        </w:rPr>
        <w:t xml:space="preserve">Resolución </w:t>
      </w:r>
      <w:hyperlink r:id="rId10" w:history="1">
        <w:r w:rsidRPr="0062587E">
          <w:rPr>
            <w:rStyle w:val="Hyperlink"/>
            <w:noProof/>
            <w:lang w:val="es-ES"/>
          </w:rPr>
          <w:t>925</w:t>
        </w:r>
      </w:hyperlink>
      <w:r w:rsidRPr="0062587E">
        <w:rPr>
          <w:rFonts w:eastAsiaTheme="minorHAnsi" w:cstheme="minorBidi"/>
          <w:noProof/>
          <w:szCs w:val="22"/>
          <w:lang w:val="es-ES"/>
        </w:rPr>
        <w:t xml:space="preserve"> del Consejo</w:t>
      </w:r>
      <w:r w:rsidRPr="0062587E">
        <w:rPr>
          <w:noProof/>
          <w:lang w:val="es-ES"/>
        </w:rPr>
        <w:t xml:space="preserve">, así como los criterios establecidos por el Consejo, revisados en 2017 (véase el § 1.5 </w:t>
      </w:r>
      <w:r w:rsidRPr="0062587E">
        <w:rPr>
          <w:i/>
          <w:iCs/>
          <w:noProof/>
          <w:lang w:val="es-ES"/>
        </w:rPr>
        <w:t>infra</w:t>
      </w:r>
      <w:r w:rsidRPr="0062587E">
        <w:rPr>
          <w:noProof/>
          <w:lang w:val="es-ES"/>
        </w:rPr>
        <w:t>).</w:t>
      </w:r>
    </w:p>
    <w:p w14:paraId="7E3FD1A4" w14:textId="77777777" w:rsidR="002901FF" w:rsidRPr="00E626BC" w:rsidRDefault="002901FF" w:rsidP="00192CCC">
      <w:pPr>
        <w:jc w:val="both"/>
        <w:rPr>
          <w:noProof/>
          <w:spacing w:val="-3"/>
          <w:lang w:val="es-ES"/>
        </w:rPr>
      </w:pPr>
      <w:r w:rsidRPr="00E626BC">
        <w:rPr>
          <w:noProof/>
          <w:spacing w:val="-3"/>
          <w:lang w:val="es-ES"/>
        </w:rPr>
        <w:t>1.2</w:t>
      </w:r>
      <w:r w:rsidRPr="00E626BC">
        <w:rPr>
          <w:noProof/>
          <w:spacing w:val="-3"/>
          <w:lang w:val="es-ES"/>
        </w:rPr>
        <w:tab/>
        <w:t>El Consejo concede la exoneración del pago de contribuciones previo análisis de las Oficinas pertinentes y recomendación del Secretario General. En caso de aprobación, las organizaciones en cuestión pasan a ser Miembros de Sector o Asociados en virtud del número 231 del Convenio.</w:t>
      </w:r>
    </w:p>
    <w:p w14:paraId="715A8293" w14:textId="7121CBCD" w:rsidR="002901FF" w:rsidRPr="0062587E" w:rsidRDefault="002901FF" w:rsidP="00192CCC">
      <w:pPr>
        <w:jc w:val="both"/>
        <w:rPr>
          <w:noProof/>
          <w:lang w:val="es-ES"/>
        </w:rPr>
      </w:pPr>
      <w:r w:rsidRPr="0062587E">
        <w:rPr>
          <w:noProof/>
          <w:lang w:val="es-ES"/>
        </w:rPr>
        <w:t>1.3</w:t>
      </w:r>
      <w:r w:rsidRPr="0062587E">
        <w:rPr>
          <w:noProof/>
          <w:lang w:val="es-ES"/>
        </w:rPr>
        <w:tab/>
        <w:t xml:space="preserve">Actualmente, 145 organizaciones de carácter internacional gozan de exoneraciones. Se puede consultar la lista completa </w:t>
      </w:r>
      <w:hyperlink r:id="rId11" w:anchor="/es" w:history="1">
        <w:r w:rsidRPr="0062587E">
          <w:rPr>
            <w:rStyle w:val="Hyperlink"/>
            <w:noProof/>
            <w:lang w:val="es-ES"/>
          </w:rPr>
          <w:t>aquí</w:t>
        </w:r>
      </w:hyperlink>
      <w:r w:rsidRPr="0062587E">
        <w:rPr>
          <w:noProof/>
          <w:lang w:val="es-ES"/>
        </w:rPr>
        <w:t>.</w:t>
      </w:r>
    </w:p>
    <w:p w14:paraId="3850474D" w14:textId="77777777" w:rsidR="002901FF" w:rsidRPr="0062587E" w:rsidRDefault="002901FF" w:rsidP="00192CCC">
      <w:pPr>
        <w:jc w:val="both"/>
        <w:rPr>
          <w:noProof/>
          <w:lang w:val="es-ES"/>
        </w:rPr>
      </w:pPr>
      <w:r w:rsidRPr="0062587E">
        <w:rPr>
          <w:noProof/>
          <w:lang w:val="es-ES"/>
        </w:rPr>
        <w:t>1.4</w:t>
      </w:r>
      <w:r w:rsidRPr="0062587E">
        <w:rPr>
          <w:noProof/>
          <w:lang w:val="es-ES"/>
        </w:rPr>
        <w:tab/>
        <w:t>En su Resolución 187 (Busán, 2014), la Conferencia de Plenipotenciarios de 2014 encargó al Consejo "que examine la práctica y los criterios para exonerar a las entidades del pago de contribuciones y, de ser necesario, realice cambios para hacer más estrictos los criterios de admisibilidad a fin de aportar mayor claridad, coherencia y equidad entre los miembros que pagan y que no pagan, y reducir el número total de entidades exoneradas".</w:t>
      </w:r>
    </w:p>
    <w:p w14:paraId="7ACC1F39" w14:textId="6AB9823C" w:rsidR="002901FF" w:rsidRPr="0062587E" w:rsidRDefault="002901FF" w:rsidP="00192CCC">
      <w:pPr>
        <w:jc w:val="both"/>
        <w:rPr>
          <w:noProof/>
          <w:lang w:val="es-ES"/>
        </w:rPr>
      </w:pPr>
      <w:r w:rsidRPr="0062587E">
        <w:rPr>
          <w:noProof/>
          <w:lang w:val="es-ES"/>
        </w:rPr>
        <w:t>1.5</w:t>
      </w:r>
      <w:r w:rsidRPr="0062587E">
        <w:rPr>
          <w:noProof/>
          <w:lang w:val="es-ES"/>
        </w:rPr>
        <w:tab/>
        <w:t xml:space="preserve">En su reunión de 2017, el Consejo aprobó los criterios revisados, que se pueden consultar </w:t>
      </w:r>
      <w:hyperlink r:id="rId12" w:anchor="/es" w:history="1">
        <w:r w:rsidRPr="0062587E">
          <w:rPr>
            <w:rStyle w:val="Hyperlink"/>
            <w:noProof/>
            <w:lang w:val="es-ES"/>
          </w:rPr>
          <w:t>aquí</w:t>
        </w:r>
      </w:hyperlink>
      <w:r w:rsidRPr="0062587E">
        <w:rPr>
          <w:noProof/>
          <w:lang w:val="es-ES"/>
        </w:rPr>
        <w:t>. Desde entonces, en cada reunión del Consejo se examinan las nuevas solicitudes con arreglo a estos criterios.</w:t>
      </w:r>
    </w:p>
    <w:p w14:paraId="03D6CE23" w14:textId="77777777" w:rsidR="002901FF" w:rsidRPr="0062587E" w:rsidRDefault="002901FF" w:rsidP="00192CCC">
      <w:pPr>
        <w:jc w:val="both"/>
        <w:rPr>
          <w:noProof/>
          <w:lang w:val="es-ES"/>
        </w:rPr>
      </w:pPr>
      <w:r w:rsidRPr="0062587E">
        <w:rPr>
          <w:noProof/>
          <w:lang w:val="es-ES"/>
        </w:rPr>
        <w:t>1.6</w:t>
      </w:r>
      <w:r w:rsidRPr="0062587E">
        <w:rPr>
          <w:noProof/>
          <w:lang w:val="es-ES"/>
        </w:rPr>
        <w:tab/>
        <w:t>En este documento solo se abordan las nuevas solicitudes de exoneración del pago de la cuota recibidas desde la última reunión del Consejo.</w:t>
      </w:r>
    </w:p>
    <w:p w14:paraId="62AED514" w14:textId="77777777" w:rsidR="002901FF" w:rsidRPr="0062587E" w:rsidRDefault="002901FF" w:rsidP="002901FF">
      <w:pPr>
        <w:pStyle w:val="Heading1"/>
        <w:rPr>
          <w:noProof/>
          <w:lang w:val="es-ES"/>
        </w:rPr>
      </w:pPr>
      <w:r w:rsidRPr="0062587E">
        <w:rPr>
          <w:noProof/>
          <w:lang w:val="es-ES"/>
        </w:rPr>
        <w:t>2</w:t>
      </w:r>
      <w:r w:rsidRPr="0062587E">
        <w:rPr>
          <w:noProof/>
          <w:lang w:val="es-ES"/>
        </w:rPr>
        <w:tab/>
        <w:t>Nuevas solicitudes y recomendaciones</w:t>
      </w:r>
    </w:p>
    <w:p w14:paraId="68313B3A" w14:textId="77777777" w:rsidR="002901FF" w:rsidRPr="0062587E" w:rsidRDefault="002901FF" w:rsidP="00192CCC">
      <w:pPr>
        <w:spacing w:after="120"/>
        <w:rPr>
          <w:rFonts w:eastAsia="SimSun"/>
          <w:noProof/>
          <w:lang w:val="es-ES"/>
        </w:rPr>
      </w:pPr>
      <w:r w:rsidRPr="0062587E">
        <w:rPr>
          <w:rFonts w:eastAsia="SimSun"/>
          <w:noProof/>
          <w:lang w:val="es-ES"/>
        </w:rPr>
        <w:t>2.1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2268"/>
        <w:gridCol w:w="2268"/>
      </w:tblGrid>
      <w:tr w:rsidR="002901FF" w:rsidRPr="0062587E" w14:paraId="10F27F9A" w14:textId="77777777" w:rsidTr="00F16E5C">
        <w:trPr>
          <w:cantSplit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64F6F" w14:textId="77777777" w:rsidR="002901FF" w:rsidRPr="0062587E" w:rsidRDefault="002901FF" w:rsidP="00F16E5C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Organización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2292C" w14:textId="77777777" w:rsidR="002901FF" w:rsidRPr="0062587E" w:rsidRDefault="002901FF" w:rsidP="00F16E5C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Afiliación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23A47" w14:textId="77777777" w:rsidR="002901FF" w:rsidRPr="0062587E" w:rsidRDefault="002901FF" w:rsidP="00F16E5C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Recomendación</w:t>
            </w:r>
          </w:p>
        </w:tc>
      </w:tr>
      <w:tr w:rsidR="002901FF" w:rsidRPr="0062587E" w14:paraId="78F1B6FD" w14:textId="77777777" w:rsidTr="00F16E5C">
        <w:trPr>
          <w:cantSplit/>
          <w:trHeight w:val="805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5E733" w14:textId="77777777" w:rsidR="002901FF" w:rsidRPr="00BC4A45" w:rsidRDefault="002901FF" w:rsidP="00F16E5C">
            <w:pPr>
              <w:pStyle w:val="Tabletext"/>
              <w:rPr>
                <w:b/>
                <w:bCs/>
                <w:noProof/>
                <w:lang w:val="en-GB"/>
              </w:rPr>
            </w:pPr>
            <w:r w:rsidRPr="00BC4A45">
              <w:rPr>
                <w:b/>
                <w:bCs/>
                <w:noProof/>
                <w:lang w:val="en-GB"/>
              </w:rPr>
              <w:t>Bay of Bengal Initiative for Multi-Sectoral Technical and Economic Cooperation (BIMSTEC)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36877" w14:textId="77777777" w:rsidR="002901FF" w:rsidRPr="0062587E" w:rsidRDefault="002901FF" w:rsidP="00F16E5C">
            <w:pPr>
              <w:pStyle w:val="Tabletext"/>
              <w:jc w:val="center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UIT-D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B8E5F" w14:textId="77777777" w:rsidR="002901FF" w:rsidRPr="0062587E" w:rsidRDefault="002901FF" w:rsidP="00F16E5C">
            <w:pPr>
              <w:pStyle w:val="Tabletext"/>
              <w:jc w:val="center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Sí</w:t>
            </w:r>
          </w:p>
        </w:tc>
      </w:tr>
    </w:tbl>
    <w:p w14:paraId="5DAF7E53" w14:textId="77777777" w:rsidR="00192CCC" w:rsidRDefault="00192CCC" w:rsidP="00192CCC">
      <w:pPr>
        <w:pStyle w:val="Tablefin"/>
        <w:rPr>
          <w:rFonts w:eastAsia="Calibri"/>
          <w:noProof/>
        </w:rPr>
      </w:pPr>
    </w:p>
    <w:p w14:paraId="3C080E03" w14:textId="77777777" w:rsidR="002901FF" w:rsidRPr="0062587E" w:rsidRDefault="002901FF" w:rsidP="00192CCC">
      <w:pPr>
        <w:jc w:val="both"/>
        <w:rPr>
          <w:noProof/>
          <w:lang w:val="es-ES"/>
        </w:rPr>
      </w:pPr>
      <w:r w:rsidRPr="0062587E">
        <w:rPr>
          <w:noProof/>
          <w:lang w:val="es-ES"/>
        </w:rPr>
        <w:t>La Iniciativa del Golfo de Bengala para la Cooperación Técnica y Económica Multisectorial (</w:t>
      </w:r>
      <w:r w:rsidRPr="0062587E">
        <w:rPr>
          <w:i/>
          <w:iCs/>
          <w:noProof/>
          <w:lang w:val="es-ES"/>
        </w:rPr>
        <w:t>Bay of Bengal Initiative for Multi-Sectoral Technical and Economic Cooperation</w:t>
      </w:r>
      <w:r w:rsidRPr="0062587E">
        <w:rPr>
          <w:noProof/>
          <w:lang w:val="es-ES"/>
        </w:rPr>
        <w:t>, BIMSTEC) es una organización regional intergubernamental cuyo objetivo es acelerar el desarrollo económico y el progreso social, promoviendo la colaboración en los ámbitos económico, social, técnico y científico.</w:t>
      </w:r>
    </w:p>
    <w:p w14:paraId="1C0E663A" w14:textId="70825628" w:rsidR="002901FF" w:rsidRPr="0062587E" w:rsidRDefault="002901FF" w:rsidP="00192CCC">
      <w:pPr>
        <w:jc w:val="both"/>
        <w:rPr>
          <w:noProof/>
          <w:lang w:val="es-ES"/>
        </w:rPr>
      </w:pPr>
      <w:r w:rsidRPr="0062587E">
        <w:rPr>
          <w:noProof/>
          <w:lang w:val="es-ES"/>
        </w:rPr>
        <w:t>La organización se creó en 1997. Inicialmente conocida como Cooperación Económica Bangladesh-India-Sri Lanka-Tailandia (</w:t>
      </w:r>
      <w:r w:rsidRPr="0062587E">
        <w:rPr>
          <w:i/>
          <w:iCs/>
          <w:noProof/>
          <w:lang w:val="es-ES"/>
        </w:rPr>
        <w:t>Bangladesh – India – Sri Lanka – Thailand Economic Cooperation</w:t>
      </w:r>
      <w:r w:rsidRPr="0062587E">
        <w:rPr>
          <w:noProof/>
          <w:lang w:val="es-ES"/>
        </w:rPr>
        <w:t>, BIST-EC), la organización adoptó posteriormente el nombre de BIMSTEC y, tras la admisión de Myanmar el 22 de diciembre de 1997 y de Bhután y Nepal en febrero de</w:t>
      </w:r>
      <w:r w:rsidR="00F16E5C" w:rsidRPr="0062587E">
        <w:rPr>
          <w:noProof/>
          <w:lang w:val="es-ES"/>
        </w:rPr>
        <w:t> </w:t>
      </w:r>
      <w:r w:rsidRPr="0062587E">
        <w:rPr>
          <w:noProof/>
          <w:lang w:val="es-ES"/>
        </w:rPr>
        <w:t xml:space="preserve">2004, se compone de siete Estados Miembros. </w:t>
      </w:r>
    </w:p>
    <w:p w14:paraId="6F749071" w14:textId="77777777" w:rsidR="002901FF" w:rsidRPr="0062587E" w:rsidRDefault="002901FF" w:rsidP="00192CCC">
      <w:pPr>
        <w:jc w:val="both"/>
        <w:rPr>
          <w:noProof/>
          <w:lang w:val="es-ES"/>
        </w:rPr>
      </w:pPr>
      <w:r w:rsidRPr="0062587E">
        <w:rPr>
          <w:noProof/>
          <w:lang w:val="es-ES"/>
        </w:rPr>
        <w:t>En opinión de la secretaría, esta entidad cumple los criterios establecidos por el Consejo para la exoneración del pago de la cuota.</w:t>
      </w:r>
    </w:p>
    <w:p w14:paraId="65D622EE" w14:textId="77777777" w:rsidR="002901FF" w:rsidRPr="0062587E" w:rsidRDefault="002901FF" w:rsidP="00192CCC">
      <w:pPr>
        <w:spacing w:after="120"/>
        <w:rPr>
          <w:rFonts w:eastAsia="SimSun"/>
          <w:noProof/>
          <w:lang w:val="es-ES"/>
        </w:rPr>
      </w:pPr>
      <w:r w:rsidRPr="0062587E">
        <w:rPr>
          <w:rFonts w:eastAsia="SimSun"/>
          <w:noProof/>
          <w:lang w:val="es-ES"/>
        </w:rPr>
        <w:lastRenderedPageBreak/>
        <w:t>2.2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4"/>
        <w:gridCol w:w="2273"/>
        <w:gridCol w:w="2275"/>
      </w:tblGrid>
      <w:tr w:rsidR="002901FF" w:rsidRPr="0062587E" w14:paraId="19F84D11" w14:textId="77777777" w:rsidTr="00F16E5C">
        <w:trPr>
          <w:cantSplit/>
          <w:jc w:val="center"/>
        </w:trPr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8B91D" w14:textId="77777777" w:rsidR="002901FF" w:rsidRPr="0062587E" w:rsidRDefault="002901FF" w:rsidP="00F16E5C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Organización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23D1D" w14:textId="77777777" w:rsidR="002901FF" w:rsidRPr="0062587E" w:rsidRDefault="002901FF" w:rsidP="00F16E5C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Afiliación</w:t>
            </w: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F687C" w14:textId="77777777" w:rsidR="002901FF" w:rsidRPr="0062587E" w:rsidRDefault="002901FF" w:rsidP="00F16E5C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Recomendación</w:t>
            </w:r>
          </w:p>
        </w:tc>
      </w:tr>
      <w:tr w:rsidR="002901FF" w:rsidRPr="0062587E" w14:paraId="71E7783E" w14:textId="77777777" w:rsidTr="00F16E5C">
        <w:trPr>
          <w:cantSplit/>
          <w:jc w:val="center"/>
        </w:trPr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14DDB" w14:textId="77777777" w:rsidR="002901FF" w:rsidRPr="0062587E" w:rsidRDefault="002901FF" w:rsidP="00F16E5C">
            <w:pPr>
              <w:pStyle w:val="Tabletext"/>
              <w:rPr>
                <w:rFonts w:eastAsia="SimSun"/>
                <w:b/>
                <w:bCs/>
                <w:noProof/>
                <w:lang w:val="es-ES"/>
              </w:rPr>
            </w:pPr>
            <w:r w:rsidRPr="0062587E">
              <w:rPr>
                <w:rFonts w:eastAsia="SimSun"/>
                <w:b/>
                <w:bCs/>
                <w:noProof/>
                <w:lang w:val="es-ES"/>
              </w:rPr>
              <w:t>DigiHub Africa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4ABBD" w14:textId="77777777" w:rsidR="002901FF" w:rsidRPr="00192CCC" w:rsidRDefault="002901FF" w:rsidP="00192CCC">
            <w:pPr>
              <w:pStyle w:val="Tabletext"/>
              <w:jc w:val="center"/>
              <w:rPr>
                <w:rFonts w:eastAsia="SimSun"/>
                <w:noProof/>
                <w:lang w:val="es-ES"/>
              </w:rPr>
            </w:pPr>
            <w:r w:rsidRPr="00192CCC">
              <w:rPr>
                <w:rFonts w:eastAsia="SimSun"/>
                <w:noProof/>
                <w:lang w:val="es-ES"/>
              </w:rPr>
              <w:t>UIT-D</w:t>
            </w: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D620D" w14:textId="77777777" w:rsidR="002901FF" w:rsidRPr="00192CCC" w:rsidRDefault="002901FF" w:rsidP="00192CCC">
            <w:pPr>
              <w:pStyle w:val="Tabletext"/>
              <w:jc w:val="center"/>
              <w:rPr>
                <w:rFonts w:eastAsia="SimSun"/>
                <w:noProof/>
                <w:lang w:val="es-ES"/>
              </w:rPr>
            </w:pPr>
            <w:r w:rsidRPr="00192CCC">
              <w:rPr>
                <w:rFonts w:eastAsia="SimSun"/>
                <w:noProof/>
                <w:lang w:val="es-ES"/>
              </w:rPr>
              <w:t>No</w:t>
            </w:r>
          </w:p>
        </w:tc>
      </w:tr>
    </w:tbl>
    <w:p w14:paraId="308E26C5" w14:textId="77777777" w:rsidR="00192CCC" w:rsidRDefault="00192CCC" w:rsidP="00192CCC">
      <w:pPr>
        <w:pStyle w:val="Tablefin"/>
        <w:rPr>
          <w:rFonts w:eastAsia="Calibri"/>
          <w:noProof/>
        </w:rPr>
      </w:pPr>
    </w:p>
    <w:p w14:paraId="1998E215" w14:textId="77777777" w:rsidR="002901FF" w:rsidRPr="0062587E" w:rsidRDefault="002901FF" w:rsidP="00192CCC">
      <w:pPr>
        <w:jc w:val="both"/>
        <w:rPr>
          <w:rFonts w:asciiTheme="minorHAnsi" w:hAnsiTheme="minorHAnsi" w:cstheme="minorHAnsi"/>
          <w:noProof/>
          <w:szCs w:val="24"/>
          <w:lang w:val="es-ES"/>
        </w:rPr>
      </w:pPr>
      <w:r w:rsidRPr="0062587E">
        <w:rPr>
          <w:rFonts w:asciiTheme="minorHAnsi" w:hAnsiTheme="minorHAnsi" w:cstheme="minorHAnsi"/>
          <w:noProof/>
          <w:szCs w:val="24"/>
          <w:lang w:val="es-ES"/>
        </w:rPr>
        <w:t>Digihub Africa está registrada como una sociedad sin ánimo de lucro y sin miembros, que obra en favor de los derechos digitales, la seguridad en línea y la transformación digital inclusiva en todo el continente. La organización brinda a jóvenes, mujeres y otras comunidades rurales vulnerables competencias prácticas a efectos de la alfabetización digital, promueve entornos de Internet seguros y abiertos, y fomenta una participación responsable en línea.</w:t>
      </w:r>
    </w:p>
    <w:p w14:paraId="1925F608" w14:textId="442855A6" w:rsidR="002901FF" w:rsidRPr="0062587E" w:rsidRDefault="002901FF" w:rsidP="00192CCC">
      <w:pPr>
        <w:jc w:val="both"/>
        <w:rPr>
          <w:rFonts w:eastAsiaTheme="minorEastAsia"/>
          <w:noProof/>
          <w:lang w:val="es-ES"/>
        </w:rPr>
      </w:pPr>
      <w:r w:rsidRPr="0062587E">
        <w:rPr>
          <w:rFonts w:asciiTheme="minorHAnsi" w:hAnsiTheme="minorHAnsi" w:cstheme="minorHAnsi"/>
          <w:noProof/>
          <w:szCs w:val="24"/>
          <w:lang w:val="es-ES"/>
        </w:rPr>
        <w:t xml:space="preserve">En opinión de la secretaría, esta entidad no </w:t>
      </w:r>
      <w:r w:rsidRPr="0062587E">
        <w:rPr>
          <w:noProof/>
          <w:lang w:val="es-ES"/>
        </w:rPr>
        <w:t xml:space="preserve">cumple los criterios </w:t>
      </w:r>
      <w:r w:rsidRPr="0062587E">
        <w:rPr>
          <w:rFonts w:asciiTheme="minorHAnsi" w:hAnsiTheme="minorHAnsi" w:cstheme="minorHAnsi"/>
          <w:noProof/>
          <w:szCs w:val="24"/>
          <w:lang w:val="es-ES"/>
        </w:rPr>
        <w:t xml:space="preserve">de afiliación </w:t>
      </w:r>
      <w:r w:rsidRPr="0062587E">
        <w:rPr>
          <w:noProof/>
          <w:lang w:val="es-ES"/>
        </w:rPr>
        <w:t>establecidos por el Consejo para la exoneración del pago de la cuota</w:t>
      </w:r>
      <w:r w:rsidRPr="0062587E">
        <w:rPr>
          <w:rFonts w:asciiTheme="minorHAnsi" w:hAnsiTheme="minorHAnsi" w:cstheme="minorHAnsi"/>
          <w:noProof/>
          <w:szCs w:val="24"/>
          <w:lang w:val="es-ES"/>
        </w:rPr>
        <w:t xml:space="preserve">, ya que no ha demostrado </w:t>
      </w:r>
      <w:r w:rsidR="00F16E5C" w:rsidRPr="0062587E">
        <w:rPr>
          <w:rFonts w:asciiTheme="minorHAnsi" w:hAnsiTheme="minorHAnsi" w:cstheme="minorHAnsi"/>
          <w:noProof/>
          <w:szCs w:val="24"/>
          <w:lang w:val="es-ES"/>
        </w:rPr>
        <w:t>"</w:t>
      </w:r>
      <w:r w:rsidRPr="0062587E">
        <w:rPr>
          <w:rFonts w:asciiTheme="minorHAnsi" w:hAnsiTheme="minorHAnsi" w:cstheme="minorHAnsi"/>
          <w:noProof/>
          <w:szCs w:val="24"/>
          <w:lang w:val="es-ES"/>
        </w:rPr>
        <w:t>ser una organización sin fines lucrativos legalmente reconocida, que representa a miembros que también actúan sin fines lucrativos</w:t>
      </w:r>
      <w:r w:rsidR="00F16E5C" w:rsidRPr="0062587E">
        <w:rPr>
          <w:rFonts w:asciiTheme="minorHAnsi" w:hAnsiTheme="minorHAnsi" w:cstheme="minorHAnsi"/>
          <w:noProof/>
          <w:szCs w:val="24"/>
          <w:lang w:val="es-ES"/>
        </w:rPr>
        <w:t>"</w:t>
      </w:r>
      <w:r w:rsidRPr="0062587E">
        <w:rPr>
          <w:rFonts w:asciiTheme="minorHAnsi" w:hAnsiTheme="minorHAnsi" w:cstheme="minorHAnsi"/>
          <w:noProof/>
          <w:szCs w:val="24"/>
          <w:lang w:val="es-ES"/>
        </w:rPr>
        <w:t>.</w:t>
      </w:r>
    </w:p>
    <w:p w14:paraId="605C3F6F" w14:textId="77777777" w:rsidR="002901FF" w:rsidRPr="0062587E" w:rsidRDefault="002901FF" w:rsidP="00192CCC">
      <w:pPr>
        <w:spacing w:after="120"/>
        <w:rPr>
          <w:rFonts w:eastAsia="SimSun"/>
          <w:noProof/>
          <w:lang w:val="es-ES"/>
        </w:rPr>
      </w:pPr>
      <w:r w:rsidRPr="0062587E">
        <w:rPr>
          <w:rFonts w:eastAsia="SimSun"/>
          <w:noProof/>
          <w:lang w:val="es-ES"/>
        </w:rPr>
        <w:t>2.3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4"/>
        <w:gridCol w:w="2259"/>
        <w:gridCol w:w="2299"/>
      </w:tblGrid>
      <w:tr w:rsidR="002901FF" w:rsidRPr="0062587E" w14:paraId="073DFBE9" w14:textId="77777777" w:rsidTr="00F16E5C">
        <w:trPr>
          <w:cantSplit/>
          <w:jc w:val="center"/>
        </w:trPr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94B0A" w14:textId="77777777" w:rsidR="002901FF" w:rsidRPr="0062587E" w:rsidRDefault="002901FF" w:rsidP="00F16E5C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Organización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07421" w14:textId="77777777" w:rsidR="002901FF" w:rsidRPr="0062587E" w:rsidRDefault="002901FF" w:rsidP="00F16E5C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Afiliación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40A5B" w14:textId="77777777" w:rsidR="002901FF" w:rsidRPr="0062587E" w:rsidRDefault="002901FF" w:rsidP="00F16E5C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Recomendación</w:t>
            </w:r>
          </w:p>
        </w:tc>
      </w:tr>
      <w:tr w:rsidR="002901FF" w:rsidRPr="0062587E" w14:paraId="60E43E68" w14:textId="77777777" w:rsidTr="00F16E5C">
        <w:trPr>
          <w:cantSplit/>
          <w:jc w:val="center"/>
        </w:trPr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5CB9E" w14:textId="6369EE6E" w:rsidR="002901FF" w:rsidRPr="0062587E" w:rsidRDefault="002901FF" w:rsidP="00F16E5C">
            <w:pPr>
              <w:pStyle w:val="Tabletext"/>
              <w:rPr>
                <w:rFonts w:eastAsia="SimSun"/>
                <w:b/>
                <w:bCs/>
                <w:noProof/>
                <w:lang w:val="en-US"/>
              </w:rPr>
            </w:pPr>
            <w:r w:rsidRPr="0062587E">
              <w:rPr>
                <w:rFonts w:eastAsia="SimSun"/>
                <w:b/>
                <w:bCs/>
                <w:noProof/>
                <w:lang w:val="en-US"/>
              </w:rPr>
              <w:t xml:space="preserve">The European Federation of Hard of Hearing People (EFHOH) 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17285" w14:textId="77777777" w:rsidR="002901FF" w:rsidRPr="0062587E" w:rsidRDefault="002901FF" w:rsidP="00F16E5C">
            <w:pPr>
              <w:pStyle w:val="Tabletext"/>
              <w:jc w:val="center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UIT-T</w:t>
            </w:r>
            <w:r w:rsidRPr="0062587E">
              <w:rPr>
                <w:rFonts w:eastAsia="SimSun"/>
                <w:noProof/>
                <w:lang w:val="es-ES"/>
              </w:rPr>
              <w:br/>
              <w:t>UIT-D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6F0E4" w14:textId="274DC59D" w:rsidR="002901FF" w:rsidRPr="0062587E" w:rsidRDefault="002901FF" w:rsidP="00192CCC">
            <w:pPr>
              <w:pStyle w:val="Tabletext"/>
              <w:jc w:val="center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Sí</w:t>
            </w:r>
            <w:r w:rsidR="00192CCC">
              <w:rPr>
                <w:rFonts w:eastAsia="SimSun"/>
                <w:noProof/>
                <w:lang w:val="es-ES"/>
              </w:rPr>
              <w:br/>
            </w:r>
            <w:r w:rsidRPr="0062587E">
              <w:rPr>
                <w:rFonts w:eastAsia="SimSun"/>
                <w:noProof/>
                <w:lang w:val="es-ES"/>
              </w:rPr>
              <w:t>Sí</w:t>
            </w:r>
          </w:p>
        </w:tc>
      </w:tr>
    </w:tbl>
    <w:p w14:paraId="58722DA1" w14:textId="77777777" w:rsidR="00192CCC" w:rsidRDefault="00192CCC" w:rsidP="00192CCC">
      <w:pPr>
        <w:pStyle w:val="Tablefin"/>
        <w:rPr>
          <w:rFonts w:eastAsia="Calibri"/>
          <w:noProof/>
        </w:rPr>
      </w:pPr>
    </w:p>
    <w:p w14:paraId="063AEBED" w14:textId="3646BE3B" w:rsidR="002901FF" w:rsidRPr="0062587E" w:rsidRDefault="002901FF" w:rsidP="00192CCC">
      <w:pPr>
        <w:jc w:val="both"/>
        <w:rPr>
          <w:noProof/>
          <w:lang w:val="es-ES"/>
        </w:rPr>
      </w:pPr>
      <w:r w:rsidRPr="0062587E">
        <w:rPr>
          <w:noProof/>
          <w:lang w:val="es-ES"/>
        </w:rPr>
        <w:t xml:space="preserve">La Federación europea de personas </w:t>
      </w:r>
      <w:r w:rsidR="00B13EF2" w:rsidRPr="0062587E">
        <w:rPr>
          <w:noProof/>
          <w:lang w:val="es-ES"/>
        </w:rPr>
        <w:t xml:space="preserve">sordas y </w:t>
      </w:r>
      <w:r w:rsidRPr="0062587E">
        <w:rPr>
          <w:noProof/>
          <w:lang w:val="es-ES"/>
        </w:rPr>
        <w:t>con audición reducida (</w:t>
      </w:r>
      <w:r w:rsidRPr="0062587E">
        <w:rPr>
          <w:i/>
          <w:iCs/>
          <w:noProof/>
          <w:lang w:val="es-ES"/>
        </w:rPr>
        <w:t>European Federation of Hard of Hearing People</w:t>
      </w:r>
      <w:r w:rsidRPr="0062587E">
        <w:rPr>
          <w:noProof/>
          <w:lang w:val="es-ES"/>
        </w:rPr>
        <w:t>, EFHOH) es una organización regional sin ánimo de lucro creada en 1993. Esta organización se encarga de promover la sensibilización, la comprensión y la adopción de medidas prácticas de colaboración a fin de eliminar los obstáculos a los que se enfrentan las personas con audición reducida para alcanzar todo su potencial mediante el acceso a cuidados y servicios de rehabilitación del sistema auditivo asequibles y universales. Todo ello se optimiza creando una sociedad accesible con servicios públicos, bucles de inducción, servicios de subtitulado y subtitulado descriptivo, y dispositivos de asistencia. La EFHOH se compone de organizaciones nacionales y regionales que actúan en representación de personas sordas y con audición reducida.</w:t>
      </w:r>
    </w:p>
    <w:p w14:paraId="1D79954D" w14:textId="77777777" w:rsidR="002901FF" w:rsidRPr="0062587E" w:rsidRDefault="002901FF" w:rsidP="00192CCC">
      <w:pPr>
        <w:jc w:val="both"/>
        <w:rPr>
          <w:noProof/>
          <w:lang w:val="es-ES"/>
        </w:rPr>
      </w:pPr>
      <w:r w:rsidRPr="0062587E">
        <w:rPr>
          <w:noProof/>
          <w:lang w:val="es-ES"/>
        </w:rPr>
        <w:t>El objetivo general de la EFHOH es proteger, promover y dar a conocer los derechos de las personas con pérdida de audición en Europa, facilitando así una protección legislativa y social.</w:t>
      </w:r>
    </w:p>
    <w:p w14:paraId="5C617945" w14:textId="77777777" w:rsidR="002901FF" w:rsidRPr="0062587E" w:rsidRDefault="002901FF" w:rsidP="00192CCC">
      <w:pPr>
        <w:jc w:val="both"/>
        <w:rPr>
          <w:noProof/>
          <w:lang w:val="es-ES"/>
        </w:rPr>
      </w:pPr>
      <w:r w:rsidRPr="0062587E">
        <w:rPr>
          <w:noProof/>
          <w:lang w:val="es-ES"/>
        </w:rPr>
        <w:t>En opinión de la secretaría, esta entidad cumple los criterios establecidos por el Consejo para la exoneración del pago de la cuota.</w:t>
      </w:r>
    </w:p>
    <w:p w14:paraId="22764527" w14:textId="77777777" w:rsidR="002901FF" w:rsidRPr="0062587E" w:rsidRDefault="002901FF" w:rsidP="00192CCC">
      <w:pPr>
        <w:spacing w:after="120"/>
        <w:rPr>
          <w:rFonts w:eastAsia="Calibri"/>
          <w:noProof/>
          <w:lang w:val="es-ES"/>
        </w:rPr>
      </w:pPr>
      <w:r w:rsidRPr="0062587E">
        <w:rPr>
          <w:rFonts w:eastAsia="Calibri"/>
          <w:noProof/>
          <w:lang w:val="es-ES"/>
        </w:rPr>
        <w:t>2.4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0"/>
        <w:gridCol w:w="2391"/>
        <w:gridCol w:w="2164"/>
      </w:tblGrid>
      <w:tr w:rsidR="002901FF" w:rsidRPr="0062587E" w14:paraId="22D668C6" w14:textId="77777777" w:rsidTr="0062587E">
        <w:trPr>
          <w:trHeight w:val="300"/>
          <w:jc w:val="center"/>
        </w:trPr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F1471" w14:textId="77777777" w:rsidR="002901FF" w:rsidRPr="0062587E" w:rsidRDefault="002901FF" w:rsidP="00B13EF2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Organización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FDDAF" w14:textId="77777777" w:rsidR="002901FF" w:rsidRPr="0062587E" w:rsidRDefault="002901FF" w:rsidP="00B13EF2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Afiliación</w:t>
            </w: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869FB" w14:textId="77777777" w:rsidR="002901FF" w:rsidRPr="0062587E" w:rsidRDefault="002901FF" w:rsidP="00B13EF2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Recomendación</w:t>
            </w:r>
          </w:p>
        </w:tc>
      </w:tr>
      <w:tr w:rsidR="002901FF" w:rsidRPr="0062587E" w14:paraId="4850A934" w14:textId="77777777" w:rsidTr="0062587E">
        <w:trPr>
          <w:trHeight w:val="300"/>
          <w:jc w:val="center"/>
        </w:trPr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E3C50" w14:textId="77777777" w:rsidR="002901FF" w:rsidRPr="00BC4A45" w:rsidRDefault="002901FF" w:rsidP="00B13EF2">
            <w:pPr>
              <w:pStyle w:val="Tabletext"/>
              <w:rPr>
                <w:rFonts w:eastAsia="SimSun"/>
                <w:b/>
                <w:bCs/>
                <w:noProof/>
                <w:lang w:val="en-GB"/>
              </w:rPr>
            </w:pPr>
            <w:r w:rsidRPr="00BC4A45">
              <w:rPr>
                <w:rFonts w:eastAsia="SimSun"/>
                <w:b/>
                <w:bCs/>
                <w:noProof/>
                <w:lang w:val="en-GB"/>
              </w:rPr>
              <w:t>Global Peace and Development Organisation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C8E60" w14:textId="77777777" w:rsidR="002901FF" w:rsidRPr="0062587E" w:rsidRDefault="002901FF" w:rsidP="00B13EF2">
            <w:pPr>
              <w:pStyle w:val="Tabletext"/>
              <w:jc w:val="center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UIT-D</w:t>
            </w: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EAD07" w14:textId="77777777" w:rsidR="002901FF" w:rsidRPr="0062587E" w:rsidRDefault="002901FF" w:rsidP="00B13EF2">
            <w:pPr>
              <w:pStyle w:val="Tabletext"/>
              <w:jc w:val="center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No</w:t>
            </w:r>
          </w:p>
        </w:tc>
      </w:tr>
    </w:tbl>
    <w:p w14:paraId="2F4D6011" w14:textId="77777777" w:rsidR="00192CCC" w:rsidRDefault="00192CCC" w:rsidP="00192CCC">
      <w:pPr>
        <w:pStyle w:val="Tablefin"/>
        <w:rPr>
          <w:rFonts w:eastAsia="Calibri"/>
          <w:noProof/>
        </w:rPr>
      </w:pPr>
    </w:p>
    <w:p w14:paraId="6D39BB2E" w14:textId="77777777" w:rsidR="002901FF" w:rsidRPr="0062587E" w:rsidRDefault="002901FF" w:rsidP="00192CCC">
      <w:pPr>
        <w:jc w:val="both"/>
        <w:rPr>
          <w:rFonts w:eastAsia="Aptos"/>
          <w:noProof/>
          <w:lang w:val="es-ES"/>
        </w:rPr>
      </w:pPr>
      <w:r w:rsidRPr="0062587E">
        <w:rPr>
          <w:rFonts w:eastAsia="Aptos"/>
          <w:noProof/>
          <w:lang w:val="es-ES"/>
        </w:rPr>
        <w:t>La Organización para la Paz y el Desarrollo Mundiales (</w:t>
      </w:r>
      <w:r w:rsidRPr="0062587E">
        <w:rPr>
          <w:rFonts w:eastAsia="Aptos"/>
          <w:i/>
          <w:iCs/>
          <w:noProof/>
          <w:lang w:val="es-ES"/>
        </w:rPr>
        <w:t>Global Peace and Development Organisation</w:t>
      </w:r>
      <w:r w:rsidRPr="0062587E">
        <w:rPr>
          <w:rFonts w:eastAsia="Aptos"/>
          <w:noProof/>
          <w:lang w:val="es-ES"/>
        </w:rPr>
        <w:t>, GPDO) es una organización sin ánimo de lucro creada en 2011.</w:t>
      </w:r>
    </w:p>
    <w:p w14:paraId="5ACECC7E" w14:textId="77777777" w:rsidR="002901FF" w:rsidRPr="0062587E" w:rsidRDefault="002901FF" w:rsidP="00192CCC">
      <w:pPr>
        <w:jc w:val="both"/>
        <w:rPr>
          <w:rFonts w:eastAsia="Aptos"/>
          <w:noProof/>
          <w:lang w:val="es-ES"/>
        </w:rPr>
      </w:pPr>
      <w:r w:rsidRPr="0062587E">
        <w:rPr>
          <w:rFonts w:eastAsia="Aptos"/>
          <w:noProof/>
          <w:lang w:val="es-ES"/>
        </w:rPr>
        <w:t xml:space="preserve">La GPDO tiene por objeto promover la paz y la solidaridad internacional en pro de los derechos humanos, el desarrollo y el cambio social. En Liberia, la GPDO lleva a cabo actividades </w:t>
      </w:r>
      <w:r w:rsidRPr="0062587E">
        <w:rPr>
          <w:rFonts w:eastAsia="Aptos"/>
          <w:noProof/>
          <w:lang w:val="es-ES"/>
        </w:rPr>
        <w:lastRenderedPageBreak/>
        <w:t>relacionadas con los derechos de las mujeres, los sistemas alimentarios sostenibles, la política y la promoción, así como la respuesta a crisis humanitarias en el contexto de África Occidental.</w:t>
      </w:r>
    </w:p>
    <w:p w14:paraId="4A87F67C" w14:textId="67D6A69D" w:rsidR="002901FF" w:rsidRPr="0062587E" w:rsidRDefault="002901FF" w:rsidP="00192CCC">
      <w:pPr>
        <w:jc w:val="both"/>
        <w:rPr>
          <w:rFonts w:eastAsia="Calibri"/>
          <w:noProof/>
          <w:color w:val="000000" w:themeColor="text1"/>
          <w:lang w:val="es-ES"/>
        </w:rPr>
      </w:pPr>
      <w:r w:rsidRPr="0062587E">
        <w:rPr>
          <w:rFonts w:eastAsia="Aptos"/>
          <w:noProof/>
          <w:lang w:val="es-ES"/>
        </w:rPr>
        <w:t xml:space="preserve">En opinión de la secretaría, esta entidad no cumple los criterios de afiliación establecidos por el Consejo para la </w:t>
      </w:r>
      <w:r w:rsidRPr="0062587E">
        <w:rPr>
          <w:noProof/>
          <w:lang w:val="es-ES"/>
        </w:rPr>
        <w:t>exoneración del pago de la cuota</w:t>
      </w:r>
      <w:r w:rsidRPr="0062587E">
        <w:rPr>
          <w:rFonts w:eastAsia="Aptos"/>
          <w:noProof/>
          <w:lang w:val="es-ES"/>
        </w:rPr>
        <w:t xml:space="preserve">, ya que no ha demostrado </w:t>
      </w:r>
      <w:r w:rsidR="00B13EF2" w:rsidRPr="0062587E">
        <w:rPr>
          <w:rFonts w:eastAsia="Aptos"/>
          <w:noProof/>
          <w:lang w:val="es-ES"/>
        </w:rPr>
        <w:t>"</w:t>
      </w:r>
      <w:r w:rsidRPr="0062587E">
        <w:rPr>
          <w:rFonts w:eastAsia="Aptos"/>
          <w:noProof/>
          <w:lang w:val="es-ES"/>
        </w:rPr>
        <w:t>contar con miembros y una presencia y actividades significativas en varios Estados Miembros cuya participación en las actividades de la UIT redundaría en beneficio de los objetivos de la Unión</w:t>
      </w:r>
      <w:r w:rsidR="00B13EF2" w:rsidRPr="0062587E">
        <w:rPr>
          <w:rFonts w:eastAsia="Aptos"/>
          <w:noProof/>
          <w:lang w:val="es-ES"/>
        </w:rPr>
        <w:t>"</w:t>
      </w:r>
      <w:r w:rsidRPr="0062587E">
        <w:rPr>
          <w:rFonts w:eastAsia="Calibri"/>
          <w:noProof/>
          <w:color w:val="000000" w:themeColor="text1"/>
          <w:lang w:val="es-ES"/>
        </w:rPr>
        <w:t>.</w:t>
      </w:r>
    </w:p>
    <w:p w14:paraId="5D07BE6C" w14:textId="77777777" w:rsidR="002901FF" w:rsidRPr="0062587E" w:rsidRDefault="002901FF" w:rsidP="00192CCC">
      <w:pPr>
        <w:spacing w:after="120"/>
        <w:rPr>
          <w:rFonts w:eastAsia="Aptos"/>
          <w:noProof/>
          <w:lang w:val="es-ES"/>
        </w:rPr>
      </w:pPr>
      <w:r w:rsidRPr="0062587E">
        <w:rPr>
          <w:rFonts w:eastAsia="Aptos"/>
          <w:noProof/>
          <w:lang w:val="es-ES"/>
        </w:rPr>
        <w:t>2.5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4"/>
        <w:gridCol w:w="2288"/>
        <w:gridCol w:w="2290"/>
      </w:tblGrid>
      <w:tr w:rsidR="002901FF" w:rsidRPr="0062587E" w14:paraId="083CE638" w14:textId="77777777" w:rsidTr="0062587E">
        <w:trPr>
          <w:trHeight w:val="300"/>
          <w:jc w:val="center"/>
        </w:trPr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F2D35" w14:textId="77777777" w:rsidR="002901FF" w:rsidRPr="0062587E" w:rsidRDefault="002901FF" w:rsidP="0062587E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Organización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61CE6" w14:textId="77777777" w:rsidR="002901FF" w:rsidRPr="0062587E" w:rsidRDefault="002901FF" w:rsidP="0062587E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Afiliación</w:t>
            </w:r>
          </w:p>
        </w:tc>
        <w:tc>
          <w:tcPr>
            <w:tcW w:w="1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F8ACF" w14:textId="77777777" w:rsidR="002901FF" w:rsidRPr="0062587E" w:rsidRDefault="002901FF" w:rsidP="0062587E">
            <w:pPr>
              <w:pStyle w:val="Tablehead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Recomendación</w:t>
            </w:r>
          </w:p>
        </w:tc>
      </w:tr>
      <w:tr w:rsidR="002901FF" w:rsidRPr="0062587E" w14:paraId="36DFFFC3" w14:textId="77777777" w:rsidTr="0062587E">
        <w:trPr>
          <w:trHeight w:val="300"/>
          <w:jc w:val="center"/>
        </w:trPr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89C9B" w14:textId="77777777" w:rsidR="002901FF" w:rsidRPr="00BC4A45" w:rsidRDefault="002901FF" w:rsidP="0062587E">
            <w:pPr>
              <w:pStyle w:val="Tabletext"/>
              <w:rPr>
                <w:rFonts w:eastAsiaTheme="minorEastAsia"/>
                <w:b/>
                <w:bCs/>
                <w:noProof/>
                <w:lang w:val="en-GB"/>
              </w:rPr>
            </w:pPr>
            <w:r w:rsidRPr="00BC4A45">
              <w:rPr>
                <w:rFonts w:eastAsiaTheme="minorEastAsia"/>
                <w:b/>
                <w:bCs/>
                <w:noProof/>
                <w:lang w:val="en-GB"/>
              </w:rPr>
              <w:t>6G Industry Association (6G-IA)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CAADF" w14:textId="77777777" w:rsidR="002901FF" w:rsidRPr="0062587E" w:rsidRDefault="002901FF" w:rsidP="0062587E">
            <w:pPr>
              <w:pStyle w:val="Tabletext"/>
              <w:jc w:val="center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UIT-R</w:t>
            </w:r>
          </w:p>
        </w:tc>
        <w:tc>
          <w:tcPr>
            <w:tcW w:w="1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3E834" w14:textId="77777777" w:rsidR="002901FF" w:rsidRPr="0062587E" w:rsidRDefault="002901FF" w:rsidP="0062587E">
            <w:pPr>
              <w:pStyle w:val="Tabletext"/>
              <w:jc w:val="center"/>
              <w:rPr>
                <w:rFonts w:eastAsia="SimSun"/>
                <w:noProof/>
                <w:lang w:val="es-ES"/>
              </w:rPr>
            </w:pPr>
            <w:r w:rsidRPr="0062587E">
              <w:rPr>
                <w:rFonts w:eastAsia="SimSun"/>
                <w:noProof/>
                <w:lang w:val="es-ES"/>
              </w:rPr>
              <w:t>No</w:t>
            </w:r>
          </w:p>
        </w:tc>
      </w:tr>
    </w:tbl>
    <w:p w14:paraId="1BF2B4E8" w14:textId="77777777" w:rsidR="00192CCC" w:rsidRDefault="00192CCC" w:rsidP="00192CCC">
      <w:pPr>
        <w:pStyle w:val="Tablefin"/>
        <w:rPr>
          <w:rFonts w:eastAsia="Calibri"/>
          <w:noProof/>
        </w:rPr>
      </w:pPr>
    </w:p>
    <w:p w14:paraId="6DCD8AED" w14:textId="6DA2DC84" w:rsidR="002901FF" w:rsidRPr="0062587E" w:rsidRDefault="002901FF" w:rsidP="00192CCC">
      <w:pPr>
        <w:jc w:val="both"/>
        <w:rPr>
          <w:rFonts w:eastAsia="Calibri"/>
          <w:noProof/>
          <w:lang w:val="es-ES"/>
        </w:rPr>
      </w:pPr>
      <w:r w:rsidRPr="0062587E">
        <w:rPr>
          <w:rFonts w:eastAsia="Calibri"/>
          <w:noProof/>
          <w:lang w:val="es-ES"/>
        </w:rPr>
        <w:t>La Asociación de la Industria 6G (</w:t>
      </w:r>
      <w:r w:rsidRPr="0062587E">
        <w:rPr>
          <w:rFonts w:eastAsia="Calibri"/>
          <w:i/>
          <w:iCs/>
          <w:noProof/>
          <w:lang w:val="es-ES"/>
        </w:rPr>
        <w:t>6G Industry Association</w:t>
      </w:r>
      <w:r w:rsidRPr="0062587E">
        <w:rPr>
          <w:rFonts w:eastAsia="Calibri"/>
          <w:noProof/>
          <w:lang w:val="es-ES"/>
        </w:rPr>
        <w:t>, 6G-IA) es una asociación internacional sin ánimo de lucro creada en 2013. La 6G-IA aspira a ser la voz de los sectores europeos de la industria y la investigación para las redes y los servicios de próxima generación. Su objetivo principal es coadyuvar al liderazgo de Europa en tecnología 5G, evolución 5G e investigación en SNS/6G.</w:t>
      </w:r>
    </w:p>
    <w:p w14:paraId="015786C2" w14:textId="77777777" w:rsidR="002901FF" w:rsidRPr="0062587E" w:rsidRDefault="002901FF" w:rsidP="00192CCC">
      <w:pPr>
        <w:jc w:val="both"/>
        <w:rPr>
          <w:rFonts w:eastAsia="Calibri"/>
          <w:noProof/>
          <w:lang w:val="es-ES"/>
        </w:rPr>
      </w:pPr>
      <w:r w:rsidRPr="0062587E">
        <w:rPr>
          <w:rFonts w:eastAsia="Calibri"/>
          <w:noProof/>
          <w:lang w:val="es-ES"/>
        </w:rPr>
        <w:t>La 6G-IA congrega a una comunidad industrial global de actores de los ámbitos de las telecomunicaciones y la tecnología digital, entre ellos, operadores, fabricantes, institutos de investigación, universidades, empresas verticales, pymes y asociaciones de TIC.</w:t>
      </w:r>
    </w:p>
    <w:p w14:paraId="15D9803E" w14:textId="77777777" w:rsidR="002901FF" w:rsidRPr="0062587E" w:rsidRDefault="002901FF" w:rsidP="00192CCC">
      <w:pPr>
        <w:jc w:val="both"/>
        <w:rPr>
          <w:rFonts w:eastAsia="Calibri"/>
          <w:noProof/>
          <w:lang w:val="es-ES"/>
        </w:rPr>
      </w:pPr>
      <w:r w:rsidRPr="0062587E">
        <w:rPr>
          <w:rFonts w:eastAsia="Calibri"/>
          <w:noProof/>
          <w:lang w:val="es-ES"/>
        </w:rPr>
        <w:t>La 6G-IA lleva a cabo un amplio abanico de actividades en esferas estratégicas, incluida la definición de las prioridades de la UE en materia de tecnologías digitales, normalización, espectro de frecuencias, proyectos de I+D, competencias tecnológicas, colaboración con sectores industriales verticales clave, especialmente a efectos del desarrollo de pruebas, y cooperación internacional.</w:t>
      </w:r>
    </w:p>
    <w:p w14:paraId="2C337DDC" w14:textId="43DF2A63" w:rsidR="00927F93" w:rsidRPr="0062587E" w:rsidRDefault="002901FF" w:rsidP="00192CCC">
      <w:pPr>
        <w:jc w:val="both"/>
        <w:rPr>
          <w:noProof/>
          <w:lang w:val="es-ES"/>
        </w:rPr>
      </w:pPr>
      <w:r w:rsidRPr="0062587E">
        <w:rPr>
          <w:rFonts w:eastAsia="Aptos"/>
          <w:noProof/>
          <w:lang w:val="es-ES"/>
        </w:rPr>
        <w:t xml:space="preserve">En opinión de la secretaría, esta entidad no cumple los criterios de afiliación establecidos por el Consejo para la </w:t>
      </w:r>
      <w:r w:rsidRPr="0062587E">
        <w:rPr>
          <w:noProof/>
          <w:lang w:val="es-ES"/>
        </w:rPr>
        <w:t>exoneración del pago de la cuota</w:t>
      </w:r>
      <w:r w:rsidRPr="0062587E">
        <w:rPr>
          <w:rFonts w:eastAsia="Aptos"/>
          <w:noProof/>
          <w:lang w:val="es-ES"/>
        </w:rPr>
        <w:t>, ya que no</w:t>
      </w:r>
      <w:r w:rsidRPr="0062587E">
        <w:rPr>
          <w:rFonts w:eastAsia="Calibri"/>
          <w:noProof/>
          <w:lang w:val="es-ES"/>
        </w:rPr>
        <w:t xml:space="preserve"> es </w:t>
      </w:r>
      <w:r w:rsidR="0062587E" w:rsidRPr="0062587E">
        <w:rPr>
          <w:rFonts w:eastAsia="Calibri"/>
          <w:noProof/>
          <w:lang w:val="es-ES"/>
        </w:rPr>
        <w:t>"</w:t>
      </w:r>
      <w:r w:rsidRPr="0062587E">
        <w:rPr>
          <w:rFonts w:eastAsia="Calibri"/>
          <w:noProof/>
          <w:lang w:val="es-ES"/>
        </w:rPr>
        <w:t>una organización sin fines lucrativos legalmente reconocida, que representa a miembros que también actúan sin fines lucrativos</w:t>
      </w:r>
      <w:r w:rsidR="0062587E" w:rsidRPr="0062587E">
        <w:rPr>
          <w:rFonts w:eastAsia="Calibri"/>
          <w:noProof/>
          <w:lang w:val="es-ES"/>
        </w:rPr>
        <w:t>"</w:t>
      </w:r>
      <w:r w:rsidRPr="0062587E">
        <w:rPr>
          <w:rFonts w:eastAsia="Calibri"/>
          <w:noProof/>
          <w:lang w:val="es-ES"/>
        </w:rPr>
        <w:t>, al componerse principalmente de entidades con ánimo de lucro.</w:t>
      </w:r>
    </w:p>
    <w:p w14:paraId="417FC88A" w14:textId="77777777" w:rsidR="00F92BED" w:rsidRPr="0062587E" w:rsidRDefault="00F92BED" w:rsidP="0032202E">
      <w:pPr>
        <w:pStyle w:val="Reasons"/>
        <w:rPr>
          <w:noProof/>
          <w:lang w:val="es-ES"/>
        </w:rPr>
      </w:pPr>
    </w:p>
    <w:p w14:paraId="5E3D2F25" w14:textId="77777777" w:rsidR="00F92BED" w:rsidRPr="0062587E" w:rsidRDefault="00F92BED" w:rsidP="00F92BED">
      <w:pPr>
        <w:jc w:val="center"/>
        <w:rPr>
          <w:noProof/>
          <w:lang w:val="es-ES"/>
        </w:rPr>
      </w:pPr>
      <w:r w:rsidRPr="0062587E">
        <w:rPr>
          <w:noProof/>
          <w:lang w:val="es-ES"/>
        </w:rPr>
        <w:t>______________</w:t>
      </w:r>
    </w:p>
    <w:sectPr w:rsidR="00F92BED" w:rsidRPr="0062587E" w:rsidSect="00C538FC">
      <w:footerReference w:type="default" r:id="rId13"/>
      <w:headerReference w:type="first" r:id="rId14"/>
      <w:footerReference w:type="first" r:id="rId1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0E35" w14:textId="77777777" w:rsidR="00177C41" w:rsidRDefault="00177C41">
      <w:r>
        <w:separator/>
      </w:r>
    </w:p>
  </w:endnote>
  <w:endnote w:type="continuationSeparator" w:id="0">
    <w:p w14:paraId="2B24849F" w14:textId="77777777" w:rsidR="00177C41" w:rsidRDefault="0017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6548E75E" w14:textId="77777777" w:rsidTr="00E31DCE">
      <w:trPr>
        <w:jc w:val="center"/>
      </w:trPr>
      <w:tc>
        <w:tcPr>
          <w:tcW w:w="1803" w:type="dxa"/>
          <w:vAlign w:val="center"/>
        </w:tcPr>
        <w:p w14:paraId="360B933F" w14:textId="6B14465A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2901FF" w:rsidRPr="002901FF">
            <w:rPr>
              <w:noProof/>
            </w:rPr>
            <w:t>2600704</w:t>
          </w:r>
        </w:p>
      </w:tc>
      <w:tc>
        <w:tcPr>
          <w:tcW w:w="8261" w:type="dxa"/>
        </w:tcPr>
        <w:p w14:paraId="751C99E5" w14:textId="28B0A7A9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2901FF">
            <w:rPr>
              <w:bCs/>
            </w:rPr>
            <w:t>56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8E0E0AF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5752E690" w14:textId="77777777" w:rsidTr="00E31DCE">
      <w:trPr>
        <w:jc w:val="center"/>
      </w:trPr>
      <w:tc>
        <w:tcPr>
          <w:tcW w:w="1803" w:type="dxa"/>
          <w:vAlign w:val="center"/>
        </w:tcPr>
        <w:p w14:paraId="15E2D24C" w14:textId="77777777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39AA5A31" w14:textId="0BC80DCF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2901FF">
            <w:rPr>
              <w:bCs/>
            </w:rPr>
            <w:t>56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263F735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968D" w14:textId="77777777" w:rsidR="00177C41" w:rsidRDefault="00177C41">
      <w:r>
        <w:t>____________________</w:t>
      </w:r>
    </w:p>
  </w:footnote>
  <w:footnote w:type="continuationSeparator" w:id="0">
    <w:p w14:paraId="0CCD4163" w14:textId="77777777" w:rsidR="00177C41" w:rsidRDefault="0017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B636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6D97F30D" wp14:editId="7954350D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41"/>
    <w:rsid w:val="000007D1"/>
    <w:rsid w:val="0006007D"/>
    <w:rsid w:val="00093EEB"/>
    <w:rsid w:val="000B0D00"/>
    <w:rsid w:val="000B7C15"/>
    <w:rsid w:val="000D1D0F"/>
    <w:rsid w:val="000E3F07"/>
    <w:rsid w:val="000F5290"/>
    <w:rsid w:val="000F5A95"/>
    <w:rsid w:val="0010165C"/>
    <w:rsid w:val="00146BFB"/>
    <w:rsid w:val="001559F5"/>
    <w:rsid w:val="00157AC4"/>
    <w:rsid w:val="0016169C"/>
    <w:rsid w:val="00177C41"/>
    <w:rsid w:val="00192CCC"/>
    <w:rsid w:val="001958F5"/>
    <w:rsid w:val="001B6E2B"/>
    <w:rsid w:val="001F14A2"/>
    <w:rsid w:val="00277DEA"/>
    <w:rsid w:val="002801AA"/>
    <w:rsid w:val="002901FF"/>
    <w:rsid w:val="002946E2"/>
    <w:rsid w:val="002C3F32"/>
    <w:rsid w:val="002C4676"/>
    <w:rsid w:val="002C70B0"/>
    <w:rsid w:val="002F3CC4"/>
    <w:rsid w:val="003032E2"/>
    <w:rsid w:val="0031300A"/>
    <w:rsid w:val="003273A4"/>
    <w:rsid w:val="0034796E"/>
    <w:rsid w:val="004571B0"/>
    <w:rsid w:val="00465C35"/>
    <w:rsid w:val="00473962"/>
    <w:rsid w:val="004B5D49"/>
    <w:rsid w:val="004D3A3C"/>
    <w:rsid w:val="00513630"/>
    <w:rsid w:val="00560125"/>
    <w:rsid w:val="00585553"/>
    <w:rsid w:val="005B34D9"/>
    <w:rsid w:val="005D0CCF"/>
    <w:rsid w:val="005F0915"/>
    <w:rsid w:val="005F3BCB"/>
    <w:rsid w:val="005F410F"/>
    <w:rsid w:val="0060149A"/>
    <w:rsid w:val="00601924"/>
    <w:rsid w:val="0062587E"/>
    <w:rsid w:val="006447EA"/>
    <w:rsid w:val="0064481D"/>
    <w:rsid w:val="0064731F"/>
    <w:rsid w:val="00664572"/>
    <w:rsid w:val="00666D09"/>
    <w:rsid w:val="0067057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955DA"/>
    <w:rsid w:val="007E5DD3"/>
    <w:rsid w:val="007F350B"/>
    <w:rsid w:val="00820BE4"/>
    <w:rsid w:val="008451E8"/>
    <w:rsid w:val="0084546D"/>
    <w:rsid w:val="008F6ABC"/>
    <w:rsid w:val="00913B9C"/>
    <w:rsid w:val="00927F93"/>
    <w:rsid w:val="00956E77"/>
    <w:rsid w:val="009A338E"/>
    <w:rsid w:val="009A76A8"/>
    <w:rsid w:val="009F4811"/>
    <w:rsid w:val="00A01F4F"/>
    <w:rsid w:val="00A109AF"/>
    <w:rsid w:val="00A62A99"/>
    <w:rsid w:val="00A94438"/>
    <w:rsid w:val="00AA390C"/>
    <w:rsid w:val="00AD5A4D"/>
    <w:rsid w:val="00AF0EAC"/>
    <w:rsid w:val="00B0200A"/>
    <w:rsid w:val="00B060DF"/>
    <w:rsid w:val="00B13EF2"/>
    <w:rsid w:val="00B1560D"/>
    <w:rsid w:val="00B574DB"/>
    <w:rsid w:val="00B826C2"/>
    <w:rsid w:val="00B8298E"/>
    <w:rsid w:val="00BB6FD8"/>
    <w:rsid w:val="00BC4A45"/>
    <w:rsid w:val="00BD0723"/>
    <w:rsid w:val="00BD2518"/>
    <w:rsid w:val="00BF1D1C"/>
    <w:rsid w:val="00C20C59"/>
    <w:rsid w:val="00C2727F"/>
    <w:rsid w:val="00C4421B"/>
    <w:rsid w:val="00C538FC"/>
    <w:rsid w:val="00C55B1F"/>
    <w:rsid w:val="00CC1FAF"/>
    <w:rsid w:val="00CF1A67"/>
    <w:rsid w:val="00D2750E"/>
    <w:rsid w:val="00D375E0"/>
    <w:rsid w:val="00D50A36"/>
    <w:rsid w:val="00D62446"/>
    <w:rsid w:val="00DA4EA2"/>
    <w:rsid w:val="00DC3D3E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626BC"/>
    <w:rsid w:val="00E8018B"/>
    <w:rsid w:val="00E92DE8"/>
    <w:rsid w:val="00EB1212"/>
    <w:rsid w:val="00ED65AB"/>
    <w:rsid w:val="00F12850"/>
    <w:rsid w:val="00F16E5C"/>
    <w:rsid w:val="00F24B71"/>
    <w:rsid w:val="00F33BF4"/>
    <w:rsid w:val="00F7105E"/>
    <w:rsid w:val="00F75F57"/>
    <w:rsid w:val="00F806E4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B1DDE2"/>
  <w15:docId w15:val="{1C03A5C3-4860-42BE-A817-0C9F22DC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paragraph" w:customStyle="1" w:styleId="Tablefin">
    <w:name w:val="Table_fin"/>
    <w:basedOn w:val="Tabletext"/>
    <w:rsid w:val="002901FF"/>
    <w:pPr>
      <w:tabs>
        <w:tab w:val="clear" w:pos="284"/>
        <w:tab w:val="clear" w:pos="567"/>
        <w:tab w:val="clear" w:pos="851"/>
      </w:tabs>
      <w:spacing w:before="0" w:after="0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hub/membership/our-members/exempted-entities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S19-CL-C-0141/es" TargetMode="External"/><Relationship Id="rId12" Type="http://schemas.openxmlformats.org/officeDocument/2006/relationships/hyperlink" Target="https://www.itu.int/hub/membership/our-members/exempted-entities/exemption-criteria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tu.int/itudoc/gs/council/c00/docs/28rev1-es.html" TargetMode="External"/><Relationship Id="rId11" Type="http://schemas.openxmlformats.org/officeDocument/2006/relationships/hyperlink" Target="https://www.itu.int/hub/membership/our-members/exempted-entities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itu.int/md/S19-CL-C-0141/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tu.int/itudoc/gs/council/c00/docs/28rev1-es.htm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rez\AppData\Roaming\Microsoft\Templates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5</TotalTime>
  <Pages>4</Pages>
  <Words>1280</Words>
  <Characters>7832</Characters>
  <Application>Microsoft Office Word</Application>
  <DocSecurity>0</DocSecurity>
  <Lines>174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Nuevas solicitudes de exoneración del pago de la cuota de organizaciones internacionales</vt:lpstr>
    </vt:vector>
  </TitlesOfParts>
  <Manager>Secretaría General - Pool</Manager>
  <Company>International Telecommunication Union</Company>
  <LinksUpToDate>false</LinksUpToDate>
  <CharactersWithSpaces>9017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Nuevas solicitudes de exoneración del pago de la cuota de organizaciones internacionales</dc:title>
  <dc:subject>Consejo 2026 de la UIT</dc:subject>
  <cp:keywords>C26; C2026; Council 2026; PP26</cp:keywords>
  <dc:description/>
  <cp:lastPrinted>2006-03-24T09:51:00Z</cp:lastPrinted>
  <dcterms:created xsi:type="dcterms:W3CDTF">2026-04-07T14:26:00Z</dcterms:created>
  <dcterms:modified xsi:type="dcterms:W3CDTF">2026-04-07T14:31:00Z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