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D60D46" w14:paraId="04BF768F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4F1FD732" w14:textId="2EC8B4A7" w:rsidR="00796BD3" w:rsidRPr="00D60D46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D60D46">
              <w:rPr>
                <w:b/>
                <w:lang w:val="ru-RU"/>
              </w:rPr>
              <w:t>Пункт повестки дня:</w:t>
            </w:r>
            <w:r w:rsidR="0033264D" w:rsidRPr="00D60D46">
              <w:rPr>
                <w:b/>
                <w:lang w:val="ru-RU"/>
              </w:rPr>
              <w:t xml:space="preserve"> </w:t>
            </w:r>
            <w:r w:rsidR="006F12A3">
              <w:rPr>
                <w:b/>
              </w:rPr>
              <w:t>ADM</w:t>
            </w:r>
            <w:r w:rsidR="0033264D" w:rsidRPr="00D60D46">
              <w:rPr>
                <w:b/>
                <w:lang w:val="ru-RU"/>
              </w:rPr>
              <w:t xml:space="preserve"> 1</w:t>
            </w:r>
          </w:p>
        </w:tc>
        <w:tc>
          <w:tcPr>
            <w:tcW w:w="5245" w:type="dxa"/>
          </w:tcPr>
          <w:p w14:paraId="138F8A75" w14:textId="142FC023" w:rsidR="00796BD3" w:rsidRPr="00D60D46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D60D46">
              <w:rPr>
                <w:b/>
                <w:lang w:val="ru-RU"/>
              </w:rPr>
              <w:t xml:space="preserve">Документ </w:t>
            </w:r>
            <w:r w:rsidR="00796BD3" w:rsidRPr="00D60D46">
              <w:rPr>
                <w:b/>
                <w:lang w:val="ru-RU"/>
              </w:rPr>
              <w:t>C2</w:t>
            </w:r>
            <w:r w:rsidR="00BE00DD" w:rsidRPr="00D60D46">
              <w:rPr>
                <w:b/>
                <w:lang w:val="ru-RU"/>
              </w:rPr>
              <w:t>6</w:t>
            </w:r>
            <w:r w:rsidR="00796BD3" w:rsidRPr="00D60D46">
              <w:rPr>
                <w:b/>
                <w:lang w:val="ru-RU"/>
              </w:rPr>
              <w:t>/</w:t>
            </w:r>
            <w:r w:rsidR="00F130B0" w:rsidRPr="00D60D46">
              <w:rPr>
                <w:b/>
                <w:lang w:val="ru-RU"/>
              </w:rPr>
              <w:t>56</w:t>
            </w:r>
            <w:r w:rsidR="00796BD3" w:rsidRPr="00D60D46">
              <w:rPr>
                <w:b/>
                <w:lang w:val="ru-RU"/>
              </w:rPr>
              <w:t>-R</w:t>
            </w:r>
          </w:p>
        </w:tc>
      </w:tr>
      <w:tr w:rsidR="00796BD3" w:rsidRPr="00D60D46" w14:paraId="62FDEC02" w14:textId="77777777" w:rsidTr="00D17718">
        <w:trPr>
          <w:cantSplit/>
        </w:trPr>
        <w:tc>
          <w:tcPr>
            <w:tcW w:w="3969" w:type="dxa"/>
            <w:vMerge/>
          </w:tcPr>
          <w:p w14:paraId="40340D70" w14:textId="77777777" w:rsidR="00796BD3" w:rsidRPr="00D60D46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7F45216" w14:textId="3A5AC9C6" w:rsidR="00796BD3" w:rsidRPr="00D60D46" w:rsidRDefault="00F130B0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D60D46">
              <w:rPr>
                <w:b/>
                <w:lang w:val="ru-RU"/>
              </w:rPr>
              <w:t>27 марта 2026 г</w:t>
            </w:r>
            <w:r w:rsidR="00CA60A7" w:rsidRPr="00D60D46">
              <w:rPr>
                <w:b/>
                <w:lang w:val="ru-RU"/>
              </w:rPr>
              <w:t>ода</w:t>
            </w:r>
          </w:p>
        </w:tc>
      </w:tr>
      <w:tr w:rsidR="00796BD3" w:rsidRPr="00D60D46" w14:paraId="28DC586C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4253F6A6" w14:textId="77777777" w:rsidR="00796BD3" w:rsidRPr="00D60D46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2A2A03B1" w14:textId="77777777" w:rsidR="00796BD3" w:rsidRPr="00D60D46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D60D46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D60D46" w14:paraId="7A033C2A" w14:textId="77777777" w:rsidTr="00D17718">
        <w:trPr>
          <w:cantSplit/>
          <w:trHeight w:val="23"/>
        </w:trPr>
        <w:tc>
          <w:tcPr>
            <w:tcW w:w="3969" w:type="dxa"/>
          </w:tcPr>
          <w:p w14:paraId="2838E6C6" w14:textId="77777777" w:rsidR="00796BD3" w:rsidRPr="00D60D46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29FA14F8" w14:textId="77777777" w:rsidR="00796BD3" w:rsidRPr="00D60D46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D60D46" w14:paraId="43A589C4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692821CC" w14:textId="77777777" w:rsidR="00796BD3" w:rsidRPr="00D60D46" w:rsidRDefault="0033025A" w:rsidP="00DF32DD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D60D46">
              <w:t xml:space="preserve">Отчет </w:t>
            </w:r>
            <w:r w:rsidRPr="00DF32DD">
              <w:t>Генерального</w:t>
            </w:r>
            <w:r w:rsidRPr="00D60D46">
              <w:t xml:space="preserve"> секретаря</w:t>
            </w:r>
          </w:p>
        </w:tc>
      </w:tr>
      <w:tr w:rsidR="00796BD3" w:rsidRPr="001B30C1" w14:paraId="49F586C7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0A30B4E" w14:textId="0B5E7E57" w:rsidR="00796BD3" w:rsidRPr="00DF32DD" w:rsidRDefault="000F6960" w:rsidP="00DF32DD">
            <w:pPr>
              <w:pStyle w:val="Subtitle"/>
              <w:framePr w:hSpace="0" w:wrap="auto" w:vAnchor="margin" w:hAnchor="text" w:xAlign="left" w:yAlign="inline"/>
              <w:suppressOverlap w:val="0"/>
            </w:pPr>
            <w:bookmarkStart w:id="6" w:name="_Hlk162974427"/>
            <w:bookmarkStart w:id="7" w:name="dtitle1" w:colFirst="0" w:colLast="0"/>
            <w:bookmarkEnd w:id="5"/>
            <w:r w:rsidRPr="00DF32DD">
              <w:t>НОВЫЕ ЗАЯВКИ НА ПРЕДОСТАВЛЕНИЕ ОСВОБОЖДЕНИЯ ОТ</w:t>
            </w:r>
            <w:r w:rsidR="00CA60A7" w:rsidRPr="00DF32DD">
              <w:t> </w:t>
            </w:r>
            <w:r w:rsidRPr="00DF32DD">
              <w:t>УПЛАТЫ ВЗНОСОВ ОРГАНИЗАЦИЙ МЕЖДУНАРОДНОГО ХАРАКТЕРА</w:t>
            </w:r>
            <w:bookmarkEnd w:id="6"/>
          </w:p>
        </w:tc>
      </w:tr>
      <w:tr w:rsidR="00796BD3" w:rsidRPr="00D60D46" w14:paraId="602A6BC5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6B405928" w14:textId="77777777" w:rsidR="00796BD3" w:rsidRPr="00D60D46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D60D46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1EA93DB5" w14:textId="1DC960F5" w:rsidR="00796BD3" w:rsidRPr="00D60D46" w:rsidRDefault="00F130B0" w:rsidP="00DF32DD">
            <w:pPr>
              <w:jc w:val="both"/>
              <w:rPr>
                <w:lang w:val="ru-RU"/>
              </w:rPr>
            </w:pPr>
            <w:r w:rsidRPr="00D60D46">
              <w:rPr>
                <w:lang w:val="ru-RU"/>
              </w:rPr>
              <w:t xml:space="preserve">Ежегодно МСЭ получает заявки от организаций международного характера, запрашивающих освобождение от уплаты членских взносов и других финансовых </w:t>
            </w:r>
            <w:r w:rsidR="00AE5C84" w:rsidRPr="00D60D46">
              <w:rPr>
                <w:lang w:val="ru-RU"/>
              </w:rPr>
              <w:t>взносов</w:t>
            </w:r>
            <w:r w:rsidRPr="00D60D46">
              <w:rPr>
                <w:lang w:val="ru-RU"/>
              </w:rPr>
              <w:t xml:space="preserve"> в Союз на основе принципа взаимности. Эти новые заявки рассматриваются Секретариатом в соответствии с</w:t>
            </w:r>
            <w:r w:rsidR="00CA60A7" w:rsidRPr="00D60D46">
              <w:rPr>
                <w:lang w:val="ru-RU"/>
              </w:rPr>
              <w:t> </w:t>
            </w:r>
            <w:r w:rsidRPr="00D60D46">
              <w:rPr>
                <w:lang w:val="ru-RU"/>
              </w:rPr>
              <w:t>критериями, установленными Советом</w:t>
            </w:r>
            <w:r w:rsidR="00AE5C84" w:rsidRPr="00D60D46">
              <w:rPr>
                <w:lang w:val="ru-RU"/>
              </w:rPr>
              <w:t>.</w:t>
            </w:r>
          </w:p>
          <w:p w14:paraId="5DB10B10" w14:textId="77777777" w:rsidR="00796BD3" w:rsidRPr="00D60D46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D60D46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6C025B7F" w14:textId="4758729F" w:rsidR="00796BD3" w:rsidRPr="00D60D46" w:rsidRDefault="00F130B0" w:rsidP="00DF32DD">
            <w:pPr>
              <w:jc w:val="both"/>
              <w:rPr>
                <w:lang w:val="ru-RU"/>
              </w:rPr>
            </w:pPr>
            <w:r w:rsidRPr="00D60D46">
              <w:rPr>
                <w:lang w:val="ru-RU"/>
              </w:rPr>
              <w:t xml:space="preserve">Совету предлагается </w:t>
            </w:r>
            <w:r w:rsidRPr="00D60D46">
              <w:rPr>
                <w:b/>
                <w:bCs/>
                <w:lang w:val="ru-RU"/>
              </w:rPr>
              <w:t>рассмотреть</w:t>
            </w:r>
            <w:r w:rsidRPr="00D60D46">
              <w:rPr>
                <w:lang w:val="ru-RU"/>
              </w:rPr>
              <w:t xml:space="preserve"> рекомендации Генерального секретаря относительно новых заявок на освобождение от уплаты</w:t>
            </w:r>
            <w:r w:rsidR="00CA60A7" w:rsidRPr="00D60D46">
              <w:rPr>
                <w:lang w:val="ru-RU"/>
              </w:rPr>
              <w:t>.</w:t>
            </w:r>
          </w:p>
          <w:p w14:paraId="317D0C8D" w14:textId="77777777" w:rsidR="00796BD3" w:rsidRPr="00D60D46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D60D46">
              <w:rPr>
                <w:b/>
                <w:bCs/>
                <w:sz w:val="24"/>
                <w:szCs w:val="24"/>
                <w:lang w:val="ru-RU"/>
              </w:rPr>
              <w:t>Соответствующая увязка со Стратегическим планом</w:t>
            </w:r>
          </w:p>
          <w:p w14:paraId="255748FA" w14:textId="1C9F29D1" w:rsidR="00796BD3" w:rsidRPr="00D60D46" w:rsidRDefault="0033264D" w:rsidP="00DF32DD">
            <w:pPr>
              <w:jc w:val="both"/>
              <w:rPr>
                <w:lang w:val="ru-RU"/>
              </w:rPr>
            </w:pPr>
            <w:r w:rsidRPr="00D60D46">
              <w:rPr>
                <w:lang w:val="ru-RU"/>
              </w:rPr>
              <w:t>Партнерские отношения и международное сотрудничество</w:t>
            </w:r>
            <w:r w:rsidR="00D120D5" w:rsidRPr="00D60D46">
              <w:rPr>
                <w:lang w:val="ru-RU"/>
              </w:rPr>
              <w:t>.</w:t>
            </w:r>
          </w:p>
          <w:p w14:paraId="20976ACD" w14:textId="77777777" w:rsidR="00796BD3" w:rsidRPr="00D60D46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D60D46">
              <w:rPr>
                <w:b/>
                <w:bCs/>
                <w:sz w:val="24"/>
                <w:szCs w:val="24"/>
                <w:lang w:val="ru-RU"/>
              </w:rPr>
              <w:t>Финансовые последствия</w:t>
            </w:r>
          </w:p>
          <w:p w14:paraId="6BE8F4FD" w14:textId="2113F9EA" w:rsidR="00345D2A" w:rsidRPr="00D60D46" w:rsidRDefault="0033264D" w:rsidP="00DF32DD">
            <w:pPr>
              <w:jc w:val="both"/>
              <w:rPr>
                <w:szCs w:val="22"/>
                <w:lang w:val="ru-RU"/>
              </w:rPr>
            </w:pPr>
            <w:r w:rsidRPr="00D60D46">
              <w:rPr>
                <w:lang w:val="ru-RU"/>
              </w:rPr>
              <w:t>48 тыс. швейцарских франков в год для двух организаций, которым рекомендовано освобождение от уплаты членских взносов</w:t>
            </w:r>
            <w:r w:rsidR="00D120D5" w:rsidRPr="00D60D46">
              <w:rPr>
                <w:lang w:val="ru-RU"/>
              </w:rPr>
              <w:t>.</w:t>
            </w:r>
          </w:p>
          <w:p w14:paraId="630B88CA" w14:textId="77777777" w:rsidR="00796BD3" w:rsidRPr="00D60D46" w:rsidRDefault="00796BD3" w:rsidP="00D17718">
            <w:pPr>
              <w:spacing w:before="160"/>
              <w:rPr>
                <w:caps/>
                <w:sz w:val="20"/>
                <w:szCs w:val="18"/>
                <w:lang w:val="ru-RU"/>
              </w:rPr>
            </w:pPr>
            <w:r w:rsidRPr="00D60D46">
              <w:rPr>
                <w:sz w:val="20"/>
                <w:szCs w:val="18"/>
                <w:lang w:val="ru-RU"/>
              </w:rPr>
              <w:t>__________________</w:t>
            </w:r>
          </w:p>
          <w:p w14:paraId="4C8BA964" w14:textId="77777777" w:rsidR="00796BD3" w:rsidRPr="00D60D46" w:rsidRDefault="0033025A" w:rsidP="00D17718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D60D46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24EE2C69" w14:textId="7483A569" w:rsidR="00796BD3" w:rsidRPr="00D60D46" w:rsidRDefault="0033264D" w:rsidP="00DF32DD">
            <w:pPr>
              <w:spacing w:after="120"/>
              <w:rPr>
                <w:i/>
                <w:iCs/>
                <w:lang w:val="ru-RU"/>
              </w:rPr>
            </w:pPr>
            <w:r w:rsidRPr="00D60D46">
              <w:rPr>
                <w:i/>
                <w:iCs/>
                <w:color w:val="000000"/>
                <w:lang w:val="ru-RU"/>
              </w:rPr>
              <w:t xml:space="preserve">Документ </w:t>
            </w:r>
            <w:hyperlink r:id="rId8" w:history="1">
              <w:r w:rsidR="00D120D5" w:rsidRPr="00D60D46">
                <w:rPr>
                  <w:rStyle w:val="Hyperlink"/>
                  <w:rFonts w:eastAsia="Calibri" w:cs="Calibri"/>
                  <w:i/>
                  <w:iCs/>
                  <w:szCs w:val="22"/>
                  <w:lang w:val="ru-RU"/>
                </w:rPr>
                <w:t>C2000/28(Rev.1)</w:t>
              </w:r>
            </w:hyperlink>
            <w:r w:rsidRPr="00D60D46">
              <w:rPr>
                <w:i/>
                <w:iCs/>
                <w:color w:val="000000"/>
                <w:lang w:val="ru-RU"/>
              </w:rPr>
              <w:t xml:space="preserve">, </w:t>
            </w:r>
            <w:hyperlink r:id="rId9" w:history="1">
              <w:r w:rsidRPr="00D60D46">
                <w:rPr>
                  <w:rStyle w:val="Hyperlink"/>
                  <w:i/>
                  <w:iCs/>
                  <w:lang w:val="ru-RU"/>
                </w:rPr>
                <w:t>Резолюция 925 Совета</w:t>
              </w:r>
            </w:hyperlink>
            <w:r w:rsidRPr="00D60D46">
              <w:rPr>
                <w:i/>
                <w:iCs/>
                <w:color w:val="000000"/>
                <w:lang w:val="ru-RU"/>
              </w:rPr>
              <w:t xml:space="preserve">, </w:t>
            </w:r>
            <w:hyperlink r:id="rId10" w:history="1">
              <w:r w:rsidRPr="00D60D46">
                <w:rPr>
                  <w:rStyle w:val="Hyperlink"/>
                  <w:i/>
                  <w:iCs/>
                  <w:lang w:val="ru-RU"/>
                </w:rPr>
                <w:t xml:space="preserve">Критерии Совета для освобождения </w:t>
              </w:r>
              <w:r w:rsidR="00D120D5" w:rsidRPr="00D60D46">
                <w:rPr>
                  <w:rStyle w:val="Hyperlink"/>
                  <w:i/>
                  <w:iCs/>
                  <w:lang w:val="ru-RU"/>
                </w:rPr>
                <w:t xml:space="preserve">от уплаты взносов </w:t>
              </w:r>
              <w:r w:rsidRPr="00D60D46">
                <w:rPr>
                  <w:rStyle w:val="Hyperlink"/>
                  <w:i/>
                  <w:iCs/>
                  <w:lang w:val="ru-RU"/>
                </w:rPr>
                <w:t>(Пересм. 2017 г.)</w:t>
              </w:r>
            </w:hyperlink>
          </w:p>
        </w:tc>
      </w:tr>
      <w:bookmarkEnd w:id="2"/>
      <w:bookmarkEnd w:id="7"/>
    </w:tbl>
    <w:p w14:paraId="5675442D" w14:textId="77777777" w:rsidR="00796BD3" w:rsidRPr="00D60D46" w:rsidRDefault="00796BD3" w:rsidP="00796BD3">
      <w:pPr>
        <w:rPr>
          <w:lang w:val="ru-RU"/>
        </w:rPr>
      </w:pPr>
    </w:p>
    <w:p w14:paraId="09BB2E1D" w14:textId="77777777" w:rsidR="00165D06" w:rsidRPr="00D60D46" w:rsidRDefault="00165D06" w:rsidP="00CA60A7">
      <w:pPr>
        <w:rPr>
          <w:lang w:val="ru-RU"/>
        </w:rPr>
      </w:pPr>
      <w:r w:rsidRPr="00D60D46">
        <w:rPr>
          <w:lang w:val="ru-RU"/>
        </w:rPr>
        <w:br w:type="page"/>
      </w:r>
    </w:p>
    <w:p w14:paraId="4AB9A5F3" w14:textId="77777777" w:rsidR="0033264D" w:rsidRPr="00D60D46" w:rsidRDefault="0033264D" w:rsidP="00CA60A7">
      <w:pPr>
        <w:pStyle w:val="Heading1"/>
        <w:rPr>
          <w:rFonts w:eastAsia="Calibri"/>
          <w:lang w:val="ru-RU"/>
        </w:rPr>
      </w:pPr>
      <w:r w:rsidRPr="00D60D46">
        <w:rPr>
          <w:lang w:val="ru-RU"/>
        </w:rPr>
        <w:lastRenderedPageBreak/>
        <w:t>1</w:t>
      </w:r>
      <w:r w:rsidRPr="00D60D46">
        <w:rPr>
          <w:lang w:val="ru-RU"/>
        </w:rPr>
        <w:tab/>
        <w:t>Базовая информация</w:t>
      </w:r>
    </w:p>
    <w:p w14:paraId="4F2029E0" w14:textId="1C573B23" w:rsidR="0033264D" w:rsidRPr="00D60D46" w:rsidRDefault="0033264D" w:rsidP="00DF32DD">
      <w:pPr>
        <w:jc w:val="both"/>
        <w:rPr>
          <w:rFonts w:eastAsia="Calibri"/>
          <w:spacing w:val="-2"/>
          <w:lang w:val="ru-RU"/>
        </w:rPr>
      </w:pPr>
      <w:r w:rsidRPr="00D60D46">
        <w:rPr>
          <w:lang w:val="ru-RU"/>
        </w:rPr>
        <w:t>1.1</w:t>
      </w:r>
      <w:r w:rsidRPr="00D60D46">
        <w:rPr>
          <w:lang w:val="ru-RU"/>
        </w:rPr>
        <w:tab/>
        <w:t xml:space="preserve">Ежегодно МСЭ получает заявки от организаций международного характера, запрашивающих освобождение от уплаты членских взносов и других финансовых </w:t>
      </w:r>
      <w:r w:rsidR="00EF05B5" w:rsidRPr="00D60D46">
        <w:rPr>
          <w:lang w:val="ru-RU"/>
        </w:rPr>
        <w:t>взносов</w:t>
      </w:r>
      <w:r w:rsidRPr="00D60D46">
        <w:rPr>
          <w:lang w:val="ru-RU"/>
        </w:rPr>
        <w:t xml:space="preserve"> в Союз. Эти заявки рассматриваются в соответствии с процедурой, установленной на сессии Совета в 2000 году (Документ </w:t>
      </w:r>
      <w:hyperlink r:id="rId11" w:history="1">
        <w:r w:rsidRPr="00D60D46">
          <w:rPr>
            <w:rStyle w:val="Hyperlink"/>
            <w:lang w:val="ru-RU"/>
          </w:rPr>
          <w:t>C2000/28(Rev.1)</w:t>
        </w:r>
      </w:hyperlink>
      <w:r w:rsidRPr="00D60D46">
        <w:rPr>
          <w:lang w:val="ru-RU"/>
        </w:rPr>
        <w:t>), а также в соответствии с п.</w:t>
      </w:r>
      <w:r w:rsidR="00CA60A7" w:rsidRPr="00D60D46">
        <w:rPr>
          <w:lang w:val="ru-RU"/>
        </w:rPr>
        <w:t> </w:t>
      </w:r>
      <w:r w:rsidRPr="00D60D46">
        <w:rPr>
          <w:lang w:val="ru-RU"/>
        </w:rPr>
        <w:t xml:space="preserve">476 Конвенции, </w:t>
      </w:r>
      <w:hyperlink r:id="rId12" w:history="1">
        <w:r w:rsidRPr="00D60D46">
          <w:rPr>
            <w:rStyle w:val="Hyperlink"/>
            <w:lang w:val="ru-RU"/>
          </w:rPr>
          <w:t>Резолюцией 925 Совета</w:t>
        </w:r>
      </w:hyperlink>
      <w:r w:rsidRPr="00D60D46">
        <w:rPr>
          <w:lang w:val="ru-RU"/>
        </w:rPr>
        <w:t xml:space="preserve"> и критериями, установленными Советом, пересмотренными в 2017</w:t>
      </w:r>
      <w:r w:rsidR="00CA60A7" w:rsidRPr="00D60D46">
        <w:rPr>
          <w:lang w:val="ru-RU"/>
        </w:rPr>
        <w:t> </w:t>
      </w:r>
      <w:r w:rsidRPr="00D60D46">
        <w:rPr>
          <w:lang w:val="ru-RU"/>
        </w:rPr>
        <w:t>году (см. пункт 1.5, ниже).</w:t>
      </w:r>
      <w:hyperlink r:id="rId13" w:history="1"/>
      <w:hyperlink r:id="rId14" w:history="1"/>
    </w:p>
    <w:p w14:paraId="1FF364F9" w14:textId="4E849395" w:rsidR="0033264D" w:rsidRPr="00D60D46" w:rsidRDefault="0033264D" w:rsidP="00DF32DD">
      <w:pPr>
        <w:jc w:val="both"/>
        <w:rPr>
          <w:rFonts w:eastAsia="Calibri"/>
          <w:lang w:val="ru-RU"/>
        </w:rPr>
      </w:pPr>
      <w:r w:rsidRPr="00D60D46">
        <w:rPr>
          <w:lang w:val="ru-RU"/>
        </w:rPr>
        <w:t>1.2</w:t>
      </w:r>
      <w:r w:rsidRPr="00D60D46">
        <w:rPr>
          <w:lang w:val="ru-RU"/>
        </w:rPr>
        <w:tab/>
        <w:t>Освобождение от уплаты взносов предоставляется Советом после анализа соответствующих Бюро и по рекомендации Генерального секретаря. В случае утверждения организации становятся Членами Секторов или Ассоциированными членами согласно п.</w:t>
      </w:r>
      <w:r w:rsidR="00CA60A7" w:rsidRPr="00D60D46">
        <w:rPr>
          <w:lang w:val="ru-RU"/>
        </w:rPr>
        <w:t> </w:t>
      </w:r>
      <w:r w:rsidRPr="00D60D46">
        <w:rPr>
          <w:lang w:val="ru-RU"/>
        </w:rPr>
        <w:t>231 Конвенции.</w:t>
      </w:r>
    </w:p>
    <w:p w14:paraId="57755BD4" w14:textId="76DBB4F7" w:rsidR="0033264D" w:rsidRPr="00D60D46" w:rsidRDefault="0033264D" w:rsidP="00DF32DD">
      <w:pPr>
        <w:jc w:val="both"/>
        <w:rPr>
          <w:rFonts w:eastAsia="Calibri"/>
          <w:lang w:val="ru-RU"/>
        </w:rPr>
      </w:pPr>
      <w:r w:rsidRPr="00D60D46">
        <w:rPr>
          <w:lang w:val="ru-RU"/>
        </w:rPr>
        <w:t>1.3</w:t>
      </w:r>
      <w:r w:rsidRPr="00D60D46">
        <w:rPr>
          <w:lang w:val="ru-RU"/>
        </w:rPr>
        <w:tab/>
        <w:t xml:space="preserve">В настоящее время от уплаты освобождены 145 организаций международного характера. Полный список доступен </w:t>
      </w:r>
      <w:hyperlink r:id="rId15" w:history="1">
        <w:r w:rsidRPr="00D60D46">
          <w:rPr>
            <w:rStyle w:val="Hyperlink"/>
            <w:lang w:val="ru-RU"/>
          </w:rPr>
          <w:t>здесь</w:t>
        </w:r>
      </w:hyperlink>
      <w:r w:rsidRPr="00D60D46">
        <w:rPr>
          <w:lang w:val="ru-RU"/>
        </w:rPr>
        <w:t>.</w:t>
      </w:r>
      <w:hyperlink r:id="rId16"/>
    </w:p>
    <w:p w14:paraId="4C50B6C5" w14:textId="47C7DBE7" w:rsidR="0033264D" w:rsidRPr="00D60D46" w:rsidRDefault="0033264D" w:rsidP="00DF32DD">
      <w:pPr>
        <w:jc w:val="both"/>
        <w:rPr>
          <w:rFonts w:eastAsia="Calibri"/>
          <w:lang w:val="ru-RU"/>
        </w:rPr>
      </w:pPr>
      <w:r w:rsidRPr="00D60D46">
        <w:rPr>
          <w:lang w:val="ru-RU"/>
        </w:rPr>
        <w:t>1.4</w:t>
      </w:r>
      <w:r w:rsidRPr="00D60D46">
        <w:rPr>
          <w:lang w:val="ru-RU"/>
        </w:rPr>
        <w:tab/>
        <w:t>Полномочная конференция 2014 года в своей Резолюции 187 (Пусан, 2014 г.) поручила Совету "рассмотреть практику и критерии освобождения объединений от членских сборов и при необходимости внести изменения, направленные на ужесточение критериев соответствия условиям, чтобы содействовать большей ясности, последовательности и справедливости в</w:t>
      </w:r>
      <w:r w:rsidR="00CA60A7" w:rsidRPr="00D60D46">
        <w:rPr>
          <w:lang w:val="ru-RU"/>
        </w:rPr>
        <w:t> </w:t>
      </w:r>
      <w:r w:rsidRPr="00D60D46">
        <w:rPr>
          <w:lang w:val="ru-RU"/>
        </w:rPr>
        <w:t>отношении платящих и не платящих взносы членов и сократить общее количество освобожденных объединений".</w:t>
      </w:r>
    </w:p>
    <w:p w14:paraId="4F808CD7" w14:textId="524632E0" w:rsidR="0033264D" w:rsidRPr="00D60D46" w:rsidRDefault="0033264D" w:rsidP="00DF32DD">
      <w:pPr>
        <w:jc w:val="both"/>
        <w:rPr>
          <w:rFonts w:eastAsia="Calibri"/>
          <w:szCs w:val="24"/>
          <w:lang w:val="ru-RU"/>
        </w:rPr>
      </w:pPr>
      <w:r w:rsidRPr="00D60D46">
        <w:rPr>
          <w:lang w:val="ru-RU"/>
        </w:rPr>
        <w:t>1.5</w:t>
      </w:r>
      <w:r w:rsidRPr="00D60D46">
        <w:rPr>
          <w:lang w:val="ru-RU"/>
        </w:rPr>
        <w:tab/>
        <w:t xml:space="preserve">Совет 2017 года утвердил пересмотренные критерии, представленные </w:t>
      </w:r>
      <w:hyperlink r:id="rId17" w:history="1">
        <w:r w:rsidRPr="00D60D46">
          <w:rPr>
            <w:rStyle w:val="Hyperlink"/>
            <w:lang w:val="ru-RU"/>
          </w:rPr>
          <w:t>здесь</w:t>
        </w:r>
      </w:hyperlink>
      <w:r w:rsidRPr="00D60D46">
        <w:rPr>
          <w:lang w:val="ru-RU"/>
        </w:rPr>
        <w:t>. С этого времени на каждой сессии Совет рассматривает новые заявки в соответствии с этими критериями.</w:t>
      </w:r>
      <w:hyperlink r:id="rId18" w:history="1"/>
    </w:p>
    <w:p w14:paraId="11A7F5D1" w14:textId="468279DE" w:rsidR="0033264D" w:rsidRPr="00D60D46" w:rsidRDefault="0033264D" w:rsidP="00DF32DD">
      <w:pPr>
        <w:jc w:val="both"/>
        <w:rPr>
          <w:rFonts w:eastAsia="Calibri"/>
          <w:lang w:val="ru-RU"/>
        </w:rPr>
      </w:pPr>
      <w:r w:rsidRPr="00D60D46">
        <w:rPr>
          <w:lang w:val="ru-RU"/>
        </w:rPr>
        <w:t>1.6</w:t>
      </w:r>
      <w:r w:rsidRPr="00D60D46">
        <w:rPr>
          <w:lang w:val="ru-RU"/>
        </w:rPr>
        <w:tab/>
        <w:t>В настоящем документе рассматриваются только новые заявки на освобождение от</w:t>
      </w:r>
      <w:r w:rsidR="00CA60A7" w:rsidRPr="00D60D46">
        <w:rPr>
          <w:lang w:val="ru-RU"/>
        </w:rPr>
        <w:t> </w:t>
      </w:r>
      <w:r w:rsidRPr="00D60D46">
        <w:rPr>
          <w:lang w:val="ru-RU"/>
        </w:rPr>
        <w:t>уплаты взносов за период после прошлой сессии Совета.</w:t>
      </w:r>
    </w:p>
    <w:p w14:paraId="738E0101" w14:textId="77777777" w:rsidR="0033264D" w:rsidRPr="00D60D46" w:rsidRDefault="0033264D" w:rsidP="0033264D">
      <w:pPr>
        <w:pStyle w:val="Heading1"/>
        <w:rPr>
          <w:lang w:val="ru-RU"/>
        </w:rPr>
      </w:pPr>
      <w:r w:rsidRPr="00D60D46">
        <w:rPr>
          <w:lang w:val="ru-RU"/>
        </w:rPr>
        <w:t>2</w:t>
      </w:r>
      <w:r w:rsidRPr="00D60D46">
        <w:rPr>
          <w:lang w:val="ru-RU"/>
        </w:rPr>
        <w:tab/>
        <w:t>Новые заявки и рекомендации</w:t>
      </w:r>
    </w:p>
    <w:p w14:paraId="29C97867" w14:textId="36CC35F6" w:rsidR="0033264D" w:rsidRPr="00D60D46" w:rsidRDefault="0033264D" w:rsidP="00087318">
      <w:pPr>
        <w:spacing w:after="120"/>
        <w:rPr>
          <w:rFonts w:eastAsia="SimSun"/>
          <w:lang w:val="ru-RU"/>
        </w:rPr>
      </w:pPr>
      <w:r w:rsidRPr="00D60D46">
        <w:rPr>
          <w:lang w:val="ru-RU"/>
        </w:rPr>
        <w:t>2</w:t>
      </w:r>
      <w:r w:rsidR="00A608C7" w:rsidRPr="00D60D46">
        <w:rPr>
          <w:lang w:val="ru-RU"/>
        </w:rPr>
        <w:t>.</w:t>
      </w:r>
      <w:r w:rsidRPr="00D60D46">
        <w:rPr>
          <w:lang w:val="ru-RU"/>
        </w:rPr>
        <w:t>1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27"/>
        <w:gridCol w:w="2264"/>
        <w:gridCol w:w="2264"/>
      </w:tblGrid>
      <w:tr w:rsidR="0033264D" w:rsidRPr="00D60D46" w14:paraId="23924D2F" w14:textId="77777777" w:rsidTr="00AA30D0">
        <w:trPr>
          <w:cantSplit/>
          <w:jc w:val="center"/>
        </w:trPr>
        <w:tc>
          <w:tcPr>
            <w:tcW w:w="2500" w:type="pct"/>
          </w:tcPr>
          <w:p w14:paraId="3A624503" w14:textId="77777777" w:rsidR="0033264D" w:rsidRPr="00D60D46" w:rsidRDefault="0033264D" w:rsidP="00087318">
            <w:pPr>
              <w:pStyle w:val="Tablehead"/>
              <w:rPr>
                <w:rFonts w:eastAsia="SimSun"/>
                <w:lang w:val="ru-RU"/>
              </w:rPr>
            </w:pPr>
            <w:r w:rsidRPr="00D60D46">
              <w:rPr>
                <w:lang w:val="ru-RU"/>
              </w:rPr>
              <w:t>Организация</w:t>
            </w:r>
          </w:p>
        </w:tc>
        <w:tc>
          <w:tcPr>
            <w:tcW w:w="1250" w:type="pct"/>
          </w:tcPr>
          <w:p w14:paraId="66FE6738" w14:textId="1727AD96" w:rsidR="0033264D" w:rsidRPr="00D60D46" w:rsidRDefault="0033264D" w:rsidP="00087318">
            <w:pPr>
              <w:pStyle w:val="Tablehead"/>
              <w:rPr>
                <w:rFonts w:eastAsia="SimSun"/>
                <w:lang w:val="ru-RU"/>
              </w:rPr>
            </w:pPr>
            <w:r w:rsidRPr="00D60D46">
              <w:rPr>
                <w:lang w:val="ru-RU"/>
              </w:rPr>
              <w:t>Членс</w:t>
            </w:r>
            <w:r w:rsidR="000F6960" w:rsidRPr="00D60D46">
              <w:rPr>
                <w:lang w:val="ru-RU"/>
              </w:rPr>
              <w:t xml:space="preserve">тво </w:t>
            </w:r>
          </w:p>
        </w:tc>
        <w:tc>
          <w:tcPr>
            <w:tcW w:w="1250" w:type="pct"/>
          </w:tcPr>
          <w:p w14:paraId="48CAB519" w14:textId="77777777" w:rsidR="0033264D" w:rsidRPr="00D60D46" w:rsidRDefault="0033264D" w:rsidP="00087318">
            <w:pPr>
              <w:pStyle w:val="Tablehead"/>
              <w:rPr>
                <w:rFonts w:eastAsia="SimSun"/>
                <w:lang w:val="ru-RU"/>
              </w:rPr>
            </w:pPr>
            <w:r w:rsidRPr="00D60D46">
              <w:rPr>
                <w:lang w:val="ru-RU"/>
              </w:rPr>
              <w:t>Рекомендация</w:t>
            </w:r>
          </w:p>
        </w:tc>
      </w:tr>
      <w:tr w:rsidR="0033264D" w:rsidRPr="00D60D46" w14:paraId="79AEA7A3" w14:textId="77777777" w:rsidTr="00AA30D0">
        <w:trPr>
          <w:cantSplit/>
          <w:trHeight w:val="805"/>
          <w:jc w:val="center"/>
        </w:trPr>
        <w:tc>
          <w:tcPr>
            <w:tcW w:w="2500" w:type="pct"/>
            <w:vAlign w:val="center"/>
          </w:tcPr>
          <w:p w14:paraId="3EA7DA64" w14:textId="77777777" w:rsidR="0033264D" w:rsidRPr="00D60D46" w:rsidRDefault="0033264D" w:rsidP="00087318">
            <w:pPr>
              <w:pStyle w:val="Tabletext"/>
              <w:rPr>
                <w:b/>
                <w:bCs/>
                <w:lang w:val="ru-RU"/>
              </w:rPr>
            </w:pPr>
            <w:r w:rsidRPr="00D60D46">
              <w:rPr>
                <w:b/>
                <w:bCs/>
                <w:lang w:val="ru-RU"/>
              </w:rPr>
              <w:t>Инициатива Бенгальского залива по многоотраслевому техническому и экономическому сотрудничеству (BIMSTEC)</w:t>
            </w:r>
          </w:p>
        </w:tc>
        <w:tc>
          <w:tcPr>
            <w:tcW w:w="1250" w:type="pct"/>
            <w:vAlign w:val="center"/>
          </w:tcPr>
          <w:p w14:paraId="487211C2" w14:textId="77777777" w:rsidR="0033264D" w:rsidRPr="00D60D46" w:rsidRDefault="0033264D" w:rsidP="00087318">
            <w:pPr>
              <w:pStyle w:val="Tabletext"/>
              <w:jc w:val="center"/>
              <w:rPr>
                <w:rFonts w:eastAsia="SimSun"/>
                <w:lang w:val="ru-RU"/>
              </w:rPr>
            </w:pPr>
            <w:r w:rsidRPr="00D60D46">
              <w:rPr>
                <w:lang w:val="ru-RU"/>
              </w:rPr>
              <w:t>МСЭ-D</w:t>
            </w:r>
          </w:p>
        </w:tc>
        <w:tc>
          <w:tcPr>
            <w:tcW w:w="1250" w:type="pct"/>
            <w:vAlign w:val="center"/>
          </w:tcPr>
          <w:p w14:paraId="5B201ABD" w14:textId="77777777" w:rsidR="0033264D" w:rsidRPr="00D60D46" w:rsidRDefault="0033264D" w:rsidP="00087318">
            <w:pPr>
              <w:pStyle w:val="Tabletext"/>
              <w:jc w:val="center"/>
              <w:rPr>
                <w:rFonts w:eastAsia="SimSun"/>
                <w:lang w:val="ru-RU"/>
              </w:rPr>
            </w:pPr>
            <w:r w:rsidRPr="00D60D46">
              <w:rPr>
                <w:lang w:val="ru-RU"/>
              </w:rPr>
              <w:t>Да</w:t>
            </w:r>
          </w:p>
        </w:tc>
      </w:tr>
    </w:tbl>
    <w:p w14:paraId="094746E5" w14:textId="77777777" w:rsidR="00DF32DD" w:rsidRDefault="00DF32DD" w:rsidP="00DF32DD">
      <w:pPr>
        <w:pStyle w:val="Tablefin"/>
        <w:rPr>
          <w:lang w:val="es-ES"/>
        </w:rPr>
      </w:pPr>
    </w:p>
    <w:p w14:paraId="1A01F60A" w14:textId="69DE1E8F" w:rsidR="0033264D" w:rsidRPr="00D60D46" w:rsidRDefault="0033264D" w:rsidP="00DF32DD">
      <w:pPr>
        <w:jc w:val="both"/>
        <w:rPr>
          <w:lang w:val="ru-RU"/>
        </w:rPr>
      </w:pPr>
      <w:r w:rsidRPr="00D60D46">
        <w:rPr>
          <w:lang w:val="ru-RU"/>
        </w:rPr>
        <w:t xml:space="preserve">Инициатива Бенгальского залива по многоотраслевому техническому и экономическому сотрудничеству (BIMSTEC) </w:t>
      </w:r>
      <w:r w:rsidR="00EF05B5" w:rsidRPr="00D60D46">
        <w:rPr>
          <w:lang w:val="ru-RU"/>
        </w:rPr>
        <w:t>представляет собой</w:t>
      </w:r>
      <w:r w:rsidRPr="00D60D46">
        <w:rPr>
          <w:lang w:val="ru-RU"/>
        </w:rPr>
        <w:t xml:space="preserve"> межправительственн</w:t>
      </w:r>
      <w:r w:rsidR="00EF05B5" w:rsidRPr="00D60D46">
        <w:rPr>
          <w:lang w:val="ru-RU"/>
        </w:rPr>
        <w:t>ую</w:t>
      </w:r>
      <w:r w:rsidRPr="00D60D46">
        <w:rPr>
          <w:lang w:val="ru-RU"/>
        </w:rPr>
        <w:t xml:space="preserve"> региональн</w:t>
      </w:r>
      <w:r w:rsidR="00EF05B5" w:rsidRPr="00D60D46">
        <w:rPr>
          <w:lang w:val="ru-RU"/>
        </w:rPr>
        <w:t>ую</w:t>
      </w:r>
      <w:r w:rsidRPr="00D60D46">
        <w:rPr>
          <w:lang w:val="ru-RU"/>
        </w:rPr>
        <w:t xml:space="preserve"> организаци</w:t>
      </w:r>
      <w:r w:rsidR="00EF05B5" w:rsidRPr="00D60D46">
        <w:rPr>
          <w:lang w:val="ru-RU"/>
        </w:rPr>
        <w:t>ю</w:t>
      </w:r>
      <w:r w:rsidRPr="00D60D46">
        <w:rPr>
          <w:lang w:val="ru-RU"/>
        </w:rPr>
        <w:t>, целью которой является ускорение экономического развития и социального прогресса, содействие сотрудничеству в экономической, социальной, технической и научной областях.</w:t>
      </w:r>
    </w:p>
    <w:p w14:paraId="58488CD6" w14:textId="46A20E7D" w:rsidR="0033264D" w:rsidRPr="00D60D46" w:rsidRDefault="0033264D" w:rsidP="00DF32DD">
      <w:pPr>
        <w:jc w:val="both"/>
        <w:rPr>
          <w:lang w:val="ru-RU"/>
        </w:rPr>
      </w:pPr>
      <w:r w:rsidRPr="00D60D46">
        <w:rPr>
          <w:lang w:val="ru-RU"/>
        </w:rPr>
        <w:t>Организация была создана в 1997 году. Первоначально известная как BIST-EC (Экономическое сотрудничество Бангладеш – Индия – Шри-Ланка – Таиланд), в настоящее время эта организация известна как BIMSTEC и включает семь государств-членов</w:t>
      </w:r>
      <w:r w:rsidR="005551DC" w:rsidRPr="00D60D46">
        <w:rPr>
          <w:lang w:val="ru-RU"/>
        </w:rPr>
        <w:t xml:space="preserve">; </w:t>
      </w:r>
      <w:r w:rsidRPr="00D60D46">
        <w:rPr>
          <w:lang w:val="ru-RU"/>
        </w:rPr>
        <w:t>22 декабря 1997</w:t>
      </w:r>
      <w:r w:rsidR="00087318" w:rsidRPr="00D60D46">
        <w:rPr>
          <w:lang w:val="ru-RU"/>
        </w:rPr>
        <w:t> </w:t>
      </w:r>
      <w:r w:rsidRPr="00D60D46">
        <w:rPr>
          <w:lang w:val="ru-RU"/>
        </w:rPr>
        <w:t>года</w:t>
      </w:r>
      <w:r w:rsidR="005551DC" w:rsidRPr="00D60D46">
        <w:rPr>
          <w:lang w:val="ru-RU"/>
        </w:rPr>
        <w:t xml:space="preserve"> в</w:t>
      </w:r>
      <w:r w:rsidR="00087318" w:rsidRPr="00D60D46">
        <w:rPr>
          <w:lang w:val="ru-RU"/>
        </w:rPr>
        <w:t> </w:t>
      </w:r>
      <w:r w:rsidR="005551DC" w:rsidRPr="00D60D46">
        <w:rPr>
          <w:lang w:val="ru-RU"/>
        </w:rPr>
        <w:t>состав членов организации была принята Мьянма</w:t>
      </w:r>
      <w:r w:rsidRPr="00D60D46">
        <w:rPr>
          <w:lang w:val="ru-RU"/>
        </w:rPr>
        <w:t>, а в феврале 2004 года</w:t>
      </w:r>
      <w:r w:rsidR="005551DC" w:rsidRPr="00D60D46">
        <w:rPr>
          <w:lang w:val="ru-RU"/>
        </w:rPr>
        <w:t xml:space="preserve"> – Бутан и Непал</w:t>
      </w:r>
      <w:r w:rsidRPr="00D60D46">
        <w:rPr>
          <w:lang w:val="ru-RU"/>
        </w:rPr>
        <w:t>.</w:t>
      </w:r>
    </w:p>
    <w:p w14:paraId="724FD836" w14:textId="77777777" w:rsidR="0033264D" w:rsidRPr="00D60D46" w:rsidRDefault="0033264D" w:rsidP="00DF32DD">
      <w:pPr>
        <w:jc w:val="both"/>
        <w:rPr>
          <w:lang w:val="ru-RU"/>
        </w:rPr>
      </w:pPr>
      <w:r w:rsidRPr="00D60D46">
        <w:rPr>
          <w:lang w:val="ru-RU"/>
        </w:rPr>
        <w:t>По мнению Секретариата, это объединение соответствует критериям, установленным Советом для освобождения от уплаты взносов.</w:t>
      </w:r>
    </w:p>
    <w:p w14:paraId="7C269416" w14:textId="48E54696" w:rsidR="0033264D" w:rsidRPr="00D60D46" w:rsidRDefault="0033264D" w:rsidP="00087318">
      <w:pPr>
        <w:keepNext/>
        <w:keepLines/>
        <w:spacing w:after="120"/>
        <w:rPr>
          <w:rFonts w:eastAsia="SimSun"/>
          <w:lang w:val="ru-RU"/>
        </w:rPr>
      </w:pPr>
      <w:r w:rsidRPr="00D60D46">
        <w:rPr>
          <w:lang w:val="ru-RU"/>
        </w:rPr>
        <w:lastRenderedPageBreak/>
        <w:t>2</w:t>
      </w:r>
      <w:r w:rsidR="002C726B" w:rsidRPr="00D60D46">
        <w:rPr>
          <w:lang w:val="ru-RU"/>
        </w:rPr>
        <w:t>.</w:t>
      </w:r>
      <w:r w:rsidRPr="00D60D46">
        <w:rPr>
          <w:lang w:val="ru-RU"/>
        </w:rPr>
        <w:t>2</w:t>
      </w:r>
    </w:p>
    <w:tbl>
      <w:tblPr>
        <w:tblW w:w="500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16"/>
        <w:gridCol w:w="2270"/>
        <w:gridCol w:w="2271"/>
      </w:tblGrid>
      <w:tr w:rsidR="0033264D" w:rsidRPr="00D60D46" w14:paraId="41C0F22E" w14:textId="77777777" w:rsidTr="00AA30D0">
        <w:trPr>
          <w:cantSplit/>
          <w:jc w:val="center"/>
        </w:trPr>
        <w:tc>
          <w:tcPr>
            <w:tcW w:w="2493" w:type="pct"/>
          </w:tcPr>
          <w:p w14:paraId="3DA5169A" w14:textId="77777777" w:rsidR="0033264D" w:rsidRPr="00D60D46" w:rsidRDefault="0033264D" w:rsidP="00087318">
            <w:pPr>
              <w:pStyle w:val="Tablehead"/>
              <w:rPr>
                <w:rFonts w:eastAsia="SimSun"/>
                <w:lang w:val="ru-RU"/>
              </w:rPr>
            </w:pPr>
            <w:r w:rsidRPr="00D60D46">
              <w:rPr>
                <w:lang w:val="ru-RU"/>
              </w:rPr>
              <w:t>Организация</w:t>
            </w:r>
          </w:p>
        </w:tc>
        <w:tc>
          <w:tcPr>
            <w:tcW w:w="1253" w:type="pct"/>
          </w:tcPr>
          <w:p w14:paraId="0160D636" w14:textId="05A04D08" w:rsidR="0033264D" w:rsidRPr="00D60D46" w:rsidRDefault="000F6960" w:rsidP="00087318">
            <w:pPr>
              <w:pStyle w:val="Tablehead"/>
              <w:rPr>
                <w:rFonts w:eastAsia="SimSun"/>
                <w:lang w:val="ru-RU"/>
              </w:rPr>
            </w:pPr>
            <w:r w:rsidRPr="00D60D46">
              <w:rPr>
                <w:lang w:val="ru-RU"/>
              </w:rPr>
              <w:t>Членство</w:t>
            </w:r>
          </w:p>
        </w:tc>
        <w:tc>
          <w:tcPr>
            <w:tcW w:w="1254" w:type="pct"/>
          </w:tcPr>
          <w:p w14:paraId="7B0674EF" w14:textId="77777777" w:rsidR="0033264D" w:rsidRPr="00D60D46" w:rsidRDefault="0033264D" w:rsidP="00087318">
            <w:pPr>
              <w:pStyle w:val="Tablehead"/>
              <w:rPr>
                <w:rFonts w:eastAsia="SimSun"/>
                <w:lang w:val="ru-RU"/>
              </w:rPr>
            </w:pPr>
            <w:r w:rsidRPr="00D60D46">
              <w:rPr>
                <w:lang w:val="ru-RU"/>
              </w:rPr>
              <w:t>Рекомендация</w:t>
            </w:r>
          </w:p>
        </w:tc>
      </w:tr>
      <w:tr w:rsidR="0033264D" w:rsidRPr="00D60D46" w14:paraId="3A8E216B" w14:textId="77777777" w:rsidTr="00AA30D0">
        <w:trPr>
          <w:cantSplit/>
          <w:jc w:val="center"/>
        </w:trPr>
        <w:tc>
          <w:tcPr>
            <w:tcW w:w="2493" w:type="pct"/>
            <w:vAlign w:val="center"/>
          </w:tcPr>
          <w:p w14:paraId="2217AF98" w14:textId="77777777" w:rsidR="0033264D" w:rsidRPr="00D60D46" w:rsidRDefault="0033264D" w:rsidP="00087318">
            <w:pPr>
              <w:pStyle w:val="Tabletext"/>
              <w:rPr>
                <w:rFonts w:eastAsia="SimSun"/>
                <w:b/>
                <w:bCs/>
                <w:lang w:val="ru-RU"/>
              </w:rPr>
            </w:pPr>
            <w:r w:rsidRPr="00D60D46">
              <w:rPr>
                <w:b/>
                <w:bCs/>
                <w:lang w:val="ru-RU"/>
              </w:rPr>
              <w:t>DigiHub в Африке</w:t>
            </w:r>
          </w:p>
        </w:tc>
        <w:tc>
          <w:tcPr>
            <w:tcW w:w="1253" w:type="pct"/>
            <w:vAlign w:val="center"/>
          </w:tcPr>
          <w:p w14:paraId="01B82EBE" w14:textId="77777777" w:rsidR="0033264D" w:rsidRPr="00D60D46" w:rsidRDefault="0033264D" w:rsidP="00087318">
            <w:pPr>
              <w:pStyle w:val="Tabletext"/>
              <w:jc w:val="center"/>
              <w:rPr>
                <w:rFonts w:eastAsia="SimSun"/>
                <w:lang w:val="ru-RU"/>
              </w:rPr>
            </w:pPr>
            <w:r w:rsidRPr="00D60D46">
              <w:rPr>
                <w:lang w:val="ru-RU"/>
              </w:rPr>
              <w:t>МСЭ-D</w:t>
            </w:r>
          </w:p>
        </w:tc>
        <w:tc>
          <w:tcPr>
            <w:tcW w:w="1254" w:type="pct"/>
            <w:vAlign w:val="center"/>
          </w:tcPr>
          <w:p w14:paraId="11E5DE4E" w14:textId="77777777" w:rsidR="0033264D" w:rsidRPr="00D60D46" w:rsidRDefault="0033264D" w:rsidP="00087318">
            <w:pPr>
              <w:pStyle w:val="Tabletext"/>
              <w:jc w:val="center"/>
              <w:rPr>
                <w:rFonts w:eastAsia="SimSun"/>
                <w:lang w:val="ru-RU"/>
              </w:rPr>
            </w:pPr>
            <w:r w:rsidRPr="00D60D46">
              <w:rPr>
                <w:lang w:val="ru-RU"/>
              </w:rPr>
              <w:t>Нет</w:t>
            </w:r>
          </w:p>
        </w:tc>
      </w:tr>
    </w:tbl>
    <w:p w14:paraId="1196CB3B" w14:textId="77777777" w:rsidR="00DF32DD" w:rsidRDefault="00DF32DD" w:rsidP="00DF32DD">
      <w:pPr>
        <w:pStyle w:val="Tablefin"/>
        <w:rPr>
          <w:lang w:val="es-ES"/>
        </w:rPr>
      </w:pPr>
    </w:p>
    <w:p w14:paraId="42DF950B" w14:textId="623197B9" w:rsidR="0033264D" w:rsidRPr="00D60D46" w:rsidRDefault="0033264D" w:rsidP="00DF32DD">
      <w:pPr>
        <w:jc w:val="both"/>
        <w:rPr>
          <w:rFonts w:asciiTheme="minorHAnsi" w:hAnsiTheme="minorHAnsi" w:cstheme="minorHAnsi"/>
          <w:szCs w:val="24"/>
          <w:lang w:val="ru-RU"/>
        </w:rPr>
      </w:pPr>
      <w:r w:rsidRPr="00D60D46">
        <w:rPr>
          <w:lang w:val="ru-RU"/>
        </w:rPr>
        <w:t xml:space="preserve">Digihub Africa зарегистрирована как некоммерческая компания без членов и занимается </w:t>
      </w:r>
      <w:r w:rsidR="00FA67E0" w:rsidRPr="00D60D46">
        <w:rPr>
          <w:lang w:val="ru-RU"/>
        </w:rPr>
        <w:t>расширением</w:t>
      </w:r>
      <w:r w:rsidRPr="00D60D46">
        <w:rPr>
          <w:lang w:val="ru-RU"/>
        </w:rPr>
        <w:t xml:space="preserve"> цифровых прав, онлайновой безопасностью и всеобъемлющей цифровой трансформацией на всем континенте. Организация обеспечивает обучение молодежи, женщин и других уязвимых сельских сообществ практическим навыкам цифровой грамотности, способствует созданию безопасной и открытой среды интернета и поощряет ответственное взаимодействие</w:t>
      </w:r>
      <w:r w:rsidR="00E728B1" w:rsidRPr="00D60D46">
        <w:rPr>
          <w:lang w:val="ru-RU"/>
        </w:rPr>
        <w:t xml:space="preserve"> в онлайновой среде</w:t>
      </w:r>
      <w:r w:rsidRPr="00D60D46">
        <w:rPr>
          <w:lang w:val="ru-RU"/>
        </w:rPr>
        <w:t>.</w:t>
      </w:r>
    </w:p>
    <w:p w14:paraId="1665990C" w14:textId="4FE04FDD" w:rsidR="0033264D" w:rsidRPr="00D60D46" w:rsidRDefault="0033264D" w:rsidP="00DF32DD">
      <w:pPr>
        <w:jc w:val="both"/>
        <w:rPr>
          <w:rFonts w:eastAsiaTheme="minorEastAsia"/>
          <w:lang w:val="ru-RU"/>
        </w:rPr>
      </w:pPr>
      <w:r w:rsidRPr="00D60D46">
        <w:rPr>
          <w:lang w:val="ru-RU"/>
        </w:rPr>
        <w:t xml:space="preserve">По мнению </w:t>
      </w:r>
      <w:r w:rsidR="00863B45" w:rsidRPr="00D60D46">
        <w:rPr>
          <w:lang w:val="ru-RU"/>
        </w:rPr>
        <w:t>С</w:t>
      </w:r>
      <w:r w:rsidRPr="00D60D46">
        <w:rPr>
          <w:lang w:val="ru-RU"/>
        </w:rPr>
        <w:t xml:space="preserve">екретариата, это объединение не удовлетворяет критериям </w:t>
      </w:r>
      <w:r w:rsidR="002C726B" w:rsidRPr="00D60D46">
        <w:rPr>
          <w:lang w:val="ru-RU"/>
        </w:rPr>
        <w:t xml:space="preserve">в отношении </w:t>
      </w:r>
      <w:r w:rsidRPr="00D60D46">
        <w:rPr>
          <w:lang w:val="ru-RU"/>
        </w:rPr>
        <w:t>членства, установленным Советом для освобождения от уплаты взносов, поскольку оно не</w:t>
      </w:r>
      <w:r w:rsidR="00A1485E" w:rsidRPr="00D60D46">
        <w:rPr>
          <w:lang w:val="ru-RU"/>
        </w:rPr>
        <w:t> </w:t>
      </w:r>
      <w:r w:rsidRPr="00D60D46">
        <w:rPr>
          <w:lang w:val="ru-RU"/>
        </w:rPr>
        <w:t>продемонстрировало, что оно является "юридически признанной некоммерческой организацией, представляющей членов, которые также имеют некоммерческий статус".</w:t>
      </w:r>
    </w:p>
    <w:p w14:paraId="52AD10DD" w14:textId="2BCA6AD0" w:rsidR="0033264D" w:rsidRPr="00D60D46" w:rsidRDefault="0033264D" w:rsidP="00A1485E">
      <w:pPr>
        <w:spacing w:before="240" w:after="120"/>
        <w:rPr>
          <w:rFonts w:eastAsia="SimSun"/>
          <w:lang w:val="ru-RU"/>
        </w:rPr>
      </w:pPr>
      <w:r w:rsidRPr="00D60D46">
        <w:rPr>
          <w:lang w:val="ru-RU"/>
        </w:rPr>
        <w:t>2</w:t>
      </w:r>
      <w:r w:rsidR="00D37176" w:rsidRPr="00D60D46">
        <w:rPr>
          <w:lang w:val="ru-RU"/>
        </w:rPr>
        <w:t>.</w:t>
      </w:r>
      <w:r w:rsidRPr="00D60D46">
        <w:rPr>
          <w:lang w:val="ru-RU"/>
        </w:rPr>
        <w:t>3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05"/>
        <w:gridCol w:w="2255"/>
        <w:gridCol w:w="2295"/>
      </w:tblGrid>
      <w:tr w:rsidR="0033264D" w:rsidRPr="00D60D46" w14:paraId="05306CF4" w14:textId="77777777" w:rsidTr="00A1485E">
        <w:trPr>
          <w:cantSplit/>
          <w:jc w:val="center"/>
        </w:trPr>
        <w:tc>
          <w:tcPr>
            <w:tcW w:w="2488" w:type="pct"/>
          </w:tcPr>
          <w:p w14:paraId="6D31FAB1" w14:textId="77777777" w:rsidR="0033264D" w:rsidRPr="00D60D46" w:rsidRDefault="0033264D" w:rsidP="00A1485E">
            <w:pPr>
              <w:pStyle w:val="Tablehead"/>
              <w:rPr>
                <w:rFonts w:eastAsia="SimSun"/>
                <w:lang w:val="ru-RU"/>
              </w:rPr>
            </w:pPr>
            <w:r w:rsidRPr="00D60D46">
              <w:rPr>
                <w:lang w:val="ru-RU"/>
              </w:rPr>
              <w:t>Организация</w:t>
            </w:r>
          </w:p>
        </w:tc>
        <w:tc>
          <w:tcPr>
            <w:tcW w:w="1245" w:type="pct"/>
          </w:tcPr>
          <w:p w14:paraId="316B3909" w14:textId="353B2D33" w:rsidR="0033264D" w:rsidRPr="00D60D46" w:rsidRDefault="000F6960" w:rsidP="00A1485E">
            <w:pPr>
              <w:pStyle w:val="Tablehead"/>
              <w:rPr>
                <w:rFonts w:eastAsia="SimSun"/>
                <w:lang w:val="ru-RU"/>
              </w:rPr>
            </w:pPr>
            <w:r w:rsidRPr="00D60D46">
              <w:rPr>
                <w:lang w:val="ru-RU"/>
              </w:rPr>
              <w:t>Членство</w:t>
            </w:r>
          </w:p>
        </w:tc>
        <w:tc>
          <w:tcPr>
            <w:tcW w:w="1267" w:type="pct"/>
          </w:tcPr>
          <w:p w14:paraId="7977D4EC" w14:textId="77777777" w:rsidR="0033264D" w:rsidRPr="00D60D46" w:rsidRDefault="0033264D" w:rsidP="00A1485E">
            <w:pPr>
              <w:pStyle w:val="Tablehead"/>
              <w:rPr>
                <w:rFonts w:eastAsia="SimSun"/>
                <w:lang w:val="ru-RU"/>
              </w:rPr>
            </w:pPr>
            <w:r w:rsidRPr="00D60D46">
              <w:rPr>
                <w:lang w:val="ru-RU"/>
              </w:rPr>
              <w:t>Рекомендация</w:t>
            </w:r>
          </w:p>
        </w:tc>
      </w:tr>
      <w:tr w:rsidR="0033264D" w:rsidRPr="00D60D46" w14:paraId="46EB4B70" w14:textId="77777777" w:rsidTr="00A1485E">
        <w:trPr>
          <w:cantSplit/>
          <w:jc w:val="center"/>
        </w:trPr>
        <w:tc>
          <w:tcPr>
            <w:tcW w:w="2488" w:type="pct"/>
            <w:vAlign w:val="center"/>
          </w:tcPr>
          <w:p w14:paraId="2DD092DA" w14:textId="6421B304" w:rsidR="0033264D" w:rsidRPr="00D60D46" w:rsidRDefault="0033264D" w:rsidP="00A1485E">
            <w:pPr>
              <w:pStyle w:val="Tabletext"/>
              <w:rPr>
                <w:rFonts w:eastAsia="SimSun"/>
                <w:b/>
                <w:bCs/>
                <w:lang w:val="ru-RU"/>
              </w:rPr>
            </w:pPr>
            <w:r w:rsidRPr="00D60D46">
              <w:rPr>
                <w:b/>
                <w:bCs/>
                <w:lang w:val="ru-RU"/>
              </w:rPr>
              <w:t>Европейская федерация людей с нарушениями слуха (EFHOH)</w:t>
            </w:r>
          </w:p>
        </w:tc>
        <w:tc>
          <w:tcPr>
            <w:tcW w:w="1245" w:type="pct"/>
            <w:vAlign w:val="center"/>
          </w:tcPr>
          <w:p w14:paraId="359E703D" w14:textId="4968841B" w:rsidR="0033264D" w:rsidRPr="00D60D46" w:rsidRDefault="0033264D" w:rsidP="00A1485E">
            <w:pPr>
              <w:pStyle w:val="Tabletext"/>
              <w:jc w:val="center"/>
              <w:rPr>
                <w:rFonts w:eastAsia="SimSun"/>
                <w:lang w:val="ru-RU"/>
              </w:rPr>
            </w:pPr>
            <w:r w:rsidRPr="00D60D46">
              <w:rPr>
                <w:lang w:val="ru-RU"/>
              </w:rPr>
              <w:t>МСЭ-Т</w:t>
            </w:r>
            <w:r w:rsidR="00863B45" w:rsidRPr="00D60D46">
              <w:rPr>
                <w:lang w:val="ru-RU"/>
              </w:rPr>
              <w:br/>
            </w:r>
            <w:r w:rsidRPr="00D60D46">
              <w:rPr>
                <w:lang w:val="ru-RU"/>
              </w:rPr>
              <w:t>МСЭ-D</w:t>
            </w:r>
          </w:p>
        </w:tc>
        <w:tc>
          <w:tcPr>
            <w:tcW w:w="1267" w:type="pct"/>
            <w:vAlign w:val="center"/>
          </w:tcPr>
          <w:p w14:paraId="58977EE0" w14:textId="48E19709" w:rsidR="0033264D" w:rsidRPr="00D60D46" w:rsidRDefault="0033264D" w:rsidP="00A1485E">
            <w:pPr>
              <w:pStyle w:val="Tabletext"/>
              <w:jc w:val="center"/>
              <w:rPr>
                <w:rFonts w:eastAsia="SimSun"/>
                <w:lang w:val="ru-RU"/>
              </w:rPr>
            </w:pPr>
            <w:r w:rsidRPr="00D60D46">
              <w:rPr>
                <w:lang w:val="ru-RU"/>
              </w:rPr>
              <w:t>Да</w:t>
            </w:r>
            <w:r w:rsidR="00A1485E" w:rsidRPr="00D60D46">
              <w:rPr>
                <w:lang w:val="ru-RU"/>
              </w:rPr>
              <w:br/>
            </w:r>
            <w:r w:rsidRPr="00D60D46">
              <w:rPr>
                <w:lang w:val="ru-RU"/>
              </w:rPr>
              <w:t>Да</w:t>
            </w:r>
          </w:p>
        </w:tc>
      </w:tr>
    </w:tbl>
    <w:p w14:paraId="60FF3EAB" w14:textId="77777777" w:rsidR="00DF32DD" w:rsidRDefault="00DF32DD" w:rsidP="00DF32DD">
      <w:pPr>
        <w:pStyle w:val="Tablefin"/>
        <w:rPr>
          <w:lang w:val="es-ES"/>
        </w:rPr>
      </w:pPr>
    </w:p>
    <w:p w14:paraId="372191CA" w14:textId="56A8EB98" w:rsidR="0033264D" w:rsidRPr="00D60D46" w:rsidRDefault="0033264D" w:rsidP="00DF32DD">
      <w:pPr>
        <w:jc w:val="both"/>
        <w:rPr>
          <w:lang w:val="ru-RU"/>
        </w:rPr>
      </w:pPr>
      <w:r w:rsidRPr="00D60D46">
        <w:rPr>
          <w:lang w:val="ru-RU"/>
        </w:rPr>
        <w:t>Европейская федерация людей с нарушениями слуха (EFHOH) является некоммерческой региональной организацией, основанной в 1993 году. Организация работает над повышением осведомленности, понимани</w:t>
      </w:r>
      <w:r w:rsidR="00863B45" w:rsidRPr="00D60D46">
        <w:rPr>
          <w:lang w:val="ru-RU"/>
        </w:rPr>
        <w:t>я соответствующей проблематики</w:t>
      </w:r>
      <w:r w:rsidRPr="00D60D46">
        <w:rPr>
          <w:lang w:val="ru-RU"/>
        </w:rPr>
        <w:t xml:space="preserve"> и совместными практическими действиями, которые устраняют барьеры, мешающие людям с нарушениями слуха полностью раскрыть свой потенциал с помощью универсального доступа к недорогому слухопротезированию и реабилитации. Этому способствует доступная среда </w:t>
      </w:r>
      <w:r w:rsidR="00863B45" w:rsidRPr="00D60D46">
        <w:rPr>
          <w:lang w:val="ru-RU"/>
        </w:rPr>
        <w:t>в</w:t>
      </w:r>
      <w:r w:rsidRPr="00D60D46">
        <w:rPr>
          <w:lang w:val="ru-RU"/>
        </w:rPr>
        <w:t xml:space="preserve"> обществ</w:t>
      </w:r>
      <w:r w:rsidR="00863B45" w:rsidRPr="00D60D46">
        <w:rPr>
          <w:lang w:val="ru-RU"/>
        </w:rPr>
        <w:t>е с</w:t>
      </w:r>
      <w:r w:rsidR="00A1485E" w:rsidRPr="00D60D46">
        <w:rPr>
          <w:lang w:val="ru-RU"/>
        </w:rPr>
        <w:t> </w:t>
      </w:r>
      <w:r w:rsidRPr="00D60D46">
        <w:rPr>
          <w:lang w:val="ru-RU"/>
        </w:rPr>
        <w:t>государственны</w:t>
      </w:r>
      <w:r w:rsidR="00863B45" w:rsidRPr="00D60D46">
        <w:rPr>
          <w:lang w:val="ru-RU"/>
        </w:rPr>
        <w:t>ми</w:t>
      </w:r>
      <w:r w:rsidRPr="00D60D46">
        <w:rPr>
          <w:lang w:val="ru-RU"/>
        </w:rPr>
        <w:t xml:space="preserve"> услуг</w:t>
      </w:r>
      <w:r w:rsidR="00863B45" w:rsidRPr="00D60D46">
        <w:rPr>
          <w:lang w:val="ru-RU"/>
        </w:rPr>
        <w:t>ами</w:t>
      </w:r>
      <w:r w:rsidRPr="00D60D46">
        <w:rPr>
          <w:lang w:val="ru-RU"/>
        </w:rPr>
        <w:t>, индукционны</w:t>
      </w:r>
      <w:r w:rsidR="00863B45" w:rsidRPr="00D60D46">
        <w:rPr>
          <w:lang w:val="ru-RU"/>
        </w:rPr>
        <w:t>е</w:t>
      </w:r>
      <w:r w:rsidRPr="00D60D46">
        <w:rPr>
          <w:lang w:val="ru-RU"/>
        </w:rPr>
        <w:t xml:space="preserve"> пет</w:t>
      </w:r>
      <w:r w:rsidR="00863B45" w:rsidRPr="00D60D46">
        <w:rPr>
          <w:lang w:val="ru-RU"/>
        </w:rPr>
        <w:t>ли</w:t>
      </w:r>
      <w:r w:rsidRPr="00D60D46">
        <w:rPr>
          <w:lang w:val="ru-RU"/>
        </w:rPr>
        <w:t>, субтитр</w:t>
      </w:r>
      <w:r w:rsidR="00863B45" w:rsidRPr="00D60D46">
        <w:rPr>
          <w:lang w:val="ru-RU"/>
        </w:rPr>
        <w:t>ы</w:t>
      </w:r>
      <w:r w:rsidRPr="00D60D46">
        <w:rPr>
          <w:lang w:val="ru-RU"/>
        </w:rPr>
        <w:t>, скрыты</w:t>
      </w:r>
      <w:r w:rsidR="00863B45" w:rsidRPr="00D60D46">
        <w:rPr>
          <w:lang w:val="ru-RU"/>
        </w:rPr>
        <w:t>е</w:t>
      </w:r>
      <w:r w:rsidRPr="00D60D46">
        <w:rPr>
          <w:lang w:val="ru-RU"/>
        </w:rPr>
        <w:t xml:space="preserve"> субтитр</w:t>
      </w:r>
      <w:r w:rsidR="00863B45" w:rsidRPr="00D60D46">
        <w:rPr>
          <w:lang w:val="ru-RU"/>
        </w:rPr>
        <w:t>ы</w:t>
      </w:r>
      <w:r w:rsidRPr="00D60D46">
        <w:rPr>
          <w:lang w:val="ru-RU"/>
        </w:rPr>
        <w:t xml:space="preserve"> и вспомогательны</w:t>
      </w:r>
      <w:r w:rsidR="00863B45" w:rsidRPr="00D60D46">
        <w:rPr>
          <w:lang w:val="ru-RU"/>
        </w:rPr>
        <w:t>е</w:t>
      </w:r>
      <w:r w:rsidRPr="00D60D46">
        <w:rPr>
          <w:lang w:val="ru-RU"/>
        </w:rPr>
        <w:t xml:space="preserve"> устройств</w:t>
      </w:r>
      <w:r w:rsidR="00863B45" w:rsidRPr="00D60D46">
        <w:rPr>
          <w:lang w:val="ru-RU"/>
        </w:rPr>
        <w:t>а</w:t>
      </w:r>
      <w:r w:rsidRPr="00D60D46">
        <w:rPr>
          <w:lang w:val="ru-RU"/>
        </w:rPr>
        <w:t>. Членами EFHOH являются национальные или региональные организации, представляющие слабослышащих и глухих людей.</w:t>
      </w:r>
    </w:p>
    <w:p w14:paraId="1DE2D0A5" w14:textId="1907B019" w:rsidR="0033264D" w:rsidRPr="00D60D46" w:rsidRDefault="0033264D" w:rsidP="00DF32DD">
      <w:pPr>
        <w:jc w:val="both"/>
        <w:rPr>
          <w:lang w:val="ru-RU"/>
        </w:rPr>
      </w:pPr>
      <w:r w:rsidRPr="00D60D46">
        <w:rPr>
          <w:lang w:val="ru-RU"/>
        </w:rPr>
        <w:t xml:space="preserve">Общей целью EFHOH является защита, продвижение </w:t>
      </w:r>
      <w:r w:rsidR="00690C94" w:rsidRPr="00D60D46">
        <w:rPr>
          <w:lang w:val="ru-RU"/>
        </w:rPr>
        <w:t xml:space="preserve">прав людей с потерей слуха в Европе </w:t>
      </w:r>
      <w:r w:rsidRPr="00D60D46">
        <w:rPr>
          <w:lang w:val="ru-RU"/>
        </w:rPr>
        <w:t>и повышение осведомленности</w:t>
      </w:r>
      <w:r w:rsidR="00690C94" w:rsidRPr="00D60D46">
        <w:rPr>
          <w:lang w:val="ru-RU"/>
        </w:rPr>
        <w:t xml:space="preserve"> об их правах</w:t>
      </w:r>
      <w:r w:rsidRPr="00D60D46">
        <w:rPr>
          <w:lang w:val="ru-RU"/>
        </w:rPr>
        <w:t xml:space="preserve">, </w:t>
      </w:r>
      <w:r w:rsidR="00690C94" w:rsidRPr="00D60D46">
        <w:rPr>
          <w:lang w:val="ru-RU"/>
        </w:rPr>
        <w:t>что</w:t>
      </w:r>
      <w:r w:rsidRPr="00D60D46">
        <w:rPr>
          <w:lang w:val="ru-RU"/>
        </w:rPr>
        <w:t xml:space="preserve"> способству</w:t>
      </w:r>
      <w:r w:rsidR="00690C94" w:rsidRPr="00D60D46">
        <w:rPr>
          <w:lang w:val="ru-RU"/>
        </w:rPr>
        <w:t>ет</w:t>
      </w:r>
      <w:r w:rsidRPr="00D60D46">
        <w:rPr>
          <w:lang w:val="ru-RU"/>
        </w:rPr>
        <w:t xml:space="preserve"> законодательной и социальной защите.</w:t>
      </w:r>
    </w:p>
    <w:p w14:paraId="216B10C0" w14:textId="77777777" w:rsidR="0033264D" w:rsidRPr="00D60D46" w:rsidRDefault="0033264D" w:rsidP="00DF32DD">
      <w:pPr>
        <w:jc w:val="both"/>
        <w:rPr>
          <w:lang w:val="ru-RU"/>
        </w:rPr>
      </w:pPr>
      <w:r w:rsidRPr="00D60D46">
        <w:rPr>
          <w:lang w:val="ru-RU"/>
        </w:rPr>
        <w:t>По мнению Секретариата, это объединение соответствует критериям, установленным Советом для освобождения от уплаты взносов.</w:t>
      </w:r>
    </w:p>
    <w:p w14:paraId="236E622E" w14:textId="74C6223F" w:rsidR="0033264D" w:rsidRPr="00D60D46" w:rsidRDefault="0033264D" w:rsidP="00A1485E">
      <w:pPr>
        <w:spacing w:after="120"/>
        <w:rPr>
          <w:rFonts w:eastAsia="Calibri"/>
          <w:lang w:val="ru-RU"/>
        </w:rPr>
      </w:pPr>
      <w:r w:rsidRPr="00D60D46">
        <w:rPr>
          <w:lang w:val="ru-RU"/>
        </w:rPr>
        <w:t>2</w:t>
      </w:r>
      <w:r w:rsidR="00105195" w:rsidRPr="00D60D46">
        <w:rPr>
          <w:lang w:val="ru-RU"/>
        </w:rPr>
        <w:t>.</w:t>
      </w:r>
      <w:r w:rsidRPr="00D60D46">
        <w:rPr>
          <w:lang w:val="ru-RU"/>
        </w:rPr>
        <w:t>4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2391"/>
        <w:gridCol w:w="2164"/>
      </w:tblGrid>
      <w:tr w:rsidR="0033264D" w:rsidRPr="00D60D46" w14:paraId="54AD5F8B" w14:textId="77777777" w:rsidTr="00AA30D0">
        <w:trPr>
          <w:trHeight w:val="300"/>
          <w:jc w:val="center"/>
        </w:trPr>
        <w:tc>
          <w:tcPr>
            <w:tcW w:w="2485" w:type="pct"/>
          </w:tcPr>
          <w:p w14:paraId="49599B01" w14:textId="77777777" w:rsidR="0033264D" w:rsidRPr="00D60D46" w:rsidRDefault="0033264D" w:rsidP="00A1485E">
            <w:pPr>
              <w:pStyle w:val="Tablehead"/>
              <w:rPr>
                <w:rFonts w:eastAsia="SimSun"/>
                <w:lang w:val="ru-RU"/>
              </w:rPr>
            </w:pPr>
            <w:r w:rsidRPr="00D60D46">
              <w:rPr>
                <w:lang w:val="ru-RU"/>
              </w:rPr>
              <w:t>Организация</w:t>
            </w:r>
          </w:p>
        </w:tc>
        <w:tc>
          <w:tcPr>
            <w:tcW w:w="1320" w:type="pct"/>
          </w:tcPr>
          <w:p w14:paraId="0D9C4D42" w14:textId="77777777" w:rsidR="0033264D" w:rsidRPr="00D60D46" w:rsidRDefault="0033264D" w:rsidP="00A1485E">
            <w:pPr>
              <w:pStyle w:val="Tablehead"/>
              <w:rPr>
                <w:rFonts w:eastAsia="SimSun"/>
                <w:lang w:val="ru-RU"/>
              </w:rPr>
            </w:pPr>
            <w:r w:rsidRPr="00D60D46">
              <w:rPr>
                <w:lang w:val="ru-RU"/>
              </w:rPr>
              <w:t>Членский состав</w:t>
            </w:r>
          </w:p>
        </w:tc>
        <w:tc>
          <w:tcPr>
            <w:tcW w:w="1195" w:type="pct"/>
          </w:tcPr>
          <w:p w14:paraId="404C92ED" w14:textId="77777777" w:rsidR="0033264D" w:rsidRPr="00D60D46" w:rsidRDefault="0033264D" w:rsidP="00A1485E">
            <w:pPr>
              <w:pStyle w:val="Tablehead"/>
              <w:rPr>
                <w:rFonts w:eastAsia="SimSun"/>
                <w:lang w:val="ru-RU"/>
              </w:rPr>
            </w:pPr>
            <w:r w:rsidRPr="00D60D46">
              <w:rPr>
                <w:lang w:val="ru-RU"/>
              </w:rPr>
              <w:t>Рекомендация</w:t>
            </w:r>
          </w:p>
        </w:tc>
      </w:tr>
      <w:tr w:rsidR="0033264D" w:rsidRPr="00D60D46" w14:paraId="16598050" w14:textId="77777777" w:rsidTr="00AA30D0">
        <w:trPr>
          <w:trHeight w:val="300"/>
          <w:jc w:val="center"/>
        </w:trPr>
        <w:tc>
          <w:tcPr>
            <w:tcW w:w="2485" w:type="pct"/>
            <w:vAlign w:val="center"/>
          </w:tcPr>
          <w:p w14:paraId="1A374259" w14:textId="77777777" w:rsidR="0033264D" w:rsidRPr="00D60D46" w:rsidRDefault="0033264D" w:rsidP="00A1485E">
            <w:pPr>
              <w:pStyle w:val="Tabletext"/>
              <w:rPr>
                <w:rFonts w:eastAsia="SimSun"/>
                <w:b/>
                <w:bCs/>
                <w:lang w:val="ru-RU"/>
              </w:rPr>
            </w:pPr>
            <w:r w:rsidRPr="00D60D46">
              <w:rPr>
                <w:b/>
                <w:bCs/>
                <w:lang w:val="ru-RU"/>
              </w:rPr>
              <w:t>Организация по содействию глобальному миру и развитию</w:t>
            </w:r>
          </w:p>
        </w:tc>
        <w:tc>
          <w:tcPr>
            <w:tcW w:w="1320" w:type="pct"/>
            <w:vAlign w:val="center"/>
          </w:tcPr>
          <w:p w14:paraId="54F9048E" w14:textId="77777777" w:rsidR="0033264D" w:rsidRPr="00D60D46" w:rsidRDefault="0033264D" w:rsidP="00A1485E">
            <w:pPr>
              <w:pStyle w:val="Tabletext"/>
              <w:jc w:val="center"/>
              <w:rPr>
                <w:rFonts w:eastAsia="SimSun"/>
                <w:lang w:val="ru-RU"/>
              </w:rPr>
            </w:pPr>
            <w:r w:rsidRPr="00D60D46">
              <w:rPr>
                <w:lang w:val="ru-RU"/>
              </w:rPr>
              <w:t>МСЭ-D</w:t>
            </w:r>
          </w:p>
        </w:tc>
        <w:tc>
          <w:tcPr>
            <w:tcW w:w="1195" w:type="pct"/>
            <w:vAlign w:val="center"/>
          </w:tcPr>
          <w:p w14:paraId="7030AC93" w14:textId="77777777" w:rsidR="0033264D" w:rsidRPr="00D60D46" w:rsidRDefault="0033264D" w:rsidP="00A1485E">
            <w:pPr>
              <w:pStyle w:val="Tabletext"/>
              <w:jc w:val="center"/>
              <w:rPr>
                <w:rFonts w:eastAsia="SimSun"/>
                <w:lang w:val="ru-RU"/>
              </w:rPr>
            </w:pPr>
            <w:r w:rsidRPr="00D60D46">
              <w:rPr>
                <w:lang w:val="ru-RU"/>
              </w:rPr>
              <w:t>Нет</w:t>
            </w:r>
          </w:p>
        </w:tc>
      </w:tr>
    </w:tbl>
    <w:p w14:paraId="3B1414B7" w14:textId="77777777" w:rsidR="00DF32DD" w:rsidRDefault="00DF32DD" w:rsidP="00DF32DD">
      <w:pPr>
        <w:pStyle w:val="Tablefin"/>
        <w:rPr>
          <w:lang w:val="es-ES"/>
        </w:rPr>
      </w:pPr>
    </w:p>
    <w:p w14:paraId="3BD3FD41" w14:textId="311A7DDC" w:rsidR="0033264D" w:rsidRPr="00D60D46" w:rsidRDefault="0033264D" w:rsidP="00DF32DD">
      <w:pPr>
        <w:jc w:val="both"/>
        <w:rPr>
          <w:rFonts w:eastAsia="Aptos"/>
          <w:lang w:val="ru-RU"/>
        </w:rPr>
      </w:pPr>
      <w:r w:rsidRPr="00D60D46">
        <w:rPr>
          <w:lang w:val="ru-RU"/>
        </w:rPr>
        <w:t>Организация по содействию глобальному миру и развитию (GPDO) является некоммерческой организацией, созданной в 2011 году.</w:t>
      </w:r>
    </w:p>
    <w:p w14:paraId="4EA78699" w14:textId="226F301D" w:rsidR="0033264D" w:rsidRPr="00D60D46" w:rsidRDefault="0033264D" w:rsidP="00DF32DD">
      <w:pPr>
        <w:jc w:val="both"/>
        <w:rPr>
          <w:rFonts w:eastAsia="Aptos"/>
          <w:lang w:val="ru-RU"/>
        </w:rPr>
      </w:pPr>
      <w:r w:rsidRPr="00D60D46">
        <w:rPr>
          <w:lang w:val="ru-RU"/>
        </w:rPr>
        <w:t xml:space="preserve">Целью GPDO является содействие миру и международной солидарности в области прав человека, развития и социальных изменений. В Либерии работа Организации </w:t>
      </w:r>
      <w:r w:rsidR="0006660C" w:rsidRPr="00D60D46">
        <w:rPr>
          <w:lang w:val="ru-RU"/>
        </w:rPr>
        <w:t xml:space="preserve">по содействию глобальному </w:t>
      </w:r>
      <w:r w:rsidRPr="00D60D46">
        <w:rPr>
          <w:lang w:val="ru-RU"/>
        </w:rPr>
        <w:t>мир</w:t>
      </w:r>
      <w:r w:rsidR="0006660C" w:rsidRPr="00D60D46">
        <w:rPr>
          <w:lang w:val="ru-RU"/>
        </w:rPr>
        <w:t>у</w:t>
      </w:r>
      <w:r w:rsidRPr="00D60D46">
        <w:rPr>
          <w:lang w:val="ru-RU"/>
        </w:rPr>
        <w:t xml:space="preserve"> и развити</w:t>
      </w:r>
      <w:r w:rsidR="0006660C" w:rsidRPr="00D60D46">
        <w:rPr>
          <w:lang w:val="ru-RU"/>
        </w:rPr>
        <w:t>ю</w:t>
      </w:r>
      <w:r w:rsidRPr="00D60D46">
        <w:rPr>
          <w:lang w:val="ru-RU"/>
        </w:rPr>
        <w:t xml:space="preserve"> охватывает права женщин, устойчивые продовольственные </w:t>
      </w:r>
      <w:r w:rsidRPr="00D60D46">
        <w:rPr>
          <w:lang w:val="ru-RU"/>
        </w:rPr>
        <w:lastRenderedPageBreak/>
        <w:t>системы, политику и информационно-пропагандистскую работу, а также меры реагирования на</w:t>
      </w:r>
      <w:r w:rsidR="00A1485E" w:rsidRPr="00D60D46">
        <w:rPr>
          <w:lang w:val="ru-RU"/>
        </w:rPr>
        <w:t> </w:t>
      </w:r>
      <w:r w:rsidRPr="00D60D46">
        <w:rPr>
          <w:lang w:val="ru-RU"/>
        </w:rPr>
        <w:t>гуманитарные кризисы в Западной Африк</w:t>
      </w:r>
      <w:r w:rsidR="007B7CAB" w:rsidRPr="00D60D46">
        <w:rPr>
          <w:lang w:val="ru-RU"/>
        </w:rPr>
        <w:t>е</w:t>
      </w:r>
      <w:r w:rsidRPr="00D60D46">
        <w:rPr>
          <w:lang w:val="ru-RU"/>
        </w:rPr>
        <w:t>.</w:t>
      </w:r>
    </w:p>
    <w:p w14:paraId="0BE38037" w14:textId="6CA5B881" w:rsidR="0033264D" w:rsidRPr="00D60D46" w:rsidRDefault="0033264D" w:rsidP="00DF32DD">
      <w:pPr>
        <w:jc w:val="both"/>
        <w:rPr>
          <w:rFonts w:eastAsia="Calibri"/>
          <w:color w:val="000000" w:themeColor="text1"/>
          <w:lang w:val="ru-RU"/>
        </w:rPr>
      </w:pPr>
      <w:r w:rsidRPr="00D60D46">
        <w:rPr>
          <w:lang w:val="ru-RU"/>
        </w:rPr>
        <w:t xml:space="preserve">По мнению </w:t>
      </w:r>
      <w:r w:rsidR="0075782B" w:rsidRPr="00D60D46">
        <w:rPr>
          <w:lang w:val="ru-RU"/>
        </w:rPr>
        <w:t>С</w:t>
      </w:r>
      <w:r w:rsidRPr="00D60D46">
        <w:rPr>
          <w:lang w:val="ru-RU"/>
        </w:rPr>
        <w:t xml:space="preserve">екретариата, это объединение не удовлетворяет критериям </w:t>
      </w:r>
      <w:r w:rsidR="0075782B" w:rsidRPr="00D60D46">
        <w:rPr>
          <w:lang w:val="ru-RU"/>
        </w:rPr>
        <w:t xml:space="preserve">в отношении </w:t>
      </w:r>
      <w:r w:rsidRPr="00D60D46">
        <w:rPr>
          <w:lang w:val="ru-RU"/>
        </w:rPr>
        <w:t>членства, установленным Советом для освобождения от уплаты взносов, поскольку оно не</w:t>
      </w:r>
      <w:r w:rsidR="00A1485E" w:rsidRPr="00D60D46">
        <w:rPr>
          <w:lang w:val="ru-RU"/>
        </w:rPr>
        <w:t> </w:t>
      </w:r>
      <w:r w:rsidRPr="00D60D46">
        <w:rPr>
          <w:lang w:val="ru-RU"/>
        </w:rPr>
        <w:t>продемонстрировало, что оно "имеет значительный членский состав, присутствие и осуществляет деятельность в нескольких Государствах-Членах, участие которых в деятельности МСЭ было бы выгодным для целей Союза".</w:t>
      </w:r>
    </w:p>
    <w:p w14:paraId="31BA6F49" w14:textId="4D80DDA5" w:rsidR="0033264D" w:rsidRPr="00D60D46" w:rsidRDefault="0033264D" w:rsidP="00A1485E">
      <w:pPr>
        <w:spacing w:after="120"/>
        <w:rPr>
          <w:rFonts w:eastAsia="Aptos"/>
          <w:lang w:val="ru-RU"/>
        </w:rPr>
      </w:pPr>
      <w:r w:rsidRPr="00D60D46">
        <w:rPr>
          <w:lang w:val="ru-RU"/>
        </w:rPr>
        <w:t>2</w:t>
      </w:r>
      <w:r w:rsidR="00335DF5" w:rsidRPr="00D60D46">
        <w:rPr>
          <w:lang w:val="ru-RU"/>
        </w:rPr>
        <w:t>.</w:t>
      </w:r>
      <w:r w:rsidRPr="00D60D46">
        <w:rPr>
          <w:lang w:val="ru-RU"/>
        </w:rPr>
        <w:t>5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6"/>
        <w:gridCol w:w="2284"/>
        <w:gridCol w:w="2285"/>
      </w:tblGrid>
      <w:tr w:rsidR="0033264D" w:rsidRPr="00D60D46" w14:paraId="713C35E7" w14:textId="77777777" w:rsidTr="00AA30D0">
        <w:trPr>
          <w:trHeight w:val="300"/>
          <w:jc w:val="center"/>
        </w:trPr>
        <w:tc>
          <w:tcPr>
            <w:tcW w:w="2477" w:type="pct"/>
          </w:tcPr>
          <w:p w14:paraId="784C03E8" w14:textId="77777777" w:rsidR="0033264D" w:rsidRPr="00D60D46" w:rsidRDefault="0033264D" w:rsidP="00A1485E">
            <w:pPr>
              <w:pStyle w:val="Tablehead"/>
              <w:rPr>
                <w:rFonts w:eastAsia="SimSun"/>
                <w:lang w:val="ru-RU"/>
              </w:rPr>
            </w:pPr>
            <w:r w:rsidRPr="00D60D46">
              <w:rPr>
                <w:lang w:val="ru-RU"/>
              </w:rPr>
              <w:t>Организация</w:t>
            </w:r>
          </w:p>
        </w:tc>
        <w:tc>
          <w:tcPr>
            <w:tcW w:w="1261" w:type="pct"/>
          </w:tcPr>
          <w:p w14:paraId="173EC502" w14:textId="07806A66" w:rsidR="0033264D" w:rsidRPr="00D60D46" w:rsidRDefault="000F6960" w:rsidP="00A1485E">
            <w:pPr>
              <w:pStyle w:val="Tablehead"/>
              <w:rPr>
                <w:rFonts w:eastAsia="SimSun"/>
                <w:lang w:val="ru-RU"/>
              </w:rPr>
            </w:pPr>
            <w:r w:rsidRPr="00D60D46">
              <w:rPr>
                <w:lang w:val="ru-RU"/>
              </w:rPr>
              <w:t>Членство</w:t>
            </w:r>
          </w:p>
        </w:tc>
        <w:tc>
          <w:tcPr>
            <w:tcW w:w="1262" w:type="pct"/>
          </w:tcPr>
          <w:p w14:paraId="5E189C97" w14:textId="77777777" w:rsidR="0033264D" w:rsidRPr="00D60D46" w:rsidRDefault="0033264D" w:rsidP="00A1485E">
            <w:pPr>
              <w:pStyle w:val="Tablehead"/>
              <w:rPr>
                <w:rFonts w:eastAsia="SimSun"/>
                <w:lang w:val="ru-RU"/>
              </w:rPr>
            </w:pPr>
            <w:r w:rsidRPr="00D60D46">
              <w:rPr>
                <w:lang w:val="ru-RU"/>
              </w:rPr>
              <w:t>Рекомендация</w:t>
            </w:r>
          </w:p>
        </w:tc>
      </w:tr>
      <w:tr w:rsidR="0033264D" w:rsidRPr="00D60D46" w14:paraId="5512B5D0" w14:textId="77777777" w:rsidTr="00AA30D0">
        <w:trPr>
          <w:trHeight w:val="300"/>
          <w:jc w:val="center"/>
        </w:trPr>
        <w:tc>
          <w:tcPr>
            <w:tcW w:w="2477" w:type="pct"/>
            <w:vAlign w:val="center"/>
          </w:tcPr>
          <w:p w14:paraId="2DECD216" w14:textId="77777777" w:rsidR="0033264D" w:rsidRPr="006F12A3" w:rsidRDefault="0033264D" w:rsidP="00A1485E">
            <w:pPr>
              <w:pStyle w:val="Tabletext"/>
              <w:rPr>
                <w:rFonts w:eastAsiaTheme="minorEastAsia"/>
                <w:b/>
                <w:bCs/>
              </w:rPr>
            </w:pPr>
            <w:r w:rsidRPr="006F12A3">
              <w:rPr>
                <w:b/>
                <w:bCs/>
              </w:rPr>
              <w:t>6G Industry Association (6G-IA)</w:t>
            </w:r>
          </w:p>
        </w:tc>
        <w:tc>
          <w:tcPr>
            <w:tcW w:w="1261" w:type="pct"/>
            <w:vAlign w:val="center"/>
          </w:tcPr>
          <w:p w14:paraId="71445082" w14:textId="77777777" w:rsidR="0033264D" w:rsidRPr="00D60D46" w:rsidRDefault="0033264D" w:rsidP="00A1485E">
            <w:pPr>
              <w:pStyle w:val="Tabletext"/>
              <w:jc w:val="center"/>
              <w:rPr>
                <w:rFonts w:eastAsia="SimSun"/>
                <w:lang w:val="ru-RU"/>
              </w:rPr>
            </w:pPr>
            <w:r w:rsidRPr="00D60D46">
              <w:rPr>
                <w:lang w:val="ru-RU"/>
              </w:rPr>
              <w:t>МСЭ</w:t>
            </w:r>
            <w:r w:rsidRPr="00D60D46">
              <w:rPr>
                <w:lang w:val="ru-RU"/>
              </w:rPr>
              <w:noBreakHyphen/>
              <w:t>R</w:t>
            </w:r>
          </w:p>
        </w:tc>
        <w:tc>
          <w:tcPr>
            <w:tcW w:w="1262" w:type="pct"/>
            <w:vAlign w:val="center"/>
          </w:tcPr>
          <w:p w14:paraId="64D1861B" w14:textId="77777777" w:rsidR="0033264D" w:rsidRPr="00D60D46" w:rsidRDefault="0033264D" w:rsidP="00A1485E">
            <w:pPr>
              <w:pStyle w:val="Tabletext"/>
              <w:jc w:val="center"/>
              <w:rPr>
                <w:rFonts w:eastAsia="SimSun"/>
                <w:lang w:val="ru-RU"/>
              </w:rPr>
            </w:pPr>
            <w:r w:rsidRPr="00D60D46">
              <w:rPr>
                <w:lang w:val="ru-RU"/>
              </w:rPr>
              <w:t>Нет</w:t>
            </w:r>
          </w:p>
        </w:tc>
      </w:tr>
    </w:tbl>
    <w:p w14:paraId="0C6B8E38" w14:textId="77777777" w:rsidR="00DF32DD" w:rsidRDefault="00DF32DD" w:rsidP="00DF32DD">
      <w:pPr>
        <w:pStyle w:val="Tablefin"/>
        <w:rPr>
          <w:lang w:val="es-ES"/>
        </w:rPr>
      </w:pPr>
    </w:p>
    <w:p w14:paraId="2CB2A65B" w14:textId="20635020" w:rsidR="0033264D" w:rsidRPr="00D60D46" w:rsidRDefault="0033264D" w:rsidP="00DF32DD">
      <w:pPr>
        <w:jc w:val="both"/>
        <w:rPr>
          <w:rFonts w:eastAsia="Calibri"/>
          <w:lang w:val="ru-RU"/>
        </w:rPr>
      </w:pPr>
      <w:r w:rsidRPr="00D60D46">
        <w:rPr>
          <w:lang w:val="ru-RU"/>
        </w:rPr>
        <w:t>6G Industry Association (6G-IA) – это международная некоммерческая ассоциация, созданная в</w:t>
      </w:r>
      <w:r w:rsidR="00A1485E" w:rsidRPr="00D60D46">
        <w:rPr>
          <w:lang w:val="ru-RU"/>
        </w:rPr>
        <w:t> </w:t>
      </w:r>
      <w:r w:rsidRPr="00D60D46">
        <w:rPr>
          <w:lang w:val="ru-RU"/>
        </w:rPr>
        <w:t>2013</w:t>
      </w:r>
      <w:r w:rsidR="00A1485E" w:rsidRPr="00D60D46">
        <w:rPr>
          <w:lang w:val="ru-RU"/>
        </w:rPr>
        <w:t> </w:t>
      </w:r>
      <w:r w:rsidRPr="00D60D46">
        <w:rPr>
          <w:lang w:val="ru-RU"/>
        </w:rPr>
        <w:t xml:space="preserve">году. 6G-IA выступает в роли единого представителя европейской индустрии и исследовательского сообщества в вопросах создания сетей и </w:t>
      </w:r>
      <w:r w:rsidR="000F6960" w:rsidRPr="00D60D46">
        <w:rPr>
          <w:lang w:val="ru-RU"/>
        </w:rPr>
        <w:t>услуг</w:t>
      </w:r>
      <w:r w:rsidRPr="00D60D46">
        <w:rPr>
          <w:lang w:val="ru-RU"/>
        </w:rPr>
        <w:t xml:space="preserve"> нового поколения. </w:t>
      </w:r>
      <w:r w:rsidR="00335DF5" w:rsidRPr="00D60D46">
        <w:rPr>
          <w:lang w:val="ru-RU"/>
        </w:rPr>
        <w:t>Ее</w:t>
      </w:r>
      <w:r w:rsidR="00A1485E" w:rsidRPr="00D60D46">
        <w:rPr>
          <w:lang w:val="ru-RU"/>
        </w:rPr>
        <w:t> </w:t>
      </w:r>
      <w:r w:rsidRPr="00D60D46">
        <w:rPr>
          <w:lang w:val="ru-RU"/>
        </w:rPr>
        <w:t xml:space="preserve">основная цель – содействовать лидерству Европы в области 5G, развития 5G и исследований </w:t>
      </w:r>
      <w:r w:rsidR="003D15DE" w:rsidRPr="00D60D46">
        <w:rPr>
          <w:lang w:val="ru-RU"/>
        </w:rPr>
        <w:t xml:space="preserve">в области </w:t>
      </w:r>
      <w:r w:rsidRPr="00D60D46">
        <w:rPr>
          <w:lang w:val="ru-RU"/>
        </w:rPr>
        <w:t>SNS/6G.</w:t>
      </w:r>
    </w:p>
    <w:p w14:paraId="5CA4AA4D" w14:textId="77777777" w:rsidR="0033264D" w:rsidRPr="00D60D46" w:rsidRDefault="0033264D" w:rsidP="00DF32DD">
      <w:pPr>
        <w:jc w:val="both"/>
        <w:rPr>
          <w:lang w:val="ru-RU"/>
        </w:rPr>
      </w:pPr>
      <w:r w:rsidRPr="00D60D46">
        <w:rPr>
          <w:lang w:val="ru-RU"/>
        </w:rPr>
        <w:t>6G-IA объединяет глобальное отраслевое сообщество участников отрасли электросвязи и цифровых технологий, таких как операторы, производители, исследовательские институты, университеты, вертикали, МСП и ассоциации ИКТ.</w:t>
      </w:r>
    </w:p>
    <w:p w14:paraId="3426437C" w14:textId="77777777" w:rsidR="0033264D" w:rsidRPr="00D60D46" w:rsidRDefault="0033264D" w:rsidP="00DF32DD">
      <w:pPr>
        <w:jc w:val="both"/>
        <w:rPr>
          <w:lang w:val="ru-RU"/>
        </w:rPr>
      </w:pPr>
      <w:r w:rsidRPr="00D60D46">
        <w:rPr>
          <w:lang w:val="ru-RU"/>
        </w:rPr>
        <w:t>В рамках 6G-IA осуществляется широкий спектр мероприятий в стратегических областях, включая позиционирование приоритетов ЕС в области цифровых технологий, стандартизацию, частотный спектр, проекты НИОКР, технические навыки, сотрудничество с ключевыми вертикальными отраслями промышленности, в частности для развития испытаний, и международное сотрудничество.</w:t>
      </w:r>
    </w:p>
    <w:p w14:paraId="3AF7BB06" w14:textId="202E1D21" w:rsidR="0033264D" w:rsidRPr="00D60D46" w:rsidRDefault="0033264D" w:rsidP="00DF32DD">
      <w:pPr>
        <w:jc w:val="both"/>
        <w:rPr>
          <w:rFonts w:eastAsia="Calibri"/>
          <w:color w:val="000000" w:themeColor="text1"/>
          <w:lang w:val="ru-RU"/>
        </w:rPr>
      </w:pPr>
      <w:r w:rsidRPr="00D60D46">
        <w:rPr>
          <w:lang w:val="ru-RU"/>
        </w:rPr>
        <w:t xml:space="preserve">По мнению </w:t>
      </w:r>
      <w:r w:rsidR="00C00E14" w:rsidRPr="00D60D46">
        <w:rPr>
          <w:lang w:val="ru-RU"/>
        </w:rPr>
        <w:t>С</w:t>
      </w:r>
      <w:r w:rsidRPr="00D60D46">
        <w:rPr>
          <w:lang w:val="ru-RU"/>
        </w:rPr>
        <w:t xml:space="preserve">екретариата, это объединение не удовлетворяет следующим критериям </w:t>
      </w:r>
      <w:r w:rsidR="0031103A" w:rsidRPr="00D60D46">
        <w:rPr>
          <w:lang w:val="ru-RU"/>
        </w:rPr>
        <w:t>в</w:t>
      </w:r>
      <w:r w:rsidR="00A1485E" w:rsidRPr="00D60D46">
        <w:rPr>
          <w:lang w:val="ru-RU"/>
        </w:rPr>
        <w:t> </w:t>
      </w:r>
      <w:r w:rsidR="0031103A" w:rsidRPr="00D60D46">
        <w:rPr>
          <w:lang w:val="ru-RU"/>
        </w:rPr>
        <w:t xml:space="preserve">отношении </w:t>
      </w:r>
      <w:r w:rsidRPr="00D60D46">
        <w:rPr>
          <w:lang w:val="ru-RU"/>
        </w:rPr>
        <w:t>членства, установленным Советом для освобождения от уплаты взносов: "быть</w:t>
      </w:r>
      <w:r w:rsidR="00A1485E" w:rsidRPr="00D60D46">
        <w:rPr>
          <w:lang w:val="ru-RU"/>
        </w:rPr>
        <w:t> </w:t>
      </w:r>
      <w:r w:rsidRPr="00D60D46">
        <w:rPr>
          <w:lang w:val="ru-RU"/>
        </w:rPr>
        <w:t>юридически признанной некоммерческой организацией, представляющей членов, которые также имеют некоммерческий статус", поскольку их члены являются преимущественно коммерческими объединениями.</w:t>
      </w:r>
    </w:p>
    <w:p w14:paraId="4CCE99E3" w14:textId="77777777" w:rsidR="0033264D" w:rsidRPr="00D60D46" w:rsidRDefault="0033264D" w:rsidP="00A1485E">
      <w:pPr>
        <w:spacing w:before="720"/>
        <w:jc w:val="center"/>
        <w:rPr>
          <w:lang w:val="ru-RU"/>
        </w:rPr>
      </w:pPr>
      <w:r w:rsidRPr="00D60D46">
        <w:rPr>
          <w:lang w:val="ru-RU"/>
        </w:rPr>
        <w:t>______________</w:t>
      </w:r>
    </w:p>
    <w:sectPr w:rsidR="0033264D" w:rsidRPr="00D60D46" w:rsidSect="00796BD3">
      <w:footerReference w:type="default" r:id="rId19"/>
      <w:headerReference w:type="first" r:id="rId20"/>
      <w:footerReference w:type="first" r:id="rId21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2C420" w14:textId="77777777" w:rsidR="00396F07" w:rsidRDefault="00396F07">
      <w:r>
        <w:separator/>
      </w:r>
    </w:p>
  </w:endnote>
  <w:endnote w:type="continuationSeparator" w:id="0">
    <w:p w14:paraId="615C5BA9" w14:textId="77777777" w:rsidR="00396F07" w:rsidRDefault="0039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796F9C5C" w14:textId="77777777" w:rsidTr="00E31DCE">
      <w:trPr>
        <w:jc w:val="center"/>
      </w:trPr>
      <w:tc>
        <w:tcPr>
          <w:tcW w:w="1803" w:type="dxa"/>
          <w:vAlign w:val="center"/>
        </w:tcPr>
        <w:p w14:paraId="3D6D5B7C" w14:textId="623BCAB8" w:rsidR="00672F8A" w:rsidRDefault="006F12A3" w:rsidP="00672F8A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2600704</w:t>
          </w:r>
        </w:p>
      </w:tc>
      <w:tc>
        <w:tcPr>
          <w:tcW w:w="8261" w:type="dxa"/>
        </w:tcPr>
        <w:p w14:paraId="275B6CF4" w14:textId="639BAEEC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087318">
            <w:rPr>
              <w:bCs/>
              <w:lang w:val="ru-RU"/>
            </w:rPr>
            <w:t>56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9CE7FD0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681ADCDB" w14:textId="77777777" w:rsidTr="00E31DCE">
      <w:trPr>
        <w:jc w:val="center"/>
      </w:trPr>
      <w:tc>
        <w:tcPr>
          <w:tcW w:w="1803" w:type="dxa"/>
          <w:vAlign w:val="center"/>
        </w:tcPr>
        <w:p w14:paraId="7FF470B5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proofErr w:type="spellStart"/>
            <w:r w:rsidRPr="00BE00DD">
              <w:rPr>
                <w:rStyle w:val="Hyperlink"/>
                <w:szCs w:val="14"/>
              </w:rPr>
              <w:t>council.itu.int</w:t>
            </w:r>
            <w:proofErr w:type="spellEnd"/>
            <w:r w:rsidRPr="00BE00DD">
              <w:rPr>
                <w:rStyle w:val="Hyperlink"/>
                <w:szCs w:val="14"/>
              </w:rPr>
              <w:t>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5F94BCC6" w14:textId="2CC55B3E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087318">
            <w:rPr>
              <w:bCs/>
              <w:lang w:val="ru-RU"/>
            </w:rPr>
            <w:t>56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997B119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8D723" w14:textId="77777777" w:rsidR="00396F07" w:rsidRDefault="00396F07">
      <w:r>
        <w:t>____________________</w:t>
      </w:r>
    </w:p>
  </w:footnote>
  <w:footnote w:type="continuationSeparator" w:id="0">
    <w:p w14:paraId="6FAC6634" w14:textId="77777777" w:rsidR="00396F07" w:rsidRDefault="00396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12880" w14:textId="77777777" w:rsidR="0014229E" w:rsidRPr="007E5FC4" w:rsidRDefault="007E5FC4" w:rsidP="007E5FC4">
    <w:pPr>
      <w:pStyle w:val="Header"/>
    </w:pPr>
    <w:r>
      <w:rPr>
        <w:noProof/>
      </w:rPr>
      <w:drawing>
        <wp:inline distT="0" distB="0" distL="0" distR="0" wp14:anchorId="50BC5624" wp14:editId="64418289">
          <wp:extent cx="5760085" cy="840740"/>
          <wp:effectExtent l="0" t="0" r="0" b="0"/>
          <wp:docPr id="21176913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691333" name="Picture 21176913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5310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0B0"/>
    <w:rsid w:val="00005BE0"/>
    <w:rsid w:val="0002183E"/>
    <w:rsid w:val="000569B4"/>
    <w:rsid w:val="0006007D"/>
    <w:rsid w:val="0006660C"/>
    <w:rsid w:val="00080E82"/>
    <w:rsid w:val="00087318"/>
    <w:rsid w:val="000934DD"/>
    <w:rsid w:val="000B2DE7"/>
    <w:rsid w:val="000B4E93"/>
    <w:rsid w:val="000E568E"/>
    <w:rsid w:val="000F6960"/>
    <w:rsid w:val="00105195"/>
    <w:rsid w:val="0014229E"/>
    <w:rsid w:val="0014734F"/>
    <w:rsid w:val="00156890"/>
    <w:rsid w:val="0015710D"/>
    <w:rsid w:val="00163A32"/>
    <w:rsid w:val="00165D06"/>
    <w:rsid w:val="00192B41"/>
    <w:rsid w:val="001B30C1"/>
    <w:rsid w:val="001B7B09"/>
    <w:rsid w:val="001E6719"/>
    <w:rsid w:val="001E7F50"/>
    <w:rsid w:val="001F72C6"/>
    <w:rsid w:val="00225368"/>
    <w:rsid w:val="00227FF0"/>
    <w:rsid w:val="00276F05"/>
    <w:rsid w:val="00277DEA"/>
    <w:rsid w:val="00291EB6"/>
    <w:rsid w:val="002C3F32"/>
    <w:rsid w:val="002C726B"/>
    <w:rsid w:val="002D2F57"/>
    <w:rsid w:val="002D48C5"/>
    <w:rsid w:val="0031103A"/>
    <w:rsid w:val="0033025A"/>
    <w:rsid w:val="0033264D"/>
    <w:rsid w:val="00335DF5"/>
    <w:rsid w:val="00345D2A"/>
    <w:rsid w:val="00381936"/>
    <w:rsid w:val="003935CB"/>
    <w:rsid w:val="00396F07"/>
    <w:rsid w:val="003D15DE"/>
    <w:rsid w:val="003F099E"/>
    <w:rsid w:val="003F235E"/>
    <w:rsid w:val="00401FD7"/>
    <w:rsid w:val="004023E0"/>
    <w:rsid w:val="00403DD8"/>
    <w:rsid w:val="004070A0"/>
    <w:rsid w:val="00425CA7"/>
    <w:rsid w:val="00442515"/>
    <w:rsid w:val="0045686C"/>
    <w:rsid w:val="00465C35"/>
    <w:rsid w:val="004918C4"/>
    <w:rsid w:val="00497703"/>
    <w:rsid w:val="004A0374"/>
    <w:rsid w:val="004A45B5"/>
    <w:rsid w:val="004D0129"/>
    <w:rsid w:val="00515795"/>
    <w:rsid w:val="005551DC"/>
    <w:rsid w:val="005A64D5"/>
    <w:rsid w:val="005B3DEC"/>
    <w:rsid w:val="00601994"/>
    <w:rsid w:val="00660449"/>
    <w:rsid w:val="00672F8A"/>
    <w:rsid w:val="00690C94"/>
    <w:rsid w:val="006E2D42"/>
    <w:rsid w:val="006F12A3"/>
    <w:rsid w:val="00703676"/>
    <w:rsid w:val="00707304"/>
    <w:rsid w:val="00732269"/>
    <w:rsid w:val="0075782B"/>
    <w:rsid w:val="00762555"/>
    <w:rsid w:val="0077110E"/>
    <w:rsid w:val="00784980"/>
    <w:rsid w:val="00785ABD"/>
    <w:rsid w:val="00796BD3"/>
    <w:rsid w:val="007A2DD4"/>
    <w:rsid w:val="007B7CAB"/>
    <w:rsid w:val="007D38B5"/>
    <w:rsid w:val="007E2DC7"/>
    <w:rsid w:val="007E5FC4"/>
    <w:rsid w:val="007E7EA0"/>
    <w:rsid w:val="00807255"/>
    <w:rsid w:val="0081023E"/>
    <w:rsid w:val="008173AA"/>
    <w:rsid w:val="00840A14"/>
    <w:rsid w:val="0084546D"/>
    <w:rsid w:val="00863B45"/>
    <w:rsid w:val="008B62B4"/>
    <w:rsid w:val="008D2D7B"/>
    <w:rsid w:val="008E0737"/>
    <w:rsid w:val="008F7C2C"/>
    <w:rsid w:val="00940E96"/>
    <w:rsid w:val="00950A82"/>
    <w:rsid w:val="009965DA"/>
    <w:rsid w:val="009A76A8"/>
    <w:rsid w:val="009B0BAE"/>
    <w:rsid w:val="009C1C89"/>
    <w:rsid w:val="009F3448"/>
    <w:rsid w:val="00A01CF9"/>
    <w:rsid w:val="00A01F4F"/>
    <w:rsid w:val="00A109AF"/>
    <w:rsid w:val="00A1485E"/>
    <w:rsid w:val="00A20B63"/>
    <w:rsid w:val="00A3481C"/>
    <w:rsid w:val="00A405F9"/>
    <w:rsid w:val="00A608C7"/>
    <w:rsid w:val="00A66329"/>
    <w:rsid w:val="00A71773"/>
    <w:rsid w:val="00AE2C85"/>
    <w:rsid w:val="00AE5C84"/>
    <w:rsid w:val="00B0107F"/>
    <w:rsid w:val="00B12A37"/>
    <w:rsid w:val="00B41837"/>
    <w:rsid w:val="00B63EF2"/>
    <w:rsid w:val="00BA7D89"/>
    <w:rsid w:val="00BC0D39"/>
    <w:rsid w:val="00BC7BC0"/>
    <w:rsid w:val="00BD57B7"/>
    <w:rsid w:val="00BE00DD"/>
    <w:rsid w:val="00BE55F7"/>
    <w:rsid w:val="00BE63E2"/>
    <w:rsid w:val="00C00E14"/>
    <w:rsid w:val="00C462C5"/>
    <w:rsid w:val="00CA60A7"/>
    <w:rsid w:val="00CD2009"/>
    <w:rsid w:val="00CF629C"/>
    <w:rsid w:val="00D120D5"/>
    <w:rsid w:val="00D17718"/>
    <w:rsid w:val="00D26A1D"/>
    <w:rsid w:val="00D37176"/>
    <w:rsid w:val="00D60D46"/>
    <w:rsid w:val="00D631AA"/>
    <w:rsid w:val="00D92EEA"/>
    <w:rsid w:val="00DA5D4E"/>
    <w:rsid w:val="00DA770A"/>
    <w:rsid w:val="00DF32DD"/>
    <w:rsid w:val="00E05752"/>
    <w:rsid w:val="00E176BA"/>
    <w:rsid w:val="00E423EC"/>
    <w:rsid w:val="00E55121"/>
    <w:rsid w:val="00E728B1"/>
    <w:rsid w:val="00EB4FCB"/>
    <w:rsid w:val="00EC6BC5"/>
    <w:rsid w:val="00EF05B5"/>
    <w:rsid w:val="00F130B0"/>
    <w:rsid w:val="00F348D0"/>
    <w:rsid w:val="00F35898"/>
    <w:rsid w:val="00F5225B"/>
    <w:rsid w:val="00FA2D7B"/>
    <w:rsid w:val="00FA67E0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6F262F"/>
  <w15:docId w15:val="{5BE27FA2-B1A9-FF4B-AC5D-E7239AEA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DF32DD"/>
    <w:pPr>
      <w:framePr w:hSpace="181" w:wrap="around" w:vAnchor="page" w:hAnchor="page" w:x="1589" w:y="2314"/>
      <w:spacing w:before="84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DF32DD"/>
    <w:pPr>
      <w:framePr w:wrap="around"/>
      <w:spacing w:before="120" w:after="160"/>
    </w:pPr>
    <w:rPr>
      <w:caps w:val="0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  <w:style w:type="paragraph" w:customStyle="1" w:styleId="Tablefin">
    <w:name w:val="Table_fin"/>
    <w:basedOn w:val="Tabletext"/>
    <w:rsid w:val="0033264D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0" w:after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itudoc/gs/council/c00/docs/28rev1.html" TargetMode="External"/><Relationship Id="rId13" Type="http://schemas.openxmlformats.org/officeDocument/2006/relationships/hyperlink" Target="http://www.itu.int/itudoc/gs/council/c00/docs/28rev1.html" TargetMode="External"/><Relationship Id="rId18" Type="http://schemas.openxmlformats.org/officeDocument/2006/relationships/hyperlink" Target="https://www.itu.int/hub/membership/itu-family/organizations/exempted-entities/exemption-criteria/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itu.int/md/S19-CL-C-0141/en" TargetMode="External"/><Relationship Id="rId17" Type="http://schemas.openxmlformats.org/officeDocument/2006/relationships/hyperlink" Target="https://www.itu.int/hub/membership/itu-family/organizations/exempted-entities/exemption-criteri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tu.int/hub/membership/itu-family/organizations/exempted-entities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doc/gs/council/c00/docs/28rev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hub/membership/itu-family/organizations/exempted-entitie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tu.int/hub/membership/our-members/exempted-entities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S19-CL-C-0141/en" TargetMode="External"/><Relationship Id="rId14" Type="http://schemas.openxmlformats.org/officeDocument/2006/relationships/hyperlink" Target="https://www.itu.int/md/S19-CL-C-0141/en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A5E46-090C-4408-9C4F-A81358051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951</Words>
  <Characters>7928</Characters>
  <Application>Microsoft Office Word</Application>
  <DocSecurity>0</DocSecurity>
  <Lines>149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>General Secretariat - Pool</Manager>
  <Company>International Telecommunication Union (ITU)</Company>
  <LinksUpToDate>false</LinksUpToDate>
  <CharactersWithSpaces>8818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requests for exemption from fees for organizations of an international character</dc:title>
  <dc:subject>ITU Council 2026</dc:subject>
  <cp:keywords>C26; C2026; Council 2026; PP26</cp:keywords>
  <dc:description/>
  <cp:lastPrinted>2006-03-28T16:12:00Z</cp:lastPrinted>
  <dcterms:created xsi:type="dcterms:W3CDTF">2026-04-21T16:47:00Z</dcterms:created>
  <dcterms:modified xsi:type="dcterms:W3CDTF">2026-04-21T16:48:00Z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