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2A5110" w14:paraId="050C4176" w14:textId="77777777" w:rsidTr="00796BDB">
        <w:trPr>
          <w:cantSplit/>
          <w:trHeight w:val="23"/>
        </w:trPr>
        <w:tc>
          <w:tcPr>
            <w:tcW w:w="3969" w:type="dxa"/>
            <w:vMerge w:val="restart"/>
            <w:tcMar>
              <w:left w:w="0" w:type="dxa"/>
            </w:tcMar>
          </w:tcPr>
          <w:p w14:paraId="5235EF85" w14:textId="72296E24" w:rsidR="00D72F49" w:rsidRPr="002A5110" w:rsidRDefault="00D72F49" w:rsidP="00796BDB">
            <w:pPr>
              <w:tabs>
                <w:tab w:val="left" w:pos="851"/>
              </w:tabs>
              <w:spacing w:before="0" w:line="240" w:lineRule="atLeast"/>
              <w:rPr>
                <w:b/>
              </w:rPr>
            </w:pPr>
            <w:r w:rsidRPr="002A5110">
              <w:rPr>
                <w:b/>
              </w:rPr>
              <w:t xml:space="preserve">Point de l'ordre du </w:t>
            </w:r>
            <w:proofErr w:type="gramStart"/>
            <w:r w:rsidRPr="002A5110">
              <w:rPr>
                <w:b/>
              </w:rPr>
              <w:t>jour:</w:t>
            </w:r>
            <w:proofErr w:type="gramEnd"/>
            <w:r w:rsidR="00BB4E88" w:rsidRPr="002A5110">
              <w:rPr>
                <w:b/>
              </w:rPr>
              <w:t xml:space="preserve"> ADM 1</w:t>
            </w:r>
          </w:p>
        </w:tc>
        <w:tc>
          <w:tcPr>
            <w:tcW w:w="5245" w:type="dxa"/>
          </w:tcPr>
          <w:p w14:paraId="7A32AC63" w14:textId="3AD2A78F" w:rsidR="00D72F49" w:rsidRPr="002A5110" w:rsidRDefault="00D72F49" w:rsidP="00796BDB">
            <w:pPr>
              <w:tabs>
                <w:tab w:val="left" w:pos="851"/>
              </w:tabs>
              <w:spacing w:before="0" w:line="240" w:lineRule="atLeast"/>
              <w:jc w:val="right"/>
              <w:rPr>
                <w:b/>
              </w:rPr>
            </w:pPr>
            <w:r w:rsidRPr="002A5110">
              <w:rPr>
                <w:b/>
              </w:rPr>
              <w:t xml:space="preserve">Document </w:t>
            </w:r>
            <w:proofErr w:type="spellStart"/>
            <w:r w:rsidRPr="002A5110">
              <w:rPr>
                <w:b/>
              </w:rPr>
              <w:t>C2</w:t>
            </w:r>
            <w:r w:rsidR="00E4448E" w:rsidRPr="002A5110">
              <w:rPr>
                <w:b/>
              </w:rPr>
              <w:t>6</w:t>
            </w:r>
            <w:proofErr w:type="spellEnd"/>
            <w:r w:rsidRPr="002A5110">
              <w:rPr>
                <w:b/>
              </w:rPr>
              <w:t>/</w:t>
            </w:r>
            <w:r w:rsidR="00BB4E88" w:rsidRPr="002A5110">
              <w:rPr>
                <w:b/>
              </w:rPr>
              <w:t>56</w:t>
            </w:r>
            <w:r w:rsidRPr="002A5110">
              <w:rPr>
                <w:b/>
              </w:rPr>
              <w:t>-F</w:t>
            </w:r>
          </w:p>
        </w:tc>
      </w:tr>
      <w:tr w:rsidR="00D72F49" w:rsidRPr="002A5110" w14:paraId="6D939138" w14:textId="77777777" w:rsidTr="00796BDB">
        <w:trPr>
          <w:cantSplit/>
        </w:trPr>
        <w:tc>
          <w:tcPr>
            <w:tcW w:w="3969" w:type="dxa"/>
            <w:vMerge/>
          </w:tcPr>
          <w:p w14:paraId="42380A22" w14:textId="77777777" w:rsidR="00D72F49" w:rsidRPr="002A5110" w:rsidRDefault="00D72F49" w:rsidP="00796BDB">
            <w:pPr>
              <w:tabs>
                <w:tab w:val="left" w:pos="851"/>
              </w:tabs>
              <w:spacing w:line="240" w:lineRule="atLeast"/>
              <w:rPr>
                <w:b/>
              </w:rPr>
            </w:pPr>
          </w:p>
        </w:tc>
        <w:tc>
          <w:tcPr>
            <w:tcW w:w="5245" w:type="dxa"/>
          </w:tcPr>
          <w:p w14:paraId="7AE99204" w14:textId="724F66DC" w:rsidR="00D72F49" w:rsidRPr="002A5110" w:rsidRDefault="007C5A4F" w:rsidP="00796BDB">
            <w:pPr>
              <w:tabs>
                <w:tab w:val="left" w:pos="851"/>
              </w:tabs>
              <w:spacing w:before="0"/>
              <w:jc w:val="right"/>
              <w:rPr>
                <w:b/>
              </w:rPr>
            </w:pPr>
            <w:r w:rsidRPr="002A5110">
              <w:rPr>
                <w:b/>
              </w:rPr>
              <w:t>27 mars 2026</w:t>
            </w:r>
          </w:p>
        </w:tc>
      </w:tr>
      <w:tr w:rsidR="00D72F49" w:rsidRPr="002A5110" w14:paraId="5856E5C3" w14:textId="77777777" w:rsidTr="00796BDB">
        <w:trPr>
          <w:cantSplit/>
          <w:trHeight w:val="23"/>
        </w:trPr>
        <w:tc>
          <w:tcPr>
            <w:tcW w:w="3969" w:type="dxa"/>
            <w:vMerge/>
          </w:tcPr>
          <w:p w14:paraId="51371597" w14:textId="77777777" w:rsidR="00D72F49" w:rsidRPr="002A5110" w:rsidRDefault="00D72F49" w:rsidP="00796BDB">
            <w:pPr>
              <w:tabs>
                <w:tab w:val="left" w:pos="851"/>
              </w:tabs>
              <w:spacing w:line="240" w:lineRule="atLeast"/>
              <w:rPr>
                <w:b/>
              </w:rPr>
            </w:pPr>
          </w:p>
        </w:tc>
        <w:tc>
          <w:tcPr>
            <w:tcW w:w="5245" w:type="dxa"/>
          </w:tcPr>
          <w:p w14:paraId="4944329F" w14:textId="77777777" w:rsidR="00D72F49" w:rsidRPr="002A5110" w:rsidRDefault="00D72F49" w:rsidP="00796BDB">
            <w:pPr>
              <w:tabs>
                <w:tab w:val="left" w:pos="851"/>
              </w:tabs>
              <w:spacing w:before="0" w:line="240" w:lineRule="atLeast"/>
              <w:jc w:val="right"/>
              <w:rPr>
                <w:b/>
              </w:rPr>
            </w:pPr>
            <w:proofErr w:type="gramStart"/>
            <w:r w:rsidRPr="002A5110">
              <w:rPr>
                <w:b/>
              </w:rPr>
              <w:t>Original:</w:t>
            </w:r>
            <w:proofErr w:type="gramEnd"/>
            <w:r w:rsidRPr="002A5110">
              <w:rPr>
                <w:b/>
              </w:rPr>
              <w:t xml:space="preserve"> anglais</w:t>
            </w:r>
          </w:p>
        </w:tc>
      </w:tr>
      <w:tr w:rsidR="00D72F49" w:rsidRPr="002A5110" w14:paraId="4394F7EE" w14:textId="77777777" w:rsidTr="00796BDB">
        <w:trPr>
          <w:cantSplit/>
          <w:trHeight w:val="23"/>
        </w:trPr>
        <w:tc>
          <w:tcPr>
            <w:tcW w:w="3969" w:type="dxa"/>
          </w:tcPr>
          <w:p w14:paraId="18B9482D" w14:textId="77777777" w:rsidR="00D72F49" w:rsidRPr="002A5110" w:rsidRDefault="00D72F49" w:rsidP="00796BDB">
            <w:pPr>
              <w:tabs>
                <w:tab w:val="left" w:pos="851"/>
              </w:tabs>
              <w:spacing w:line="240" w:lineRule="atLeast"/>
              <w:rPr>
                <w:b/>
              </w:rPr>
            </w:pPr>
          </w:p>
        </w:tc>
        <w:tc>
          <w:tcPr>
            <w:tcW w:w="5245" w:type="dxa"/>
          </w:tcPr>
          <w:p w14:paraId="1712B420" w14:textId="77777777" w:rsidR="00D72F49" w:rsidRPr="002A5110" w:rsidRDefault="00D72F49" w:rsidP="00796BDB">
            <w:pPr>
              <w:tabs>
                <w:tab w:val="left" w:pos="851"/>
              </w:tabs>
              <w:spacing w:before="0" w:line="240" w:lineRule="atLeast"/>
              <w:jc w:val="right"/>
              <w:rPr>
                <w:b/>
              </w:rPr>
            </w:pPr>
          </w:p>
        </w:tc>
      </w:tr>
      <w:tr w:rsidR="00D72F49" w:rsidRPr="002A5110" w14:paraId="04420BE5" w14:textId="77777777" w:rsidTr="00796BDB">
        <w:trPr>
          <w:cantSplit/>
        </w:trPr>
        <w:tc>
          <w:tcPr>
            <w:tcW w:w="9214" w:type="dxa"/>
            <w:gridSpan w:val="2"/>
            <w:tcMar>
              <w:left w:w="0" w:type="dxa"/>
            </w:tcMar>
          </w:tcPr>
          <w:p w14:paraId="44F84A2A" w14:textId="77777777" w:rsidR="00D72F49" w:rsidRPr="002A5110" w:rsidRDefault="00D72F49" w:rsidP="00796BDB">
            <w:pPr>
              <w:pStyle w:val="Source"/>
              <w:jc w:val="left"/>
              <w:rPr>
                <w:sz w:val="34"/>
                <w:szCs w:val="34"/>
              </w:rPr>
            </w:pPr>
            <w:r w:rsidRPr="002A5110">
              <w:rPr>
                <w:rFonts w:cstheme="minorHAnsi"/>
                <w:color w:val="000000"/>
                <w:sz w:val="34"/>
                <w:szCs w:val="34"/>
              </w:rPr>
              <w:t xml:space="preserve">Rapport </w:t>
            </w:r>
            <w:r w:rsidR="00E95647" w:rsidRPr="002A5110">
              <w:rPr>
                <w:rFonts w:cstheme="minorHAnsi"/>
                <w:color w:val="000000"/>
                <w:sz w:val="34"/>
                <w:szCs w:val="34"/>
              </w:rPr>
              <w:t xml:space="preserve">de la </w:t>
            </w:r>
            <w:r w:rsidRPr="002A5110">
              <w:rPr>
                <w:rFonts w:cstheme="minorHAnsi"/>
                <w:color w:val="000000"/>
                <w:sz w:val="34"/>
                <w:szCs w:val="34"/>
              </w:rPr>
              <w:t>Secrétaire général</w:t>
            </w:r>
            <w:r w:rsidR="00E95647" w:rsidRPr="002A5110">
              <w:rPr>
                <w:rFonts w:cstheme="minorHAnsi"/>
                <w:color w:val="000000"/>
                <w:sz w:val="34"/>
                <w:szCs w:val="34"/>
              </w:rPr>
              <w:t>e</w:t>
            </w:r>
          </w:p>
        </w:tc>
      </w:tr>
      <w:tr w:rsidR="00D72F49" w:rsidRPr="002A5110" w14:paraId="472B0D81" w14:textId="77777777" w:rsidTr="00796BDB">
        <w:trPr>
          <w:cantSplit/>
        </w:trPr>
        <w:tc>
          <w:tcPr>
            <w:tcW w:w="9214" w:type="dxa"/>
            <w:gridSpan w:val="2"/>
            <w:tcMar>
              <w:left w:w="0" w:type="dxa"/>
            </w:tcMar>
          </w:tcPr>
          <w:p w14:paraId="74CF1379" w14:textId="4896B637" w:rsidR="00D72F49" w:rsidRPr="002A5110" w:rsidRDefault="0066559E" w:rsidP="00796BDB">
            <w:pPr>
              <w:pStyle w:val="Subtitle"/>
              <w:framePr w:hSpace="0" w:wrap="auto" w:hAnchor="text" w:xAlign="left" w:yAlign="inline"/>
              <w:rPr>
                <w:sz w:val="32"/>
                <w:szCs w:val="32"/>
                <w:lang w:val="fr-FR"/>
              </w:rPr>
            </w:pPr>
            <w:r w:rsidRPr="002A5110">
              <w:rPr>
                <w:rFonts w:cstheme="minorHAnsi"/>
                <w:sz w:val="32"/>
                <w:szCs w:val="32"/>
                <w:lang w:val="fr-FR"/>
              </w:rPr>
              <w:t>NOUVELLES DEMANDES D'EXONÉRATION DU PAIEMENT DE DROITS POUR LES ORGANISATIONS AYANT UN CARACTÈRE INTERNATIONAL</w:t>
            </w:r>
          </w:p>
        </w:tc>
      </w:tr>
      <w:tr w:rsidR="00D72F49" w:rsidRPr="002A5110" w14:paraId="3287A7FE" w14:textId="77777777" w:rsidTr="00796BDB">
        <w:trPr>
          <w:cantSplit/>
        </w:trPr>
        <w:tc>
          <w:tcPr>
            <w:tcW w:w="9214" w:type="dxa"/>
            <w:gridSpan w:val="2"/>
            <w:tcBorders>
              <w:top w:val="single" w:sz="4" w:space="0" w:color="auto"/>
              <w:bottom w:val="single" w:sz="4" w:space="0" w:color="auto"/>
            </w:tcBorders>
            <w:tcMar>
              <w:left w:w="0" w:type="dxa"/>
            </w:tcMar>
          </w:tcPr>
          <w:p w14:paraId="59B1F424" w14:textId="77777777" w:rsidR="00D72F49" w:rsidRPr="002A5110" w:rsidRDefault="00F37FE5" w:rsidP="00796BDB">
            <w:pPr>
              <w:spacing w:before="160"/>
              <w:rPr>
                <w:b/>
                <w:bCs/>
                <w:sz w:val="26"/>
                <w:szCs w:val="26"/>
              </w:rPr>
            </w:pPr>
            <w:r w:rsidRPr="002A5110">
              <w:rPr>
                <w:b/>
                <w:bCs/>
                <w:sz w:val="26"/>
                <w:szCs w:val="26"/>
              </w:rPr>
              <w:t>Objet</w:t>
            </w:r>
          </w:p>
          <w:p w14:paraId="1AEFE099" w14:textId="04DEF389" w:rsidR="00D72F49" w:rsidRPr="002A5110" w:rsidRDefault="007C5A4F" w:rsidP="002A5110">
            <w:pPr>
              <w:jc w:val="both"/>
            </w:pPr>
            <w:r w:rsidRPr="002A5110">
              <w:t>Chaque année, l'UIT reçoit des demandes d'organisations ayant un caractère international sollicitant l'exonération du paiement des droits de membre et d'autres contributions financières à l'Union sur la base de la réciprocité. Ces nouvelles demandes sont examinées par le Secrétariat d'après les critères établis par le Conseil.</w:t>
            </w:r>
          </w:p>
          <w:p w14:paraId="7F88070C" w14:textId="77777777" w:rsidR="00D72F49" w:rsidRPr="002A5110" w:rsidRDefault="00D72F49" w:rsidP="00796BDB">
            <w:pPr>
              <w:spacing w:before="160"/>
              <w:rPr>
                <w:b/>
                <w:bCs/>
                <w:sz w:val="26"/>
                <w:szCs w:val="26"/>
              </w:rPr>
            </w:pPr>
            <w:proofErr w:type="gramStart"/>
            <w:r w:rsidRPr="002A5110">
              <w:rPr>
                <w:b/>
                <w:bCs/>
                <w:sz w:val="26"/>
                <w:szCs w:val="26"/>
              </w:rPr>
              <w:t>Suite à</w:t>
            </w:r>
            <w:proofErr w:type="gramEnd"/>
            <w:r w:rsidRPr="002A5110">
              <w:rPr>
                <w:b/>
                <w:bCs/>
                <w:sz w:val="26"/>
                <w:szCs w:val="26"/>
              </w:rPr>
              <w:t xml:space="preserve"> donner par le Conseil</w:t>
            </w:r>
          </w:p>
          <w:p w14:paraId="208363C7" w14:textId="267D964D" w:rsidR="00D72F49" w:rsidRPr="002A5110" w:rsidRDefault="007C5A4F" w:rsidP="002A5110">
            <w:pPr>
              <w:jc w:val="both"/>
            </w:pPr>
            <w:r w:rsidRPr="002A5110">
              <w:t xml:space="preserve">Le Conseil est invité à </w:t>
            </w:r>
            <w:r w:rsidRPr="002A5110">
              <w:rPr>
                <w:b/>
                <w:bCs/>
              </w:rPr>
              <w:t>examiner</w:t>
            </w:r>
            <w:r w:rsidRPr="002A5110">
              <w:t xml:space="preserve"> les recommandations de la Secrétaire générale concernant les nouvelles demandes d'exonération.</w:t>
            </w:r>
          </w:p>
          <w:p w14:paraId="6B978C0D" w14:textId="77777777" w:rsidR="00D72F49" w:rsidRPr="002A5110" w:rsidRDefault="00D72F49" w:rsidP="00796BDB">
            <w:pPr>
              <w:spacing w:before="160"/>
              <w:rPr>
                <w:b/>
                <w:bCs/>
                <w:sz w:val="26"/>
                <w:szCs w:val="26"/>
              </w:rPr>
            </w:pPr>
            <w:r w:rsidRPr="002A5110">
              <w:rPr>
                <w:b/>
                <w:bCs/>
                <w:sz w:val="26"/>
                <w:szCs w:val="26"/>
              </w:rPr>
              <w:t xml:space="preserve">Lien(s) pertinent(s) avec le </w:t>
            </w:r>
            <w:r w:rsidR="00F37FE5" w:rsidRPr="002A5110">
              <w:rPr>
                <w:b/>
                <w:bCs/>
                <w:sz w:val="26"/>
                <w:szCs w:val="26"/>
              </w:rPr>
              <w:t>p</w:t>
            </w:r>
            <w:r w:rsidRPr="002A5110">
              <w:rPr>
                <w:b/>
                <w:bCs/>
                <w:sz w:val="26"/>
                <w:szCs w:val="26"/>
              </w:rPr>
              <w:t>lan stratégique</w:t>
            </w:r>
          </w:p>
          <w:p w14:paraId="2FE4C8DB" w14:textId="12E71BFD" w:rsidR="00D72F49" w:rsidRPr="002A5110" w:rsidRDefault="007C5A4F" w:rsidP="00796BDB">
            <w:r w:rsidRPr="002A5110">
              <w:t>Partenariats et coopération internationale.</w:t>
            </w:r>
          </w:p>
          <w:p w14:paraId="76FA5664" w14:textId="77777777" w:rsidR="00E95647" w:rsidRPr="002A5110" w:rsidRDefault="00D72F49" w:rsidP="00796BDB">
            <w:pPr>
              <w:spacing w:before="160"/>
              <w:rPr>
                <w:b/>
                <w:bCs/>
                <w:sz w:val="26"/>
                <w:szCs w:val="26"/>
              </w:rPr>
            </w:pPr>
            <w:r w:rsidRPr="002A5110">
              <w:rPr>
                <w:b/>
                <w:bCs/>
                <w:sz w:val="26"/>
                <w:szCs w:val="26"/>
              </w:rPr>
              <w:t>Incidences financières</w:t>
            </w:r>
          </w:p>
          <w:p w14:paraId="7CD13C8D" w14:textId="6D66A263" w:rsidR="00D72F49" w:rsidRPr="002A5110" w:rsidRDefault="007C5A4F" w:rsidP="002A5110">
            <w:pPr>
              <w:jc w:val="both"/>
              <w:rPr>
                <w:szCs w:val="24"/>
              </w:rPr>
            </w:pPr>
            <w:r w:rsidRPr="002A5110">
              <w:rPr>
                <w:szCs w:val="24"/>
              </w:rPr>
              <w:t>48</w:t>
            </w:r>
            <w:r w:rsidR="00F30502" w:rsidRPr="002A5110">
              <w:rPr>
                <w:szCs w:val="24"/>
              </w:rPr>
              <w:t> </w:t>
            </w:r>
            <w:r w:rsidRPr="002A5110">
              <w:rPr>
                <w:szCs w:val="24"/>
              </w:rPr>
              <w:t>000</w:t>
            </w:r>
            <w:r w:rsidR="00F30502" w:rsidRPr="002A5110">
              <w:rPr>
                <w:szCs w:val="24"/>
              </w:rPr>
              <w:t> </w:t>
            </w:r>
            <w:r w:rsidRPr="002A5110">
              <w:rPr>
                <w:szCs w:val="24"/>
              </w:rPr>
              <w:t>CHF par an pour les deux organisations qu'il est recommandé d'exonérer du paiement des droits.</w:t>
            </w:r>
          </w:p>
          <w:p w14:paraId="020CE1BE" w14:textId="77777777" w:rsidR="00D72F49" w:rsidRPr="002A5110" w:rsidRDefault="00D72F49" w:rsidP="00796BDB">
            <w:pPr>
              <w:spacing w:before="160"/>
              <w:rPr>
                <w:caps/>
                <w:sz w:val="22"/>
              </w:rPr>
            </w:pPr>
            <w:r w:rsidRPr="002A5110">
              <w:rPr>
                <w:sz w:val="22"/>
              </w:rPr>
              <w:t>__________________</w:t>
            </w:r>
          </w:p>
          <w:p w14:paraId="433CD485" w14:textId="77777777" w:rsidR="00D72F49" w:rsidRPr="002A5110" w:rsidRDefault="00D72F49" w:rsidP="00796BDB">
            <w:pPr>
              <w:spacing w:before="160"/>
              <w:rPr>
                <w:b/>
                <w:bCs/>
                <w:sz w:val="26"/>
                <w:szCs w:val="26"/>
              </w:rPr>
            </w:pPr>
            <w:r w:rsidRPr="002A5110">
              <w:rPr>
                <w:b/>
                <w:bCs/>
                <w:sz w:val="26"/>
                <w:szCs w:val="26"/>
              </w:rPr>
              <w:t>Références</w:t>
            </w:r>
          </w:p>
          <w:p w14:paraId="0FB1C964" w14:textId="1D63905B" w:rsidR="00D72F49" w:rsidRPr="002A5110" w:rsidRDefault="007C5A4F" w:rsidP="00CE5172">
            <w:pPr>
              <w:pStyle w:val="Referencetext"/>
              <w:framePr w:hSpace="0" w:wrap="auto" w:vAnchor="margin" w:hAnchor="text" w:xAlign="left" w:yAlign="inline"/>
            </w:pPr>
            <w:r w:rsidRPr="002A5110">
              <w:t xml:space="preserve">Document </w:t>
            </w:r>
            <w:hyperlink r:id="rId7" w:history="1">
              <w:proofErr w:type="spellStart"/>
              <w:r w:rsidRPr="002A5110">
                <w:rPr>
                  <w:rStyle w:val="Hyperlink"/>
                  <w:rFonts w:eastAsia="Times New Roman" w:cs="Times New Roman"/>
                </w:rPr>
                <w:t>C2000</w:t>
              </w:r>
              <w:proofErr w:type="spellEnd"/>
              <w:r w:rsidRPr="002A5110">
                <w:rPr>
                  <w:rStyle w:val="Hyperlink"/>
                  <w:rFonts w:eastAsia="Times New Roman" w:cs="Times New Roman"/>
                </w:rPr>
                <w:t>/28(</w:t>
              </w:r>
              <w:proofErr w:type="spellStart"/>
              <w:r w:rsidRPr="002A5110">
                <w:rPr>
                  <w:rStyle w:val="Hyperlink"/>
                  <w:rFonts w:eastAsia="Times New Roman" w:cs="Times New Roman"/>
                </w:rPr>
                <w:t>Rév.1</w:t>
              </w:r>
              <w:proofErr w:type="spellEnd"/>
              <w:r w:rsidRPr="002A5110">
                <w:rPr>
                  <w:rStyle w:val="Hyperlink"/>
                  <w:rFonts w:eastAsia="Times New Roman" w:cs="Times New Roman"/>
                </w:rPr>
                <w:t>)</w:t>
              </w:r>
            </w:hyperlink>
            <w:r w:rsidRPr="002A5110">
              <w:t xml:space="preserve">; Résolution </w:t>
            </w:r>
            <w:hyperlink r:id="rId8" w:history="1">
              <w:r w:rsidRPr="002A5110">
                <w:rPr>
                  <w:rStyle w:val="Hyperlink"/>
                  <w:rFonts w:eastAsia="Times New Roman" w:cs="Times New Roman"/>
                </w:rPr>
                <w:t>925</w:t>
              </w:r>
            </w:hyperlink>
            <w:r w:rsidRPr="002A5110">
              <w:t xml:space="preserve"> du </w:t>
            </w:r>
            <w:proofErr w:type="gramStart"/>
            <w:r w:rsidRPr="002A5110">
              <w:t>Conseil;</w:t>
            </w:r>
            <w:proofErr w:type="gramEnd"/>
            <w:r w:rsidRPr="002A5110">
              <w:t xml:space="preserve"> </w:t>
            </w:r>
            <w:hyperlink r:id="rId9" w:anchor="/fr" w:history="1">
              <w:r w:rsidRPr="002A5110">
                <w:rPr>
                  <w:rStyle w:val="Hyperlink"/>
                  <w:rFonts w:eastAsia="Times New Roman" w:cs="Times New Roman"/>
                </w:rPr>
                <w:t>Critères d'exonération établis par le Conseil (Rév. 2017)</w:t>
              </w:r>
            </w:hyperlink>
          </w:p>
        </w:tc>
      </w:tr>
    </w:tbl>
    <w:p w14:paraId="19448AA0" w14:textId="77777777" w:rsidR="00A51849" w:rsidRPr="002A5110" w:rsidRDefault="00A51849" w:rsidP="00CF0534"/>
    <w:p w14:paraId="7586DD4F" w14:textId="77777777" w:rsidR="00A51849" w:rsidRPr="002A5110" w:rsidRDefault="00A51849">
      <w:pPr>
        <w:tabs>
          <w:tab w:val="clear" w:pos="567"/>
          <w:tab w:val="clear" w:pos="1134"/>
          <w:tab w:val="clear" w:pos="1701"/>
          <w:tab w:val="clear" w:pos="2268"/>
          <w:tab w:val="clear" w:pos="2835"/>
        </w:tabs>
        <w:overflowPunct/>
        <w:autoSpaceDE/>
        <w:autoSpaceDN/>
        <w:adjustRightInd/>
        <w:spacing w:before="0"/>
        <w:textAlignment w:val="auto"/>
      </w:pPr>
      <w:r w:rsidRPr="002A5110">
        <w:br w:type="page"/>
      </w:r>
    </w:p>
    <w:p w14:paraId="3CB903E3" w14:textId="77777777" w:rsidR="007C5A4F" w:rsidRPr="002A5110" w:rsidRDefault="007C5A4F" w:rsidP="007C5A4F">
      <w:pPr>
        <w:pStyle w:val="Heading1"/>
      </w:pPr>
      <w:r w:rsidRPr="002A5110">
        <w:lastRenderedPageBreak/>
        <w:t>1</w:t>
      </w:r>
      <w:r w:rsidRPr="002A5110">
        <w:tab/>
        <w:t>Considérations générales</w:t>
      </w:r>
    </w:p>
    <w:p w14:paraId="20D6F6BB" w14:textId="061452BC" w:rsidR="007C5A4F" w:rsidRPr="002A5110" w:rsidRDefault="007C5A4F" w:rsidP="002A5110">
      <w:pPr>
        <w:jc w:val="both"/>
      </w:pPr>
      <w:r w:rsidRPr="002A5110">
        <w:t>1.1</w:t>
      </w:r>
      <w:r w:rsidRPr="002A5110">
        <w:tab/>
        <w:t>Chaque année, l'UIT reçoit des demandes d'organisations ayant un caractère international sollicitant l'exonération du paiement des droits de membre et d'autres contributions financières à l'Union. Ces demandes sont examinées conformément à la procédure établie par le Conseil de l'UIT à sa session de 2000 (voir</w:t>
      </w:r>
      <w:r w:rsidR="00591385" w:rsidRPr="002A5110">
        <w:t xml:space="preserve"> </w:t>
      </w:r>
      <w:r w:rsidRPr="002A5110">
        <w:t>le</w:t>
      </w:r>
      <w:r w:rsidR="00591385" w:rsidRPr="002A5110">
        <w:t xml:space="preserve"> </w:t>
      </w:r>
      <w:r w:rsidRPr="002A5110">
        <w:t>Document</w:t>
      </w:r>
      <w:r w:rsidR="002A5110" w:rsidRPr="002A5110">
        <w:t> </w:t>
      </w:r>
      <w:proofErr w:type="spellStart"/>
      <w:r w:rsidRPr="002A5110">
        <w:fldChar w:fldCharType="begin"/>
      </w:r>
      <w:r w:rsidRPr="002A5110">
        <w:instrText>HYPERLINK "https://www.itu.int/itudoc/gs/council/c00/docs/28rev1-fr.html"</w:instrText>
      </w:r>
      <w:r w:rsidRPr="002A5110">
        <w:fldChar w:fldCharType="separate"/>
      </w:r>
      <w:r w:rsidRPr="002A5110">
        <w:rPr>
          <w:rStyle w:val="Hyperlink"/>
          <w:rFonts w:eastAsia="Times New Roman" w:cs="Times New Roman"/>
          <w:szCs w:val="20"/>
        </w:rPr>
        <w:t>C2000</w:t>
      </w:r>
      <w:proofErr w:type="spellEnd"/>
      <w:r w:rsidRPr="002A5110">
        <w:rPr>
          <w:rStyle w:val="Hyperlink"/>
          <w:rFonts w:eastAsia="Times New Roman" w:cs="Times New Roman"/>
          <w:szCs w:val="20"/>
        </w:rPr>
        <w:t>/28(</w:t>
      </w:r>
      <w:proofErr w:type="spellStart"/>
      <w:r w:rsidRPr="002A5110">
        <w:rPr>
          <w:rStyle w:val="Hyperlink"/>
          <w:rFonts w:eastAsia="Times New Roman" w:cs="Times New Roman"/>
          <w:szCs w:val="20"/>
        </w:rPr>
        <w:t>Rév.1</w:t>
      </w:r>
      <w:proofErr w:type="spellEnd"/>
      <w:r w:rsidRPr="002A5110">
        <w:rPr>
          <w:rStyle w:val="Hyperlink"/>
          <w:rFonts w:eastAsia="Times New Roman" w:cs="Times New Roman"/>
          <w:szCs w:val="20"/>
        </w:rPr>
        <w:t>)</w:t>
      </w:r>
      <w:r w:rsidRPr="002A5110">
        <w:fldChar w:fldCharType="end"/>
      </w:r>
      <w:r w:rsidRPr="002A5110">
        <w:t>), au numéro 476 de la Convention de l'UIT et à la Résolution</w:t>
      </w:r>
      <w:r w:rsidR="00F30502" w:rsidRPr="002A5110">
        <w:t> </w:t>
      </w:r>
      <w:hyperlink r:id="rId10" w:history="1">
        <w:r w:rsidRPr="002A5110">
          <w:rPr>
            <w:rStyle w:val="Hyperlink"/>
            <w:rFonts w:eastAsia="Times New Roman" w:cs="Times New Roman"/>
            <w:szCs w:val="20"/>
          </w:rPr>
          <w:t>925</w:t>
        </w:r>
      </w:hyperlink>
      <w:r w:rsidRPr="002A5110">
        <w:t xml:space="preserve"> du Conseil, ainsi qu'aux critères établis par le Conseil et révisés à sa session de 2017 (voir le point</w:t>
      </w:r>
      <w:r w:rsidR="00F30502" w:rsidRPr="002A5110">
        <w:t> </w:t>
      </w:r>
      <w:r w:rsidRPr="002A5110">
        <w:t>1.5 ci-dessous).</w:t>
      </w:r>
    </w:p>
    <w:p w14:paraId="71C4208C" w14:textId="7B93D0ED" w:rsidR="007C5A4F" w:rsidRPr="002A5110" w:rsidRDefault="007C5A4F" w:rsidP="002A5110">
      <w:pPr>
        <w:jc w:val="both"/>
      </w:pPr>
      <w:r w:rsidRPr="002A5110">
        <w:t>1.2</w:t>
      </w:r>
      <w:r w:rsidRPr="002A5110">
        <w:tab/>
        <w:t>Les exonérations de paiement des droits sont accordées par le Conseil à la suite d'une analyse des Bureaux concernés et d'une recommandation de la Secrétaire générale. Si leur demande est approuvée, les entités concernées deviennent des Membres de Secteur ou des Associés au titre du numéro 231 de la Convention.</w:t>
      </w:r>
    </w:p>
    <w:p w14:paraId="0C21990B" w14:textId="15384A75" w:rsidR="007C5A4F" w:rsidRPr="002A5110" w:rsidRDefault="007C5A4F" w:rsidP="002A5110">
      <w:pPr>
        <w:jc w:val="both"/>
      </w:pPr>
      <w:r w:rsidRPr="002A5110">
        <w:t>1.3</w:t>
      </w:r>
      <w:r w:rsidRPr="002A5110">
        <w:tab/>
        <w:t xml:space="preserve">Actuellement, 145 organisations ayant un caractère international sont exonérées de droits. La liste complète est disponible </w:t>
      </w:r>
      <w:hyperlink r:id="rId11" w:anchor="/fr" w:history="1">
        <w:r w:rsidRPr="002A5110">
          <w:rPr>
            <w:rStyle w:val="Hyperlink"/>
            <w:rFonts w:eastAsia="Times New Roman" w:cs="Times New Roman"/>
            <w:szCs w:val="20"/>
          </w:rPr>
          <w:t>ici</w:t>
        </w:r>
      </w:hyperlink>
      <w:r w:rsidRPr="002A5110">
        <w:t>.</w:t>
      </w:r>
    </w:p>
    <w:p w14:paraId="7FF8E9F9" w14:textId="45697B66" w:rsidR="007C5A4F" w:rsidRPr="002A5110" w:rsidRDefault="007C5A4F" w:rsidP="002A5110">
      <w:pPr>
        <w:jc w:val="both"/>
      </w:pPr>
      <w:r w:rsidRPr="002A5110">
        <w:t>1.4</w:t>
      </w:r>
      <w:r w:rsidRPr="002A5110">
        <w:tab/>
        <w:t>Par sa Résolution 187 (Busan, 2014), la Conférence de plénipotentiaires de 2014 a chargé le Conseil de "revoir la pratique et les critères relatifs à l'exonération de certaines entités du paiement des droits de membre et d'apporter, le cas échéant, des modifications, afin de rendre les critères d'admissibilité plus stricts pour contribuer à améliorer la clarté, l'homogénéité et l'équité entre les membres qui paient des contributions et ceux qui n'en</w:t>
      </w:r>
      <w:r w:rsidR="00F30502" w:rsidRPr="002A5110">
        <w:t> </w:t>
      </w:r>
      <w:r w:rsidRPr="002A5110">
        <w:t>acquittent aucune et réduire le nombre total d'entités exonérées".</w:t>
      </w:r>
    </w:p>
    <w:p w14:paraId="0B34F164" w14:textId="7706A67C" w:rsidR="007C5A4F" w:rsidRPr="002A5110" w:rsidRDefault="007C5A4F" w:rsidP="002A5110">
      <w:pPr>
        <w:jc w:val="both"/>
      </w:pPr>
      <w:r w:rsidRPr="002A5110">
        <w:t>1.5</w:t>
      </w:r>
      <w:r w:rsidRPr="002A5110">
        <w:tab/>
        <w:t xml:space="preserve">À sa session de 2017, le Conseil a approuvé des critères révisés, qui peuvent être consultés </w:t>
      </w:r>
      <w:hyperlink r:id="rId12" w:anchor="/fr" w:history="1">
        <w:r w:rsidRPr="002A5110">
          <w:rPr>
            <w:rStyle w:val="Hyperlink"/>
            <w:rFonts w:eastAsia="Times New Roman" w:cs="Times New Roman"/>
            <w:szCs w:val="20"/>
          </w:rPr>
          <w:t>ici</w:t>
        </w:r>
      </w:hyperlink>
      <w:r w:rsidRPr="002A5110">
        <w:t>. Chaque session du Conseil examine depuis lors les nouvelles demandes selon ces critères.</w:t>
      </w:r>
    </w:p>
    <w:p w14:paraId="091D4D97" w14:textId="77777777" w:rsidR="007C5A4F" w:rsidRPr="002A5110" w:rsidRDefault="007C5A4F" w:rsidP="002A5110">
      <w:pPr>
        <w:jc w:val="both"/>
      </w:pPr>
      <w:r w:rsidRPr="002A5110">
        <w:t>1.6</w:t>
      </w:r>
      <w:r w:rsidRPr="002A5110">
        <w:tab/>
        <w:t>Le présent document traite uniquement des nouvelles demandes d'exonération du paiement des droits soumises depuis la dernière session du Conseil.</w:t>
      </w:r>
    </w:p>
    <w:p w14:paraId="44365F8A" w14:textId="77777777" w:rsidR="007C5A4F" w:rsidRPr="002A5110" w:rsidRDefault="007C5A4F" w:rsidP="007C5A4F">
      <w:pPr>
        <w:pStyle w:val="Heading1"/>
      </w:pPr>
      <w:r w:rsidRPr="002A5110">
        <w:t>2</w:t>
      </w:r>
      <w:r w:rsidRPr="002A5110">
        <w:tab/>
        <w:t>Nouvelles demandes et recommandations</w:t>
      </w:r>
    </w:p>
    <w:p w14:paraId="03D0890C" w14:textId="04ACD9CB" w:rsidR="007C5A4F" w:rsidRPr="002A5110" w:rsidRDefault="007C5A4F" w:rsidP="002A5110">
      <w:pPr>
        <w:spacing w:after="120"/>
      </w:pPr>
      <w:r w:rsidRPr="002A5110">
        <w:t>2.1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27"/>
        <w:gridCol w:w="2264"/>
        <w:gridCol w:w="2264"/>
      </w:tblGrid>
      <w:tr w:rsidR="007C5A4F" w:rsidRPr="002A5110" w14:paraId="7C1E8250" w14:textId="77777777" w:rsidTr="00A662D3">
        <w:trPr>
          <w:cantSplit/>
          <w:jc w:val="center"/>
        </w:trPr>
        <w:tc>
          <w:tcPr>
            <w:tcW w:w="2500" w:type="pct"/>
          </w:tcPr>
          <w:p w14:paraId="3570A0A4" w14:textId="77777777" w:rsidR="007C5A4F" w:rsidRPr="002A5110" w:rsidRDefault="007C5A4F" w:rsidP="00A662D3">
            <w:pPr>
              <w:pStyle w:val="Tablehead"/>
              <w:rPr>
                <w:rFonts w:eastAsia="SimSun"/>
              </w:rPr>
            </w:pPr>
            <w:r w:rsidRPr="002A5110">
              <w:rPr>
                <w:rFonts w:eastAsia="SimSun"/>
              </w:rPr>
              <w:t>Organisation</w:t>
            </w:r>
          </w:p>
        </w:tc>
        <w:tc>
          <w:tcPr>
            <w:tcW w:w="1250" w:type="pct"/>
          </w:tcPr>
          <w:p w14:paraId="3CCF7EBB" w14:textId="2E8943B6" w:rsidR="007C5A4F" w:rsidRPr="002A5110" w:rsidRDefault="007C5A4F" w:rsidP="00A662D3">
            <w:pPr>
              <w:pStyle w:val="Tablehead"/>
              <w:rPr>
                <w:rFonts w:eastAsia="SimSun"/>
              </w:rPr>
            </w:pPr>
            <w:r w:rsidRPr="002A5110">
              <w:rPr>
                <w:rFonts w:eastAsia="SimSun"/>
                <w:bCs/>
              </w:rPr>
              <w:t>Secteur</w:t>
            </w:r>
          </w:p>
        </w:tc>
        <w:tc>
          <w:tcPr>
            <w:tcW w:w="1250" w:type="pct"/>
          </w:tcPr>
          <w:p w14:paraId="7F3DACE3" w14:textId="77777777" w:rsidR="007C5A4F" w:rsidRPr="002A5110" w:rsidRDefault="007C5A4F" w:rsidP="00A662D3">
            <w:pPr>
              <w:pStyle w:val="Tablehead"/>
              <w:rPr>
                <w:rFonts w:eastAsia="SimSun" w:cstheme="minorBidi"/>
              </w:rPr>
            </w:pPr>
            <w:r w:rsidRPr="002A5110">
              <w:rPr>
                <w:rFonts w:eastAsia="SimSun" w:cstheme="minorBidi"/>
              </w:rPr>
              <w:t>Recommandation</w:t>
            </w:r>
          </w:p>
        </w:tc>
      </w:tr>
      <w:tr w:rsidR="007C5A4F" w:rsidRPr="002A5110" w14:paraId="31456384" w14:textId="77777777" w:rsidTr="00A662D3">
        <w:trPr>
          <w:cantSplit/>
          <w:trHeight w:val="805"/>
          <w:jc w:val="center"/>
        </w:trPr>
        <w:tc>
          <w:tcPr>
            <w:tcW w:w="2500" w:type="pct"/>
            <w:vAlign w:val="center"/>
          </w:tcPr>
          <w:p w14:paraId="397A2F06" w14:textId="77777777" w:rsidR="007C5A4F" w:rsidRPr="002A5110" w:rsidRDefault="007C5A4F" w:rsidP="00A662D3">
            <w:pPr>
              <w:pStyle w:val="Tabletext"/>
              <w:rPr>
                <w:b/>
              </w:rPr>
            </w:pPr>
            <w:r w:rsidRPr="002A5110">
              <w:rPr>
                <w:b/>
              </w:rPr>
              <w:t>Initiative du Golfe du Bengale pour la coopération technique et économique multisectorielle (</w:t>
            </w:r>
            <w:proofErr w:type="spellStart"/>
            <w:r w:rsidRPr="002A5110">
              <w:rPr>
                <w:b/>
              </w:rPr>
              <w:t>BIMSTEC</w:t>
            </w:r>
            <w:proofErr w:type="spellEnd"/>
            <w:r w:rsidRPr="002A5110">
              <w:rPr>
                <w:b/>
              </w:rPr>
              <w:t>)</w:t>
            </w:r>
          </w:p>
        </w:tc>
        <w:tc>
          <w:tcPr>
            <w:tcW w:w="1250" w:type="pct"/>
            <w:vAlign w:val="center"/>
          </w:tcPr>
          <w:p w14:paraId="1F6ACBAE" w14:textId="77777777" w:rsidR="007C5A4F" w:rsidRPr="002A5110" w:rsidRDefault="007C5A4F" w:rsidP="00A662D3">
            <w:pPr>
              <w:pStyle w:val="Tabletext"/>
              <w:jc w:val="center"/>
              <w:rPr>
                <w:rFonts w:eastAsia="SimSun"/>
              </w:rPr>
            </w:pPr>
            <w:r w:rsidRPr="002A5110">
              <w:rPr>
                <w:rFonts w:eastAsia="SimSun"/>
              </w:rPr>
              <w:t>UIT-D</w:t>
            </w:r>
          </w:p>
        </w:tc>
        <w:tc>
          <w:tcPr>
            <w:tcW w:w="1250" w:type="pct"/>
            <w:vAlign w:val="center"/>
          </w:tcPr>
          <w:p w14:paraId="5F148529" w14:textId="61F27BEE" w:rsidR="007C5A4F" w:rsidRPr="002A5110" w:rsidRDefault="007C5A4F" w:rsidP="00A662D3">
            <w:pPr>
              <w:pStyle w:val="Tabletext"/>
              <w:jc w:val="center"/>
              <w:rPr>
                <w:rFonts w:eastAsia="SimSun" w:cstheme="minorBidi"/>
                <w:color w:val="000000" w:themeColor="text1"/>
              </w:rPr>
            </w:pPr>
            <w:r w:rsidRPr="002A5110">
              <w:rPr>
                <w:rFonts w:eastAsia="SimSun" w:cstheme="minorBidi"/>
                <w:color w:val="000000" w:themeColor="text1"/>
              </w:rPr>
              <w:t>Oui</w:t>
            </w:r>
          </w:p>
        </w:tc>
      </w:tr>
    </w:tbl>
    <w:p w14:paraId="7CCA378D" w14:textId="77777777" w:rsidR="002A5110" w:rsidRPr="002A5110" w:rsidRDefault="002A5110" w:rsidP="002A5110">
      <w:pPr>
        <w:pStyle w:val="Tablefin"/>
      </w:pPr>
    </w:p>
    <w:p w14:paraId="31D6CAD2" w14:textId="54B69DA2" w:rsidR="007C5A4F" w:rsidRPr="002A5110" w:rsidRDefault="007C5A4F" w:rsidP="002A5110">
      <w:pPr>
        <w:jc w:val="both"/>
      </w:pPr>
      <w:r w:rsidRPr="002A5110">
        <w:t>L'Initiative du Golfe du Bengale pour la coopération technique et économique multisectorielle (</w:t>
      </w:r>
      <w:proofErr w:type="spellStart"/>
      <w:r w:rsidRPr="002A5110">
        <w:t>BIMSTEC</w:t>
      </w:r>
      <w:proofErr w:type="spellEnd"/>
      <w:r w:rsidRPr="002A5110">
        <w:t>) est une organisation régionale intergouvernementale ayant pour objet d'accélérer le développement économique et le progrès social, en promouvant la collaboration dans les domaines économique, social, technique et scientifique.</w:t>
      </w:r>
    </w:p>
    <w:p w14:paraId="182FB87A" w14:textId="3BD0CC27" w:rsidR="007C5A4F" w:rsidRPr="002A5110" w:rsidRDefault="007C5A4F" w:rsidP="002A5110">
      <w:pPr>
        <w:jc w:val="both"/>
      </w:pPr>
      <w:r w:rsidRPr="002A5110">
        <w:t xml:space="preserve">Créée en 1997, cette organisation, initialement appelée BIST-EC (Coopération économique Bangladesh </w:t>
      </w:r>
      <w:r w:rsidR="00591385" w:rsidRPr="002A5110">
        <w:t>–</w:t>
      </w:r>
      <w:r w:rsidRPr="002A5110">
        <w:t xml:space="preserve"> Inde </w:t>
      </w:r>
      <w:r w:rsidR="00591385" w:rsidRPr="002A5110">
        <w:t>–</w:t>
      </w:r>
      <w:r w:rsidRPr="002A5110">
        <w:t xml:space="preserve"> Sri Lanka </w:t>
      </w:r>
      <w:r w:rsidR="00591385" w:rsidRPr="002A5110">
        <w:t>–</w:t>
      </w:r>
      <w:r w:rsidRPr="002A5110">
        <w:t xml:space="preserve"> Thaïlande), se nomme désormais </w:t>
      </w:r>
      <w:proofErr w:type="spellStart"/>
      <w:r w:rsidRPr="002A5110">
        <w:t>BIMSTEC</w:t>
      </w:r>
      <w:proofErr w:type="spellEnd"/>
      <w:r w:rsidRPr="002A5110">
        <w:t xml:space="preserve"> et comprend sept</w:t>
      </w:r>
      <w:r w:rsidR="006B2784" w:rsidRPr="002A5110">
        <w:t> </w:t>
      </w:r>
      <w:r w:rsidRPr="002A5110">
        <w:t>États</w:t>
      </w:r>
      <w:r w:rsidR="006B2784" w:rsidRPr="002A5110">
        <w:t> M</w:t>
      </w:r>
      <w:r w:rsidRPr="002A5110">
        <w:t>embres, avec l'admission du Myanmar, le 22</w:t>
      </w:r>
      <w:r w:rsidR="00F30502" w:rsidRPr="002A5110">
        <w:t> </w:t>
      </w:r>
      <w:r w:rsidRPr="002A5110">
        <w:t>décembre</w:t>
      </w:r>
      <w:r w:rsidR="00F30502" w:rsidRPr="002A5110">
        <w:t> </w:t>
      </w:r>
      <w:r w:rsidRPr="002A5110">
        <w:t>1997, puis du Bhoutan et du Népal, en février 2004.</w:t>
      </w:r>
    </w:p>
    <w:p w14:paraId="79C4E028" w14:textId="77777777" w:rsidR="007C5A4F" w:rsidRPr="002A5110" w:rsidRDefault="007C5A4F" w:rsidP="002A5110">
      <w:pPr>
        <w:jc w:val="both"/>
      </w:pPr>
      <w:r w:rsidRPr="002A5110">
        <w:lastRenderedPageBreak/>
        <w:t>Le Secrétariat estime que cette entité remplit les critères d'exonération du paiement des droits établis par le Conseil.</w:t>
      </w:r>
    </w:p>
    <w:p w14:paraId="10D85572" w14:textId="77777777" w:rsidR="007C5A4F" w:rsidRPr="002A5110" w:rsidRDefault="007C5A4F" w:rsidP="002A5110">
      <w:pPr>
        <w:spacing w:after="120"/>
      </w:pPr>
      <w:r w:rsidRPr="002A5110">
        <w:t>2.2</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16"/>
        <w:gridCol w:w="2270"/>
        <w:gridCol w:w="2271"/>
      </w:tblGrid>
      <w:tr w:rsidR="007C5A4F" w:rsidRPr="002A5110" w14:paraId="33584E20" w14:textId="77777777" w:rsidTr="00A662D3">
        <w:trPr>
          <w:cantSplit/>
          <w:jc w:val="center"/>
        </w:trPr>
        <w:tc>
          <w:tcPr>
            <w:tcW w:w="2493" w:type="pct"/>
          </w:tcPr>
          <w:p w14:paraId="2686FACE" w14:textId="77777777" w:rsidR="007C5A4F" w:rsidRPr="002A5110" w:rsidRDefault="007C5A4F" w:rsidP="006B2784">
            <w:pPr>
              <w:pStyle w:val="Tablehead"/>
              <w:rPr>
                <w:rFonts w:eastAsia="SimSun"/>
              </w:rPr>
            </w:pPr>
            <w:r w:rsidRPr="002A5110">
              <w:rPr>
                <w:rFonts w:eastAsia="SimSun"/>
              </w:rPr>
              <w:t>Organisation</w:t>
            </w:r>
          </w:p>
        </w:tc>
        <w:tc>
          <w:tcPr>
            <w:tcW w:w="1253" w:type="pct"/>
          </w:tcPr>
          <w:p w14:paraId="235084E8" w14:textId="77777777" w:rsidR="007C5A4F" w:rsidRPr="002A5110" w:rsidRDefault="007C5A4F" w:rsidP="006B2784">
            <w:pPr>
              <w:pStyle w:val="Tablehead"/>
              <w:rPr>
                <w:rFonts w:eastAsia="SimSun"/>
              </w:rPr>
            </w:pPr>
            <w:r w:rsidRPr="002A5110">
              <w:rPr>
                <w:rFonts w:eastAsia="SimSun"/>
              </w:rPr>
              <w:t>Secteur</w:t>
            </w:r>
          </w:p>
        </w:tc>
        <w:tc>
          <w:tcPr>
            <w:tcW w:w="1254" w:type="pct"/>
          </w:tcPr>
          <w:p w14:paraId="63078A7A" w14:textId="77777777" w:rsidR="007C5A4F" w:rsidRPr="002A5110" w:rsidRDefault="007C5A4F" w:rsidP="006B2784">
            <w:pPr>
              <w:pStyle w:val="Tablehead"/>
              <w:rPr>
                <w:rFonts w:eastAsia="SimSun"/>
              </w:rPr>
            </w:pPr>
            <w:r w:rsidRPr="002A5110">
              <w:rPr>
                <w:rFonts w:eastAsia="SimSun"/>
              </w:rPr>
              <w:t>Recommandation</w:t>
            </w:r>
          </w:p>
        </w:tc>
      </w:tr>
      <w:tr w:rsidR="007C5A4F" w:rsidRPr="002A5110" w14:paraId="7200573F" w14:textId="77777777" w:rsidTr="00A662D3">
        <w:trPr>
          <w:cantSplit/>
          <w:jc w:val="center"/>
        </w:trPr>
        <w:tc>
          <w:tcPr>
            <w:tcW w:w="2493" w:type="pct"/>
            <w:vAlign w:val="center"/>
          </w:tcPr>
          <w:p w14:paraId="5DB9F95D" w14:textId="77777777" w:rsidR="007C5A4F" w:rsidRPr="002A5110" w:rsidRDefault="007C5A4F" w:rsidP="006B2784">
            <w:pPr>
              <w:pStyle w:val="Tabletext"/>
              <w:rPr>
                <w:rFonts w:eastAsia="SimSun"/>
                <w:b/>
                <w:bCs/>
              </w:rPr>
            </w:pPr>
            <w:proofErr w:type="spellStart"/>
            <w:r w:rsidRPr="002A5110">
              <w:rPr>
                <w:rFonts w:eastAsia="SimSun"/>
                <w:b/>
                <w:bCs/>
              </w:rPr>
              <w:t>DigiHub</w:t>
            </w:r>
            <w:proofErr w:type="spellEnd"/>
            <w:r w:rsidRPr="002A5110">
              <w:rPr>
                <w:rFonts w:eastAsia="SimSun"/>
                <w:b/>
                <w:bCs/>
              </w:rPr>
              <w:t xml:space="preserve"> Africa</w:t>
            </w:r>
          </w:p>
        </w:tc>
        <w:tc>
          <w:tcPr>
            <w:tcW w:w="1253" w:type="pct"/>
            <w:vAlign w:val="center"/>
          </w:tcPr>
          <w:p w14:paraId="42A05986" w14:textId="77777777" w:rsidR="007C5A4F" w:rsidRPr="002A5110" w:rsidRDefault="007C5A4F" w:rsidP="006B2784">
            <w:pPr>
              <w:pStyle w:val="Tabletext"/>
              <w:jc w:val="center"/>
              <w:rPr>
                <w:rFonts w:eastAsia="SimSun"/>
              </w:rPr>
            </w:pPr>
            <w:r w:rsidRPr="002A5110">
              <w:rPr>
                <w:rFonts w:eastAsia="SimSun"/>
              </w:rPr>
              <w:t>UIT-D</w:t>
            </w:r>
          </w:p>
        </w:tc>
        <w:tc>
          <w:tcPr>
            <w:tcW w:w="1254" w:type="pct"/>
            <w:vAlign w:val="center"/>
          </w:tcPr>
          <w:p w14:paraId="1C97435F" w14:textId="10E968A0" w:rsidR="007C5A4F" w:rsidRPr="002A5110" w:rsidRDefault="007C5A4F" w:rsidP="006B2784">
            <w:pPr>
              <w:pStyle w:val="Tabletext"/>
              <w:jc w:val="center"/>
              <w:rPr>
                <w:rFonts w:eastAsia="SimSun"/>
              </w:rPr>
            </w:pPr>
            <w:r w:rsidRPr="002A5110">
              <w:rPr>
                <w:rFonts w:eastAsia="SimSun"/>
              </w:rPr>
              <w:t>Non</w:t>
            </w:r>
          </w:p>
        </w:tc>
      </w:tr>
    </w:tbl>
    <w:p w14:paraId="58EAC29B" w14:textId="77777777" w:rsidR="002A5110" w:rsidRPr="002A5110" w:rsidRDefault="002A5110" w:rsidP="002A5110">
      <w:pPr>
        <w:pStyle w:val="Tablefin"/>
      </w:pPr>
    </w:p>
    <w:p w14:paraId="701E2805" w14:textId="0B41A400" w:rsidR="007C5A4F" w:rsidRPr="002A5110" w:rsidRDefault="007C5A4F" w:rsidP="00FC0914">
      <w:pPr>
        <w:jc w:val="both"/>
      </w:pPr>
      <w:proofErr w:type="spellStart"/>
      <w:r w:rsidRPr="002A5110">
        <w:t>Digihub</w:t>
      </w:r>
      <w:proofErr w:type="spellEnd"/>
      <w:r w:rsidRPr="002A5110">
        <w:t xml:space="preserve"> Africa est une association à but non lucratif sans membres qui se consacre à</w:t>
      </w:r>
      <w:r w:rsidR="006B2784" w:rsidRPr="002A5110">
        <w:t> </w:t>
      </w:r>
      <w:r w:rsidRPr="002A5110">
        <w:t>l'amélioration des droits numériques, à la sécurité en ligne et à la transformation numérique inclusive à l'échelle du continent. Son action consiste à proposer aux jeunes, aux</w:t>
      </w:r>
      <w:r w:rsidR="006B2784" w:rsidRPr="002A5110">
        <w:t> </w:t>
      </w:r>
      <w:r w:rsidRPr="002A5110">
        <w:t>femmes et aux autres groupes vulnérables des zones rurales des formations pratiques aux compétences numériques, à promouvoir des environnements Internet ouverts et sécurisés et à encourager des comportements en ligne responsables.</w:t>
      </w:r>
    </w:p>
    <w:p w14:paraId="4FF2385C" w14:textId="77777777" w:rsidR="007C5A4F" w:rsidRPr="002A5110" w:rsidRDefault="007C5A4F" w:rsidP="00FC0914">
      <w:pPr>
        <w:jc w:val="both"/>
      </w:pPr>
      <w:r w:rsidRPr="002A5110">
        <w:t>Le Secrétariat estime que cette entité ne remplit pas les critères d'exonération du paiement des droits établis par le Conseil car elle n'a pas apporté la preuve qu'elle "[est] une organisation à but non lucratif juridiquement reconnue et [représente] des membres ayant le statut d'organisation à but non lucratif".</w:t>
      </w:r>
    </w:p>
    <w:p w14:paraId="1A68F4AB" w14:textId="77777777" w:rsidR="007C5A4F" w:rsidRPr="002A5110" w:rsidRDefault="007C5A4F" w:rsidP="002A5110">
      <w:pPr>
        <w:spacing w:after="120"/>
      </w:pPr>
      <w:r w:rsidRPr="002A5110">
        <w:t>2.3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05"/>
        <w:gridCol w:w="2255"/>
        <w:gridCol w:w="2295"/>
      </w:tblGrid>
      <w:tr w:rsidR="007C5A4F" w:rsidRPr="002A5110" w14:paraId="356B7336" w14:textId="77777777" w:rsidTr="002A5110">
        <w:trPr>
          <w:cantSplit/>
          <w:jc w:val="center"/>
        </w:trPr>
        <w:tc>
          <w:tcPr>
            <w:tcW w:w="2488" w:type="pct"/>
          </w:tcPr>
          <w:p w14:paraId="1A79BF53" w14:textId="77777777" w:rsidR="007C5A4F" w:rsidRPr="002A5110" w:rsidRDefault="007C5A4F" w:rsidP="00A662D3">
            <w:pPr>
              <w:pStyle w:val="Tablehead"/>
              <w:rPr>
                <w:rFonts w:eastAsia="SimSun"/>
              </w:rPr>
            </w:pPr>
            <w:r w:rsidRPr="002A5110">
              <w:rPr>
                <w:rFonts w:eastAsia="SimSun"/>
              </w:rPr>
              <w:t>Organisation</w:t>
            </w:r>
          </w:p>
        </w:tc>
        <w:tc>
          <w:tcPr>
            <w:tcW w:w="1245" w:type="pct"/>
          </w:tcPr>
          <w:p w14:paraId="4BAD8CD9" w14:textId="77777777" w:rsidR="007C5A4F" w:rsidRPr="002A5110" w:rsidRDefault="007C5A4F" w:rsidP="00A662D3">
            <w:pPr>
              <w:pStyle w:val="Tablehead"/>
              <w:rPr>
                <w:rFonts w:eastAsia="SimSun"/>
              </w:rPr>
            </w:pPr>
            <w:r w:rsidRPr="002A5110">
              <w:rPr>
                <w:rFonts w:eastAsia="SimSun"/>
                <w:bCs/>
              </w:rPr>
              <w:t>Secteurs</w:t>
            </w:r>
          </w:p>
        </w:tc>
        <w:tc>
          <w:tcPr>
            <w:tcW w:w="1267" w:type="pct"/>
          </w:tcPr>
          <w:p w14:paraId="5C01356D" w14:textId="77777777" w:rsidR="007C5A4F" w:rsidRPr="002A5110" w:rsidRDefault="007C5A4F" w:rsidP="00A662D3">
            <w:pPr>
              <w:pStyle w:val="Tablehead"/>
              <w:rPr>
                <w:rFonts w:eastAsia="SimSun" w:cstheme="minorBidi"/>
              </w:rPr>
            </w:pPr>
            <w:r w:rsidRPr="002A5110">
              <w:rPr>
                <w:rFonts w:eastAsia="SimSun" w:cstheme="minorBidi"/>
              </w:rPr>
              <w:t>Recommandation</w:t>
            </w:r>
          </w:p>
        </w:tc>
      </w:tr>
      <w:tr w:rsidR="007C5A4F" w:rsidRPr="002A5110" w14:paraId="67D9CC02" w14:textId="77777777" w:rsidTr="002A5110">
        <w:trPr>
          <w:cantSplit/>
          <w:jc w:val="center"/>
        </w:trPr>
        <w:tc>
          <w:tcPr>
            <w:tcW w:w="2488" w:type="pct"/>
            <w:vAlign w:val="center"/>
          </w:tcPr>
          <w:p w14:paraId="762FA592" w14:textId="77777777" w:rsidR="007C5A4F" w:rsidRPr="002A5110" w:rsidRDefault="007C5A4F" w:rsidP="00A662D3">
            <w:pPr>
              <w:pStyle w:val="Tabletext"/>
              <w:rPr>
                <w:rFonts w:eastAsia="SimSun" w:cstheme="minorBidi"/>
                <w:b/>
                <w:color w:val="000000" w:themeColor="text1"/>
                <w:lang w:eastAsia="en-GB"/>
              </w:rPr>
            </w:pPr>
            <w:r w:rsidRPr="002A5110">
              <w:rPr>
                <w:rFonts w:eastAsia="SimSun" w:cstheme="minorBidi"/>
                <w:b/>
                <w:color w:val="000000" w:themeColor="text1"/>
                <w:lang w:eastAsia="en-GB"/>
              </w:rPr>
              <w:t>Fédération européenne des personnes sourdes et malentendantes (</w:t>
            </w:r>
            <w:proofErr w:type="spellStart"/>
            <w:r w:rsidRPr="002A5110">
              <w:rPr>
                <w:rFonts w:eastAsia="SimSun" w:cstheme="minorBidi"/>
                <w:b/>
                <w:color w:val="000000" w:themeColor="text1"/>
                <w:lang w:eastAsia="en-GB"/>
              </w:rPr>
              <w:t>EFHOH</w:t>
            </w:r>
            <w:proofErr w:type="spellEnd"/>
            <w:r w:rsidRPr="002A5110">
              <w:rPr>
                <w:rFonts w:eastAsia="SimSun" w:cstheme="minorBidi"/>
                <w:b/>
                <w:color w:val="000000" w:themeColor="text1"/>
                <w:lang w:eastAsia="en-GB"/>
              </w:rPr>
              <w:t>)</w:t>
            </w:r>
          </w:p>
        </w:tc>
        <w:tc>
          <w:tcPr>
            <w:tcW w:w="1245" w:type="pct"/>
            <w:vAlign w:val="center"/>
          </w:tcPr>
          <w:p w14:paraId="42702D1B" w14:textId="77777777" w:rsidR="007C5A4F" w:rsidRPr="002A5110" w:rsidRDefault="007C5A4F" w:rsidP="00A662D3">
            <w:pPr>
              <w:pStyle w:val="Tabletext"/>
              <w:jc w:val="center"/>
              <w:rPr>
                <w:rFonts w:eastAsia="SimSun"/>
              </w:rPr>
            </w:pPr>
            <w:r w:rsidRPr="002A5110">
              <w:rPr>
                <w:rFonts w:eastAsia="SimSun"/>
              </w:rPr>
              <w:t>UIT-T</w:t>
            </w:r>
          </w:p>
          <w:p w14:paraId="1CEFD2C5" w14:textId="647F2FF6" w:rsidR="007C5A4F" w:rsidRPr="002A5110" w:rsidRDefault="007C5A4F" w:rsidP="00A662D3">
            <w:pPr>
              <w:pStyle w:val="Tabletext"/>
              <w:jc w:val="center"/>
              <w:rPr>
                <w:rFonts w:eastAsia="SimSun"/>
              </w:rPr>
            </w:pPr>
            <w:r w:rsidRPr="002A5110">
              <w:rPr>
                <w:rFonts w:eastAsia="SimSun"/>
              </w:rPr>
              <w:t>UIT-D</w:t>
            </w:r>
          </w:p>
        </w:tc>
        <w:tc>
          <w:tcPr>
            <w:tcW w:w="1267" w:type="pct"/>
            <w:vAlign w:val="center"/>
          </w:tcPr>
          <w:p w14:paraId="37758571" w14:textId="085177F4" w:rsidR="007C5A4F" w:rsidRPr="002A5110" w:rsidRDefault="007C5A4F" w:rsidP="00A662D3">
            <w:pPr>
              <w:pStyle w:val="Tabletext"/>
              <w:jc w:val="center"/>
              <w:rPr>
                <w:rFonts w:eastAsia="SimSun"/>
              </w:rPr>
            </w:pPr>
            <w:r w:rsidRPr="002A5110">
              <w:rPr>
                <w:rFonts w:eastAsia="SimSun"/>
              </w:rPr>
              <w:t>Oui</w:t>
            </w:r>
          </w:p>
          <w:p w14:paraId="328D0A88" w14:textId="30D2213A" w:rsidR="007C5A4F" w:rsidRPr="002A5110" w:rsidRDefault="007C5A4F" w:rsidP="00A662D3">
            <w:pPr>
              <w:pStyle w:val="Tabletext"/>
              <w:jc w:val="center"/>
              <w:rPr>
                <w:rFonts w:eastAsia="SimSun"/>
              </w:rPr>
            </w:pPr>
            <w:r w:rsidRPr="002A5110">
              <w:rPr>
                <w:rFonts w:eastAsia="SimSun"/>
              </w:rPr>
              <w:t>Oui</w:t>
            </w:r>
          </w:p>
        </w:tc>
      </w:tr>
    </w:tbl>
    <w:p w14:paraId="4138AC7F" w14:textId="77777777" w:rsidR="002A5110" w:rsidRPr="002A5110" w:rsidRDefault="002A5110" w:rsidP="002A5110">
      <w:pPr>
        <w:pStyle w:val="Tablefin"/>
      </w:pPr>
    </w:p>
    <w:p w14:paraId="677C4F6E" w14:textId="77777777" w:rsidR="007C5A4F" w:rsidRPr="002A5110" w:rsidRDefault="007C5A4F" w:rsidP="00FC0914">
      <w:pPr>
        <w:jc w:val="both"/>
      </w:pPr>
      <w:r w:rsidRPr="002A5110">
        <w:t>La Fédération européenne des personnes sourdes et malentendantes (</w:t>
      </w:r>
      <w:proofErr w:type="spellStart"/>
      <w:r w:rsidRPr="002A5110">
        <w:t>EFHOH</w:t>
      </w:r>
      <w:proofErr w:type="spellEnd"/>
      <w:r w:rsidRPr="002A5110">
        <w:t>) est une organisation régionale à but non lucratif créée en 1993. Elle s'emploie à promouvoir la sensibilisation, la compréhension et une série de mesures collaboratives pratiques visant à éliminer les obstacles qui empêchent les personnes sourdes et malentendantes de s'accomplir pleinement, en œuvrant pour que chacune ait accès aux soins auditifs et à la réadaptation pour un coût abordable, le tout optimisé par une société rendue accessible par l'offre de services publics, les boucles à induction magnétique, les sous-titres, le sous-titrage en direct et d’autres dispositifs d’assistance. Les membres de l'</w:t>
      </w:r>
      <w:proofErr w:type="spellStart"/>
      <w:r w:rsidRPr="002A5110">
        <w:t>EFHOH</w:t>
      </w:r>
      <w:proofErr w:type="spellEnd"/>
      <w:r w:rsidRPr="002A5110">
        <w:t xml:space="preserve"> sont des organisations nationales ou régionales représentant les personnes sourdes et malentendantes.</w:t>
      </w:r>
    </w:p>
    <w:p w14:paraId="27000D73" w14:textId="77777777" w:rsidR="007C5A4F" w:rsidRPr="002A5110" w:rsidRDefault="007C5A4F" w:rsidP="00FC0914">
      <w:pPr>
        <w:jc w:val="both"/>
      </w:pPr>
      <w:r w:rsidRPr="002A5110">
        <w:t>L'objectif général de l'</w:t>
      </w:r>
      <w:proofErr w:type="spellStart"/>
      <w:r w:rsidRPr="002A5110">
        <w:t>EFHOH</w:t>
      </w:r>
      <w:proofErr w:type="spellEnd"/>
      <w:r w:rsidRPr="002A5110">
        <w:t xml:space="preserve"> est de protéger, de promouvoir et de faire mieux connaître les droits des personnes sourdes et malentendantes en Europe, et de faciliter ainsi la protection par la loi et la protection sociale.</w:t>
      </w:r>
    </w:p>
    <w:p w14:paraId="4810AA20" w14:textId="77777777" w:rsidR="007C5A4F" w:rsidRPr="002A5110" w:rsidRDefault="007C5A4F" w:rsidP="00FC0914">
      <w:pPr>
        <w:jc w:val="both"/>
      </w:pPr>
      <w:r w:rsidRPr="002A5110">
        <w:t>Le Secrétariat estime que cette entité remplit les critères d'exonération du paiement des droits établis par le Conseil.</w:t>
      </w:r>
    </w:p>
    <w:p w14:paraId="425B740D" w14:textId="77777777" w:rsidR="007C5A4F" w:rsidRPr="002A5110" w:rsidRDefault="007C5A4F" w:rsidP="002A5110">
      <w:pPr>
        <w:spacing w:after="120"/>
      </w:pPr>
      <w:r w:rsidRPr="002A5110">
        <w:t>2.4</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00"/>
        <w:gridCol w:w="2391"/>
        <w:gridCol w:w="2164"/>
      </w:tblGrid>
      <w:tr w:rsidR="007C5A4F" w:rsidRPr="002A5110" w14:paraId="0642A1E8" w14:textId="77777777" w:rsidTr="00A662D3">
        <w:trPr>
          <w:trHeight w:val="300"/>
          <w:jc w:val="center"/>
        </w:trPr>
        <w:tc>
          <w:tcPr>
            <w:tcW w:w="2485" w:type="pct"/>
          </w:tcPr>
          <w:p w14:paraId="3651AB24" w14:textId="77777777" w:rsidR="007C5A4F" w:rsidRPr="002A5110" w:rsidRDefault="007C5A4F" w:rsidP="00A662D3">
            <w:pPr>
              <w:pStyle w:val="Tablehead"/>
              <w:rPr>
                <w:rFonts w:eastAsia="SimSun"/>
              </w:rPr>
            </w:pPr>
            <w:r w:rsidRPr="002A5110">
              <w:rPr>
                <w:rFonts w:eastAsia="SimSun"/>
              </w:rPr>
              <w:t>Organisation</w:t>
            </w:r>
          </w:p>
        </w:tc>
        <w:tc>
          <w:tcPr>
            <w:tcW w:w="1320" w:type="pct"/>
          </w:tcPr>
          <w:p w14:paraId="761F44E3" w14:textId="77777777" w:rsidR="007C5A4F" w:rsidRPr="002A5110" w:rsidRDefault="007C5A4F" w:rsidP="00A662D3">
            <w:pPr>
              <w:pStyle w:val="Tablehead"/>
              <w:rPr>
                <w:rFonts w:eastAsia="SimSun"/>
              </w:rPr>
            </w:pPr>
            <w:r w:rsidRPr="002A5110">
              <w:rPr>
                <w:rFonts w:eastAsia="SimSun"/>
              </w:rPr>
              <w:t>Secteur</w:t>
            </w:r>
          </w:p>
        </w:tc>
        <w:tc>
          <w:tcPr>
            <w:tcW w:w="1195" w:type="pct"/>
          </w:tcPr>
          <w:p w14:paraId="28A2BD3D" w14:textId="77777777" w:rsidR="007C5A4F" w:rsidRPr="002A5110" w:rsidRDefault="007C5A4F" w:rsidP="00A662D3">
            <w:pPr>
              <w:pStyle w:val="Tablehead"/>
              <w:rPr>
                <w:rFonts w:eastAsia="SimSun"/>
              </w:rPr>
            </w:pPr>
            <w:r w:rsidRPr="002A5110">
              <w:rPr>
                <w:rFonts w:eastAsia="SimSun"/>
              </w:rPr>
              <w:t>Recommandation</w:t>
            </w:r>
          </w:p>
        </w:tc>
      </w:tr>
      <w:tr w:rsidR="007C5A4F" w:rsidRPr="002A5110" w14:paraId="2B36709C" w14:textId="77777777" w:rsidTr="00A662D3">
        <w:trPr>
          <w:trHeight w:val="300"/>
          <w:jc w:val="center"/>
        </w:trPr>
        <w:tc>
          <w:tcPr>
            <w:tcW w:w="2485" w:type="pct"/>
            <w:vAlign w:val="center"/>
          </w:tcPr>
          <w:p w14:paraId="454A0577" w14:textId="77777777" w:rsidR="007C5A4F" w:rsidRPr="002A5110" w:rsidRDefault="007C5A4F" w:rsidP="00A662D3">
            <w:pPr>
              <w:pStyle w:val="Tabletext"/>
              <w:rPr>
                <w:rFonts w:eastAsia="SimSun"/>
                <w:b/>
                <w:bCs/>
              </w:rPr>
            </w:pPr>
            <w:r w:rsidRPr="002A5110">
              <w:rPr>
                <w:rFonts w:eastAsia="SimSun"/>
                <w:b/>
                <w:bCs/>
              </w:rPr>
              <w:t>Organisation pour la paix et le développement dans le monde</w:t>
            </w:r>
          </w:p>
        </w:tc>
        <w:tc>
          <w:tcPr>
            <w:tcW w:w="1320" w:type="pct"/>
            <w:vAlign w:val="center"/>
          </w:tcPr>
          <w:p w14:paraId="43C08B4F" w14:textId="77777777" w:rsidR="007C5A4F" w:rsidRPr="002A5110" w:rsidRDefault="007C5A4F" w:rsidP="00A662D3">
            <w:pPr>
              <w:pStyle w:val="Tabletext"/>
              <w:jc w:val="center"/>
              <w:rPr>
                <w:rFonts w:eastAsia="SimSun"/>
              </w:rPr>
            </w:pPr>
            <w:r w:rsidRPr="002A5110">
              <w:rPr>
                <w:rFonts w:eastAsia="SimSun"/>
              </w:rPr>
              <w:t>UIT-D</w:t>
            </w:r>
          </w:p>
        </w:tc>
        <w:tc>
          <w:tcPr>
            <w:tcW w:w="1195" w:type="pct"/>
            <w:vAlign w:val="center"/>
          </w:tcPr>
          <w:p w14:paraId="4CAD30D0" w14:textId="77777777" w:rsidR="007C5A4F" w:rsidRPr="002A5110" w:rsidRDefault="007C5A4F" w:rsidP="00A662D3">
            <w:pPr>
              <w:pStyle w:val="Tabletext"/>
              <w:jc w:val="center"/>
              <w:rPr>
                <w:rFonts w:eastAsia="SimSun" w:cs="Calibri"/>
              </w:rPr>
            </w:pPr>
            <w:r w:rsidRPr="002A5110">
              <w:rPr>
                <w:rFonts w:eastAsia="SimSun" w:cs="Calibri"/>
              </w:rPr>
              <w:t>Non</w:t>
            </w:r>
          </w:p>
        </w:tc>
      </w:tr>
    </w:tbl>
    <w:p w14:paraId="116034BA" w14:textId="77777777" w:rsidR="002A5110" w:rsidRPr="002A5110" w:rsidRDefault="002A5110" w:rsidP="002A5110">
      <w:pPr>
        <w:pStyle w:val="Tablefin"/>
      </w:pPr>
    </w:p>
    <w:p w14:paraId="78F40A74" w14:textId="3B85944A" w:rsidR="007C5A4F" w:rsidRPr="002A5110" w:rsidRDefault="007C5A4F" w:rsidP="00FC0914">
      <w:pPr>
        <w:jc w:val="both"/>
      </w:pPr>
      <w:r w:rsidRPr="002A5110">
        <w:lastRenderedPageBreak/>
        <w:t>L'Organisation pour la paix et le développement dans le monde est une organisation à but non lucratif créée en 2011.</w:t>
      </w:r>
    </w:p>
    <w:p w14:paraId="4541ECD1" w14:textId="065A9838" w:rsidR="007C5A4F" w:rsidRPr="002A5110" w:rsidRDefault="007C5A4F" w:rsidP="00FC0914">
      <w:pPr>
        <w:jc w:val="both"/>
      </w:pPr>
      <w:r w:rsidRPr="002A5110">
        <w:t>Son action vise à promouvoir la paix et la solidarité internationale pour les droits de l'homme, le développement et le changement social. Au Libéria, l'organisation s'occupe de questions comme les droits des femmes, les systèmes alimentaires durables, les politiques</w:t>
      </w:r>
      <w:r w:rsidR="006B2784" w:rsidRPr="002A5110">
        <w:t> </w:t>
      </w:r>
      <w:r w:rsidRPr="002A5110">
        <w:t>publiques et la sensibilisation, ainsi que la réponse aux crises humanitaires en</w:t>
      </w:r>
      <w:r w:rsidR="006B2784" w:rsidRPr="002A5110">
        <w:t> </w:t>
      </w:r>
      <w:r w:rsidRPr="002A5110">
        <w:t>Afrique</w:t>
      </w:r>
      <w:r w:rsidR="006B2784" w:rsidRPr="002A5110">
        <w:t> </w:t>
      </w:r>
      <w:r w:rsidRPr="002A5110">
        <w:t>de</w:t>
      </w:r>
      <w:r w:rsidR="006B2784" w:rsidRPr="002A5110">
        <w:t> </w:t>
      </w:r>
      <w:r w:rsidRPr="002A5110">
        <w:t>l'Ouest.</w:t>
      </w:r>
    </w:p>
    <w:p w14:paraId="0D26DE54" w14:textId="05A558DF" w:rsidR="007C5A4F" w:rsidRPr="002A5110" w:rsidRDefault="007C5A4F" w:rsidP="00FC0914">
      <w:pPr>
        <w:jc w:val="both"/>
      </w:pPr>
      <w:r w:rsidRPr="002A5110">
        <w:t>Le Secrétariat estime que cette entité ne remplit pas les critères d'exonération du paiement des droits établis par le Conseil car elle n'a pas apporté la preuve qu'elle est "composée d'un nombre important de membres, [compte] une présence importante et [mène] des activités importantes dans plusieurs États</w:t>
      </w:r>
      <w:r w:rsidR="00F30502" w:rsidRPr="002A5110">
        <w:t> </w:t>
      </w:r>
      <w:r w:rsidRPr="002A5110">
        <w:t>Membres, dont la participation aux activités de l'UIT servirait les objectifs de l'Union".</w:t>
      </w:r>
    </w:p>
    <w:p w14:paraId="272BEC2C" w14:textId="77777777" w:rsidR="007C5A4F" w:rsidRPr="002A5110" w:rsidRDefault="007C5A4F" w:rsidP="002A5110">
      <w:pPr>
        <w:spacing w:after="120"/>
      </w:pPr>
      <w:r w:rsidRPr="002A5110">
        <w:t>2.5</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486"/>
        <w:gridCol w:w="2284"/>
        <w:gridCol w:w="2285"/>
      </w:tblGrid>
      <w:tr w:rsidR="007C5A4F" w:rsidRPr="002A5110" w14:paraId="7D15AE69" w14:textId="77777777" w:rsidTr="00A662D3">
        <w:trPr>
          <w:trHeight w:val="300"/>
          <w:jc w:val="center"/>
        </w:trPr>
        <w:tc>
          <w:tcPr>
            <w:tcW w:w="2477" w:type="pct"/>
          </w:tcPr>
          <w:p w14:paraId="2962EF31" w14:textId="77777777" w:rsidR="007C5A4F" w:rsidRPr="002A5110" w:rsidRDefault="007C5A4F" w:rsidP="00A662D3">
            <w:pPr>
              <w:pStyle w:val="Tablehead"/>
              <w:rPr>
                <w:rFonts w:eastAsia="SimSun"/>
              </w:rPr>
            </w:pPr>
            <w:r w:rsidRPr="002A5110">
              <w:rPr>
                <w:rFonts w:eastAsia="SimSun"/>
              </w:rPr>
              <w:t>Organisation</w:t>
            </w:r>
          </w:p>
        </w:tc>
        <w:tc>
          <w:tcPr>
            <w:tcW w:w="1261" w:type="pct"/>
          </w:tcPr>
          <w:p w14:paraId="537EF667" w14:textId="77777777" w:rsidR="007C5A4F" w:rsidRPr="002A5110" w:rsidRDefault="007C5A4F" w:rsidP="00A662D3">
            <w:pPr>
              <w:pStyle w:val="Tablehead"/>
              <w:rPr>
                <w:rFonts w:eastAsia="SimSun"/>
              </w:rPr>
            </w:pPr>
            <w:r w:rsidRPr="002A5110">
              <w:rPr>
                <w:rFonts w:eastAsia="SimSun"/>
              </w:rPr>
              <w:t>Secteur</w:t>
            </w:r>
          </w:p>
        </w:tc>
        <w:tc>
          <w:tcPr>
            <w:tcW w:w="1262" w:type="pct"/>
          </w:tcPr>
          <w:p w14:paraId="48BFB1D2" w14:textId="77777777" w:rsidR="007C5A4F" w:rsidRPr="002A5110" w:rsidRDefault="007C5A4F" w:rsidP="00A662D3">
            <w:pPr>
              <w:pStyle w:val="Tablehead"/>
              <w:rPr>
                <w:rFonts w:eastAsia="SimSun"/>
              </w:rPr>
            </w:pPr>
            <w:r w:rsidRPr="002A5110">
              <w:rPr>
                <w:rFonts w:eastAsia="SimSun"/>
              </w:rPr>
              <w:t>Recommandation</w:t>
            </w:r>
          </w:p>
        </w:tc>
      </w:tr>
      <w:tr w:rsidR="007C5A4F" w:rsidRPr="002A5110" w14:paraId="2359F2B3" w14:textId="77777777" w:rsidTr="00A662D3">
        <w:trPr>
          <w:trHeight w:val="300"/>
          <w:jc w:val="center"/>
        </w:trPr>
        <w:tc>
          <w:tcPr>
            <w:tcW w:w="2477" w:type="pct"/>
            <w:vAlign w:val="center"/>
          </w:tcPr>
          <w:p w14:paraId="43D0EC47" w14:textId="77777777" w:rsidR="007C5A4F" w:rsidRPr="002A5110" w:rsidRDefault="007C5A4F" w:rsidP="00A662D3">
            <w:pPr>
              <w:pStyle w:val="Tabletext"/>
              <w:rPr>
                <w:rFonts w:eastAsiaTheme="minorEastAsia"/>
                <w:b/>
                <w:bCs/>
                <w:szCs w:val="24"/>
              </w:rPr>
            </w:pPr>
            <w:proofErr w:type="spellStart"/>
            <w:r w:rsidRPr="002A5110">
              <w:rPr>
                <w:rFonts w:eastAsiaTheme="minorEastAsia"/>
                <w:b/>
                <w:bCs/>
                <w:szCs w:val="24"/>
              </w:rPr>
              <w:t>6G</w:t>
            </w:r>
            <w:proofErr w:type="spellEnd"/>
            <w:r w:rsidRPr="002A5110">
              <w:rPr>
                <w:rFonts w:eastAsiaTheme="minorEastAsia"/>
                <w:b/>
                <w:bCs/>
                <w:szCs w:val="24"/>
              </w:rPr>
              <w:t xml:space="preserve"> </w:t>
            </w:r>
            <w:proofErr w:type="spellStart"/>
            <w:r w:rsidRPr="002A5110">
              <w:rPr>
                <w:rFonts w:eastAsiaTheme="minorEastAsia"/>
                <w:b/>
                <w:bCs/>
                <w:szCs w:val="24"/>
              </w:rPr>
              <w:t>Industry</w:t>
            </w:r>
            <w:proofErr w:type="spellEnd"/>
            <w:r w:rsidRPr="002A5110">
              <w:rPr>
                <w:rFonts w:eastAsiaTheme="minorEastAsia"/>
                <w:b/>
                <w:bCs/>
                <w:szCs w:val="24"/>
              </w:rPr>
              <w:t xml:space="preserve"> Association (</w:t>
            </w:r>
            <w:proofErr w:type="spellStart"/>
            <w:r w:rsidRPr="002A5110">
              <w:rPr>
                <w:rFonts w:eastAsiaTheme="minorEastAsia"/>
                <w:b/>
                <w:bCs/>
                <w:szCs w:val="24"/>
              </w:rPr>
              <w:t>6G</w:t>
            </w:r>
            <w:proofErr w:type="spellEnd"/>
            <w:r w:rsidRPr="002A5110">
              <w:rPr>
                <w:rFonts w:eastAsiaTheme="minorEastAsia"/>
                <w:b/>
                <w:bCs/>
                <w:szCs w:val="24"/>
              </w:rPr>
              <w:t>-IA)</w:t>
            </w:r>
          </w:p>
        </w:tc>
        <w:tc>
          <w:tcPr>
            <w:tcW w:w="1261" w:type="pct"/>
            <w:vAlign w:val="center"/>
          </w:tcPr>
          <w:p w14:paraId="41053CA1" w14:textId="77777777" w:rsidR="007C5A4F" w:rsidRPr="002A5110" w:rsidRDefault="007C5A4F" w:rsidP="00A662D3">
            <w:pPr>
              <w:pStyle w:val="Tabletext"/>
              <w:jc w:val="center"/>
              <w:rPr>
                <w:rFonts w:eastAsia="SimSun"/>
              </w:rPr>
            </w:pPr>
            <w:r w:rsidRPr="002A5110">
              <w:rPr>
                <w:rFonts w:eastAsia="SimSun"/>
              </w:rPr>
              <w:t>UIT-R</w:t>
            </w:r>
          </w:p>
        </w:tc>
        <w:tc>
          <w:tcPr>
            <w:tcW w:w="1262" w:type="pct"/>
            <w:vAlign w:val="center"/>
          </w:tcPr>
          <w:p w14:paraId="00F3C85B" w14:textId="77777777" w:rsidR="007C5A4F" w:rsidRPr="002A5110" w:rsidRDefault="007C5A4F" w:rsidP="00A662D3">
            <w:pPr>
              <w:pStyle w:val="Tabletext"/>
              <w:jc w:val="center"/>
              <w:rPr>
                <w:rFonts w:eastAsia="SimSun" w:cs="Calibri"/>
              </w:rPr>
            </w:pPr>
            <w:r w:rsidRPr="002A5110">
              <w:rPr>
                <w:rFonts w:eastAsia="SimSun" w:cs="Calibri"/>
              </w:rPr>
              <w:t>Non</w:t>
            </w:r>
          </w:p>
        </w:tc>
      </w:tr>
    </w:tbl>
    <w:p w14:paraId="363E5C1A" w14:textId="77777777" w:rsidR="002A5110" w:rsidRPr="002A5110" w:rsidRDefault="002A5110" w:rsidP="002A5110">
      <w:pPr>
        <w:pStyle w:val="Tablefin"/>
      </w:pPr>
    </w:p>
    <w:p w14:paraId="158C56ED" w14:textId="191FCA9E" w:rsidR="007C5A4F" w:rsidRPr="002A5110" w:rsidRDefault="007C5A4F" w:rsidP="00FC0914">
      <w:pPr>
        <w:jc w:val="both"/>
      </w:pPr>
      <w:proofErr w:type="spellStart"/>
      <w:r w:rsidRPr="002A5110">
        <w:t>6G</w:t>
      </w:r>
      <w:proofErr w:type="spellEnd"/>
      <w:r w:rsidRPr="002A5110">
        <w:t xml:space="preserve"> </w:t>
      </w:r>
      <w:proofErr w:type="spellStart"/>
      <w:r w:rsidRPr="002A5110">
        <w:t>Industry</w:t>
      </w:r>
      <w:proofErr w:type="spellEnd"/>
      <w:r w:rsidRPr="002A5110">
        <w:t xml:space="preserve"> Association (</w:t>
      </w:r>
      <w:proofErr w:type="spellStart"/>
      <w:r w:rsidRPr="002A5110">
        <w:t>6G</w:t>
      </w:r>
      <w:proofErr w:type="spellEnd"/>
      <w:r w:rsidRPr="002A5110">
        <w:t>-IA) est une association internationale à but non lucratif créée en</w:t>
      </w:r>
      <w:r w:rsidR="00F30502" w:rsidRPr="002A5110">
        <w:t> </w:t>
      </w:r>
      <w:r w:rsidRPr="002A5110">
        <w:t xml:space="preserve">2013. Elle se positionne en tant que représentante de l'industrie et de la recherche européennes pour les réseaux et les services de prochaine génération. Son objectif principal est de contribuer aux initiatives européennes pour la </w:t>
      </w:r>
      <w:proofErr w:type="spellStart"/>
      <w:r w:rsidRPr="002A5110">
        <w:t>5G</w:t>
      </w:r>
      <w:proofErr w:type="spellEnd"/>
      <w:r w:rsidRPr="002A5110">
        <w:t xml:space="preserve">, l'évolution de la </w:t>
      </w:r>
      <w:proofErr w:type="spellStart"/>
      <w:r w:rsidRPr="002A5110">
        <w:t>5G</w:t>
      </w:r>
      <w:proofErr w:type="spellEnd"/>
      <w:r w:rsidRPr="002A5110">
        <w:t xml:space="preserve"> et la recherche sur les réseaux et les services intelligents pour la </w:t>
      </w:r>
      <w:proofErr w:type="spellStart"/>
      <w:r w:rsidRPr="002A5110">
        <w:t>6G</w:t>
      </w:r>
      <w:proofErr w:type="spellEnd"/>
      <w:r w:rsidRPr="002A5110">
        <w:t>.</w:t>
      </w:r>
    </w:p>
    <w:p w14:paraId="43EF902C" w14:textId="77777777" w:rsidR="007C5A4F" w:rsidRPr="002A5110" w:rsidRDefault="007C5A4F" w:rsidP="00FC0914">
      <w:pPr>
        <w:jc w:val="both"/>
      </w:pPr>
      <w:proofErr w:type="spellStart"/>
      <w:r w:rsidRPr="002A5110">
        <w:t>6G</w:t>
      </w:r>
      <w:proofErr w:type="spellEnd"/>
      <w:r w:rsidRPr="002A5110">
        <w:t>-IA regroupe une communauté mondiale d'acteurs des télécommunications et du numérique, parmi lesquels des opérateurs, des fabricants, des établissements de recherche, des universités, des entités verticales, des PME et des associations des TIC.</w:t>
      </w:r>
    </w:p>
    <w:p w14:paraId="587ACC2A" w14:textId="77777777" w:rsidR="007C5A4F" w:rsidRPr="002A5110" w:rsidRDefault="007C5A4F" w:rsidP="00FC0914">
      <w:pPr>
        <w:jc w:val="both"/>
      </w:pPr>
      <w:proofErr w:type="spellStart"/>
      <w:r w:rsidRPr="002A5110">
        <w:t>6G</w:t>
      </w:r>
      <w:proofErr w:type="spellEnd"/>
      <w:r w:rsidRPr="002A5110">
        <w:t>-IA mène tout un ensemble d'activités dans des domaines stratégiques tels que la définition des priorités de l'UE en matière de technologies numériques, la normalisation, le spectre des fréquences, les projets de recherche-développement, les compétences technologiques, la collaboration avec les grands secteurs industriels verticaux, notamment pour la conception d'essais, et la coopération internationale.</w:t>
      </w:r>
    </w:p>
    <w:p w14:paraId="5E2DF0DA" w14:textId="451D828F" w:rsidR="006A11AE" w:rsidRDefault="007C5A4F" w:rsidP="00FC0914">
      <w:pPr>
        <w:jc w:val="both"/>
      </w:pPr>
      <w:r w:rsidRPr="002A5110">
        <w:t xml:space="preserve">Le Secrétariat estime que cette entité ne remplit pas le critère suivant d'exonération du paiement des droits établi par le </w:t>
      </w:r>
      <w:proofErr w:type="gramStart"/>
      <w:r w:rsidRPr="002A5110">
        <w:t>Conseil:</w:t>
      </w:r>
      <w:proofErr w:type="gramEnd"/>
      <w:r w:rsidRPr="002A5110">
        <w:t xml:space="preserve"> "être une organisation à but non lucratif juridiquement reconnue et représenter des membres ayant le statut d'organisation à</w:t>
      </w:r>
      <w:r w:rsidR="00F30502" w:rsidRPr="002A5110">
        <w:t> </w:t>
      </w:r>
      <w:r w:rsidRPr="002A5110">
        <w:t>but</w:t>
      </w:r>
      <w:r w:rsidR="00F30502" w:rsidRPr="002A5110">
        <w:t> </w:t>
      </w:r>
      <w:r w:rsidRPr="002A5110">
        <w:t>non lucratif", car ses membres sont principalement des entités à but lucratif.</w:t>
      </w:r>
    </w:p>
    <w:p w14:paraId="6774D8A3" w14:textId="77777777" w:rsidR="00FC0914" w:rsidRPr="002A5110" w:rsidRDefault="00FC0914" w:rsidP="00FC0914">
      <w:pPr>
        <w:jc w:val="both"/>
      </w:pPr>
    </w:p>
    <w:p w14:paraId="237DCE96" w14:textId="77777777" w:rsidR="00897553" w:rsidRPr="002A5110" w:rsidRDefault="006A11AE" w:rsidP="002D2336">
      <w:pPr>
        <w:jc w:val="center"/>
      </w:pPr>
      <w:r w:rsidRPr="002A5110">
        <w:t>______________</w:t>
      </w:r>
    </w:p>
    <w:sectPr w:rsidR="00897553" w:rsidRPr="002A5110"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0178" w14:textId="77777777" w:rsidR="0034180B" w:rsidRDefault="0034180B">
      <w:r>
        <w:separator/>
      </w:r>
    </w:p>
  </w:endnote>
  <w:endnote w:type="continuationSeparator" w:id="0">
    <w:p w14:paraId="7D474B0E" w14:textId="77777777" w:rsidR="0034180B" w:rsidRDefault="0034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606" w14:textId="71CF149D" w:rsidR="00732045" w:rsidRDefault="00E81D6E">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B709C9">
      <w:t>31.03.26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B8D801" w14:textId="77777777" w:rsidTr="00E31DCE">
      <w:trPr>
        <w:jc w:val="center"/>
      </w:trPr>
      <w:tc>
        <w:tcPr>
          <w:tcW w:w="1803" w:type="dxa"/>
          <w:vAlign w:val="center"/>
        </w:tcPr>
        <w:p w14:paraId="4859C164" w14:textId="551F3C0A" w:rsidR="00A51849" w:rsidRDefault="007C5A4F" w:rsidP="00A51849">
          <w:pPr>
            <w:pStyle w:val="Header"/>
            <w:jc w:val="left"/>
            <w:rPr>
              <w:noProof/>
            </w:rPr>
          </w:pPr>
          <w:r>
            <w:rPr>
              <w:noProof/>
            </w:rPr>
            <w:t>2600704</w:t>
          </w:r>
        </w:p>
      </w:tc>
      <w:tc>
        <w:tcPr>
          <w:tcW w:w="8261" w:type="dxa"/>
        </w:tcPr>
        <w:p w14:paraId="365CEB3A" w14:textId="3EA1C03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7C5A4F">
            <w:rPr>
              <w:bCs/>
            </w:rPr>
            <w:t>56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F43603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427D3E6" w14:textId="77777777" w:rsidTr="00E31DCE">
      <w:trPr>
        <w:jc w:val="center"/>
      </w:trPr>
      <w:tc>
        <w:tcPr>
          <w:tcW w:w="1803" w:type="dxa"/>
          <w:vAlign w:val="center"/>
        </w:tcPr>
        <w:p w14:paraId="23392713"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629CCB15" w14:textId="0806ADD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51F1A">
            <w:rPr>
              <w:bCs/>
            </w:rPr>
            <w:t>56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6F8EE4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D643" w14:textId="77777777" w:rsidR="0034180B" w:rsidRDefault="0034180B">
      <w:r>
        <w:t>____________________</w:t>
      </w:r>
    </w:p>
  </w:footnote>
  <w:footnote w:type="continuationSeparator" w:id="0">
    <w:p w14:paraId="724F30EA" w14:textId="77777777" w:rsidR="0034180B" w:rsidRDefault="0034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73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0DF70E"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F4B1"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6E"/>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1F6AA2"/>
    <w:rsid w:val="00207CD1"/>
    <w:rsid w:val="00226657"/>
    <w:rsid w:val="002477A2"/>
    <w:rsid w:val="00263A51"/>
    <w:rsid w:val="00267E02"/>
    <w:rsid w:val="00271321"/>
    <w:rsid w:val="00277DEA"/>
    <w:rsid w:val="002A5110"/>
    <w:rsid w:val="002A5D44"/>
    <w:rsid w:val="002C3F32"/>
    <w:rsid w:val="002C4E3D"/>
    <w:rsid w:val="002D2336"/>
    <w:rsid w:val="002E0BC4"/>
    <w:rsid w:val="002F1B76"/>
    <w:rsid w:val="0033568E"/>
    <w:rsid w:val="0034180B"/>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91385"/>
    <w:rsid w:val="005B1938"/>
    <w:rsid w:val="005C3890"/>
    <w:rsid w:val="005F7BFE"/>
    <w:rsid w:val="00600017"/>
    <w:rsid w:val="00602682"/>
    <w:rsid w:val="006035C9"/>
    <w:rsid w:val="006235CA"/>
    <w:rsid w:val="0062366E"/>
    <w:rsid w:val="006643AB"/>
    <w:rsid w:val="0066559E"/>
    <w:rsid w:val="006A11AE"/>
    <w:rsid w:val="006B224B"/>
    <w:rsid w:val="006B2784"/>
    <w:rsid w:val="006F0A53"/>
    <w:rsid w:val="0071402E"/>
    <w:rsid w:val="007210CD"/>
    <w:rsid w:val="00732045"/>
    <w:rsid w:val="0073275D"/>
    <w:rsid w:val="007369DB"/>
    <w:rsid w:val="0077110E"/>
    <w:rsid w:val="007956C2"/>
    <w:rsid w:val="00796BDB"/>
    <w:rsid w:val="007A187E"/>
    <w:rsid w:val="007C5A4F"/>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51F1A"/>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709C9"/>
    <w:rsid w:val="00BB38C1"/>
    <w:rsid w:val="00BB4545"/>
    <w:rsid w:val="00BB4E88"/>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007D7"/>
    <w:rsid w:val="00E25AD0"/>
    <w:rsid w:val="00E4428F"/>
    <w:rsid w:val="00E4448E"/>
    <w:rsid w:val="00E47427"/>
    <w:rsid w:val="00E81D6E"/>
    <w:rsid w:val="00E93668"/>
    <w:rsid w:val="00E95647"/>
    <w:rsid w:val="00EB6350"/>
    <w:rsid w:val="00ED799B"/>
    <w:rsid w:val="00F15B57"/>
    <w:rsid w:val="00F30502"/>
    <w:rsid w:val="00F35EF4"/>
    <w:rsid w:val="00F37FE5"/>
    <w:rsid w:val="00F427DB"/>
    <w:rsid w:val="00F806E4"/>
    <w:rsid w:val="00FA5EB1"/>
    <w:rsid w:val="00FA7439"/>
    <w:rsid w:val="00FC0914"/>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DDCA0"/>
  <w15:docId w15:val="{300228CB-D8DD-49FD-BD6D-6482C73C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2A511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0141/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itudoc/gs/council/c00/docs/28rev1-fr.html" TargetMode="External"/><Relationship Id="rId12" Type="http://schemas.openxmlformats.org/officeDocument/2006/relationships/hyperlink" Target="https://www.itu.int/hub/membership/our-members/exempted-entities/exemption-criteri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hub/membership/our-members/exempted-entit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S19-CL-C-0141/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hub/membership/our-members/exempted-entitie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3</TotalTime>
  <Pages>4</Pages>
  <Words>1237</Words>
  <Characters>7883</Characters>
  <Application>Microsoft Office Word</Application>
  <DocSecurity>0</DocSecurity>
  <Lines>175</Lines>
  <Paragraphs>95</Paragraphs>
  <ScaleCrop>false</ScaleCrop>
  <HeadingPairs>
    <vt:vector size="2" baseType="variant">
      <vt:variant>
        <vt:lpstr>Title</vt:lpstr>
      </vt:variant>
      <vt:variant>
        <vt:i4>1</vt:i4>
      </vt:variant>
    </vt:vector>
  </HeadingPairs>
  <TitlesOfParts>
    <vt:vector size="1" baseType="lpstr">
      <vt:lpstr>Nouvelles demandes d'exonération du paiement de droits pour les organisations ayant un caractère international</vt:lpstr>
    </vt:vector>
  </TitlesOfParts>
  <Manager>Secrétariat général - Pool</Manager>
  <Company>Union internationale des télécommunications (UIT)</Company>
  <LinksUpToDate>false</LinksUpToDate>
  <CharactersWithSpaces>9025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Nouvelles demandes d'exonération du paiement de droits pour les organisations ayant un caractère international</dc:title>
  <dc:subject>Conseil 2026 de l'UIT</dc:subject>
  <cp:keywords>C26; C2026; Council 2026; PP26</cp:keywords>
  <dc:description/>
  <cp:lastPrinted>2000-07-18T08:55:00Z</cp:lastPrinted>
  <dcterms:created xsi:type="dcterms:W3CDTF">2026-04-07T14:32:00Z</dcterms:created>
  <dcterms:modified xsi:type="dcterms:W3CDTF">2026-04-07T14:35:00Z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