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AAC96A4" w14:textId="77777777" w:rsidTr="00F363FE">
        <w:tc>
          <w:tcPr>
            <w:tcW w:w="6512" w:type="dxa"/>
          </w:tcPr>
          <w:p w14:paraId="50DAE9B0" w14:textId="7409FE09"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322C40">
              <w:rPr>
                <w:rFonts w:hint="cs"/>
                <w:b/>
                <w:bCs/>
                <w:rtl/>
                <w:lang w:bidi="ar-EG"/>
              </w:rPr>
              <w:t xml:space="preserve"> </w:t>
            </w:r>
            <w:r w:rsidR="00322C40">
              <w:rPr>
                <w:b/>
                <w:bCs/>
                <w:lang w:bidi="ar-EG"/>
              </w:rPr>
              <w:t>ADM 1</w:t>
            </w:r>
          </w:p>
        </w:tc>
        <w:tc>
          <w:tcPr>
            <w:tcW w:w="3117" w:type="dxa"/>
          </w:tcPr>
          <w:p w14:paraId="7943D76E" w14:textId="5A72496B"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22C40">
              <w:rPr>
                <w:b/>
                <w:bCs/>
                <w:lang w:bidi="ar-EG"/>
              </w:rPr>
              <w:t>56</w:t>
            </w:r>
            <w:r w:rsidRPr="007B0AA0">
              <w:rPr>
                <w:b/>
                <w:bCs/>
                <w:lang w:bidi="ar-EG"/>
              </w:rPr>
              <w:t>-A</w:t>
            </w:r>
          </w:p>
        </w:tc>
      </w:tr>
      <w:tr w:rsidR="007B0AA0" w14:paraId="4A2CCE00" w14:textId="77777777" w:rsidTr="00F363FE">
        <w:tc>
          <w:tcPr>
            <w:tcW w:w="6512" w:type="dxa"/>
          </w:tcPr>
          <w:p w14:paraId="0A1BD8D7" w14:textId="77777777" w:rsidR="007B0AA0" w:rsidRPr="007B0AA0" w:rsidRDefault="007B0AA0" w:rsidP="00F363FE">
            <w:pPr>
              <w:spacing w:before="60" w:after="60" w:line="260" w:lineRule="exact"/>
              <w:rPr>
                <w:b/>
                <w:bCs/>
                <w:rtl/>
                <w:lang w:bidi="ar-EG"/>
              </w:rPr>
            </w:pPr>
          </w:p>
        </w:tc>
        <w:tc>
          <w:tcPr>
            <w:tcW w:w="3117" w:type="dxa"/>
          </w:tcPr>
          <w:p w14:paraId="695A599D" w14:textId="618096CC" w:rsidR="007B0AA0" w:rsidRPr="007B0AA0" w:rsidRDefault="00322C40" w:rsidP="00F363FE">
            <w:pPr>
              <w:spacing w:before="60" w:after="60" w:line="260" w:lineRule="exact"/>
              <w:rPr>
                <w:b/>
                <w:bCs/>
                <w:rtl/>
                <w:lang w:bidi="ar-EG"/>
              </w:rPr>
            </w:pPr>
            <w:r>
              <w:rPr>
                <w:rFonts w:hint="cs"/>
                <w:b/>
                <w:bCs/>
                <w:rtl/>
              </w:rPr>
              <w:t>‏27‏ مارس‏ 2026</w:t>
            </w:r>
          </w:p>
        </w:tc>
      </w:tr>
      <w:tr w:rsidR="007B0AA0" w14:paraId="44C0AA44" w14:textId="77777777" w:rsidTr="00F363FE">
        <w:tc>
          <w:tcPr>
            <w:tcW w:w="6512" w:type="dxa"/>
          </w:tcPr>
          <w:p w14:paraId="33E7BA68" w14:textId="77777777" w:rsidR="007B0AA0" w:rsidRPr="007B0AA0" w:rsidRDefault="007B0AA0" w:rsidP="00F363FE">
            <w:pPr>
              <w:spacing w:before="60" w:after="60" w:line="260" w:lineRule="exact"/>
              <w:rPr>
                <w:b/>
                <w:bCs/>
                <w:rtl/>
                <w:lang w:bidi="ar-EG"/>
              </w:rPr>
            </w:pPr>
          </w:p>
        </w:tc>
        <w:tc>
          <w:tcPr>
            <w:tcW w:w="3117" w:type="dxa"/>
          </w:tcPr>
          <w:p w14:paraId="5BE6EA8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0B707CDC" w14:textId="77777777" w:rsidTr="00F363FE">
        <w:tc>
          <w:tcPr>
            <w:tcW w:w="6512" w:type="dxa"/>
          </w:tcPr>
          <w:p w14:paraId="2E50CF64" w14:textId="77777777" w:rsidR="007B0AA0" w:rsidRDefault="007B0AA0" w:rsidP="00F363FE">
            <w:pPr>
              <w:spacing w:before="60" w:after="60" w:line="260" w:lineRule="exact"/>
              <w:rPr>
                <w:lang w:bidi="ar-EG"/>
              </w:rPr>
            </w:pPr>
          </w:p>
        </w:tc>
        <w:tc>
          <w:tcPr>
            <w:tcW w:w="3117" w:type="dxa"/>
          </w:tcPr>
          <w:p w14:paraId="6D30FD40" w14:textId="77777777" w:rsidR="007B0AA0" w:rsidRDefault="007B0AA0" w:rsidP="00F363FE">
            <w:pPr>
              <w:spacing w:before="60" w:after="60" w:line="260" w:lineRule="exact"/>
              <w:rPr>
                <w:rtl/>
                <w:lang w:bidi="ar-EG"/>
              </w:rPr>
            </w:pPr>
          </w:p>
        </w:tc>
      </w:tr>
      <w:tr w:rsidR="007B0AA0" w14:paraId="4D5A1112" w14:textId="77777777" w:rsidTr="00EE7446">
        <w:tc>
          <w:tcPr>
            <w:tcW w:w="9629" w:type="dxa"/>
            <w:gridSpan w:val="2"/>
          </w:tcPr>
          <w:p w14:paraId="7572BA18" w14:textId="77777777" w:rsidR="007B0AA0" w:rsidRDefault="001D64C7" w:rsidP="007B0AA0">
            <w:pPr>
              <w:pStyle w:val="Source"/>
              <w:jc w:val="left"/>
              <w:rPr>
                <w:lang w:bidi="ar-EG"/>
              </w:rPr>
            </w:pPr>
            <w:r>
              <w:rPr>
                <w:rFonts w:hint="cs"/>
                <w:rtl/>
                <w:lang w:bidi="ar-EG"/>
              </w:rPr>
              <w:t>تقرير من الأمينة العامة</w:t>
            </w:r>
          </w:p>
        </w:tc>
      </w:tr>
      <w:tr w:rsidR="007B0AA0" w14:paraId="288587A3" w14:textId="77777777" w:rsidTr="007B0AA0">
        <w:tc>
          <w:tcPr>
            <w:tcW w:w="9629" w:type="dxa"/>
            <w:gridSpan w:val="2"/>
            <w:tcBorders>
              <w:bottom w:val="single" w:sz="4" w:space="0" w:color="auto"/>
            </w:tcBorders>
          </w:tcPr>
          <w:p w14:paraId="134DBE2D" w14:textId="1ACA4B8F" w:rsidR="007B0AA0" w:rsidRPr="005546CF" w:rsidRDefault="00322C40" w:rsidP="00322C40">
            <w:pPr>
              <w:pStyle w:val="Subtitle0"/>
              <w:rPr>
                <w:sz w:val="32"/>
                <w:szCs w:val="32"/>
              </w:rPr>
            </w:pPr>
            <w:r w:rsidRPr="00322C40">
              <w:rPr>
                <w:sz w:val="32"/>
                <w:szCs w:val="32"/>
                <w:rtl/>
                <w:lang w:bidi="ar-SA"/>
              </w:rPr>
              <w:t>طلبات الإعفاء الجديدة المقدمة من المنظمات ذات الطابع الدولي</w:t>
            </w:r>
          </w:p>
        </w:tc>
      </w:tr>
      <w:tr w:rsidR="007B0AA0" w14:paraId="7D76C3D0" w14:textId="77777777" w:rsidTr="007B0AA0">
        <w:tc>
          <w:tcPr>
            <w:tcW w:w="9629" w:type="dxa"/>
            <w:gridSpan w:val="2"/>
            <w:tcBorders>
              <w:top w:val="single" w:sz="4" w:space="0" w:color="auto"/>
              <w:bottom w:val="single" w:sz="4" w:space="0" w:color="auto"/>
            </w:tcBorders>
          </w:tcPr>
          <w:p w14:paraId="25B1300A" w14:textId="77777777" w:rsidR="007B0AA0" w:rsidRPr="007B0AA0" w:rsidRDefault="007B0AA0" w:rsidP="007B0AA0">
            <w:pPr>
              <w:rPr>
                <w:b/>
                <w:bCs/>
                <w:rtl/>
              </w:rPr>
            </w:pPr>
            <w:r w:rsidRPr="00494119">
              <w:rPr>
                <w:rFonts w:hint="cs"/>
                <w:b/>
                <w:bCs/>
                <w:rtl/>
              </w:rPr>
              <w:t>الغرض</w:t>
            </w:r>
          </w:p>
          <w:p w14:paraId="198CAF79" w14:textId="682BFF98" w:rsidR="007B0AA0" w:rsidRDefault="00322C40" w:rsidP="00322C40">
            <w:pPr>
              <w:rPr>
                <w:rtl/>
              </w:rPr>
            </w:pPr>
            <w:r w:rsidRPr="00322C40">
              <w:rPr>
                <w:rtl/>
              </w:rPr>
              <w:t>يتلقَّى الاتحاد الدولي للاتصالات سنوياً من المنظمات ذات الطابع الدولي طلبات تلتمس فيها هذه المنظمات إعفاءها من دفع رسوم العضوية في الاتحاد وتقديم مساهمات مالية أخرى إليه على أساس مبدأ المعاملة بالمثل. وتستعرض الأمانة هذه الطلبات الجديدة وفقاً للمعايير التي حددها المجلس.</w:t>
            </w:r>
          </w:p>
          <w:p w14:paraId="45348581" w14:textId="77777777" w:rsidR="007B0AA0" w:rsidRPr="007B0AA0" w:rsidRDefault="007B0AA0" w:rsidP="007B0AA0">
            <w:pPr>
              <w:rPr>
                <w:b/>
                <w:bCs/>
                <w:rtl/>
              </w:rPr>
            </w:pPr>
            <w:r w:rsidRPr="007B0AA0">
              <w:rPr>
                <w:rFonts w:hint="cs"/>
                <w:b/>
                <w:bCs/>
                <w:rtl/>
              </w:rPr>
              <w:t>الإجراء المطلوب من المجلس</w:t>
            </w:r>
          </w:p>
          <w:p w14:paraId="0AF289D2" w14:textId="6B3CBAEF" w:rsidR="007B0AA0" w:rsidRDefault="00322C40" w:rsidP="00322C40">
            <w:pPr>
              <w:rPr>
                <w:rtl/>
              </w:rPr>
            </w:pPr>
            <w:r w:rsidRPr="00322C40">
              <w:rPr>
                <w:rtl/>
              </w:rPr>
              <w:t xml:space="preserve">يُدعى المجلس إلى </w:t>
            </w:r>
            <w:r w:rsidRPr="00322C40">
              <w:rPr>
                <w:b/>
                <w:bCs/>
                <w:rtl/>
              </w:rPr>
              <w:t>النظر في</w:t>
            </w:r>
            <w:r w:rsidRPr="00047B12">
              <w:rPr>
                <w:rtl/>
              </w:rPr>
              <w:t xml:space="preserve"> </w:t>
            </w:r>
            <w:r w:rsidRPr="00322C40">
              <w:rPr>
                <w:rtl/>
              </w:rPr>
              <w:t>توصيات الأمينة العامة بشأن طلبات الإعفاء الجديدة.</w:t>
            </w:r>
          </w:p>
          <w:p w14:paraId="159DFC9B"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68F08C70" w14:textId="3747ACAE" w:rsidR="007B0AA0" w:rsidRDefault="00322C40" w:rsidP="00322C40">
            <w:pPr>
              <w:rPr>
                <w:rtl/>
              </w:rPr>
            </w:pPr>
            <w:r w:rsidRPr="003934BA">
              <w:rPr>
                <w:rtl/>
              </w:rPr>
              <w:t>الشراكات والتعاون الدولي.</w:t>
            </w:r>
          </w:p>
          <w:p w14:paraId="6F48A57D" w14:textId="77777777" w:rsidR="007B0AA0" w:rsidRDefault="007B0AA0" w:rsidP="00B97F32">
            <w:pPr>
              <w:rPr>
                <w:b/>
                <w:bCs/>
              </w:rPr>
            </w:pPr>
            <w:r w:rsidRPr="007B0AA0">
              <w:rPr>
                <w:rFonts w:hint="cs"/>
                <w:b/>
                <w:bCs/>
                <w:rtl/>
              </w:rPr>
              <w:t>الآثار المالية</w:t>
            </w:r>
          </w:p>
          <w:p w14:paraId="51018F77" w14:textId="56FD1D1C" w:rsidR="006F363C" w:rsidRPr="005546CF" w:rsidRDefault="00322C40" w:rsidP="00322C40">
            <w:pPr>
              <w:rPr>
                <w:rtl/>
              </w:rPr>
            </w:pPr>
            <w:r w:rsidRPr="00322C40">
              <w:rPr>
                <w:rtl/>
              </w:rPr>
              <w:t>48 ألف فرنك سويسري سنوياً للمنظمتين اللتين تم التوصية بإعفائهما من رسوم العضوية.</w:t>
            </w:r>
          </w:p>
          <w:p w14:paraId="43E9A72A"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5BED56A" w14:textId="77777777" w:rsidR="007B0AA0" w:rsidRPr="007B0AA0" w:rsidRDefault="007B0AA0" w:rsidP="007B0AA0">
            <w:pPr>
              <w:rPr>
                <w:b/>
                <w:bCs/>
                <w:rtl/>
              </w:rPr>
            </w:pPr>
            <w:r w:rsidRPr="007B0AA0">
              <w:rPr>
                <w:rFonts w:hint="cs"/>
                <w:b/>
                <w:bCs/>
                <w:rtl/>
              </w:rPr>
              <w:t>المراجع</w:t>
            </w:r>
          </w:p>
          <w:p w14:paraId="350E3793" w14:textId="30CD84FA" w:rsidR="007B0AA0" w:rsidRPr="005546CF" w:rsidRDefault="00322C40" w:rsidP="00322C40">
            <w:pPr>
              <w:rPr>
                <w:i/>
                <w:iCs/>
                <w:rtl/>
              </w:rPr>
            </w:pPr>
            <w:r w:rsidRPr="00322C40">
              <w:rPr>
                <w:i/>
                <w:iCs/>
                <w:rtl/>
              </w:rPr>
              <w:t xml:space="preserve">الوثيقة </w:t>
            </w:r>
            <w:hyperlink r:id="rId8" w:history="1">
              <w:r w:rsidRPr="00322C40">
                <w:rPr>
                  <w:rStyle w:val="Hyperlink"/>
                  <w:i/>
                  <w:iCs/>
                  <w:noProof w:val="0"/>
                  <w:lang w:eastAsia="zh-CN"/>
                </w:rPr>
                <w:t>C2000/28(Rev.1)</w:t>
              </w:r>
            </w:hyperlink>
            <w:r w:rsidRPr="00322C40">
              <w:rPr>
                <w:i/>
                <w:iCs/>
                <w:rtl/>
              </w:rPr>
              <w:t xml:space="preserve">، </w:t>
            </w:r>
            <w:hyperlink r:id="rId9" w:history="1">
              <w:r w:rsidRPr="00322C40">
                <w:rPr>
                  <w:rStyle w:val="Hyperlink"/>
                  <w:i/>
                  <w:iCs/>
                  <w:noProof w:val="0"/>
                  <w:rtl/>
                  <w:lang w:val="en-US" w:eastAsia="zh-CN"/>
                </w:rPr>
                <w:t>قرار المجلس 925</w:t>
              </w:r>
            </w:hyperlink>
            <w:r w:rsidRPr="00322C40">
              <w:rPr>
                <w:i/>
                <w:iCs/>
                <w:rtl/>
              </w:rPr>
              <w:t xml:space="preserve">، </w:t>
            </w:r>
            <w:hyperlink r:id="rId10" w:anchor="/ar" w:history="1">
              <w:r w:rsidR="00387DE6" w:rsidRPr="00387DE6">
                <w:rPr>
                  <w:rStyle w:val="Hyperlink"/>
                  <w:i/>
                  <w:iCs/>
                  <w:noProof w:val="0"/>
                  <w:rtl/>
                  <w:lang w:val="en-US" w:eastAsia="zh-CN"/>
                </w:rPr>
                <w:t>معايير المجلس للإعفاء من رسوم العضوية (المراجَع في 2017)</w:t>
              </w:r>
            </w:hyperlink>
          </w:p>
        </w:tc>
      </w:tr>
    </w:tbl>
    <w:p w14:paraId="5042F25B" w14:textId="77777777" w:rsidR="00E61BE8" w:rsidRDefault="00E61BE8" w:rsidP="00E61BE8">
      <w:pPr>
        <w:rPr>
          <w:rtl/>
          <w:lang w:bidi="ar-EG"/>
        </w:rPr>
      </w:pPr>
    </w:p>
    <w:p w14:paraId="33586733" w14:textId="77777777" w:rsidR="00F50E3F" w:rsidRDefault="00F50E3F" w:rsidP="0043260A">
      <w:pPr>
        <w:rPr>
          <w:rtl/>
          <w:lang w:bidi="ar-EG"/>
        </w:rPr>
      </w:pPr>
      <w:r>
        <w:rPr>
          <w:rtl/>
          <w:lang w:bidi="ar-EG"/>
        </w:rPr>
        <w:br w:type="page"/>
      </w:r>
    </w:p>
    <w:p w14:paraId="22F2318C" w14:textId="77777777" w:rsidR="00322C40" w:rsidRPr="00322C40" w:rsidRDefault="00322C40" w:rsidP="00322C40">
      <w:pPr>
        <w:pStyle w:val="Heading1"/>
        <w:rPr>
          <w:rtl/>
        </w:rPr>
      </w:pPr>
      <w:r w:rsidRPr="00322C40">
        <w:rPr>
          <w:lang w:bidi="ar-EG"/>
        </w:rPr>
        <w:lastRenderedPageBreak/>
        <w:t>1</w:t>
      </w:r>
      <w:r w:rsidRPr="00322C40">
        <w:rPr>
          <w:rtl/>
        </w:rPr>
        <w:tab/>
        <w:t>خلفية</w:t>
      </w:r>
    </w:p>
    <w:p w14:paraId="40639855" w14:textId="57732B7B" w:rsidR="00322C40" w:rsidRPr="00322C40" w:rsidRDefault="00322C40" w:rsidP="00322C40">
      <w:pPr>
        <w:rPr>
          <w:rtl/>
        </w:rPr>
      </w:pPr>
      <w:r w:rsidRPr="00322C40">
        <w:rPr>
          <w:lang w:bidi="ar-EG"/>
        </w:rPr>
        <w:t>1.1</w:t>
      </w:r>
      <w:r w:rsidRPr="00322C40">
        <w:rPr>
          <w:rtl/>
        </w:rPr>
        <w:tab/>
        <w:t xml:space="preserve">يتلقَّى الاتحاد الدولي للاتصالات سنوياً من المنظمات ذات الطابع الدولي طلبات تلتمس فيها هذه المنظمات إعفاءها من دفع رسوم العضوية في الاتحاد وتقديم مساهمات مالية أخرى إليه. ويُنظر في هذه الطلبات وفقاً للإجراء الذي حدده المجلس في دورته لعام 2000 (الوثيقة </w:t>
      </w:r>
      <w:hyperlink r:id="rId11" w:history="1">
        <w:r w:rsidRPr="00322C40">
          <w:rPr>
            <w:rStyle w:val="Hyperlink"/>
            <w:noProof w:val="0"/>
            <w:lang w:eastAsia="zh-CN" w:bidi="ar-EG"/>
          </w:rPr>
          <w:t>C2000/28(Rev.1)</w:t>
        </w:r>
      </w:hyperlink>
      <w:r w:rsidRPr="00322C40">
        <w:rPr>
          <w:rtl/>
        </w:rPr>
        <w:t>) وطبقاً لأحكام الرقم 476 من اتفاقية الاتحاد و</w:t>
      </w:r>
      <w:hyperlink r:id="rId12" w:history="1">
        <w:r w:rsidRPr="00322C40">
          <w:rPr>
            <w:rStyle w:val="Hyperlink"/>
            <w:noProof w:val="0"/>
            <w:rtl/>
            <w:lang w:val="en-US" w:eastAsia="zh-CN"/>
          </w:rPr>
          <w:t>أحكام قرار المجلس 925</w:t>
        </w:r>
      </w:hyperlink>
      <w:r w:rsidRPr="00322C40">
        <w:rPr>
          <w:rtl/>
        </w:rPr>
        <w:t>، وكذلك المعايير التي وضعها المجلس وروجعت في عام 2017 (انظر الفقرة 5.1 أدناه).</w:t>
      </w:r>
    </w:p>
    <w:p w14:paraId="47D7D1DD" w14:textId="77777777" w:rsidR="00322C40" w:rsidRPr="00322C40" w:rsidRDefault="00322C40" w:rsidP="00322C40">
      <w:pPr>
        <w:rPr>
          <w:rtl/>
        </w:rPr>
      </w:pPr>
      <w:r w:rsidRPr="00322C40">
        <w:rPr>
          <w:lang w:bidi="ar-EG"/>
        </w:rPr>
        <w:t>2.1</w:t>
      </w:r>
      <w:r w:rsidRPr="00322C40">
        <w:rPr>
          <w:rtl/>
        </w:rPr>
        <w:tab/>
        <w:t>ويمنح المجلس الإعفاء من رسوم العضوية بناءً على تحليل تجريه المكاتب المعنية وبتوصية من الأمينة العامة. وفي حالة الموافقة، تصبح هذه المنظمات بموجب أحكام الرقم 231 من اتفاقية الاتحاد أعضاء في القطاع المعني أو منتسبة إليه.</w:t>
      </w:r>
    </w:p>
    <w:p w14:paraId="3D9AF516" w14:textId="16589C14" w:rsidR="00322C40" w:rsidRPr="00322C40" w:rsidRDefault="00322C40" w:rsidP="00322C40">
      <w:pPr>
        <w:rPr>
          <w:rtl/>
        </w:rPr>
      </w:pPr>
      <w:r w:rsidRPr="00322C40">
        <w:rPr>
          <w:lang w:bidi="ar-EG"/>
        </w:rPr>
        <w:t>3.1</w:t>
      </w:r>
      <w:r w:rsidRPr="00322C40">
        <w:rPr>
          <w:rtl/>
        </w:rPr>
        <w:tab/>
        <w:t xml:space="preserve">وحالياً، يبلغ عدد المنظمات ذات الطابع الدولي المعفاة من رسوم العضوية </w:t>
      </w:r>
      <w:r w:rsidRPr="00322C40">
        <w:rPr>
          <w:lang w:bidi="ar-EG"/>
        </w:rPr>
        <w:t>145</w:t>
      </w:r>
      <w:r w:rsidRPr="00322C40">
        <w:rPr>
          <w:rtl/>
        </w:rPr>
        <w:t xml:space="preserve"> منظمة. ويمكن الاطلاع </w:t>
      </w:r>
      <w:hyperlink r:id="rId13" w:anchor="/ar" w:history="1">
        <w:r w:rsidRPr="00322C40">
          <w:rPr>
            <w:rStyle w:val="Hyperlink"/>
            <w:noProof w:val="0"/>
            <w:rtl/>
            <w:lang w:val="en-US" w:eastAsia="zh-CN"/>
          </w:rPr>
          <w:t>هنا</w:t>
        </w:r>
      </w:hyperlink>
      <w:r w:rsidRPr="00322C40">
        <w:rPr>
          <w:rtl/>
        </w:rPr>
        <w:t xml:space="preserve"> على قائمة كاملة بأسماء هذه المنظمات.</w:t>
      </w:r>
    </w:p>
    <w:p w14:paraId="7CB912BF" w14:textId="5DFAF03D" w:rsidR="00322C40" w:rsidRPr="00047B12" w:rsidRDefault="00322C40" w:rsidP="00322C40">
      <w:pPr>
        <w:rPr>
          <w:spacing w:val="-2"/>
          <w:rtl/>
        </w:rPr>
      </w:pPr>
      <w:r w:rsidRPr="00047B12">
        <w:rPr>
          <w:spacing w:val="-2"/>
          <w:lang w:bidi="ar-EG"/>
        </w:rPr>
        <w:t>4.1</w:t>
      </w:r>
      <w:r w:rsidRPr="00047B12">
        <w:rPr>
          <w:spacing w:val="-2"/>
          <w:rtl/>
        </w:rPr>
        <w:tab/>
        <w:t>وفي القرار 187</w:t>
      </w:r>
      <w:r w:rsidRPr="00047B12">
        <w:rPr>
          <w:rFonts w:hint="eastAsia"/>
          <w:spacing w:val="-2"/>
          <w:rtl/>
        </w:rPr>
        <w:t> </w:t>
      </w:r>
      <w:r w:rsidRPr="00047B12">
        <w:rPr>
          <w:spacing w:val="-2"/>
          <w:rtl/>
        </w:rPr>
        <w:t>(بوسان، 2014) لمؤتمر المندوبين المفوضين لعام 2014، كلَّف المؤتمر المجلس "باستعراض الممارسة والمعايير المتعلقة بإعفاء الكيانات من رسوم العضوية والقيام، عند اللزوم، بالتغييرات اللازمة لتشديد معايير الأهلية من أجل المساعدة في زيادة الوضوح والاتساق والإنصاف بين الأعضاء الذين يدفعون رسوماً والأعضاء الذين لا يدفعون أي رسوم وتقليص العدد الإجمالي للكيانات المعفاة".</w:t>
      </w:r>
    </w:p>
    <w:p w14:paraId="63112DB5" w14:textId="49AE6CA5" w:rsidR="00322C40" w:rsidRPr="00322C40" w:rsidRDefault="00322C40" w:rsidP="00322C40">
      <w:pPr>
        <w:rPr>
          <w:rtl/>
        </w:rPr>
      </w:pPr>
      <w:r w:rsidRPr="00322C40">
        <w:rPr>
          <w:lang w:bidi="ar-EG"/>
        </w:rPr>
        <w:t>5.1</w:t>
      </w:r>
      <w:r w:rsidRPr="00322C40">
        <w:rPr>
          <w:rtl/>
        </w:rPr>
        <w:tab/>
        <w:t xml:space="preserve">ووافق المجلس في دورته لعام 2017 على نسخة مراجَعة من معايير الإعفاء، يمكن الاطلاع عليها </w:t>
      </w:r>
      <w:hyperlink r:id="rId14" w:anchor="/ar" w:history="1">
        <w:r w:rsidRPr="00322C40">
          <w:rPr>
            <w:rStyle w:val="Hyperlink"/>
            <w:noProof w:val="0"/>
            <w:rtl/>
            <w:lang w:val="en-US" w:eastAsia="zh-CN"/>
          </w:rPr>
          <w:t>هنا</w:t>
        </w:r>
      </w:hyperlink>
      <w:r w:rsidRPr="00322C40">
        <w:rPr>
          <w:rtl/>
        </w:rPr>
        <w:t>. ومنذ ذلك الحين، استعرض المجلس في كل من دوراته طلبات الإعفاء الجديدة وفقاً لهذه المعايير.</w:t>
      </w:r>
    </w:p>
    <w:p w14:paraId="25137091" w14:textId="77777777" w:rsidR="00322C40" w:rsidRPr="00322C40" w:rsidRDefault="00322C40" w:rsidP="00322C40">
      <w:pPr>
        <w:rPr>
          <w:rtl/>
        </w:rPr>
      </w:pPr>
      <w:r w:rsidRPr="00322C40">
        <w:rPr>
          <w:lang w:bidi="ar-EG"/>
        </w:rPr>
        <w:t>6.1</w:t>
      </w:r>
      <w:r w:rsidRPr="00322C40">
        <w:rPr>
          <w:rtl/>
        </w:rPr>
        <w:tab/>
        <w:t>وتقتصر هذه الوثيقة على تناول طلبات الإعفاء من الرسوم الجديدة المقدمة منذ دورة المجلس الأخيرة.</w:t>
      </w:r>
    </w:p>
    <w:p w14:paraId="75D22F28" w14:textId="77777777" w:rsidR="00322C40" w:rsidRPr="00322C40" w:rsidRDefault="00322C40" w:rsidP="00322C40">
      <w:pPr>
        <w:pStyle w:val="Heading1"/>
        <w:rPr>
          <w:rtl/>
        </w:rPr>
      </w:pPr>
      <w:r w:rsidRPr="00322C40">
        <w:rPr>
          <w:rtl/>
        </w:rPr>
        <w:t>2</w:t>
      </w:r>
      <w:r w:rsidRPr="00322C40">
        <w:rPr>
          <w:rtl/>
        </w:rPr>
        <w:tab/>
        <w:t>الطلبات الجديدة والتوصيات</w:t>
      </w:r>
    </w:p>
    <w:p w14:paraId="1B68127C" w14:textId="77777777" w:rsidR="00322C40" w:rsidRPr="00322C40" w:rsidRDefault="00322C40" w:rsidP="00322C40">
      <w:pPr>
        <w:rPr>
          <w:rtl/>
        </w:rPr>
      </w:pPr>
      <w:r w:rsidRPr="00322C40">
        <w:rPr>
          <w:lang w:bidi="ar-EG"/>
        </w:rPr>
        <w:t>1.2</w:t>
      </w:r>
    </w:p>
    <w:tbl>
      <w:tblPr>
        <w:tblStyle w:val="TableGrid"/>
        <w:bidiVisual/>
        <w:tblW w:w="0" w:type="auto"/>
        <w:tblLayout w:type="fixed"/>
        <w:tblLook w:val="04A0" w:firstRow="1" w:lastRow="0" w:firstColumn="1" w:lastColumn="0" w:noHBand="0" w:noVBand="1"/>
      </w:tblPr>
      <w:tblGrid>
        <w:gridCol w:w="3399"/>
        <w:gridCol w:w="2641"/>
        <w:gridCol w:w="3021"/>
      </w:tblGrid>
      <w:tr w:rsidR="00322C40" w:rsidRPr="00322C40" w14:paraId="5A823E14" w14:textId="77777777" w:rsidTr="00047B12">
        <w:tc>
          <w:tcPr>
            <w:tcW w:w="3399" w:type="dxa"/>
          </w:tcPr>
          <w:p w14:paraId="0299E9C1" w14:textId="77777777" w:rsidR="00322C40" w:rsidRPr="00322C40" w:rsidRDefault="00322C40" w:rsidP="00C12D3A">
            <w:pPr>
              <w:pStyle w:val="Tablehead"/>
              <w:rPr>
                <w:rtl/>
              </w:rPr>
            </w:pPr>
            <w:r w:rsidRPr="00322C40">
              <w:rPr>
                <w:rtl/>
              </w:rPr>
              <w:t>المنظمة</w:t>
            </w:r>
          </w:p>
        </w:tc>
        <w:tc>
          <w:tcPr>
            <w:tcW w:w="2641" w:type="dxa"/>
          </w:tcPr>
          <w:p w14:paraId="65A94842" w14:textId="77777777" w:rsidR="00322C40" w:rsidRPr="00322C40" w:rsidRDefault="00322C40" w:rsidP="00C12D3A">
            <w:pPr>
              <w:pStyle w:val="Tablehead"/>
              <w:rPr>
                <w:rtl/>
              </w:rPr>
            </w:pPr>
            <w:r w:rsidRPr="00322C40">
              <w:rPr>
                <w:rtl/>
              </w:rPr>
              <w:t>القطاع</w:t>
            </w:r>
          </w:p>
        </w:tc>
        <w:tc>
          <w:tcPr>
            <w:tcW w:w="3021" w:type="dxa"/>
          </w:tcPr>
          <w:p w14:paraId="2A460032" w14:textId="77777777" w:rsidR="00322C40" w:rsidRPr="00322C40" w:rsidRDefault="00322C40" w:rsidP="00C12D3A">
            <w:pPr>
              <w:pStyle w:val="Tablehead"/>
              <w:rPr>
                <w:rtl/>
              </w:rPr>
            </w:pPr>
            <w:r w:rsidRPr="00322C40">
              <w:rPr>
                <w:rtl/>
              </w:rPr>
              <w:t>التوصية</w:t>
            </w:r>
          </w:p>
        </w:tc>
      </w:tr>
      <w:tr w:rsidR="00322C40" w:rsidRPr="00322C40" w14:paraId="196378D8" w14:textId="77777777" w:rsidTr="00047B12">
        <w:tc>
          <w:tcPr>
            <w:tcW w:w="3399" w:type="dxa"/>
            <w:vAlign w:val="center"/>
          </w:tcPr>
          <w:p w14:paraId="51945CC8" w14:textId="77777777" w:rsidR="00322C40" w:rsidRPr="005605A9" w:rsidRDefault="00322C40" w:rsidP="005605A9">
            <w:pPr>
              <w:pStyle w:val="Tabletexte"/>
              <w:jc w:val="left"/>
              <w:rPr>
                <w:b/>
                <w:bCs/>
                <w:rtl/>
                <w:lang w:bidi="ar-SA"/>
              </w:rPr>
            </w:pPr>
            <w:r w:rsidRPr="005605A9">
              <w:rPr>
                <w:b/>
                <w:bCs/>
                <w:rtl/>
              </w:rPr>
              <w:t>مبادرة خليج البنغال للتعاون التقني والاقتصادي متعدد القطاعات (</w:t>
            </w:r>
            <w:r w:rsidRPr="005605A9">
              <w:rPr>
                <w:b/>
                <w:bCs/>
                <w:lang w:bidi="ar-EG"/>
              </w:rPr>
              <w:t>BIMSTEC</w:t>
            </w:r>
            <w:r w:rsidRPr="005605A9">
              <w:rPr>
                <w:b/>
                <w:bCs/>
                <w:rtl/>
              </w:rPr>
              <w:t>)</w:t>
            </w:r>
          </w:p>
        </w:tc>
        <w:tc>
          <w:tcPr>
            <w:tcW w:w="2641" w:type="dxa"/>
            <w:vAlign w:val="center"/>
          </w:tcPr>
          <w:p w14:paraId="43B8447D" w14:textId="0D369933" w:rsidR="00322C40" w:rsidRPr="00322C40" w:rsidRDefault="00322C40" w:rsidP="00C12D3A">
            <w:pPr>
              <w:pStyle w:val="Tabletexte"/>
              <w:jc w:val="center"/>
              <w:rPr>
                <w:lang w:bidi="ar-EG"/>
              </w:rPr>
            </w:pPr>
            <w:r w:rsidRPr="00322C40">
              <w:rPr>
                <w:rtl/>
              </w:rPr>
              <w:t>قطاع تنمية الاتصالات</w:t>
            </w:r>
          </w:p>
        </w:tc>
        <w:tc>
          <w:tcPr>
            <w:tcW w:w="3021" w:type="dxa"/>
            <w:vAlign w:val="center"/>
          </w:tcPr>
          <w:p w14:paraId="0F285577" w14:textId="77777777" w:rsidR="00322C40" w:rsidRPr="00322C40" w:rsidRDefault="00322C40" w:rsidP="00C12D3A">
            <w:pPr>
              <w:pStyle w:val="Tabletexte"/>
              <w:jc w:val="center"/>
              <w:rPr>
                <w:rtl/>
                <w:lang w:bidi="ar-EG"/>
              </w:rPr>
            </w:pPr>
            <w:r w:rsidRPr="00322C40">
              <w:rPr>
                <w:rtl/>
              </w:rPr>
              <w:t>نعم</w:t>
            </w:r>
          </w:p>
        </w:tc>
      </w:tr>
    </w:tbl>
    <w:p w14:paraId="181FBC4E" w14:textId="4E7BF834" w:rsidR="00322C40" w:rsidRPr="00047B12" w:rsidRDefault="00322C40" w:rsidP="00047B12">
      <w:pPr>
        <w:spacing w:before="240"/>
        <w:rPr>
          <w:spacing w:val="-2"/>
          <w:rtl/>
          <w:lang w:bidi="ar-EG"/>
        </w:rPr>
      </w:pPr>
      <w:r w:rsidRPr="00047B12">
        <w:rPr>
          <w:spacing w:val="-2"/>
          <w:rtl/>
          <w:lang w:bidi="ar-EG"/>
        </w:rPr>
        <w:t>مبادرة خليج البنغال للتعاون التقني والاقتصادي متعدد القطاعات (</w:t>
      </w:r>
      <w:r w:rsidRPr="00047B12">
        <w:rPr>
          <w:spacing w:val="-2"/>
          <w:lang w:val="en-GB" w:bidi="ar-EG"/>
        </w:rPr>
        <w:t>BIMSTEC</w:t>
      </w:r>
      <w:r w:rsidRPr="00047B12">
        <w:rPr>
          <w:spacing w:val="-2"/>
          <w:rtl/>
          <w:lang w:bidi="ar-EG"/>
        </w:rPr>
        <w:t xml:space="preserve">) هي منظمة إقليمية حكومية دولية تهدف إلى تسريع التنمية الاقتصادية والتقدم الاجتماعي، وتعزيز التعاون في المجالات </w:t>
      </w:r>
      <w:proofErr w:type="gramStart"/>
      <w:r w:rsidRPr="00047B12">
        <w:rPr>
          <w:spacing w:val="-2"/>
          <w:rtl/>
          <w:lang w:bidi="ar-EG"/>
        </w:rPr>
        <w:t>الاقتصادية</w:t>
      </w:r>
      <w:proofErr w:type="gramEnd"/>
      <w:r w:rsidRPr="00047B12">
        <w:rPr>
          <w:spacing w:val="-2"/>
          <w:rtl/>
          <w:lang w:bidi="ar-EG"/>
        </w:rPr>
        <w:t xml:space="preserve"> والاجتماعية والتقنية</w:t>
      </w:r>
      <w:r w:rsidR="00C12D3A" w:rsidRPr="00047B12">
        <w:rPr>
          <w:rFonts w:hint="eastAsia"/>
          <w:spacing w:val="-2"/>
          <w:rtl/>
          <w:lang w:bidi="ar-EG"/>
        </w:rPr>
        <w:t> </w:t>
      </w:r>
      <w:r w:rsidRPr="00047B12">
        <w:rPr>
          <w:spacing w:val="-2"/>
          <w:rtl/>
          <w:lang w:bidi="ar-EG"/>
        </w:rPr>
        <w:t>والعلمية.</w:t>
      </w:r>
    </w:p>
    <w:p w14:paraId="1487BAE7" w14:textId="78580484" w:rsidR="00322C40" w:rsidRPr="00322C40" w:rsidRDefault="00322C40" w:rsidP="00322C40">
      <w:pPr>
        <w:rPr>
          <w:lang w:bidi="ar-EG"/>
        </w:rPr>
      </w:pPr>
      <w:r w:rsidRPr="00322C40">
        <w:rPr>
          <w:rtl/>
          <w:lang w:bidi="ar-SY"/>
        </w:rPr>
        <w:t>و</w:t>
      </w:r>
      <w:r w:rsidRPr="00322C40">
        <w:rPr>
          <w:rtl/>
          <w:lang w:bidi="ar-EG"/>
        </w:rPr>
        <w:t>تأسست المنظمة عام 1997. وعُرفت بداية باسم منظمة التعاون الاقتصادي بين بنغلاديش والهند وسريلانكا وتايلاند</w:t>
      </w:r>
      <w:r w:rsidR="00215576">
        <w:rPr>
          <w:rFonts w:hint="cs"/>
          <w:rtl/>
          <w:lang w:bidi="ar-EG"/>
        </w:rPr>
        <w:t xml:space="preserve"> </w:t>
      </w:r>
      <w:r w:rsidRPr="00322C40">
        <w:rPr>
          <w:rtl/>
          <w:lang w:bidi="ar-EG"/>
        </w:rPr>
        <w:t>(</w:t>
      </w:r>
      <w:r w:rsidRPr="00322C40">
        <w:rPr>
          <w:lang w:val="en-GB" w:bidi="ar-EG"/>
        </w:rPr>
        <w:t>BIST-EC</w:t>
      </w:r>
      <w:r w:rsidRPr="00322C40">
        <w:rPr>
          <w:rtl/>
          <w:lang w:bidi="ar-EG"/>
        </w:rPr>
        <w:t>)، ثم تغير اسمها لما هو عليه اليوم، وأصبحت تضم سبع دول أعضاء، بانضمام ميانمار في 22 ديسمبر 1997 ثم بوتان ونيبال في فبراير 2004.</w:t>
      </w:r>
    </w:p>
    <w:p w14:paraId="3619FD18" w14:textId="77777777" w:rsidR="00322C40" w:rsidRPr="00322C40" w:rsidRDefault="00322C40" w:rsidP="00322C40">
      <w:pPr>
        <w:rPr>
          <w:rtl/>
        </w:rPr>
      </w:pPr>
      <w:r w:rsidRPr="00322C40">
        <w:rPr>
          <w:rtl/>
          <w:lang w:bidi="ar-EG"/>
        </w:rPr>
        <w:t>وترى الأمانة أن هذه المنظمة تستوفي المعايير التي وضعها المجلس للإعفاء من رسوم العضوية.</w:t>
      </w:r>
    </w:p>
    <w:p w14:paraId="1E0F5F02" w14:textId="77777777" w:rsidR="00322C40" w:rsidRPr="00322C40" w:rsidRDefault="00322C40" w:rsidP="00322C40">
      <w:pPr>
        <w:rPr>
          <w:rtl/>
        </w:rPr>
      </w:pPr>
      <w:r w:rsidRPr="00322C40">
        <w:rPr>
          <w:lang w:bidi="ar-EG"/>
        </w:rPr>
        <w:t>2.2</w:t>
      </w:r>
    </w:p>
    <w:tbl>
      <w:tblPr>
        <w:tblStyle w:val="TableGrid"/>
        <w:bidiVisual/>
        <w:tblW w:w="0" w:type="auto"/>
        <w:tblLayout w:type="fixed"/>
        <w:tblLook w:val="04A0" w:firstRow="1" w:lastRow="0" w:firstColumn="1" w:lastColumn="0" w:noHBand="0" w:noVBand="1"/>
      </w:tblPr>
      <w:tblGrid>
        <w:gridCol w:w="3964"/>
        <w:gridCol w:w="2548"/>
        <w:gridCol w:w="2549"/>
      </w:tblGrid>
      <w:tr w:rsidR="00322C40" w:rsidRPr="00322C40" w14:paraId="2AFB4A6B" w14:textId="77777777" w:rsidTr="008F37BB">
        <w:tc>
          <w:tcPr>
            <w:tcW w:w="3964" w:type="dxa"/>
          </w:tcPr>
          <w:p w14:paraId="4EBC88AC" w14:textId="77777777" w:rsidR="00322C40" w:rsidRPr="00322C40" w:rsidRDefault="00322C40" w:rsidP="00C12D3A">
            <w:pPr>
              <w:pStyle w:val="Tablehead"/>
              <w:rPr>
                <w:rtl/>
              </w:rPr>
            </w:pPr>
            <w:r w:rsidRPr="00322C40">
              <w:rPr>
                <w:rtl/>
              </w:rPr>
              <w:t>المنظمة</w:t>
            </w:r>
          </w:p>
        </w:tc>
        <w:tc>
          <w:tcPr>
            <w:tcW w:w="2548" w:type="dxa"/>
          </w:tcPr>
          <w:p w14:paraId="31D40A1F" w14:textId="77777777" w:rsidR="00322C40" w:rsidRPr="00322C40" w:rsidRDefault="00322C40" w:rsidP="00C12D3A">
            <w:pPr>
              <w:pStyle w:val="Tablehead"/>
              <w:rPr>
                <w:rtl/>
              </w:rPr>
            </w:pPr>
            <w:r w:rsidRPr="00322C40">
              <w:rPr>
                <w:rtl/>
              </w:rPr>
              <w:t>القطاع</w:t>
            </w:r>
          </w:p>
        </w:tc>
        <w:tc>
          <w:tcPr>
            <w:tcW w:w="2549" w:type="dxa"/>
          </w:tcPr>
          <w:p w14:paraId="2E9526B9" w14:textId="77777777" w:rsidR="00322C40" w:rsidRPr="00322C40" w:rsidRDefault="00322C40" w:rsidP="00C12D3A">
            <w:pPr>
              <w:pStyle w:val="Tablehead"/>
              <w:rPr>
                <w:rtl/>
              </w:rPr>
            </w:pPr>
            <w:r w:rsidRPr="00322C40">
              <w:rPr>
                <w:rtl/>
              </w:rPr>
              <w:t>التوصية</w:t>
            </w:r>
          </w:p>
        </w:tc>
      </w:tr>
      <w:tr w:rsidR="00322C40" w:rsidRPr="00322C40" w14:paraId="515C4C0F" w14:textId="77777777" w:rsidTr="008F37BB">
        <w:tc>
          <w:tcPr>
            <w:tcW w:w="3964" w:type="dxa"/>
            <w:vAlign w:val="center"/>
          </w:tcPr>
          <w:p w14:paraId="0562C217" w14:textId="77777777" w:rsidR="00322C40" w:rsidRPr="00C12D3A" w:rsidRDefault="00322C40" w:rsidP="00C12D3A">
            <w:pPr>
              <w:pStyle w:val="Tabletexte"/>
              <w:rPr>
                <w:b/>
                <w:bCs/>
                <w:lang w:val="fr-CH"/>
              </w:rPr>
            </w:pPr>
            <w:proofErr w:type="spellStart"/>
            <w:r w:rsidRPr="00C12D3A">
              <w:rPr>
                <w:b/>
                <w:bCs/>
                <w:lang w:val="fr-CH"/>
              </w:rPr>
              <w:t>DigiHub</w:t>
            </w:r>
            <w:proofErr w:type="spellEnd"/>
            <w:r w:rsidRPr="00C12D3A">
              <w:rPr>
                <w:b/>
                <w:bCs/>
                <w:lang w:val="fr-CH"/>
              </w:rPr>
              <w:t xml:space="preserve"> Africa</w:t>
            </w:r>
          </w:p>
        </w:tc>
        <w:tc>
          <w:tcPr>
            <w:tcW w:w="2548" w:type="dxa"/>
            <w:vAlign w:val="center"/>
          </w:tcPr>
          <w:p w14:paraId="38BCB051" w14:textId="3CD4557F" w:rsidR="00322C40" w:rsidRPr="00322C40" w:rsidRDefault="00322C40" w:rsidP="00C12D3A">
            <w:pPr>
              <w:pStyle w:val="Tabletexte"/>
              <w:jc w:val="center"/>
            </w:pPr>
            <w:r w:rsidRPr="00322C40">
              <w:rPr>
                <w:rtl/>
              </w:rPr>
              <w:t>قطاع تنمية الاتصالات</w:t>
            </w:r>
          </w:p>
        </w:tc>
        <w:tc>
          <w:tcPr>
            <w:tcW w:w="2549" w:type="dxa"/>
            <w:vAlign w:val="center"/>
          </w:tcPr>
          <w:p w14:paraId="39C4E39A" w14:textId="77777777" w:rsidR="00322C40" w:rsidRPr="00322C40" w:rsidRDefault="00322C40" w:rsidP="00C12D3A">
            <w:pPr>
              <w:pStyle w:val="Tabletexte"/>
              <w:jc w:val="center"/>
              <w:rPr>
                <w:rtl/>
                <w:lang w:bidi="ar-SA"/>
              </w:rPr>
            </w:pPr>
            <w:r w:rsidRPr="00322C40">
              <w:rPr>
                <w:rtl/>
              </w:rPr>
              <w:t>لا</w:t>
            </w:r>
          </w:p>
        </w:tc>
      </w:tr>
    </w:tbl>
    <w:p w14:paraId="5CDEAF5E" w14:textId="77777777" w:rsidR="00322C40" w:rsidRPr="00322C40" w:rsidRDefault="00322C40" w:rsidP="00047B12">
      <w:pPr>
        <w:spacing w:before="240"/>
        <w:rPr>
          <w:rtl/>
        </w:rPr>
      </w:pPr>
      <w:proofErr w:type="spellStart"/>
      <w:r w:rsidRPr="00322C40">
        <w:rPr>
          <w:lang w:bidi="ar-EG"/>
        </w:rPr>
        <w:t>DigiHub</w:t>
      </w:r>
      <w:proofErr w:type="spellEnd"/>
      <w:r w:rsidRPr="00322C40">
        <w:rPr>
          <w:lang w:bidi="ar-EG"/>
        </w:rPr>
        <w:t xml:space="preserve"> Africa</w:t>
      </w:r>
      <w:r w:rsidRPr="00322C40">
        <w:rPr>
          <w:rtl/>
        </w:rPr>
        <w:t xml:space="preserve"> مسجلة كمنظمة غير ربحية ولا تضم أي أعضاء، وتُعنى بتحسين الحقوق الرقمية، والسلامة على الإنترنت، والتحول الرقمي الشامل في جميع أنحاء القارة. وتزود المنظمة الشباب والنساء والمجتمعات الريفية الأخرى الأكثر ضعفاً بمهارات عملية في مجال محو الأمية الرقمية، وتعزيز بيئات إنترنت آمنة ومفتوحة، وتشجع على المشاركة المسؤولة على الإنترنت.</w:t>
      </w:r>
    </w:p>
    <w:p w14:paraId="65FA93C5" w14:textId="77777777" w:rsidR="00322C40" w:rsidRPr="00322C40" w:rsidRDefault="00322C40" w:rsidP="00322C40">
      <w:pPr>
        <w:rPr>
          <w:rtl/>
        </w:rPr>
      </w:pPr>
      <w:r w:rsidRPr="00322C40">
        <w:rPr>
          <w:rtl/>
        </w:rPr>
        <w:t>وترى الأمانة أن هذا الكيان لا يستوفي معايير العضوية التي وضعها المجلس للإعفاء من الرسوم، إذ لم يثبت أنه: "منظمة غير ربحية معترف بها قانوناً، وتمثل أعضاء لا يسعون إلى الربح".</w:t>
      </w:r>
    </w:p>
    <w:p w14:paraId="5903D89D" w14:textId="77777777" w:rsidR="00322C40" w:rsidRPr="00322C40" w:rsidRDefault="00322C40" w:rsidP="00322C40">
      <w:pPr>
        <w:rPr>
          <w:rtl/>
        </w:rPr>
      </w:pPr>
      <w:r w:rsidRPr="00322C40">
        <w:rPr>
          <w:lang w:bidi="ar-EG"/>
        </w:rPr>
        <w:lastRenderedPageBreak/>
        <w:t>3.2</w:t>
      </w:r>
    </w:p>
    <w:tbl>
      <w:tblPr>
        <w:tblStyle w:val="TableGrid"/>
        <w:bidiVisual/>
        <w:tblW w:w="0" w:type="auto"/>
        <w:tblLayout w:type="fixed"/>
        <w:tblLook w:val="04A0" w:firstRow="1" w:lastRow="0" w:firstColumn="1" w:lastColumn="0" w:noHBand="0" w:noVBand="1"/>
      </w:tblPr>
      <w:tblGrid>
        <w:gridCol w:w="3964"/>
        <w:gridCol w:w="2548"/>
        <w:gridCol w:w="2549"/>
      </w:tblGrid>
      <w:tr w:rsidR="00322C40" w:rsidRPr="00322C40" w14:paraId="5CE99045" w14:textId="77777777" w:rsidTr="008F37BB">
        <w:tc>
          <w:tcPr>
            <w:tcW w:w="3964" w:type="dxa"/>
          </w:tcPr>
          <w:p w14:paraId="0399D608" w14:textId="77777777" w:rsidR="00322C40" w:rsidRPr="00322C40" w:rsidRDefault="00322C40" w:rsidP="00C12D3A">
            <w:pPr>
              <w:pStyle w:val="Tablehead"/>
              <w:rPr>
                <w:rtl/>
              </w:rPr>
            </w:pPr>
            <w:r w:rsidRPr="00322C40">
              <w:rPr>
                <w:rtl/>
              </w:rPr>
              <w:t>المنظمة</w:t>
            </w:r>
          </w:p>
        </w:tc>
        <w:tc>
          <w:tcPr>
            <w:tcW w:w="2548" w:type="dxa"/>
          </w:tcPr>
          <w:p w14:paraId="3FB49FF6" w14:textId="77777777" w:rsidR="00322C40" w:rsidRPr="00322C40" w:rsidRDefault="00322C40" w:rsidP="00C12D3A">
            <w:pPr>
              <w:pStyle w:val="Tablehead"/>
              <w:rPr>
                <w:rtl/>
              </w:rPr>
            </w:pPr>
            <w:r w:rsidRPr="00322C40">
              <w:rPr>
                <w:rtl/>
              </w:rPr>
              <w:t>القطاع</w:t>
            </w:r>
          </w:p>
        </w:tc>
        <w:tc>
          <w:tcPr>
            <w:tcW w:w="2549" w:type="dxa"/>
          </w:tcPr>
          <w:p w14:paraId="0F697CE8" w14:textId="77777777" w:rsidR="00322C40" w:rsidRPr="00322C40" w:rsidRDefault="00322C40" w:rsidP="00C12D3A">
            <w:pPr>
              <w:pStyle w:val="Tablehead"/>
              <w:rPr>
                <w:rtl/>
              </w:rPr>
            </w:pPr>
            <w:r w:rsidRPr="00322C40">
              <w:rPr>
                <w:rtl/>
              </w:rPr>
              <w:t>التوصية</w:t>
            </w:r>
          </w:p>
        </w:tc>
      </w:tr>
      <w:tr w:rsidR="00322C40" w:rsidRPr="00322C40" w14:paraId="50079FBA" w14:textId="77777777" w:rsidTr="008F37BB">
        <w:tc>
          <w:tcPr>
            <w:tcW w:w="3964" w:type="dxa"/>
            <w:vAlign w:val="center"/>
          </w:tcPr>
          <w:p w14:paraId="0750858E" w14:textId="63B23F4D" w:rsidR="00322C40" w:rsidRPr="00C12D3A" w:rsidRDefault="00322C40" w:rsidP="00C12D3A">
            <w:pPr>
              <w:pStyle w:val="Tabletexte"/>
              <w:rPr>
                <w:b/>
                <w:bCs/>
                <w:rtl/>
              </w:rPr>
            </w:pPr>
            <w:r w:rsidRPr="00C12D3A">
              <w:rPr>
                <w:b/>
                <w:bCs/>
                <w:rtl/>
              </w:rPr>
              <w:t xml:space="preserve">الاتحاد الأوروبي للأشخاص الذين يعانون من ضعف </w:t>
            </w:r>
            <w:proofErr w:type="gramStart"/>
            <w:r w:rsidRPr="00C12D3A">
              <w:rPr>
                <w:b/>
                <w:bCs/>
                <w:rtl/>
              </w:rPr>
              <w:t>السمع</w:t>
            </w:r>
            <w:r w:rsidRPr="00C12D3A">
              <w:rPr>
                <w:b/>
                <w:bCs/>
                <w:lang w:bidi="ar-EG"/>
              </w:rPr>
              <w:t>(</w:t>
            </w:r>
            <w:proofErr w:type="gramEnd"/>
            <w:r w:rsidRPr="00C12D3A">
              <w:rPr>
                <w:b/>
                <w:bCs/>
                <w:lang w:bidi="ar-EG"/>
              </w:rPr>
              <w:t>EFHOH) </w:t>
            </w:r>
            <w:bookmarkStart w:id="0" w:name="_Int_7Fbf24l4"/>
            <w:bookmarkEnd w:id="0"/>
          </w:p>
        </w:tc>
        <w:tc>
          <w:tcPr>
            <w:tcW w:w="2548" w:type="dxa"/>
            <w:vAlign w:val="center"/>
          </w:tcPr>
          <w:p w14:paraId="6D5AB040" w14:textId="483356D9" w:rsidR="00322C40" w:rsidRPr="00322C40" w:rsidRDefault="00322C40" w:rsidP="00C12D3A">
            <w:pPr>
              <w:pStyle w:val="Tabletexte"/>
              <w:jc w:val="center"/>
              <w:rPr>
                <w:rtl/>
              </w:rPr>
            </w:pPr>
            <w:r w:rsidRPr="00322C40">
              <w:rPr>
                <w:rtl/>
              </w:rPr>
              <w:t>قطاع تقييس الاتصالات</w:t>
            </w:r>
            <w:r w:rsidR="00B42E11">
              <w:rPr>
                <w:rtl/>
              </w:rPr>
              <w:br/>
            </w:r>
            <w:r w:rsidRPr="00322C40">
              <w:rPr>
                <w:rtl/>
              </w:rPr>
              <w:t>قطاع تنمية الاتصالات</w:t>
            </w:r>
          </w:p>
        </w:tc>
        <w:tc>
          <w:tcPr>
            <w:tcW w:w="2549" w:type="dxa"/>
            <w:vAlign w:val="center"/>
          </w:tcPr>
          <w:p w14:paraId="68DF0D21" w14:textId="74978F8E" w:rsidR="00322C40" w:rsidRPr="00322C40" w:rsidRDefault="00322C40" w:rsidP="00C12D3A">
            <w:pPr>
              <w:pStyle w:val="Tabletexte"/>
              <w:jc w:val="center"/>
              <w:rPr>
                <w:rtl/>
              </w:rPr>
            </w:pPr>
            <w:r w:rsidRPr="00322C40">
              <w:rPr>
                <w:rtl/>
              </w:rPr>
              <w:t>نعم</w:t>
            </w:r>
            <w:r w:rsidR="00B42E11">
              <w:rPr>
                <w:rtl/>
              </w:rPr>
              <w:br/>
            </w:r>
            <w:r w:rsidRPr="00322C40">
              <w:rPr>
                <w:rtl/>
              </w:rPr>
              <w:t>نعم</w:t>
            </w:r>
          </w:p>
        </w:tc>
      </w:tr>
    </w:tbl>
    <w:p w14:paraId="4F877C42" w14:textId="09064125" w:rsidR="00322C40" w:rsidRPr="00047B12" w:rsidRDefault="00322C40" w:rsidP="00047B12">
      <w:pPr>
        <w:spacing w:before="240"/>
        <w:rPr>
          <w:spacing w:val="-2"/>
          <w:rtl/>
        </w:rPr>
      </w:pPr>
      <w:r w:rsidRPr="00047B12">
        <w:rPr>
          <w:spacing w:val="-2"/>
          <w:rtl/>
        </w:rPr>
        <w:t>الاتحاد الأوروبي للأشخاص ضعاف السمع (</w:t>
      </w:r>
      <w:r w:rsidRPr="00047B12">
        <w:rPr>
          <w:spacing w:val="-2"/>
          <w:lang w:bidi="ar-EG"/>
        </w:rPr>
        <w:t>EFHOH</w:t>
      </w:r>
      <w:r w:rsidRPr="00047B12">
        <w:rPr>
          <w:spacing w:val="-2"/>
          <w:rtl/>
        </w:rPr>
        <w:t>) هو منظمة إقليمية غير ربحية تأسست عام 1993. وتعمل المنظمة على إذكاء الوعي وتعزيز الفهم، وتنفيذ إجراءات عملية وتعاونية تهدف إلى إزالة العوائق التي تحول دون تحقيق الأشخاص ضعاف السمع كامل إمكاناتهم، وذلك من خلال توفير رعاية سمعية وإعادة تأهيل شاملة وبأسعار معقولة. ويتعزز ذلك من خلال مجتمع مُيسّر، يضم خدمات عامة، وحلقات مساعدة سمعية، والترجمة النصية، والعرض النصي، وأجهزة مُساعِدة. وأعضاء الاتحاد الأوروبي للأشخاص ضعاف السمع هم منظمات وطنية أو إقليمية تمثل الصم وضعاف</w:t>
      </w:r>
      <w:r w:rsidR="00C12D3A" w:rsidRPr="00047B12">
        <w:rPr>
          <w:rFonts w:hint="eastAsia"/>
          <w:spacing w:val="-2"/>
          <w:rtl/>
        </w:rPr>
        <w:t> </w:t>
      </w:r>
      <w:r w:rsidRPr="00047B12">
        <w:rPr>
          <w:spacing w:val="-2"/>
          <w:rtl/>
        </w:rPr>
        <w:t>السمع.</w:t>
      </w:r>
    </w:p>
    <w:p w14:paraId="1BB6DA14" w14:textId="77777777" w:rsidR="00322C40" w:rsidRPr="00322C40" w:rsidRDefault="00322C40" w:rsidP="00322C40">
      <w:pPr>
        <w:rPr>
          <w:rtl/>
        </w:rPr>
      </w:pPr>
      <w:r w:rsidRPr="00322C40">
        <w:rPr>
          <w:rtl/>
        </w:rPr>
        <w:t>ويهدف الاتحاد الأوروبي للأشخاص ضعاف السمع بشكل عام إلى حماية حقوق الأشخاص ضعاف السمع في أوروبا، وتعزيزها، ونشر الوعي بها، مما يُسهّل توفير الحماية التشريعية والاجتماعية لهم.</w:t>
      </w:r>
    </w:p>
    <w:p w14:paraId="50D8EC89" w14:textId="77777777" w:rsidR="00322C40" w:rsidRPr="00322C40" w:rsidRDefault="00322C40" w:rsidP="00322C40">
      <w:pPr>
        <w:rPr>
          <w:rtl/>
        </w:rPr>
      </w:pPr>
      <w:r w:rsidRPr="00322C40">
        <w:rPr>
          <w:rtl/>
        </w:rPr>
        <w:t>وترى الأمانة أن هذا الكيان يستوفي المعايير التي وضعها المجلس للإعفاء من رسوم العضوية.</w:t>
      </w:r>
    </w:p>
    <w:p w14:paraId="2CF7113F" w14:textId="77777777" w:rsidR="00322C40" w:rsidRPr="00322C40" w:rsidRDefault="00322C40" w:rsidP="00322C40">
      <w:pPr>
        <w:rPr>
          <w:rtl/>
        </w:rPr>
      </w:pPr>
      <w:r w:rsidRPr="00322C40">
        <w:rPr>
          <w:lang w:bidi="ar-EG"/>
        </w:rPr>
        <w:t>4.2</w:t>
      </w:r>
    </w:p>
    <w:tbl>
      <w:tblPr>
        <w:tblStyle w:val="TableGrid"/>
        <w:bidiVisual/>
        <w:tblW w:w="0" w:type="auto"/>
        <w:tblLayout w:type="fixed"/>
        <w:tblLook w:val="04A0" w:firstRow="1" w:lastRow="0" w:firstColumn="1" w:lastColumn="0" w:noHBand="0" w:noVBand="1"/>
      </w:tblPr>
      <w:tblGrid>
        <w:gridCol w:w="3964"/>
        <w:gridCol w:w="2548"/>
        <w:gridCol w:w="2549"/>
      </w:tblGrid>
      <w:tr w:rsidR="00322C40" w:rsidRPr="00322C40" w14:paraId="1ED26F2D" w14:textId="77777777" w:rsidTr="008F37BB">
        <w:tc>
          <w:tcPr>
            <w:tcW w:w="3964" w:type="dxa"/>
          </w:tcPr>
          <w:p w14:paraId="1D5D70AF" w14:textId="77777777" w:rsidR="00322C40" w:rsidRPr="00322C40" w:rsidRDefault="00322C40" w:rsidP="00C12D3A">
            <w:pPr>
              <w:pStyle w:val="Tablehead"/>
              <w:rPr>
                <w:rtl/>
              </w:rPr>
            </w:pPr>
            <w:r w:rsidRPr="00322C40">
              <w:rPr>
                <w:rtl/>
              </w:rPr>
              <w:t>المنظمة</w:t>
            </w:r>
          </w:p>
        </w:tc>
        <w:tc>
          <w:tcPr>
            <w:tcW w:w="2548" w:type="dxa"/>
          </w:tcPr>
          <w:p w14:paraId="24B8B867" w14:textId="77777777" w:rsidR="00322C40" w:rsidRPr="00322C40" w:rsidRDefault="00322C40" w:rsidP="00C12D3A">
            <w:pPr>
              <w:pStyle w:val="Tablehead"/>
              <w:rPr>
                <w:rtl/>
              </w:rPr>
            </w:pPr>
            <w:r w:rsidRPr="00322C40">
              <w:rPr>
                <w:rtl/>
              </w:rPr>
              <w:t>القطاع</w:t>
            </w:r>
          </w:p>
        </w:tc>
        <w:tc>
          <w:tcPr>
            <w:tcW w:w="2549" w:type="dxa"/>
          </w:tcPr>
          <w:p w14:paraId="5D86FE30" w14:textId="77777777" w:rsidR="00322C40" w:rsidRPr="00322C40" w:rsidRDefault="00322C40" w:rsidP="00C12D3A">
            <w:pPr>
              <w:pStyle w:val="Tablehead"/>
              <w:rPr>
                <w:rtl/>
              </w:rPr>
            </w:pPr>
            <w:r w:rsidRPr="00322C40">
              <w:rPr>
                <w:rtl/>
              </w:rPr>
              <w:t>التوصية</w:t>
            </w:r>
          </w:p>
        </w:tc>
      </w:tr>
      <w:tr w:rsidR="00322C40" w:rsidRPr="00322C40" w14:paraId="31CBE6E5" w14:textId="77777777" w:rsidTr="008F37BB">
        <w:tc>
          <w:tcPr>
            <w:tcW w:w="3964" w:type="dxa"/>
            <w:vAlign w:val="center"/>
          </w:tcPr>
          <w:p w14:paraId="09FFCEDE" w14:textId="77777777" w:rsidR="00322C40" w:rsidRPr="00C12D3A" w:rsidRDefault="00322C40" w:rsidP="00C12D3A">
            <w:pPr>
              <w:pStyle w:val="Tabletexte"/>
              <w:rPr>
                <w:b/>
                <w:bCs/>
                <w:rtl/>
                <w:lang w:bidi="ar-SA"/>
              </w:rPr>
            </w:pPr>
            <w:r w:rsidRPr="00C12D3A">
              <w:rPr>
                <w:b/>
                <w:bCs/>
                <w:rtl/>
              </w:rPr>
              <w:t>منظمة السلام والتنمية العالمية</w:t>
            </w:r>
          </w:p>
        </w:tc>
        <w:tc>
          <w:tcPr>
            <w:tcW w:w="2548" w:type="dxa"/>
            <w:vAlign w:val="center"/>
          </w:tcPr>
          <w:p w14:paraId="35AFD2FF" w14:textId="77777777" w:rsidR="00322C40" w:rsidRPr="00322C40" w:rsidRDefault="00322C40" w:rsidP="00C12D3A">
            <w:pPr>
              <w:pStyle w:val="Tabletexte"/>
              <w:jc w:val="center"/>
              <w:rPr>
                <w:rtl/>
                <w:lang w:bidi="ar-SA"/>
              </w:rPr>
            </w:pPr>
            <w:r w:rsidRPr="00322C40">
              <w:rPr>
                <w:rtl/>
              </w:rPr>
              <w:t>قطاع تنمية الاتصالات</w:t>
            </w:r>
          </w:p>
        </w:tc>
        <w:tc>
          <w:tcPr>
            <w:tcW w:w="2549" w:type="dxa"/>
            <w:vAlign w:val="center"/>
          </w:tcPr>
          <w:p w14:paraId="353E4AE4" w14:textId="77777777" w:rsidR="00322C40" w:rsidRPr="00322C40" w:rsidRDefault="00322C40" w:rsidP="00C12D3A">
            <w:pPr>
              <w:pStyle w:val="Tabletexte"/>
              <w:jc w:val="center"/>
              <w:rPr>
                <w:rtl/>
                <w:lang w:bidi="ar-SA"/>
              </w:rPr>
            </w:pPr>
            <w:r w:rsidRPr="00322C40">
              <w:rPr>
                <w:rtl/>
              </w:rPr>
              <w:t>لا</w:t>
            </w:r>
          </w:p>
        </w:tc>
      </w:tr>
    </w:tbl>
    <w:p w14:paraId="351CCA98" w14:textId="77777777" w:rsidR="00A961F3" w:rsidRDefault="00322C40" w:rsidP="0006158E">
      <w:pPr>
        <w:spacing w:before="240"/>
        <w:rPr>
          <w:rtl/>
        </w:rPr>
      </w:pPr>
      <w:r w:rsidRPr="00322C40">
        <w:rPr>
          <w:rtl/>
        </w:rPr>
        <w:t>منظمة السلام والتنمية العالمية (</w:t>
      </w:r>
      <w:r w:rsidRPr="00322C40">
        <w:rPr>
          <w:lang w:bidi="ar-EG"/>
        </w:rPr>
        <w:t>GPDO</w:t>
      </w:r>
      <w:r w:rsidRPr="00322C40">
        <w:rPr>
          <w:rtl/>
        </w:rPr>
        <w:t xml:space="preserve">) هي منظمة غير ربحية تأسست عام 2011. </w:t>
      </w:r>
    </w:p>
    <w:p w14:paraId="76659F67" w14:textId="756B3AC9" w:rsidR="00322C40" w:rsidRPr="00322C40" w:rsidRDefault="00322C40" w:rsidP="00A961F3">
      <w:pPr>
        <w:rPr>
          <w:rtl/>
        </w:rPr>
      </w:pPr>
      <w:r w:rsidRPr="00322C40">
        <w:rPr>
          <w:rtl/>
        </w:rPr>
        <w:t xml:space="preserve">وتهدف المنظمة إلى تعزيز السلام والتضامن الدولي دعماً لحقوق الإنسان والتنمية والتغيير الاجتماعي. وفي ليبيريا، يشمل عمل المنظمة حقوق المرأة، والأنظمة الغذائية المستدامة، والسياسات والمناصرة، بالإضافة إلى الاستجابة للأزمات الإنسانية في غرب </w:t>
      </w:r>
      <w:r w:rsidR="00AE21C6">
        <w:rPr>
          <w:rtl/>
        </w:rPr>
        <w:t>إفريقيا</w:t>
      </w:r>
      <w:r w:rsidRPr="00322C40">
        <w:rPr>
          <w:rtl/>
        </w:rPr>
        <w:t>.</w:t>
      </w:r>
    </w:p>
    <w:p w14:paraId="33A125CF" w14:textId="77777777" w:rsidR="00322C40" w:rsidRPr="00322C40" w:rsidRDefault="00322C40" w:rsidP="00322C40">
      <w:pPr>
        <w:rPr>
          <w:rtl/>
        </w:rPr>
      </w:pPr>
      <w:r w:rsidRPr="00322C40">
        <w:rPr>
          <w:rtl/>
        </w:rPr>
        <w:t>وترى الأمانة أن هذا الكيان لا يستوفي معايير العضوية التي وضعها المجلس للإعفاء من الرسوم، إذ لم يثبت أنه: "يتمتع بعضوية وحضور وأنشطة كبيرة في دول أعضاء متعددة، وأن مشاركته في أنشطة الاتحاد الدولي للاتصالات ستعود بالنفع على أهداف الاتحاد".</w:t>
      </w:r>
    </w:p>
    <w:p w14:paraId="4834458C" w14:textId="77777777" w:rsidR="00322C40" w:rsidRPr="00322C40" w:rsidRDefault="00322C40" w:rsidP="00322C40">
      <w:pPr>
        <w:rPr>
          <w:rtl/>
        </w:rPr>
      </w:pPr>
      <w:r w:rsidRPr="00322C40">
        <w:rPr>
          <w:lang w:bidi="ar-EG"/>
        </w:rPr>
        <w:t>5.2</w:t>
      </w:r>
    </w:p>
    <w:tbl>
      <w:tblPr>
        <w:tblStyle w:val="TableGrid"/>
        <w:bidiVisual/>
        <w:tblW w:w="0" w:type="auto"/>
        <w:tblLayout w:type="fixed"/>
        <w:tblLook w:val="04A0" w:firstRow="1" w:lastRow="0" w:firstColumn="1" w:lastColumn="0" w:noHBand="0" w:noVBand="1"/>
      </w:tblPr>
      <w:tblGrid>
        <w:gridCol w:w="3964"/>
        <w:gridCol w:w="2548"/>
        <w:gridCol w:w="2549"/>
      </w:tblGrid>
      <w:tr w:rsidR="00322C40" w:rsidRPr="00322C40" w14:paraId="7587E533" w14:textId="77777777" w:rsidTr="008F37BB">
        <w:tc>
          <w:tcPr>
            <w:tcW w:w="3964" w:type="dxa"/>
          </w:tcPr>
          <w:p w14:paraId="185CF36A" w14:textId="77777777" w:rsidR="00322C40" w:rsidRPr="00322C40" w:rsidRDefault="00322C40" w:rsidP="00C12D3A">
            <w:pPr>
              <w:pStyle w:val="Tablehead"/>
              <w:rPr>
                <w:rtl/>
              </w:rPr>
            </w:pPr>
            <w:r w:rsidRPr="00322C40">
              <w:rPr>
                <w:rtl/>
              </w:rPr>
              <w:t>المنظمة</w:t>
            </w:r>
          </w:p>
        </w:tc>
        <w:tc>
          <w:tcPr>
            <w:tcW w:w="2548" w:type="dxa"/>
          </w:tcPr>
          <w:p w14:paraId="40F2DE08" w14:textId="77777777" w:rsidR="00322C40" w:rsidRPr="00322C40" w:rsidRDefault="00322C40" w:rsidP="00C12D3A">
            <w:pPr>
              <w:pStyle w:val="Tablehead"/>
              <w:rPr>
                <w:rtl/>
              </w:rPr>
            </w:pPr>
            <w:r w:rsidRPr="00322C40">
              <w:rPr>
                <w:rtl/>
              </w:rPr>
              <w:t>القطاع</w:t>
            </w:r>
          </w:p>
        </w:tc>
        <w:tc>
          <w:tcPr>
            <w:tcW w:w="2549" w:type="dxa"/>
          </w:tcPr>
          <w:p w14:paraId="403CBF69" w14:textId="77777777" w:rsidR="00322C40" w:rsidRPr="00322C40" w:rsidRDefault="00322C40" w:rsidP="00C12D3A">
            <w:pPr>
              <w:pStyle w:val="Tablehead"/>
              <w:rPr>
                <w:rtl/>
              </w:rPr>
            </w:pPr>
            <w:r w:rsidRPr="00322C40">
              <w:rPr>
                <w:rtl/>
              </w:rPr>
              <w:t>التوصية</w:t>
            </w:r>
          </w:p>
        </w:tc>
      </w:tr>
      <w:tr w:rsidR="00322C40" w:rsidRPr="00322C40" w14:paraId="0DB592BF" w14:textId="77777777" w:rsidTr="008F37BB">
        <w:tc>
          <w:tcPr>
            <w:tcW w:w="3964" w:type="dxa"/>
            <w:vAlign w:val="center"/>
          </w:tcPr>
          <w:p w14:paraId="7970CF5C" w14:textId="0DAE0857" w:rsidR="00322C40" w:rsidRPr="00C12D3A" w:rsidRDefault="00322C40" w:rsidP="00C12D3A">
            <w:pPr>
              <w:pStyle w:val="Tabletexte"/>
              <w:rPr>
                <w:b/>
                <w:bCs/>
                <w:rtl/>
                <w:lang w:bidi="ar-SA"/>
              </w:rPr>
            </w:pPr>
            <w:r w:rsidRPr="00C12D3A">
              <w:rPr>
                <w:b/>
                <w:bCs/>
                <w:rtl/>
              </w:rPr>
              <w:t xml:space="preserve">رابطة صناعة الجيل السادس </w:t>
            </w:r>
            <w:r w:rsidR="00C12D3A" w:rsidRPr="009D2A7E">
              <w:rPr>
                <w:b/>
                <w:bCs/>
                <w:szCs w:val="24"/>
              </w:rPr>
              <w:t>(6G-IA)</w:t>
            </w:r>
          </w:p>
        </w:tc>
        <w:tc>
          <w:tcPr>
            <w:tcW w:w="2548" w:type="dxa"/>
            <w:vAlign w:val="center"/>
          </w:tcPr>
          <w:p w14:paraId="77CFE3BF" w14:textId="77777777" w:rsidR="00322C40" w:rsidRPr="00322C40" w:rsidRDefault="00322C40" w:rsidP="00C12D3A">
            <w:pPr>
              <w:pStyle w:val="Tabletexte"/>
              <w:jc w:val="center"/>
              <w:rPr>
                <w:rtl/>
                <w:lang w:bidi="ar-SA"/>
              </w:rPr>
            </w:pPr>
            <w:r w:rsidRPr="00322C40">
              <w:rPr>
                <w:rtl/>
              </w:rPr>
              <w:t>قطاع الاتصالات الراديوية</w:t>
            </w:r>
          </w:p>
        </w:tc>
        <w:tc>
          <w:tcPr>
            <w:tcW w:w="2549" w:type="dxa"/>
            <w:vAlign w:val="center"/>
          </w:tcPr>
          <w:p w14:paraId="7D6102CE" w14:textId="77777777" w:rsidR="00322C40" w:rsidRPr="00322C40" w:rsidRDefault="00322C40" w:rsidP="00C12D3A">
            <w:pPr>
              <w:pStyle w:val="Tabletexte"/>
              <w:jc w:val="center"/>
              <w:rPr>
                <w:rtl/>
                <w:lang w:bidi="ar-SA"/>
              </w:rPr>
            </w:pPr>
            <w:r w:rsidRPr="00322C40">
              <w:rPr>
                <w:rtl/>
              </w:rPr>
              <w:t>لا</w:t>
            </w:r>
          </w:p>
        </w:tc>
      </w:tr>
    </w:tbl>
    <w:p w14:paraId="09CB713F" w14:textId="35B72999" w:rsidR="00322C40" w:rsidRPr="00322C40" w:rsidRDefault="00322C40" w:rsidP="00047B12">
      <w:pPr>
        <w:spacing w:before="240"/>
        <w:rPr>
          <w:spacing w:val="-2"/>
          <w:rtl/>
        </w:rPr>
      </w:pPr>
      <w:r w:rsidRPr="00322C40">
        <w:rPr>
          <w:spacing w:val="-2"/>
          <w:rtl/>
        </w:rPr>
        <w:t xml:space="preserve">رابطة صناعة الجيل السادس </w:t>
      </w:r>
      <w:r w:rsidR="00C12D3A" w:rsidRPr="00C12D3A">
        <w:rPr>
          <w:spacing w:val="-2"/>
          <w:szCs w:val="24"/>
        </w:rPr>
        <w:t>(6G-IA)</w:t>
      </w:r>
      <w:r w:rsidRPr="00322C40">
        <w:rPr>
          <w:spacing w:val="-2"/>
          <w:rtl/>
        </w:rPr>
        <w:t xml:space="preserve"> هي رابطة دولية غير ربحية تأسست عام 2013. وتُعرّف الرابطة نفسها بأنها صوت الصناعة والبحث في أوروبا في مجال شبكات وخدمات الجيل القادم. ويتمثل هدفها الرئيسي في المساهمة في ريادة أوروبا في</w:t>
      </w:r>
      <w:r w:rsidR="00C12D3A">
        <w:rPr>
          <w:rFonts w:hint="cs"/>
          <w:spacing w:val="-2"/>
          <w:rtl/>
        </w:rPr>
        <w:t> </w:t>
      </w:r>
      <w:r w:rsidRPr="00322C40">
        <w:rPr>
          <w:spacing w:val="-2"/>
          <w:rtl/>
        </w:rPr>
        <w:t>مجال الجيل الخامس (5</w:t>
      </w:r>
      <w:r w:rsidRPr="00322C40">
        <w:rPr>
          <w:spacing w:val="-2"/>
          <w:lang w:bidi="ar-EG"/>
        </w:rPr>
        <w:t>G</w:t>
      </w:r>
      <w:r w:rsidRPr="00322C40">
        <w:rPr>
          <w:spacing w:val="-2"/>
          <w:rtl/>
        </w:rPr>
        <w:t>) وتطويره، بالإضافة إلى أبحاث</w:t>
      </w:r>
      <w:r w:rsidRPr="00322C40">
        <w:rPr>
          <w:spacing w:val="-2"/>
          <w:rtl/>
          <w:lang w:bidi="ar-SY"/>
        </w:rPr>
        <w:t xml:space="preserve"> الشبكات والخدمات الذكية/</w:t>
      </w:r>
      <w:r w:rsidRPr="00322C40">
        <w:rPr>
          <w:spacing w:val="-2"/>
          <w:rtl/>
        </w:rPr>
        <w:t>الجيل السادس (</w:t>
      </w:r>
      <w:r w:rsidRPr="00322C40">
        <w:rPr>
          <w:spacing w:val="-2"/>
          <w:lang w:bidi="ar-EG"/>
        </w:rPr>
        <w:t>SNS/6G</w:t>
      </w:r>
      <w:r w:rsidRPr="00322C40">
        <w:rPr>
          <w:spacing w:val="-2"/>
          <w:rtl/>
        </w:rPr>
        <w:t>).</w:t>
      </w:r>
    </w:p>
    <w:p w14:paraId="5CC438C7" w14:textId="57AA6DB3" w:rsidR="00322C40" w:rsidRPr="00047B12" w:rsidRDefault="00322C40" w:rsidP="00322C40">
      <w:pPr>
        <w:rPr>
          <w:spacing w:val="-4"/>
          <w:rtl/>
        </w:rPr>
      </w:pPr>
      <w:r w:rsidRPr="00047B12">
        <w:rPr>
          <w:spacing w:val="-4"/>
          <w:rtl/>
        </w:rPr>
        <w:t xml:space="preserve">وتجمع رابطة صناعة الجيل السادس </w:t>
      </w:r>
      <w:r w:rsidR="00C12D3A" w:rsidRPr="00047B12">
        <w:rPr>
          <w:spacing w:val="-4"/>
          <w:szCs w:val="24"/>
        </w:rPr>
        <w:t>(6G-IA)</w:t>
      </w:r>
      <w:r w:rsidRPr="00047B12">
        <w:rPr>
          <w:spacing w:val="-4"/>
          <w:rtl/>
        </w:rPr>
        <w:t xml:space="preserve"> مجتمعاً عالمياً من الجهات الفاعلة في قطاع الاتصالات والتكنولوجيا الرقمية، مثل مشغلي الاتصالات، والمصنعين، ومعاهد البحوث، والجامعات، والشركات المتخصصة، والشركات الصغيرة والمتوسطة، وجمعيات تكنولوجيا المعلومات والاتصالات.</w:t>
      </w:r>
    </w:p>
    <w:p w14:paraId="6EC321A7" w14:textId="77777777" w:rsidR="00322C40" w:rsidRPr="00322C40" w:rsidRDefault="00322C40" w:rsidP="00322C40">
      <w:pPr>
        <w:rPr>
          <w:rtl/>
        </w:rPr>
      </w:pPr>
      <w:r w:rsidRPr="00322C40">
        <w:rPr>
          <w:rtl/>
        </w:rPr>
        <w:t>وتضطلع الرابطة بمجموعة واسعة من الأنشطة في مجالات استراتيجية، تشمل تحديد أولويات الاتحاد الأوروبي في مجال التكنولوجيا الرقمية، والتقييس، وطيف الترددات، ومشاريع البحث والتطوير، والمهارات التقنية، والتعاون مع القطاعات الصناعية الرئيسية، لا سيما في مجال التطوير التجريبي، والتعاون الدولي.</w:t>
      </w:r>
    </w:p>
    <w:p w14:paraId="4EEEEB12" w14:textId="63CF42BF" w:rsidR="00322C40" w:rsidRPr="00322C40" w:rsidRDefault="00322C40" w:rsidP="00C12D3A">
      <w:pPr>
        <w:pageBreakBefore/>
        <w:rPr>
          <w:rtl/>
        </w:rPr>
      </w:pPr>
      <w:r w:rsidRPr="00322C40">
        <w:rPr>
          <w:rtl/>
        </w:rPr>
        <w:t>وترى الأمانة أن هذا الكيان لا يستوفي معايير العضوية التالية التي وضعها المجلس للإعفاء من الرسوم: "أن يكون منظمة غير ربحية معترف بها قانوناً، وتمثل أعضاءً لا يسعون إلى الربح"، نظراً لأن أعضاءه هم في الغالب كيانات ربحية.</w:t>
      </w:r>
    </w:p>
    <w:p w14:paraId="172A37F3"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5"/>
      <w:headerReference w:type="first" r:id="rId16"/>
      <w:footerReference w:type="first" r:id="rId17"/>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FAED" w14:textId="77777777" w:rsidR="00254D63" w:rsidRDefault="00254D63" w:rsidP="006C3242">
      <w:pPr>
        <w:spacing w:before="0" w:line="240" w:lineRule="auto"/>
      </w:pPr>
      <w:r>
        <w:separator/>
      </w:r>
    </w:p>
  </w:endnote>
  <w:endnote w:type="continuationSeparator" w:id="0">
    <w:p w14:paraId="372ED4AD" w14:textId="77777777" w:rsidR="00254D63" w:rsidRDefault="00254D6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3F59F8A9" w14:textId="77777777" w:rsidTr="00A67F05">
      <w:trPr>
        <w:jc w:val="center"/>
      </w:trPr>
      <w:tc>
        <w:tcPr>
          <w:tcW w:w="868" w:type="pct"/>
          <w:vAlign w:val="center"/>
        </w:tcPr>
        <w:p w14:paraId="107C7D10" w14:textId="2DBB2922" w:rsidR="00F50E3F" w:rsidRPr="007B0AA0" w:rsidRDefault="00C12D3A"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C12D3A">
            <w:rPr>
              <w:rFonts w:ascii="Calibri" w:hAnsi="Calibri" w:cs="Arial"/>
              <w:sz w:val="18"/>
              <w:szCs w:val="14"/>
            </w:rPr>
            <w:t>2600704</w:t>
          </w:r>
        </w:p>
      </w:tc>
      <w:tc>
        <w:tcPr>
          <w:tcW w:w="3912" w:type="pct"/>
        </w:tcPr>
        <w:p w14:paraId="12D67E65" w14:textId="783D69F2"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C12D3A">
            <w:rPr>
              <w:rFonts w:ascii="Calibri" w:hAnsi="Calibri" w:cs="Arial"/>
              <w:bCs/>
              <w:color w:val="7F7F7F"/>
              <w:sz w:val="18"/>
            </w:rPr>
            <w:t>56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9BBA948"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9A54C80"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D123212" w14:textId="77777777" w:rsidTr="00A67F05">
      <w:trPr>
        <w:jc w:val="center"/>
      </w:trPr>
      <w:tc>
        <w:tcPr>
          <w:tcW w:w="1013" w:type="pct"/>
          <w:vAlign w:val="center"/>
        </w:tcPr>
        <w:p w14:paraId="45D4FD84"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170E8780" w14:textId="428C22FF"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322C40">
            <w:rPr>
              <w:rFonts w:ascii="Calibri" w:hAnsi="Calibri" w:cs="Arial"/>
              <w:bCs/>
              <w:color w:val="7F7F7F"/>
              <w:sz w:val="18"/>
            </w:rPr>
            <w:t>56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370E51C"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E17C0A4"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7A7D" w14:textId="77777777" w:rsidR="00254D63" w:rsidRDefault="00254D63" w:rsidP="006C3242">
      <w:pPr>
        <w:spacing w:before="0" w:line="240" w:lineRule="auto"/>
      </w:pPr>
      <w:r>
        <w:separator/>
      </w:r>
    </w:p>
  </w:footnote>
  <w:footnote w:type="continuationSeparator" w:id="0">
    <w:p w14:paraId="54F215AD" w14:textId="77777777" w:rsidR="00254D63" w:rsidRDefault="00254D6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5473" w14:textId="77777777" w:rsidR="001A3E13" w:rsidRPr="00057769" w:rsidRDefault="001A3E13" w:rsidP="001A3E13">
    <w:pPr>
      <w:pStyle w:val="Header"/>
    </w:pPr>
    <w:r>
      <w:rPr>
        <w:noProof/>
      </w:rPr>
      <w:drawing>
        <wp:inline distT="0" distB="0" distL="0" distR="0" wp14:anchorId="74EC5F37" wp14:editId="2B0DC634">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4335661">
    <w:abstractNumId w:val="9"/>
  </w:num>
  <w:num w:numId="2" w16cid:durableId="631012551">
    <w:abstractNumId w:val="7"/>
  </w:num>
  <w:num w:numId="3" w16cid:durableId="2106684867">
    <w:abstractNumId w:val="6"/>
  </w:num>
  <w:num w:numId="4" w16cid:durableId="1644507792">
    <w:abstractNumId w:val="5"/>
  </w:num>
  <w:num w:numId="5" w16cid:durableId="882405341">
    <w:abstractNumId w:val="4"/>
  </w:num>
  <w:num w:numId="6" w16cid:durableId="187106969">
    <w:abstractNumId w:val="8"/>
  </w:num>
  <w:num w:numId="7" w16cid:durableId="1320381781">
    <w:abstractNumId w:val="3"/>
  </w:num>
  <w:num w:numId="8" w16cid:durableId="1164784767">
    <w:abstractNumId w:val="2"/>
  </w:num>
  <w:num w:numId="9" w16cid:durableId="1694569427">
    <w:abstractNumId w:val="1"/>
  </w:num>
  <w:num w:numId="10" w16cid:durableId="611404355">
    <w:abstractNumId w:val="0"/>
  </w:num>
  <w:num w:numId="11" w16cid:durableId="1118260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40"/>
    <w:rsid w:val="000116AF"/>
    <w:rsid w:val="00030B15"/>
    <w:rsid w:val="00047B12"/>
    <w:rsid w:val="0006158E"/>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15576"/>
    <w:rsid w:val="002276D2"/>
    <w:rsid w:val="0023283D"/>
    <w:rsid w:val="00254393"/>
    <w:rsid w:val="00254D63"/>
    <w:rsid w:val="0026373E"/>
    <w:rsid w:val="00271C43"/>
    <w:rsid w:val="00290728"/>
    <w:rsid w:val="002978F4"/>
    <w:rsid w:val="002A6D49"/>
    <w:rsid w:val="002B028D"/>
    <w:rsid w:val="002C3F32"/>
    <w:rsid w:val="002E6541"/>
    <w:rsid w:val="00322C40"/>
    <w:rsid w:val="00334924"/>
    <w:rsid w:val="003409BC"/>
    <w:rsid w:val="00357185"/>
    <w:rsid w:val="00383829"/>
    <w:rsid w:val="00387DE6"/>
    <w:rsid w:val="003F4B29"/>
    <w:rsid w:val="00410B26"/>
    <w:rsid w:val="00420F8A"/>
    <w:rsid w:val="0042686F"/>
    <w:rsid w:val="004317D8"/>
    <w:rsid w:val="0043260A"/>
    <w:rsid w:val="00434183"/>
    <w:rsid w:val="00443869"/>
    <w:rsid w:val="00447F32"/>
    <w:rsid w:val="00491BA9"/>
    <w:rsid w:val="00494119"/>
    <w:rsid w:val="004A4701"/>
    <w:rsid w:val="004B7334"/>
    <w:rsid w:val="004B7610"/>
    <w:rsid w:val="004E11DC"/>
    <w:rsid w:val="005130DE"/>
    <w:rsid w:val="00513157"/>
    <w:rsid w:val="00525DDD"/>
    <w:rsid w:val="005409AC"/>
    <w:rsid w:val="005434E0"/>
    <w:rsid w:val="005546CF"/>
    <w:rsid w:val="0055516A"/>
    <w:rsid w:val="005605A9"/>
    <w:rsid w:val="0058491B"/>
    <w:rsid w:val="00592EA5"/>
    <w:rsid w:val="005A3170"/>
    <w:rsid w:val="005F466D"/>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637F"/>
    <w:rsid w:val="0093725D"/>
    <w:rsid w:val="0094021C"/>
    <w:rsid w:val="00950A74"/>
    <w:rsid w:val="00952F86"/>
    <w:rsid w:val="0096716C"/>
    <w:rsid w:val="00982B28"/>
    <w:rsid w:val="009868AC"/>
    <w:rsid w:val="009D313F"/>
    <w:rsid w:val="00A47A5A"/>
    <w:rsid w:val="00A63AE6"/>
    <w:rsid w:val="00A6683B"/>
    <w:rsid w:val="00A67F05"/>
    <w:rsid w:val="00A961F3"/>
    <w:rsid w:val="00A97F94"/>
    <w:rsid w:val="00AA7EA2"/>
    <w:rsid w:val="00AB1CCF"/>
    <w:rsid w:val="00AB5A56"/>
    <w:rsid w:val="00AE21C6"/>
    <w:rsid w:val="00B03099"/>
    <w:rsid w:val="00B05BC8"/>
    <w:rsid w:val="00B30F5E"/>
    <w:rsid w:val="00B42E11"/>
    <w:rsid w:val="00B64B47"/>
    <w:rsid w:val="00B95654"/>
    <w:rsid w:val="00B97F32"/>
    <w:rsid w:val="00BA04B2"/>
    <w:rsid w:val="00C002DE"/>
    <w:rsid w:val="00C0602B"/>
    <w:rsid w:val="00C12D3A"/>
    <w:rsid w:val="00C224DA"/>
    <w:rsid w:val="00C53BF8"/>
    <w:rsid w:val="00C66157"/>
    <w:rsid w:val="00C674FE"/>
    <w:rsid w:val="00C67501"/>
    <w:rsid w:val="00C75633"/>
    <w:rsid w:val="00CB1D33"/>
    <w:rsid w:val="00CE2EE1"/>
    <w:rsid w:val="00CE3349"/>
    <w:rsid w:val="00CE36E5"/>
    <w:rsid w:val="00CE4360"/>
    <w:rsid w:val="00CF27F5"/>
    <w:rsid w:val="00CF3FFD"/>
    <w:rsid w:val="00D10CCF"/>
    <w:rsid w:val="00D13941"/>
    <w:rsid w:val="00D23F5F"/>
    <w:rsid w:val="00D43F7D"/>
    <w:rsid w:val="00D474C8"/>
    <w:rsid w:val="00D63735"/>
    <w:rsid w:val="00D77D0F"/>
    <w:rsid w:val="00DA1CF0"/>
    <w:rsid w:val="00DA6A30"/>
    <w:rsid w:val="00DC07FE"/>
    <w:rsid w:val="00DC1E02"/>
    <w:rsid w:val="00DC24B4"/>
    <w:rsid w:val="00DC5FB0"/>
    <w:rsid w:val="00DF16DC"/>
    <w:rsid w:val="00E07703"/>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56431"/>
  <w15:chartTrackingRefBased/>
  <w15:docId w15:val="{9508F469-1CCA-4341-B768-C83CD797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950A74"/>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doc/gs/council/c00/docs/28rev1.html" TargetMode="External"/><Relationship Id="rId13" Type="http://schemas.openxmlformats.org/officeDocument/2006/relationships/hyperlink" Target="https://www.itu.int/hub/membership/our-members/exempted-entit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19-CL-C-0141/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doc/gs/council/c00/docs/28rev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hub/membership/our-members/exempted-enti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19-CL-C-0141/en" TargetMode="External"/><Relationship Id="rId14" Type="http://schemas.openxmlformats.org/officeDocument/2006/relationships/hyperlink" Target="https://www.itu.int/hub/membership/our-members/exempted-entities/exemption-criteri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5864</Characters>
  <Application>Microsoft Office Word</Application>
  <DocSecurity>0</DocSecurity>
  <Lines>83</Lines>
  <Paragraphs>33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requests for exemption from fees for organizations of an international character</dc:title>
  <dc:subject>ITU Council 2026</dc:subject>
  <dc:creator>GBS</dc:creator>
  <cp:keywords>C26; C2026; Council 2026; PP26</cp:keywords>
  <dc:description/>
  <cp:lastModifiedBy>GBS</cp:lastModifiedBy>
  <cp:revision>2</cp:revision>
  <dcterms:created xsi:type="dcterms:W3CDTF">2026-04-26T13:25:00Z</dcterms:created>
  <dcterms:modified xsi:type="dcterms:W3CDTF">2026-04-26T13:25:00Z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