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1A0DF4" w14:paraId="4B4A55EC" w14:textId="77777777" w:rsidTr="00C4421B">
        <w:trPr>
          <w:cantSplit/>
          <w:trHeight w:val="23"/>
        </w:trPr>
        <w:tc>
          <w:tcPr>
            <w:tcW w:w="3969" w:type="dxa"/>
            <w:vMerge w:val="restart"/>
            <w:tcMar>
              <w:left w:w="0" w:type="dxa"/>
            </w:tcMar>
          </w:tcPr>
          <w:p w14:paraId="73C87F38" w14:textId="68CCB52C" w:rsidR="00FE57F6" w:rsidRPr="001A0DF4" w:rsidRDefault="00CC1FAF" w:rsidP="00C4421B">
            <w:pPr>
              <w:tabs>
                <w:tab w:val="left" w:pos="851"/>
              </w:tabs>
              <w:spacing w:before="0" w:line="240" w:lineRule="atLeast"/>
              <w:rPr>
                <w:b/>
                <w:lang w:val="es-ES"/>
              </w:rPr>
            </w:pPr>
            <w:bookmarkStart w:id="0" w:name="_Hlk133421839"/>
            <w:r w:rsidRPr="001A0DF4">
              <w:rPr>
                <w:b/>
                <w:lang w:val="es-ES"/>
              </w:rPr>
              <w:t>Punto del o</w:t>
            </w:r>
            <w:r w:rsidR="00BB6FD8" w:rsidRPr="001A0DF4">
              <w:rPr>
                <w:b/>
                <w:lang w:val="es-ES"/>
              </w:rPr>
              <w:t>rden del día</w:t>
            </w:r>
            <w:r w:rsidR="00FE57F6" w:rsidRPr="001A0DF4">
              <w:rPr>
                <w:b/>
                <w:lang w:val="es-ES"/>
              </w:rPr>
              <w:t xml:space="preserve">: </w:t>
            </w:r>
            <w:r w:rsidR="00113AFA" w:rsidRPr="001A0DF4">
              <w:rPr>
                <w:b/>
                <w:lang w:val="es-ES"/>
              </w:rPr>
              <w:t>PL-1</w:t>
            </w:r>
          </w:p>
        </w:tc>
        <w:tc>
          <w:tcPr>
            <w:tcW w:w="5245" w:type="dxa"/>
          </w:tcPr>
          <w:p w14:paraId="6DC575EF" w14:textId="72AA46C9" w:rsidR="00FE57F6" w:rsidRPr="001A0DF4" w:rsidRDefault="00FE57F6" w:rsidP="00C4421B">
            <w:pPr>
              <w:tabs>
                <w:tab w:val="left" w:pos="851"/>
              </w:tabs>
              <w:spacing w:before="0" w:line="240" w:lineRule="atLeast"/>
              <w:jc w:val="right"/>
              <w:rPr>
                <w:b/>
                <w:lang w:val="es-ES"/>
              </w:rPr>
            </w:pPr>
            <w:r w:rsidRPr="001A0DF4">
              <w:rPr>
                <w:b/>
                <w:lang w:val="es-ES"/>
              </w:rPr>
              <w:t>Document</w:t>
            </w:r>
            <w:r w:rsidR="00F24B71" w:rsidRPr="001A0DF4">
              <w:rPr>
                <w:b/>
                <w:lang w:val="es-ES"/>
              </w:rPr>
              <w:t>o</w:t>
            </w:r>
            <w:r w:rsidRPr="001A0DF4">
              <w:rPr>
                <w:b/>
                <w:lang w:val="es-ES"/>
              </w:rPr>
              <w:t xml:space="preserve"> C2</w:t>
            </w:r>
            <w:r w:rsidR="00F85E5C" w:rsidRPr="001A0DF4">
              <w:rPr>
                <w:b/>
                <w:lang w:val="es-ES"/>
              </w:rPr>
              <w:t>6</w:t>
            </w:r>
            <w:r w:rsidRPr="001A0DF4">
              <w:rPr>
                <w:b/>
                <w:lang w:val="es-ES"/>
              </w:rPr>
              <w:t>/</w:t>
            </w:r>
            <w:r w:rsidR="00113AFA" w:rsidRPr="001A0DF4">
              <w:rPr>
                <w:b/>
                <w:lang w:val="es-ES"/>
              </w:rPr>
              <w:t>55</w:t>
            </w:r>
            <w:r w:rsidRPr="001A0DF4">
              <w:rPr>
                <w:b/>
                <w:lang w:val="es-ES"/>
              </w:rPr>
              <w:t>-</w:t>
            </w:r>
            <w:r w:rsidR="00F24B71" w:rsidRPr="001A0DF4">
              <w:rPr>
                <w:b/>
                <w:lang w:val="es-ES"/>
              </w:rPr>
              <w:t>S</w:t>
            </w:r>
          </w:p>
        </w:tc>
      </w:tr>
      <w:tr w:rsidR="00FE57F6" w:rsidRPr="001A0DF4" w14:paraId="68420252" w14:textId="77777777" w:rsidTr="00C4421B">
        <w:trPr>
          <w:cantSplit/>
        </w:trPr>
        <w:tc>
          <w:tcPr>
            <w:tcW w:w="3969" w:type="dxa"/>
            <w:vMerge/>
          </w:tcPr>
          <w:p w14:paraId="7DCF2190" w14:textId="77777777" w:rsidR="00FE57F6" w:rsidRPr="001A0DF4" w:rsidRDefault="00FE57F6" w:rsidP="00C4421B">
            <w:pPr>
              <w:tabs>
                <w:tab w:val="left" w:pos="851"/>
              </w:tabs>
              <w:spacing w:line="240" w:lineRule="atLeast"/>
              <w:rPr>
                <w:b/>
                <w:lang w:val="es-ES"/>
              </w:rPr>
            </w:pPr>
          </w:p>
        </w:tc>
        <w:tc>
          <w:tcPr>
            <w:tcW w:w="5245" w:type="dxa"/>
          </w:tcPr>
          <w:p w14:paraId="0E47818F" w14:textId="37F34786" w:rsidR="00FE57F6" w:rsidRPr="001A0DF4" w:rsidRDefault="00113AFA" w:rsidP="00C4421B">
            <w:pPr>
              <w:tabs>
                <w:tab w:val="left" w:pos="851"/>
              </w:tabs>
              <w:spacing w:before="0"/>
              <w:jc w:val="right"/>
              <w:rPr>
                <w:b/>
                <w:lang w:val="es-ES"/>
              </w:rPr>
            </w:pPr>
            <w:r w:rsidRPr="001A0DF4">
              <w:rPr>
                <w:b/>
                <w:lang w:val="es-ES"/>
              </w:rPr>
              <w:t>30 de marzo de 2026</w:t>
            </w:r>
          </w:p>
        </w:tc>
      </w:tr>
      <w:tr w:rsidR="00FE57F6" w:rsidRPr="001A0DF4" w14:paraId="6993A645" w14:textId="77777777" w:rsidTr="00C4421B">
        <w:trPr>
          <w:cantSplit/>
          <w:trHeight w:val="23"/>
        </w:trPr>
        <w:tc>
          <w:tcPr>
            <w:tcW w:w="3969" w:type="dxa"/>
            <w:vMerge/>
          </w:tcPr>
          <w:p w14:paraId="475FE68B" w14:textId="77777777" w:rsidR="00FE57F6" w:rsidRPr="001A0DF4" w:rsidRDefault="00FE57F6" w:rsidP="00C4421B">
            <w:pPr>
              <w:tabs>
                <w:tab w:val="left" w:pos="851"/>
              </w:tabs>
              <w:spacing w:line="240" w:lineRule="atLeast"/>
              <w:rPr>
                <w:b/>
                <w:lang w:val="es-ES"/>
              </w:rPr>
            </w:pPr>
          </w:p>
        </w:tc>
        <w:tc>
          <w:tcPr>
            <w:tcW w:w="5245" w:type="dxa"/>
          </w:tcPr>
          <w:p w14:paraId="451C4BC5" w14:textId="77777777" w:rsidR="00FE57F6" w:rsidRPr="001A0DF4" w:rsidRDefault="00F24B71" w:rsidP="00C4421B">
            <w:pPr>
              <w:tabs>
                <w:tab w:val="left" w:pos="851"/>
              </w:tabs>
              <w:spacing w:before="0" w:line="240" w:lineRule="atLeast"/>
              <w:jc w:val="right"/>
              <w:rPr>
                <w:b/>
                <w:bCs/>
                <w:lang w:val="es-ES"/>
              </w:rPr>
            </w:pPr>
            <w:r w:rsidRPr="001A0DF4">
              <w:rPr>
                <w:rFonts w:cstheme="minorHAnsi"/>
                <w:b/>
                <w:bCs/>
                <w:lang w:val="es-ES"/>
              </w:rPr>
              <w:t>Original: inglés</w:t>
            </w:r>
          </w:p>
        </w:tc>
      </w:tr>
      <w:tr w:rsidR="00FE57F6" w:rsidRPr="001A0DF4" w14:paraId="03D578ED" w14:textId="77777777" w:rsidTr="00C4421B">
        <w:trPr>
          <w:cantSplit/>
          <w:trHeight w:val="23"/>
        </w:trPr>
        <w:tc>
          <w:tcPr>
            <w:tcW w:w="3969" w:type="dxa"/>
          </w:tcPr>
          <w:p w14:paraId="605E9FDF" w14:textId="77777777" w:rsidR="00FE57F6" w:rsidRPr="001A0DF4" w:rsidRDefault="00FE57F6" w:rsidP="00C4421B">
            <w:pPr>
              <w:tabs>
                <w:tab w:val="left" w:pos="851"/>
              </w:tabs>
              <w:spacing w:line="240" w:lineRule="atLeast"/>
              <w:rPr>
                <w:b/>
                <w:lang w:val="es-ES"/>
              </w:rPr>
            </w:pPr>
          </w:p>
        </w:tc>
        <w:tc>
          <w:tcPr>
            <w:tcW w:w="5245" w:type="dxa"/>
          </w:tcPr>
          <w:p w14:paraId="2928230D" w14:textId="77777777" w:rsidR="00FE57F6" w:rsidRPr="001A0DF4" w:rsidRDefault="00FE57F6" w:rsidP="00C4421B">
            <w:pPr>
              <w:tabs>
                <w:tab w:val="left" w:pos="851"/>
              </w:tabs>
              <w:spacing w:before="0" w:line="240" w:lineRule="atLeast"/>
              <w:jc w:val="right"/>
              <w:rPr>
                <w:b/>
                <w:lang w:val="es-ES"/>
              </w:rPr>
            </w:pPr>
          </w:p>
        </w:tc>
      </w:tr>
      <w:tr w:rsidR="00FE57F6" w:rsidRPr="00ED4411" w14:paraId="47FB6C76" w14:textId="77777777" w:rsidTr="00C4421B">
        <w:trPr>
          <w:cantSplit/>
        </w:trPr>
        <w:tc>
          <w:tcPr>
            <w:tcW w:w="9214" w:type="dxa"/>
            <w:gridSpan w:val="2"/>
            <w:tcMar>
              <w:left w:w="0" w:type="dxa"/>
            </w:tcMar>
          </w:tcPr>
          <w:p w14:paraId="2F8CCF5A" w14:textId="77777777" w:rsidR="00FE57F6" w:rsidRPr="001A0DF4" w:rsidRDefault="00157AC4" w:rsidP="00ED4411">
            <w:pPr>
              <w:pStyle w:val="Source"/>
              <w:framePr w:hSpace="0" w:wrap="auto" w:vAnchor="margin" w:hAnchor="text" w:xAlign="left" w:yAlign="inline"/>
            </w:pPr>
            <w:r w:rsidRPr="00ED4411">
              <w:t>Informe</w:t>
            </w:r>
            <w:r w:rsidRPr="001A0DF4">
              <w:t xml:space="preserve"> de la Secretaria General</w:t>
            </w:r>
          </w:p>
        </w:tc>
      </w:tr>
      <w:tr w:rsidR="00FE57F6" w:rsidRPr="00ED4411" w14:paraId="365C30DD" w14:textId="77777777" w:rsidTr="00C4421B">
        <w:trPr>
          <w:cantSplit/>
        </w:trPr>
        <w:tc>
          <w:tcPr>
            <w:tcW w:w="9214" w:type="dxa"/>
            <w:gridSpan w:val="2"/>
            <w:tcMar>
              <w:left w:w="0" w:type="dxa"/>
            </w:tcMar>
          </w:tcPr>
          <w:p w14:paraId="137CD09F" w14:textId="5F6D86E3" w:rsidR="00FE57F6" w:rsidRPr="001A0DF4" w:rsidRDefault="00CC5349" w:rsidP="00C4421B">
            <w:pPr>
              <w:pStyle w:val="Subtitle"/>
              <w:framePr w:hSpace="0" w:wrap="auto" w:hAnchor="text" w:xAlign="left" w:yAlign="inline"/>
              <w:rPr>
                <w:lang w:val="es-ES"/>
              </w:rPr>
            </w:pPr>
            <w:r w:rsidRPr="001A0DF4">
              <w:rPr>
                <w:lang w:val="es-ES"/>
              </w:rPr>
              <w:t>NOVEDADES SOBRE LA TRANSFORMACIÓN DE LA UIT – CREAR UNA UIT EFICIENTE, ÁGIL Y ADAPTADA AL FUTURO</w:t>
            </w:r>
          </w:p>
        </w:tc>
      </w:tr>
      <w:tr w:rsidR="00FE57F6" w:rsidRPr="00ED4411" w14:paraId="65AB9210" w14:textId="77777777" w:rsidTr="00C4421B">
        <w:trPr>
          <w:cantSplit/>
        </w:trPr>
        <w:tc>
          <w:tcPr>
            <w:tcW w:w="9214" w:type="dxa"/>
            <w:gridSpan w:val="2"/>
            <w:tcBorders>
              <w:top w:val="single" w:sz="4" w:space="0" w:color="auto"/>
              <w:bottom w:val="single" w:sz="4" w:space="0" w:color="auto"/>
            </w:tcBorders>
            <w:tcMar>
              <w:left w:w="0" w:type="dxa"/>
            </w:tcMar>
          </w:tcPr>
          <w:p w14:paraId="09CB649B" w14:textId="77777777" w:rsidR="00FE57F6" w:rsidRPr="001A0DF4" w:rsidRDefault="00F24B71" w:rsidP="00C4421B">
            <w:pPr>
              <w:spacing w:before="160"/>
              <w:rPr>
                <w:b/>
                <w:bCs/>
                <w:sz w:val="26"/>
                <w:szCs w:val="26"/>
                <w:lang w:val="es-ES"/>
              </w:rPr>
            </w:pPr>
            <w:r w:rsidRPr="001A0DF4">
              <w:rPr>
                <w:b/>
                <w:bCs/>
                <w:sz w:val="26"/>
                <w:szCs w:val="26"/>
                <w:lang w:val="es-ES"/>
              </w:rPr>
              <w:t>Finalidad</w:t>
            </w:r>
          </w:p>
          <w:p w14:paraId="5ADF4B60" w14:textId="1ACD2AF8" w:rsidR="00FE57F6" w:rsidRPr="001A0DF4" w:rsidRDefault="00113AFA" w:rsidP="00CC5349">
            <w:pPr>
              <w:jc w:val="both"/>
              <w:rPr>
                <w:lang w:val="es-ES"/>
              </w:rPr>
            </w:pPr>
            <w:r w:rsidRPr="001A0DF4">
              <w:rPr>
                <w:lang w:val="es-ES"/>
              </w:rPr>
              <w:t>En este documento se da cuenta de los esfuerzos que invierte la Secretaría General para la transformación de la UIT a fin de lograr la excelencia institucional y modernizar los servicios prestados a las Oficinas y los Miembros.</w:t>
            </w:r>
          </w:p>
          <w:p w14:paraId="435B7D23" w14:textId="77777777" w:rsidR="00FE57F6" w:rsidRPr="001A0DF4" w:rsidRDefault="00F24B71" w:rsidP="00C4421B">
            <w:pPr>
              <w:spacing w:before="160"/>
              <w:rPr>
                <w:b/>
                <w:bCs/>
                <w:sz w:val="26"/>
                <w:szCs w:val="26"/>
                <w:lang w:val="es-ES"/>
              </w:rPr>
            </w:pPr>
            <w:r w:rsidRPr="001A0DF4">
              <w:rPr>
                <w:b/>
                <w:bCs/>
                <w:sz w:val="26"/>
                <w:szCs w:val="26"/>
                <w:lang w:val="es-ES"/>
              </w:rPr>
              <w:t xml:space="preserve">Acción solicitada </w:t>
            </w:r>
            <w:r w:rsidR="00677A97" w:rsidRPr="001A0DF4">
              <w:rPr>
                <w:b/>
                <w:bCs/>
                <w:sz w:val="26"/>
                <w:szCs w:val="26"/>
                <w:lang w:val="es-ES"/>
              </w:rPr>
              <w:t>al</w:t>
            </w:r>
            <w:r w:rsidRPr="001A0DF4">
              <w:rPr>
                <w:b/>
                <w:bCs/>
                <w:sz w:val="26"/>
                <w:szCs w:val="26"/>
                <w:lang w:val="es-ES"/>
              </w:rPr>
              <w:t xml:space="preserve"> Consejo</w:t>
            </w:r>
          </w:p>
          <w:p w14:paraId="27DC8AB2" w14:textId="17B96948" w:rsidR="00F92BED" w:rsidRPr="001A0DF4" w:rsidRDefault="00113AFA" w:rsidP="00C4421B">
            <w:pPr>
              <w:spacing w:before="160"/>
              <w:rPr>
                <w:szCs w:val="24"/>
                <w:lang w:val="es-ES"/>
              </w:rPr>
            </w:pPr>
            <w:r w:rsidRPr="001A0DF4">
              <w:rPr>
                <w:szCs w:val="24"/>
                <w:lang w:val="es-ES"/>
              </w:rPr>
              <w:t xml:space="preserve">Se invita al Consejo a </w:t>
            </w:r>
            <w:r w:rsidRPr="001A0DF4">
              <w:rPr>
                <w:b/>
                <w:bCs/>
                <w:szCs w:val="24"/>
                <w:lang w:val="es-ES"/>
              </w:rPr>
              <w:t>tomar nota</w:t>
            </w:r>
            <w:r w:rsidRPr="001A0DF4">
              <w:rPr>
                <w:szCs w:val="24"/>
                <w:lang w:val="es-ES"/>
              </w:rPr>
              <w:t xml:space="preserve"> de los progresos realizados hasta la fecha.</w:t>
            </w:r>
          </w:p>
          <w:p w14:paraId="52C1A67B" w14:textId="77777777" w:rsidR="00F92BED" w:rsidRPr="001A0DF4" w:rsidRDefault="00F92BED" w:rsidP="00C4421B">
            <w:pPr>
              <w:spacing w:before="160"/>
              <w:rPr>
                <w:b/>
                <w:bCs/>
                <w:sz w:val="26"/>
                <w:szCs w:val="26"/>
                <w:lang w:val="es-ES"/>
              </w:rPr>
            </w:pPr>
            <w:r w:rsidRPr="001A0DF4">
              <w:rPr>
                <w:b/>
                <w:bCs/>
                <w:sz w:val="26"/>
                <w:szCs w:val="26"/>
                <w:lang w:val="es-ES"/>
              </w:rPr>
              <w:t>Vínculo(s) pertinente(s) con el Plan Estratégico</w:t>
            </w:r>
          </w:p>
          <w:p w14:paraId="6A1C9206" w14:textId="549DEAAA" w:rsidR="00F92BED" w:rsidRPr="001A0DF4" w:rsidRDefault="00113AFA" w:rsidP="00C4421B">
            <w:pPr>
              <w:rPr>
                <w:lang w:val="es-ES"/>
              </w:rPr>
            </w:pPr>
            <w:r w:rsidRPr="001A0DF4">
              <w:rPr>
                <w:lang w:val="es-ES"/>
              </w:rPr>
              <w:t>Excelencia en materia de recursos humanos e innovación institucional.</w:t>
            </w:r>
          </w:p>
          <w:p w14:paraId="651AEC1C" w14:textId="77777777" w:rsidR="00F92BED" w:rsidRPr="001A0DF4" w:rsidRDefault="00F92BED" w:rsidP="00C4421B">
            <w:pPr>
              <w:spacing w:before="160"/>
              <w:rPr>
                <w:b/>
                <w:bCs/>
                <w:sz w:val="26"/>
                <w:szCs w:val="26"/>
                <w:lang w:val="es-ES"/>
              </w:rPr>
            </w:pPr>
            <w:r w:rsidRPr="001A0DF4">
              <w:rPr>
                <w:b/>
                <w:bCs/>
                <w:sz w:val="26"/>
                <w:szCs w:val="26"/>
                <w:lang w:val="es-ES"/>
              </w:rPr>
              <w:t>Repercusiones financieras</w:t>
            </w:r>
          </w:p>
          <w:p w14:paraId="54E0D8A5" w14:textId="60D94175" w:rsidR="00F92BED" w:rsidRPr="001A0DF4" w:rsidRDefault="00113AFA" w:rsidP="00CC5349">
            <w:pPr>
              <w:jc w:val="both"/>
              <w:rPr>
                <w:lang w:val="es-ES"/>
              </w:rPr>
            </w:pPr>
            <w:r w:rsidRPr="001A0DF4">
              <w:rPr>
                <w:lang w:val="es-ES"/>
              </w:rPr>
              <w:t>Inversión aprobada por el Consejo de 1,6 millones CHF procedentes de los ahorros de 2023 y</w:t>
            </w:r>
            <w:r w:rsidR="001A0DF4">
              <w:rPr>
                <w:lang w:val="es-ES"/>
              </w:rPr>
              <w:t> </w:t>
            </w:r>
            <w:r w:rsidRPr="001A0DF4">
              <w:rPr>
                <w:lang w:val="es-ES"/>
              </w:rPr>
              <w:t xml:space="preserve">2024 en los esfuerzos de implementación de la transformación. En el Documento </w:t>
            </w:r>
            <w:hyperlink r:id="rId6" w:history="1">
              <w:proofErr w:type="spellStart"/>
              <w:r w:rsidRPr="001A0DF4">
                <w:rPr>
                  <w:rStyle w:val="Hyperlink"/>
                  <w:rFonts w:eastAsia="Times New Roman" w:cs="Times New Roman"/>
                  <w:szCs w:val="20"/>
                  <w:lang w:val="es-ES"/>
                </w:rPr>
                <w:t>C26</w:t>
              </w:r>
              <w:proofErr w:type="spellEnd"/>
              <w:r w:rsidRPr="001A0DF4">
                <w:rPr>
                  <w:rStyle w:val="Hyperlink"/>
                  <w:rFonts w:eastAsia="Times New Roman" w:cs="Times New Roman"/>
                  <w:szCs w:val="20"/>
                  <w:lang w:val="es-ES"/>
                </w:rPr>
                <w:t>/42</w:t>
              </w:r>
            </w:hyperlink>
            <w:r w:rsidRPr="001A0DF4">
              <w:rPr>
                <w:lang w:val="es-ES"/>
              </w:rPr>
              <w:t xml:space="preserve"> se propone utilizar los ahorros de 2025 para efectuar inversiones adicionales.</w:t>
            </w:r>
          </w:p>
          <w:p w14:paraId="50E4100D" w14:textId="77777777" w:rsidR="00FE57F6" w:rsidRPr="001A0DF4" w:rsidRDefault="00FE57F6" w:rsidP="00C4421B">
            <w:pPr>
              <w:spacing w:before="160"/>
              <w:rPr>
                <w:caps/>
                <w:sz w:val="22"/>
                <w:lang w:val="es-ES"/>
              </w:rPr>
            </w:pPr>
            <w:r w:rsidRPr="001A0DF4">
              <w:rPr>
                <w:sz w:val="22"/>
                <w:lang w:val="es-ES"/>
              </w:rPr>
              <w:t>__________________</w:t>
            </w:r>
          </w:p>
          <w:p w14:paraId="5848A1F5" w14:textId="77777777" w:rsidR="00FE57F6" w:rsidRPr="001A0DF4" w:rsidRDefault="00F24B71" w:rsidP="00C4421B">
            <w:pPr>
              <w:spacing w:before="160"/>
              <w:rPr>
                <w:b/>
                <w:bCs/>
                <w:sz w:val="26"/>
                <w:szCs w:val="26"/>
                <w:lang w:val="es-ES"/>
              </w:rPr>
            </w:pPr>
            <w:r w:rsidRPr="001A0DF4">
              <w:rPr>
                <w:b/>
                <w:bCs/>
                <w:sz w:val="26"/>
                <w:szCs w:val="26"/>
                <w:lang w:val="es-ES"/>
              </w:rPr>
              <w:t>Referencia</w:t>
            </w:r>
            <w:r w:rsidR="00F92BED" w:rsidRPr="001A0DF4">
              <w:rPr>
                <w:b/>
                <w:bCs/>
                <w:sz w:val="26"/>
                <w:szCs w:val="26"/>
                <w:lang w:val="es-ES"/>
              </w:rPr>
              <w:t>s</w:t>
            </w:r>
            <w:r w:rsidR="00D375E0" w:rsidRPr="001A0DF4">
              <w:rPr>
                <w:sz w:val="26"/>
                <w:szCs w:val="26"/>
                <w:lang w:val="es-ES"/>
              </w:rPr>
              <w:t xml:space="preserve"> </w:t>
            </w:r>
          </w:p>
          <w:p w14:paraId="757A08AC" w14:textId="57907902" w:rsidR="00FE57F6" w:rsidRPr="00CC5349" w:rsidRDefault="00113AFA" w:rsidP="00C4421B">
            <w:pPr>
              <w:spacing w:after="160"/>
              <w:rPr>
                <w:i/>
                <w:iCs/>
                <w:sz w:val="22"/>
                <w:szCs w:val="22"/>
                <w:lang w:val="es-ES"/>
              </w:rPr>
            </w:pPr>
            <w:hyperlink r:id="rId7" w:history="1">
              <w:r w:rsidR="00CC5349" w:rsidRPr="00CC5349">
                <w:rPr>
                  <w:rStyle w:val="Hyperlink"/>
                  <w:rFonts w:eastAsia="Times New Roman" w:cs="Times New Roman"/>
                  <w:i/>
                  <w:iCs/>
                  <w:sz w:val="22"/>
                  <w:lang w:val="es-ES"/>
                </w:rPr>
                <w:t>S</w:t>
              </w:r>
              <w:r w:rsidRPr="00CC5349">
                <w:rPr>
                  <w:rStyle w:val="Hyperlink"/>
                  <w:rFonts w:eastAsia="Times New Roman" w:cs="Times New Roman"/>
                  <w:i/>
                  <w:iCs/>
                  <w:sz w:val="22"/>
                  <w:lang w:val="es-ES"/>
                </w:rPr>
                <w:t xml:space="preserve">itio web del </w:t>
              </w:r>
              <w:proofErr w:type="spellStart"/>
              <w:r w:rsidRPr="00CC5349">
                <w:rPr>
                  <w:rStyle w:val="Hyperlink"/>
                  <w:rFonts w:eastAsia="Times New Roman" w:cs="Times New Roman"/>
                  <w:i/>
                  <w:iCs/>
                  <w:sz w:val="22"/>
                  <w:lang w:val="es-ES"/>
                </w:rPr>
                <w:t>GTC-RHF</w:t>
              </w:r>
              <w:proofErr w:type="spellEnd"/>
            </w:hyperlink>
            <w:r w:rsidRPr="00CC5349">
              <w:rPr>
                <w:i/>
                <w:iCs/>
                <w:sz w:val="22"/>
                <w:szCs w:val="22"/>
                <w:lang w:val="es-ES"/>
              </w:rPr>
              <w:t xml:space="preserve">; Documentos </w:t>
            </w:r>
            <w:hyperlink r:id="rId8" w:history="1">
              <w:proofErr w:type="spellStart"/>
              <w:r w:rsidRPr="00CC5349">
                <w:rPr>
                  <w:rStyle w:val="Hyperlink"/>
                  <w:rFonts w:eastAsia="Times New Roman" w:cs="Times New Roman"/>
                  <w:i/>
                  <w:iCs/>
                  <w:sz w:val="22"/>
                  <w:lang w:val="es-ES"/>
                </w:rPr>
                <w:t>C20</w:t>
              </w:r>
              <w:proofErr w:type="spellEnd"/>
              <w:r w:rsidRPr="00CC5349">
                <w:rPr>
                  <w:rStyle w:val="Hyperlink"/>
                  <w:rFonts w:eastAsia="Times New Roman" w:cs="Times New Roman"/>
                  <w:i/>
                  <w:iCs/>
                  <w:sz w:val="22"/>
                  <w:lang w:val="es-ES"/>
                </w:rPr>
                <w:t>/61</w:t>
              </w:r>
            </w:hyperlink>
            <w:r w:rsidRPr="00CC5349">
              <w:rPr>
                <w:i/>
                <w:iCs/>
                <w:sz w:val="22"/>
                <w:szCs w:val="22"/>
                <w:lang w:val="es-ES"/>
              </w:rPr>
              <w:t xml:space="preserve">, </w:t>
            </w:r>
            <w:hyperlink r:id="rId9" w:history="1">
              <w:proofErr w:type="spellStart"/>
              <w:r w:rsidRPr="00CC5349">
                <w:rPr>
                  <w:rStyle w:val="Hyperlink"/>
                  <w:rFonts w:eastAsia="Times New Roman" w:cs="Times New Roman"/>
                  <w:i/>
                  <w:iCs/>
                  <w:sz w:val="22"/>
                  <w:lang w:val="es-ES"/>
                </w:rPr>
                <w:t>C20</w:t>
              </w:r>
              <w:proofErr w:type="spellEnd"/>
              <w:r w:rsidRPr="00CC5349">
                <w:rPr>
                  <w:rStyle w:val="Hyperlink"/>
                  <w:rFonts w:eastAsia="Times New Roman" w:cs="Times New Roman"/>
                  <w:i/>
                  <w:iCs/>
                  <w:sz w:val="22"/>
                  <w:lang w:val="es-ES"/>
                </w:rPr>
                <w:t>/74</w:t>
              </w:r>
            </w:hyperlink>
            <w:r w:rsidRPr="00CC5349">
              <w:rPr>
                <w:i/>
                <w:iCs/>
                <w:sz w:val="22"/>
                <w:szCs w:val="22"/>
                <w:lang w:val="es-ES"/>
              </w:rPr>
              <w:t xml:space="preserve">; </w:t>
            </w:r>
            <w:hyperlink r:id="rId10" w:history="1">
              <w:proofErr w:type="spellStart"/>
              <w:r w:rsidRPr="00CC5349">
                <w:rPr>
                  <w:rStyle w:val="Hyperlink"/>
                  <w:rFonts w:eastAsia="Times New Roman" w:cs="Times New Roman"/>
                  <w:i/>
                  <w:iCs/>
                  <w:sz w:val="22"/>
                  <w:lang w:val="es-ES"/>
                </w:rPr>
                <w:t>C21</w:t>
              </w:r>
              <w:proofErr w:type="spellEnd"/>
              <w:r w:rsidRPr="00CC5349">
                <w:rPr>
                  <w:rStyle w:val="Hyperlink"/>
                  <w:rFonts w:eastAsia="Times New Roman" w:cs="Times New Roman"/>
                  <w:i/>
                  <w:iCs/>
                  <w:sz w:val="22"/>
                  <w:lang w:val="es-ES"/>
                </w:rPr>
                <w:t>/INF/15</w:t>
              </w:r>
            </w:hyperlink>
            <w:r w:rsidRPr="00CC5349">
              <w:rPr>
                <w:i/>
                <w:iCs/>
                <w:sz w:val="22"/>
                <w:szCs w:val="22"/>
                <w:lang w:val="es-ES"/>
              </w:rPr>
              <w:t xml:space="preserve">; </w:t>
            </w:r>
            <w:hyperlink r:id="rId11" w:history="1">
              <w:proofErr w:type="spellStart"/>
              <w:r w:rsidRPr="00CC5349">
                <w:rPr>
                  <w:rStyle w:val="Hyperlink"/>
                  <w:rFonts w:eastAsia="Times New Roman" w:cs="Times New Roman"/>
                  <w:i/>
                  <w:iCs/>
                  <w:sz w:val="22"/>
                  <w:lang w:val="es-ES"/>
                </w:rPr>
                <w:t>C22</w:t>
              </w:r>
              <w:proofErr w:type="spellEnd"/>
              <w:r w:rsidRPr="00CC5349">
                <w:rPr>
                  <w:rStyle w:val="Hyperlink"/>
                  <w:rFonts w:eastAsia="Times New Roman" w:cs="Times New Roman"/>
                  <w:i/>
                  <w:iCs/>
                  <w:sz w:val="22"/>
                  <w:lang w:val="es-ES"/>
                </w:rPr>
                <w:t>/INF/13</w:t>
              </w:r>
            </w:hyperlink>
            <w:r w:rsidRPr="00CC5349">
              <w:rPr>
                <w:i/>
                <w:iCs/>
                <w:sz w:val="22"/>
                <w:szCs w:val="22"/>
                <w:lang w:val="es-ES"/>
              </w:rPr>
              <w:t xml:space="preserve">, </w:t>
            </w:r>
            <w:hyperlink r:id="rId12" w:history="1">
              <w:proofErr w:type="spellStart"/>
              <w:r w:rsidRPr="00CC5349">
                <w:rPr>
                  <w:rStyle w:val="Hyperlink"/>
                  <w:rFonts w:eastAsia="Times New Roman" w:cs="Times New Roman"/>
                  <w:i/>
                  <w:iCs/>
                  <w:sz w:val="22"/>
                  <w:lang w:val="es-ES"/>
                </w:rPr>
                <w:t>C22</w:t>
              </w:r>
              <w:proofErr w:type="spellEnd"/>
              <w:r w:rsidRPr="00CC5349">
                <w:rPr>
                  <w:rStyle w:val="Hyperlink"/>
                  <w:rFonts w:eastAsia="Times New Roman" w:cs="Times New Roman"/>
                  <w:i/>
                  <w:iCs/>
                  <w:sz w:val="22"/>
                  <w:lang w:val="es-ES"/>
                </w:rPr>
                <w:t>/40</w:t>
              </w:r>
            </w:hyperlink>
            <w:r w:rsidRPr="00CC5349">
              <w:rPr>
                <w:i/>
                <w:iCs/>
                <w:sz w:val="22"/>
                <w:szCs w:val="22"/>
                <w:lang w:val="es-ES"/>
              </w:rPr>
              <w:t xml:space="preserve">, </w:t>
            </w:r>
            <w:hyperlink r:id="rId13" w:history="1">
              <w:proofErr w:type="spellStart"/>
              <w:r w:rsidRPr="00CC5349">
                <w:rPr>
                  <w:rStyle w:val="Hyperlink"/>
                  <w:rFonts w:eastAsia="Times New Roman" w:cs="Times New Roman"/>
                  <w:i/>
                  <w:iCs/>
                  <w:sz w:val="22"/>
                  <w:lang w:val="es-ES"/>
                </w:rPr>
                <w:t>C22</w:t>
              </w:r>
              <w:proofErr w:type="spellEnd"/>
              <w:r w:rsidRPr="00CC5349">
                <w:rPr>
                  <w:rStyle w:val="Hyperlink"/>
                  <w:rFonts w:eastAsia="Times New Roman" w:cs="Times New Roman"/>
                  <w:i/>
                  <w:iCs/>
                  <w:sz w:val="22"/>
                  <w:lang w:val="es-ES"/>
                </w:rPr>
                <w:t>/57</w:t>
              </w:r>
            </w:hyperlink>
            <w:r w:rsidRPr="00CC5349">
              <w:rPr>
                <w:i/>
                <w:iCs/>
                <w:sz w:val="22"/>
                <w:szCs w:val="22"/>
                <w:lang w:val="es-ES"/>
              </w:rPr>
              <w:t xml:space="preserve">; </w:t>
            </w:r>
            <w:hyperlink r:id="rId14" w:history="1">
              <w:proofErr w:type="spellStart"/>
              <w:r w:rsidRPr="00CC5349">
                <w:rPr>
                  <w:rStyle w:val="Hyperlink"/>
                  <w:rFonts w:eastAsia="Times New Roman" w:cs="Times New Roman"/>
                  <w:i/>
                  <w:iCs/>
                  <w:sz w:val="22"/>
                  <w:lang w:val="es-ES"/>
                </w:rPr>
                <w:t>C23</w:t>
              </w:r>
              <w:proofErr w:type="spellEnd"/>
              <w:r w:rsidRPr="00CC5349">
                <w:rPr>
                  <w:rStyle w:val="Hyperlink"/>
                  <w:rFonts w:eastAsia="Times New Roman" w:cs="Times New Roman"/>
                  <w:i/>
                  <w:iCs/>
                  <w:sz w:val="22"/>
                  <w:lang w:val="es-ES"/>
                </w:rPr>
                <w:t>/36</w:t>
              </w:r>
            </w:hyperlink>
            <w:r w:rsidRPr="00CC5349">
              <w:rPr>
                <w:i/>
                <w:iCs/>
                <w:sz w:val="22"/>
                <w:szCs w:val="22"/>
                <w:lang w:val="es-ES"/>
              </w:rPr>
              <w:t xml:space="preserve">, </w:t>
            </w:r>
            <w:hyperlink r:id="rId15" w:history="1">
              <w:proofErr w:type="spellStart"/>
              <w:r w:rsidRPr="00CC5349">
                <w:rPr>
                  <w:rStyle w:val="Hyperlink"/>
                  <w:rFonts w:eastAsia="Times New Roman" w:cs="Times New Roman"/>
                  <w:i/>
                  <w:iCs/>
                  <w:sz w:val="22"/>
                  <w:lang w:val="es-ES"/>
                </w:rPr>
                <w:t>C23</w:t>
              </w:r>
              <w:proofErr w:type="spellEnd"/>
              <w:r w:rsidRPr="00CC5349">
                <w:rPr>
                  <w:rStyle w:val="Hyperlink"/>
                  <w:rFonts w:eastAsia="Times New Roman" w:cs="Times New Roman"/>
                  <w:i/>
                  <w:iCs/>
                  <w:sz w:val="22"/>
                  <w:lang w:val="es-ES"/>
                </w:rPr>
                <w:t>/50</w:t>
              </w:r>
            </w:hyperlink>
            <w:r w:rsidRPr="00CC5349">
              <w:rPr>
                <w:i/>
                <w:iCs/>
                <w:sz w:val="22"/>
                <w:szCs w:val="22"/>
                <w:lang w:val="es-ES"/>
              </w:rPr>
              <w:t xml:space="preserve">, </w:t>
            </w:r>
            <w:hyperlink r:id="rId16" w:history="1">
              <w:proofErr w:type="spellStart"/>
              <w:r w:rsidRPr="00CC5349">
                <w:rPr>
                  <w:rStyle w:val="Hyperlink"/>
                  <w:rFonts w:eastAsia="Times New Roman" w:cs="Times New Roman"/>
                  <w:i/>
                  <w:iCs/>
                  <w:sz w:val="22"/>
                  <w:lang w:val="es-ES"/>
                </w:rPr>
                <w:t>C23</w:t>
              </w:r>
              <w:proofErr w:type="spellEnd"/>
              <w:r w:rsidRPr="00CC5349">
                <w:rPr>
                  <w:rStyle w:val="Hyperlink"/>
                  <w:rFonts w:eastAsia="Times New Roman" w:cs="Times New Roman"/>
                  <w:i/>
                  <w:iCs/>
                  <w:sz w:val="22"/>
                  <w:lang w:val="es-ES"/>
                </w:rPr>
                <w:t>/62</w:t>
              </w:r>
            </w:hyperlink>
            <w:r w:rsidRPr="00CC5349">
              <w:rPr>
                <w:i/>
                <w:iCs/>
                <w:sz w:val="22"/>
                <w:szCs w:val="22"/>
                <w:lang w:val="es-ES"/>
              </w:rPr>
              <w:t xml:space="preserve">, </w:t>
            </w:r>
            <w:hyperlink r:id="rId17" w:history="1">
              <w:proofErr w:type="spellStart"/>
              <w:r w:rsidRPr="00CC5349">
                <w:rPr>
                  <w:rStyle w:val="Hyperlink"/>
                  <w:rFonts w:eastAsia="Times New Roman" w:cs="Times New Roman"/>
                  <w:i/>
                  <w:iCs/>
                  <w:sz w:val="22"/>
                  <w:lang w:val="es-ES"/>
                </w:rPr>
                <w:t>C23</w:t>
              </w:r>
              <w:proofErr w:type="spellEnd"/>
              <w:r w:rsidRPr="00CC5349">
                <w:rPr>
                  <w:rStyle w:val="Hyperlink"/>
                  <w:rFonts w:eastAsia="Times New Roman" w:cs="Times New Roman"/>
                  <w:i/>
                  <w:iCs/>
                  <w:sz w:val="22"/>
                  <w:lang w:val="es-ES"/>
                </w:rPr>
                <w:t>/INF/11</w:t>
              </w:r>
            </w:hyperlink>
            <w:r w:rsidRPr="00CC5349">
              <w:rPr>
                <w:i/>
                <w:iCs/>
                <w:sz w:val="22"/>
                <w:szCs w:val="22"/>
                <w:lang w:val="es-ES"/>
              </w:rPr>
              <w:t xml:space="preserve">, </w:t>
            </w:r>
            <w:hyperlink r:id="rId18" w:history="1">
              <w:proofErr w:type="spellStart"/>
              <w:r w:rsidRPr="00CC5349">
                <w:rPr>
                  <w:rStyle w:val="Hyperlink"/>
                  <w:rFonts w:eastAsia="Times New Roman" w:cs="Times New Roman"/>
                  <w:i/>
                  <w:iCs/>
                  <w:sz w:val="22"/>
                  <w:lang w:val="es-ES"/>
                </w:rPr>
                <w:t>C23</w:t>
              </w:r>
              <w:proofErr w:type="spellEnd"/>
              <w:r w:rsidRPr="00CC5349">
                <w:rPr>
                  <w:rStyle w:val="Hyperlink"/>
                  <w:rFonts w:eastAsia="Times New Roman" w:cs="Times New Roman"/>
                  <w:i/>
                  <w:iCs/>
                  <w:sz w:val="22"/>
                  <w:lang w:val="es-ES"/>
                </w:rPr>
                <w:t>/INF/13</w:t>
              </w:r>
            </w:hyperlink>
            <w:r w:rsidRPr="00CC5349">
              <w:rPr>
                <w:i/>
                <w:iCs/>
                <w:sz w:val="22"/>
                <w:szCs w:val="22"/>
                <w:lang w:val="es-ES"/>
              </w:rPr>
              <w:t xml:space="preserve">; </w:t>
            </w:r>
            <w:hyperlink r:id="rId19" w:history="1">
              <w:proofErr w:type="spellStart"/>
              <w:r w:rsidRPr="00CC5349">
                <w:rPr>
                  <w:rStyle w:val="Hyperlink"/>
                  <w:rFonts w:eastAsia="Times New Roman" w:cs="Times New Roman"/>
                  <w:i/>
                  <w:iCs/>
                  <w:sz w:val="22"/>
                  <w:lang w:val="es-ES"/>
                </w:rPr>
                <w:t>C24</w:t>
              </w:r>
              <w:proofErr w:type="spellEnd"/>
              <w:r w:rsidRPr="00CC5349">
                <w:rPr>
                  <w:rStyle w:val="Hyperlink"/>
                  <w:rFonts w:eastAsia="Times New Roman" w:cs="Times New Roman"/>
                  <w:i/>
                  <w:iCs/>
                  <w:sz w:val="22"/>
                  <w:lang w:val="es-ES"/>
                </w:rPr>
                <w:t>/19</w:t>
              </w:r>
            </w:hyperlink>
            <w:r w:rsidRPr="00CC5349">
              <w:rPr>
                <w:i/>
                <w:iCs/>
                <w:sz w:val="22"/>
                <w:szCs w:val="22"/>
                <w:lang w:val="es-ES"/>
              </w:rPr>
              <w:t xml:space="preserve">, </w:t>
            </w:r>
            <w:hyperlink r:id="rId20" w:history="1">
              <w:proofErr w:type="spellStart"/>
              <w:r w:rsidRPr="00CC5349">
                <w:rPr>
                  <w:rStyle w:val="Hyperlink"/>
                  <w:rFonts w:eastAsia="Times New Roman" w:cs="Times New Roman"/>
                  <w:i/>
                  <w:iCs/>
                  <w:sz w:val="22"/>
                  <w:lang w:val="es-ES"/>
                </w:rPr>
                <w:t>C24</w:t>
              </w:r>
              <w:proofErr w:type="spellEnd"/>
              <w:r w:rsidRPr="00CC5349">
                <w:rPr>
                  <w:rStyle w:val="Hyperlink"/>
                  <w:rFonts w:eastAsia="Times New Roman" w:cs="Times New Roman"/>
                  <w:i/>
                  <w:iCs/>
                  <w:sz w:val="22"/>
                  <w:lang w:val="es-ES"/>
                </w:rPr>
                <w:t>/53</w:t>
              </w:r>
            </w:hyperlink>
            <w:r w:rsidRPr="00CC5349">
              <w:rPr>
                <w:i/>
                <w:iCs/>
                <w:sz w:val="22"/>
                <w:szCs w:val="22"/>
                <w:lang w:val="es-ES"/>
              </w:rPr>
              <w:t xml:space="preserve">, </w:t>
            </w:r>
            <w:hyperlink r:id="rId21" w:history="1">
              <w:proofErr w:type="spellStart"/>
              <w:r w:rsidRPr="00CC5349">
                <w:rPr>
                  <w:rStyle w:val="Hyperlink"/>
                  <w:rFonts w:eastAsia="Times New Roman" w:cs="Times New Roman"/>
                  <w:i/>
                  <w:iCs/>
                  <w:sz w:val="22"/>
                  <w:lang w:val="es-ES"/>
                </w:rPr>
                <w:t>C24</w:t>
              </w:r>
              <w:proofErr w:type="spellEnd"/>
              <w:r w:rsidRPr="00CC5349">
                <w:rPr>
                  <w:rStyle w:val="Hyperlink"/>
                  <w:rFonts w:eastAsia="Times New Roman" w:cs="Times New Roman"/>
                  <w:i/>
                  <w:iCs/>
                  <w:sz w:val="22"/>
                  <w:lang w:val="es-ES"/>
                </w:rPr>
                <w:t>/31</w:t>
              </w:r>
            </w:hyperlink>
            <w:r w:rsidRPr="00CC5349">
              <w:rPr>
                <w:i/>
                <w:iCs/>
                <w:sz w:val="22"/>
                <w:szCs w:val="22"/>
                <w:lang w:val="es-ES"/>
              </w:rPr>
              <w:t xml:space="preserve">; </w:t>
            </w:r>
            <w:hyperlink r:id="rId22" w:history="1">
              <w:proofErr w:type="spellStart"/>
              <w:r w:rsidRPr="00CC5349">
                <w:rPr>
                  <w:rStyle w:val="Hyperlink"/>
                  <w:rFonts w:eastAsia="Times New Roman" w:cs="Times New Roman"/>
                  <w:i/>
                  <w:iCs/>
                  <w:sz w:val="22"/>
                  <w:lang w:val="es-ES"/>
                </w:rPr>
                <w:t>C25</w:t>
              </w:r>
              <w:proofErr w:type="spellEnd"/>
              <w:r w:rsidRPr="00CC5349">
                <w:rPr>
                  <w:rStyle w:val="Hyperlink"/>
                  <w:rFonts w:eastAsia="Times New Roman" w:cs="Times New Roman"/>
                  <w:i/>
                  <w:iCs/>
                  <w:sz w:val="22"/>
                  <w:lang w:val="es-ES"/>
                </w:rPr>
                <w:t>/50</w:t>
              </w:r>
            </w:hyperlink>
            <w:r w:rsidRPr="00CC5349">
              <w:rPr>
                <w:i/>
                <w:iCs/>
                <w:sz w:val="22"/>
                <w:szCs w:val="22"/>
                <w:lang w:val="es-ES"/>
              </w:rPr>
              <w:t xml:space="preserve">, </w:t>
            </w:r>
            <w:hyperlink r:id="rId23" w:history="1">
              <w:proofErr w:type="spellStart"/>
              <w:r w:rsidRPr="00CC5349">
                <w:rPr>
                  <w:rStyle w:val="Hyperlink"/>
                  <w:rFonts w:eastAsia="Times New Roman" w:cs="Times New Roman"/>
                  <w:i/>
                  <w:iCs/>
                  <w:sz w:val="22"/>
                  <w:lang w:val="es-ES"/>
                </w:rPr>
                <w:t>C25</w:t>
              </w:r>
              <w:proofErr w:type="spellEnd"/>
              <w:r w:rsidRPr="00CC5349">
                <w:rPr>
                  <w:rStyle w:val="Hyperlink"/>
                  <w:rFonts w:eastAsia="Times New Roman" w:cs="Times New Roman"/>
                  <w:i/>
                  <w:iCs/>
                  <w:sz w:val="22"/>
                  <w:lang w:val="es-ES"/>
                </w:rPr>
                <w:t>/55</w:t>
              </w:r>
            </w:hyperlink>
            <w:r w:rsidRPr="00CC5349">
              <w:rPr>
                <w:i/>
                <w:iCs/>
                <w:sz w:val="22"/>
                <w:szCs w:val="22"/>
                <w:lang w:val="es-ES"/>
              </w:rPr>
              <w:t xml:space="preserve">, </w:t>
            </w:r>
            <w:hyperlink r:id="rId24" w:history="1">
              <w:proofErr w:type="spellStart"/>
              <w:r w:rsidRPr="00CC5349">
                <w:rPr>
                  <w:rStyle w:val="Hyperlink"/>
                  <w:rFonts w:eastAsia="Times New Roman" w:cs="Times New Roman"/>
                  <w:i/>
                  <w:iCs/>
                  <w:sz w:val="22"/>
                  <w:lang w:val="es-ES"/>
                </w:rPr>
                <w:t>C25</w:t>
              </w:r>
              <w:proofErr w:type="spellEnd"/>
              <w:r w:rsidRPr="00CC5349">
                <w:rPr>
                  <w:rStyle w:val="Hyperlink"/>
                  <w:rFonts w:eastAsia="Times New Roman" w:cs="Times New Roman"/>
                  <w:i/>
                  <w:iCs/>
                  <w:sz w:val="22"/>
                  <w:lang w:val="es-ES"/>
                </w:rPr>
                <w:t>/66</w:t>
              </w:r>
            </w:hyperlink>
            <w:r w:rsidRPr="00CC5349">
              <w:rPr>
                <w:i/>
                <w:iCs/>
                <w:sz w:val="22"/>
                <w:szCs w:val="22"/>
                <w:lang w:val="es-ES"/>
              </w:rPr>
              <w:t xml:space="preserve"> del Consejo; Documento </w:t>
            </w:r>
            <w:hyperlink r:id="rId25" w:history="1">
              <w:proofErr w:type="spellStart"/>
              <w:r w:rsidRPr="00CC5349">
                <w:rPr>
                  <w:rStyle w:val="Hyperlink"/>
                  <w:rFonts w:eastAsia="Times New Roman" w:cs="Times New Roman"/>
                  <w:i/>
                  <w:iCs/>
                  <w:sz w:val="22"/>
                  <w:lang w:val="es-ES"/>
                </w:rPr>
                <w:t>CWG</w:t>
              </w:r>
              <w:proofErr w:type="spellEnd"/>
              <w:r w:rsidRPr="00CC5349">
                <w:rPr>
                  <w:rStyle w:val="Hyperlink"/>
                  <w:rFonts w:eastAsia="Times New Roman" w:cs="Times New Roman"/>
                  <w:i/>
                  <w:iCs/>
                  <w:sz w:val="22"/>
                  <w:lang w:val="es-ES"/>
                </w:rPr>
                <w:t>-</w:t>
              </w:r>
              <w:proofErr w:type="spellStart"/>
              <w:r w:rsidRPr="00CC5349">
                <w:rPr>
                  <w:rStyle w:val="Hyperlink"/>
                  <w:rFonts w:eastAsia="Times New Roman" w:cs="Times New Roman"/>
                  <w:i/>
                  <w:iCs/>
                  <w:sz w:val="22"/>
                  <w:lang w:val="es-ES"/>
                </w:rPr>
                <w:t>FHR</w:t>
              </w:r>
              <w:proofErr w:type="spellEnd"/>
              <w:r w:rsidRPr="00CC5349">
                <w:rPr>
                  <w:rStyle w:val="Hyperlink"/>
                  <w:rFonts w:eastAsia="Times New Roman" w:cs="Times New Roman"/>
                  <w:i/>
                  <w:iCs/>
                  <w:sz w:val="22"/>
                  <w:lang w:val="es-ES"/>
                </w:rPr>
                <w:t>-22/15</w:t>
              </w:r>
            </w:hyperlink>
            <w:r w:rsidRPr="00CC5349">
              <w:rPr>
                <w:i/>
                <w:iCs/>
                <w:sz w:val="22"/>
                <w:szCs w:val="22"/>
                <w:lang w:val="es-ES"/>
              </w:rPr>
              <w:t xml:space="preserve">; </w:t>
            </w:r>
            <w:hyperlink r:id="rId26" w:history="1">
              <w:r w:rsidRPr="00CC5349">
                <w:rPr>
                  <w:rStyle w:val="Hyperlink"/>
                  <w:rFonts w:eastAsia="Times New Roman" w:cs="Times New Roman"/>
                  <w:i/>
                  <w:iCs/>
                  <w:sz w:val="22"/>
                  <w:lang w:val="es-ES"/>
                </w:rPr>
                <w:t>Panel de evolución de la Transformación</w:t>
              </w:r>
            </w:hyperlink>
          </w:p>
        </w:tc>
      </w:tr>
      <w:bookmarkEnd w:id="0"/>
    </w:tbl>
    <w:p w14:paraId="21D982B3" w14:textId="77777777" w:rsidR="001559F5" w:rsidRPr="001A0DF4"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1A0DF4">
        <w:rPr>
          <w:lang w:val="es-ES"/>
        </w:rPr>
        <w:br w:type="page"/>
      </w:r>
    </w:p>
    <w:p w14:paraId="3077E17A" w14:textId="50D167A8" w:rsidR="00927F93" w:rsidRPr="001A0DF4" w:rsidRDefault="002B27B3" w:rsidP="001A0DF4">
      <w:pPr>
        <w:pStyle w:val="Heading1"/>
        <w:tabs>
          <w:tab w:val="clear" w:pos="2268"/>
          <w:tab w:val="clear" w:pos="2835"/>
          <w:tab w:val="right" w:pos="9071"/>
        </w:tabs>
        <w:rPr>
          <w:lang w:val="es-ES"/>
        </w:rPr>
      </w:pPr>
      <w:r w:rsidRPr="001A0DF4">
        <w:rPr>
          <w:lang w:val="es-ES"/>
        </w:rPr>
        <w:lastRenderedPageBreak/>
        <w:t>1</w:t>
      </w:r>
      <w:r w:rsidRPr="001A0DF4">
        <w:rPr>
          <w:lang w:val="es-ES"/>
        </w:rPr>
        <w:tab/>
        <w:t>Introducción</w:t>
      </w:r>
    </w:p>
    <w:p w14:paraId="4CADAAF0" w14:textId="77777777" w:rsidR="002B27B3" w:rsidRPr="00CC5349" w:rsidRDefault="002B27B3" w:rsidP="00CC5349">
      <w:pPr>
        <w:jc w:val="both"/>
        <w:rPr>
          <w:spacing w:val="-2"/>
          <w:lang w:val="es-ES"/>
        </w:rPr>
      </w:pPr>
      <w:r w:rsidRPr="00CC5349">
        <w:rPr>
          <w:spacing w:val="-2"/>
          <w:lang w:val="es-ES"/>
        </w:rPr>
        <w:t xml:space="preserve">En enero de 2023 el equipo directivo de la UIT puso en marcha una iniciativa de transformación basada en un exhaustivo y visionario proceso en el que se tienen en cuenta las aportaciones del personal de todos los niveles de la organización. A partir de esas ideas seminales se creó el programa de agentes del cambio para dar al personal la oportunidad de formular recomendaciones concretas. Este programa sirvió de base para el cambio e implicó al personal en un esfuerzo colectivo por preparar a la UIT para el futuro. Aunque la transformación atañe a toda la Secretaría, la iniciativa se ha concentrado en lograr la excelencia operativa de la Secretaría General en su calidad de proveedor de servicios a las Oficinas y los Miembros. </w:t>
      </w:r>
    </w:p>
    <w:p w14:paraId="3D838E75" w14:textId="0C827206" w:rsidR="002B27B3" w:rsidRPr="001A0DF4" w:rsidRDefault="002B27B3" w:rsidP="00CC5349">
      <w:pPr>
        <w:jc w:val="both"/>
        <w:rPr>
          <w:lang w:val="es-ES"/>
        </w:rPr>
      </w:pPr>
      <w:r w:rsidRPr="001A0DF4">
        <w:rPr>
          <w:lang w:val="es-ES"/>
        </w:rPr>
        <w:t>Como ya se indicó a anteriores reuniones del Consejo y de los Grupos de Trabajo del Consejo, la hoja de ruta de transformación de la UIT contiene una serie de iniciativas articuladas en torno a cinco pilares: gobernanza, Miembros y socios, personas y cultura, optimización de recursos y sistemas, procesos y herramientas.</w:t>
      </w:r>
    </w:p>
    <w:p w14:paraId="605A7473" w14:textId="7AFCED1A" w:rsidR="00394287" w:rsidRPr="001A0DF4" w:rsidRDefault="002B27B3" w:rsidP="00CC5349">
      <w:pPr>
        <w:jc w:val="both"/>
        <w:rPr>
          <w:lang w:val="es-ES"/>
        </w:rPr>
      </w:pPr>
      <w:r w:rsidRPr="001A0DF4">
        <w:rPr>
          <w:lang w:val="es-ES"/>
        </w:rPr>
        <w:t>A medida que madura el ejercicio de transformación de la UIT, la Secretaría está pasando de la fase de diagnóstico y definición a la aplicación. A partir de las contribuciones recibidas como resultado de varios procesos consultivos, los directivos han evaluado la viabilidad y han integrado, siempre que ha sido posible, las recomendaciones en sus Planes Operacionales.</w:t>
      </w:r>
    </w:p>
    <w:p w14:paraId="66FBB284" w14:textId="1E3648C2" w:rsidR="00394287" w:rsidRPr="001A0DF4" w:rsidRDefault="002B27B3" w:rsidP="002B27B3">
      <w:pPr>
        <w:pStyle w:val="Heading1"/>
        <w:rPr>
          <w:lang w:val="es-ES"/>
        </w:rPr>
      </w:pPr>
      <w:r w:rsidRPr="001A0DF4">
        <w:rPr>
          <w:lang w:val="es-ES"/>
        </w:rPr>
        <w:t>2</w:t>
      </w:r>
      <w:r w:rsidRPr="001A0DF4">
        <w:rPr>
          <w:lang w:val="es-ES"/>
        </w:rPr>
        <w:tab/>
        <w:t>Implementación de la hoja de ruta de transformación – Panel</w:t>
      </w:r>
    </w:p>
    <w:p w14:paraId="4C0CE489" w14:textId="5F665315" w:rsidR="002B27B3" w:rsidRPr="001A0DF4" w:rsidRDefault="002B27B3" w:rsidP="00CC5349">
      <w:pPr>
        <w:jc w:val="both"/>
        <w:rPr>
          <w:lang w:val="es-ES"/>
        </w:rPr>
      </w:pPr>
      <w:r w:rsidRPr="001A0DF4">
        <w:rPr>
          <w:lang w:val="es-ES"/>
        </w:rPr>
        <w:t xml:space="preserve">Puede consultarse el panel donde se recoge el estado de las iniciativas de transformación </w:t>
      </w:r>
      <w:hyperlink r:id="rId27" w:history="1">
        <w:r w:rsidRPr="001A0DF4">
          <w:rPr>
            <w:rStyle w:val="Hyperlink"/>
            <w:rFonts w:eastAsia="Times New Roman" w:cs="Times New Roman"/>
            <w:szCs w:val="20"/>
            <w:lang w:val="es-ES"/>
          </w:rPr>
          <w:t>aquí</w:t>
        </w:r>
      </w:hyperlink>
      <w:r w:rsidRPr="001A0DF4">
        <w:rPr>
          <w:lang w:val="es-ES"/>
        </w:rPr>
        <w:t>. El panel se actualizó tras la reciente reunión del Grupo de Trabajo del Consejo sobre Recursos Humanos y Financieros (GTC-RHF) con los productos previstos para 2026 y los porcentajes de compleción de cada iniciativa a fecha de la reunión de 2026 del Consejo, la inversión estimada en tiempo del personal de la Secretaría General dedicado a las iniciativas de transformación y la eficiencia generada.</w:t>
      </w:r>
    </w:p>
    <w:p w14:paraId="25A82D71" w14:textId="77777777" w:rsidR="002B27B3" w:rsidRPr="001A0DF4" w:rsidRDefault="002B27B3" w:rsidP="00CC5349">
      <w:pPr>
        <w:jc w:val="both"/>
        <w:rPr>
          <w:lang w:val="es-ES"/>
        </w:rPr>
      </w:pPr>
      <w:r w:rsidRPr="001A0DF4">
        <w:rPr>
          <w:lang w:val="es-ES"/>
        </w:rPr>
        <w:t xml:space="preserve">Pueden citarse como primeros logros la creación de la Unidad de Supervisión, a la que se ha añadido la función de evaluación; la total redefinición y automatización del proceso de planificación operacional para aumentar la armonización entre los Planes Estratégico, Operacional y Financiero y los presupuestos anuales/bienales; el establecimiento de la función del Ómbudsman en enero de 2026; la transformación financiera, que comprende el pleno cumplimiento de las NICSP, así como mejoras de la tesorería y los fondos extrapresupuestarios, así como un sistema de gestión secundaria vinculado a la financiación y un sistema de gestión completa de las asignaciones presupuestarias. </w:t>
      </w:r>
    </w:p>
    <w:p w14:paraId="3FE42171" w14:textId="448DD78F" w:rsidR="002B27B3" w:rsidRPr="001A0DF4" w:rsidRDefault="002B27B3" w:rsidP="00CC5349">
      <w:pPr>
        <w:jc w:val="both"/>
        <w:rPr>
          <w:lang w:val="es-ES"/>
        </w:rPr>
      </w:pPr>
      <w:r w:rsidRPr="001A0DF4">
        <w:rPr>
          <w:lang w:val="es-ES"/>
        </w:rPr>
        <w:t xml:space="preserve">Se organizaron formaciones sobre el liderazgo adaptable para el personal y los gestores en 2025, que se proseguirán en 2026. Se está preparando un nuevo proyecto de política en materia de contratos de duración determinada, así como otro sobre la contratación de consultores, que se encuentran en la fase consultiva y se prevé finalizar antes de que acabe 2026. A raíz de las respuestas del personal a la encuesta de implicación se han tomado varias medidas, entre las que se cuentan el nuevo programa de recompensas y reconocimiento y la dedicación de tiempo a las actividades de aprendizaje e innovación. </w:t>
      </w:r>
    </w:p>
    <w:p w14:paraId="4DF98E1E" w14:textId="2DE3BA47" w:rsidR="00394287" w:rsidRPr="001A0DF4" w:rsidRDefault="002B27B3" w:rsidP="00CC5349">
      <w:pPr>
        <w:jc w:val="both"/>
        <w:rPr>
          <w:lang w:val="es-ES"/>
        </w:rPr>
      </w:pPr>
      <w:r w:rsidRPr="001A0DF4">
        <w:rPr>
          <w:lang w:val="es-ES"/>
        </w:rPr>
        <w:t>En respuesta a las propuestas formuladas por los agentes del cambio se han avanzado numerosas iniciativas, entre las que se cuentan formaciones sobre evaluación, la revisión del proceso documental de extremo a extremo y la preparación de unas directrices sobre la utilización de la IA generativa por el personal de la UIT.</w:t>
      </w:r>
    </w:p>
    <w:p w14:paraId="6F5A7727" w14:textId="46237F2A" w:rsidR="00394287" w:rsidRPr="001A0DF4" w:rsidRDefault="002B27B3" w:rsidP="002B27B3">
      <w:pPr>
        <w:pStyle w:val="Heading1"/>
        <w:rPr>
          <w:lang w:val="es-ES"/>
        </w:rPr>
      </w:pPr>
      <w:r w:rsidRPr="001A0DF4">
        <w:rPr>
          <w:lang w:val="es-ES"/>
        </w:rPr>
        <w:lastRenderedPageBreak/>
        <w:t>3</w:t>
      </w:r>
      <w:r w:rsidRPr="001A0DF4">
        <w:rPr>
          <w:lang w:val="es-ES"/>
        </w:rPr>
        <w:tab/>
        <w:t>Racionalización para acelerar la aplicación y los resultados</w:t>
      </w:r>
    </w:p>
    <w:p w14:paraId="206129CF" w14:textId="77F8EF83" w:rsidR="002B27B3" w:rsidRPr="001A0DF4" w:rsidRDefault="002B27B3" w:rsidP="00CC5349">
      <w:pPr>
        <w:jc w:val="both"/>
        <w:rPr>
          <w:lang w:val="es-ES"/>
        </w:rPr>
      </w:pPr>
      <w:r w:rsidRPr="001A0DF4">
        <w:rPr>
          <w:lang w:val="es-ES"/>
        </w:rPr>
        <w:t>De acuerdo con las observaciones recibidas del Consejo y el CAIG, la Secretaría ha adoptado medidas para racionalizar y priorizar la lista de iniciativas de transformación.</w:t>
      </w:r>
    </w:p>
    <w:p w14:paraId="4A8DA312" w14:textId="77777777" w:rsidR="002B27B3" w:rsidRPr="001A0DF4" w:rsidRDefault="002B27B3" w:rsidP="00CC5349">
      <w:pPr>
        <w:jc w:val="both"/>
        <w:rPr>
          <w:lang w:val="es-ES"/>
        </w:rPr>
      </w:pPr>
      <w:r w:rsidRPr="001A0DF4">
        <w:rPr>
          <w:lang w:val="es-ES"/>
        </w:rPr>
        <w:t xml:space="preserve">Esta concreción de los objetivos pretende acelerar la aplicación y la obtención de resultados. Para ello la Secretaria General racionalizó en septiembre los procesos de gobernanza interna creando un Grupo Especial para la Transformación encargado de avanzar las actividades prioritarias, hacer un seguimiento de los progresos realizados y eliminar obstáculos a la obtención de resultados. El Grupo Especial está presidido por el Jefe del Administración y Finanzas y rinde periódicamente informe al Comité de Coordinación (CoCo). El Equipo de Transformación se ha puesto en manos del Director Informático (CIO), pues la implementación de plataformas digitales y de IA es fundamental para el éxito de las diversas iniciativas. </w:t>
      </w:r>
    </w:p>
    <w:p w14:paraId="36B5BE35" w14:textId="34AECC24" w:rsidR="002B27B3" w:rsidRPr="001A0DF4" w:rsidRDefault="002B27B3" w:rsidP="00CC5349">
      <w:pPr>
        <w:jc w:val="both"/>
        <w:rPr>
          <w:lang w:val="es-ES"/>
        </w:rPr>
      </w:pPr>
      <w:r w:rsidRPr="001A0DF4">
        <w:rPr>
          <w:lang w:val="es-ES"/>
        </w:rPr>
        <w:t xml:space="preserve">El CIO y el Equipo de Transformación están definiendo un modelo sostenible de propiedad, adopción y materialización de las iniciativas de transformación, que comprende el acompañamiento de los equipos interesados prestándoles ayuda especializada en esferas como la gestión ligera de proyectos, el desarrollo de aplicaciones e IA y la redefinición de los procesos institucionales. De este modo la Secretaría fomenta la adopción de nuevas </w:t>
      </w:r>
      <w:r w:rsidR="00312AD3">
        <w:rPr>
          <w:lang w:val="es-ES"/>
        </w:rPr>
        <w:t>"</w:t>
      </w:r>
      <w:r w:rsidRPr="001A0DF4">
        <w:rPr>
          <w:lang w:val="es-ES"/>
        </w:rPr>
        <w:t>formas de trabajo</w:t>
      </w:r>
      <w:r w:rsidR="00312AD3">
        <w:rPr>
          <w:lang w:val="es-ES"/>
        </w:rPr>
        <w:t>"</w:t>
      </w:r>
      <w:r w:rsidRPr="001A0DF4">
        <w:rPr>
          <w:lang w:val="es-ES"/>
        </w:rPr>
        <w:t xml:space="preserve"> que integren la transformación, la agilidad y la innovación en la cultura y las operaciones de la UIT en pro de la excelencia digital e institucional. </w:t>
      </w:r>
    </w:p>
    <w:p w14:paraId="5AD245B3" w14:textId="754EDAD5" w:rsidR="002B27B3" w:rsidRPr="001A0DF4" w:rsidRDefault="002B27B3" w:rsidP="00CC5349">
      <w:pPr>
        <w:jc w:val="both"/>
        <w:rPr>
          <w:lang w:val="es-ES"/>
        </w:rPr>
      </w:pPr>
      <w:r w:rsidRPr="001A0DF4">
        <w:rPr>
          <w:lang w:val="es-ES"/>
        </w:rPr>
        <w:t>Estos esfuerzos están destinados a lograr efectos visibles y de peso que el personal y los Miembros de la UIT puedan ver, sentir y apreciar.</w:t>
      </w:r>
    </w:p>
    <w:p w14:paraId="3C988443" w14:textId="1CBEAD1B" w:rsidR="00394287" w:rsidRPr="001A0DF4" w:rsidRDefault="002B27B3" w:rsidP="002B27B3">
      <w:pPr>
        <w:pStyle w:val="Heading1"/>
        <w:rPr>
          <w:lang w:val="es-ES"/>
        </w:rPr>
      </w:pPr>
      <w:r w:rsidRPr="001A0DF4">
        <w:rPr>
          <w:lang w:val="es-ES"/>
        </w:rPr>
        <w:t>4</w:t>
      </w:r>
      <w:r w:rsidRPr="001A0DF4">
        <w:rPr>
          <w:lang w:val="es-ES"/>
        </w:rPr>
        <w:tab/>
        <w:t>Esferas prioritarias en 2026</w:t>
      </w:r>
    </w:p>
    <w:p w14:paraId="7F53C6B1" w14:textId="51A02515" w:rsidR="00394287" w:rsidRPr="001A0DF4" w:rsidRDefault="002B27B3" w:rsidP="00CC5349">
      <w:pPr>
        <w:jc w:val="both"/>
        <w:rPr>
          <w:lang w:val="es-ES"/>
        </w:rPr>
      </w:pPr>
      <w:r w:rsidRPr="001A0DF4">
        <w:rPr>
          <w:lang w:val="es-ES"/>
        </w:rPr>
        <w:t>En 2026 la transformación de la UIT se centrará en tres esferas prioritarias para modernizar las operaciones y crear una cultura de la innovación. El Grupo Especial para la Transformación, el CIO y el Equipo de Transformación prestan su apoyo a varias iniciativas dentro de esas esferas prioritarias.</w:t>
      </w:r>
    </w:p>
    <w:p w14:paraId="63627E74" w14:textId="1F14BDBE" w:rsidR="00394287" w:rsidRPr="001A0DF4" w:rsidRDefault="002B27B3" w:rsidP="002B27B3">
      <w:pPr>
        <w:pStyle w:val="Headingb"/>
        <w:rPr>
          <w:lang w:val="es-ES"/>
        </w:rPr>
      </w:pPr>
      <w:r w:rsidRPr="001A0DF4">
        <w:rPr>
          <w:lang w:val="es-ES"/>
        </w:rPr>
        <w:t>Mejorar la experiencia de los Miembros</w:t>
      </w:r>
    </w:p>
    <w:p w14:paraId="33B52712" w14:textId="034844AA" w:rsidR="00394287" w:rsidRPr="001A0DF4" w:rsidRDefault="002B27B3" w:rsidP="00CC5349">
      <w:pPr>
        <w:jc w:val="both"/>
        <w:rPr>
          <w:lang w:val="es-ES"/>
        </w:rPr>
      </w:pPr>
      <w:r w:rsidRPr="001A0DF4">
        <w:rPr>
          <w:lang w:val="es-ES"/>
        </w:rPr>
        <w:t>La organización está emprendiendo diversas iniciativas de gran calado para modernizar la experiencia de los Miembros. En primer lugar, se está mejorando la gestión de eventos con un proyecto piloto de sistema de gestión de eventos de extremo a extremo moderno para AI for Good 2026 y el Foro de la CMSI de 2026, acompañado de mejoras digitales y de IA para la experiencia de los delegados en la PP-26. Además, se prevé poner en marcha el nuevo sitio web de la UIT antes de la PP-26. Tras las consultas realizadas con el personal y los Miembros, se están llevando a cabo las labores técnicas y preparatorias de acuerdo con los plazos aprobados por el Consejo. Esta primera fase tiene cuatro objetivos: 1) crear una arquitectura de la información cohesiva y centrada en el usuario; 2) facilitar la consulta del contenido mejorando la navegación y una herramienta de búsqueda con IA; 3) mejorar la coherencia multilingüe en los seis idiomas oficiales, y 4) definir la gobernanza, las normas y los procesos que garanticen la calidad, mantenibilidad y adaptabilidad a largo plazo.</w:t>
      </w:r>
    </w:p>
    <w:p w14:paraId="2EA3F502" w14:textId="2B0E21FB" w:rsidR="00394287" w:rsidRPr="001A0DF4" w:rsidRDefault="002B27B3" w:rsidP="002B27B3">
      <w:pPr>
        <w:pStyle w:val="Headingb"/>
        <w:rPr>
          <w:lang w:val="es-ES"/>
        </w:rPr>
      </w:pPr>
      <w:r w:rsidRPr="001A0DF4">
        <w:rPr>
          <w:lang w:val="es-ES"/>
        </w:rPr>
        <w:t>Eficiencia operacional e influencia</w:t>
      </w:r>
    </w:p>
    <w:p w14:paraId="53C5C9EA" w14:textId="24FB6CD2" w:rsidR="00394287" w:rsidRPr="001A0DF4" w:rsidRDefault="002B27B3" w:rsidP="00CC5349">
      <w:pPr>
        <w:jc w:val="both"/>
        <w:rPr>
          <w:lang w:val="es-ES"/>
        </w:rPr>
      </w:pPr>
      <w:r w:rsidRPr="001A0DF4">
        <w:rPr>
          <w:lang w:val="es-ES"/>
        </w:rPr>
        <w:t xml:space="preserve">La segunda prioridad es mejorar la eficiencia operacional y su materialización a través de varias iniciativas estratégicas. La Secretaría está acelerando la adopción de nuevas soluciones de IA para automatizar procesos institucionales en ámbitos como las adquisiciones, la </w:t>
      </w:r>
      <w:r w:rsidRPr="001A0DF4">
        <w:rPr>
          <w:lang w:val="es-ES"/>
        </w:rPr>
        <w:lastRenderedPageBreak/>
        <w:t>administración de recursos humanos y la gestión de proyectos. Se está probando una nueva solución en la nube para racionalizar la gestión de los viajes y la gestión de los gastos. Además, la UIT está utilizando un sistema CRM por IA puntero para llevar a un nivel superior la movilización de recursos coordinada a nivel de toda la UIT.</w:t>
      </w:r>
    </w:p>
    <w:p w14:paraId="5AF2CA26" w14:textId="3A024943" w:rsidR="00394287" w:rsidRPr="001A0DF4" w:rsidRDefault="002B27B3" w:rsidP="002B27B3">
      <w:pPr>
        <w:pStyle w:val="Headingb"/>
        <w:rPr>
          <w:lang w:val="es-ES"/>
        </w:rPr>
      </w:pPr>
      <w:r w:rsidRPr="001A0DF4">
        <w:rPr>
          <w:lang w:val="es-ES"/>
        </w:rPr>
        <w:t>Empoderamiento del personal y cultura de la innovación</w:t>
      </w:r>
    </w:p>
    <w:p w14:paraId="124BE1D4" w14:textId="79C75D35" w:rsidR="00394287" w:rsidRPr="00CC5349" w:rsidRDefault="002B27B3" w:rsidP="00CC5349">
      <w:pPr>
        <w:jc w:val="both"/>
        <w:rPr>
          <w:spacing w:val="-2"/>
          <w:lang w:val="es-ES"/>
        </w:rPr>
      </w:pPr>
      <w:r w:rsidRPr="00CC5349">
        <w:rPr>
          <w:spacing w:val="-2"/>
          <w:lang w:val="es-ES"/>
        </w:rPr>
        <w:t>El objetivo de esta prioridad es empoderar al personal de la UIT ofreciéndole nuevas oportunidades de aprendizaje. Esencial para este esfuerzo es el recientemente creado Innovation Hub, ubicado en la planta baja del edificio Montbrillant. Este espacio sirve de centro para la experimentación, la creación de prototipos, la formación y la mentoría. Los agentes del cambio serán los primeros en poder disfrutar de las nuevas oportunidades ofrecidas.</w:t>
      </w:r>
    </w:p>
    <w:p w14:paraId="564F0E5E" w14:textId="14E354AC" w:rsidR="00394287" w:rsidRPr="001A0DF4" w:rsidRDefault="002B27B3" w:rsidP="002B27B3">
      <w:pPr>
        <w:pStyle w:val="Headingb"/>
        <w:rPr>
          <w:lang w:val="es-ES"/>
        </w:rPr>
      </w:pPr>
      <w:r w:rsidRPr="001A0DF4">
        <w:rPr>
          <w:lang w:val="es-ES"/>
        </w:rPr>
        <w:t>Transformación digital como factor habilitador y acelerador esencial</w:t>
      </w:r>
    </w:p>
    <w:p w14:paraId="70341842" w14:textId="096F17A4" w:rsidR="002B27B3" w:rsidRPr="001A0DF4" w:rsidRDefault="002B27B3" w:rsidP="00CC5349">
      <w:pPr>
        <w:jc w:val="both"/>
        <w:rPr>
          <w:lang w:val="es-ES"/>
        </w:rPr>
      </w:pPr>
      <w:r w:rsidRPr="001A0DF4">
        <w:rPr>
          <w:lang w:val="es-ES"/>
        </w:rPr>
        <w:t xml:space="preserve">En los cimientos de todas estas iniciativas está la estrategia integral de transformación digital (Documento </w:t>
      </w:r>
      <w:hyperlink r:id="rId28" w:history="1">
        <w:r w:rsidRPr="001A0DF4">
          <w:rPr>
            <w:rStyle w:val="Hyperlink"/>
            <w:rFonts w:eastAsia="Times New Roman" w:cs="Times New Roman"/>
            <w:szCs w:val="20"/>
            <w:lang w:val="es-ES"/>
          </w:rPr>
          <w:t>26/62</w:t>
        </w:r>
      </w:hyperlink>
      <w:r w:rsidRPr="001A0DF4">
        <w:rPr>
          <w:lang w:val="es-ES"/>
        </w:rPr>
        <w:t>) que sirve de factor habilitador y acelerador a través de cuatro grandes ejes: definir estrategias internas de IA, datos, nube y ciberseguridad; crear un programa de arquitectura institucional para sistemas seguros, flexibles e interoperables en toda la UIT; reestructurar el equipo ISD con un nuevo modelo operativo, e implementar el Modelo de gobernanza digital y de datos revisado.</w:t>
      </w:r>
    </w:p>
    <w:p w14:paraId="4C3AC0B8" w14:textId="20B8269B" w:rsidR="002B27B3" w:rsidRPr="001A0DF4" w:rsidRDefault="002B27B3" w:rsidP="002B27B3">
      <w:pPr>
        <w:pStyle w:val="Heading1"/>
        <w:rPr>
          <w:lang w:val="es-ES"/>
        </w:rPr>
      </w:pPr>
      <w:r w:rsidRPr="001A0DF4">
        <w:rPr>
          <w:lang w:val="es-ES"/>
        </w:rPr>
        <w:t>5</w:t>
      </w:r>
      <w:r w:rsidRPr="001A0DF4">
        <w:rPr>
          <w:lang w:val="es-ES"/>
        </w:rPr>
        <w:tab/>
        <w:t>Situación financiera</w:t>
      </w:r>
    </w:p>
    <w:p w14:paraId="74ADFFF0" w14:textId="44CA00AB" w:rsidR="002B27B3" w:rsidRPr="001A0DF4" w:rsidRDefault="002B27B3" w:rsidP="00CC5349">
      <w:pPr>
        <w:jc w:val="both"/>
        <w:rPr>
          <w:lang w:val="es-ES"/>
        </w:rPr>
      </w:pPr>
      <w:r w:rsidRPr="001A0DF4">
        <w:rPr>
          <w:lang w:val="es-ES"/>
        </w:rPr>
        <w:t>La financiación de las iniciativas de transformación procede en su mayoría de asignaciones del presupuesto ordinario y de los ahorros realizados. El Consejo aprobó la atribución total de 1 600 000 CHF procedentes de los ahorros de 2023 y 2024. De ese importe, 600 000 CHF se asignaron al proyecto de sitio web. Los 950</w:t>
      </w:r>
      <w:r w:rsidR="00312AD3">
        <w:rPr>
          <w:lang w:val="es-ES"/>
        </w:rPr>
        <w:t> </w:t>
      </w:r>
      <w:r w:rsidRPr="001A0DF4">
        <w:rPr>
          <w:lang w:val="es-ES"/>
        </w:rPr>
        <w:t>000 CHF restantes se invirtieron durante dos años principalmente en el personal del Equipo de Transformación para la planificación y la preparación de informes, la coordinación y la implementación. Los resultados de esta inversión son, entre otros, los siguientes: 1) preparación de la estrategia y la hoja de ruta de transformación y la preparación de informes internos y para el Consejo; 2) implicación del personal en la transformación, incluida la gestión de la comunidad de agentes del cambio y prestación de asistencia en casos concretos, lanzamiento del Innovation Hub y formación sobre IA y soluciones digitales, y 3) implementación de iniciativas para mejorar la contratación, gestionar los documentos, gestionar las relaciones con los clientes y movilizar recursos, así como gestionar los viajes.</w:t>
      </w:r>
    </w:p>
    <w:p w14:paraId="524089E8" w14:textId="3BA21C3C" w:rsidR="002B27B3" w:rsidRPr="001A0DF4" w:rsidRDefault="002B27B3" w:rsidP="00CC5349">
      <w:pPr>
        <w:jc w:val="both"/>
        <w:rPr>
          <w:lang w:val="es-ES"/>
        </w:rPr>
      </w:pPr>
      <w:r w:rsidRPr="001A0DF4">
        <w:rPr>
          <w:lang w:val="es-ES"/>
        </w:rPr>
        <w:t xml:space="preserve">Además, el </w:t>
      </w:r>
      <w:hyperlink r:id="rId29" w:history="1">
        <w:r w:rsidRPr="001A0DF4">
          <w:rPr>
            <w:rStyle w:val="Hyperlink"/>
            <w:rFonts w:eastAsia="Times New Roman" w:cs="Times New Roman"/>
            <w:szCs w:val="20"/>
            <w:lang w:val="es-ES"/>
          </w:rPr>
          <w:t>panel de transformación</w:t>
        </w:r>
      </w:hyperlink>
      <w:r w:rsidRPr="001A0DF4">
        <w:rPr>
          <w:lang w:val="es-ES"/>
        </w:rPr>
        <w:t xml:space="preserve"> destaca que el personal de los departamentos de la Secretaría General ha invertido el equivalente de 6,6 millones CHF en tiempo a actividades relacionadas con la transformación, de acuerdo con el Plan Operacional de 2026. Esto equivale aproximadamente al 10,5 % del tiempo de personal previsto en el Plan Operacional.</w:t>
      </w:r>
    </w:p>
    <w:p w14:paraId="748252F0" w14:textId="24A56853" w:rsidR="002B27B3" w:rsidRPr="001A0DF4" w:rsidRDefault="002B27B3" w:rsidP="00CC5349">
      <w:pPr>
        <w:jc w:val="both"/>
        <w:rPr>
          <w:lang w:val="es-ES"/>
        </w:rPr>
      </w:pPr>
      <w:r w:rsidRPr="001A0DF4">
        <w:rPr>
          <w:lang w:val="es-ES"/>
        </w:rPr>
        <w:t xml:space="preserve">De cara al futuro se necesitarán inversiones adicionales para la implementación de nuevos sistemas digitales y de IA, así como la adquisición de nuevas competencias para la modernización, la automatización y la racionalización de los procesos institucionales. Para lograr esas mejoras en el Documento </w:t>
      </w:r>
      <w:hyperlink r:id="rId30" w:history="1">
        <w:proofErr w:type="spellStart"/>
        <w:r w:rsidRPr="001A0DF4">
          <w:rPr>
            <w:rStyle w:val="Hyperlink"/>
            <w:rFonts w:eastAsia="Times New Roman" w:cs="Times New Roman"/>
            <w:szCs w:val="20"/>
            <w:lang w:val="es-ES"/>
          </w:rPr>
          <w:t>C26</w:t>
        </w:r>
        <w:proofErr w:type="spellEnd"/>
        <w:r w:rsidRPr="001A0DF4">
          <w:rPr>
            <w:rStyle w:val="Hyperlink"/>
            <w:rFonts w:eastAsia="Times New Roman" w:cs="Times New Roman"/>
            <w:szCs w:val="20"/>
            <w:lang w:val="es-ES"/>
          </w:rPr>
          <w:t>/42</w:t>
        </w:r>
      </w:hyperlink>
      <w:r w:rsidRPr="001A0DF4">
        <w:rPr>
          <w:lang w:val="es-ES"/>
        </w:rPr>
        <w:t xml:space="preserve"> se presenta una propuesta de utilización de los ahorros realizados en 2025.</w:t>
      </w:r>
    </w:p>
    <w:p w14:paraId="7EB16758" w14:textId="77777777" w:rsidR="00F92BED" w:rsidRPr="001A0DF4" w:rsidRDefault="00F92BED" w:rsidP="0032202E">
      <w:pPr>
        <w:pStyle w:val="Reasons"/>
        <w:rPr>
          <w:lang w:val="es-ES"/>
        </w:rPr>
      </w:pPr>
    </w:p>
    <w:p w14:paraId="76D69BC5" w14:textId="77777777" w:rsidR="00F92BED" w:rsidRPr="001A0DF4" w:rsidRDefault="00F92BED" w:rsidP="00F92BED">
      <w:pPr>
        <w:jc w:val="center"/>
        <w:rPr>
          <w:lang w:val="es-ES"/>
        </w:rPr>
      </w:pPr>
      <w:r w:rsidRPr="001A0DF4">
        <w:rPr>
          <w:lang w:val="es-ES"/>
        </w:rPr>
        <w:t>______________</w:t>
      </w:r>
    </w:p>
    <w:sectPr w:rsidR="00F92BED" w:rsidRPr="001A0DF4" w:rsidSect="00C538FC">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9A79" w14:textId="77777777" w:rsidR="0070287F" w:rsidRDefault="0070287F">
      <w:r>
        <w:separator/>
      </w:r>
    </w:p>
  </w:endnote>
  <w:endnote w:type="continuationSeparator" w:id="0">
    <w:p w14:paraId="303395BA" w14:textId="77777777" w:rsidR="0070287F" w:rsidRDefault="0070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2A44D89C" w14:textId="77777777" w:rsidTr="00E31DCE">
      <w:trPr>
        <w:jc w:val="center"/>
      </w:trPr>
      <w:tc>
        <w:tcPr>
          <w:tcW w:w="1803" w:type="dxa"/>
          <w:vAlign w:val="center"/>
        </w:tcPr>
        <w:p w14:paraId="1A43DDD3" w14:textId="099FA9B6" w:rsidR="003273A4" w:rsidRDefault="002946E2" w:rsidP="003273A4">
          <w:pPr>
            <w:pStyle w:val="Header"/>
            <w:jc w:val="left"/>
            <w:rPr>
              <w:noProof/>
            </w:rPr>
          </w:pPr>
          <w:r>
            <w:rPr>
              <w:noProof/>
            </w:rPr>
            <w:t xml:space="preserve">gDoc </w:t>
          </w:r>
          <w:r w:rsidR="00F30570" w:rsidRPr="00F30570">
            <w:rPr>
              <w:noProof/>
            </w:rPr>
            <w:t>2600717</w:t>
          </w:r>
        </w:p>
      </w:tc>
      <w:tc>
        <w:tcPr>
          <w:tcW w:w="8261" w:type="dxa"/>
        </w:tcPr>
        <w:p w14:paraId="38A197AF" w14:textId="6A082390"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F30570">
            <w:rPr>
              <w:bCs/>
            </w:rPr>
            <w:t>55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E36AFD1"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1C9DDEA" w14:textId="77777777" w:rsidTr="00E31DCE">
      <w:trPr>
        <w:jc w:val="center"/>
      </w:trPr>
      <w:tc>
        <w:tcPr>
          <w:tcW w:w="1803" w:type="dxa"/>
          <w:vAlign w:val="center"/>
        </w:tcPr>
        <w:p w14:paraId="48108E5E"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3E327BF3" w14:textId="0BB0F1E9"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F30570">
            <w:rPr>
              <w:bCs/>
            </w:rPr>
            <w:t>55</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28531C2C"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CEA0" w14:textId="77777777" w:rsidR="0070287F" w:rsidRDefault="0070287F">
      <w:r>
        <w:t>____________________</w:t>
      </w:r>
    </w:p>
  </w:footnote>
  <w:footnote w:type="continuationSeparator" w:id="0">
    <w:p w14:paraId="1FB30163" w14:textId="77777777" w:rsidR="0070287F" w:rsidRDefault="00702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88AA" w14:textId="77777777" w:rsidR="001559F5" w:rsidRPr="00B1560D" w:rsidRDefault="00B1560D" w:rsidP="00B1560D">
    <w:pPr>
      <w:pStyle w:val="Header"/>
    </w:pPr>
    <w:r>
      <w:rPr>
        <w:noProof/>
      </w:rPr>
      <w:drawing>
        <wp:inline distT="0" distB="0" distL="0" distR="0" wp14:anchorId="75F6C6C3" wp14:editId="17341942">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7F"/>
    <w:rsid w:val="000007D1"/>
    <w:rsid w:val="0006007D"/>
    <w:rsid w:val="00093EEB"/>
    <w:rsid w:val="000B0D00"/>
    <w:rsid w:val="000B7C15"/>
    <w:rsid w:val="000D1D0F"/>
    <w:rsid w:val="000E3F07"/>
    <w:rsid w:val="000F5290"/>
    <w:rsid w:val="000F5A95"/>
    <w:rsid w:val="0010165C"/>
    <w:rsid w:val="00113AFA"/>
    <w:rsid w:val="00146BFB"/>
    <w:rsid w:val="00147344"/>
    <w:rsid w:val="001559F5"/>
    <w:rsid w:val="00157AC4"/>
    <w:rsid w:val="0016169C"/>
    <w:rsid w:val="001958F5"/>
    <w:rsid w:val="001A0DF4"/>
    <w:rsid w:val="001B6E2B"/>
    <w:rsid w:val="001F14A2"/>
    <w:rsid w:val="00277DEA"/>
    <w:rsid w:val="002801AA"/>
    <w:rsid w:val="002946E2"/>
    <w:rsid w:val="002B27B3"/>
    <w:rsid w:val="002C3F32"/>
    <w:rsid w:val="002C44CE"/>
    <w:rsid w:val="002C4676"/>
    <w:rsid w:val="002C70B0"/>
    <w:rsid w:val="002F3CC4"/>
    <w:rsid w:val="003032E2"/>
    <w:rsid w:val="00312AD3"/>
    <w:rsid w:val="0031300A"/>
    <w:rsid w:val="003273A4"/>
    <w:rsid w:val="0034796E"/>
    <w:rsid w:val="00394287"/>
    <w:rsid w:val="003A2948"/>
    <w:rsid w:val="004571B0"/>
    <w:rsid w:val="00465C35"/>
    <w:rsid w:val="00473962"/>
    <w:rsid w:val="004B5D49"/>
    <w:rsid w:val="004D3A3C"/>
    <w:rsid w:val="004F0488"/>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0287F"/>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C1FAF"/>
    <w:rsid w:val="00CC5349"/>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4411"/>
    <w:rsid w:val="00ED65AB"/>
    <w:rsid w:val="00F12850"/>
    <w:rsid w:val="00F24B71"/>
    <w:rsid w:val="00F30570"/>
    <w:rsid w:val="00F33BF4"/>
    <w:rsid w:val="00F7105E"/>
    <w:rsid w:val="00F75F57"/>
    <w:rsid w:val="00F806E4"/>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361780"/>
  <w15:docId w15:val="{65D0CECE-E4CD-495B-9A8C-60CD4CDD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ED4411"/>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2-CL-C-0057/es" TargetMode="External"/><Relationship Id="rId18" Type="http://schemas.openxmlformats.org/officeDocument/2006/relationships/hyperlink" Target="https://www.itu.int/md/S23-CL-INF-0013/es" TargetMode="External"/><Relationship Id="rId26" Type="http://schemas.openxmlformats.org/officeDocument/2006/relationships/hyperlink" Target="https://app.powerbi.com/view?r=eyJrIjoiOGUwN2RlYzktZjY1Yi00ZmQwLWEzMTYtZGY0MDYyMWU4OGY2IiwidCI6IjIzZTQ2NGQ3LTA0ZTYtNGI4Ny05MTNjLTI0YmQ4OTIxOWZkMyIsImMiOjl9" TargetMode="External"/><Relationship Id="rId3" Type="http://schemas.openxmlformats.org/officeDocument/2006/relationships/webSettings" Target="webSettings.xml"/><Relationship Id="rId21" Type="http://schemas.openxmlformats.org/officeDocument/2006/relationships/hyperlink" Target="https://www.itu.int/md/S24-CL-C-0031/es" TargetMode="External"/><Relationship Id="rId34" Type="http://schemas.openxmlformats.org/officeDocument/2006/relationships/fontTable" Target="fontTable.xml"/><Relationship Id="rId7" Type="http://schemas.openxmlformats.org/officeDocument/2006/relationships/hyperlink" Target="https://www.itu.int/en/council/cwg-fhr/Pages/default.aspx" TargetMode="External"/><Relationship Id="rId12" Type="http://schemas.openxmlformats.org/officeDocument/2006/relationships/hyperlink" Target="https://www.itu.int/md/S22-CL-C-0040/es" TargetMode="External"/><Relationship Id="rId17" Type="http://schemas.openxmlformats.org/officeDocument/2006/relationships/hyperlink" Target="https://www.itu.int/md/S23-CL-INF-0011/es" TargetMode="External"/><Relationship Id="rId25" Type="http://schemas.openxmlformats.org/officeDocument/2006/relationships/hyperlink" Target="https://www.itu.int/md/S26-CWGFHR22-C-0015/en"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itu.int/md/S23-CL-C-0062/es" TargetMode="External"/><Relationship Id="rId20" Type="http://schemas.openxmlformats.org/officeDocument/2006/relationships/hyperlink" Target="https://www.itu.int/md/S24-CL-C-0053/es" TargetMode="External"/><Relationship Id="rId29" Type="http://schemas.openxmlformats.org/officeDocument/2006/relationships/hyperlink" Target="https://app.powerbi.com/view?r=eyJrIjoiOGUwN2RlYzktZjY1Yi00ZmQwLWEzMTYtZGY0MDYyMWU4OGY2IiwidCI6IjIzZTQ2NGQ3LTA0ZTYtNGI4Ny05MTNjLTI0YmQ4OTIxOWZkMyIsImMiOjl9" TargetMode="External"/><Relationship Id="rId1" Type="http://schemas.openxmlformats.org/officeDocument/2006/relationships/styles" Target="styles.xml"/><Relationship Id="rId6" Type="http://schemas.openxmlformats.org/officeDocument/2006/relationships/hyperlink" Target="https://www.itu.int/md/S26-CL-C-0042/es" TargetMode="External"/><Relationship Id="rId11" Type="http://schemas.openxmlformats.org/officeDocument/2006/relationships/hyperlink" Target="https://www.itu.int/md/S22-CL-INF-0013/es" TargetMode="External"/><Relationship Id="rId24" Type="http://schemas.openxmlformats.org/officeDocument/2006/relationships/hyperlink" Target="https://www.itu.int/md/S25-CL-C-0066/es"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itu.int/md/S23-CL-C-0050/es" TargetMode="External"/><Relationship Id="rId23" Type="http://schemas.openxmlformats.org/officeDocument/2006/relationships/hyperlink" Target="https://www.itu.int/md/S25-CL-C-0055/es" TargetMode="External"/><Relationship Id="rId28" Type="http://schemas.openxmlformats.org/officeDocument/2006/relationships/hyperlink" Target="https://www.itu.int/md/S26-CL-C-0062/es" TargetMode="External"/><Relationship Id="rId10" Type="http://schemas.openxmlformats.org/officeDocument/2006/relationships/hyperlink" Target="https://www.itu.int/md/S21-CL-INF-0015/es" TargetMode="External"/><Relationship Id="rId19" Type="http://schemas.openxmlformats.org/officeDocument/2006/relationships/hyperlink" Target="https://www.itu.int/md/S24-CL-C-0019/es"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md/S20-CL-C-0074/es" TargetMode="External"/><Relationship Id="rId14" Type="http://schemas.openxmlformats.org/officeDocument/2006/relationships/hyperlink" Target="https://www.itu.int/md/S23-CL-C-0036/es" TargetMode="External"/><Relationship Id="rId22" Type="http://schemas.openxmlformats.org/officeDocument/2006/relationships/hyperlink" Target="https://www.itu.int/md/S25-CL-C-0050/es" TargetMode="External"/><Relationship Id="rId27" Type="http://schemas.openxmlformats.org/officeDocument/2006/relationships/hyperlink" Target="https://app.powerbi.com/view?r=eyJrIjoiOGUwN2RlYzktZjY1Yi00ZmQwLWEzMTYtZGY0MDYyMWU4OGY2IiwidCI6IjIzZTQ2NGQ3LTA0ZTYtNGI4Ny05MTNjLTI0YmQ4OTIxOWZkMyIsImMiOjl9" TargetMode="External"/><Relationship Id="rId30" Type="http://schemas.openxmlformats.org/officeDocument/2006/relationships/hyperlink" Target="https://www.itu.int/md/S26-CL-C-0042/es" TargetMode="External"/><Relationship Id="rId35" Type="http://schemas.openxmlformats.org/officeDocument/2006/relationships/theme" Target="theme/theme1.xml"/><Relationship Id="rId8" Type="http://schemas.openxmlformats.org/officeDocument/2006/relationships/hyperlink" Target="https://www.itu.int/md/S20-CL-C-0061/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3</TotalTime>
  <Pages>4</Pages>
  <Words>1812</Words>
  <Characters>11603</Characters>
  <Application>Microsoft Office Word</Application>
  <DocSecurity>0</DocSecurity>
  <Lines>193</Lines>
  <Paragraphs>71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13344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Novedades sobre la transformación de la UIT – Crear una UIT eficiente, ágil y adaptada al futuro</dc:title>
  <dc:subject>Consejo 2026 de la UIT</dc:subject>
  <cp:keywords>C26; C2026; Council 2026; PP26</cp:keywords>
  <dc:description/>
  <cp:lastPrinted>2006-03-24T09:51:00Z</cp:lastPrinted>
  <dcterms:created xsi:type="dcterms:W3CDTF">2026-04-07T14:21:00Z</dcterms:created>
  <dcterms:modified xsi:type="dcterms:W3CDTF">2026-04-07T14:23:00Z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