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813E5E" w14:paraId="64A0CB8C" w14:textId="77777777" w:rsidTr="00796BDB">
        <w:trPr>
          <w:cantSplit/>
          <w:trHeight w:val="23"/>
        </w:trPr>
        <w:tc>
          <w:tcPr>
            <w:tcW w:w="3969" w:type="dxa"/>
            <w:vMerge w:val="restart"/>
            <w:tcMar>
              <w:left w:w="0" w:type="dxa"/>
            </w:tcMar>
          </w:tcPr>
          <w:p w14:paraId="36F23372" w14:textId="1F94816B" w:rsidR="00D72F49" w:rsidRPr="00E85629" w:rsidRDefault="00D72F49" w:rsidP="00796BDB">
            <w:pPr>
              <w:tabs>
                <w:tab w:val="left" w:pos="851"/>
              </w:tabs>
              <w:spacing w:before="0" w:line="240" w:lineRule="atLeast"/>
              <w:rPr>
                <w:b/>
              </w:rPr>
            </w:pPr>
            <w:r w:rsidRPr="00122CE1">
              <w:rPr>
                <w:b/>
              </w:rPr>
              <w:t>Point de l'ordre du jour</w:t>
            </w:r>
            <w:r>
              <w:rPr>
                <w:b/>
              </w:rPr>
              <w:t>:</w:t>
            </w:r>
            <w:r w:rsidR="00FF652F">
              <w:rPr>
                <w:b/>
              </w:rPr>
              <w:t xml:space="preserve"> PL 1</w:t>
            </w:r>
          </w:p>
        </w:tc>
        <w:tc>
          <w:tcPr>
            <w:tcW w:w="5245" w:type="dxa"/>
          </w:tcPr>
          <w:p w14:paraId="04AC64B9" w14:textId="1FA00DB7" w:rsidR="00D72F49" w:rsidRPr="00E85629" w:rsidRDefault="00D72F49" w:rsidP="00796BDB">
            <w:pPr>
              <w:tabs>
                <w:tab w:val="left" w:pos="851"/>
              </w:tabs>
              <w:spacing w:before="0" w:line="240" w:lineRule="atLeast"/>
              <w:jc w:val="right"/>
              <w:rPr>
                <w:b/>
              </w:rPr>
            </w:pPr>
            <w:r>
              <w:rPr>
                <w:b/>
              </w:rPr>
              <w:t>Document C2</w:t>
            </w:r>
            <w:r w:rsidR="00E4448E">
              <w:rPr>
                <w:b/>
              </w:rPr>
              <w:t>6</w:t>
            </w:r>
            <w:r>
              <w:rPr>
                <w:b/>
              </w:rPr>
              <w:t>/</w:t>
            </w:r>
            <w:r w:rsidR="00FF652F">
              <w:rPr>
                <w:b/>
              </w:rPr>
              <w:t>55</w:t>
            </w:r>
            <w:r>
              <w:rPr>
                <w:b/>
              </w:rPr>
              <w:t>-F</w:t>
            </w:r>
          </w:p>
        </w:tc>
      </w:tr>
      <w:tr w:rsidR="00D72F49" w:rsidRPr="00C049D7" w14:paraId="4650246B" w14:textId="77777777" w:rsidTr="00796BDB">
        <w:trPr>
          <w:cantSplit/>
        </w:trPr>
        <w:tc>
          <w:tcPr>
            <w:tcW w:w="3969" w:type="dxa"/>
            <w:vMerge/>
          </w:tcPr>
          <w:p w14:paraId="07AD987F" w14:textId="77777777" w:rsidR="00D72F49" w:rsidRPr="00813E5E" w:rsidRDefault="00D72F49" w:rsidP="00796BDB">
            <w:pPr>
              <w:tabs>
                <w:tab w:val="left" w:pos="851"/>
              </w:tabs>
              <w:spacing w:line="240" w:lineRule="atLeast"/>
              <w:rPr>
                <w:b/>
              </w:rPr>
            </w:pPr>
          </w:p>
        </w:tc>
        <w:tc>
          <w:tcPr>
            <w:tcW w:w="5245" w:type="dxa"/>
          </w:tcPr>
          <w:p w14:paraId="29C0036D" w14:textId="2D9A5D96" w:rsidR="00D72F49" w:rsidRPr="00FC6D7D" w:rsidRDefault="00FF652F" w:rsidP="00796BDB">
            <w:pPr>
              <w:tabs>
                <w:tab w:val="left" w:pos="851"/>
              </w:tabs>
              <w:spacing w:before="0"/>
              <w:jc w:val="right"/>
              <w:rPr>
                <w:b/>
                <w:lang w:val="en-GB"/>
              </w:rPr>
            </w:pPr>
            <w:r>
              <w:rPr>
                <w:b/>
              </w:rPr>
              <w:t>30 mars 2026</w:t>
            </w:r>
          </w:p>
        </w:tc>
      </w:tr>
      <w:tr w:rsidR="00D72F49" w:rsidRPr="00813E5E" w14:paraId="61BFDFBB" w14:textId="77777777" w:rsidTr="00796BDB">
        <w:trPr>
          <w:cantSplit/>
          <w:trHeight w:val="23"/>
        </w:trPr>
        <w:tc>
          <w:tcPr>
            <w:tcW w:w="3969" w:type="dxa"/>
            <w:vMerge/>
          </w:tcPr>
          <w:p w14:paraId="0B920314" w14:textId="77777777" w:rsidR="00D72F49" w:rsidRPr="00FC6D7D" w:rsidRDefault="00D72F49" w:rsidP="00796BDB">
            <w:pPr>
              <w:tabs>
                <w:tab w:val="left" w:pos="851"/>
              </w:tabs>
              <w:spacing w:line="240" w:lineRule="atLeast"/>
              <w:rPr>
                <w:b/>
                <w:lang w:val="en-GB"/>
              </w:rPr>
            </w:pPr>
          </w:p>
        </w:tc>
        <w:tc>
          <w:tcPr>
            <w:tcW w:w="5245" w:type="dxa"/>
          </w:tcPr>
          <w:p w14:paraId="7B8CC072" w14:textId="77777777" w:rsidR="00D72F49" w:rsidRPr="00E85629" w:rsidRDefault="00D72F49" w:rsidP="00796BDB">
            <w:pPr>
              <w:tabs>
                <w:tab w:val="left" w:pos="851"/>
              </w:tabs>
              <w:spacing w:before="0" w:line="240" w:lineRule="atLeast"/>
              <w:jc w:val="right"/>
              <w:rPr>
                <w:b/>
              </w:rPr>
            </w:pPr>
            <w:r w:rsidRPr="00122CE1">
              <w:rPr>
                <w:b/>
                <w:lang w:val="fr-CH"/>
              </w:rPr>
              <w:t>Original: anglais</w:t>
            </w:r>
          </w:p>
        </w:tc>
      </w:tr>
      <w:tr w:rsidR="00D72F49" w:rsidRPr="00813E5E" w14:paraId="30D4F6D8" w14:textId="77777777" w:rsidTr="00796BDB">
        <w:trPr>
          <w:cantSplit/>
          <w:trHeight w:val="23"/>
        </w:trPr>
        <w:tc>
          <w:tcPr>
            <w:tcW w:w="3969" w:type="dxa"/>
          </w:tcPr>
          <w:p w14:paraId="18F6EEC4" w14:textId="77777777" w:rsidR="00D72F49" w:rsidRPr="00813E5E" w:rsidRDefault="00D72F49" w:rsidP="00796BDB">
            <w:pPr>
              <w:tabs>
                <w:tab w:val="left" w:pos="851"/>
              </w:tabs>
              <w:spacing w:line="240" w:lineRule="atLeast"/>
              <w:rPr>
                <w:b/>
              </w:rPr>
            </w:pPr>
          </w:p>
        </w:tc>
        <w:tc>
          <w:tcPr>
            <w:tcW w:w="5245" w:type="dxa"/>
          </w:tcPr>
          <w:p w14:paraId="543282E9" w14:textId="77777777" w:rsidR="00D72F49" w:rsidRDefault="00D72F49" w:rsidP="00796BDB">
            <w:pPr>
              <w:tabs>
                <w:tab w:val="left" w:pos="851"/>
              </w:tabs>
              <w:spacing w:before="0" w:line="240" w:lineRule="atLeast"/>
              <w:jc w:val="right"/>
              <w:rPr>
                <w:b/>
              </w:rPr>
            </w:pPr>
          </w:p>
        </w:tc>
      </w:tr>
      <w:tr w:rsidR="00D72F49" w:rsidRPr="00122CE1" w14:paraId="4767B763" w14:textId="77777777" w:rsidTr="00796BDB">
        <w:trPr>
          <w:cantSplit/>
        </w:trPr>
        <w:tc>
          <w:tcPr>
            <w:tcW w:w="9214" w:type="dxa"/>
            <w:gridSpan w:val="2"/>
            <w:tcMar>
              <w:left w:w="0" w:type="dxa"/>
            </w:tcMar>
          </w:tcPr>
          <w:p w14:paraId="750E79E8" w14:textId="77777777" w:rsidR="00D72F49" w:rsidRPr="00C42437" w:rsidRDefault="00D72F49" w:rsidP="00796BDB">
            <w:pPr>
              <w:pStyle w:val="Source"/>
              <w:jc w:val="left"/>
              <w:rPr>
                <w:sz w:val="34"/>
                <w:szCs w:val="34"/>
                <w:lang w:val="fr-CH"/>
              </w:rPr>
            </w:pPr>
            <w:r w:rsidRPr="00D72F49">
              <w:rPr>
                <w:rFonts w:cstheme="minorHAnsi"/>
                <w:color w:val="000000"/>
                <w:sz w:val="34"/>
                <w:szCs w:val="34"/>
              </w:rPr>
              <w:t xml:space="preserve">Rapport </w:t>
            </w:r>
            <w:r w:rsidR="00E95647">
              <w:rPr>
                <w:rFonts w:cstheme="minorHAnsi"/>
                <w:color w:val="000000"/>
                <w:sz w:val="34"/>
                <w:szCs w:val="34"/>
              </w:rPr>
              <w:t xml:space="preserve">de la </w:t>
            </w:r>
            <w:r w:rsidRPr="00D72F49">
              <w:rPr>
                <w:rFonts w:cstheme="minorHAnsi"/>
                <w:color w:val="000000"/>
                <w:sz w:val="34"/>
                <w:szCs w:val="34"/>
              </w:rPr>
              <w:t>Secrétaire général</w:t>
            </w:r>
            <w:r w:rsidR="00E95647">
              <w:rPr>
                <w:rFonts w:cstheme="minorHAnsi"/>
                <w:color w:val="000000"/>
                <w:sz w:val="34"/>
                <w:szCs w:val="34"/>
              </w:rPr>
              <w:t>e</w:t>
            </w:r>
          </w:p>
        </w:tc>
      </w:tr>
      <w:tr w:rsidR="00D72F49" w:rsidRPr="00813E5E" w14:paraId="3A09062A" w14:textId="77777777" w:rsidTr="00796BDB">
        <w:trPr>
          <w:cantSplit/>
        </w:trPr>
        <w:tc>
          <w:tcPr>
            <w:tcW w:w="9214" w:type="dxa"/>
            <w:gridSpan w:val="2"/>
            <w:tcMar>
              <w:left w:w="0" w:type="dxa"/>
            </w:tcMar>
          </w:tcPr>
          <w:p w14:paraId="70F31F69" w14:textId="06603D9C" w:rsidR="00D72F49" w:rsidRPr="00FF652F" w:rsidRDefault="00EC0B0F" w:rsidP="00796BDB">
            <w:pPr>
              <w:pStyle w:val="Subtitle"/>
              <w:framePr w:hSpace="0" w:wrap="auto" w:hAnchor="text" w:xAlign="left" w:yAlign="inline"/>
              <w:rPr>
                <w:sz w:val="32"/>
                <w:szCs w:val="32"/>
                <w:lang w:val="fr-FR"/>
              </w:rPr>
            </w:pPr>
            <w:r w:rsidRPr="00FF652F">
              <w:rPr>
                <w:rFonts w:cstheme="minorHAnsi"/>
                <w:sz w:val="32"/>
                <w:szCs w:val="32"/>
                <w:lang w:val="fr-FR"/>
              </w:rPr>
              <w:t>POINT SUR LA TRANSFORMATION DE L'UIT – BÂTIR UNE UIT EFFICACE, RÉACTIVE ET PARÉE POUR L'AVENIR</w:t>
            </w:r>
          </w:p>
        </w:tc>
      </w:tr>
      <w:tr w:rsidR="00D72F49" w:rsidRPr="00813E5E" w14:paraId="2AB41DD0" w14:textId="77777777" w:rsidTr="00796BDB">
        <w:trPr>
          <w:cantSplit/>
        </w:trPr>
        <w:tc>
          <w:tcPr>
            <w:tcW w:w="9214" w:type="dxa"/>
            <w:gridSpan w:val="2"/>
            <w:tcBorders>
              <w:top w:val="single" w:sz="4" w:space="0" w:color="auto"/>
              <w:bottom w:val="single" w:sz="4" w:space="0" w:color="auto"/>
            </w:tcBorders>
            <w:tcMar>
              <w:left w:w="0" w:type="dxa"/>
            </w:tcMar>
          </w:tcPr>
          <w:p w14:paraId="073E5F64" w14:textId="77777777" w:rsidR="00D72F49" w:rsidRPr="0099485B" w:rsidRDefault="00F37FE5" w:rsidP="00796BDB">
            <w:pPr>
              <w:spacing w:before="160"/>
              <w:rPr>
                <w:b/>
                <w:bCs/>
                <w:sz w:val="26"/>
                <w:szCs w:val="26"/>
                <w:lang w:val="fr-CH"/>
              </w:rPr>
            </w:pPr>
            <w:r>
              <w:rPr>
                <w:b/>
                <w:bCs/>
                <w:sz w:val="26"/>
                <w:szCs w:val="26"/>
                <w:lang w:val="fr-CH"/>
              </w:rPr>
              <w:t>Objet</w:t>
            </w:r>
          </w:p>
          <w:p w14:paraId="7EDE228A" w14:textId="1ADD6554" w:rsidR="00D72F49" w:rsidRPr="0099485B" w:rsidRDefault="00FF652F" w:rsidP="00EC0B0F">
            <w:pPr>
              <w:jc w:val="both"/>
              <w:rPr>
                <w:lang w:val="fr-CH"/>
              </w:rPr>
            </w:pPr>
            <w:r w:rsidRPr="00FF652F">
              <w:rPr>
                <w:lang w:val="fr-CH"/>
              </w:rPr>
              <w:t>Le présent document rend compte de l</w:t>
            </w:r>
            <w:r>
              <w:rPr>
                <w:lang w:val="fr-CH"/>
              </w:rPr>
              <w:t>'</w:t>
            </w:r>
            <w:r w:rsidRPr="00FF652F">
              <w:rPr>
                <w:lang w:val="fr-CH"/>
              </w:rPr>
              <w:t>état d</w:t>
            </w:r>
            <w:r>
              <w:rPr>
                <w:lang w:val="fr-CH"/>
              </w:rPr>
              <w:t>'</w:t>
            </w:r>
            <w:r w:rsidRPr="00FF652F">
              <w:rPr>
                <w:lang w:val="fr-CH"/>
              </w:rPr>
              <w:t>avancement des activités relatives à la transformation de l</w:t>
            </w:r>
            <w:r>
              <w:rPr>
                <w:lang w:val="fr-CH"/>
              </w:rPr>
              <w:t>'</w:t>
            </w:r>
            <w:r w:rsidRPr="00FF652F">
              <w:rPr>
                <w:lang w:val="fr-CH"/>
              </w:rPr>
              <w:t>UIT menées par le Secrétariat général, afin d</w:t>
            </w:r>
            <w:r>
              <w:rPr>
                <w:lang w:val="fr-CH"/>
              </w:rPr>
              <w:t>'</w:t>
            </w:r>
            <w:r w:rsidRPr="00FF652F">
              <w:rPr>
                <w:lang w:val="fr-CH"/>
              </w:rPr>
              <w:t>atteindre l</w:t>
            </w:r>
            <w:r>
              <w:rPr>
                <w:lang w:val="fr-CH"/>
              </w:rPr>
              <w:t>'</w:t>
            </w:r>
            <w:r w:rsidRPr="00FF652F">
              <w:rPr>
                <w:lang w:val="fr-CH"/>
              </w:rPr>
              <w:t>excellence organisationnelle et de moderniser les services fournis aux Bureaux et aux membres.</w:t>
            </w:r>
          </w:p>
          <w:p w14:paraId="2AE01693" w14:textId="77777777" w:rsidR="00D72F49" w:rsidRPr="00122CE1" w:rsidRDefault="00D72F49" w:rsidP="00796BDB">
            <w:pPr>
              <w:spacing w:before="160"/>
              <w:rPr>
                <w:b/>
                <w:bCs/>
                <w:sz w:val="26"/>
                <w:szCs w:val="26"/>
                <w:lang w:val="fr-CH"/>
              </w:rPr>
            </w:pPr>
            <w:r w:rsidRPr="00122CE1">
              <w:rPr>
                <w:b/>
                <w:bCs/>
                <w:sz w:val="26"/>
                <w:szCs w:val="26"/>
                <w:lang w:val="fr-CH"/>
              </w:rPr>
              <w:t>Suite à donner par le Conseil</w:t>
            </w:r>
          </w:p>
          <w:p w14:paraId="71CEC46A" w14:textId="706F8EEA" w:rsidR="00D72F49" w:rsidRPr="00122CE1" w:rsidRDefault="00FF652F" w:rsidP="00796BDB">
            <w:pPr>
              <w:rPr>
                <w:lang w:val="fr-CH"/>
              </w:rPr>
            </w:pPr>
            <w:r w:rsidRPr="00FF652F">
              <w:rPr>
                <w:lang w:val="fr-CH"/>
              </w:rPr>
              <w:t xml:space="preserve">Le Conseil est invité à </w:t>
            </w:r>
            <w:r w:rsidRPr="00FF652F">
              <w:rPr>
                <w:b/>
                <w:bCs/>
                <w:lang w:val="fr-CH"/>
              </w:rPr>
              <w:t>prendre note</w:t>
            </w:r>
            <w:r w:rsidRPr="00FF652F">
              <w:rPr>
                <w:lang w:val="fr-CH"/>
              </w:rPr>
              <w:t xml:space="preserve"> des progrès accomplis à ce jour.</w:t>
            </w:r>
          </w:p>
          <w:p w14:paraId="24520D7F" w14:textId="0E05D0A9" w:rsidR="00D72F49" w:rsidRPr="00122CE1" w:rsidRDefault="00D72F49" w:rsidP="00796BDB">
            <w:pPr>
              <w:spacing w:before="160"/>
              <w:rPr>
                <w:b/>
                <w:bCs/>
                <w:sz w:val="26"/>
                <w:szCs w:val="26"/>
                <w:lang w:val="fr-CH"/>
              </w:rPr>
            </w:pPr>
            <w:r w:rsidRPr="00122CE1">
              <w:rPr>
                <w:b/>
                <w:bCs/>
                <w:sz w:val="26"/>
                <w:szCs w:val="26"/>
                <w:lang w:val="fr-CH"/>
              </w:rPr>
              <w:t xml:space="preserve">Lien pertinent avec le </w:t>
            </w:r>
            <w:r w:rsidR="00F37FE5">
              <w:rPr>
                <w:b/>
                <w:bCs/>
                <w:sz w:val="26"/>
                <w:szCs w:val="26"/>
                <w:lang w:val="fr-CH"/>
              </w:rPr>
              <w:t>p</w:t>
            </w:r>
            <w:r w:rsidRPr="00122CE1">
              <w:rPr>
                <w:b/>
                <w:bCs/>
                <w:sz w:val="26"/>
                <w:szCs w:val="26"/>
                <w:lang w:val="fr-CH"/>
              </w:rPr>
              <w:t>lan stratégique</w:t>
            </w:r>
          </w:p>
          <w:p w14:paraId="7ADC85B1" w14:textId="62CE17AC" w:rsidR="00D72F49" w:rsidRPr="00122CE1" w:rsidRDefault="00FF652F" w:rsidP="00796BDB">
            <w:pPr>
              <w:rPr>
                <w:lang w:val="fr-CH"/>
              </w:rPr>
            </w:pPr>
            <w:r w:rsidRPr="00FF652F">
              <w:rPr>
                <w:lang w:val="fr-CH"/>
              </w:rPr>
              <w:t>Excellence en matière de ressources humaines et d'innovation institutionnelle.</w:t>
            </w:r>
          </w:p>
          <w:p w14:paraId="7901DF38" w14:textId="77777777" w:rsidR="00E95647" w:rsidRDefault="00D72F49" w:rsidP="00796BDB">
            <w:pPr>
              <w:spacing w:before="160"/>
              <w:rPr>
                <w:b/>
                <w:bCs/>
                <w:sz w:val="26"/>
                <w:szCs w:val="26"/>
                <w:lang w:val="fr-CH"/>
              </w:rPr>
            </w:pPr>
            <w:r w:rsidRPr="00122CE1">
              <w:rPr>
                <w:b/>
                <w:bCs/>
                <w:sz w:val="26"/>
                <w:szCs w:val="26"/>
                <w:lang w:val="fr-CH"/>
              </w:rPr>
              <w:t>Incidences financières</w:t>
            </w:r>
          </w:p>
          <w:p w14:paraId="57DD545D" w14:textId="238B7D2A" w:rsidR="00D72F49" w:rsidRPr="00882919" w:rsidRDefault="00FF652F" w:rsidP="00796BDB">
            <w:pPr>
              <w:rPr>
                <w:szCs w:val="24"/>
              </w:rPr>
            </w:pPr>
            <w:r w:rsidRPr="00FF652F">
              <w:rPr>
                <w:szCs w:val="24"/>
              </w:rPr>
              <w:t>Des investissements d'un montant de 1,6 million CHF provenant des économies réalisées en</w:t>
            </w:r>
            <w:r>
              <w:rPr>
                <w:szCs w:val="24"/>
              </w:rPr>
              <w:t> </w:t>
            </w:r>
            <w:r w:rsidRPr="00FF652F">
              <w:rPr>
                <w:szCs w:val="24"/>
              </w:rPr>
              <w:t>2023 et 2024, approuvées par le Conseil, ont été affectés aux activités de mise en œuvre de la transformation de l</w:t>
            </w:r>
            <w:r>
              <w:rPr>
                <w:szCs w:val="24"/>
              </w:rPr>
              <w:t>'</w:t>
            </w:r>
            <w:r w:rsidRPr="00FF652F">
              <w:rPr>
                <w:szCs w:val="24"/>
              </w:rPr>
              <w:t xml:space="preserve">UIT. Dans le </w:t>
            </w:r>
            <w:hyperlink r:id="rId7" w:history="1">
              <w:r w:rsidRPr="00312E78">
                <w:rPr>
                  <w:rStyle w:val="Hyperlink"/>
                  <w:rFonts w:eastAsia="Times New Roman" w:cs="Times New Roman"/>
                  <w:szCs w:val="24"/>
                </w:rPr>
                <w:t>Document C26/42</w:t>
              </w:r>
            </w:hyperlink>
            <w:r w:rsidRPr="00FF652F">
              <w:rPr>
                <w:szCs w:val="24"/>
              </w:rPr>
              <w:t>, il est proposé que les économies réalisées en 2025 soient utilisées pour financer des investissements supplémentaires.</w:t>
            </w:r>
          </w:p>
          <w:p w14:paraId="60FA58B6" w14:textId="77777777" w:rsidR="00D72F49" w:rsidRPr="00813E5E" w:rsidRDefault="00D72F49" w:rsidP="00796BDB">
            <w:pPr>
              <w:spacing w:before="160"/>
              <w:rPr>
                <w:caps/>
                <w:sz w:val="22"/>
              </w:rPr>
            </w:pPr>
            <w:r w:rsidRPr="00813E5E">
              <w:rPr>
                <w:sz w:val="22"/>
              </w:rPr>
              <w:t>____________</w:t>
            </w:r>
            <w:r>
              <w:rPr>
                <w:sz w:val="22"/>
              </w:rPr>
              <w:t>______</w:t>
            </w:r>
          </w:p>
          <w:p w14:paraId="7F2A31A7" w14:textId="77777777" w:rsidR="00D72F49" w:rsidRDefault="00D72F49" w:rsidP="00796BDB">
            <w:pPr>
              <w:spacing w:before="160"/>
              <w:rPr>
                <w:b/>
                <w:bCs/>
                <w:sz w:val="26"/>
                <w:szCs w:val="26"/>
              </w:rPr>
            </w:pPr>
            <w:r w:rsidRPr="00F16BAB">
              <w:rPr>
                <w:b/>
                <w:bCs/>
                <w:sz w:val="26"/>
                <w:szCs w:val="26"/>
              </w:rPr>
              <w:t>Références</w:t>
            </w:r>
          </w:p>
          <w:p w14:paraId="10BFD752" w14:textId="057C382B" w:rsidR="00D72F49" w:rsidRPr="00FC6D7D" w:rsidRDefault="00FF652F" w:rsidP="00CE5172">
            <w:pPr>
              <w:pStyle w:val="Referencetext"/>
              <w:framePr w:hSpace="0" w:wrap="auto" w:vAnchor="margin" w:hAnchor="text" w:xAlign="left" w:yAlign="inline"/>
            </w:pPr>
            <w:hyperlink r:id="rId8" w:anchor="/fr" w:history="1">
              <w:r w:rsidRPr="009940B6">
                <w:rPr>
                  <w:rStyle w:val="Hyperlink"/>
                  <w:rFonts w:eastAsia="Times New Roman" w:cs="Times New Roman"/>
                  <w:sz w:val="24"/>
                  <w:szCs w:val="24"/>
                </w:rPr>
                <w:t>Site web du GTC-FHR</w:t>
              </w:r>
            </w:hyperlink>
            <w:r w:rsidRPr="00FF652F">
              <w:rPr>
                <w:sz w:val="24"/>
                <w:szCs w:val="24"/>
              </w:rPr>
              <w:t xml:space="preserve">; Documents </w:t>
            </w:r>
            <w:hyperlink r:id="rId9" w:history="1">
              <w:r w:rsidRPr="009940B6">
                <w:rPr>
                  <w:rStyle w:val="Hyperlink"/>
                  <w:rFonts w:eastAsia="Times New Roman" w:cs="Times New Roman"/>
                  <w:sz w:val="24"/>
                  <w:szCs w:val="24"/>
                </w:rPr>
                <w:t>C20/61</w:t>
              </w:r>
            </w:hyperlink>
            <w:r w:rsidRPr="00FF652F">
              <w:rPr>
                <w:sz w:val="24"/>
                <w:szCs w:val="24"/>
              </w:rPr>
              <w:t xml:space="preserve">, </w:t>
            </w:r>
            <w:hyperlink r:id="rId10" w:history="1">
              <w:r w:rsidRPr="009940B6">
                <w:rPr>
                  <w:rStyle w:val="Hyperlink"/>
                  <w:rFonts w:eastAsia="Times New Roman" w:cs="Times New Roman"/>
                  <w:sz w:val="24"/>
                  <w:szCs w:val="24"/>
                </w:rPr>
                <w:t>C20/74</w:t>
              </w:r>
            </w:hyperlink>
            <w:r w:rsidRPr="00FF652F">
              <w:rPr>
                <w:sz w:val="24"/>
                <w:szCs w:val="24"/>
              </w:rPr>
              <w:t xml:space="preserve">, </w:t>
            </w:r>
            <w:hyperlink r:id="rId11" w:history="1">
              <w:r w:rsidRPr="009940B6">
                <w:rPr>
                  <w:rStyle w:val="Hyperlink"/>
                  <w:rFonts w:eastAsia="Times New Roman" w:cs="Times New Roman"/>
                  <w:sz w:val="24"/>
                  <w:szCs w:val="24"/>
                </w:rPr>
                <w:t>C21/INF/15</w:t>
              </w:r>
            </w:hyperlink>
            <w:r w:rsidRPr="00FF652F">
              <w:rPr>
                <w:sz w:val="24"/>
                <w:szCs w:val="24"/>
              </w:rPr>
              <w:t xml:space="preserve">, </w:t>
            </w:r>
            <w:hyperlink r:id="rId12" w:history="1">
              <w:r w:rsidRPr="009940B6">
                <w:rPr>
                  <w:rStyle w:val="Hyperlink"/>
                  <w:rFonts w:eastAsia="Times New Roman" w:cs="Times New Roman"/>
                  <w:sz w:val="24"/>
                  <w:szCs w:val="24"/>
                </w:rPr>
                <w:t>C22/INF/13</w:t>
              </w:r>
            </w:hyperlink>
            <w:r w:rsidRPr="00FF652F">
              <w:rPr>
                <w:sz w:val="24"/>
                <w:szCs w:val="24"/>
              </w:rPr>
              <w:t xml:space="preserve">, </w:t>
            </w:r>
            <w:hyperlink r:id="rId13" w:history="1">
              <w:r w:rsidRPr="009940B6">
                <w:rPr>
                  <w:rStyle w:val="Hyperlink"/>
                  <w:rFonts w:eastAsia="Times New Roman" w:cs="Times New Roman"/>
                  <w:sz w:val="24"/>
                  <w:szCs w:val="24"/>
                </w:rPr>
                <w:t>C22/40</w:t>
              </w:r>
            </w:hyperlink>
            <w:r w:rsidRPr="00FF652F">
              <w:rPr>
                <w:sz w:val="24"/>
                <w:szCs w:val="24"/>
              </w:rPr>
              <w:t xml:space="preserve">, </w:t>
            </w:r>
            <w:hyperlink r:id="rId14" w:history="1">
              <w:r w:rsidRPr="009940B6">
                <w:rPr>
                  <w:rStyle w:val="Hyperlink"/>
                  <w:rFonts w:eastAsia="Times New Roman" w:cs="Times New Roman"/>
                  <w:sz w:val="24"/>
                  <w:szCs w:val="24"/>
                </w:rPr>
                <w:t>C22/57</w:t>
              </w:r>
            </w:hyperlink>
            <w:r w:rsidRPr="00FF652F">
              <w:rPr>
                <w:sz w:val="24"/>
                <w:szCs w:val="24"/>
              </w:rPr>
              <w:t xml:space="preserve">, </w:t>
            </w:r>
            <w:hyperlink r:id="rId15" w:history="1">
              <w:r w:rsidRPr="009940B6">
                <w:rPr>
                  <w:rStyle w:val="Hyperlink"/>
                  <w:rFonts w:eastAsia="Times New Roman" w:cs="Times New Roman"/>
                  <w:sz w:val="24"/>
                  <w:szCs w:val="24"/>
                </w:rPr>
                <w:t>C23/36</w:t>
              </w:r>
            </w:hyperlink>
            <w:r w:rsidRPr="00FF652F">
              <w:rPr>
                <w:sz w:val="24"/>
                <w:szCs w:val="24"/>
              </w:rPr>
              <w:t xml:space="preserve">, </w:t>
            </w:r>
            <w:hyperlink r:id="rId16" w:history="1">
              <w:r w:rsidRPr="009940B6">
                <w:rPr>
                  <w:rStyle w:val="Hyperlink"/>
                  <w:rFonts w:eastAsia="Times New Roman" w:cs="Times New Roman"/>
                  <w:sz w:val="24"/>
                  <w:szCs w:val="24"/>
                </w:rPr>
                <w:t>C23/50</w:t>
              </w:r>
            </w:hyperlink>
            <w:r w:rsidRPr="00FF652F">
              <w:rPr>
                <w:sz w:val="24"/>
                <w:szCs w:val="24"/>
              </w:rPr>
              <w:t xml:space="preserve">, </w:t>
            </w:r>
            <w:hyperlink r:id="rId17" w:history="1">
              <w:r w:rsidRPr="009940B6">
                <w:rPr>
                  <w:rStyle w:val="Hyperlink"/>
                  <w:rFonts w:eastAsia="Times New Roman" w:cs="Times New Roman"/>
                  <w:sz w:val="24"/>
                  <w:szCs w:val="24"/>
                </w:rPr>
                <w:t>C23/62</w:t>
              </w:r>
            </w:hyperlink>
            <w:r w:rsidRPr="00FF652F">
              <w:rPr>
                <w:sz w:val="24"/>
                <w:szCs w:val="24"/>
              </w:rPr>
              <w:t xml:space="preserve">, </w:t>
            </w:r>
            <w:hyperlink r:id="rId18" w:history="1">
              <w:r w:rsidRPr="009940B6">
                <w:rPr>
                  <w:rStyle w:val="Hyperlink"/>
                  <w:rFonts w:eastAsia="Times New Roman" w:cs="Times New Roman"/>
                  <w:sz w:val="24"/>
                  <w:szCs w:val="24"/>
                </w:rPr>
                <w:t>C23/INF/11</w:t>
              </w:r>
            </w:hyperlink>
            <w:r w:rsidRPr="00FF652F">
              <w:rPr>
                <w:sz w:val="24"/>
                <w:szCs w:val="24"/>
              </w:rPr>
              <w:t xml:space="preserve">, </w:t>
            </w:r>
            <w:hyperlink r:id="rId19" w:history="1">
              <w:r w:rsidRPr="009940B6">
                <w:rPr>
                  <w:rStyle w:val="Hyperlink"/>
                  <w:rFonts w:eastAsia="Times New Roman" w:cs="Times New Roman"/>
                  <w:sz w:val="24"/>
                  <w:szCs w:val="24"/>
                </w:rPr>
                <w:t>C23/INF/13</w:t>
              </w:r>
            </w:hyperlink>
            <w:r w:rsidRPr="00FF652F">
              <w:rPr>
                <w:sz w:val="24"/>
                <w:szCs w:val="24"/>
              </w:rPr>
              <w:t xml:space="preserve">, </w:t>
            </w:r>
            <w:hyperlink r:id="rId20" w:history="1">
              <w:r w:rsidRPr="009940B6">
                <w:rPr>
                  <w:rStyle w:val="Hyperlink"/>
                  <w:rFonts w:eastAsia="Times New Roman" w:cs="Times New Roman"/>
                  <w:sz w:val="24"/>
                  <w:szCs w:val="24"/>
                </w:rPr>
                <w:t>C24/19</w:t>
              </w:r>
            </w:hyperlink>
            <w:r w:rsidRPr="00FF652F">
              <w:rPr>
                <w:sz w:val="24"/>
                <w:szCs w:val="24"/>
              </w:rPr>
              <w:t xml:space="preserve">, </w:t>
            </w:r>
            <w:hyperlink r:id="rId21" w:history="1">
              <w:r w:rsidRPr="009940B6">
                <w:rPr>
                  <w:rStyle w:val="Hyperlink"/>
                  <w:rFonts w:eastAsia="Times New Roman" w:cs="Times New Roman"/>
                  <w:sz w:val="24"/>
                  <w:szCs w:val="24"/>
                </w:rPr>
                <w:t>C24/53</w:t>
              </w:r>
            </w:hyperlink>
            <w:r w:rsidRPr="00FF652F">
              <w:rPr>
                <w:sz w:val="24"/>
                <w:szCs w:val="24"/>
              </w:rPr>
              <w:t xml:space="preserve">, </w:t>
            </w:r>
            <w:hyperlink r:id="rId22" w:history="1">
              <w:r w:rsidRPr="009940B6">
                <w:rPr>
                  <w:rStyle w:val="Hyperlink"/>
                  <w:rFonts w:eastAsia="Times New Roman" w:cs="Times New Roman"/>
                  <w:sz w:val="24"/>
                  <w:szCs w:val="24"/>
                </w:rPr>
                <w:t>C24/31</w:t>
              </w:r>
            </w:hyperlink>
            <w:r w:rsidRPr="00FF652F">
              <w:rPr>
                <w:sz w:val="24"/>
                <w:szCs w:val="24"/>
              </w:rPr>
              <w:t xml:space="preserve">, </w:t>
            </w:r>
            <w:hyperlink r:id="rId23" w:history="1">
              <w:r w:rsidRPr="009940B6">
                <w:rPr>
                  <w:rStyle w:val="Hyperlink"/>
                  <w:rFonts w:eastAsia="Times New Roman" w:cs="Times New Roman"/>
                  <w:sz w:val="24"/>
                  <w:szCs w:val="24"/>
                </w:rPr>
                <w:t>C25/50</w:t>
              </w:r>
            </w:hyperlink>
            <w:r w:rsidRPr="00FF652F">
              <w:rPr>
                <w:sz w:val="24"/>
                <w:szCs w:val="24"/>
              </w:rPr>
              <w:t xml:space="preserve">, </w:t>
            </w:r>
            <w:hyperlink r:id="rId24" w:history="1">
              <w:r w:rsidRPr="009940B6">
                <w:rPr>
                  <w:rStyle w:val="Hyperlink"/>
                  <w:rFonts w:eastAsia="Times New Roman" w:cs="Times New Roman"/>
                  <w:sz w:val="24"/>
                  <w:szCs w:val="24"/>
                </w:rPr>
                <w:t>C25/55</w:t>
              </w:r>
            </w:hyperlink>
            <w:r w:rsidRPr="00FF652F">
              <w:rPr>
                <w:sz w:val="24"/>
                <w:szCs w:val="24"/>
              </w:rPr>
              <w:t xml:space="preserve"> et </w:t>
            </w:r>
            <w:hyperlink r:id="rId25" w:history="1">
              <w:r w:rsidRPr="009940B6">
                <w:rPr>
                  <w:rStyle w:val="Hyperlink"/>
                  <w:rFonts w:eastAsia="Times New Roman" w:cs="Times New Roman"/>
                  <w:sz w:val="24"/>
                  <w:szCs w:val="24"/>
                </w:rPr>
                <w:t>C25/66</w:t>
              </w:r>
            </w:hyperlink>
            <w:r w:rsidRPr="00FF652F">
              <w:rPr>
                <w:sz w:val="24"/>
                <w:szCs w:val="24"/>
              </w:rPr>
              <w:t xml:space="preserve"> du Conseil; Document </w:t>
            </w:r>
            <w:hyperlink r:id="rId26" w:history="1">
              <w:r w:rsidRPr="009940B6">
                <w:rPr>
                  <w:rStyle w:val="Hyperlink"/>
                  <w:rFonts w:eastAsia="Times New Roman" w:cs="Times New Roman"/>
                  <w:sz w:val="24"/>
                  <w:szCs w:val="24"/>
                </w:rPr>
                <w:t>CWG-FHR-22/15</w:t>
              </w:r>
            </w:hyperlink>
            <w:r w:rsidRPr="00FF652F">
              <w:rPr>
                <w:sz w:val="24"/>
                <w:szCs w:val="24"/>
              </w:rPr>
              <w:t xml:space="preserve">; </w:t>
            </w:r>
            <w:hyperlink r:id="rId27" w:history="1">
              <w:r w:rsidRPr="009940B6">
                <w:rPr>
                  <w:rStyle w:val="Hyperlink"/>
                  <w:rFonts w:eastAsia="Times New Roman" w:cs="Times New Roman"/>
                  <w:sz w:val="24"/>
                  <w:szCs w:val="24"/>
                </w:rPr>
                <w:t>Tableau de bord de la transformation de l'UIT et état d'avancement</w:t>
              </w:r>
            </w:hyperlink>
          </w:p>
        </w:tc>
      </w:tr>
    </w:tbl>
    <w:p w14:paraId="223C6A2D" w14:textId="77777777" w:rsidR="00A51849" w:rsidRDefault="00A51849">
      <w:pPr>
        <w:tabs>
          <w:tab w:val="clear" w:pos="567"/>
          <w:tab w:val="clear" w:pos="1134"/>
          <w:tab w:val="clear" w:pos="1701"/>
          <w:tab w:val="clear" w:pos="2268"/>
          <w:tab w:val="clear" w:pos="2835"/>
        </w:tabs>
        <w:overflowPunct/>
        <w:autoSpaceDE/>
        <w:autoSpaceDN/>
        <w:adjustRightInd/>
        <w:spacing w:before="0"/>
        <w:textAlignment w:val="auto"/>
      </w:pPr>
      <w:r>
        <w:br w:type="page"/>
      </w:r>
    </w:p>
    <w:p w14:paraId="18438086" w14:textId="77777777" w:rsidR="00FF652F" w:rsidRDefault="00FF652F" w:rsidP="00FF652F">
      <w:pPr>
        <w:pStyle w:val="Heading1"/>
      </w:pPr>
      <w:r>
        <w:lastRenderedPageBreak/>
        <w:t>1</w:t>
      </w:r>
      <w:r>
        <w:tab/>
        <w:t>Introduction</w:t>
      </w:r>
    </w:p>
    <w:p w14:paraId="70A64FA5" w14:textId="6EBF0E04" w:rsidR="00FF652F" w:rsidRDefault="00FF652F" w:rsidP="00EC0B0F">
      <w:pPr>
        <w:jc w:val="both"/>
      </w:pPr>
      <w:r>
        <w:t xml:space="preserve">En janvier 2023, l'équipe de direction de l'UIT a lancé une initiative de transformation fondée sur un travail de prospective complet auquel le personnel, à différents niveaux de l'Organisation, a largement contribué. À partir de ces réflexions initiales, un programme axé sur les acteurs du changement a été mis en place pour donner au personnel la possibilité de recommander des cas concrets. Cette initiative a jeté les bases du changement et mobilisé le personnel dans un effort collectif visant à préparer l'UIT pour l'avenir. Alors que la transformation s'opère à l'échelle du Secrétariat, l'initiative de transformation de l'UIT se concentre sur la recherche de l'excellence opérationnelle au sein du Secrétariat général, en tant que prestataire de services auprès des Bureaux et des membres. </w:t>
      </w:r>
    </w:p>
    <w:p w14:paraId="374A6B45" w14:textId="77777777" w:rsidR="00FF652F" w:rsidRDefault="00FF652F" w:rsidP="00EC0B0F">
      <w:pPr>
        <w:jc w:val="both"/>
      </w:pPr>
      <w:r>
        <w:t xml:space="preserve">Comme indiqué lors des précédentes sessions du Conseil et du Groupe de travail du Conseil, la feuille de route pour la transformation de l'UIT comprend une série d'initiatives qui s'articulent autour des cinq piliers suivants: gouvernance, membres et partenaires, personnel et culture, optimisation des ressources et systèmes, et processus et outils. </w:t>
      </w:r>
    </w:p>
    <w:p w14:paraId="3D02197F" w14:textId="25FB2D2E" w:rsidR="00FF652F" w:rsidRDefault="00FF652F" w:rsidP="00EC0B0F">
      <w:pPr>
        <w:jc w:val="both"/>
      </w:pPr>
      <w:r>
        <w:t>À mesure que le processus de transformation de l'UIT avance, le Secrétariat passe de la phase de diagnostic et de réflexion à la phase de mise en œuvre. Après avoir examiné les contributions issues de divers processus de consultation, les hauts responsables opérationnels ont évalué la faisabilité des recommandations et les ont intégrées, autant que possible, dans leurs plans opérationnels.</w:t>
      </w:r>
    </w:p>
    <w:p w14:paraId="1498F867" w14:textId="77777777" w:rsidR="00FF652F" w:rsidRDefault="00FF652F" w:rsidP="00FF652F">
      <w:pPr>
        <w:pStyle w:val="Heading1"/>
      </w:pPr>
      <w:r>
        <w:t>2</w:t>
      </w:r>
      <w:r>
        <w:tab/>
        <w:t>État d'avancement de la mise en œuvre de la feuille de route pour la transformation – Tableau de bord</w:t>
      </w:r>
    </w:p>
    <w:p w14:paraId="4B7E4409" w14:textId="7B297CE1" w:rsidR="00FF652F" w:rsidRDefault="00FF652F" w:rsidP="00EC0B0F">
      <w:pPr>
        <w:jc w:val="both"/>
      </w:pPr>
      <w:r>
        <w:t xml:space="preserve">Le tableau de bord qui rend compte de l'état d'avancement des initiatives de transformation de l'UIT peut être consulté </w:t>
      </w:r>
      <w:hyperlink r:id="rId28" w:history="1">
        <w:r w:rsidRPr="00C23BD9">
          <w:rPr>
            <w:rStyle w:val="Hyperlink"/>
            <w:rFonts w:eastAsia="Times New Roman" w:cs="Times New Roman"/>
            <w:szCs w:val="20"/>
          </w:rPr>
          <w:t>ici</w:t>
        </w:r>
      </w:hyperlink>
      <w:r>
        <w:t>. Il a été mis à jour depuis la récente réunion du Groupe de travail du Conseil sur les ressources financières et les ressources humaines (GTC-FHR) et présente les résultats attendus pour 2026, les taux de progression de chaque initiative à la date de la session de 2026 du Conseil, l'estimation du temps de travail du personnel du Secrétariat général alloué au soutien des initiatives de transformation, ainsi que des rapports sur les gains d'efficacité.</w:t>
      </w:r>
    </w:p>
    <w:p w14:paraId="4604E516" w14:textId="11BC318F" w:rsidR="00FF652F" w:rsidRDefault="00FF652F" w:rsidP="00EC0B0F">
      <w:pPr>
        <w:jc w:val="both"/>
      </w:pPr>
      <w:r>
        <w:t xml:space="preserve">Les premiers aboutissements de ces initiatives sont notamment les suivants: création de l'Unité du contrôle interne, qui remplit également une fonction d'évaluation; refonte complète et automatisation du processus de planification opérationnelle visant à améliorer l'alignement des Plans stratégique, opérationnel et financier sur la budgétisation annuelle/semestrielle; mise en place d'une fonction de médiateur en janvier 2026; simplification des processus de gestion des résultats, auxquels s'ajouteront d'autres améliorations en 2026; et transformation financière, notamment en ce qui concerne le plein respect des normes comptables pour le secteur public international (IPSAS), les améliorations concernant la trésorerie, les fonds extrabudgétaires, le système de gestion des postes lié au financement et la mise en place d'un système complet de gestion des affectations budgétaires. </w:t>
      </w:r>
    </w:p>
    <w:p w14:paraId="44D55256" w14:textId="59B13934" w:rsidR="00FF652F" w:rsidRDefault="00FF652F" w:rsidP="00EC0B0F">
      <w:pPr>
        <w:jc w:val="both"/>
      </w:pPr>
      <w:r>
        <w:t xml:space="preserve">Une formation à la direction adaptative a été organisée à l'intention du personnel et de la direction en 2025 et se poursuivra en 2026. Un nouveau projet de politique relative aux contrats à durée déterminée ainsi qu'un autre concernant le recrutement de consultants font actuellement l'objet de consultations, et devraient être mis sous leur forme finale d'ici la fin </w:t>
      </w:r>
      <w:r>
        <w:lastRenderedPageBreak/>
        <w:t>de l'année 2026. Après consultation des résultats de l'enquête sur l'engagement du personnel, plusieurs mesures ont été lancées, notamment un nouveau programme de reconnaissance et de gratification du personnel et l'allocation de temps aux activités liées à la formation et à l'innovation.</w:t>
      </w:r>
    </w:p>
    <w:p w14:paraId="46C482CF" w14:textId="68F952E9" w:rsidR="00FF652F" w:rsidRDefault="00FF652F" w:rsidP="00EC0B0F">
      <w:pPr>
        <w:jc w:val="both"/>
      </w:pPr>
      <w:r>
        <w:t>En réponse aux cas proposés par les acteurs du changement, plusieurs initiatives ont été mises en œuvre, notamment une formation à l'évaluation, un examen de la chaîne de traitement des documents et l'élaboration de lignes directrices sur l'utilisation de l'intelligence artificielle générative par le personnel à l'UIT.</w:t>
      </w:r>
    </w:p>
    <w:p w14:paraId="7BDB29AB" w14:textId="2BB0F4A9" w:rsidR="00FF652F" w:rsidRDefault="00FF652F" w:rsidP="00FF652F">
      <w:pPr>
        <w:pStyle w:val="Heading1"/>
      </w:pPr>
      <w:r>
        <w:t>3</w:t>
      </w:r>
      <w:r>
        <w:tab/>
        <w:t>Rationalisation visant à accélérer la mise en œuvre et l'obtention de résultats</w:t>
      </w:r>
    </w:p>
    <w:p w14:paraId="21DA8999" w14:textId="1F206EB5" w:rsidR="00FF652F" w:rsidRDefault="00FF652F" w:rsidP="00EC0B0F">
      <w:pPr>
        <w:jc w:val="both"/>
      </w:pPr>
      <w:r>
        <w:t>Conformément aux observations formulées par le Conseil et le Comité consultatif indépendant pour les questions de gestion (CCIG), le Secrétariat a pris des mesures visant à rationaliser la liste des initiatives de transformation et à classer ces dernières par ordre de priorité.</w:t>
      </w:r>
    </w:p>
    <w:p w14:paraId="57DD6B74" w14:textId="5652052E" w:rsidR="00FF652F" w:rsidRDefault="00FF652F" w:rsidP="00EC0B0F">
      <w:pPr>
        <w:jc w:val="both"/>
      </w:pPr>
      <w:r>
        <w:t>Cette orientation plus ciblée vise à accélérer la mise en œuvre et l'obtention de résultats. À cette fin, la Secrétaire générale a lancé la rationalisation des processus de gouvernance interne en septembre, en créant un Groupe de travail sur la transformation chargé de faire avancer les priorités, de suivre les progrès et d'éliminer les obstacles à l'obtention de résultats. Le groupe de travail est présidé par le Chef du Département de l'administration et des finances et fait régulièrement rapport au Comité de coordination (</w:t>
      </w:r>
      <w:proofErr w:type="spellStart"/>
      <w:r>
        <w:t>CoCo</w:t>
      </w:r>
      <w:proofErr w:type="spellEnd"/>
      <w:r>
        <w:t xml:space="preserve">). L'équipe chargée de la transformation a été placée sous la responsabilité du Directeur de l'information, étant donné que la réussite des différentes initiatives dépend étroitement de la mise en œuvre des plates-formes numériques et d'intelligence artificielle. </w:t>
      </w:r>
    </w:p>
    <w:p w14:paraId="647015CF" w14:textId="71E8DFBE" w:rsidR="00FF652F" w:rsidRDefault="00FF652F" w:rsidP="00EC0B0F">
      <w:pPr>
        <w:jc w:val="both"/>
      </w:pPr>
      <w:r>
        <w:t xml:space="preserve">Le Directeur de l'information et l'équipe chargée de la transformation élaborent actuellement un modèle durable pour l'appropriation, l'adoption et la mise en œuvre des initiatives de transformation. L'objectif est notamment d'accompagner les équipes opérationnelles en leur apportant un soutien spécialisé dans des domaines tels que la méthode Lean de gestion des projets, l'intelligence artificielle, la mise au point d'applications et la restructuration des processus opérationnels. Ce faisant, le Secrétariat encourage les nouvelles "méthodes de travail" qui permettent d'intégrer la transformation, la réactivité et l'innovation à la culture et aux activités de l'UIT, dans l'optique d'atteindre l'excellence numérique et organisationnelle. </w:t>
      </w:r>
    </w:p>
    <w:p w14:paraId="3B0189C8" w14:textId="77777777" w:rsidR="00FF652F" w:rsidRDefault="00FF652F" w:rsidP="00EC0B0F">
      <w:pPr>
        <w:jc w:val="both"/>
      </w:pPr>
      <w:r>
        <w:t>Ces travaux sont menés dans le but de produire des résultats visibles et constructifs, qui soient perceptibles, tangibles et appréciés par le personnel et les membres de l'UIT.</w:t>
      </w:r>
    </w:p>
    <w:p w14:paraId="450F807E" w14:textId="77777777" w:rsidR="00FF652F" w:rsidRDefault="00FF652F" w:rsidP="00FF652F">
      <w:pPr>
        <w:pStyle w:val="Heading1"/>
      </w:pPr>
      <w:r>
        <w:t>4</w:t>
      </w:r>
      <w:r>
        <w:tab/>
        <w:t>Domaines prioritaires pour 2026</w:t>
      </w:r>
    </w:p>
    <w:p w14:paraId="7EC13C82" w14:textId="67134534" w:rsidR="00FF652F" w:rsidRDefault="00FF652F" w:rsidP="00EC0B0F">
      <w:pPr>
        <w:jc w:val="both"/>
      </w:pPr>
      <w:r>
        <w:t>La stratégie de transformation de l'UIT s'articule autour de trois axes prioritaires en 2026, qui visent à moderniser le fonctionnement de l'organisation et à instaurer une culture de l'innovation. Le Groupe de travail sur la transformation, le Directeur de l'information et l'équipe chargée de la transformation apportent leur soutien à plusieurs initiatives dans chacun de ces domaines prioritaires.</w:t>
      </w:r>
    </w:p>
    <w:p w14:paraId="563B4627" w14:textId="77777777" w:rsidR="00FF652F" w:rsidRDefault="00FF652F" w:rsidP="00FF652F">
      <w:pPr>
        <w:pStyle w:val="Headingb"/>
      </w:pPr>
      <w:r>
        <w:lastRenderedPageBreak/>
        <w:t>Améliorer l'expérience des membres</w:t>
      </w:r>
    </w:p>
    <w:p w14:paraId="3AFF3AFB" w14:textId="6CFA00DE" w:rsidR="00FF652F" w:rsidRDefault="00FF652F" w:rsidP="00EC0B0F">
      <w:pPr>
        <w:jc w:val="both"/>
      </w:pPr>
      <w:r>
        <w:t>L'organisation mène plusieurs initiatives majeures visant à moderniser l'expérience des membres. Tout d'abord, la mise en place, à titre expérimental, d'un système moderne de gestion des manifestations de bout en bout pour le Sommet mondial sur l'IA au service du bien social et le Forum du SMSI de 2026 va contribuer à améliorer la gestion des manifestations. Parallèlement, des améliorations sont apportées aux outils numériques et d'intelligence artificielle afin d'optimiser l'expérience des délégués assistant à la Conférence de plénipotentiaires de 2026 (PP-26). En outre, la première version du nouveau site web de l'UIT devrait être mise en ligne d'ici la PP-26. À la suite de consultations avec le personnel et les membres, les travaux techniques et préparatoires se déroulent selon le calendrier approuvé par le Conseil. Cette première version est axée sur les quatre objectifs suivants: 1) créer une architecture de l'information cohérente et centrée sur l'utilisateur; 2) améliorer la facilité de recherche de contenu au moyen de fonctions de navigation plus performantes et d'outils de recherche assistée par l'intelligence artificielle; 3) renforcer la cohérence multilingue dans les six langues officielles; et 4) mettre en place une gouvernance, des normes et des processus visant à garantir la qualité, la pérennité et l'évolutivité sur le long terme.</w:t>
      </w:r>
    </w:p>
    <w:p w14:paraId="6C868FD7" w14:textId="77777777" w:rsidR="00FF652F" w:rsidRDefault="00FF652F" w:rsidP="00FF652F">
      <w:pPr>
        <w:pStyle w:val="Headingb"/>
      </w:pPr>
      <w:r>
        <w:t>Efficacité opérationnelle et impact</w:t>
      </w:r>
    </w:p>
    <w:p w14:paraId="01491116" w14:textId="77B12AE9" w:rsidR="00FF652F" w:rsidRDefault="00FF652F" w:rsidP="00EC0B0F">
      <w:pPr>
        <w:jc w:val="both"/>
      </w:pPr>
      <w:r>
        <w:t xml:space="preserve">Le deuxième domaine prioritaire est axé sur l'amélioration de l'efficacité organisationnelle et de la prestation de services dans le cadre de plusieurs initiatives stratégiques. Le </w:t>
      </w:r>
      <w:r w:rsidR="009940B6">
        <w:t>S</w:t>
      </w:r>
      <w:r>
        <w:t>ecrétariat accélère l'adoption de nouvelles solutions d'intelligence artificielle pour automatiser les processus opérationnels dans des domaines tels que les achats, l'administration des ressources humaines et la gestion de projets. Une nouvelle solution en nuage est actuellement à l'essai en vue de rationaliser la gestion des voyages et les charges y</w:t>
      </w:r>
      <w:r w:rsidR="009940B6">
        <w:t> </w:t>
      </w:r>
      <w:r>
        <w:t xml:space="preserve">afférentes. En outre, l'UIT met en œuvre un système de gestion de la relation client (CRM) de pointe assisté par l'intelligence artificielle, afin de soutenir une mobilisation coordonnée et à plus grande échelle des ressources de l'UIT. </w:t>
      </w:r>
    </w:p>
    <w:p w14:paraId="6B2134B5" w14:textId="312F08F6" w:rsidR="00FF652F" w:rsidRDefault="00FF652F" w:rsidP="009940B6">
      <w:pPr>
        <w:pStyle w:val="Headingb"/>
      </w:pPr>
      <w:r>
        <w:t>Autonomisation du personnel et culture de l'innovation</w:t>
      </w:r>
    </w:p>
    <w:p w14:paraId="73EFFB0A" w14:textId="607463B5" w:rsidR="00FF652F" w:rsidRDefault="00FF652F" w:rsidP="00EC0B0F">
      <w:pPr>
        <w:jc w:val="both"/>
      </w:pPr>
      <w:r>
        <w:t>L'objectif de ce troisième domaine prioritaire est de donner au personnel de l'UIT la possibilité de se former grâce à de nouvelles possibilités d'apprentissage. Au cœur de cette initiative se trouve le pôle d'innovation (Innovation Hub) récemment inauguré, situé au rez</w:t>
      </w:r>
      <w:r w:rsidR="009940B6">
        <w:noBreakHyphen/>
      </w:r>
      <w:r>
        <w:t>de</w:t>
      </w:r>
      <w:r w:rsidR="009940B6">
        <w:noBreakHyphen/>
      </w:r>
      <w:r>
        <w:t>chaussée de l'immeuble Montbrillant. Cet espace sert de centre dédié à l'expérimentation, au prototypage, à la formation et à l'accompagnement. Les acteurs du changement constitueront un noyau de pionniers qui seront les premiers à tirer parti des nouvelles possibilités offertes.</w:t>
      </w:r>
    </w:p>
    <w:p w14:paraId="587E9A9A" w14:textId="54595FCD" w:rsidR="00FF652F" w:rsidRDefault="00FF652F" w:rsidP="009940B6">
      <w:pPr>
        <w:pStyle w:val="Headingb"/>
      </w:pPr>
      <w:r>
        <w:t>La transformation numérique en tant que catalyseur et accélérateur essentiel</w:t>
      </w:r>
    </w:p>
    <w:p w14:paraId="0BFDFC69" w14:textId="0254953E" w:rsidR="00FF652F" w:rsidRDefault="00FF652F" w:rsidP="00EC0B0F">
      <w:pPr>
        <w:jc w:val="both"/>
      </w:pPr>
      <w:r>
        <w:t>Toutes ces initiatives s'appuient sur une stratégie globale de transformation numérique (</w:t>
      </w:r>
      <w:hyperlink r:id="rId29" w:history="1">
        <w:r w:rsidRPr="00312E78">
          <w:rPr>
            <w:rStyle w:val="Hyperlink"/>
            <w:rFonts w:eastAsia="Times New Roman" w:cs="Times New Roman"/>
            <w:szCs w:val="20"/>
          </w:rPr>
          <w:t>Document</w:t>
        </w:r>
        <w:r w:rsidR="009940B6" w:rsidRPr="00312E78">
          <w:rPr>
            <w:rStyle w:val="Hyperlink"/>
            <w:rFonts w:eastAsia="Times New Roman" w:cs="Times New Roman"/>
            <w:szCs w:val="20"/>
          </w:rPr>
          <w:t> </w:t>
        </w:r>
        <w:r w:rsidR="00C23BD9" w:rsidRPr="00312E78">
          <w:rPr>
            <w:rStyle w:val="Hyperlink"/>
            <w:rFonts w:eastAsia="Times New Roman" w:cs="Times New Roman"/>
            <w:szCs w:val="20"/>
          </w:rPr>
          <w:t>C26/62</w:t>
        </w:r>
      </w:hyperlink>
      <w:r>
        <w:t>), dont le rôle essentiel de catalyseur et d'accélérateur s'articule autour de quatre axes principaux: l'élaboration de stratégies internes en matière d'intelligence artificielle, de données, de technologies en nuage et de cybersécurité; la mise en place d'un programme d'architecture institutionnelle à l'échelle de l'UIT visant à garantir la sécurité, la flexibilité et l'interopérabilité des systèmes; la restructuration de l'équipe du Département des services informatiques (ISD) en appliquant un nouveau modèle opérationnel; et la mise en œuvre d'un modèle révisé de gouvernance numérique et des données.</w:t>
      </w:r>
    </w:p>
    <w:p w14:paraId="29C9024A" w14:textId="77777777" w:rsidR="00FF652F" w:rsidRDefault="00FF652F" w:rsidP="009940B6">
      <w:pPr>
        <w:pStyle w:val="Heading1"/>
      </w:pPr>
      <w:r>
        <w:lastRenderedPageBreak/>
        <w:t>5</w:t>
      </w:r>
      <w:r>
        <w:tab/>
        <w:t>Situation financière</w:t>
      </w:r>
    </w:p>
    <w:p w14:paraId="1F69A8ED" w14:textId="01CAD8F6" w:rsidR="00FF652F" w:rsidRDefault="00FF652F" w:rsidP="00EC0B0F">
      <w:pPr>
        <w:jc w:val="both"/>
      </w:pPr>
      <w:r>
        <w:t>Le financement des initiatives de transformation provient principalement de crédits prévus dans le budget ordinaire et d'économies réalisées. Le Conseil a approuvé un montant total de</w:t>
      </w:r>
      <w:r w:rsidR="009940B6">
        <w:t> </w:t>
      </w:r>
      <w:r>
        <w:t>1</w:t>
      </w:r>
      <w:r w:rsidR="009940B6">
        <w:t> </w:t>
      </w:r>
      <w:r>
        <w:t>600</w:t>
      </w:r>
      <w:r w:rsidR="009940B6">
        <w:t> </w:t>
      </w:r>
      <w:r>
        <w:t>000</w:t>
      </w:r>
      <w:r w:rsidR="009940B6">
        <w:t> </w:t>
      </w:r>
      <w:r>
        <w:t>CHF provenant des économies réalisées en 2023 et 2024. Sur ce montant, 600</w:t>
      </w:r>
      <w:r w:rsidR="009940B6">
        <w:t> </w:t>
      </w:r>
      <w:r>
        <w:t>000</w:t>
      </w:r>
      <w:r w:rsidR="009940B6">
        <w:t> </w:t>
      </w:r>
      <w:r>
        <w:t xml:space="preserve">CHF ont été alloués au projet de site web. </w:t>
      </w:r>
      <w:r w:rsidR="00DC466D">
        <w:t xml:space="preserve">Sur le solde restant, </w:t>
      </w:r>
      <w:r>
        <w:t>950 000 CHF ont été dépensés sur deux ans, principalement au bénéfice du personnel de l'équipe chargée de la transformation afin de soutenir la planification et l'établissement de rapports ainsi que la coordination et la mise en œuvre. Les résultats de cet investissement comprennent les réalisations suivantes: 1) élaboration de la stratégie et de la feuille de route pour la transformation et établissement de rapports réguliers en interne et à l'intention du Conseil, 2)</w:t>
      </w:r>
      <w:r w:rsidR="009940B6">
        <w:t> </w:t>
      </w:r>
      <w:r>
        <w:t>engagement du personnel dans la transformation, y compris la gestion de la communauté des acteurs du changement et l'assistance dans les cas de changement, le lancement du centre d'innovation et la formation sur l'intelligence artificielle et les solutions numériques, et 3)</w:t>
      </w:r>
      <w:r w:rsidR="00EC0B0F">
        <w:t> </w:t>
      </w:r>
      <w:r>
        <w:t xml:space="preserve">soutien à la mise en œuvre d'initiatives visant à renforcer, entre autres, le recrutement, la gestion des documents, la gestion de la relation client, la mobilisation des ressources et la gestion des voyages. </w:t>
      </w:r>
    </w:p>
    <w:p w14:paraId="33824FFC" w14:textId="4CB9A6EA" w:rsidR="00FF652F" w:rsidRDefault="00FF652F" w:rsidP="00EC0B0F">
      <w:pPr>
        <w:jc w:val="both"/>
      </w:pPr>
      <w:r>
        <w:t xml:space="preserve">En outre, le </w:t>
      </w:r>
      <w:hyperlink r:id="rId30" w:history="1">
        <w:r w:rsidR="00C23BD9" w:rsidRPr="00C23BD9">
          <w:rPr>
            <w:rStyle w:val="Hyperlink"/>
            <w:rFonts w:eastAsia="Times New Roman" w:cs="Times New Roman"/>
            <w:szCs w:val="20"/>
          </w:rPr>
          <w:t>T</w:t>
        </w:r>
        <w:r w:rsidRPr="00C23BD9">
          <w:rPr>
            <w:rStyle w:val="Hyperlink"/>
            <w:rFonts w:eastAsia="Times New Roman" w:cs="Times New Roman"/>
            <w:szCs w:val="20"/>
          </w:rPr>
          <w:t>ableau de bord de la transformation</w:t>
        </w:r>
      </w:hyperlink>
      <w:r>
        <w:t xml:space="preserve"> fait état d'un investissement estimé à</w:t>
      </w:r>
      <w:r w:rsidR="009940B6">
        <w:t> </w:t>
      </w:r>
      <w:r>
        <w:t>6,6</w:t>
      </w:r>
      <w:r w:rsidR="009940B6">
        <w:t> </w:t>
      </w:r>
      <w:r>
        <w:t>millions CHF en temps de travail du personnel dans l'ensemble des départements du Secrétariat</w:t>
      </w:r>
      <w:r w:rsidR="00C23BD9">
        <w:t> </w:t>
      </w:r>
      <w:r>
        <w:t xml:space="preserve">général, affecté aux activités relatives à la transformation, conformément au </w:t>
      </w:r>
      <w:r w:rsidR="009940B6">
        <w:t>P</w:t>
      </w:r>
      <w:r>
        <w:t>lan</w:t>
      </w:r>
      <w:r w:rsidR="009940B6">
        <w:t> </w:t>
      </w:r>
      <w:r>
        <w:t>opérationnel pour 2026. Cet investissement représente environ 10,5</w:t>
      </w:r>
      <w:r w:rsidR="009940B6">
        <w:t>%</w:t>
      </w:r>
      <w:r>
        <w:t xml:space="preserve"> du temps de travail total du personnel prévu dans le plan opérationnel.</w:t>
      </w:r>
    </w:p>
    <w:p w14:paraId="681DBB84" w14:textId="6F1F20A5" w:rsidR="006A11AE" w:rsidRDefault="00FF652F" w:rsidP="00EC0B0F">
      <w:pPr>
        <w:jc w:val="both"/>
      </w:pPr>
      <w:r>
        <w:t xml:space="preserve">À l'avenir, des investissements supplémentaires seront nécessaires pour mettre en œuvre de nouveaux systèmes numériques et d'intelligence artificielle, ainsi que pour l'acquisition de nouvelles compétences pour appuyer la modernisation, l'automatisation et la rationalisation des processus opérationnels. Le </w:t>
      </w:r>
      <w:hyperlink r:id="rId31" w:history="1">
        <w:r w:rsidR="009940B6" w:rsidRPr="00312E78">
          <w:rPr>
            <w:rStyle w:val="Hyperlink"/>
            <w:rFonts w:eastAsia="Times New Roman" w:cs="Times New Roman"/>
            <w:szCs w:val="20"/>
          </w:rPr>
          <w:t>D</w:t>
        </w:r>
        <w:r w:rsidRPr="00312E78">
          <w:rPr>
            <w:rStyle w:val="Hyperlink"/>
            <w:rFonts w:eastAsia="Times New Roman" w:cs="Times New Roman"/>
            <w:szCs w:val="20"/>
          </w:rPr>
          <w:t>ocument C26/42</w:t>
        </w:r>
      </w:hyperlink>
      <w:r>
        <w:t xml:space="preserve"> présente une proposition visant à utiliser les économies réalisées en 2025 afin de soutenir ces améliorations.</w:t>
      </w:r>
    </w:p>
    <w:p w14:paraId="27EB7EEB" w14:textId="77777777" w:rsidR="00EC0B0F" w:rsidRPr="00FF652F" w:rsidRDefault="00EC0B0F" w:rsidP="00EC0B0F">
      <w:pPr>
        <w:jc w:val="both"/>
      </w:pPr>
    </w:p>
    <w:p w14:paraId="57AFB309" w14:textId="77777777" w:rsidR="00897553" w:rsidRDefault="006A11AE" w:rsidP="002D2336">
      <w:pPr>
        <w:jc w:val="center"/>
      </w:pPr>
      <w:r>
        <w:t>______________</w:t>
      </w:r>
    </w:p>
    <w:sectPr w:rsidR="00897553" w:rsidSect="00D72F49">
      <w:headerReference w:type="even" r:id="rId32"/>
      <w:footerReference w:type="even" r:id="rId33"/>
      <w:footerReference w:type="default" r:id="rId34"/>
      <w:headerReference w:type="first" r:id="rId35"/>
      <w:footerReference w:type="first" r:id="rId36"/>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3D456" w14:textId="77777777" w:rsidR="001F3302" w:rsidRDefault="001F3302">
      <w:r>
        <w:separator/>
      </w:r>
    </w:p>
  </w:endnote>
  <w:endnote w:type="continuationSeparator" w:id="0">
    <w:p w14:paraId="7B9128FD" w14:textId="77777777" w:rsidR="001F3302" w:rsidRDefault="001F3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68DE2" w14:textId="538C0E28" w:rsidR="00732045" w:rsidRDefault="001F3302">
    <w:pPr>
      <w:pStyle w:val="Footer"/>
    </w:pPr>
    <w:fldSimple w:instr=" FILENAME \p \* MERGEFORMAT ">
      <w:r>
        <w:t>Document1</w:t>
      </w:r>
    </w:fldSimple>
    <w:r w:rsidR="00732045">
      <w:tab/>
    </w:r>
    <w:r w:rsidR="002F1B76">
      <w:fldChar w:fldCharType="begin"/>
    </w:r>
    <w:r w:rsidR="00732045">
      <w:instrText xml:space="preserve"> savedate \@ dd.MM.yy </w:instrText>
    </w:r>
    <w:r w:rsidR="002F1B76">
      <w:fldChar w:fldCharType="separate"/>
    </w:r>
    <w:r w:rsidR="00574203">
      <w:t>20.04.26</w:t>
    </w:r>
    <w:r w:rsidR="002F1B76">
      <w:fldChar w:fldCharType="end"/>
    </w:r>
    <w:r w:rsidR="00732045">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4E9C0098" w14:textId="77777777" w:rsidTr="00E31DCE">
      <w:trPr>
        <w:jc w:val="center"/>
      </w:trPr>
      <w:tc>
        <w:tcPr>
          <w:tcW w:w="1803" w:type="dxa"/>
          <w:vAlign w:val="center"/>
        </w:tcPr>
        <w:p w14:paraId="7F067776" w14:textId="1CD447B9" w:rsidR="00A51849" w:rsidRDefault="00FF652F" w:rsidP="00A51849">
          <w:pPr>
            <w:pStyle w:val="Header"/>
            <w:jc w:val="left"/>
            <w:rPr>
              <w:noProof/>
            </w:rPr>
          </w:pPr>
          <w:r>
            <w:rPr>
              <w:noProof/>
            </w:rPr>
            <w:t>2700717</w:t>
          </w:r>
        </w:p>
      </w:tc>
      <w:tc>
        <w:tcPr>
          <w:tcW w:w="8261" w:type="dxa"/>
        </w:tcPr>
        <w:p w14:paraId="3621ED5E" w14:textId="5026AFA0"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FF652F">
            <w:rPr>
              <w:bCs/>
            </w:rPr>
            <w:t>55</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51CFB211"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202755C6" w14:textId="77777777" w:rsidTr="00E31DCE">
      <w:trPr>
        <w:jc w:val="center"/>
      </w:trPr>
      <w:tc>
        <w:tcPr>
          <w:tcW w:w="1803" w:type="dxa"/>
          <w:vAlign w:val="center"/>
        </w:tcPr>
        <w:p w14:paraId="66A2CDB4" w14:textId="77777777" w:rsidR="00A51849" w:rsidRPr="00FC6D7D" w:rsidRDefault="00E4448E" w:rsidP="00A51849">
          <w:pPr>
            <w:pStyle w:val="Header"/>
            <w:jc w:val="left"/>
            <w:rPr>
              <w:noProof/>
              <w:color w:val="0563C1"/>
            </w:rPr>
          </w:pPr>
          <w:hyperlink r:id="rId1" w:anchor="/fr" w:history="1">
            <w:proofErr w:type="spellStart"/>
            <w:r>
              <w:rPr>
                <w:rStyle w:val="Hyperlink"/>
              </w:rPr>
              <w:t>council.itu.int</w:t>
            </w:r>
            <w:proofErr w:type="spellEnd"/>
            <w:r>
              <w:rPr>
                <w:rStyle w:val="Hyperlink"/>
              </w:rPr>
              <w:t>/2026</w:t>
            </w:r>
          </w:hyperlink>
        </w:p>
      </w:tc>
      <w:tc>
        <w:tcPr>
          <w:tcW w:w="8261" w:type="dxa"/>
        </w:tcPr>
        <w:p w14:paraId="0EBA67A8" w14:textId="20C31E69"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FF652F">
            <w:rPr>
              <w:bCs/>
            </w:rPr>
            <w:t>55</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20125A2F"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6D0AA" w14:textId="77777777" w:rsidR="001F3302" w:rsidRDefault="001F3302">
      <w:r>
        <w:t>____________________</w:t>
      </w:r>
    </w:p>
  </w:footnote>
  <w:footnote w:type="continuationSeparator" w:id="0">
    <w:p w14:paraId="1FA3CB77" w14:textId="77777777" w:rsidR="001F3302" w:rsidRDefault="001F3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F48A5"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1222A8AD" w14:textId="77777777" w:rsidR="00732045" w:rsidRDefault="00732045">
    <w:pPr>
      <w:pStyle w:val="Header"/>
    </w:pPr>
    <w:proofErr w:type="spellStart"/>
    <w:r>
      <w:t>C2001</w:t>
    </w:r>
    <w:proofErr w:type="spellEnd"/>
    <w:r>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2F9D6" w14:textId="77777777" w:rsidR="00A51849" w:rsidRPr="001342E0" w:rsidRDefault="001342E0" w:rsidP="001342E0">
    <w:pPr>
      <w:pStyle w:val="Header"/>
    </w:pPr>
    <w:r>
      <w:rPr>
        <w:noProof/>
      </w:rPr>
      <w:drawing>
        <wp:inline distT="0" distB="0" distL="0" distR="0" wp14:anchorId="5ED8E9FD" wp14:editId="1D4E8F16">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204144983">
    <w:abstractNumId w:val="9"/>
  </w:num>
  <w:num w:numId="2" w16cid:durableId="1042679003">
    <w:abstractNumId w:val="7"/>
  </w:num>
  <w:num w:numId="3" w16cid:durableId="1710033290">
    <w:abstractNumId w:val="6"/>
  </w:num>
  <w:num w:numId="4" w16cid:durableId="1466967443">
    <w:abstractNumId w:val="5"/>
  </w:num>
  <w:num w:numId="5" w16cid:durableId="1019041869">
    <w:abstractNumId w:val="4"/>
  </w:num>
  <w:num w:numId="6" w16cid:durableId="1994942309">
    <w:abstractNumId w:val="8"/>
  </w:num>
  <w:num w:numId="7" w16cid:durableId="1943762712">
    <w:abstractNumId w:val="3"/>
  </w:num>
  <w:num w:numId="8" w16cid:durableId="1210023807">
    <w:abstractNumId w:val="2"/>
  </w:num>
  <w:num w:numId="9" w16cid:durableId="976300499">
    <w:abstractNumId w:val="1"/>
  </w:num>
  <w:num w:numId="10" w16cid:durableId="153841235">
    <w:abstractNumId w:val="0"/>
  </w:num>
  <w:num w:numId="11" w16cid:durableId="401220439">
    <w:abstractNumId w:val="8"/>
  </w:num>
  <w:num w:numId="12" w16cid:durableId="1266042031">
    <w:abstractNumId w:val="3"/>
  </w:num>
  <w:num w:numId="13" w16cid:durableId="1286500294">
    <w:abstractNumId w:val="2"/>
  </w:num>
  <w:num w:numId="14" w16cid:durableId="1804274698">
    <w:abstractNumId w:val="1"/>
  </w:num>
  <w:num w:numId="15" w16cid:durableId="232618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302"/>
    <w:rsid w:val="00044B71"/>
    <w:rsid w:val="00076A2C"/>
    <w:rsid w:val="000D0D0A"/>
    <w:rsid w:val="00103163"/>
    <w:rsid w:val="00106B19"/>
    <w:rsid w:val="001133EF"/>
    <w:rsid w:val="00115D93"/>
    <w:rsid w:val="001247A8"/>
    <w:rsid w:val="001342E0"/>
    <w:rsid w:val="001343FE"/>
    <w:rsid w:val="001370B2"/>
    <w:rsid w:val="001378C0"/>
    <w:rsid w:val="001658F9"/>
    <w:rsid w:val="0018694A"/>
    <w:rsid w:val="0019129B"/>
    <w:rsid w:val="001A3287"/>
    <w:rsid w:val="001A6508"/>
    <w:rsid w:val="001C78E5"/>
    <w:rsid w:val="001D4C31"/>
    <w:rsid w:val="001E4D21"/>
    <w:rsid w:val="001F3302"/>
    <w:rsid w:val="00207CD1"/>
    <w:rsid w:val="00226657"/>
    <w:rsid w:val="002477A2"/>
    <w:rsid w:val="00263A51"/>
    <w:rsid w:val="00267E02"/>
    <w:rsid w:val="00271321"/>
    <w:rsid w:val="00277DEA"/>
    <w:rsid w:val="002A5D44"/>
    <w:rsid w:val="002C3F32"/>
    <w:rsid w:val="002C4E3D"/>
    <w:rsid w:val="002D2336"/>
    <w:rsid w:val="002E0BC4"/>
    <w:rsid w:val="002F1B76"/>
    <w:rsid w:val="00312E78"/>
    <w:rsid w:val="0033568E"/>
    <w:rsid w:val="00355FF5"/>
    <w:rsid w:val="00361350"/>
    <w:rsid w:val="003C3FAE"/>
    <w:rsid w:val="004038CB"/>
    <w:rsid w:val="0040546F"/>
    <w:rsid w:val="004177BD"/>
    <w:rsid w:val="0042404A"/>
    <w:rsid w:val="0044618F"/>
    <w:rsid w:val="00465C35"/>
    <w:rsid w:val="0046769A"/>
    <w:rsid w:val="00475FB3"/>
    <w:rsid w:val="004C37A9"/>
    <w:rsid w:val="004C4C94"/>
    <w:rsid w:val="004D1D50"/>
    <w:rsid w:val="004F259E"/>
    <w:rsid w:val="004F633A"/>
    <w:rsid w:val="00504C7F"/>
    <w:rsid w:val="00511F1D"/>
    <w:rsid w:val="00520F36"/>
    <w:rsid w:val="00524E8D"/>
    <w:rsid w:val="00534E13"/>
    <w:rsid w:val="00540615"/>
    <w:rsid w:val="00540A6D"/>
    <w:rsid w:val="00553536"/>
    <w:rsid w:val="00566679"/>
    <w:rsid w:val="00571EEA"/>
    <w:rsid w:val="00574203"/>
    <w:rsid w:val="00575417"/>
    <w:rsid w:val="005768E1"/>
    <w:rsid w:val="005B1938"/>
    <w:rsid w:val="005C3890"/>
    <w:rsid w:val="005F7BFE"/>
    <w:rsid w:val="00600017"/>
    <w:rsid w:val="00602682"/>
    <w:rsid w:val="006235CA"/>
    <w:rsid w:val="0062366E"/>
    <w:rsid w:val="006643AB"/>
    <w:rsid w:val="006A11AE"/>
    <w:rsid w:val="006B224B"/>
    <w:rsid w:val="006F0A53"/>
    <w:rsid w:val="0071402E"/>
    <w:rsid w:val="007210CD"/>
    <w:rsid w:val="00732045"/>
    <w:rsid w:val="0073275D"/>
    <w:rsid w:val="007369DB"/>
    <w:rsid w:val="0077110E"/>
    <w:rsid w:val="007956C2"/>
    <w:rsid w:val="00796BDB"/>
    <w:rsid w:val="007A187E"/>
    <w:rsid w:val="007C72C2"/>
    <w:rsid w:val="007D4436"/>
    <w:rsid w:val="007F257A"/>
    <w:rsid w:val="007F3665"/>
    <w:rsid w:val="00800037"/>
    <w:rsid w:val="0082299A"/>
    <w:rsid w:val="0083391C"/>
    <w:rsid w:val="0084546D"/>
    <w:rsid w:val="00861D73"/>
    <w:rsid w:val="00882919"/>
    <w:rsid w:val="00897553"/>
    <w:rsid w:val="008A4E87"/>
    <w:rsid w:val="008D76E6"/>
    <w:rsid w:val="0092392D"/>
    <w:rsid w:val="0093234A"/>
    <w:rsid w:val="00956A78"/>
    <w:rsid w:val="0097363B"/>
    <w:rsid w:val="00973F53"/>
    <w:rsid w:val="0098348E"/>
    <w:rsid w:val="009940B6"/>
    <w:rsid w:val="009A6BAA"/>
    <w:rsid w:val="009A76A8"/>
    <w:rsid w:val="009C307F"/>
    <w:rsid w:val="009C353C"/>
    <w:rsid w:val="009D5955"/>
    <w:rsid w:val="009F0FB8"/>
    <w:rsid w:val="00A01F4F"/>
    <w:rsid w:val="00A109AF"/>
    <w:rsid w:val="00A125FB"/>
    <w:rsid w:val="00A2113E"/>
    <w:rsid w:val="00A23A51"/>
    <w:rsid w:val="00A24607"/>
    <w:rsid w:val="00A25CD3"/>
    <w:rsid w:val="00A51849"/>
    <w:rsid w:val="00A709FE"/>
    <w:rsid w:val="00A73C60"/>
    <w:rsid w:val="00A82767"/>
    <w:rsid w:val="00AA332F"/>
    <w:rsid w:val="00AA7BBB"/>
    <w:rsid w:val="00AB64A8"/>
    <w:rsid w:val="00AC0266"/>
    <w:rsid w:val="00AC0F1D"/>
    <w:rsid w:val="00AD24EC"/>
    <w:rsid w:val="00B27B00"/>
    <w:rsid w:val="00B309F9"/>
    <w:rsid w:val="00B32B60"/>
    <w:rsid w:val="00B51005"/>
    <w:rsid w:val="00B61619"/>
    <w:rsid w:val="00BB38C1"/>
    <w:rsid w:val="00BB4545"/>
    <w:rsid w:val="00BD5873"/>
    <w:rsid w:val="00BF4B60"/>
    <w:rsid w:val="00C049D7"/>
    <w:rsid w:val="00C04BE3"/>
    <w:rsid w:val="00C23BD9"/>
    <w:rsid w:val="00C25D29"/>
    <w:rsid w:val="00C2625E"/>
    <w:rsid w:val="00C27A7C"/>
    <w:rsid w:val="00C42437"/>
    <w:rsid w:val="00CA08ED"/>
    <w:rsid w:val="00CC6EAA"/>
    <w:rsid w:val="00CE5172"/>
    <w:rsid w:val="00CF0534"/>
    <w:rsid w:val="00CF183B"/>
    <w:rsid w:val="00D375CD"/>
    <w:rsid w:val="00D37B53"/>
    <w:rsid w:val="00D553A2"/>
    <w:rsid w:val="00D72F49"/>
    <w:rsid w:val="00D774D3"/>
    <w:rsid w:val="00D904E8"/>
    <w:rsid w:val="00DA08C3"/>
    <w:rsid w:val="00DB5A3E"/>
    <w:rsid w:val="00DC22AA"/>
    <w:rsid w:val="00DC466D"/>
    <w:rsid w:val="00DD1A99"/>
    <w:rsid w:val="00DE62C6"/>
    <w:rsid w:val="00DF74DD"/>
    <w:rsid w:val="00E25AD0"/>
    <w:rsid w:val="00E4428F"/>
    <w:rsid w:val="00E4448E"/>
    <w:rsid w:val="00E47427"/>
    <w:rsid w:val="00E93668"/>
    <w:rsid w:val="00E95647"/>
    <w:rsid w:val="00EB6350"/>
    <w:rsid w:val="00EC0B0F"/>
    <w:rsid w:val="00ED799B"/>
    <w:rsid w:val="00F15B57"/>
    <w:rsid w:val="00F35EF4"/>
    <w:rsid w:val="00F37FE5"/>
    <w:rsid w:val="00F427DB"/>
    <w:rsid w:val="00FA5EB1"/>
    <w:rsid w:val="00FA7439"/>
    <w:rsid w:val="00FC4EC0"/>
    <w:rsid w:val="00FC6D7D"/>
    <w:rsid w:val="00FF0181"/>
    <w:rsid w:val="00FF65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2657BC"/>
  <w15:docId w15:val="{4B6D3F70-20A1-4A9D-9480-A07AE5EDD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2-CL-C-0040/fr" TargetMode="External"/><Relationship Id="rId18" Type="http://schemas.openxmlformats.org/officeDocument/2006/relationships/hyperlink" Target="https://www.itu.int/md/S23-CL-INF-0011/en" TargetMode="External"/><Relationship Id="rId26" Type="http://schemas.openxmlformats.org/officeDocument/2006/relationships/hyperlink" Target="https://www.itu.int/md/S26-CWGFHR22-C-0015/en" TargetMode="External"/><Relationship Id="rId21" Type="http://schemas.openxmlformats.org/officeDocument/2006/relationships/hyperlink" Target="https://www.itu.int/md/S24-CL-C-0053/fr" TargetMode="External"/><Relationship Id="rId34" Type="http://schemas.openxmlformats.org/officeDocument/2006/relationships/footer" Target="footer2.xml"/><Relationship Id="rId7" Type="http://schemas.openxmlformats.org/officeDocument/2006/relationships/hyperlink" Target="https://www.itu.int/md/S26-CL-C-0042/fr" TargetMode="External"/><Relationship Id="rId12" Type="http://schemas.openxmlformats.org/officeDocument/2006/relationships/hyperlink" Target="https://www.itu.int/md/S22-CL-INF-0013/en" TargetMode="External"/><Relationship Id="rId17" Type="http://schemas.openxmlformats.org/officeDocument/2006/relationships/hyperlink" Target="https://www.itu.int/md/S23-CL-C-0062/fr" TargetMode="External"/><Relationship Id="rId25" Type="http://schemas.openxmlformats.org/officeDocument/2006/relationships/hyperlink" Target="https://www.itu.int/md/S25-CL-C-0066/fr"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itu.int/md/S23-CL-C-0050/fr" TargetMode="External"/><Relationship Id="rId20" Type="http://schemas.openxmlformats.org/officeDocument/2006/relationships/hyperlink" Target="https://www.itu.int/md/S24-CL-C-0019/fr" TargetMode="External"/><Relationship Id="rId29" Type="http://schemas.openxmlformats.org/officeDocument/2006/relationships/hyperlink" Target="https://www.itu.int/md/S26-CL-C-0062/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md/S21-CL-INF-0015/en" TargetMode="External"/><Relationship Id="rId24" Type="http://schemas.openxmlformats.org/officeDocument/2006/relationships/hyperlink" Target="https://www.itu.int/md/S25-CL-C-0055/fr" TargetMode="External"/><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itu.int/md/S23-CL-C-0036/fr" TargetMode="External"/><Relationship Id="rId23" Type="http://schemas.openxmlformats.org/officeDocument/2006/relationships/hyperlink" Target="https://www.itu.int/md/S25-CL-C-0050/fr" TargetMode="External"/><Relationship Id="rId28" Type="http://schemas.openxmlformats.org/officeDocument/2006/relationships/hyperlink" Target="https://app.powerbi.com/view?r=eyJrIjoiOGUwN2RlYzktZjY1Yi00ZmQwLWEzMTYtZGY0MDYyMWU4OGY2IiwidCI6IjIzZTQ2NGQ3LTA0ZTYtNGI4Ny05MTNjLTI0YmQ4OTIxOWZkMyIsImMiOjl9" TargetMode="External"/><Relationship Id="rId36" Type="http://schemas.openxmlformats.org/officeDocument/2006/relationships/footer" Target="footer3.xml"/><Relationship Id="rId10" Type="http://schemas.openxmlformats.org/officeDocument/2006/relationships/hyperlink" Target="https://www.itu.int/md/S20-CL-C-0074/fr" TargetMode="External"/><Relationship Id="rId19" Type="http://schemas.openxmlformats.org/officeDocument/2006/relationships/hyperlink" Target="https://www.itu.int/md/S23-CL-INF-0013/en" TargetMode="External"/><Relationship Id="rId31" Type="http://schemas.openxmlformats.org/officeDocument/2006/relationships/hyperlink" Target="https://www.itu.int/md/S26-CL-C-0042/fr" TargetMode="External"/><Relationship Id="rId4" Type="http://schemas.openxmlformats.org/officeDocument/2006/relationships/webSettings" Target="webSettings.xml"/><Relationship Id="rId9" Type="http://schemas.openxmlformats.org/officeDocument/2006/relationships/hyperlink" Target="https://www.itu.int/md/S20-CL-C-0061/fr" TargetMode="External"/><Relationship Id="rId14" Type="http://schemas.openxmlformats.org/officeDocument/2006/relationships/hyperlink" Target="https://www.itu.int/md/S22-CL-C-0057/fr" TargetMode="External"/><Relationship Id="rId22" Type="http://schemas.openxmlformats.org/officeDocument/2006/relationships/hyperlink" Target="https://www.itu.int/md/S24-CL-C-0031/fr" TargetMode="External"/><Relationship Id="rId27" Type="http://schemas.openxmlformats.org/officeDocument/2006/relationships/hyperlink" Target="https://app.powerbi.com/view?r=eyJrIjoiOGUwN2RlYzktZjY1Yi00ZmQwLWEzMTYtZGY0MDYyMWU4OGY2IiwidCI6IjIzZTQ2NGQ3LTA0ZTYtNGI4Ny05MTNjLTI0YmQ4OTIxOWZkMyIsImMiOjl9" TargetMode="External"/><Relationship Id="rId30" Type="http://schemas.openxmlformats.org/officeDocument/2006/relationships/hyperlink" Target="https://app.powerbi.com/view?r=eyJrIjoiOGUwN2RlYzktZjY1Yi00ZmQwLWEzMTYtZGY0MDYyMWU4OGY2IiwidCI6IjIzZTQ2NGQ3LTA0ZTYtNGI4Ny05MTNjLTI0YmQ4OTIxOWZkMyIsImMiOjl9" TargetMode="External"/><Relationship Id="rId35" Type="http://schemas.openxmlformats.org/officeDocument/2006/relationships/header" Target="header2.xml"/><Relationship Id="rId8" Type="http://schemas.openxmlformats.org/officeDocument/2006/relationships/hyperlink" Target="https://www.itu.int/en/council/cwg-fhr/Pages/default.aspx" TargetMode="External"/><Relationship Id="rId3" Type="http://schemas.openxmlformats.org/officeDocument/2006/relationships/settings" Target="settings.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blue\dfs\REFINFO\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PF_Council26.dotx</Template>
  <TotalTime>5</TotalTime>
  <Pages>5</Pages>
  <Words>2025</Words>
  <Characters>13566</Characters>
  <Application>Microsoft Office Word</Application>
  <DocSecurity>0</DocSecurity>
  <Lines>1356</Lines>
  <Paragraphs>866</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14725</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Point sur la transformation de l'UIT – Bâtir une UIT efficace, réactive et parée pour l'avenir</dc:title>
  <dc:subject>Conseil 2026 de l'UIT</dc:subject>
  <cp:keywords>C26; C2026; Council 2026; PP26</cp:keywords>
  <dc:description/>
  <cp:lastPrinted>2000-07-18T08:55:00Z</cp:lastPrinted>
  <dcterms:created xsi:type="dcterms:W3CDTF">2026-04-24T11:37:00Z</dcterms:created>
  <dcterms:modified xsi:type="dcterms:W3CDTF">2026-04-24T11:38:00Z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