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14C502A3" w:rsidR="007B0AA0" w:rsidRPr="007B0AA0" w:rsidRDefault="007B0AA0" w:rsidP="00F363FE">
            <w:pPr>
              <w:spacing w:before="60" w:after="60" w:line="260" w:lineRule="exact"/>
              <w:rPr>
                <w:b/>
                <w:bCs/>
                <w:rtl/>
              </w:rPr>
            </w:pPr>
            <w:r w:rsidRPr="007B0AA0">
              <w:rPr>
                <w:rFonts w:hint="cs"/>
                <w:b/>
                <w:bCs/>
                <w:rtl/>
                <w:lang w:bidi="ar-EG"/>
              </w:rPr>
              <w:t>بند جدول الأعمال:</w:t>
            </w:r>
            <w:r w:rsidR="000D2FA5">
              <w:rPr>
                <w:rFonts w:hint="cs"/>
                <w:b/>
                <w:bCs/>
                <w:rtl/>
              </w:rPr>
              <w:t xml:space="preserve"> </w:t>
            </w:r>
            <w:r w:rsidR="000D2FA5" w:rsidRPr="007563CD">
              <w:rPr>
                <w:b/>
              </w:rPr>
              <w:t>PL-1</w:t>
            </w:r>
          </w:p>
        </w:tc>
        <w:tc>
          <w:tcPr>
            <w:tcW w:w="3117" w:type="dxa"/>
          </w:tcPr>
          <w:p w14:paraId="339A15C6" w14:textId="0C3F093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0D2FA5">
              <w:rPr>
                <w:b/>
                <w:bCs/>
                <w:lang w:bidi="ar-EG"/>
              </w:rPr>
              <w:t>55</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1979D897" w:rsidR="007B0AA0" w:rsidRPr="000D2FA5" w:rsidRDefault="000D2FA5" w:rsidP="00F363FE">
            <w:pPr>
              <w:spacing w:before="60" w:after="60" w:line="260" w:lineRule="exact"/>
              <w:rPr>
                <w:b/>
                <w:bCs/>
                <w:lang w:val="en-GB"/>
              </w:rPr>
            </w:pPr>
            <w:r>
              <w:rPr>
                <w:rFonts w:hint="cs"/>
                <w:b/>
                <w:bCs/>
                <w:rtl/>
                <w:lang w:bidi="ar-EG"/>
              </w:rPr>
              <w:t>30</w:t>
            </w:r>
            <w:r>
              <w:rPr>
                <w:rFonts w:hint="cs"/>
                <w:b/>
                <w:bCs/>
                <w:rtl/>
              </w:rPr>
              <w:t xml:space="preserve"> مارس </w:t>
            </w:r>
            <w:r>
              <w:rPr>
                <w:b/>
                <w:bCs/>
                <w:lang w:val="en-GB"/>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07BBDF5C" w14:textId="77777777" w:rsidTr="007B0AA0">
        <w:tc>
          <w:tcPr>
            <w:tcW w:w="9629" w:type="dxa"/>
            <w:gridSpan w:val="2"/>
            <w:tcBorders>
              <w:bottom w:val="single" w:sz="4" w:space="0" w:color="auto"/>
            </w:tcBorders>
          </w:tcPr>
          <w:p w14:paraId="4CEEFF10" w14:textId="1BE5BA99" w:rsidR="007B0AA0" w:rsidRPr="004B14F4" w:rsidRDefault="000D2FA5" w:rsidP="007B0AA0">
            <w:pPr>
              <w:pStyle w:val="Subtitle0"/>
              <w:rPr>
                <w:spacing w:val="-5"/>
                <w:sz w:val="32"/>
                <w:szCs w:val="32"/>
              </w:rPr>
            </w:pPr>
            <w:r w:rsidRPr="004B14F4">
              <w:rPr>
                <w:spacing w:val="-5"/>
                <w:sz w:val="32"/>
                <w:szCs w:val="32"/>
                <w:rtl/>
              </w:rPr>
              <w:t>مستجدات التحول في الاتحاد - بناء اتحاد يتسم بالكفاءة والمرونة ومواكبة المستقبل</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2B23BB20" w:rsidR="007B0AA0" w:rsidRDefault="000D2FA5" w:rsidP="007B0AA0">
            <w:pPr>
              <w:rPr>
                <w:rtl/>
              </w:rPr>
            </w:pPr>
            <w:r w:rsidRPr="000D2FA5">
              <w:rPr>
                <w:rtl/>
              </w:rPr>
              <w:t>تقدم هذه الوثيقة تقريراً عن حالة جهود التحول التي يبذلها الاتحاد في الأمانة العامة لتحقيق التميز التنظيمي وتحديث الخدمات المقدمة للمكاتب والأعضاء.</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4E2412EC" w:rsidR="007B0AA0" w:rsidRDefault="000D2FA5" w:rsidP="007B0AA0">
            <w:pPr>
              <w:rPr>
                <w:rtl/>
              </w:rPr>
            </w:pPr>
            <w:r w:rsidRPr="000D2FA5">
              <w:rPr>
                <w:rtl/>
              </w:rPr>
              <w:t xml:space="preserve">يُدعى المجلس إلى </w:t>
            </w:r>
            <w:r w:rsidRPr="000D2FA5">
              <w:rPr>
                <w:b/>
                <w:bCs/>
                <w:rtl/>
              </w:rPr>
              <w:t>الإحاطة علماً</w:t>
            </w:r>
            <w:r w:rsidRPr="000D2FA5">
              <w:rPr>
                <w:rtl/>
              </w:rPr>
              <w:t xml:space="preserve"> بالتقدم المحرز حتى الآن.</w:t>
            </w:r>
          </w:p>
          <w:p w14:paraId="03ADEDB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285D3C2" w14:textId="68B52A12" w:rsidR="007B0AA0" w:rsidRDefault="000D2FA5" w:rsidP="007B0AA0">
            <w:pPr>
              <w:rPr>
                <w:rtl/>
              </w:rPr>
            </w:pPr>
            <w:r w:rsidRPr="000D2FA5">
              <w:rPr>
                <w:rtl/>
              </w:rPr>
              <w:t>التميّز في مجال الموارد البشرية والابتكار التنظيمي.</w:t>
            </w:r>
          </w:p>
          <w:p w14:paraId="2319957E" w14:textId="77777777" w:rsidR="007B0AA0" w:rsidRDefault="007B0AA0" w:rsidP="00B97F32">
            <w:pPr>
              <w:rPr>
                <w:b/>
                <w:bCs/>
              </w:rPr>
            </w:pPr>
            <w:r w:rsidRPr="007B0AA0">
              <w:rPr>
                <w:rFonts w:hint="cs"/>
                <w:b/>
                <w:bCs/>
                <w:rtl/>
              </w:rPr>
              <w:t>الآثار المالية</w:t>
            </w:r>
          </w:p>
          <w:p w14:paraId="2788B859" w14:textId="447778D2" w:rsidR="006F363C" w:rsidRPr="005546CF" w:rsidRDefault="000D2FA5" w:rsidP="007B0AA0">
            <w:pPr>
              <w:rPr>
                <w:rtl/>
              </w:rPr>
            </w:pPr>
            <w:r w:rsidRPr="000D2FA5">
              <w:rPr>
                <w:rtl/>
              </w:rPr>
              <w:t>خصصت استثمارات بقيمة 1,6 مليون فرنك سويسري من وفورات عام</w:t>
            </w:r>
            <w:r w:rsidR="004B14F4">
              <w:rPr>
                <w:rFonts w:hint="cs"/>
                <w:rtl/>
              </w:rPr>
              <w:t>َ</w:t>
            </w:r>
            <w:r w:rsidRPr="000D2FA5">
              <w:rPr>
                <w:rtl/>
              </w:rPr>
              <w:t xml:space="preserve">ي 2023 و2024 التي وافق عليها المجلس لجهود تنفيذ التحول. وتقترح استثمارات إضافية باستخدام وفورات عام 2025 الواردة في الوثيقة </w:t>
            </w:r>
            <w:hyperlink r:id="rId8" w:history="1">
              <w:r w:rsidRPr="000D2FA5">
                <w:rPr>
                  <w:rStyle w:val="Hyperlink"/>
                  <w:noProof w:val="0"/>
                  <w:lang w:val="en-US" w:eastAsia="zh-CN"/>
                </w:rPr>
                <w:t>C26/42</w:t>
              </w:r>
            </w:hyperlink>
            <w:r w:rsidRPr="000D2FA5">
              <w:rPr>
                <w:rtl/>
              </w:rPr>
              <w:t>.</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315EA024" w:rsidR="007B0AA0" w:rsidRPr="00CA0A23" w:rsidRDefault="000D2FA5" w:rsidP="004B14F4">
            <w:pPr>
              <w:rPr>
                <w:i/>
                <w:iCs/>
                <w:rtl/>
              </w:rPr>
            </w:pPr>
            <w:hyperlink r:id="rId9" w:anchor="/ar" w:history="1">
              <w:r w:rsidRPr="00CA0A23">
                <w:rPr>
                  <w:rStyle w:val="Hyperlink"/>
                  <w:i/>
                  <w:iCs/>
                  <w:noProof w:val="0"/>
                  <w:rtl/>
                  <w:lang w:val="en-US" w:eastAsia="zh-CN"/>
                </w:rPr>
                <w:t xml:space="preserve">الموقع الإلكتروني للفريق </w:t>
              </w:r>
              <w:r w:rsidRPr="00CA0A23">
                <w:rPr>
                  <w:rStyle w:val="Hyperlink"/>
                  <w:i/>
                  <w:iCs/>
                  <w:noProof w:val="0"/>
                  <w:lang w:val="en-US" w:eastAsia="zh-CN"/>
                </w:rPr>
                <w:t>CWG-FHR</w:t>
              </w:r>
            </w:hyperlink>
            <w:r w:rsidRPr="00CA0A23">
              <w:rPr>
                <w:i/>
                <w:iCs/>
                <w:rtl/>
              </w:rPr>
              <w:t xml:space="preserve">؛ </w:t>
            </w:r>
            <w:r w:rsidR="00CA0A23" w:rsidRPr="00CA0A23">
              <w:rPr>
                <w:rFonts w:hint="cs"/>
                <w:i/>
                <w:iCs/>
                <w:rtl/>
              </w:rPr>
              <w:t>وثائق</w:t>
            </w:r>
            <w:r w:rsidR="00CA0A23" w:rsidRPr="00CA0A23">
              <w:rPr>
                <w:i/>
                <w:iCs/>
                <w:rtl/>
              </w:rPr>
              <w:t xml:space="preserve"> </w:t>
            </w:r>
            <w:r w:rsidRPr="00CA0A23">
              <w:rPr>
                <w:i/>
                <w:iCs/>
                <w:rtl/>
              </w:rPr>
              <w:t xml:space="preserve">المجلس </w:t>
            </w:r>
            <w:hyperlink r:id="rId10" w:history="1">
              <w:r w:rsidRPr="00CA0A23">
                <w:rPr>
                  <w:rStyle w:val="Hyperlink"/>
                  <w:i/>
                  <w:iCs/>
                  <w:noProof w:val="0"/>
                  <w:lang w:val="en-US" w:eastAsia="zh-CN"/>
                </w:rPr>
                <w:t>C20/61</w:t>
              </w:r>
            </w:hyperlink>
            <w:r w:rsidR="000371F1">
              <w:rPr>
                <w:rFonts w:hint="cs"/>
                <w:i/>
                <w:iCs/>
                <w:rtl/>
              </w:rPr>
              <w:t xml:space="preserve"> و</w:t>
            </w:r>
            <w:hyperlink r:id="rId11" w:history="1">
              <w:r w:rsidRPr="00CA0A23">
                <w:rPr>
                  <w:rStyle w:val="Hyperlink"/>
                  <w:i/>
                  <w:iCs/>
                  <w:noProof w:val="0"/>
                  <w:lang w:val="en-US" w:eastAsia="zh-CN"/>
                </w:rPr>
                <w:t>C20/74</w:t>
              </w:r>
            </w:hyperlink>
            <w:r w:rsidR="000371F1">
              <w:rPr>
                <w:i/>
                <w:iCs/>
                <w:rtl/>
              </w:rPr>
              <w:t xml:space="preserve"> و</w:t>
            </w:r>
            <w:hyperlink r:id="rId12" w:history="1">
              <w:r w:rsidRPr="00CA0A23">
                <w:rPr>
                  <w:rStyle w:val="Hyperlink"/>
                  <w:i/>
                  <w:iCs/>
                  <w:noProof w:val="0"/>
                  <w:lang w:val="en-US" w:eastAsia="zh-CN"/>
                </w:rPr>
                <w:t>C21/INF/15</w:t>
              </w:r>
            </w:hyperlink>
            <w:r w:rsidR="000371F1">
              <w:rPr>
                <w:i/>
                <w:iCs/>
                <w:rtl/>
              </w:rPr>
              <w:t xml:space="preserve"> و</w:t>
            </w:r>
            <w:hyperlink r:id="rId13" w:history="1">
              <w:r w:rsidRPr="00CA0A23">
                <w:rPr>
                  <w:rStyle w:val="Hyperlink"/>
                  <w:i/>
                  <w:iCs/>
                  <w:noProof w:val="0"/>
                  <w:lang w:val="en-US" w:eastAsia="zh-CN"/>
                </w:rPr>
                <w:t>C22/INF/13</w:t>
              </w:r>
            </w:hyperlink>
            <w:r w:rsidR="000371F1">
              <w:rPr>
                <w:rFonts w:hint="cs"/>
                <w:i/>
                <w:iCs/>
                <w:rtl/>
              </w:rPr>
              <w:t xml:space="preserve"> و</w:t>
            </w:r>
            <w:hyperlink r:id="rId14" w:tgtFrame="_blank" w:history="1">
              <w:r w:rsidRPr="00CA0A23">
                <w:rPr>
                  <w:rStyle w:val="Hyperlink"/>
                  <w:i/>
                  <w:iCs/>
                </w:rPr>
                <w:t>C22/40</w:t>
              </w:r>
            </w:hyperlink>
            <w:r w:rsidR="000371F1">
              <w:rPr>
                <w:i/>
                <w:iCs/>
                <w:rtl/>
              </w:rPr>
              <w:t xml:space="preserve"> و</w:t>
            </w:r>
            <w:hyperlink r:id="rId15" w:tgtFrame="_blank" w:history="1">
              <w:r w:rsidRPr="00CA0A23">
                <w:rPr>
                  <w:rStyle w:val="Hyperlink"/>
                  <w:i/>
                  <w:iCs/>
                </w:rPr>
                <w:t>C22/57</w:t>
              </w:r>
            </w:hyperlink>
            <w:r w:rsidR="000371F1">
              <w:rPr>
                <w:i/>
                <w:iCs/>
                <w:rtl/>
              </w:rPr>
              <w:t xml:space="preserve"> و</w:t>
            </w:r>
            <w:hyperlink r:id="rId16" w:tgtFrame="_blank" w:history="1">
              <w:r w:rsidRPr="00CA0A23">
                <w:rPr>
                  <w:rStyle w:val="Hyperlink"/>
                  <w:i/>
                  <w:iCs/>
                </w:rPr>
                <w:t>C23/36</w:t>
              </w:r>
            </w:hyperlink>
            <w:r w:rsidR="000371F1">
              <w:rPr>
                <w:i/>
                <w:iCs/>
                <w:rtl/>
              </w:rPr>
              <w:t xml:space="preserve"> و</w:t>
            </w:r>
            <w:hyperlink r:id="rId17" w:tgtFrame="_blank" w:history="1">
              <w:r w:rsidRPr="00CA0A23">
                <w:rPr>
                  <w:rStyle w:val="Hyperlink"/>
                  <w:i/>
                  <w:iCs/>
                </w:rPr>
                <w:t>C23/50</w:t>
              </w:r>
            </w:hyperlink>
            <w:r w:rsidR="000371F1">
              <w:rPr>
                <w:rFonts w:hint="cs"/>
                <w:i/>
                <w:iCs/>
                <w:rtl/>
              </w:rPr>
              <w:t xml:space="preserve"> و</w:t>
            </w:r>
            <w:hyperlink r:id="rId18" w:tgtFrame="_blank" w:history="1">
              <w:r w:rsidRPr="00CA0A23">
                <w:rPr>
                  <w:rStyle w:val="Hyperlink"/>
                  <w:i/>
                  <w:iCs/>
                </w:rPr>
                <w:t>C23/62</w:t>
              </w:r>
            </w:hyperlink>
            <w:r w:rsidR="000371F1">
              <w:rPr>
                <w:rFonts w:hint="cs"/>
                <w:i/>
                <w:iCs/>
                <w:rtl/>
              </w:rPr>
              <w:t xml:space="preserve"> و</w:t>
            </w:r>
            <w:hyperlink r:id="rId19" w:tgtFrame="_blank" w:history="1">
              <w:r w:rsidRPr="00CA0A23">
                <w:rPr>
                  <w:rStyle w:val="Hyperlink"/>
                  <w:i/>
                  <w:iCs/>
                </w:rPr>
                <w:t>C23/INF/11</w:t>
              </w:r>
            </w:hyperlink>
            <w:r w:rsidR="000371F1">
              <w:rPr>
                <w:rFonts w:hint="cs"/>
                <w:i/>
                <w:iCs/>
                <w:rtl/>
              </w:rPr>
              <w:t xml:space="preserve"> و</w:t>
            </w:r>
            <w:hyperlink r:id="rId20" w:tgtFrame="_blank" w:history="1">
              <w:r w:rsidRPr="00CA0A23">
                <w:rPr>
                  <w:rStyle w:val="Hyperlink"/>
                  <w:i/>
                  <w:iCs/>
                </w:rPr>
                <w:t>C23/INF/13</w:t>
              </w:r>
            </w:hyperlink>
            <w:r w:rsidR="000371F1">
              <w:rPr>
                <w:rFonts w:hint="cs"/>
                <w:i/>
                <w:iCs/>
                <w:rtl/>
              </w:rPr>
              <w:t xml:space="preserve"> و</w:t>
            </w:r>
            <w:hyperlink r:id="rId21" w:tgtFrame="_blank" w:history="1">
              <w:r w:rsidRPr="00CA0A23">
                <w:rPr>
                  <w:rStyle w:val="Hyperlink"/>
                  <w:i/>
                  <w:iCs/>
                </w:rPr>
                <w:t>C24/19</w:t>
              </w:r>
            </w:hyperlink>
            <w:r w:rsidR="000371F1">
              <w:rPr>
                <w:rFonts w:hint="cs"/>
                <w:i/>
                <w:iCs/>
                <w:rtl/>
              </w:rPr>
              <w:t xml:space="preserve"> و</w:t>
            </w:r>
            <w:hyperlink r:id="rId22" w:tgtFrame="_blank" w:history="1">
              <w:r w:rsidRPr="00CA0A23">
                <w:rPr>
                  <w:rStyle w:val="Hyperlink"/>
                  <w:i/>
                  <w:iCs/>
                </w:rPr>
                <w:t>C24/53</w:t>
              </w:r>
            </w:hyperlink>
            <w:r w:rsidR="000371F1">
              <w:rPr>
                <w:rFonts w:hint="cs"/>
                <w:i/>
                <w:iCs/>
                <w:rtl/>
              </w:rPr>
              <w:t xml:space="preserve"> و</w:t>
            </w:r>
            <w:hyperlink r:id="rId23" w:tgtFrame="_blank" w:history="1">
              <w:r w:rsidRPr="00CA0A23">
                <w:rPr>
                  <w:rStyle w:val="Hyperlink"/>
                  <w:i/>
                  <w:iCs/>
                </w:rPr>
                <w:t>C24/31</w:t>
              </w:r>
            </w:hyperlink>
            <w:r w:rsidR="000371F1">
              <w:rPr>
                <w:i/>
                <w:iCs/>
                <w:rtl/>
              </w:rPr>
              <w:t xml:space="preserve"> و</w:t>
            </w:r>
            <w:hyperlink r:id="rId24" w:tgtFrame="_blank" w:history="1">
              <w:r w:rsidRPr="00CA0A23">
                <w:rPr>
                  <w:rStyle w:val="Hyperlink"/>
                  <w:i/>
                  <w:iCs/>
                </w:rPr>
                <w:t>C25/50</w:t>
              </w:r>
            </w:hyperlink>
            <w:r w:rsidR="000371F1">
              <w:rPr>
                <w:i/>
                <w:iCs/>
                <w:rtl/>
              </w:rPr>
              <w:t xml:space="preserve"> و</w:t>
            </w:r>
            <w:hyperlink r:id="rId25" w:tgtFrame="_blank" w:history="1">
              <w:r w:rsidRPr="00CA0A23">
                <w:rPr>
                  <w:rStyle w:val="Hyperlink"/>
                  <w:i/>
                  <w:iCs/>
                </w:rPr>
                <w:t>C25/55</w:t>
              </w:r>
            </w:hyperlink>
            <w:r w:rsidR="000371F1">
              <w:rPr>
                <w:rFonts w:hint="cs"/>
                <w:i/>
                <w:iCs/>
                <w:rtl/>
              </w:rPr>
              <w:t xml:space="preserve"> و</w:t>
            </w:r>
            <w:hyperlink r:id="rId26" w:tgtFrame="_blank" w:history="1">
              <w:r w:rsidRPr="00CA0A23">
                <w:rPr>
                  <w:rStyle w:val="Hyperlink"/>
                  <w:i/>
                  <w:iCs/>
                </w:rPr>
                <w:t>C25/66</w:t>
              </w:r>
            </w:hyperlink>
            <w:r w:rsidRPr="00CA0A23">
              <w:rPr>
                <w:rFonts w:hint="cs"/>
                <w:i/>
                <w:iCs/>
                <w:rtl/>
              </w:rPr>
              <w:t>؛</w:t>
            </w:r>
            <w:r w:rsidRPr="00CA0A23">
              <w:rPr>
                <w:i/>
                <w:iCs/>
                <w:rtl/>
              </w:rPr>
              <w:t xml:space="preserve"> الوثيقة </w:t>
            </w:r>
            <w:hyperlink r:id="rId27" w:history="1">
              <w:r w:rsidRPr="00CA0A23">
                <w:rPr>
                  <w:rStyle w:val="Hyperlink"/>
                  <w:i/>
                  <w:iCs/>
                  <w:noProof w:val="0"/>
                  <w:lang w:val="en-US" w:eastAsia="zh-CN"/>
                </w:rPr>
                <w:t>CWG-FHR-22/15</w:t>
              </w:r>
            </w:hyperlink>
            <w:r w:rsidRPr="00CA0A23">
              <w:rPr>
                <w:i/>
                <w:iCs/>
                <w:rtl/>
              </w:rPr>
              <w:t xml:space="preserve">؛ </w:t>
            </w:r>
            <w:hyperlink r:id="rId28" w:history="1">
              <w:r w:rsidRPr="00CA0A23">
                <w:rPr>
                  <w:rStyle w:val="Hyperlink"/>
                  <w:i/>
                  <w:iCs/>
                  <w:noProof w:val="0"/>
                  <w:rtl/>
                  <w:lang w:val="en-US" w:eastAsia="zh-CN"/>
                </w:rPr>
                <w:t>لوحة معلومات التحول مع الحالة</w:t>
              </w:r>
            </w:hyperlink>
          </w:p>
        </w:tc>
      </w:tr>
    </w:tbl>
    <w:p w14:paraId="41C8B8B1" w14:textId="77777777" w:rsidR="00F50E3F" w:rsidRDefault="00F50E3F" w:rsidP="0043260A">
      <w:pPr>
        <w:rPr>
          <w:rtl/>
          <w:lang w:bidi="ar-EG"/>
        </w:rPr>
      </w:pPr>
      <w:r>
        <w:rPr>
          <w:rtl/>
          <w:lang w:bidi="ar-EG"/>
        </w:rPr>
        <w:br w:type="page"/>
      </w:r>
    </w:p>
    <w:p w14:paraId="799D0DDA" w14:textId="77777777" w:rsidR="000D2FA5" w:rsidRPr="000D2FA5" w:rsidRDefault="000D2FA5" w:rsidP="00CA0A23">
      <w:pPr>
        <w:pStyle w:val="Heading1"/>
      </w:pPr>
      <w:r w:rsidRPr="000D2FA5">
        <w:rPr>
          <w:rtl/>
        </w:rPr>
        <w:lastRenderedPageBreak/>
        <w:t>1</w:t>
      </w:r>
      <w:r w:rsidRPr="000D2FA5">
        <w:rPr>
          <w:rtl/>
        </w:rPr>
        <w:tab/>
        <w:t>مقدمة</w:t>
      </w:r>
    </w:p>
    <w:p w14:paraId="19295FAE" w14:textId="325A9613" w:rsidR="000D2FA5" w:rsidRPr="000D2FA5" w:rsidRDefault="000D2FA5" w:rsidP="000D2FA5">
      <w:pPr>
        <w:rPr>
          <w:rtl/>
        </w:rPr>
      </w:pPr>
      <w:r w:rsidRPr="000D2FA5">
        <w:rPr>
          <w:rtl/>
        </w:rPr>
        <w:t>في يناير 2023، أطلق فريق القيادة في الاتحاد مبادرة تحول استناداً إلى عملية رؤية شاملة تضمنت مدخلات من الموظفين على مختلف مستويات المنظمة. وبناء</w:t>
      </w:r>
      <w:r w:rsidR="00C61C04">
        <w:rPr>
          <w:rFonts w:hint="cs"/>
          <w:rtl/>
        </w:rPr>
        <w:t>ً</w:t>
      </w:r>
      <w:r w:rsidRPr="000D2FA5">
        <w:rPr>
          <w:rtl/>
        </w:rPr>
        <w:t xml:space="preserve"> على هذه الأفكار الأولى، أنشئ برنامج صانعي التغيير لإتاحة الفرصة للموظفين للتوصية بحالات محددة. ووفر ذلك أساساً للتغيير وأشرك الموظفين في جهد جماعي لإعداد الاتحاد للمستقبل. وبينما يحدث التحول عبر الأمانة، انصب تركيز مبادرة التحول على تحقيق التميز التشغيلي في الأمانة العامة، كمقدم خدمة للمكاتب والأعضاء.</w:t>
      </w:r>
    </w:p>
    <w:p w14:paraId="634856DF" w14:textId="24D676D7" w:rsidR="000D2FA5" w:rsidRPr="000D2FA5" w:rsidRDefault="000D2FA5" w:rsidP="000D2FA5">
      <w:r w:rsidRPr="000D2FA5">
        <w:rPr>
          <w:rtl/>
        </w:rPr>
        <w:t>وكما ورد في الدورات السابقة للمجلس وأفرقة العمل التابعة للمجلس، تغطي خارطة طريق التحول التي وضعها الاتحاد قائمة من المبادرات عبر الركائز الخمس: الإدارة، والأعضاء والشركاء، والناس والثقافة، واستمثال الموارد والأنظمة، والعمليات والأدوات.</w:t>
      </w:r>
    </w:p>
    <w:p w14:paraId="69399FD9" w14:textId="5299DC3D" w:rsidR="000D2FA5" w:rsidRPr="000D2FA5" w:rsidRDefault="000D2FA5" w:rsidP="000D2FA5">
      <w:r w:rsidRPr="000D2FA5">
        <w:rPr>
          <w:rtl/>
        </w:rPr>
        <w:t>ومع نضوج جهود الاتحاد المتعلقة بالتحول، تنتقل الأمانة من التشخيص والتفكير إلى التنفيذ. وبالنظر إلى المساهمات المستقاة من مختلف العمليات التشاورية، عكف كبار أصحاب الأعمال على تقييم الجدوى ودمج التوصيات حيثما أمكن في خططهم التشغيلية.</w:t>
      </w:r>
    </w:p>
    <w:p w14:paraId="62B624D1" w14:textId="77777777" w:rsidR="000D2FA5" w:rsidRPr="000D2FA5" w:rsidRDefault="000D2FA5" w:rsidP="00CA0A23">
      <w:pPr>
        <w:pStyle w:val="Heading1"/>
      </w:pPr>
      <w:r w:rsidRPr="000D2FA5">
        <w:rPr>
          <w:rtl/>
        </w:rPr>
        <w:t>2</w:t>
      </w:r>
      <w:r w:rsidRPr="000D2FA5">
        <w:rPr>
          <w:rtl/>
        </w:rPr>
        <w:tab/>
        <w:t>حالة تنفيذ خارطة طريق التحول - لوحة المعلومات</w:t>
      </w:r>
    </w:p>
    <w:p w14:paraId="00AF4FBB" w14:textId="56A791CD" w:rsidR="000D2FA5" w:rsidRPr="000D2FA5" w:rsidRDefault="000D2FA5" w:rsidP="000D2FA5">
      <w:r w:rsidRPr="000D2FA5">
        <w:rPr>
          <w:rtl/>
        </w:rPr>
        <w:t xml:space="preserve">يمكن الاطلاع على لوحة المعلومات التي تقدم تقريراً عن حالة مبادرات التحول عبر هذا </w:t>
      </w:r>
      <w:hyperlink r:id="rId29" w:history="1">
        <w:r w:rsidRPr="00CA0A23">
          <w:rPr>
            <w:rStyle w:val="Hyperlink"/>
            <w:noProof w:val="0"/>
            <w:rtl/>
            <w:lang w:val="en-US" w:eastAsia="zh-CN"/>
          </w:rPr>
          <w:t>الرابط</w:t>
        </w:r>
      </w:hyperlink>
      <w:r w:rsidRPr="000D2FA5">
        <w:rPr>
          <w:rtl/>
        </w:rPr>
        <w:t xml:space="preserve">. تم تحديث لوحة المعلومات منذ اجتماع فريق العمل التابع للمجلس والمعني بالموارد المالية والبشرية </w:t>
      </w:r>
      <w:r w:rsidRPr="000D2FA5">
        <w:t>(CWG-FHR)</w:t>
      </w:r>
      <w:r w:rsidRPr="000D2FA5">
        <w:rPr>
          <w:rtl/>
        </w:rPr>
        <w:t xml:space="preserve"> مؤخراً مع منجزات عام 2026 ومعدلات الإنجاز لكل مبادرة اعتباراً من دورة المجلس لعام 2026، وتقدير الاستثمار في الوقت المخصص لموظفي الأمانة العامة لدعم مبادرات التحول، والإبلاغ عن الكفاءات.</w:t>
      </w:r>
      <w:r>
        <w:fldChar w:fldCharType="begin"/>
      </w:r>
      <w:r>
        <w:instrText>HYPERLINK "https://app.powerbi.com/view?r=eyJrIjoiOGUwN2RlYzktZjY1Yi00ZmQwLWEzMTYtZGY0MDYyMWU4OGY2IiwidCI6IjIzZTQ2NGQ3LTA0ZTYtNGI4Ny05MTNjLTI0YmQ4OTIxOWZkMyIsImMiOjl9"</w:instrText>
      </w:r>
      <w:r>
        <w:fldChar w:fldCharType="separate"/>
      </w:r>
      <w:r>
        <w:fldChar w:fldCharType="end"/>
      </w:r>
    </w:p>
    <w:p w14:paraId="60925854" w14:textId="759140F5" w:rsidR="000D2FA5" w:rsidRPr="000D2FA5" w:rsidRDefault="000D2FA5" w:rsidP="000D2FA5">
      <w:r w:rsidRPr="000D2FA5">
        <w:rPr>
          <w:rtl/>
        </w:rPr>
        <w:t>وتشمل بعض الإنجازات المبكرة ما يلي: إنشاء وحدة للرقابة مع إضافة وظيفة التقييم؛ إعادة تصميم وأتمتة عملية التخطيط التشغيلي على نحو شامل لتحسين المواءمة بين الخطط الاستراتيجية والتشغيلية والمالية والميزنة السنوية/نصف السنوية؛ إنشاء وظيفة لأمناء المظالم في يناير 2026؛ عمليات مبسطة لإدارة الأداء، مع المزيد من التحسينات في عام 2026؛ والتحول المالي، بما في ذلك الامتثال الكامل للمعايير المحاسبية الدولية للقطاع العام، وإدخال تحسينات على الخزانة، والأموال من خارج الميزانية، ونظام لإدارة الوظائف يرتبط بالتمويل، ووجود نظام كامل لإدارة مخصصات الميزانية.</w:t>
      </w:r>
    </w:p>
    <w:p w14:paraId="69536C7A" w14:textId="6075EEE3" w:rsidR="000D2FA5" w:rsidRPr="000D2FA5" w:rsidRDefault="000D2FA5" w:rsidP="000D2FA5">
      <w:r w:rsidRPr="000D2FA5">
        <w:rPr>
          <w:rtl/>
        </w:rPr>
        <w:t>ونُظم تدريب على القيادة التكيفية للموظفين والإدارة في عام 2025 ويستمر حتى عام 2026. ويجري التشاور بشأن مشروع جديد لسياسة التعيينات محددة المدة وكذلك مشروع لتعيين الخبراء الاستشاريين قبل الانتهاء منه بحلول نهاية عام 2026. وعقب التعليقات الواردة من الاستقصاء بشأن مشاركة الموظفين، يجري الآن تنفيذ العديد من التدابير، بما في ذلك برنامج جديد للمكافآت والتقدير وتخصيص وقت للأنشطة المتعلقة بالتعلم والابتكار.</w:t>
      </w:r>
    </w:p>
    <w:p w14:paraId="40756115" w14:textId="0AF1F5AE" w:rsidR="000D2FA5" w:rsidRPr="00CA0A23" w:rsidRDefault="000D2FA5" w:rsidP="000D2FA5">
      <w:pPr>
        <w:rPr>
          <w:spacing w:val="2"/>
        </w:rPr>
      </w:pPr>
      <w:r w:rsidRPr="00CA0A23">
        <w:rPr>
          <w:spacing w:val="-2"/>
          <w:rtl/>
        </w:rPr>
        <w:t>واستجابة</w:t>
      </w:r>
      <w:r w:rsidR="00716871">
        <w:rPr>
          <w:rFonts w:hint="cs"/>
          <w:spacing w:val="-2"/>
          <w:rtl/>
        </w:rPr>
        <w:t>ً</w:t>
      </w:r>
      <w:r w:rsidRPr="00CA0A23">
        <w:rPr>
          <w:spacing w:val="-2"/>
          <w:rtl/>
        </w:rPr>
        <w:t xml:space="preserve"> للحالات التي تقدم بها صانعو التغيير، تقدمت مبادرات متعددة، بما في ذلك التدريب على التقييم، واستعراض </w:t>
      </w:r>
      <w:r w:rsidRPr="00CA0A23">
        <w:rPr>
          <w:spacing w:val="2"/>
          <w:rtl/>
        </w:rPr>
        <w:t>عملية الوثائق من طرف إلى طرف، ووضع مبادئ توجيهية على نطاق الاتحاد بشأن استخدام الموظفين للذكاء الاصطناعي</w:t>
      </w:r>
      <w:r w:rsidR="00CA0A23" w:rsidRPr="00CA0A23">
        <w:rPr>
          <w:rFonts w:hint="cs"/>
          <w:spacing w:val="2"/>
          <w:rtl/>
        </w:rPr>
        <w:t xml:space="preserve"> </w:t>
      </w:r>
      <w:r w:rsidRPr="00CA0A23">
        <w:rPr>
          <w:spacing w:val="2"/>
          <w:rtl/>
        </w:rPr>
        <w:t>التوليدي.</w:t>
      </w:r>
    </w:p>
    <w:p w14:paraId="721A3785" w14:textId="77777777" w:rsidR="000D2FA5" w:rsidRPr="000D2FA5" w:rsidRDefault="000D2FA5" w:rsidP="00CA0A23">
      <w:pPr>
        <w:pStyle w:val="Heading1"/>
      </w:pPr>
      <w:r w:rsidRPr="000D2FA5">
        <w:rPr>
          <w:rtl/>
        </w:rPr>
        <w:t>3</w:t>
      </w:r>
      <w:r w:rsidRPr="000D2FA5">
        <w:rPr>
          <w:rtl/>
        </w:rPr>
        <w:tab/>
        <w:t>الترشيد لتسريع التنفيذ وتحقيق النتائج</w:t>
      </w:r>
    </w:p>
    <w:p w14:paraId="72D0E1CC" w14:textId="62A9C916" w:rsidR="000D2FA5" w:rsidRPr="000D2FA5" w:rsidRDefault="000D2FA5" w:rsidP="000D2FA5">
      <w:r w:rsidRPr="000D2FA5">
        <w:rPr>
          <w:rtl/>
        </w:rPr>
        <w:t>وتماشياً مع التعليقات الواردة من المجلس واللجنة الاستشارية المستقلة للإدارة، اتخذت الأمانة تدابير لترشيد قائمة مبادرات التحول وتحديد أولوياتها.</w:t>
      </w:r>
    </w:p>
    <w:p w14:paraId="5273524F" w14:textId="2694358C" w:rsidR="000D2FA5" w:rsidRPr="000D2FA5" w:rsidRDefault="000D2FA5" w:rsidP="000D2FA5">
      <w:r w:rsidRPr="000D2FA5">
        <w:rPr>
          <w:rtl/>
        </w:rPr>
        <w:t xml:space="preserve">ويهدف هذا التركيز الأكثر دقة إلى المساعدة في تسريع التنفيذ وتحقيق النتائج. وتحقيقاً لهذه الغاية، قامت الأمينة العامة بتبسيط عمليات الإدارة الداخلية في سبتمبر من خلال إنشاء فريق مهام معني بالتحول لدفع الأولويات ورصد التقدم وإزالة العقبات التي تحول دون تحقيق النتائج. ويرأس فريق المهام رئيس دائرة الشؤون الإدارية والمالية ويقدم بانتظام معلومات محدثة إلى لجنة التنسيق </w:t>
      </w:r>
      <w:r w:rsidRPr="000D2FA5">
        <w:t>(</w:t>
      </w:r>
      <w:proofErr w:type="spellStart"/>
      <w:r w:rsidRPr="000D2FA5">
        <w:t>CoCo</w:t>
      </w:r>
      <w:proofErr w:type="spellEnd"/>
      <w:r w:rsidRPr="000D2FA5">
        <w:t>)</w:t>
      </w:r>
      <w:r w:rsidRPr="000D2FA5">
        <w:rPr>
          <w:rtl/>
        </w:rPr>
        <w:t xml:space="preserve">. وتم تكليف كبير موظفي المعلومات </w:t>
      </w:r>
      <w:r w:rsidRPr="000D2FA5">
        <w:t>(CIO)</w:t>
      </w:r>
      <w:r w:rsidRPr="000D2FA5">
        <w:rPr>
          <w:rtl/>
        </w:rPr>
        <w:t xml:space="preserve"> بفريق التحول نظراً لأن تنفيذ المنصات الرقمية ومنصات الذكاء الاصطناعي ضروري لنجاح تنفيذ مختلف المبادرات.</w:t>
      </w:r>
    </w:p>
    <w:p w14:paraId="2D297CA3" w14:textId="1ED70C8F" w:rsidR="000D2FA5" w:rsidRPr="000D2FA5" w:rsidRDefault="000D2FA5" w:rsidP="004B14F4">
      <w:pPr>
        <w:keepLines/>
      </w:pPr>
      <w:r w:rsidRPr="000D2FA5">
        <w:rPr>
          <w:rtl/>
        </w:rPr>
        <w:lastRenderedPageBreak/>
        <w:t>ويقوم كبير موظفي المعلومات وفريق التحول بتطوير نموذج مستدام لملكية مبادرات التحول واعتمادها وتنفيذها. ويشمل ذلك مرافقة أفرقة الأعمال بدعم متخصص في مجالات مثل إدارة المشاريع الرشيقة، والذكاء الاصطناعي وتطوير التطبيقات، وإعادة هندسة العمليات التجارية. وبذلك، تعمل الأمانة على تعزيز "طرق عمل" جديدة تندرج فيها التحول والمرونة والابتكار في ثقافة الاتحاد وعملياته سعياً إلى تحقيق التميز الرقمي والتنظيمي.</w:t>
      </w:r>
    </w:p>
    <w:p w14:paraId="2B9F4E2F" w14:textId="21347FCD" w:rsidR="000D2FA5" w:rsidRPr="000D2FA5" w:rsidRDefault="000D2FA5" w:rsidP="000D2FA5">
      <w:r w:rsidRPr="000D2FA5">
        <w:rPr>
          <w:rtl/>
        </w:rPr>
        <w:t xml:space="preserve">والهدف من هذه الجهود هو إحداث تأثير مرئي وهادف يلمسه موظفو الاتحاد وأعضاؤه </w:t>
      </w:r>
      <w:r w:rsidR="00716871">
        <w:rPr>
          <w:rFonts w:hint="cs"/>
          <w:rtl/>
        </w:rPr>
        <w:t>ويرونه</w:t>
      </w:r>
      <w:r w:rsidR="00716871" w:rsidRPr="000D2FA5">
        <w:rPr>
          <w:rtl/>
        </w:rPr>
        <w:t xml:space="preserve"> </w:t>
      </w:r>
      <w:r w:rsidRPr="000D2FA5">
        <w:rPr>
          <w:rtl/>
        </w:rPr>
        <w:t>ويقدرونه.</w:t>
      </w:r>
    </w:p>
    <w:p w14:paraId="19873A2B" w14:textId="77777777" w:rsidR="000D2FA5" w:rsidRPr="000D2FA5" w:rsidRDefault="000D2FA5" w:rsidP="00CA0A23">
      <w:pPr>
        <w:pStyle w:val="Heading1"/>
      </w:pPr>
      <w:r w:rsidRPr="000D2FA5">
        <w:rPr>
          <w:rtl/>
        </w:rPr>
        <w:t>4</w:t>
      </w:r>
      <w:r w:rsidRPr="000D2FA5">
        <w:rPr>
          <w:rtl/>
        </w:rPr>
        <w:tab/>
        <w:t>مجالات التسليم ذات الأولوية في عام 2026</w:t>
      </w:r>
    </w:p>
    <w:p w14:paraId="73CF35F8" w14:textId="58719CAB" w:rsidR="000D2FA5" w:rsidRPr="000D2FA5" w:rsidRDefault="000D2FA5" w:rsidP="000D2FA5">
      <w:r w:rsidRPr="000D2FA5">
        <w:rPr>
          <w:rtl/>
        </w:rPr>
        <w:t>ويستند تركيز الاتحاد نحو التحول إلى ثلاثة مجالات ذات أولوية في عام 2026 لتحديث العمليات وبناء ثقافة الابتكار. ويقدم فريق المهام المعني بالتحول وكبير موظفي المعلومات وفريق التحول الدعم للعديد من المبادرات في كل مجال من مجالات الأولوية هذه.</w:t>
      </w:r>
    </w:p>
    <w:p w14:paraId="6F566DB1" w14:textId="77777777" w:rsidR="000D2FA5" w:rsidRPr="000D2FA5" w:rsidRDefault="000D2FA5" w:rsidP="00CA0A23">
      <w:pPr>
        <w:pStyle w:val="Headingb"/>
      </w:pPr>
      <w:r w:rsidRPr="000D2FA5">
        <w:rPr>
          <w:rtl/>
        </w:rPr>
        <w:t>تعزيز تجربة الأعضاء</w:t>
      </w:r>
    </w:p>
    <w:p w14:paraId="61BB1037" w14:textId="54689B87" w:rsidR="000D2FA5" w:rsidRPr="000D2FA5" w:rsidRDefault="000D2FA5" w:rsidP="000D2FA5">
      <w:r w:rsidRPr="000D2FA5">
        <w:rPr>
          <w:rtl/>
        </w:rPr>
        <w:t>وتضطلع المنظمة بعدة مبادرات رئيسية لتحديث تجربة الأعضاء. أولاً، يجري تحسين إدارة الفعاليات من خلال تجريب نظام حديث للإدارة المتكاملة لفعاليات الذكاء الاصطناعي من أجل المصلحة العامة 2026 ومنتدى القمة العالمية لمجتمع المعلومات لعام 2026، مصحوباً بتحسينات رقمية والذكاء الاصطناعي لتجربة المندوبين المشاركين في مؤتمر المندوبين المفوضين لعام 2026. وبالإضافة إلى ذلك، من المخطط إطلاق أول موقع إلكتروني جديد للاتحاد لعرضه بحلول مؤتمر المندوبين المفوضين لعام 2026. وبعد مشاورات مع الموظفين والأعضاء، تتقدم الأعمال التقنية والتحضيرية وفقاً للجداول الزمنية التي وافق عليها المجلس. ويركز هذا الإصدار الأول على أربعة أهداف</w:t>
      </w:r>
      <w:r w:rsidR="00716871">
        <w:rPr>
          <w:rFonts w:hint="cs"/>
          <w:rtl/>
        </w:rPr>
        <w:t>:</w:t>
      </w:r>
      <w:r w:rsidR="00CA0A23">
        <w:rPr>
          <w:rFonts w:hint="cs"/>
          <w:rtl/>
        </w:rPr>
        <w:t xml:space="preserve"> 1) </w:t>
      </w:r>
      <w:r w:rsidRPr="000D2FA5">
        <w:rPr>
          <w:rtl/>
        </w:rPr>
        <w:t xml:space="preserve">إنشاء معمارية معلومات متماسكة ومتمحورة حول المستعمل؛ </w:t>
      </w:r>
      <w:r w:rsidR="00CA0A23">
        <w:rPr>
          <w:rFonts w:hint="cs"/>
          <w:rtl/>
        </w:rPr>
        <w:t>2)</w:t>
      </w:r>
      <w:r w:rsidRPr="000D2FA5">
        <w:rPr>
          <w:rtl/>
        </w:rPr>
        <w:t xml:space="preserve"> تحسين إمكانية العثور على المحتوى من خلال تحسين التنقل والبحث المدعوم بالذكاء الاصطناعي؛ </w:t>
      </w:r>
      <w:r w:rsidR="00CA0A23">
        <w:rPr>
          <w:rFonts w:hint="cs"/>
          <w:rtl/>
        </w:rPr>
        <w:t>3)</w:t>
      </w:r>
      <w:r w:rsidRPr="000D2FA5">
        <w:rPr>
          <w:rtl/>
        </w:rPr>
        <w:t xml:space="preserve"> تعزيز الاتساق بين تعدد اللغات في جميع اللغات الرسمية الست؛ </w:t>
      </w:r>
      <w:r w:rsidR="00CA0A23">
        <w:rPr>
          <w:rFonts w:hint="cs"/>
          <w:rtl/>
        </w:rPr>
        <w:t>4)</w:t>
      </w:r>
      <w:r w:rsidRPr="000D2FA5">
        <w:rPr>
          <w:rtl/>
        </w:rPr>
        <w:t xml:space="preserve"> إرساء إدارة ومعايير وعمليات لضمان الجودة وقابلية الصيانة وقابلية التوسع على المدى الطويل.</w:t>
      </w:r>
    </w:p>
    <w:p w14:paraId="606A03FE" w14:textId="77777777" w:rsidR="000D2FA5" w:rsidRPr="000D2FA5" w:rsidRDefault="000D2FA5" w:rsidP="00CA0A23">
      <w:pPr>
        <w:pStyle w:val="Headingb"/>
      </w:pPr>
      <w:r w:rsidRPr="000D2FA5">
        <w:rPr>
          <w:rtl/>
        </w:rPr>
        <w:t>الكفاءة التشغيلية والتأثير التشغيلي</w:t>
      </w:r>
    </w:p>
    <w:p w14:paraId="5E280455" w14:textId="7617A19A" w:rsidR="000D2FA5" w:rsidRPr="000D2FA5" w:rsidRDefault="000D2FA5" w:rsidP="000D2FA5">
      <w:r w:rsidRPr="000D2FA5">
        <w:rPr>
          <w:rtl/>
        </w:rPr>
        <w:t xml:space="preserve">ويركز مجال الأولوية الثاني على تحسين الكفاءة التنظيمية وتنفيذها من خلال العديد من المبادرات الاستراتيجية. وتعجل الأمانة باعتماد حلول الذكاء الاصطناعي الجديدة لأتمتة العمليات التجارية في مجالات مثل المشتريات وإدارة الموارد البشرية وإدارة المشاريع. ويجري تجريب حل سحابي جديد لتبسيط إدارة السفر وإدارة النفقات. وبالإضافة إلى ذلك، يقوم الاتحاد بتنفيذ نظام إدارة علاقات العملاء </w:t>
      </w:r>
      <w:r w:rsidRPr="000D2FA5">
        <w:t>(CRM)</w:t>
      </w:r>
      <w:r w:rsidRPr="000D2FA5">
        <w:rPr>
          <w:rtl/>
        </w:rPr>
        <w:t xml:space="preserve"> الرائد المدعوم بالذكاء الاصطناعي لدعم تعبئة الموارد المنسقة على</w:t>
      </w:r>
      <w:r w:rsidR="002B0C1E">
        <w:rPr>
          <w:rFonts w:hint="cs"/>
          <w:rtl/>
        </w:rPr>
        <w:t> </w:t>
      </w:r>
      <w:r w:rsidRPr="000D2FA5">
        <w:rPr>
          <w:rtl/>
        </w:rPr>
        <w:t>نطاق الاتحاد.</w:t>
      </w:r>
    </w:p>
    <w:p w14:paraId="403B21A5" w14:textId="77777777" w:rsidR="000D2FA5" w:rsidRPr="000D2FA5" w:rsidRDefault="000D2FA5" w:rsidP="00CA0A23">
      <w:pPr>
        <w:pStyle w:val="Headingb"/>
      </w:pPr>
      <w:r w:rsidRPr="000D2FA5">
        <w:rPr>
          <w:rtl/>
        </w:rPr>
        <w:t>تمكين الموظفين وثقافة الابتكار</w:t>
      </w:r>
    </w:p>
    <w:p w14:paraId="37869EF1" w14:textId="33636EE2" w:rsidR="000D2FA5" w:rsidRPr="000D2FA5" w:rsidRDefault="000D2FA5" w:rsidP="000D2FA5">
      <w:r w:rsidRPr="000D2FA5">
        <w:rPr>
          <w:rtl/>
        </w:rPr>
        <w:t>والهدف من هذا المجال الثالث لتنفيذ الأولوية هو تمكين موظفي الاتحاد من خلال فرص التعلم الجديدة. ومن صميم هذه الجهود مركز الابتكار الذي تم إطلاقه حديثاً، ويقع في الطابق الرئيسي من مبنى مونبريان. وتعمل هذه المساحة كمركز للتجريب والنماذج الأولية والتدريب. وسيعمل صانعو التغيير كمجموعة أساسية من أوائل المتبنين الذين يستفيدون من الفرص الجديدة المتاحة.</w:t>
      </w:r>
    </w:p>
    <w:p w14:paraId="428C61E3" w14:textId="6C18E84C" w:rsidR="000D2FA5" w:rsidRPr="000D2FA5" w:rsidRDefault="000D2FA5" w:rsidP="00CA0A23">
      <w:pPr>
        <w:pStyle w:val="Headingb"/>
      </w:pPr>
      <w:r w:rsidRPr="000D2FA5">
        <w:rPr>
          <w:rtl/>
        </w:rPr>
        <w:t>التحول الرقمي باعتباره عاملاً تمكينياً ومسرعاً رئيسياً</w:t>
      </w:r>
    </w:p>
    <w:p w14:paraId="1E940F3E" w14:textId="382B902D" w:rsidR="000D2FA5" w:rsidRPr="000D2FA5" w:rsidRDefault="000D2FA5" w:rsidP="000D2FA5">
      <w:r w:rsidRPr="000D2FA5">
        <w:rPr>
          <w:rtl/>
        </w:rPr>
        <w:t xml:space="preserve">وتدعم كل هذه المبادرات استراتيجية شاملة للتحول الرقمي (الوثيقة </w:t>
      </w:r>
      <w:hyperlink r:id="rId30" w:history="1">
        <w:r w:rsidRPr="00CA0A23">
          <w:rPr>
            <w:rStyle w:val="Hyperlink"/>
            <w:noProof w:val="0"/>
            <w:rtl/>
            <w:lang w:val="en-US" w:eastAsia="zh-CN"/>
          </w:rPr>
          <w:t>62/26</w:t>
        </w:r>
      </w:hyperlink>
      <w:r w:rsidRPr="000D2FA5">
        <w:rPr>
          <w:rtl/>
        </w:rPr>
        <w:t>) تعمل كعامل تمكين ومسرع حاسم من خلال أربعة مجالات رئيسية هي: وضع استراتيجيات داخلية للذكاء الاصطناعي والبيانات والحوسبة السحابية والأمن السيبراني؛ وضع برنامج لمعمارية المؤسسة على مستوى الاتحاد ككل من أجل أنظمة آمنة ومرنة وقابلة للتشغيل البيني؛ إعادة هيكلة فريق دائرة خدمات المعلومات بنموذج تشغيل جديد؛ وتنفيذ نموذج منقح للحوكمة الرقمية والبيانات.</w:t>
      </w:r>
      <w:hyperlink r:id="rId31" w:history="1"/>
    </w:p>
    <w:p w14:paraId="311985D5" w14:textId="77777777" w:rsidR="000D2FA5" w:rsidRPr="000D2FA5" w:rsidRDefault="000D2FA5" w:rsidP="00CA0A23">
      <w:pPr>
        <w:pStyle w:val="Heading1"/>
      </w:pPr>
      <w:r w:rsidRPr="000D2FA5">
        <w:rPr>
          <w:rtl/>
        </w:rPr>
        <w:lastRenderedPageBreak/>
        <w:t>5</w:t>
      </w:r>
      <w:r w:rsidRPr="000D2FA5">
        <w:rPr>
          <w:rtl/>
        </w:rPr>
        <w:tab/>
        <w:t>الوضع المالي</w:t>
      </w:r>
    </w:p>
    <w:p w14:paraId="3B2FFAB8" w14:textId="491323F3" w:rsidR="000D2FA5" w:rsidRPr="000D2FA5" w:rsidRDefault="000D2FA5" w:rsidP="000D2FA5">
      <w:r w:rsidRPr="000D2FA5">
        <w:rPr>
          <w:rtl/>
        </w:rPr>
        <w:t xml:space="preserve">ويأتي تمويل مبادرات التحول أساساً من مخصصات الميزانية العادية والوفورات. ووافق المجلس على ما مجموعه </w:t>
      </w:r>
      <w:r w:rsidR="00CA0A23" w:rsidRPr="00586545">
        <w:t>1 600 000</w:t>
      </w:r>
      <w:r w:rsidRPr="000D2FA5">
        <w:rPr>
          <w:rtl/>
        </w:rPr>
        <w:t xml:space="preserve"> فرنك سويسري من وفورات عامي 2023 و2024. ومن هذا المبلغ، خصص </w:t>
      </w:r>
      <w:r w:rsidR="00CA0A23" w:rsidRPr="00586545">
        <w:t>600 000</w:t>
      </w:r>
      <w:r w:rsidRPr="000D2FA5">
        <w:rPr>
          <w:rtl/>
        </w:rPr>
        <w:t xml:space="preserve"> فرنك سويسري لمشروع الموقع الإلكتروني. </w:t>
      </w:r>
      <w:r w:rsidR="00586545">
        <w:rPr>
          <w:rFonts w:hint="cs"/>
          <w:rtl/>
          <w:lang w:bidi="ar-EG"/>
        </w:rPr>
        <w:t xml:space="preserve">ومن الرصيد المتبقي </w:t>
      </w:r>
      <w:r w:rsidRPr="000D2FA5">
        <w:rPr>
          <w:rtl/>
        </w:rPr>
        <w:t xml:space="preserve">أنفق المبلغ </w:t>
      </w:r>
      <w:r w:rsidR="00CA0A23" w:rsidRPr="00586545">
        <w:t>950 000</w:t>
      </w:r>
      <w:r w:rsidRPr="000D2FA5">
        <w:rPr>
          <w:rtl/>
        </w:rPr>
        <w:t xml:space="preserve"> فرنك سويسري على مدى عامين بشكل أساسي على</w:t>
      </w:r>
      <w:r w:rsidR="002B0C1E">
        <w:rPr>
          <w:rFonts w:hint="cs"/>
          <w:rtl/>
        </w:rPr>
        <w:t> </w:t>
      </w:r>
      <w:r w:rsidRPr="000D2FA5">
        <w:rPr>
          <w:rtl/>
        </w:rPr>
        <w:t>موظفي فريق التحول لدعم التخطيط وإعداد التقارير والتنسيق والتنفيذ. وتشمل منجزات هذا الاستثمار ما يلي</w:t>
      </w:r>
      <w:r w:rsidR="00CA0A23">
        <w:rPr>
          <w:rFonts w:hint="cs"/>
          <w:rtl/>
        </w:rPr>
        <w:t>: 1)</w:t>
      </w:r>
      <w:r w:rsidR="002B0C1E">
        <w:rPr>
          <w:rFonts w:hint="cs"/>
          <w:rtl/>
        </w:rPr>
        <w:t> </w:t>
      </w:r>
      <w:r w:rsidRPr="000D2FA5">
        <w:rPr>
          <w:rtl/>
        </w:rPr>
        <w:t>وضع استراتيجية التحول وخارطة الطريق وتقديم تقارير منتظمة داخلياً وإلى المجلس، و</w:t>
      </w:r>
      <w:r w:rsidR="00CA0A23">
        <w:rPr>
          <w:rFonts w:hint="cs"/>
          <w:rtl/>
        </w:rPr>
        <w:t>2)</w:t>
      </w:r>
      <w:r w:rsidRPr="000D2FA5">
        <w:rPr>
          <w:rtl/>
        </w:rPr>
        <w:t xml:space="preserve"> مشاركة الموظفين في</w:t>
      </w:r>
      <w:r w:rsidR="002B0C1E">
        <w:rPr>
          <w:rFonts w:hint="cs"/>
          <w:rtl/>
        </w:rPr>
        <w:t> </w:t>
      </w:r>
      <w:r w:rsidRPr="000D2FA5">
        <w:rPr>
          <w:rtl/>
        </w:rPr>
        <w:t>التحول، بما في ذلك إدارة مجتمع صانعي التغيير والمساعدة في حالات التغيير، وإطلاق مركز الابتكار والتدريب على</w:t>
      </w:r>
      <w:r w:rsidR="002B0C1E">
        <w:rPr>
          <w:rFonts w:hint="cs"/>
          <w:rtl/>
        </w:rPr>
        <w:t> </w:t>
      </w:r>
      <w:r w:rsidRPr="000D2FA5">
        <w:rPr>
          <w:rtl/>
        </w:rPr>
        <w:t>الذكاء الاصطناعي والحلول الرقمية، و</w:t>
      </w:r>
      <w:r w:rsidR="00CA0A23">
        <w:rPr>
          <w:rFonts w:hint="cs"/>
          <w:rtl/>
        </w:rPr>
        <w:t>3)</w:t>
      </w:r>
      <w:r w:rsidRPr="000D2FA5">
        <w:rPr>
          <w:rtl/>
        </w:rPr>
        <w:t xml:space="preserve"> دعم تنفيذ مبادرات تعزيز التوظيف، إدارة الوثائق وإدارة العلاقات مع العملاء وتعبئة الموارد وإدارة السفر، من بين أمور أخرى.</w:t>
      </w:r>
    </w:p>
    <w:p w14:paraId="3AB2437B" w14:textId="704AC71F" w:rsidR="000D2FA5" w:rsidRPr="000D2FA5" w:rsidRDefault="000D2FA5" w:rsidP="000D2FA5">
      <w:r w:rsidRPr="000D2FA5">
        <w:rPr>
          <w:rtl/>
        </w:rPr>
        <w:t xml:space="preserve">بالإضافة إلى ذلك، تسلط </w:t>
      </w:r>
      <w:hyperlink r:id="rId32" w:history="1">
        <w:r w:rsidRPr="00CA0A23">
          <w:rPr>
            <w:rStyle w:val="Hyperlink"/>
            <w:noProof w:val="0"/>
            <w:rtl/>
            <w:lang w:val="en-US" w:eastAsia="zh-CN"/>
          </w:rPr>
          <w:t>لوحة معلومات التحول</w:t>
        </w:r>
      </w:hyperlink>
      <w:r w:rsidRPr="000D2FA5">
        <w:rPr>
          <w:rtl/>
        </w:rPr>
        <w:t xml:space="preserve"> الضوء على استثمار يقدر بنحو 6,6 مليون فرنك سويسري في وقت الموظفين من جميع دوائر الأمانة العامة المخصصة للأنشطة المتعلقة بالتحول، بناء</w:t>
      </w:r>
      <w:r w:rsidR="002B0C1E">
        <w:rPr>
          <w:rFonts w:hint="cs"/>
          <w:rtl/>
        </w:rPr>
        <w:t>ً</w:t>
      </w:r>
      <w:r w:rsidRPr="000D2FA5">
        <w:rPr>
          <w:rtl/>
        </w:rPr>
        <w:t xml:space="preserve"> على الخطة التشغيلية لعام 2026. وهذا يشكل حوالي </w:t>
      </w:r>
      <w:r w:rsidR="007563CD">
        <w:rPr>
          <w:lang w:val="en-GB"/>
        </w:rPr>
        <w:t>%10,5</w:t>
      </w:r>
      <w:r w:rsidRPr="000D2FA5">
        <w:rPr>
          <w:rtl/>
        </w:rPr>
        <w:t xml:space="preserve"> من مجموع وقت الموظفين المحمول في الخطة التشغيلية.</w:t>
      </w:r>
      <w:hyperlink r:id="rId33" w:history="1"/>
    </w:p>
    <w:p w14:paraId="5F80869B" w14:textId="526C7435" w:rsidR="00F50E3F" w:rsidRPr="007563CD" w:rsidRDefault="000D2FA5" w:rsidP="007563CD">
      <w:r w:rsidRPr="000D2FA5">
        <w:rPr>
          <w:rtl/>
        </w:rPr>
        <w:t xml:space="preserve">وتطلعاً إلى المستقبل، هناك حاجة إلى استثمارات إضافية لتنفيذ أنظمة جديدة للذكاء الاصطناعي والأنظمة الرقمية ومهارات جديدة لدعم تحديث العمليات التجارية وأتمتتها وتبسيطها. ودعماً لهذه التحسينات، تقدم الوثيقة </w:t>
      </w:r>
      <w:hyperlink r:id="rId34" w:history="1">
        <w:r w:rsidRPr="007563CD">
          <w:rPr>
            <w:rStyle w:val="Hyperlink"/>
            <w:noProof w:val="0"/>
            <w:rtl/>
            <w:lang w:val="en-US" w:eastAsia="zh-CN"/>
          </w:rPr>
          <w:t>C26/42</w:t>
        </w:r>
      </w:hyperlink>
      <w:r w:rsidRPr="000D2FA5">
        <w:rPr>
          <w:rtl/>
        </w:rPr>
        <w:t xml:space="preserve"> مقترحاً لاستخدام وفورات عام 2025.</w:t>
      </w:r>
      <w:hyperlink r:id="rId35" w:history="1"/>
    </w:p>
    <w:p w14:paraId="60B8CA3D" w14:textId="77777777" w:rsidR="00F50E3F" w:rsidRDefault="00D63735" w:rsidP="007563CD">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6"/>
      <w:headerReference w:type="first" r:id="rId37"/>
      <w:footerReference w:type="first" r:id="rId3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0782" w14:textId="77777777" w:rsidR="00D64A39" w:rsidRDefault="00D64A39" w:rsidP="006C3242">
      <w:pPr>
        <w:spacing w:before="0" w:line="240" w:lineRule="auto"/>
      </w:pPr>
      <w:r>
        <w:separator/>
      </w:r>
    </w:p>
  </w:endnote>
  <w:endnote w:type="continuationSeparator" w:id="0">
    <w:p w14:paraId="57D113B8" w14:textId="77777777" w:rsidR="00D64A39" w:rsidRDefault="00D64A3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1EAA291D" w:rsidR="00F50E3F" w:rsidRPr="007B0AA0" w:rsidRDefault="000D2FA5"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2600717</w:t>
          </w:r>
        </w:p>
      </w:tc>
      <w:tc>
        <w:tcPr>
          <w:tcW w:w="3912" w:type="pct"/>
        </w:tcPr>
        <w:p w14:paraId="62EE8B15" w14:textId="502FC988"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0D2FA5">
            <w:rPr>
              <w:rFonts w:ascii="Calibri" w:hAnsi="Calibri" w:cs="Arial"/>
              <w:bCs/>
              <w:color w:val="7F7F7F"/>
              <w:sz w:val="18"/>
            </w:rPr>
            <w:t>55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43811FA8"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0D2FA5">
            <w:rPr>
              <w:rFonts w:ascii="Calibri" w:hAnsi="Calibri" w:cs="Arial"/>
              <w:bCs/>
              <w:color w:val="7F7F7F"/>
              <w:sz w:val="18"/>
            </w:rPr>
            <w:t>55</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C281" w14:textId="77777777" w:rsidR="00D64A39" w:rsidRDefault="00D64A39" w:rsidP="006C3242">
      <w:pPr>
        <w:spacing w:before="0" w:line="240" w:lineRule="auto"/>
      </w:pPr>
      <w:r>
        <w:separator/>
      </w:r>
    </w:p>
  </w:footnote>
  <w:footnote w:type="continuationSeparator" w:id="0">
    <w:p w14:paraId="67137D05" w14:textId="77777777" w:rsidR="00D64A39" w:rsidRDefault="00D64A3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29813637">
    <w:abstractNumId w:val="9"/>
  </w:num>
  <w:num w:numId="2" w16cid:durableId="459761922">
    <w:abstractNumId w:val="7"/>
  </w:num>
  <w:num w:numId="3" w16cid:durableId="1634947265">
    <w:abstractNumId w:val="6"/>
  </w:num>
  <w:num w:numId="4" w16cid:durableId="1788772199">
    <w:abstractNumId w:val="5"/>
  </w:num>
  <w:num w:numId="5" w16cid:durableId="2061899811">
    <w:abstractNumId w:val="4"/>
  </w:num>
  <w:num w:numId="6" w16cid:durableId="537399400">
    <w:abstractNumId w:val="8"/>
  </w:num>
  <w:num w:numId="7" w16cid:durableId="179901212">
    <w:abstractNumId w:val="3"/>
  </w:num>
  <w:num w:numId="8" w16cid:durableId="1977642592">
    <w:abstractNumId w:val="2"/>
  </w:num>
  <w:num w:numId="9" w16cid:durableId="1551460992">
    <w:abstractNumId w:val="1"/>
  </w:num>
  <w:num w:numId="10" w16cid:durableId="1951088763">
    <w:abstractNumId w:val="0"/>
  </w:num>
  <w:num w:numId="11" w16cid:durableId="621573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371F1"/>
    <w:rsid w:val="0006468A"/>
    <w:rsid w:val="00077A58"/>
    <w:rsid w:val="00090574"/>
    <w:rsid w:val="000C1C0E"/>
    <w:rsid w:val="000C548A"/>
    <w:rsid w:val="000D2FA5"/>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B0C1E"/>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14F4"/>
    <w:rsid w:val="004B7334"/>
    <w:rsid w:val="004C4C94"/>
    <w:rsid w:val="004E11DC"/>
    <w:rsid w:val="005130DE"/>
    <w:rsid w:val="00513157"/>
    <w:rsid w:val="00525DDD"/>
    <w:rsid w:val="005349B2"/>
    <w:rsid w:val="005409AC"/>
    <w:rsid w:val="005434E0"/>
    <w:rsid w:val="005546CF"/>
    <w:rsid w:val="0055516A"/>
    <w:rsid w:val="0058491B"/>
    <w:rsid w:val="00586545"/>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16871"/>
    <w:rsid w:val="00722F0D"/>
    <w:rsid w:val="00735081"/>
    <w:rsid w:val="0074420E"/>
    <w:rsid w:val="007563CD"/>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75A58"/>
    <w:rsid w:val="008A7F84"/>
    <w:rsid w:val="0091702E"/>
    <w:rsid w:val="009200CF"/>
    <w:rsid w:val="00923B0C"/>
    <w:rsid w:val="00924F46"/>
    <w:rsid w:val="00926A0E"/>
    <w:rsid w:val="00935AAC"/>
    <w:rsid w:val="0093725D"/>
    <w:rsid w:val="0094021C"/>
    <w:rsid w:val="00952F86"/>
    <w:rsid w:val="0096716C"/>
    <w:rsid w:val="00982B28"/>
    <w:rsid w:val="009868AC"/>
    <w:rsid w:val="009D313F"/>
    <w:rsid w:val="00A47A5A"/>
    <w:rsid w:val="00A63AE6"/>
    <w:rsid w:val="00A648D0"/>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1C04"/>
    <w:rsid w:val="00C66157"/>
    <w:rsid w:val="00C674FE"/>
    <w:rsid w:val="00C67501"/>
    <w:rsid w:val="00C75633"/>
    <w:rsid w:val="00CA0A23"/>
    <w:rsid w:val="00CE2EE1"/>
    <w:rsid w:val="00CE3349"/>
    <w:rsid w:val="00CE36E5"/>
    <w:rsid w:val="00CE4360"/>
    <w:rsid w:val="00CF27F5"/>
    <w:rsid w:val="00CF3FFD"/>
    <w:rsid w:val="00D10CCF"/>
    <w:rsid w:val="00D13941"/>
    <w:rsid w:val="00D23F5F"/>
    <w:rsid w:val="00D43F7D"/>
    <w:rsid w:val="00D63735"/>
    <w:rsid w:val="00D64A39"/>
    <w:rsid w:val="00D77D0F"/>
    <w:rsid w:val="00DA1CF0"/>
    <w:rsid w:val="00DA6A30"/>
    <w:rsid w:val="00DC1E02"/>
    <w:rsid w:val="00DC24B4"/>
    <w:rsid w:val="00DC5FB0"/>
    <w:rsid w:val="00DF16DC"/>
    <w:rsid w:val="00E45211"/>
    <w:rsid w:val="00E473C5"/>
    <w:rsid w:val="00E61BE8"/>
    <w:rsid w:val="00E83FF1"/>
    <w:rsid w:val="00E92863"/>
    <w:rsid w:val="00E979B2"/>
    <w:rsid w:val="00EA0A5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customStyle="1" w:styleId="eop">
    <w:name w:val="eop"/>
    <w:basedOn w:val="DefaultParagraphFont"/>
    <w:rsid w:val="000D2FA5"/>
  </w:style>
  <w:style w:type="paragraph" w:styleId="Revision">
    <w:name w:val="Revision"/>
    <w:hidden/>
    <w:uiPriority w:val="99"/>
    <w:semiHidden/>
    <w:rsid w:val="00CA0A23"/>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INF-0013/en" TargetMode="External"/><Relationship Id="rId18" Type="http://schemas.openxmlformats.org/officeDocument/2006/relationships/hyperlink" Target="https://www.itu.int/md/S23-CL-C-0062/en" TargetMode="External"/><Relationship Id="rId26" Type="http://schemas.openxmlformats.org/officeDocument/2006/relationships/hyperlink" Target="https://www.itu.int/md/S25-CL-C-0066/en" TargetMode="External"/><Relationship Id="rId39" Type="http://schemas.openxmlformats.org/officeDocument/2006/relationships/fontTable" Target="fontTable.xml"/><Relationship Id="rId21" Type="http://schemas.openxmlformats.org/officeDocument/2006/relationships/hyperlink" Target="https://www.itu.int/md/S24-CL-C-0019/en" TargetMode="External"/><Relationship Id="rId34" Type="http://schemas.openxmlformats.org/officeDocument/2006/relationships/hyperlink" Target="https://www.itu.int/md/S26-CL-C-0042/en" TargetMode="External"/><Relationship Id="rId7" Type="http://schemas.openxmlformats.org/officeDocument/2006/relationships/endnotes" Target="endnotes.xml"/><Relationship Id="rId12" Type="http://schemas.openxmlformats.org/officeDocument/2006/relationships/hyperlink" Target="https://www.itu.int/md/S21-CL-INF-0015/en" TargetMode="External"/><Relationship Id="rId17" Type="http://schemas.openxmlformats.org/officeDocument/2006/relationships/hyperlink" Target="https://www.itu.int/md/S23-CL-C-0050/en" TargetMode="External"/><Relationship Id="rId25" Type="http://schemas.openxmlformats.org/officeDocument/2006/relationships/hyperlink" Target="https://www.itu.int/md/S25-CL-C-0055/en" TargetMode="External"/><Relationship Id="rId33" Type="http://schemas.openxmlformats.org/officeDocument/2006/relationships/hyperlink" Target="https://app.powerbi.com/view?r=eyJrIjoiOGUwN2RlYzktZjY1Yi00ZmQwLWEzMTYtZGY0MDYyMWU4OGY2IiwidCI6IjIzZTQ2NGQ3LTA0ZTYtNGI4Ny05MTNjLTI0YmQ4OTIxOWZkMyIsImMiOjl9"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3-CL-C-0036/en" TargetMode="External"/><Relationship Id="rId20" Type="http://schemas.openxmlformats.org/officeDocument/2006/relationships/hyperlink" Target="https://www.itu.int/md/S23-CL-INF-0013/en" TargetMode="External"/><Relationship Id="rId29" Type="http://schemas.openxmlformats.org/officeDocument/2006/relationships/hyperlink" Target="https://app.powerbi.com/view?r=eyJrIjoiOGUwN2RlYzktZjY1Yi00ZmQwLWEzMTYtZGY0MDYyMWU4OGY2IiwidCI6IjIzZTQ2NGQ3LTA0ZTYtNGI4Ny05MTNjLTI0YmQ4OTIxOWZkMyIsImMiOjl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0-CL-C-0074/en" TargetMode="External"/><Relationship Id="rId24" Type="http://schemas.openxmlformats.org/officeDocument/2006/relationships/hyperlink" Target="https://www.itu.int/md/S25-CL-C-0050/en" TargetMode="External"/><Relationship Id="rId32" Type="http://schemas.openxmlformats.org/officeDocument/2006/relationships/hyperlink" Target="https://app.powerbi.com/view?r=eyJrIjoiOGUwN2RlYzktZjY1Yi00ZmQwLWEzMTYtZGY0MDYyMWU4OGY2IiwidCI6IjIzZTQ2NGQ3LTA0ZTYtNGI4Ny05MTNjLTI0YmQ4OTIxOWZkMyIsImMiOjl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2-CL-C-0057/en" TargetMode="External"/><Relationship Id="rId23" Type="http://schemas.openxmlformats.org/officeDocument/2006/relationships/hyperlink" Target="https://www.itu.int/md/S24-CL-C-0031/en" TargetMode="External"/><Relationship Id="rId28" Type="http://schemas.openxmlformats.org/officeDocument/2006/relationships/hyperlink" Target="https://app.powerbi.com/view?r=eyJrIjoiOGUwN2RlYzktZjY1Yi00ZmQwLWEzMTYtZGY0MDYyMWU4OGY2IiwidCI6IjIzZTQ2NGQ3LTA0ZTYtNGI4Ny05MTNjLTI0YmQ4OTIxOWZkMyIsImMiOjl9" TargetMode="External"/><Relationship Id="rId36" Type="http://schemas.openxmlformats.org/officeDocument/2006/relationships/footer" Target="footer1.xml"/><Relationship Id="rId10" Type="http://schemas.openxmlformats.org/officeDocument/2006/relationships/hyperlink" Target="https://www.itu.int/md/S20-CL-C-0061/en" TargetMode="External"/><Relationship Id="rId19" Type="http://schemas.openxmlformats.org/officeDocument/2006/relationships/hyperlink" Target="https://www.itu.int/md/S23-CL-INF-0011/en" TargetMode="External"/><Relationship Id="rId31" Type="http://schemas.openxmlformats.org/officeDocument/2006/relationships/hyperlink" Target="https://www.itu.int/md/S26-CL-C-0062/en" TargetMode="External"/><Relationship Id="rId4" Type="http://schemas.openxmlformats.org/officeDocument/2006/relationships/settings" Target="settings.xml"/><Relationship Id="rId9" Type="http://schemas.openxmlformats.org/officeDocument/2006/relationships/hyperlink" Target="https://www.itu.int/en/council/cwg-fhr/Pages/default.aspx" TargetMode="External"/><Relationship Id="rId14" Type="http://schemas.openxmlformats.org/officeDocument/2006/relationships/hyperlink" Target="https://www.itu.int/md/S22-CL-C-0040/en" TargetMode="External"/><Relationship Id="rId22" Type="http://schemas.openxmlformats.org/officeDocument/2006/relationships/hyperlink" Target="https://www.itu.int/md/S24-CL-C-0053/en" TargetMode="External"/><Relationship Id="rId27" Type="http://schemas.openxmlformats.org/officeDocument/2006/relationships/hyperlink" Target="https://www.itu.int/md/S26-CWGFHR22-C-0015/en" TargetMode="External"/><Relationship Id="rId30" Type="http://schemas.openxmlformats.org/officeDocument/2006/relationships/hyperlink" Target="https://www.itu.int/md/S26-CL-C-0062/en" TargetMode="External"/><Relationship Id="rId35" Type="http://schemas.openxmlformats.org/officeDocument/2006/relationships/hyperlink" Target="https://www.itu.int/md/S26-CL-C-0042/en" TargetMode="External"/><Relationship Id="rId8" Type="http://schemas.openxmlformats.org/officeDocument/2006/relationships/hyperlink" Target="https://www.itu.int/md/S26-CL-C-0042/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4</Pages>
  <Words>1292</Words>
  <Characters>7349</Characters>
  <Application>Microsoft Office Word</Application>
  <DocSecurity>0</DocSecurity>
  <Lines>115</Lines>
  <Paragraphs>46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ITU transformation - Building an efficient, agile, fit-for-future ITU</dc:title>
  <dc:subject>ITU Council 2026</dc:subject>
  <cp:keywords>C26; C2026; Council 2026; PP26</cp:keywords>
  <dc:description/>
  <dcterms:created xsi:type="dcterms:W3CDTF">2026-04-24T11:10:00Z</dcterms:created>
  <dcterms:modified xsi:type="dcterms:W3CDTF">2026-04-24T11:10:00Z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