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64EE4" w14:paraId="0DF141D9" w14:textId="77777777" w:rsidTr="00796BDB">
        <w:trPr>
          <w:cantSplit/>
          <w:trHeight w:val="23"/>
        </w:trPr>
        <w:tc>
          <w:tcPr>
            <w:tcW w:w="3969" w:type="dxa"/>
            <w:vMerge w:val="restart"/>
            <w:tcMar>
              <w:left w:w="0" w:type="dxa"/>
            </w:tcMar>
          </w:tcPr>
          <w:p w14:paraId="3387484A" w14:textId="7D2089E7" w:rsidR="00D72F49" w:rsidRPr="00A64EE4" w:rsidRDefault="00D72F49" w:rsidP="00796BDB">
            <w:pPr>
              <w:tabs>
                <w:tab w:val="left" w:pos="851"/>
              </w:tabs>
              <w:spacing w:before="0" w:line="240" w:lineRule="atLeast"/>
              <w:rPr>
                <w:b/>
              </w:rPr>
            </w:pPr>
            <w:r w:rsidRPr="00A64EE4">
              <w:rPr>
                <w:b/>
              </w:rPr>
              <w:t>Point de l'ordre du jour:</w:t>
            </w:r>
            <w:r w:rsidR="0048272B" w:rsidRPr="00A64EE4">
              <w:rPr>
                <w:b/>
              </w:rPr>
              <w:t xml:space="preserve"> ADM 1</w:t>
            </w:r>
          </w:p>
        </w:tc>
        <w:tc>
          <w:tcPr>
            <w:tcW w:w="5245" w:type="dxa"/>
          </w:tcPr>
          <w:p w14:paraId="67ED1952" w14:textId="31EB656E" w:rsidR="00D72F49" w:rsidRPr="00A64EE4" w:rsidRDefault="00D72F49" w:rsidP="00796BDB">
            <w:pPr>
              <w:tabs>
                <w:tab w:val="left" w:pos="851"/>
              </w:tabs>
              <w:spacing w:before="0" w:line="240" w:lineRule="atLeast"/>
              <w:jc w:val="right"/>
              <w:rPr>
                <w:b/>
              </w:rPr>
            </w:pPr>
            <w:r w:rsidRPr="00A64EE4">
              <w:rPr>
                <w:b/>
              </w:rPr>
              <w:t>Document C2</w:t>
            </w:r>
            <w:r w:rsidR="00E4448E" w:rsidRPr="00A64EE4">
              <w:rPr>
                <w:b/>
              </w:rPr>
              <w:t>6</w:t>
            </w:r>
            <w:r w:rsidRPr="00A64EE4">
              <w:rPr>
                <w:b/>
              </w:rPr>
              <w:t>/</w:t>
            </w:r>
            <w:r w:rsidR="0048272B" w:rsidRPr="00A64EE4">
              <w:rPr>
                <w:b/>
              </w:rPr>
              <w:t>54</w:t>
            </w:r>
            <w:r w:rsidRPr="00A64EE4">
              <w:rPr>
                <w:b/>
              </w:rPr>
              <w:t>-F</w:t>
            </w:r>
          </w:p>
        </w:tc>
      </w:tr>
      <w:tr w:rsidR="00D72F49" w:rsidRPr="00A64EE4" w14:paraId="5E7EA7AF" w14:textId="77777777" w:rsidTr="00796BDB">
        <w:trPr>
          <w:cantSplit/>
        </w:trPr>
        <w:tc>
          <w:tcPr>
            <w:tcW w:w="3969" w:type="dxa"/>
            <w:vMerge/>
          </w:tcPr>
          <w:p w14:paraId="7B77DA40" w14:textId="77777777" w:rsidR="00D72F49" w:rsidRPr="00A64EE4" w:rsidRDefault="00D72F49" w:rsidP="00796BDB">
            <w:pPr>
              <w:tabs>
                <w:tab w:val="left" w:pos="851"/>
              </w:tabs>
              <w:spacing w:line="240" w:lineRule="atLeast"/>
              <w:rPr>
                <w:b/>
              </w:rPr>
            </w:pPr>
          </w:p>
        </w:tc>
        <w:tc>
          <w:tcPr>
            <w:tcW w:w="5245" w:type="dxa"/>
          </w:tcPr>
          <w:p w14:paraId="3FFCC0D6" w14:textId="71352BEE" w:rsidR="00D72F49" w:rsidRPr="00A64EE4" w:rsidRDefault="0048272B" w:rsidP="00796BDB">
            <w:pPr>
              <w:tabs>
                <w:tab w:val="left" w:pos="851"/>
              </w:tabs>
              <w:spacing w:before="0"/>
              <w:jc w:val="right"/>
              <w:rPr>
                <w:b/>
              </w:rPr>
            </w:pPr>
            <w:r w:rsidRPr="00A64EE4">
              <w:rPr>
                <w:b/>
              </w:rPr>
              <w:t>25 mars 2026</w:t>
            </w:r>
          </w:p>
        </w:tc>
      </w:tr>
      <w:tr w:rsidR="00D72F49" w:rsidRPr="00A64EE4" w14:paraId="6101B2F7" w14:textId="77777777" w:rsidTr="00796BDB">
        <w:trPr>
          <w:cantSplit/>
          <w:trHeight w:val="23"/>
        </w:trPr>
        <w:tc>
          <w:tcPr>
            <w:tcW w:w="3969" w:type="dxa"/>
            <w:vMerge/>
          </w:tcPr>
          <w:p w14:paraId="3BF3CB87" w14:textId="77777777" w:rsidR="00D72F49" w:rsidRPr="00A64EE4" w:rsidRDefault="00D72F49" w:rsidP="00796BDB">
            <w:pPr>
              <w:tabs>
                <w:tab w:val="left" w:pos="851"/>
              </w:tabs>
              <w:spacing w:line="240" w:lineRule="atLeast"/>
              <w:rPr>
                <w:b/>
              </w:rPr>
            </w:pPr>
          </w:p>
        </w:tc>
        <w:tc>
          <w:tcPr>
            <w:tcW w:w="5245" w:type="dxa"/>
          </w:tcPr>
          <w:p w14:paraId="12D3C38D" w14:textId="77777777" w:rsidR="00D72F49" w:rsidRPr="00A64EE4" w:rsidRDefault="00D72F49" w:rsidP="00796BDB">
            <w:pPr>
              <w:tabs>
                <w:tab w:val="left" w:pos="851"/>
              </w:tabs>
              <w:spacing w:before="0" w:line="240" w:lineRule="atLeast"/>
              <w:jc w:val="right"/>
              <w:rPr>
                <w:b/>
              </w:rPr>
            </w:pPr>
            <w:r w:rsidRPr="00A64EE4">
              <w:rPr>
                <w:b/>
              </w:rPr>
              <w:t>Original: anglais</w:t>
            </w:r>
          </w:p>
        </w:tc>
      </w:tr>
      <w:tr w:rsidR="00D72F49" w:rsidRPr="00A64EE4" w14:paraId="31CCD1C4" w14:textId="77777777" w:rsidTr="00796BDB">
        <w:trPr>
          <w:cantSplit/>
          <w:trHeight w:val="23"/>
        </w:trPr>
        <w:tc>
          <w:tcPr>
            <w:tcW w:w="3969" w:type="dxa"/>
          </w:tcPr>
          <w:p w14:paraId="193B9728" w14:textId="77777777" w:rsidR="00D72F49" w:rsidRPr="00A64EE4" w:rsidRDefault="00D72F49" w:rsidP="00796BDB">
            <w:pPr>
              <w:tabs>
                <w:tab w:val="left" w:pos="851"/>
              </w:tabs>
              <w:spacing w:line="240" w:lineRule="atLeast"/>
              <w:rPr>
                <w:b/>
              </w:rPr>
            </w:pPr>
          </w:p>
        </w:tc>
        <w:tc>
          <w:tcPr>
            <w:tcW w:w="5245" w:type="dxa"/>
          </w:tcPr>
          <w:p w14:paraId="1E22A2D0" w14:textId="77777777" w:rsidR="00D72F49" w:rsidRPr="00A64EE4" w:rsidRDefault="00D72F49" w:rsidP="00796BDB">
            <w:pPr>
              <w:tabs>
                <w:tab w:val="left" w:pos="851"/>
              </w:tabs>
              <w:spacing w:before="0" w:line="240" w:lineRule="atLeast"/>
              <w:jc w:val="right"/>
              <w:rPr>
                <w:b/>
              </w:rPr>
            </w:pPr>
          </w:p>
        </w:tc>
      </w:tr>
      <w:tr w:rsidR="00D72F49" w:rsidRPr="00A64EE4" w14:paraId="7B68B7A4" w14:textId="77777777" w:rsidTr="00796BDB">
        <w:trPr>
          <w:cantSplit/>
        </w:trPr>
        <w:tc>
          <w:tcPr>
            <w:tcW w:w="9214" w:type="dxa"/>
            <w:gridSpan w:val="2"/>
            <w:tcMar>
              <w:left w:w="0" w:type="dxa"/>
            </w:tcMar>
          </w:tcPr>
          <w:p w14:paraId="19981BA1" w14:textId="77777777" w:rsidR="00D72F49" w:rsidRPr="00A64EE4" w:rsidRDefault="00D72F49" w:rsidP="00796BDB">
            <w:pPr>
              <w:pStyle w:val="Source"/>
              <w:jc w:val="left"/>
              <w:rPr>
                <w:sz w:val="34"/>
                <w:szCs w:val="34"/>
              </w:rPr>
            </w:pPr>
            <w:r w:rsidRPr="00A64EE4">
              <w:rPr>
                <w:rFonts w:cstheme="minorHAnsi"/>
                <w:color w:val="000000"/>
                <w:sz w:val="34"/>
                <w:szCs w:val="34"/>
              </w:rPr>
              <w:t xml:space="preserve">Rapport </w:t>
            </w:r>
            <w:r w:rsidR="00E95647" w:rsidRPr="00A64EE4">
              <w:rPr>
                <w:rFonts w:cstheme="minorHAnsi"/>
                <w:color w:val="000000"/>
                <w:sz w:val="34"/>
                <w:szCs w:val="34"/>
              </w:rPr>
              <w:t xml:space="preserve">de la </w:t>
            </w:r>
            <w:r w:rsidRPr="00A64EE4">
              <w:rPr>
                <w:rFonts w:cstheme="minorHAnsi"/>
                <w:color w:val="000000"/>
                <w:sz w:val="34"/>
                <w:szCs w:val="34"/>
              </w:rPr>
              <w:t>Secrétaire général</w:t>
            </w:r>
            <w:r w:rsidR="00E95647" w:rsidRPr="00A64EE4">
              <w:rPr>
                <w:rFonts w:cstheme="minorHAnsi"/>
                <w:color w:val="000000"/>
                <w:sz w:val="34"/>
                <w:szCs w:val="34"/>
              </w:rPr>
              <w:t>e</w:t>
            </w:r>
          </w:p>
        </w:tc>
      </w:tr>
      <w:tr w:rsidR="00D72F49" w:rsidRPr="00A64EE4" w14:paraId="488005C8" w14:textId="77777777" w:rsidTr="00796BDB">
        <w:trPr>
          <w:cantSplit/>
        </w:trPr>
        <w:tc>
          <w:tcPr>
            <w:tcW w:w="9214" w:type="dxa"/>
            <w:gridSpan w:val="2"/>
            <w:tcMar>
              <w:left w:w="0" w:type="dxa"/>
            </w:tcMar>
          </w:tcPr>
          <w:p w14:paraId="7B5A0BB5" w14:textId="036CB2A1" w:rsidR="00D72F49" w:rsidRPr="00A64EE4" w:rsidRDefault="003F75D1" w:rsidP="00796BDB">
            <w:pPr>
              <w:pStyle w:val="Subtitle"/>
              <w:framePr w:hSpace="0" w:wrap="auto" w:hAnchor="text" w:xAlign="left" w:yAlign="inline"/>
              <w:rPr>
                <w:sz w:val="32"/>
                <w:szCs w:val="32"/>
                <w:lang w:val="fr-FR"/>
              </w:rPr>
            </w:pPr>
            <w:r w:rsidRPr="00A64EE4">
              <w:rPr>
                <w:rFonts w:cstheme="minorHAnsi"/>
                <w:sz w:val="32"/>
                <w:szCs w:val="32"/>
                <w:lang w:val="fr-FR"/>
              </w:rPr>
              <w:t>PARTS CONTRIBUTIVES DE L'ÉQUATEUR AUX DÉPENSES DE L'UNION</w:t>
            </w:r>
          </w:p>
        </w:tc>
      </w:tr>
      <w:tr w:rsidR="00D72F49" w:rsidRPr="00A64EE4" w14:paraId="7A74769F" w14:textId="77777777" w:rsidTr="00796BDB">
        <w:trPr>
          <w:cantSplit/>
        </w:trPr>
        <w:tc>
          <w:tcPr>
            <w:tcW w:w="9214" w:type="dxa"/>
            <w:gridSpan w:val="2"/>
            <w:tcBorders>
              <w:top w:val="single" w:sz="4" w:space="0" w:color="auto"/>
              <w:bottom w:val="single" w:sz="4" w:space="0" w:color="auto"/>
            </w:tcBorders>
            <w:tcMar>
              <w:left w:w="0" w:type="dxa"/>
            </w:tcMar>
          </w:tcPr>
          <w:p w14:paraId="726A9A34" w14:textId="77777777" w:rsidR="00D72F49" w:rsidRPr="00A64EE4" w:rsidRDefault="00F37FE5" w:rsidP="00796BDB">
            <w:pPr>
              <w:spacing w:before="160"/>
              <w:rPr>
                <w:b/>
                <w:bCs/>
                <w:sz w:val="26"/>
                <w:szCs w:val="26"/>
              </w:rPr>
            </w:pPr>
            <w:r w:rsidRPr="00A64EE4">
              <w:rPr>
                <w:b/>
                <w:bCs/>
                <w:sz w:val="26"/>
                <w:szCs w:val="26"/>
              </w:rPr>
              <w:t>Objet</w:t>
            </w:r>
          </w:p>
          <w:p w14:paraId="6683B310" w14:textId="74BE64BC" w:rsidR="0048272B" w:rsidRPr="00A64EE4" w:rsidRDefault="0048272B" w:rsidP="003F75D1">
            <w:pPr>
              <w:jc w:val="both"/>
            </w:pPr>
            <w:r w:rsidRPr="00A64EE4">
              <w:t>On trouvera dans le présent document la demande de participation aux dépenses de l'Union dans une classe de contribution inférieure, de 1/8 ou 1/16 d'unité, présentée par l'Équateur, bien que le pays ne figure pas dans la liste des pays les moins avancés définie par les Nations Unies.</w:t>
            </w:r>
          </w:p>
          <w:p w14:paraId="7EAAA0D7" w14:textId="6579532A" w:rsidR="00D72F49" w:rsidRPr="00A64EE4" w:rsidRDefault="0048272B" w:rsidP="003F75D1">
            <w:pPr>
              <w:jc w:val="both"/>
            </w:pPr>
            <w:r w:rsidRPr="00A64EE4">
              <w:t>Ladite demande est motivée par le fait que l'Équateur fait face actuellement à des circonstances exceptionnelles qui ont des incidences notables sur ses capacités économiques et budgétaires.</w:t>
            </w:r>
          </w:p>
          <w:p w14:paraId="72E9644B" w14:textId="77777777" w:rsidR="00D72F49" w:rsidRPr="00A64EE4" w:rsidRDefault="00D72F49" w:rsidP="00796BDB">
            <w:pPr>
              <w:spacing w:before="160"/>
              <w:rPr>
                <w:b/>
                <w:bCs/>
                <w:sz w:val="26"/>
                <w:szCs w:val="26"/>
              </w:rPr>
            </w:pPr>
            <w:r w:rsidRPr="00A64EE4">
              <w:rPr>
                <w:b/>
                <w:bCs/>
                <w:sz w:val="26"/>
                <w:szCs w:val="26"/>
              </w:rPr>
              <w:t>Suite à donner par le Conseil</w:t>
            </w:r>
          </w:p>
          <w:p w14:paraId="69157CF0" w14:textId="42971FD9" w:rsidR="0048272B" w:rsidRPr="00A64EE4" w:rsidRDefault="0048272B" w:rsidP="003F75D1">
            <w:pPr>
              <w:jc w:val="both"/>
            </w:pPr>
            <w:r w:rsidRPr="00A64EE4">
              <w:t xml:space="preserve">Le Conseil est invité à examiner la demande de l'Équateur (jointe en </w:t>
            </w:r>
            <w:hyperlink w:anchor="Annex" w:history="1">
              <w:r w:rsidRPr="00A64EE4">
                <w:rPr>
                  <w:rStyle w:val="Hyperlink"/>
                  <w:rFonts w:eastAsia="Times New Roman" w:cs="Times New Roman"/>
                  <w:szCs w:val="20"/>
                </w:rPr>
                <w:t>annexe</w:t>
              </w:r>
            </w:hyperlink>
            <w:r w:rsidRPr="00A64EE4">
              <w:t xml:space="preserve"> au présent document).</w:t>
            </w:r>
          </w:p>
          <w:p w14:paraId="7EB98BC0" w14:textId="460FA2ED" w:rsidR="00D72F49" w:rsidRPr="00A64EE4" w:rsidRDefault="0048272B" w:rsidP="003F75D1">
            <w:pPr>
              <w:jc w:val="both"/>
            </w:pPr>
            <w:r w:rsidRPr="00A64EE4">
              <w:t>En cas d'approbation par le Conseil, la période visée irait du 1er janvier 2028 au 31 décembre 2031.</w:t>
            </w:r>
          </w:p>
          <w:p w14:paraId="2F33445B" w14:textId="7B25581D" w:rsidR="00D72F49" w:rsidRPr="00A64EE4" w:rsidRDefault="00D72F49" w:rsidP="00796BDB">
            <w:pPr>
              <w:spacing w:before="160"/>
              <w:rPr>
                <w:b/>
                <w:bCs/>
                <w:sz w:val="26"/>
                <w:szCs w:val="26"/>
              </w:rPr>
            </w:pPr>
            <w:r w:rsidRPr="00A64EE4">
              <w:rPr>
                <w:b/>
                <w:bCs/>
                <w:sz w:val="26"/>
                <w:szCs w:val="26"/>
              </w:rPr>
              <w:t xml:space="preserve">Lien pertinent avec le </w:t>
            </w:r>
            <w:r w:rsidR="00F37FE5" w:rsidRPr="00A64EE4">
              <w:rPr>
                <w:b/>
                <w:bCs/>
                <w:sz w:val="26"/>
                <w:szCs w:val="26"/>
              </w:rPr>
              <w:t>p</w:t>
            </w:r>
            <w:r w:rsidRPr="00A64EE4">
              <w:rPr>
                <w:b/>
                <w:bCs/>
                <w:sz w:val="26"/>
                <w:szCs w:val="26"/>
              </w:rPr>
              <w:t>lan stratégique</w:t>
            </w:r>
          </w:p>
          <w:p w14:paraId="5CD2176C" w14:textId="2064B6DF" w:rsidR="00D72F49" w:rsidRPr="00A64EE4" w:rsidRDefault="0048272B" w:rsidP="00796BDB">
            <w:r w:rsidRPr="00A64EE4">
              <w:t>Aucun.</w:t>
            </w:r>
          </w:p>
          <w:p w14:paraId="02D96534" w14:textId="77777777" w:rsidR="00E95647" w:rsidRPr="00A64EE4" w:rsidRDefault="00D72F49" w:rsidP="00796BDB">
            <w:pPr>
              <w:spacing w:before="160"/>
              <w:rPr>
                <w:b/>
                <w:bCs/>
                <w:sz w:val="26"/>
                <w:szCs w:val="26"/>
              </w:rPr>
            </w:pPr>
            <w:r w:rsidRPr="00A64EE4">
              <w:rPr>
                <w:b/>
                <w:bCs/>
                <w:sz w:val="26"/>
                <w:szCs w:val="26"/>
              </w:rPr>
              <w:t>Incidences financières</w:t>
            </w:r>
          </w:p>
          <w:p w14:paraId="690C1CA2" w14:textId="6F530004" w:rsidR="00D72F49" w:rsidRPr="00A64EE4" w:rsidRDefault="0048272B" w:rsidP="003F75D1">
            <w:pPr>
              <w:jc w:val="both"/>
              <w:rPr>
                <w:szCs w:val="24"/>
              </w:rPr>
            </w:pPr>
            <w:r w:rsidRPr="00A64EE4">
              <w:rPr>
                <w:szCs w:val="24"/>
              </w:rPr>
              <w:t>Sur la base du montant de l'unité contributive, la répercussion financière annuelle du changement demandé se traduirait par une diminution de 39 750 CHF (pour 1/8 d'unité) ou de 59 625 CHF (pour 1/16 d'unité).</w:t>
            </w:r>
          </w:p>
          <w:p w14:paraId="10B35B28" w14:textId="77777777" w:rsidR="00D72F49" w:rsidRPr="00A64EE4" w:rsidRDefault="00D72F49" w:rsidP="00796BDB">
            <w:pPr>
              <w:spacing w:before="160"/>
              <w:rPr>
                <w:caps/>
                <w:sz w:val="22"/>
              </w:rPr>
            </w:pPr>
            <w:r w:rsidRPr="00A64EE4">
              <w:rPr>
                <w:sz w:val="22"/>
              </w:rPr>
              <w:t>__________________</w:t>
            </w:r>
          </w:p>
          <w:p w14:paraId="4BBCD204" w14:textId="77777777" w:rsidR="00D72F49" w:rsidRPr="00A64EE4" w:rsidRDefault="00D72F49" w:rsidP="00796BDB">
            <w:pPr>
              <w:spacing w:before="160"/>
              <w:rPr>
                <w:b/>
                <w:bCs/>
                <w:sz w:val="26"/>
                <w:szCs w:val="26"/>
              </w:rPr>
            </w:pPr>
            <w:r w:rsidRPr="00A64EE4">
              <w:rPr>
                <w:b/>
                <w:bCs/>
                <w:sz w:val="26"/>
                <w:szCs w:val="26"/>
              </w:rPr>
              <w:t>Références</w:t>
            </w:r>
          </w:p>
          <w:p w14:paraId="25D1BE0B" w14:textId="51646396" w:rsidR="00D72F49" w:rsidRPr="00A64EE4" w:rsidRDefault="0048272B" w:rsidP="00CE5172">
            <w:pPr>
              <w:pStyle w:val="Referencetext"/>
              <w:framePr w:hSpace="0" w:wrap="auto" w:vAnchor="margin" w:hAnchor="text" w:xAlign="left" w:yAlign="inline"/>
            </w:pPr>
            <w:hyperlink r:id="rId7" w:history="1">
              <w:r w:rsidRPr="00260200">
                <w:rPr>
                  <w:rStyle w:val="Hyperlink"/>
                  <w:rFonts w:eastAsia="Times New Roman" w:cs="Times New Roman"/>
                  <w:sz w:val="24"/>
                  <w:szCs w:val="24"/>
                </w:rPr>
                <w:t>CS165A</w:t>
              </w:r>
            </w:hyperlink>
            <w:r w:rsidRPr="00260200">
              <w:rPr>
                <w:sz w:val="24"/>
                <w:szCs w:val="24"/>
              </w:rPr>
              <w:t xml:space="preserve">; </w:t>
            </w:r>
            <w:hyperlink r:id="rId8" w:history="1">
              <w:r w:rsidRPr="00260200">
                <w:rPr>
                  <w:rStyle w:val="Hyperlink"/>
                  <w:rFonts w:eastAsia="Times New Roman" w:cs="Times New Roman"/>
                  <w:sz w:val="24"/>
                  <w:szCs w:val="24"/>
                </w:rPr>
                <w:t>CV468A</w:t>
              </w:r>
            </w:hyperlink>
            <w:r w:rsidRPr="00260200">
              <w:rPr>
                <w:sz w:val="24"/>
                <w:szCs w:val="24"/>
              </w:rPr>
              <w:t>; R</w:t>
            </w:r>
            <w:r w:rsidRPr="00A64EE4">
              <w:rPr>
                <w:sz w:val="24"/>
                <w:szCs w:val="24"/>
              </w:rPr>
              <w:t xml:space="preserve">ésolution </w:t>
            </w:r>
            <w:hyperlink r:id="rId9" w:history="1">
              <w:r w:rsidRPr="00A64EE4">
                <w:rPr>
                  <w:rStyle w:val="Hyperlink"/>
                  <w:rFonts w:eastAsia="Times New Roman" w:cs="Times New Roman"/>
                  <w:sz w:val="24"/>
                  <w:szCs w:val="24"/>
                </w:rPr>
                <w:t>41</w:t>
              </w:r>
            </w:hyperlink>
            <w:r w:rsidRPr="00A64EE4">
              <w:rPr>
                <w:sz w:val="24"/>
                <w:szCs w:val="24"/>
              </w:rPr>
              <w:t xml:space="preserve"> (Rév. Dubaï, 2018)</w:t>
            </w:r>
          </w:p>
        </w:tc>
      </w:tr>
    </w:tbl>
    <w:p w14:paraId="18F4A82C" w14:textId="77777777" w:rsidR="00A51849" w:rsidRPr="00A64EE4" w:rsidRDefault="00A51849">
      <w:pPr>
        <w:tabs>
          <w:tab w:val="clear" w:pos="567"/>
          <w:tab w:val="clear" w:pos="1134"/>
          <w:tab w:val="clear" w:pos="1701"/>
          <w:tab w:val="clear" w:pos="2268"/>
          <w:tab w:val="clear" w:pos="2835"/>
        </w:tabs>
        <w:overflowPunct/>
        <w:autoSpaceDE/>
        <w:autoSpaceDN/>
        <w:adjustRightInd/>
        <w:spacing w:before="0"/>
        <w:textAlignment w:val="auto"/>
      </w:pPr>
      <w:r w:rsidRPr="00A64EE4">
        <w:br w:type="page"/>
      </w:r>
    </w:p>
    <w:p w14:paraId="590B5AB1" w14:textId="660F020F" w:rsidR="0048272B" w:rsidRPr="00A64EE4" w:rsidRDefault="0048272B" w:rsidP="003F75D1">
      <w:pPr>
        <w:jc w:val="both"/>
      </w:pPr>
      <w:r w:rsidRPr="00A64EE4">
        <w:lastRenderedPageBreak/>
        <w:t>1</w:t>
      </w:r>
      <w:r w:rsidRPr="00A64EE4">
        <w:tab/>
        <w:t>L'Équateur, État Membre de l'Union depuis 1920, et qui participe actuellement aux dépenses de l'Union dans la classe de contribution de 1/4 d'unité, a demandé, dans sa lettre datée du 12 octobre 2025 dont la référence est MINTEL-VTIC-2025-0085-O, une réduction de sa classe de contribution aux dépenses de l'Union à 1/8 ou 1/16 d'unité, bien que le pays ne figure pas dans la liste des pays les moins avancés définie par les Nations Unies.</w:t>
      </w:r>
    </w:p>
    <w:p w14:paraId="23A32ACB" w14:textId="77777777" w:rsidR="0048272B" w:rsidRPr="00A64EE4" w:rsidRDefault="0048272B" w:rsidP="003F75D1">
      <w:pPr>
        <w:jc w:val="both"/>
      </w:pPr>
      <w:r w:rsidRPr="00A64EE4">
        <w:t>2</w:t>
      </w:r>
      <w:r w:rsidRPr="00A64EE4">
        <w:tab/>
        <w:t xml:space="preserve">L'Équateur a indiqué que la demande tenait au fait que le pays fait face actuellement à des circonstances exceptionnelles qui ont des incidences notables sur ses capacités économiques et budgétaires. </w:t>
      </w:r>
    </w:p>
    <w:p w14:paraId="45AD7634" w14:textId="77777777" w:rsidR="0048272B" w:rsidRPr="00A64EE4" w:rsidRDefault="0048272B" w:rsidP="003F75D1">
      <w:pPr>
        <w:jc w:val="both"/>
      </w:pPr>
      <w:r w:rsidRPr="00A64EE4">
        <w:t>3</w:t>
      </w:r>
      <w:r w:rsidRPr="00A64EE4">
        <w:tab/>
        <w:t>L'Équateur a également déclaré que l'octroi d'une certaine souplesse (à savoir, une baisse de l'unité contributive) lui permettrait de continuer de s'acquitter de ses obligations financières en tant qu'État Membre, tout en assurant sa participation active aux travaux de l'Union et au développement des télécommunications au niveau mondial.</w:t>
      </w:r>
    </w:p>
    <w:p w14:paraId="2A9C752B" w14:textId="77777777" w:rsidR="0048272B" w:rsidRPr="00A64EE4" w:rsidRDefault="0048272B" w:rsidP="003F75D1">
      <w:pPr>
        <w:jc w:val="both"/>
      </w:pPr>
      <w:r w:rsidRPr="00A64EE4">
        <w:t>4</w:t>
      </w:r>
      <w:r w:rsidRPr="00A64EE4">
        <w:tab/>
        <w:t>Il est rappelé que, au vu des dispositions du numéro 468A de la Convention, les classes de contribution de 1/8 et 1/16 d'unité sont, en principe, réservées aux pays les moins avancés. Or, l'Équateur ne fait pas partie des pays les moins avancés tels que recensés par les Nations Unies et à ce titre n'est pas autorisé à choisir les classes de contribution de 1/8 ou 1/16 d'unité.</w:t>
      </w:r>
    </w:p>
    <w:p w14:paraId="4F47C903" w14:textId="04D3A368" w:rsidR="0048272B" w:rsidRPr="00A64EE4" w:rsidRDefault="0048272B" w:rsidP="003F75D1">
      <w:pPr>
        <w:jc w:val="both"/>
      </w:pPr>
      <w:r w:rsidRPr="00A64EE4">
        <w:t>5</w:t>
      </w:r>
      <w:r w:rsidRPr="00A64EE4">
        <w:tab/>
        <w:t>Toutefois, au titre du numéro 165A de la Constitution, le Conseil peut autoriser, dans des circonstances exceptionnelles, une réduction du nombre d'unités contributives lorsqu'un État Membre en fait la demande et fournit la preuve qu'il ne peut plus maintenir sa contribution dans la classe initialement choisie.</w:t>
      </w:r>
    </w:p>
    <w:p w14:paraId="0FF7627E" w14:textId="77777777" w:rsidR="0048272B" w:rsidRPr="00A64EE4" w:rsidRDefault="0048272B" w:rsidP="003F75D1">
      <w:pPr>
        <w:jc w:val="both"/>
      </w:pPr>
      <w:r w:rsidRPr="00A64EE4">
        <w:t>6</w:t>
      </w:r>
      <w:r w:rsidRPr="00A64EE4">
        <w:tab/>
        <w:t xml:space="preserve">Il convient de noter que l'Équateur a réglé la totalité de ses parts contributives annuelles (y compris pour l'année 2026) et que le pays ne doit aucune somme à l'Union. </w:t>
      </w:r>
    </w:p>
    <w:p w14:paraId="208A2C8E" w14:textId="77777777" w:rsidR="0048272B" w:rsidRPr="00A64EE4" w:rsidRDefault="0048272B" w:rsidP="003F75D1">
      <w:pPr>
        <w:jc w:val="both"/>
      </w:pPr>
      <w:r w:rsidRPr="00A64EE4">
        <w:t>7</w:t>
      </w:r>
      <w:r w:rsidRPr="00A64EE4">
        <w:tab/>
        <w:t>Le Conseil est invité à examiner la demande de l'Équateur. En cas d'approbation par le Conseil, la période visée irait du 1er janvier 2028 au 31 décembre 2031.</w:t>
      </w:r>
    </w:p>
    <w:p w14:paraId="5DCA4E64" w14:textId="6FDC0093" w:rsidR="006A11AE" w:rsidRPr="00A64EE4" w:rsidRDefault="0048272B" w:rsidP="0048272B">
      <w:pPr>
        <w:spacing w:before="2760"/>
      </w:pPr>
      <w:r w:rsidRPr="00A64EE4">
        <w:rPr>
          <w:b/>
          <w:bCs/>
        </w:rPr>
        <w:t>Annexe</w:t>
      </w:r>
      <w:r w:rsidRPr="00A64EE4">
        <w:t>: 1</w:t>
      </w:r>
    </w:p>
    <w:p w14:paraId="638C3888" w14:textId="4BAFAB48" w:rsidR="0048272B" w:rsidRPr="00A64EE4" w:rsidRDefault="0048272B" w:rsidP="0048272B">
      <w:r w:rsidRPr="00A64EE4">
        <w:br w:type="page"/>
      </w:r>
    </w:p>
    <w:p w14:paraId="2D4AB596" w14:textId="03252E2F" w:rsidR="0048272B" w:rsidRPr="00A64EE4" w:rsidRDefault="0048272B" w:rsidP="00446CCC">
      <w:pPr>
        <w:pStyle w:val="AnnexNo"/>
        <w:spacing w:after="240"/>
      </w:pPr>
      <w:bookmarkStart w:id="0" w:name="Annex"/>
      <w:r w:rsidRPr="00A64EE4">
        <w:lastRenderedPageBreak/>
        <w:t>Annexe</w:t>
      </w:r>
    </w:p>
    <w:bookmarkEnd w:id="0"/>
    <w:p w14:paraId="60A3A93F" w14:textId="46EC7020" w:rsidR="0048272B" w:rsidRPr="00A64EE4" w:rsidRDefault="0048272B" w:rsidP="0048272B">
      <w:r w:rsidRPr="00A64EE4">
        <w:rPr>
          <w:noProof/>
          <w:sz w:val="20"/>
        </w:rPr>
        <w:drawing>
          <wp:inline distT="0" distB="0" distL="0" distR="0" wp14:anchorId="77966366" wp14:editId="3E3A980D">
            <wp:extent cx="6026150" cy="8278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26150" cy="827805"/>
                    </a:xfrm>
                    <a:prstGeom prst="rect">
                      <a:avLst/>
                    </a:prstGeom>
                  </pic:spPr>
                </pic:pic>
              </a:graphicData>
            </a:graphic>
          </wp:inline>
        </w:drawing>
      </w:r>
    </w:p>
    <w:p w14:paraId="5A7FEDD7" w14:textId="77777777" w:rsidR="0048272B" w:rsidRPr="00AB21EB" w:rsidRDefault="0048272B" w:rsidP="0048272B">
      <w:pPr>
        <w:spacing w:before="240"/>
        <w:jc w:val="right"/>
        <w:rPr>
          <w:b/>
          <w:bCs/>
          <w:lang w:val="es-ES_tradnl"/>
        </w:rPr>
      </w:pPr>
      <w:proofErr w:type="spellStart"/>
      <w:r w:rsidRPr="00AB21EB">
        <w:rPr>
          <w:b/>
          <w:bCs/>
          <w:lang w:val="es-ES_tradnl"/>
        </w:rPr>
        <w:t>Réf</w:t>
      </w:r>
      <w:proofErr w:type="spellEnd"/>
      <w:r w:rsidRPr="00AB21EB">
        <w:rPr>
          <w:b/>
          <w:bCs/>
          <w:lang w:val="es-ES_tradnl"/>
        </w:rPr>
        <w:t>.: MINTEL-VTIC-2025-0085-O</w:t>
      </w:r>
    </w:p>
    <w:p w14:paraId="249FC10B" w14:textId="78D424F2" w:rsidR="0048272B" w:rsidRPr="00AB21EB" w:rsidRDefault="0048272B" w:rsidP="0048272B">
      <w:pPr>
        <w:jc w:val="right"/>
        <w:rPr>
          <w:b/>
          <w:bCs/>
          <w:lang w:val="es-ES_tradnl"/>
        </w:rPr>
      </w:pPr>
      <w:r w:rsidRPr="00AB21EB">
        <w:rPr>
          <w:b/>
          <w:bCs/>
          <w:lang w:val="es-ES_tradnl"/>
        </w:rPr>
        <w:t xml:space="preserve">Distrito Metropolitano de Quito, le 12 </w:t>
      </w:r>
      <w:proofErr w:type="spellStart"/>
      <w:r w:rsidRPr="00AB21EB">
        <w:rPr>
          <w:b/>
          <w:bCs/>
          <w:lang w:val="es-ES_tradnl"/>
        </w:rPr>
        <w:t>octobre</w:t>
      </w:r>
      <w:proofErr w:type="spellEnd"/>
      <w:r w:rsidRPr="00AB21EB">
        <w:rPr>
          <w:b/>
          <w:bCs/>
          <w:lang w:val="es-ES_tradnl"/>
        </w:rPr>
        <w:t xml:space="preserve"> 2025</w:t>
      </w:r>
    </w:p>
    <w:p w14:paraId="4D0B31A6" w14:textId="77777777" w:rsidR="0048272B" w:rsidRPr="00A64EE4" w:rsidRDefault="0048272B" w:rsidP="0048272B">
      <w:pPr>
        <w:spacing w:before="480"/>
      </w:pPr>
      <w:r w:rsidRPr="00A64EE4">
        <w:rPr>
          <w:b/>
          <w:bCs/>
        </w:rPr>
        <w:t>Objet</w:t>
      </w:r>
      <w:r w:rsidRPr="00A64EE4">
        <w:t>: Demande de l'Équateur visant à changer sa classe de contribution</w:t>
      </w:r>
    </w:p>
    <w:p w14:paraId="1C31778F" w14:textId="77777777" w:rsidR="0048272B" w:rsidRPr="00A64EE4" w:rsidRDefault="0048272B" w:rsidP="00446CCC">
      <w:pPr>
        <w:spacing w:before="360"/>
      </w:pPr>
      <w:r w:rsidRPr="00A64EE4">
        <w:t>Secrétaire générale</w:t>
      </w:r>
    </w:p>
    <w:p w14:paraId="30C46964" w14:textId="77777777" w:rsidR="0048272B" w:rsidRPr="00A64EE4" w:rsidRDefault="0048272B" w:rsidP="0048272B">
      <w:pPr>
        <w:spacing w:before="0"/>
      </w:pPr>
      <w:r w:rsidRPr="00A64EE4">
        <w:t>Doreen Bogdan-Martin</w:t>
      </w:r>
    </w:p>
    <w:p w14:paraId="7A0BDCE5" w14:textId="77777777" w:rsidR="0048272B" w:rsidRPr="00A64EE4" w:rsidRDefault="0048272B" w:rsidP="0048272B">
      <w:pPr>
        <w:spacing w:before="0"/>
        <w:rPr>
          <w:b/>
          <w:bCs/>
        </w:rPr>
      </w:pPr>
      <w:r w:rsidRPr="00A64EE4">
        <w:rPr>
          <w:b/>
          <w:bCs/>
        </w:rPr>
        <w:t>Bureau de la Secrétaire générale</w:t>
      </w:r>
    </w:p>
    <w:p w14:paraId="3426268B" w14:textId="77777777" w:rsidR="0048272B" w:rsidRPr="00A64EE4" w:rsidRDefault="0048272B" w:rsidP="0048272B">
      <w:pPr>
        <w:spacing w:before="0"/>
        <w:rPr>
          <w:b/>
          <w:bCs/>
        </w:rPr>
      </w:pPr>
      <w:r w:rsidRPr="00A64EE4">
        <w:rPr>
          <w:b/>
          <w:bCs/>
        </w:rPr>
        <w:t>UNION INTERNATIONALE DES TÉLÉCOMMUNICATIONS</w:t>
      </w:r>
    </w:p>
    <w:p w14:paraId="7FC39C82" w14:textId="77777777" w:rsidR="0048272B" w:rsidRPr="00A64EE4" w:rsidRDefault="0048272B" w:rsidP="0048272B">
      <w:pPr>
        <w:spacing w:before="360"/>
      </w:pPr>
      <w:r w:rsidRPr="00A64EE4">
        <w:t>Madame la Secrétaire générale,</w:t>
      </w:r>
    </w:p>
    <w:p w14:paraId="64EAEFC8" w14:textId="77777777" w:rsidR="0048272B" w:rsidRPr="00A64EE4" w:rsidRDefault="0048272B" w:rsidP="003F75D1">
      <w:pPr>
        <w:jc w:val="both"/>
      </w:pPr>
      <w:r w:rsidRPr="00A64EE4">
        <w:t>Au nom du Ministère des télécommunications et de la société de l'information de la République de l'Équateur, et compte dûment tenu du Règlement financier de l'Union internationale des télécommunications (UIT), j'ai l'honneur de soumettre à l'examen du Conseil de l'UIT la présente demande concernant la classe de contribution de l'Équateur.</w:t>
      </w:r>
    </w:p>
    <w:p w14:paraId="5601DC74" w14:textId="77777777" w:rsidR="0048272B" w:rsidRPr="00A64EE4" w:rsidRDefault="0048272B" w:rsidP="003F75D1">
      <w:pPr>
        <w:jc w:val="both"/>
      </w:pPr>
      <w:r w:rsidRPr="00A64EE4">
        <w:t>L'Équateur attache une grande importance à son adhésion de longue date à l'UIT et demeure fermement attaché aux principes de la coopération internationale et à la promotion de la connectivité, de l'innovation et de la transformation numérique, conformément aux objectifs de l'Union. Toutefois, le pays fait face actuellement à des circonstances exceptionnelles qui ont des incidences notables sur ses capacités économiques et budgétaires.</w:t>
      </w:r>
    </w:p>
    <w:p w14:paraId="7D307596" w14:textId="640BA4BF" w:rsidR="0048272B" w:rsidRPr="00A64EE4" w:rsidRDefault="0048272B" w:rsidP="003F75D1">
      <w:pPr>
        <w:jc w:val="both"/>
      </w:pPr>
      <w:r w:rsidRPr="00A64EE4">
        <w:t>Par le Décret exécutif N° 111 adopté en janvier 2024, le Gouvernement équatorien a officialisé l'existence d'un conflit armé interne. Face à cette situation sans précédent, à laquelle s'ajoutent d'importantes contraintes économiques, l'État a dû réaffecter une grande part de ses ressources financières à la protection de la sécurité nationale, de la stabilité sociale et du bien-être de ses citoyens.</w:t>
      </w:r>
    </w:p>
    <w:p w14:paraId="14607259" w14:textId="515A32F0" w:rsidR="0048272B" w:rsidRPr="00A64EE4" w:rsidRDefault="0048272B" w:rsidP="003F75D1">
      <w:pPr>
        <w:jc w:val="both"/>
      </w:pPr>
      <w:r w:rsidRPr="00A64EE4">
        <w:t>Dans ce contexte, et pour préserver son engagement sans faille envers l'UIT et les activités qu'elle mène, l'Équateur prie le Conseil de bien vouloir permettre au pays de participer aux dépenses de l'Union dans une classe de contribution inférieure, de 1/8 ou 1/16 d'unité, bien que l'Équateur ne figure pas dans la liste des pays les moins avancés définie par les Nations Unies. L'Équateur estime que l'octroi d'une certaine souplesse lui permettra de continuer de s'acquitter de ses obligations financières en tant qu'État Membre, tout en assurant sa participation active aux travaux de l'Union et au développement des télécommunications au niveau mondial.</w:t>
      </w:r>
    </w:p>
    <w:p w14:paraId="12A9C013" w14:textId="01233ADB" w:rsidR="0048272B" w:rsidRPr="00A64EE4" w:rsidRDefault="0048272B" w:rsidP="003F75D1">
      <w:pPr>
        <w:keepNext/>
        <w:jc w:val="both"/>
      </w:pPr>
      <w:r w:rsidRPr="00A64EE4">
        <w:lastRenderedPageBreak/>
        <w:t>L'Équateur demeure pleinement résolu à s'acquitter de ses responsabilités en tant qu'État Membre et à poursuivre la relation constructive qu'il entretient avec l'UIT et ses membres.</w:t>
      </w:r>
    </w:p>
    <w:p w14:paraId="777FE331" w14:textId="77777777" w:rsidR="0048272B" w:rsidRPr="00A64EE4" w:rsidRDefault="0048272B" w:rsidP="003F75D1">
      <w:pPr>
        <w:jc w:val="both"/>
      </w:pPr>
      <w:r w:rsidRPr="00A64EE4">
        <w:t>Je vous prie de bien vouloir porter la présente lettre à l'attention du Conseil de l'UIT pour examen à sa prochaine session qui aura lieu en avril 2026. L'Équateur se propose de fournir toute documentation ou précision supplémentaire qui pourrait être nécessaire à l'examen de la présente demande.</w:t>
      </w:r>
    </w:p>
    <w:p w14:paraId="0E84CD19" w14:textId="129DBE63" w:rsidR="0048272B" w:rsidRPr="00A64EE4" w:rsidRDefault="0048272B" w:rsidP="003F75D1">
      <w:pPr>
        <w:jc w:val="both"/>
      </w:pPr>
      <w:r w:rsidRPr="00A64EE4">
        <w:t>Veuillez agréer, Madame la Secrétaire générale, l'assurance de ma très haute considération.</w:t>
      </w:r>
    </w:p>
    <w:p w14:paraId="3DEA2CBF" w14:textId="2D241A45" w:rsidR="00912950" w:rsidRPr="00A64EE4" w:rsidRDefault="00912950" w:rsidP="00446CCC">
      <w:pPr>
        <w:tabs>
          <w:tab w:val="clear" w:pos="567"/>
          <w:tab w:val="clear" w:pos="1134"/>
          <w:tab w:val="clear" w:pos="1701"/>
          <w:tab w:val="clear" w:pos="2268"/>
          <w:tab w:val="clear" w:pos="2835"/>
          <w:tab w:val="left" w:pos="6804"/>
        </w:tabs>
        <w:spacing w:before="10200"/>
      </w:pPr>
      <w:r w:rsidRPr="00A64EE4">
        <w:rPr>
          <w:noProof/>
          <w:sz w:val="20"/>
        </w:rPr>
        <w:drawing>
          <wp:inline distT="0" distB="0" distL="0" distR="0" wp14:anchorId="7477E39C" wp14:editId="4F1AF457">
            <wp:extent cx="2438400" cy="4394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439420"/>
                    </a:xfrm>
                    <a:prstGeom prst="rect">
                      <a:avLst/>
                    </a:prstGeom>
                  </pic:spPr>
                </pic:pic>
              </a:graphicData>
            </a:graphic>
          </wp:inline>
        </w:drawing>
      </w:r>
      <w:r w:rsidRPr="00A64EE4">
        <w:tab/>
      </w:r>
      <w:r w:rsidRPr="00A64EE4">
        <w:rPr>
          <w:noProof/>
          <w:sz w:val="20"/>
        </w:rPr>
        <w:drawing>
          <wp:inline distT="0" distB="0" distL="0" distR="0" wp14:anchorId="5D10951E" wp14:editId="6A6686EB">
            <wp:extent cx="1383030" cy="474531"/>
            <wp:effectExtent l="0" t="0" r="7620" b="190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3030" cy="474531"/>
                    </a:xfrm>
                    <a:prstGeom prst="rect">
                      <a:avLst/>
                    </a:prstGeom>
                  </pic:spPr>
                </pic:pic>
              </a:graphicData>
            </a:graphic>
          </wp:inline>
        </w:drawing>
      </w:r>
    </w:p>
    <w:p w14:paraId="61102DDD" w14:textId="6557771B" w:rsidR="00912950" w:rsidRPr="00A64EE4" w:rsidRDefault="00912950" w:rsidP="00912950">
      <w:pPr>
        <w:tabs>
          <w:tab w:val="clear" w:pos="567"/>
          <w:tab w:val="left" w:pos="284"/>
        </w:tabs>
        <w:spacing w:before="0"/>
        <w:rPr>
          <w:i/>
          <w:iCs/>
          <w:sz w:val="18"/>
          <w:szCs w:val="14"/>
        </w:rPr>
      </w:pPr>
      <w:r w:rsidRPr="00A64EE4">
        <w:rPr>
          <w:b/>
          <w:bCs/>
          <w:i/>
          <w:iCs/>
          <w:sz w:val="18"/>
          <w:szCs w:val="14"/>
        </w:rPr>
        <w:t>*</w:t>
      </w:r>
      <w:r w:rsidRPr="00A64EE4">
        <w:rPr>
          <w:b/>
          <w:bCs/>
          <w:i/>
          <w:iCs/>
          <w:sz w:val="18"/>
          <w:szCs w:val="14"/>
        </w:rPr>
        <w:tab/>
        <w:t>Document signé électroniquement par Quipux</w:t>
      </w:r>
      <w:r w:rsidRPr="00A64EE4">
        <w:rPr>
          <w:i/>
          <w:iCs/>
          <w:sz w:val="18"/>
          <w:szCs w:val="14"/>
        </w:rPr>
        <w:t>.</w:t>
      </w:r>
      <w:r w:rsidRPr="00A64EE4">
        <w:rPr>
          <w:i/>
          <w:iCs/>
          <w:sz w:val="18"/>
          <w:szCs w:val="14"/>
        </w:rPr>
        <w:br w:type="page"/>
      </w:r>
    </w:p>
    <w:p w14:paraId="678143C9" w14:textId="3B7CCCDA" w:rsidR="00912950" w:rsidRPr="00A64EE4" w:rsidRDefault="00912950" w:rsidP="00912950">
      <w:r w:rsidRPr="00A64EE4">
        <w:rPr>
          <w:noProof/>
          <w:sz w:val="20"/>
        </w:rPr>
        <w:lastRenderedPageBreak/>
        <w:drawing>
          <wp:inline distT="0" distB="0" distL="0" distR="0" wp14:anchorId="3DCB9F04" wp14:editId="4F3E42F7">
            <wp:extent cx="5760085" cy="790874"/>
            <wp:effectExtent l="0" t="0" r="0" b="9525"/>
            <wp:docPr id="203069030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790874"/>
                    </a:xfrm>
                    <a:prstGeom prst="rect">
                      <a:avLst/>
                    </a:prstGeom>
                  </pic:spPr>
                </pic:pic>
              </a:graphicData>
            </a:graphic>
          </wp:inline>
        </w:drawing>
      </w:r>
    </w:p>
    <w:p w14:paraId="2988C78A" w14:textId="77777777" w:rsidR="00912950" w:rsidRPr="00AB21EB" w:rsidRDefault="00912950" w:rsidP="00912950">
      <w:pPr>
        <w:spacing w:before="240"/>
        <w:jc w:val="right"/>
        <w:rPr>
          <w:b/>
          <w:bCs/>
          <w:lang w:val="es-ES_tradnl"/>
        </w:rPr>
      </w:pPr>
      <w:proofErr w:type="spellStart"/>
      <w:r w:rsidRPr="00AB21EB">
        <w:rPr>
          <w:b/>
          <w:bCs/>
          <w:lang w:val="es-ES_tradnl"/>
        </w:rPr>
        <w:t>Réf</w:t>
      </w:r>
      <w:proofErr w:type="spellEnd"/>
      <w:r w:rsidRPr="00AB21EB">
        <w:rPr>
          <w:b/>
          <w:bCs/>
          <w:lang w:val="es-ES_tradnl"/>
        </w:rPr>
        <w:t>.: MINTEL-VTIC-2025-0085-O</w:t>
      </w:r>
    </w:p>
    <w:p w14:paraId="51C35587" w14:textId="7F5BC99A" w:rsidR="00912950" w:rsidRPr="00AB21EB" w:rsidRDefault="00912950" w:rsidP="00912950">
      <w:pPr>
        <w:jc w:val="right"/>
        <w:rPr>
          <w:b/>
          <w:bCs/>
          <w:lang w:val="es-ES_tradnl"/>
        </w:rPr>
      </w:pPr>
      <w:r w:rsidRPr="00AB21EB">
        <w:rPr>
          <w:b/>
          <w:bCs/>
          <w:lang w:val="es-ES_tradnl"/>
        </w:rPr>
        <w:t xml:space="preserve">Distrito Metropolitano de Quito, le 12 </w:t>
      </w:r>
      <w:proofErr w:type="spellStart"/>
      <w:r w:rsidRPr="00AB21EB">
        <w:rPr>
          <w:b/>
          <w:bCs/>
          <w:lang w:val="es-ES_tradnl"/>
        </w:rPr>
        <w:t>octobre</w:t>
      </w:r>
      <w:proofErr w:type="spellEnd"/>
      <w:r w:rsidRPr="00AB21EB">
        <w:rPr>
          <w:b/>
          <w:bCs/>
          <w:lang w:val="es-ES_tradnl"/>
        </w:rPr>
        <w:t xml:space="preserve"> 2025</w:t>
      </w:r>
    </w:p>
    <w:p w14:paraId="1F7BFA1B" w14:textId="77777777" w:rsidR="00912950" w:rsidRPr="00A64EE4" w:rsidRDefault="00912950" w:rsidP="00AB21EB">
      <w:pPr>
        <w:spacing w:before="480" w:after="480"/>
        <w:rPr>
          <w:b/>
          <w:bCs/>
          <w:i/>
          <w:iCs/>
        </w:rPr>
      </w:pPr>
      <w:r w:rsidRPr="00A64EE4">
        <w:rPr>
          <w:b/>
          <w:bCs/>
          <w:i/>
          <w:iCs/>
        </w:rPr>
        <w:t>Document signé électroniquement</w:t>
      </w:r>
    </w:p>
    <w:p w14:paraId="72368F42" w14:textId="77777777" w:rsidR="00912950" w:rsidRPr="00A64EE4" w:rsidRDefault="00912950" w:rsidP="00912950">
      <w:r w:rsidRPr="00A64EE4">
        <w:t>M. Ricardo Xavier Gutiérrez Cevallos</w:t>
      </w:r>
    </w:p>
    <w:p w14:paraId="3222D2AF" w14:textId="77777777" w:rsidR="00912950" w:rsidRPr="00A64EE4" w:rsidRDefault="00912950" w:rsidP="00912950">
      <w:pPr>
        <w:spacing w:before="0"/>
        <w:rPr>
          <w:b/>
          <w:bCs/>
        </w:rPr>
      </w:pPr>
      <w:r w:rsidRPr="00A64EE4">
        <w:rPr>
          <w:b/>
          <w:bCs/>
        </w:rPr>
        <w:t>VICE-MINISTRE DES TECHNOLOGIES DE L'INFORMATION ET DE LA COMMUNICATION</w:t>
      </w:r>
    </w:p>
    <w:p w14:paraId="7CF95937" w14:textId="77777777" w:rsidR="00912950" w:rsidRPr="00AB21EB" w:rsidRDefault="00912950" w:rsidP="00912950">
      <w:pPr>
        <w:rPr>
          <w:lang w:val="es-ES_tradnl"/>
        </w:rPr>
      </w:pPr>
      <w:r w:rsidRPr="00AB21EB">
        <w:rPr>
          <w:lang w:val="es-ES_tradnl"/>
        </w:rPr>
        <w:t>Copie:</w:t>
      </w:r>
    </w:p>
    <w:p w14:paraId="04E0846D" w14:textId="77777777" w:rsidR="00912950" w:rsidRPr="00AB21EB" w:rsidRDefault="00912950" w:rsidP="00912950">
      <w:pPr>
        <w:rPr>
          <w:lang w:val="es-ES_tradnl"/>
        </w:rPr>
      </w:pPr>
      <w:proofErr w:type="spellStart"/>
      <w:r w:rsidRPr="00AB21EB">
        <w:rPr>
          <w:lang w:val="es-ES_tradnl"/>
        </w:rPr>
        <w:t>Mme</w:t>
      </w:r>
      <w:proofErr w:type="spellEnd"/>
      <w:r w:rsidRPr="00AB21EB">
        <w:rPr>
          <w:lang w:val="es-ES_tradnl"/>
        </w:rPr>
        <w:t xml:space="preserve"> Valeria Carolina Arguello Castro</w:t>
      </w:r>
    </w:p>
    <w:p w14:paraId="3444FD60" w14:textId="77777777" w:rsidR="00912950" w:rsidRPr="00A64EE4" w:rsidRDefault="00912950" w:rsidP="00912950">
      <w:pPr>
        <w:spacing w:before="0"/>
        <w:rPr>
          <w:b/>
          <w:bCs/>
        </w:rPr>
      </w:pPr>
      <w:r w:rsidRPr="00A64EE4">
        <w:rPr>
          <w:b/>
          <w:bCs/>
        </w:rPr>
        <w:t>Directrice des affaires internationales</w:t>
      </w:r>
    </w:p>
    <w:p w14:paraId="254AFBBB" w14:textId="381CEF5B" w:rsidR="00912950" w:rsidRPr="00A64EE4" w:rsidRDefault="00912950" w:rsidP="00912950">
      <w:pPr>
        <w:spacing w:before="360" w:after="5280"/>
      </w:pPr>
      <w:r w:rsidRPr="00A64EE4">
        <w:t>jb/VA</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1"/>
        <w:gridCol w:w="3069"/>
        <w:gridCol w:w="2559"/>
      </w:tblGrid>
      <w:tr w:rsidR="00912950" w:rsidRPr="00A64EE4" w14:paraId="6987F6D7" w14:textId="77777777" w:rsidTr="00912950">
        <w:tc>
          <w:tcPr>
            <w:tcW w:w="4011" w:type="dxa"/>
          </w:tcPr>
          <w:p w14:paraId="5160D2C6" w14:textId="77777777" w:rsidR="00912950" w:rsidRPr="00A64EE4" w:rsidRDefault="00912950" w:rsidP="00912950">
            <w:pPr>
              <w:tabs>
                <w:tab w:val="clear" w:pos="567"/>
                <w:tab w:val="left" w:pos="284"/>
              </w:tabs>
            </w:pPr>
          </w:p>
        </w:tc>
        <w:tc>
          <w:tcPr>
            <w:tcW w:w="3069" w:type="dxa"/>
          </w:tcPr>
          <w:p w14:paraId="0A82C967" w14:textId="49992BDE" w:rsidR="00912950" w:rsidRPr="00A64EE4" w:rsidRDefault="00912950" w:rsidP="00912950">
            <w:pPr>
              <w:tabs>
                <w:tab w:val="clear" w:pos="567"/>
                <w:tab w:val="left" w:pos="284"/>
              </w:tabs>
            </w:pPr>
            <w:r w:rsidRPr="00A64EE4">
              <w:rPr>
                <w:noProof/>
              </w:rPr>
              <w:drawing>
                <wp:inline distT="0" distB="0" distL="0" distR="0" wp14:anchorId="1434CDFA" wp14:editId="48CE99A1">
                  <wp:extent cx="1933845" cy="695422"/>
                  <wp:effectExtent l="0" t="0" r="9525" b="9525"/>
                  <wp:docPr id="18388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70" name=""/>
                          <pic:cNvPicPr/>
                        </pic:nvPicPr>
                        <pic:blipFill>
                          <a:blip r:embed="rId13"/>
                          <a:stretch>
                            <a:fillRect/>
                          </a:stretch>
                        </pic:blipFill>
                        <pic:spPr>
                          <a:xfrm>
                            <a:off x="0" y="0"/>
                            <a:ext cx="1933845" cy="695422"/>
                          </a:xfrm>
                          <a:prstGeom prst="rect">
                            <a:avLst/>
                          </a:prstGeom>
                        </pic:spPr>
                      </pic:pic>
                    </a:graphicData>
                  </a:graphic>
                </wp:inline>
              </w:drawing>
            </w:r>
          </w:p>
        </w:tc>
        <w:tc>
          <w:tcPr>
            <w:tcW w:w="2559" w:type="dxa"/>
          </w:tcPr>
          <w:p w14:paraId="5675353B" w14:textId="77777777" w:rsidR="00912950" w:rsidRPr="00A64EE4" w:rsidRDefault="00912950" w:rsidP="00912950">
            <w:pPr>
              <w:tabs>
                <w:tab w:val="clear" w:pos="567"/>
                <w:tab w:val="left" w:pos="284"/>
              </w:tabs>
            </w:pPr>
          </w:p>
        </w:tc>
      </w:tr>
      <w:tr w:rsidR="00912950" w:rsidRPr="00A64EE4" w14:paraId="0ADE956F" w14:textId="77777777" w:rsidTr="00912950">
        <w:tc>
          <w:tcPr>
            <w:tcW w:w="4011" w:type="dxa"/>
          </w:tcPr>
          <w:p w14:paraId="20159137" w14:textId="797ED003" w:rsidR="00912950" w:rsidRPr="00A64EE4" w:rsidRDefault="00912950" w:rsidP="00912950">
            <w:pPr>
              <w:tabs>
                <w:tab w:val="clear" w:pos="567"/>
                <w:tab w:val="left" w:pos="284"/>
              </w:tabs>
            </w:pPr>
            <w:r w:rsidRPr="00A64EE4">
              <w:rPr>
                <w:noProof/>
                <w:sz w:val="20"/>
              </w:rPr>
              <w:drawing>
                <wp:inline distT="0" distB="0" distL="0" distR="0" wp14:anchorId="10FEF762" wp14:editId="20651A7C">
                  <wp:extent cx="2438400" cy="439420"/>
                  <wp:effectExtent l="0" t="0" r="0" b="0"/>
                  <wp:docPr id="29560356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439420"/>
                          </a:xfrm>
                          <a:prstGeom prst="rect">
                            <a:avLst/>
                          </a:prstGeom>
                        </pic:spPr>
                      </pic:pic>
                    </a:graphicData>
                  </a:graphic>
                </wp:inline>
              </w:drawing>
            </w:r>
          </w:p>
        </w:tc>
        <w:tc>
          <w:tcPr>
            <w:tcW w:w="3069" w:type="dxa"/>
          </w:tcPr>
          <w:p w14:paraId="7670AF2A" w14:textId="77777777" w:rsidR="00912950" w:rsidRPr="00A64EE4" w:rsidRDefault="00912950" w:rsidP="00912950">
            <w:pPr>
              <w:tabs>
                <w:tab w:val="clear" w:pos="567"/>
                <w:tab w:val="left" w:pos="284"/>
              </w:tabs>
            </w:pPr>
          </w:p>
        </w:tc>
        <w:tc>
          <w:tcPr>
            <w:tcW w:w="2559" w:type="dxa"/>
          </w:tcPr>
          <w:p w14:paraId="5BFCC356" w14:textId="5761802C" w:rsidR="00912950" w:rsidRPr="00A64EE4" w:rsidRDefault="00912950" w:rsidP="00912950">
            <w:pPr>
              <w:tabs>
                <w:tab w:val="clear" w:pos="567"/>
                <w:tab w:val="left" w:pos="284"/>
              </w:tabs>
            </w:pPr>
            <w:r w:rsidRPr="00A64EE4">
              <w:rPr>
                <w:noProof/>
                <w:sz w:val="20"/>
              </w:rPr>
              <w:drawing>
                <wp:inline distT="0" distB="0" distL="0" distR="0" wp14:anchorId="527EF81E" wp14:editId="6C017275">
                  <wp:extent cx="1383030" cy="474531"/>
                  <wp:effectExtent l="0" t="0" r="7620" b="1905"/>
                  <wp:docPr id="139466301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3030" cy="474531"/>
                          </a:xfrm>
                          <a:prstGeom prst="rect">
                            <a:avLst/>
                          </a:prstGeom>
                        </pic:spPr>
                      </pic:pic>
                    </a:graphicData>
                  </a:graphic>
                </wp:inline>
              </w:drawing>
            </w:r>
          </w:p>
        </w:tc>
      </w:tr>
    </w:tbl>
    <w:p w14:paraId="369818D3" w14:textId="4BE4C51D" w:rsidR="00912950" w:rsidRPr="00A64EE4" w:rsidRDefault="00912950" w:rsidP="00912950">
      <w:pPr>
        <w:tabs>
          <w:tab w:val="clear" w:pos="567"/>
          <w:tab w:val="left" w:pos="284"/>
        </w:tabs>
        <w:spacing w:before="0"/>
      </w:pPr>
      <w:r w:rsidRPr="00A64EE4">
        <w:rPr>
          <w:b/>
          <w:bCs/>
          <w:i/>
          <w:iCs/>
          <w:sz w:val="18"/>
          <w:szCs w:val="14"/>
        </w:rPr>
        <w:t>*</w:t>
      </w:r>
      <w:r w:rsidRPr="00A64EE4">
        <w:rPr>
          <w:b/>
          <w:bCs/>
          <w:i/>
          <w:iCs/>
          <w:sz w:val="18"/>
          <w:szCs w:val="14"/>
        </w:rPr>
        <w:tab/>
        <w:t>Document signé électroniquement par Quipux.</w:t>
      </w:r>
    </w:p>
    <w:p w14:paraId="352E4665" w14:textId="77777777" w:rsidR="00897553" w:rsidRPr="00A64EE4" w:rsidRDefault="006A11AE" w:rsidP="002D2336">
      <w:pPr>
        <w:jc w:val="center"/>
      </w:pPr>
      <w:r w:rsidRPr="00A64EE4">
        <w:t>______________</w:t>
      </w:r>
    </w:p>
    <w:sectPr w:rsidR="00897553" w:rsidRPr="00A64EE4"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7D19" w14:textId="77777777" w:rsidR="007F267B" w:rsidRDefault="007F267B">
      <w:r>
        <w:separator/>
      </w:r>
    </w:p>
  </w:endnote>
  <w:endnote w:type="continuationSeparator" w:id="0">
    <w:p w14:paraId="1DC465F5" w14:textId="77777777" w:rsidR="007F267B" w:rsidRDefault="007F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5D1" w14:textId="16CB4F99" w:rsidR="00732045" w:rsidRDefault="00A64EE4">
    <w:pPr>
      <w:pStyle w:val="Footer"/>
    </w:pPr>
    <w:fldSimple w:instr=" FILENAME \p \* MERGEFORMAT ">
      <w:r>
        <w:t>P:\FRA\gDoc\SG\C26\2600677F.docx</w:t>
      </w:r>
    </w:fldSimple>
    <w:r w:rsidR="00732045">
      <w:tab/>
    </w:r>
    <w:r w:rsidR="002F1B76">
      <w:fldChar w:fldCharType="begin"/>
    </w:r>
    <w:r w:rsidR="00732045">
      <w:instrText xml:space="preserve"> savedate \@ dd.MM.yy </w:instrText>
    </w:r>
    <w:r w:rsidR="002F1B76">
      <w:fldChar w:fldCharType="separate"/>
    </w:r>
    <w:r w:rsidR="005667D1">
      <w:t>30.03.26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168C12D" w14:textId="77777777" w:rsidTr="00E31DCE">
      <w:trPr>
        <w:jc w:val="center"/>
      </w:trPr>
      <w:tc>
        <w:tcPr>
          <w:tcW w:w="1803" w:type="dxa"/>
          <w:vAlign w:val="center"/>
        </w:tcPr>
        <w:p w14:paraId="6A9420A4" w14:textId="26D79AC0" w:rsidR="00A51849" w:rsidRDefault="0048272B" w:rsidP="00A51849">
          <w:pPr>
            <w:pStyle w:val="Header"/>
            <w:jc w:val="left"/>
            <w:rPr>
              <w:noProof/>
            </w:rPr>
          </w:pPr>
          <w:r>
            <w:rPr>
              <w:noProof/>
            </w:rPr>
            <w:t>2600677</w:t>
          </w:r>
        </w:p>
      </w:tc>
      <w:tc>
        <w:tcPr>
          <w:tcW w:w="8261" w:type="dxa"/>
        </w:tcPr>
        <w:p w14:paraId="4FB5180E" w14:textId="41AC147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8272B">
            <w:rPr>
              <w:bCs/>
            </w:rPr>
            <w:t>54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AC7D15C"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D5B36EA" w14:textId="77777777" w:rsidTr="00E31DCE">
      <w:trPr>
        <w:jc w:val="center"/>
      </w:trPr>
      <w:tc>
        <w:tcPr>
          <w:tcW w:w="1803" w:type="dxa"/>
          <w:vAlign w:val="center"/>
        </w:tcPr>
        <w:p w14:paraId="14CE2DD5"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4C10EA2" w14:textId="5A8452C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8272B">
            <w:rPr>
              <w:bCs/>
            </w:rPr>
            <w:t>54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F56959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5768" w14:textId="77777777" w:rsidR="007F267B" w:rsidRDefault="007F267B">
      <w:r>
        <w:t>____________________</w:t>
      </w:r>
    </w:p>
  </w:footnote>
  <w:footnote w:type="continuationSeparator" w:id="0">
    <w:p w14:paraId="6D93E611" w14:textId="77777777" w:rsidR="007F267B" w:rsidRDefault="007F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3AF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26752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A65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7B"/>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0200"/>
    <w:rsid w:val="00263A51"/>
    <w:rsid w:val="00267E02"/>
    <w:rsid w:val="00271321"/>
    <w:rsid w:val="00277DEA"/>
    <w:rsid w:val="002A5D44"/>
    <w:rsid w:val="002C3F32"/>
    <w:rsid w:val="002C4E3D"/>
    <w:rsid w:val="002D2336"/>
    <w:rsid w:val="002D506E"/>
    <w:rsid w:val="002E0BC4"/>
    <w:rsid w:val="002F1B76"/>
    <w:rsid w:val="0033568E"/>
    <w:rsid w:val="00355FF5"/>
    <w:rsid w:val="00361350"/>
    <w:rsid w:val="003C3FAE"/>
    <w:rsid w:val="003F75D1"/>
    <w:rsid w:val="004038CB"/>
    <w:rsid w:val="0040546F"/>
    <w:rsid w:val="004177BD"/>
    <w:rsid w:val="0042404A"/>
    <w:rsid w:val="0044618F"/>
    <w:rsid w:val="00446CCC"/>
    <w:rsid w:val="00465C35"/>
    <w:rsid w:val="0046769A"/>
    <w:rsid w:val="00475FB3"/>
    <w:rsid w:val="0048272B"/>
    <w:rsid w:val="004C37A9"/>
    <w:rsid w:val="004D1D50"/>
    <w:rsid w:val="004F259E"/>
    <w:rsid w:val="004F633A"/>
    <w:rsid w:val="00504C7F"/>
    <w:rsid w:val="00511F1D"/>
    <w:rsid w:val="00520F36"/>
    <w:rsid w:val="00524E8D"/>
    <w:rsid w:val="00534E13"/>
    <w:rsid w:val="00540615"/>
    <w:rsid w:val="00540A6D"/>
    <w:rsid w:val="00553536"/>
    <w:rsid w:val="00566679"/>
    <w:rsid w:val="005667D1"/>
    <w:rsid w:val="00571EEA"/>
    <w:rsid w:val="00575417"/>
    <w:rsid w:val="005768E1"/>
    <w:rsid w:val="005B1938"/>
    <w:rsid w:val="005C3890"/>
    <w:rsid w:val="005E627B"/>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267B"/>
    <w:rsid w:val="007F3665"/>
    <w:rsid w:val="00800037"/>
    <w:rsid w:val="0082299A"/>
    <w:rsid w:val="0083391C"/>
    <w:rsid w:val="0084546D"/>
    <w:rsid w:val="00861D73"/>
    <w:rsid w:val="00882919"/>
    <w:rsid w:val="00897553"/>
    <w:rsid w:val="008A1111"/>
    <w:rsid w:val="008A4E87"/>
    <w:rsid w:val="008D76E6"/>
    <w:rsid w:val="00912950"/>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64EE4"/>
    <w:rsid w:val="00A709FE"/>
    <w:rsid w:val="00A73C60"/>
    <w:rsid w:val="00A82767"/>
    <w:rsid w:val="00AA332F"/>
    <w:rsid w:val="00AA7BBB"/>
    <w:rsid w:val="00AB21E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B4FB2"/>
  <w15:docId w15:val="{38E46E15-BAA4-434E-A32F-9B8EE839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Convention-F.pdf"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2023/Constitution-F.pdf" TargetMode="Externa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en/council/Documents/basic-texts-2023/RES-041-F.pdf"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5</Pages>
  <Words>980</Words>
  <Characters>5764</Characters>
  <Application>Microsoft Office Word</Application>
  <DocSecurity>0</DocSecurity>
  <Lines>320</Lines>
  <Paragraphs>192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6552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 contributives de l'Équateur aux dépenses de l'Union</dc:title>
  <dc:subject>Conseil 2026 de l'UIT</dc:subject>
  <cp:keywords>C26; C2026; Council 2026; PP26</cp:keywords>
  <dc:description/>
  <cp:lastPrinted>2000-07-18T08:55:00Z</cp:lastPrinted>
  <dcterms:created xsi:type="dcterms:W3CDTF">2026-04-02T09:57:00Z</dcterms:created>
  <dcterms:modified xsi:type="dcterms:W3CDTF">2026-04-02T09:58:00Z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