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72BEA" w14:paraId="7DFE5675" w14:textId="77777777" w:rsidTr="00C4421B">
        <w:trPr>
          <w:cantSplit/>
          <w:trHeight w:val="23"/>
        </w:trPr>
        <w:tc>
          <w:tcPr>
            <w:tcW w:w="3969" w:type="dxa"/>
            <w:vMerge w:val="restart"/>
            <w:tcMar>
              <w:left w:w="0" w:type="dxa"/>
            </w:tcMar>
          </w:tcPr>
          <w:p w14:paraId="08B61685" w14:textId="1F8B7F70" w:rsidR="00FE57F6" w:rsidRPr="00DE2B05" w:rsidRDefault="00CC1FAF" w:rsidP="00C4421B">
            <w:pPr>
              <w:tabs>
                <w:tab w:val="left" w:pos="851"/>
              </w:tabs>
              <w:spacing w:before="0" w:line="240" w:lineRule="atLeast"/>
              <w:rPr>
                <w:b/>
                <w:lang w:val="es-ES"/>
              </w:rPr>
            </w:pPr>
            <w:bookmarkStart w:id="0" w:name="_Hlk133421839"/>
            <w:r w:rsidRPr="00DE2B05">
              <w:rPr>
                <w:b/>
                <w:lang w:val="es-ES"/>
              </w:rPr>
              <w:t>Punto del o</w:t>
            </w:r>
            <w:r w:rsidR="00BB6FD8" w:rsidRPr="00DE2B05">
              <w:rPr>
                <w:b/>
                <w:lang w:val="es-ES"/>
              </w:rPr>
              <w:t>rden del día</w:t>
            </w:r>
            <w:r w:rsidR="00FE57F6" w:rsidRPr="00DE2B05">
              <w:rPr>
                <w:b/>
                <w:lang w:val="es-ES"/>
              </w:rPr>
              <w:t xml:space="preserve">: </w:t>
            </w:r>
            <w:r w:rsidR="00C04ED0" w:rsidRPr="00DE2B05">
              <w:rPr>
                <w:b/>
                <w:lang w:val="es-ES"/>
              </w:rPr>
              <w:t>ADM-1</w:t>
            </w:r>
          </w:p>
        </w:tc>
        <w:tc>
          <w:tcPr>
            <w:tcW w:w="5245" w:type="dxa"/>
          </w:tcPr>
          <w:p w14:paraId="4C8AA590" w14:textId="3E1434C0" w:rsidR="00FE57F6" w:rsidRPr="00DE2B05" w:rsidRDefault="00B765DC" w:rsidP="00C4421B">
            <w:pPr>
              <w:tabs>
                <w:tab w:val="left" w:pos="851"/>
              </w:tabs>
              <w:spacing w:before="0" w:line="240" w:lineRule="atLeast"/>
              <w:jc w:val="right"/>
              <w:rPr>
                <w:b/>
                <w:lang w:val="es-ES"/>
              </w:rPr>
            </w:pPr>
            <w:r w:rsidRPr="00DE2B05">
              <w:rPr>
                <w:b/>
                <w:lang w:val="es-ES"/>
              </w:rPr>
              <w:t>Revisión 1 del</w:t>
            </w:r>
            <w:r w:rsidRPr="00DE2B05">
              <w:rPr>
                <w:b/>
                <w:lang w:val="es-ES"/>
              </w:rPr>
              <w:br/>
            </w:r>
            <w:r w:rsidR="00FE57F6" w:rsidRPr="00DE2B05">
              <w:rPr>
                <w:b/>
                <w:lang w:val="es-ES"/>
              </w:rPr>
              <w:t>Document</w:t>
            </w:r>
            <w:r w:rsidR="00F24B71" w:rsidRPr="00DE2B05">
              <w:rPr>
                <w:b/>
                <w:lang w:val="es-ES"/>
              </w:rPr>
              <w:t>o</w:t>
            </w:r>
            <w:r w:rsidR="00FE57F6" w:rsidRPr="00DE2B05">
              <w:rPr>
                <w:b/>
                <w:lang w:val="es-ES"/>
              </w:rPr>
              <w:t xml:space="preserve"> </w:t>
            </w:r>
            <w:proofErr w:type="spellStart"/>
            <w:r w:rsidR="00FE57F6" w:rsidRPr="00DE2B05">
              <w:rPr>
                <w:b/>
                <w:lang w:val="es-ES"/>
              </w:rPr>
              <w:t>C2</w:t>
            </w:r>
            <w:r w:rsidR="00F85E5C" w:rsidRPr="00DE2B05">
              <w:rPr>
                <w:b/>
                <w:lang w:val="es-ES"/>
              </w:rPr>
              <w:t>6</w:t>
            </w:r>
            <w:proofErr w:type="spellEnd"/>
            <w:r w:rsidR="00FE57F6" w:rsidRPr="00DE2B05">
              <w:rPr>
                <w:b/>
                <w:lang w:val="es-ES"/>
              </w:rPr>
              <w:t>/</w:t>
            </w:r>
            <w:r w:rsidRPr="00DE2B05">
              <w:rPr>
                <w:b/>
                <w:lang w:val="es-ES"/>
              </w:rPr>
              <w:t>53</w:t>
            </w:r>
            <w:r w:rsidR="00FE57F6" w:rsidRPr="00DE2B05">
              <w:rPr>
                <w:b/>
                <w:lang w:val="es-ES"/>
              </w:rPr>
              <w:t>-</w:t>
            </w:r>
            <w:r w:rsidR="00F24B71" w:rsidRPr="00DE2B05">
              <w:rPr>
                <w:b/>
                <w:lang w:val="es-ES"/>
              </w:rPr>
              <w:t>S</w:t>
            </w:r>
          </w:p>
        </w:tc>
      </w:tr>
      <w:tr w:rsidR="00FE57F6" w:rsidRPr="00DE2B05" w14:paraId="4911F795" w14:textId="77777777" w:rsidTr="00C4421B">
        <w:trPr>
          <w:cantSplit/>
        </w:trPr>
        <w:tc>
          <w:tcPr>
            <w:tcW w:w="3969" w:type="dxa"/>
            <w:vMerge/>
          </w:tcPr>
          <w:p w14:paraId="2147BBD8" w14:textId="77777777" w:rsidR="00FE57F6" w:rsidRPr="00DE2B05" w:rsidRDefault="00FE57F6" w:rsidP="00C4421B">
            <w:pPr>
              <w:tabs>
                <w:tab w:val="left" w:pos="851"/>
              </w:tabs>
              <w:spacing w:line="240" w:lineRule="atLeast"/>
              <w:rPr>
                <w:b/>
                <w:lang w:val="es-ES"/>
              </w:rPr>
            </w:pPr>
          </w:p>
        </w:tc>
        <w:tc>
          <w:tcPr>
            <w:tcW w:w="5245" w:type="dxa"/>
          </w:tcPr>
          <w:p w14:paraId="57FE1254" w14:textId="4877E846" w:rsidR="00FE57F6" w:rsidRPr="00DE2B05" w:rsidRDefault="008D7BBD" w:rsidP="00C4421B">
            <w:pPr>
              <w:tabs>
                <w:tab w:val="left" w:pos="851"/>
              </w:tabs>
              <w:spacing w:before="0"/>
              <w:jc w:val="right"/>
              <w:rPr>
                <w:b/>
                <w:lang w:val="es-ES"/>
              </w:rPr>
            </w:pPr>
            <w:r w:rsidRPr="00DE2B05">
              <w:rPr>
                <w:b/>
                <w:lang w:val="es-ES"/>
              </w:rPr>
              <w:t>30 de abril de 2026</w:t>
            </w:r>
          </w:p>
        </w:tc>
      </w:tr>
      <w:tr w:rsidR="00FE57F6" w:rsidRPr="00DE2B05" w14:paraId="72179FDF" w14:textId="77777777" w:rsidTr="00C4421B">
        <w:trPr>
          <w:cantSplit/>
          <w:trHeight w:val="23"/>
        </w:trPr>
        <w:tc>
          <w:tcPr>
            <w:tcW w:w="3969" w:type="dxa"/>
            <w:vMerge/>
          </w:tcPr>
          <w:p w14:paraId="5153EB84" w14:textId="77777777" w:rsidR="00FE57F6" w:rsidRPr="00DE2B05" w:rsidRDefault="00FE57F6" w:rsidP="00C4421B">
            <w:pPr>
              <w:tabs>
                <w:tab w:val="left" w:pos="851"/>
              </w:tabs>
              <w:spacing w:line="240" w:lineRule="atLeast"/>
              <w:rPr>
                <w:b/>
                <w:lang w:val="es-ES"/>
              </w:rPr>
            </w:pPr>
          </w:p>
        </w:tc>
        <w:tc>
          <w:tcPr>
            <w:tcW w:w="5245" w:type="dxa"/>
          </w:tcPr>
          <w:p w14:paraId="1B7EFF5F" w14:textId="77777777" w:rsidR="00FE57F6" w:rsidRPr="00DE2B05" w:rsidRDefault="00F24B71" w:rsidP="00C4421B">
            <w:pPr>
              <w:tabs>
                <w:tab w:val="left" w:pos="851"/>
              </w:tabs>
              <w:spacing w:before="0" w:line="240" w:lineRule="atLeast"/>
              <w:jc w:val="right"/>
              <w:rPr>
                <w:b/>
                <w:bCs/>
                <w:lang w:val="es-ES"/>
              </w:rPr>
            </w:pPr>
            <w:r w:rsidRPr="00DE2B05">
              <w:rPr>
                <w:rFonts w:cstheme="minorHAnsi"/>
                <w:b/>
                <w:bCs/>
                <w:lang w:val="es-ES"/>
              </w:rPr>
              <w:t>Original: inglés</w:t>
            </w:r>
          </w:p>
        </w:tc>
      </w:tr>
      <w:tr w:rsidR="00FE57F6" w:rsidRPr="00DE2B05" w14:paraId="354B6529" w14:textId="77777777" w:rsidTr="00C4421B">
        <w:trPr>
          <w:cantSplit/>
          <w:trHeight w:val="23"/>
        </w:trPr>
        <w:tc>
          <w:tcPr>
            <w:tcW w:w="3969" w:type="dxa"/>
          </w:tcPr>
          <w:p w14:paraId="0F5D2F57" w14:textId="77777777" w:rsidR="00FE57F6" w:rsidRPr="00DE2B05" w:rsidRDefault="00FE57F6" w:rsidP="00C4421B">
            <w:pPr>
              <w:tabs>
                <w:tab w:val="left" w:pos="851"/>
              </w:tabs>
              <w:spacing w:line="240" w:lineRule="atLeast"/>
              <w:rPr>
                <w:b/>
                <w:lang w:val="es-ES"/>
              </w:rPr>
            </w:pPr>
          </w:p>
        </w:tc>
        <w:tc>
          <w:tcPr>
            <w:tcW w:w="5245" w:type="dxa"/>
          </w:tcPr>
          <w:p w14:paraId="04EDE3DE" w14:textId="77777777" w:rsidR="00FE57F6" w:rsidRPr="00DE2B05" w:rsidRDefault="00FE57F6" w:rsidP="00C4421B">
            <w:pPr>
              <w:tabs>
                <w:tab w:val="left" w:pos="851"/>
              </w:tabs>
              <w:spacing w:before="0" w:line="240" w:lineRule="atLeast"/>
              <w:jc w:val="right"/>
              <w:rPr>
                <w:b/>
                <w:lang w:val="es-ES"/>
              </w:rPr>
            </w:pPr>
          </w:p>
        </w:tc>
      </w:tr>
      <w:tr w:rsidR="00C04ED0" w:rsidRPr="00B72BEA" w14:paraId="1D64698B" w14:textId="77777777" w:rsidTr="00C4421B">
        <w:trPr>
          <w:cantSplit/>
        </w:trPr>
        <w:tc>
          <w:tcPr>
            <w:tcW w:w="9214" w:type="dxa"/>
            <w:gridSpan w:val="2"/>
            <w:tcMar>
              <w:left w:w="0" w:type="dxa"/>
            </w:tcMar>
          </w:tcPr>
          <w:p w14:paraId="2874A180" w14:textId="658C0570" w:rsidR="00C04ED0" w:rsidRPr="000F2770" w:rsidRDefault="00C04ED0" w:rsidP="000F2770">
            <w:pPr>
              <w:pStyle w:val="Source"/>
              <w:framePr w:hSpace="0" w:wrap="auto" w:vAnchor="margin" w:hAnchor="text" w:xAlign="left" w:yAlign="inline"/>
            </w:pPr>
            <w:r w:rsidRPr="000F2770">
              <w:t xml:space="preserve">Informe de la Presidenta del </w:t>
            </w:r>
            <w:proofErr w:type="spellStart"/>
            <w:r w:rsidRPr="000F2770">
              <w:t>GTC-RHF</w:t>
            </w:r>
            <w:proofErr w:type="spellEnd"/>
          </w:p>
        </w:tc>
      </w:tr>
      <w:tr w:rsidR="00C04ED0" w:rsidRPr="00B72BEA" w14:paraId="7F1003BE" w14:textId="77777777" w:rsidTr="00C4421B">
        <w:trPr>
          <w:cantSplit/>
        </w:trPr>
        <w:tc>
          <w:tcPr>
            <w:tcW w:w="9214" w:type="dxa"/>
            <w:gridSpan w:val="2"/>
            <w:tcMar>
              <w:left w:w="0" w:type="dxa"/>
            </w:tcMar>
          </w:tcPr>
          <w:p w14:paraId="3031BC42" w14:textId="4FF2F002" w:rsidR="00C04ED0" w:rsidRPr="000F2770" w:rsidRDefault="00C04ED0" w:rsidP="000F2770">
            <w:pPr>
              <w:pStyle w:val="Subtitle"/>
              <w:framePr w:hSpace="0" w:wrap="auto" w:vAnchor="margin" w:hAnchor="text" w:xAlign="left" w:yAlign="inline"/>
            </w:pPr>
            <w:r w:rsidRPr="000F2770">
              <w:t>INFORME CUATRIENAL DEL GRUPO DE TRABAJO DEL CONSEJO SOBRE RECURSOS HUMANOS Y FINANCIEROS</w:t>
            </w:r>
          </w:p>
        </w:tc>
      </w:tr>
      <w:tr w:rsidR="00FE57F6" w:rsidRPr="00B72BEA" w14:paraId="5D475BCC" w14:textId="77777777" w:rsidTr="00C4421B">
        <w:trPr>
          <w:cantSplit/>
        </w:trPr>
        <w:tc>
          <w:tcPr>
            <w:tcW w:w="9214" w:type="dxa"/>
            <w:gridSpan w:val="2"/>
            <w:tcBorders>
              <w:top w:val="single" w:sz="4" w:space="0" w:color="auto"/>
              <w:bottom w:val="single" w:sz="4" w:space="0" w:color="auto"/>
            </w:tcBorders>
            <w:tcMar>
              <w:left w:w="0" w:type="dxa"/>
            </w:tcMar>
          </w:tcPr>
          <w:p w14:paraId="246C9313" w14:textId="77777777" w:rsidR="00FE57F6" w:rsidRPr="00DE2B05" w:rsidRDefault="00F24B71" w:rsidP="00C4421B">
            <w:pPr>
              <w:spacing w:before="160"/>
              <w:rPr>
                <w:b/>
                <w:bCs/>
                <w:sz w:val="26"/>
                <w:szCs w:val="26"/>
                <w:lang w:val="es-ES"/>
              </w:rPr>
            </w:pPr>
            <w:r w:rsidRPr="00DE2B05">
              <w:rPr>
                <w:b/>
                <w:bCs/>
                <w:sz w:val="26"/>
                <w:szCs w:val="26"/>
                <w:lang w:val="es-ES"/>
              </w:rPr>
              <w:t>Finalidad</w:t>
            </w:r>
          </w:p>
          <w:p w14:paraId="3DAEF4F7" w14:textId="77777777" w:rsidR="00C04ED0" w:rsidRPr="00DE2B05" w:rsidRDefault="00C04ED0" w:rsidP="000F2770">
            <w:pPr>
              <w:jc w:val="both"/>
              <w:rPr>
                <w:lang w:val="es-ES"/>
              </w:rPr>
            </w:pPr>
            <w:r w:rsidRPr="00DE2B05">
              <w:rPr>
                <w:lang w:val="es-ES"/>
              </w:rPr>
              <w:t>De conformidad con la Decisión 11 (Rev. Bucarest, 2022) de la Conferencia de Plenipotenciarios, el presente documento contiene el Informe cuatrienal de la Presidenta del Grupo de Trabajo del Consejo sobre Recursos Humanos y Financieros (</w:t>
            </w:r>
            <w:proofErr w:type="spellStart"/>
            <w:r w:rsidRPr="00DE2B05">
              <w:rPr>
                <w:lang w:val="es-ES"/>
              </w:rPr>
              <w:t>GTC-RHF</w:t>
            </w:r>
            <w:proofErr w:type="spellEnd"/>
            <w:r w:rsidRPr="00DE2B05">
              <w:rPr>
                <w:lang w:val="es-ES"/>
              </w:rPr>
              <w:t>), presentado al Consejo en 2023, 2024, 2025 y 2026.</w:t>
            </w:r>
          </w:p>
          <w:p w14:paraId="74530DE6" w14:textId="7BF883AA" w:rsidR="00FE57F6" w:rsidRPr="00DE2B05" w:rsidRDefault="00C04ED0" w:rsidP="000F2770">
            <w:pPr>
              <w:jc w:val="both"/>
              <w:rPr>
                <w:lang w:val="es-ES"/>
              </w:rPr>
            </w:pPr>
            <w:r w:rsidRPr="00DE2B05">
              <w:rPr>
                <w:lang w:val="es-ES"/>
              </w:rPr>
              <w:t>El Consejo, reconociendo la necesidad de abordar la importancia de los asuntos financieros y de recursos humanos entre sus reuniones, en particular los que requieren el examen y la posible modificación de los instrumentos financieros de la UIT (Reglamento Financiero y Reglas Financieras), así como del Estatuto y Reglamento del Personal, podría recomendar a la Conferencia de Plenipotenciarios mantener este Grupo durante el próximo periodo.</w:t>
            </w:r>
          </w:p>
          <w:p w14:paraId="31493421" w14:textId="77777777" w:rsidR="00FE57F6" w:rsidRPr="00DE2B05" w:rsidRDefault="00F24B71" w:rsidP="00C4421B">
            <w:pPr>
              <w:spacing w:before="160"/>
              <w:rPr>
                <w:b/>
                <w:bCs/>
                <w:sz w:val="26"/>
                <w:szCs w:val="26"/>
                <w:lang w:val="es-ES"/>
              </w:rPr>
            </w:pPr>
            <w:r w:rsidRPr="00DE2B05">
              <w:rPr>
                <w:b/>
                <w:bCs/>
                <w:sz w:val="26"/>
                <w:szCs w:val="26"/>
                <w:lang w:val="es-ES"/>
              </w:rPr>
              <w:t xml:space="preserve">Acción solicitada </w:t>
            </w:r>
            <w:r w:rsidR="00677A97" w:rsidRPr="00DE2B05">
              <w:rPr>
                <w:b/>
                <w:bCs/>
                <w:sz w:val="26"/>
                <w:szCs w:val="26"/>
                <w:lang w:val="es-ES"/>
              </w:rPr>
              <w:t>al</w:t>
            </w:r>
            <w:r w:rsidRPr="00DE2B05">
              <w:rPr>
                <w:b/>
                <w:bCs/>
                <w:sz w:val="26"/>
                <w:szCs w:val="26"/>
                <w:lang w:val="es-ES"/>
              </w:rPr>
              <w:t xml:space="preserve"> Consejo</w:t>
            </w:r>
          </w:p>
          <w:p w14:paraId="6061AE54" w14:textId="5F958D7C" w:rsidR="00F92BED" w:rsidRPr="00DE2B05" w:rsidRDefault="00C04ED0" w:rsidP="000F2770">
            <w:pPr>
              <w:spacing w:before="160"/>
              <w:jc w:val="both"/>
              <w:rPr>
                <w:szCs w:val="24"/>
                <w:lang w:val="es-ES"/>
              </w:rPr>
            </w:pPr>
            <w:r w:rsidRPr="00DE2B05">
              <w:rPr>
                <w:szCs w:val="24"/>
                <w:lang w:val="es-ES"/>
              </w:rPr>
              <w:t xml:space="preserve">Se invita al Consejo a </w:t>
            </w:r>
            <w:r w:rsidRPr="00DE2B05">
              <w:rPr>
                <w:b/>
                <w:bCs/>
                <w:szCs w:val="24"/>
                <w:lang w:val="es-ES"/>
              </w:rPr>
              <w:t>examinar</w:t>
            </w:r>
            <w:r w:rsidRPr="00DE2B05">
              <w:rPr>
                <w:szCs w:val="24"/>
                <w:lang w:val="es-ES"/>
              </w:rPr>
              <w:t xml:space="preserve"> el presente informe y a </w:t>
            </w:r>
            <w:r w:rsidRPr="00DE2B05">
              <w:rPr>
                <w:b/>
                <w:bCs/>
                <w:szCs w:val="24"/>
                <w:lang w:val="es-ES"/>
              </w:rPr>
              <w:t>presentar</w:t>
            </w:r>
            <w:r w:rsidRPr="00DE2B05">
              <w:rPr>
                <w:szCs w:val="24"/>
                <w:lang w:val="es-ES"/>
              </w:rPr>
              <w:t xml:space="preserve"> sus recomendaciones a la Conferencia de Plenipotenciarios, según proceda, en particular sobre la continuación de las actividades del </w:t>
            </w:r>
            <w:proofErr w:type="spellStart"/>
            <w:r w:rsidRPr="00DE2B05">
              <w:rPr>
                <w:szCs w:val="24"/>
                <w:lang w:val="es-ES"/>
              </w:rPr>
              <w:t>GTC-RHF</w:t>
            </w:r>
            <w:proofErr w:type="spellEnd"/>
            <w:r w:rsidRPr="00DE2B05">
              <w:rPr>
                <w:szCs w:val="24"/>
                <w:lang w:val="es-ES"/>
              </w:rPr>
              <w:t xml:space="preserve"> durante los próximos cuatro años.</w:t>
            </w:r>
          </w:p>
          <w:p w14:paraId="1E69AC47" w14:textId="77777777" w:rsidR="00F92BED" w:rsidRPr="00DE2B05" w:rsidRDefault="00F92BED" w:rsidP="00C4421B">
            <w:pPr>
              <w:spacing w:before="160"/>
              <w:rPr>
                <w:b/>
                <w:bCs/>
                <w:sz w:val="26"/>
                <w:szCs w:val="26"/>
                <w:lang w:val="es-ES"/>
              </w:rPr>
            </w:pPr>
            <w:r w:rsidRPr="00DE2B05">
              <w:rPr>
                <w:b/>
                <w:bCs/>
                <w:sz w:val="26"/>
                <w:szCs w:val="26"/>
                <w:lang w:val="es-ES"/>
              </w:rPr>
              <w:t>Vínculo(s) pertinente(s) con el Plan Estratégico</w:t>
            </w:r>
          </w:p>
          <w:p w14:paraId="5702D883" w14:textId="38A96173" w:rsidR="00F92BED" w:rsidRPr="00DE2B05" w:rsidRDefault="00C04ED0" w:rsidP="00C4421B">
            <w:pPr>
              <w:rPr>
                <w:lang w:val="es-ES"/>
              </w:rPr>
            </w:pPr>
            <w:r w:rsidRPr="00DE2B05">
              <w:rPr>
                <w:lang w:val="es-ES"/>
              </w:rPr>
              <w:t>Plataformas de reunión; excelencia en los recursos humanos e innovación institucional.</w:t>
            </w:r>
          </w:p>
          <w:p w14:paraId="233906B0" w14:textId="77777777" w:rsidR="00F92BED" w:rsidRPr="00DE2B05" w:rsidRDefault="00F92BED" w:rsidP="00C4421B">
            <w:pPr>
              <w:spacing w:before="160"/>
              <w:rPr>
                <w:b/>
                <w:bCs/>
                <w:sz w:val="26"/>
                <w:szCs w:val="26"/>
                <w:lang w:val="es-ES"/>
              </w:rPr>
            </w:pPr>
            <w:r w:rsidRPr="00DE2B05">
              <w:rPr>
                <w:b/>
                <w:bCs/>
                <w:sz w:val="26"/>
                <w:szCs w:val="26"/>
                <w:lang w:val="es-ES"/>
              </w:rPr>
              <w:t>Repercusiones financieras</w:t>
            </w:r>
          </w:p>
          <w:p w14:paraId="5DC25365" w14:textId="46E9ADBA" w:rsidR="00F92BED" w:rsidRPr="00DE2B05" w:rsidRDefault="00C04ED0" w:rsidP="00C4421B">
            <w:pPr>
              <w:rPr>
                <w:lang w:val="es-ES"/>
              </w:rPr>
            </w:pPr>
            <w:r w:rsidRPr="00DE2B05">
              <w:rPr>
                <w:lang w:val="es-ES"/>
              </w:rPr>
              <w:t>Con cargo a los presupuestos asignados para 2022-2023, 2024-2025 y 2026-2027.</w:t>
            </w:r>
          </w:p>
          <w:p w14:paraId="03063225" w14:textId="77777777" w:rsidR="00FE57F6" w:rsidRPr="00DE2B05" w:rsidRDefault="00FE57F6" w:rsidP="00C4421B">
            <w:pPr>
              <w:spacing w:before="160"/>
              <w:rPr>
                <w:caps/>
                <w:sz w:val="22"/>
                <w:lang w:val="es-ES"/>
              </w:rPr>
            </w:pPr>
            <w:r w:rsidRPr="00DE2B05">
              <w:rPr>
                <w:sz w:val="22"/>
                <w:lang w:val="es-ES"/>
              </w:rPr>
              <w:t>__________________</w:t>
            </w:r>
          </w:p>
          <w:p w14:paraId="1FBE70DD" w14:textId="77777777" w:rsidR="00FE57F6" w:rsidRPr="00DE2B05" w:rsidRDefault="00F24B71" w:rsidP="00C4421B">
            <w:pPr>
              <w:spacing w:before="160"/>
              <w:rPr>
                <w:b/>
                <w:bCs/>
                <w:sz w:val="26"/>
                <w:szCs w:val="26"/>
                <w:lang w:val="es-ES"/>
              </w:rPr>
            </w:pPr>
            <w:r w:rsidRPr="00DE2B05">
              <w:rPr>
                <w:b/>
                <w:bCs/>
                <w:sz w:val="26"/>
                <w:szCs w:val="26"/>
                <w:lang w:val="es-ES"/>
              </w:rPr>
              <w:t>Referencia</w:t>
            </w:r>
            <w:r w:rsidR="00F92BED" w:rsidRPr="00DE2B05">
              <w:rPr>
                <w:b/>
                <w:bCs/>
                <w:sz w:val="26"/>
                <w:szCs w:val="26"/>
                <w:lang w:val="es-ES"/>
              </w:rPr>
              <w:t>s</w:t>
            </w:r>
            <w:r w:rsidR="00D375E0" w:rsidRPr="00DE2B05">
              <w:rPr>
                <w:sz w:val="26"/>
                <w:szCs w:val="26"/>
                <w:lang w:val="es-ES"/>
              </w:rPr>
              <w:t xml:space="preserve"> </w:t>
            </w:r>
          </w:p>
          <w:p w14:paraId="67FC8356" w14:textId="50D73681" w:rsidR="00FE57F6" w:rsidRPr="00DE2B05" w:rsidRDefault="00C04ED0" w:rsidP="000F2770">
            <w:pPr>
              <w:spacing w:after="160"/>
              <w:jc w:val="both"/>
              <w:rPr>
                <w:i/>
                <w:iCs/>
                <w:sz w:val="22"/>
                <w:szCs w:val="22"/>
                <w:lang w:val="es-ES"/>
              </w:rPr>
            </w:pPr>
            <w:r w:rsidRPr="00DE2B05">
              <w:rPr>
                <w:i/>
                <w:iCs/>
                <w:sz w:val="22"/>
                <w:szCs w:val="22"/>
                <w:lang w:val="es-ES"/>
              </w:rPr>
              <w:t xml:space="preserve">Decisión </w:t>
            </w:r>
            <w:hyperlink r:id="rId7" w:history="1">
              <w:r w:rsidRPr="00DE2B05">
                <w:rPr>
                  <w:rStyle w:val="Hyperlink"/>
                  <w:rFonts w:eastAsia="Times New Roman" w:cs="Times New Roman"/>
                  <w:i/>
                  <w:iCs/>
                  <w:sz w:val="22"/>
                  <w:lang w:val="es-ES"/>
                </w:rPr>
                <w:t>11 (Rev. Bucarest, 2022)</w:t>
              </w:r>
            </w:hyperlink>
            <w:r w:rsidRPr="00DE2B05">
              <w:rPr>
                <w:i/>
                <w:iCs/>
                <w:sz w:val="22"/>
                <w:szCs w:val="22"/>
                <w:lang w:val="es-ES"/>
              </w:rPr>
              <w:t xml:space="preserve"> de la Conferencia de Plenipotenciarios; Acuerdo </w:t>
            </w:r>
            <w:hyperlink r:id="rId8" w:history="1">
              <w:r w:rsidRPr="00DE2B05">
                <w:rPr>
                  <w:rStyle w:val="Hyperlink"/>
                  <w:rFonts w:eastAsia="Times New Roman" w:cs="Times New Roman"/>
                  <w:i/>
                  <w:iCs/>
                  <w:sz w:val="22"/>
                  <w:lang w:val="es-ES"/>
                </w:rPr>
                <w:t>563 del Consejo (modificado en 2023)</w:t>
              </w:r>
            </w:hyperlink>
            <w:r w:rsidRPr="00DE2B05">
              <w:rPr>
                <w:i/>
                <w:iCs/>
                <w:sz w:val="22"/>
                <w:szCs w:val="22"/>
                <w:lang w:val="es-ES"/>
              </w:rPr>
              <w:t xml:space="preserve">; </w:t>
            </w:r>
            <w:hyperlink r:id="rId9" w:anchor="/es" w:history="1">
              <w:r w:rsidRPr="00DE2B05">
                <w:rPr>
                  <w:rStyle w:val="Hyperlink"/>
                  <w:rFonts w:eastAsia="Times New Roman" w:cs="Times New Roman"/>
                  <w:i/>
                  <w:iCs/>
                  <w:sz w:val="22"/>
                  <w:lang w:val="es-ES"/>
                </w:rPr>
                <w:t xml:space="preserve">Sitio web del </w:t>
              </w:r>
              <w:proofErr w:type="spellStart"/>
              <w:r w:rsidRPr="00DE2B05">
                <w:rPr>
                  <w:rStyle w:val="Hyperlink"/>
                  <w:rFonts w:eastAsia="Times New Roman" w:cs="Times New Roman"/>
                  <w:i/>
                  <w:iCs/>
                  <w:sz w:val="22"/>
                  <w:lang w:val="es-ES"/>
                </w:rPr>
                <w:t>GTC-RHF</w:t>
              </w:r>
              <w:proofErr w:type="spellEnd"/>
            </w:hyperlink>
            <w:r w:rsidRPr="00DE2B05">
              <w:rPr>
                <w:i/>
                <w:iCs/>
                <w:sz w:val="22"/>
                <w:szCs w:val="22"/>
                <w:lang w:val="es-ES"/>
              </w:rPr>
              <w:t>.</w:t>
            </w:r>
          </w:p>
        </w:tc>
      </w:tr>
      <w:bookmarkEnd w:id="0"/>
    </w:tbl>
    <w:p w14:paraId="15998DFC" w14:textId="77777777" w:rsidR="00093EEB" w:rsidRPr="00DE2B05" w:rsidRDefault="00093EEB">
      <w:pPr>
        <w:rPr>
          <w:lang w:val="es-ES"/>
        </w:rPr>
      </w:pPr>
    </w:p>
    <w:p w14:paraId="3EE8AD1A" w14:textId="77777777" w:rsidR="001559F5" w:rsidRPr="00DE2B05"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DE2B05">
        <w:rPr>
          <w:lang w:val="es-ES"/>
        </w:rPr>
        <w:br w:type="page"/>
      </w:r>
    </w:p>
    <w:p w14:paraId="08361717" w14:textId="77777777" w:rsidR="00B765DC" w:rsidRPr="00DE2B05" w:rsidRDefault="00B765DC" w:rsidP="00B765DC">
      <w:pPr>
        <w:pStyle w:val="Heading1"/>
        <w:rPr>
          <w:lang w:val="es-ES"/>
        </w:rPr>
      </w:pPr>
      <w:r w:rsidRPr="00DE2B05">
        <w:rPr>
          <w:lang w:val="es-ES"/>
        </w:rPr>
        <w:lastRenderedPageBreak/>
        <w:t>I</w:t>
      </w:r>
      <w:r w:rsidRPr="00DE2B05">
        <w:rPr>
          <w:lang w:val="es-ES"/>
        </w:rPr>
        <w:tab/>
        <w:t>Introducción</w:t>
      </w:r>
    </w:p>
    <w:p w14:paraId="1E2090A5" w14:textId="2A8557AE" w:rsidR="00B765DC" w:rsidRPr="00DE2B05" w:rsidRDefault="00B765DC" w:rsidP="000F2770">
      <w:pPr>
        <w:jc w:val="both"/>
        <w:rPr>
          <w:lang w:val="es-ES"/>
        </w:rPr>
      </w:pPr>
      <w:r w:rsidRPr="00DE2B05">
        <w:rPr>
          <w:lang w:val="es-ES"/>
        </w:rPr>
        <w:t>1</w:t>
      </w:r>
      <w:r w:rsidRPr="00DE2B05">
        <w:rPr>
          <w:lang w:val="es-ES"/>
        </w:rPr>
        <w:tab/>
        <w:t>El mandato del Grupo de Trabajo del Consejo sobre Recursos Humanos y Financieros (</w:t>
      </w:r>
      <w:proofErr w:type="spellStart"/>
      <w:r w:rsidRPr="00DE2B05">
        <w:rPr>
          <w:lang w:val="es-ES"/>
        </w:rPr>
        <w:t>GTC-RHF</w:t>
      </w:r>
      <w:proofErr w:type="spellEnd"/>
      <w:r w:rsidRPr="00DE2B05">
        <w:rPr>
          <w:lang w:val="es-ES"/>
        </w:rPr>
        <w:t xml:space="preserve">) se aprobó mediante el </w:t>
      </w:r>
      <w:hyperlink r:id="rId10" w:history="1">
        <w:r w:rsidRPr="00DE2B05">
          <w:rPr>
            <w:rStyle w:val="Hyperlink"/>
            <w:lang w:val="es-ES"/>
          </w:rPr>
          <w:t>Acuerdo 563</w:t>
        </w:r>
      </w:hyperlink>
      <w:r w:rsidRPr="00DE2B05">
        <w:rPr>
          <w:lang w:val="es-ES"/>
        </w:rPr>
        <w:t>, modificado en 2023 (véase el Anexo</w:t>
      </w:r>
      <w:r w:rsidR="00F14956">
        <w:rPr>
          <w:lang w:val="es-ES"/>
        </w:rPr>
        <w:t> </w:t>
      </w:r>
      <w:r w:rsidRPr="00DE2B05">
        <w:rPr>
          <w:lang w:val="es-ES"/>
        </w:rPr>
        <w:t>1 al Acuerdo). El Grupo está abierto a todos los Estados Miembros y Miembros de Sector.</w:t>
      </w:r>
      <w:hyperlink r:id="rId11" w:history="1"/>
    </w:p>
    <w:p w14:paraId="6259C1C3" w14:textId="77777777" w:rsidR="00B765DC" w:rsidRPr="00DE2B05" w:rsidRDefault="00B765DC" w:rsidP="000F2770">
      <w:pPr>
        <w:jc w:val="both"/>
        <w:rPr>
          <w:lang w:val="es-ES"/>
        </w:rPr>
      </w:pPr>
      <w:r w:rsidRPr="00DE2B05">
        <w:rPr>
          <w:lang w:val="es-ES"/>
        </w:rPr>
        <w:t>2</w:t>
      </w:r>
      <w:r w:rsidRPr="00DE2B05">
        <w:rPr>
          <w:lang w:val="es-ES"/>
        </w:rPr>
        <w:tab/>
        <w:t>El Grupo de Trabajo del Consejo sobre Recursos Humanos y Financieros:</w:t>
      </w:r>
    </w:p>
    <w:p w14:paraId="286B3C0B" w14:textId="77777777" w:rsidR="00B765DC" w:rsidRPr="00DE2B05" w:rsidRDefault="00B765DC" w:rsidP="000F2770">
      <w:pPr>
        <w:pStyle w:val="enumlev1"/>
        <w:jc w:val="both"/>
        <w:rPr>
          <w:lang w:val="es-ES"/>
        </w:rPr>
      </w:pPr>
      <w:r w:rsidRPr="00DE2B05">
        <w:rPr>
          <w:lang w:val="es-ES"/>
        </w:rPr>
        <w:t>–</w:t>
      </w:r>
      <w:r w:rsidRPr="00DE2B05">
        <w:rPr>
          <w:lang w:val="es-ES"/>
        </w:rPr>
        <w:tab/>
        <w:t>aborda importantes asuntos financieros y de recursos humanos entre reuniones del Consejo, en particular los que requieren el examen y la posible modificación de los instrumentos financieros de la UIT (Reglamento Financiero y Reglas Financieras), así como de los Estatutos y Reglamento del Personal;</w:t>
      </w:r>
    </w:p>
    <w:p w14:paraId="34EB428C" w14:textId="77777777" w:rsidR="00B765DC" w:rsidRPr="00DE2B05" w:rsidRDefault="00B765DC" w:rsidP="000F2770">
      <w:pPr>
        <w:pStyle w:val="enumlev1"/>
        <w:jc w:val="both"/>
        <w:rPr>
          <w:lang w:val="es-ES"/>
        </w:rPr>
      </w:pPr>
      <w:r w:rsidRPr="00DE2B05">
        <w:rPr>
          <w:lang w:val="es-ES"/>
        </w:rPr>
        <w:t>–</w:t>
      </w:r>
      <w:r w:rsidRPr="00DE2B05">
        <w:rPr>
          <w:lang w:val="es-ES"/>
        </w:rPr>
        <w:tab/>
        <w:t>vela por que se tengan en cuenta las recomendaciones pertinentes de la Dependencia Común de Inspección de las Naciones Unidas, del Auditor Externo y del Comité Asesor Independiente sobre la Gestión (CAIG) que afectan a la gestión de los recursos humanos y financieros de la Unión;</w:t>
      </w:r>
    </w:p>
    <w:p w14:paraId="4064B273" w14:textId="77777777" w:rsidR="00B765DC" w:rsidRPr="00DE2B05" w:rsidRDefault="00B765DC" w:rsidP="000F2770">
      <w:pPr>
        <w:pStyle w:val="enumlev1"/>
        <w:jc w:val="both"/>
        <w:rPr>
          <w:lang w:val="es-ES"/>
        </w:rPr>
      </w:pPr>
      <w:r w:rsidRPr="00DE2B05">
        <w:rPr>
          <w:lang w:val="es-ES"/>
        </w:rPr>
        <w:t>–</w:t>
      </w:r>
      <w:r w:rsidRPr="00DE2B05">
        <w:rPr>
          <w:lang w:val="es-ES"/>
        </w:rPr>
        <w:tab/>
        <w:t>lleva a cabo una evaluación anual de la aplicación de la gestión basada en los resultados, incluida la asignación de prioridades a las actividades e iniciativas de la Unión, teniendo en cuenta los criterios específicos identificados en el Plan Estratégico de la Unión;</w:t>
      </w:r>
    </w:p>
    <w:p w14:paraId="721ECB74" w14:textId="77777777" w:rsidR="00B765DC" w:rsidRPr="00DE2B05" w:rsidRDefault="00B765DC" w:rsidP="000F2770">
      <w:pPr>
        <w:pStyle w:val="enumlev1"/>
        <w:jc w:val="both"/>
        <w:rPr>
          <w:lang w:val="es-ES"/>
        </w:rPr>
      </w:pPr>
      <w:r w:rsidRPr="00DE2B05">
        <w:rPr>
          <w:lang w:val="es-ES"/>
        </w:rPr>
        <w:t>–</w:t>
      </w:r>
      <w:r w:rsidRPr="00DE2B05">
        <w:rPr>
          <w:lang w:val="es-ES"/>
        </w:rPr>
        <w:tab/>
        <w:t>mantiene una estrecha colaboración con la dirección de la UIT y el Consejo del Personal con miras a identificar cuestiones de inquietud común respecto de las cuales se necesitan y justifican las opiniones y orientaciones del Consejo.</w:t>
      </w:r>
    </w:p>
    <w:p w14:paraId="22700DA4" w14:textId="77777777" w:rsidR="00B765DC" w:rsidRPr="00DE2B05" w:rsidRDefault="00B765DC" w:rsidP="000F2770">
      <w:pPr>
        <w:jc w:val="both"/>
        <w:rPr>
          <w:rFonts w:cs="Calibri"/>
          <w:szCs w:val="24"/>
          <w:lang w:val="es-ES"/>
        </w:rPr>
      </w:pPr>
      <w:r w:rsidRPr="00DE2B05">
        <w:rPr>
          <w:lang w:val="es-ES"/>
        </w:rPr>
        <w:t>3</w:t>
      </w:r>
      <w:r w:rsidRPr="00DE2B05">
        <w:rPr>
          <w:lang w:val="es-ES"/>
        </w:rPr>
        <w:tab/>
        <w:t xml:space="preserve">Las reuniones 16.ª y 17.ª del </w:t>
      </w:r>
      <w:proofErr w:type="spellStart"/>
      <w:r w:rsidRPr="00DE2B05">
        <w:rPr>
          <w:lang w:val="es-ES"/>
        </w:rPr>
        <w:t>GTC-RHF</w:t>
      </w:r>
      <w:proofErr w:type="spellEnd"/>
      <w:r w:rsidRPr="00DE2B05">
        <w:rPr>
          <w:lang w:val="es-ES"/>
        </w:rPr>
        <w:t xml:space="preserve"> se celebraron bajo la presidencia de la Sra. Vernita D. Harris (Estados Unidos de América), con la asistencia de cinco Vicepresidentes, a saber:</w:t>
      </w:r>
    </w:p>
    <w:p w14:paraId="3FC800A7" w14:textId="77777777" w:rsidR="00B765DC" w:rsidRPr="00DE2B05" w:rsidRDefault="00B765DC" w:rsidP="000F2770">
      <w:pPr>
        <w:pStyle w:val="enumlev1"/>
        <w:jc w:val="both"/>
        <w:rPr>
          <w:lang w:val="es-ES"/>
        </w:rPr>
      </w:pPr>
      <w:r w:rsidRPr="00DE2B05">
        <w:rPr>
          <w:lang w:val="es-ES"/>
        </w:rPr>
        <w:t>–</w:t>
      </w:r>
      <w:r w:rsidRPr="00DE2B05">
        <w:rPr>
          <w:lang w:val="es-ES"/>
        </w:rPr>
        <w:tab/>
        <w:t>Sra. Seynabou Seck Cisse (Senegal)</w:t>
      </w:r>
    </w:p>
    <w:p w14:paraId="76CDE9B8" w14:textId="77777777" w:rsidR="00B765DC" w:rsidRPr="00DE2B05" w:rsidRDefault="00B765DC" w:rsidP="000F2770">
      <w:pPr>
        <w:pStyle w:val="enumlev1"/>
        <w:jc w:val="both"/>
        <w:rPr>
          <w:lang w:val="es-ES"/>
        </w:rPr>
      </w:pPr>
      <w:r w:rsidRPr="00DE2B05">
        <w:rPr>
          <w:lang w:val="es-ES"/>
        </w:rPr>
        <w:t>–</w:t>
      </w:r>
      <w:r w:rsidRPr="00DE2B05">
        <w:rPr>
          <w:lang w:val="es-ES"/>
        </w:rPr>
        <w:tab/>
        <w:t>Sr. Ronaldo Moura (Brasil)</w:t>
      </w:r>
    </w:p>
    <w:p w14:paraId="548C3CFE" w14:textId="58817817" w:rsidR="00B765DC" w:rsidRPr="00DE2B05" w:rsidRDefault="00B765DC" w:rsidP="000F2770">
      <w:pPr>
        <w:pStyle w:val="enumlev1"/>
        <w:jc w:val="both"/>
        <w:rPr>
          <w:lang w:val="es-ES"/>
        </w:rPr>
      </w:pPr>
      <w:r w:rsidRPr="00DE2B05">
        <w:rPr>
          <w:lang w:val="es-ES"/>
        </w:rPr>
        <w:t>–</w:t>
      </w:r>
      <w:r w:rsidRPr="00DE2B05">
        <w:rPr>
          <w:lang w:val="es-ES"/>
        </w:rPr>
        <w:tab/>
        <w:t>Sra. Noha Gaafar (Egipto)</w:t>
      </w:r>
    </w:p>
    <w:p w14:paraId="230CAD93" w14:textId="77777777" w:rsidR="00B765DC" w:rsidRPr="00DE2B05" w:rsidRDefault="00B765DC" w:rsidP="000F2770">
      <w:pPr>
        <w:pStyle w:val="enumlev1"/>
        <w:jc w:val="both"/>
        <w:rPr>
          <w:lang w:val="es-ES"/>
        </w:rPr>
      </w:pPr>
      <w:r w:rsidRPr="00DE2B05">
        <w:rPr>
          <w:lang w:val="es-ES"/>
        </w:rPr>
        <w:t>–</w:t>
      </w:r>
      <w:r w:rsidRPr="00DE2B05">
        <w:rPr>
          <w:lang w:val="es-ES"/>
        </w:rPr>
        <w:tab/>
        <w:t>Sr. Daniel Caruso (Australia)</w:t>
      </w:r>
    </w:p>
    <w:p w14:paraId="386B96F3" w14:textId="79E8E7F0" w:rsidR="00B765DC" w:rsidRPr="00DE2B05" w:rsidRDefault="00B765DC" w:rsidP="000F2770">
      <w:pPr>
        <w:pStyle w:val="enumlev1"/>
        <w:jc w:val="both"/>
        <w:rPr>
          <w:lang w:val="es-ES"/>
        </w:rPr>
      </w:pPr>
      <w:r w:rsidRPr="00DE2B05">
        <w:rPr>
          <w:lang w:val="es-ES"/>
        </w:rPr>
        <w:t>–</w:t>
      </w:r>
      <w:r w:rsidRPr="00DE2B05">
        <w:rPr>
          <w:lang w:val="es-ES"/>
        </w:rPr>
        <w:tab/>
        <w:t>Sr. Szabolcs Szentléleky (Hungría)</w:t>
      </w:r>
    </w:p>
    <w:p w14:paraId="128ACB1C" w14:textId="77777777" w:rsidR="00B765DC" w:rsidRPr="00DE2B05" w:rsidRDefault="00B765DC" w:rsidP="000F2770">
      <w:pPr>
        <w:jc w:val="both"/>
        <w:rPr>
          <w:rFonts w:cs="Calibri"/>
          <w:szCs w:val="24"/>
          <w:lang w:val="es-ES"/>
        </w:rPr>
      </w:pPr>
      <w:r w:rsidRPr="00DE2B05">
        <w:rPr>
          <w:lang w:val="es-ES"/>
        </w:rPr>
        <w:t>4</w:t>
      </w:r>
      <w:r w:rsidRPr="00DE2B05">
        <w:rPr>
          <w:lang w:val="es-ES"/>
        </w:rPr>
        <w:tab/>
        <w:t xml:space="preserve">Las reuniones 18.ª y 19.ª del </w:t>
      </w:r>
      <w:proofErr w:type="spellStart"/>
      <w:r w:rsidRPr="00DE2B05">
        <w:rPr>
          <w:lang w:val="es-ES"/>
        </w:rPr>
        <w:t>GTC-RHF</w:t>
      </w:r>
      <w:proofErr w:type="spellEnd"/>
      <w:r w:rsidRPr="00DE2B05">
        <w:rPr>
          <w:lang w:val="es-ES"/>
        </w:rPr>
        <w:t xml:space="preserve"> estuvieron presididas por la Sra. Vernita D. Harris (Estados Unidos de América) con la asistencia de seis Vicepresidentes, a saber:</w:t>
      </w:r>
    </w:p>
    <w:p w14:paraId="719EBB0C" w14:textId="77777777" w:rsidR="00B765DC" w:rsidRPr="00F14956" w:rsidRDefault="00B765DC" w:rsidP="000F2770">
      <w:pPr>
        <w:pStyle w:val="enumlev1"/>
        <w:jc w:val="both"/>
        <w:rPr>
          <w:lang w:val="en-GB"/>
        </w:rPr>
      </w:pPr>
      <w:r w:rsidRPr="00F14956">
        <w:rPr>
          <w:lang w:val="en-GB"/>
        </w:rPr>
        <w:t>–</w:t>
      </w:r>
      <w:r w:rsidRPr="00F14956">
        <w:rPr>
          <w:lang w:val="en-GB"/>
        </w:rPr>
        <w:tab/>
      </w:r>
      <w:proofErr w:type="spellStart"/>
      <w:r w:rsidRPr="00F14956">
        <w:rPr>
          <w:lang w:val="en-GB"/>
        </w:rPr>
        <w:t>Sra.</w:t>
      </w:r>
      <w:proofErr w:type="spellEnd"/>
      <w:r w:rsidRPr="00F14956">
        <w:rPr>
          <w:lang w:val="en-GB"/>
        </w:rPr>
        <w:t> Seynabou Cisse Seck (Senegal)</w:t>
      </w:r>
    </w:p>
    <w:p w14:paraId="717ABF4E" w14:textId="77777777" w:rsidR="00B765DC" w:rsidRPr="00DE2B05" w:rsidRDefault="00B765DC" w:rsidP="000F2770">
      <w:pPr>
        <w:pStyle w:val="enumlev1"/>
        <w:jc w:val="both"/>
        <w:rPr>
          <w:lang w:val="es-ES"/>
        </w:rPr>
      </w:pPr>
      <w:r w:rsidRPr="00DE2B05">
        <w:rPr>
          <w:lang w:val="es-ES"/>
        </w:rPr>
        <w:t>–</w:t>
      </w:r>
      <w:r w:rsidRPr="00DE2B05">
        <w:rPr>
          <w:lang w:val="es-ES"/>
        </w:rPr>
        <w:tab/>
        <w:t>Sr. Ronaldo Moura (Brasil)</w:t>
      </w:r>
    </w:p>
    <w:p w14:paraId="0D0A0E99" w14:textId="77777777" w:rsidR="00B765DC" w:rsidRPr="00DE2B05" w:rsidRDefault="00B765DC" w:rsidP="000F2770">
      <w:pPr>
        <w:pStyle w:val="enumlev1"/>
        <w:jc w:val="both"/>
        <w:rPr>
          <w:lang w:val="es-ES"/>
        </w:rPr>
      </w:pPr>
      <w:r w:rsidRPr="00DE2B05">
        <w:rPr>
          <w:lang w:val="es-ES"/>
        </w:rPr>
        <w:t>–</w:t>
      </w:r>
      <w:r w:rsidRPr="00DE2B05">
        <w:rPr>
          <w:lang w:val="es-ES"/>
        </w:rPr>
        <w:tab/>
        <w:t>Sra. Noha Gaafar (Egipto)</w:t>
      </w:r>
    </w:p>
    <w:p w14:paraId="55DEAF6A" w14:textId="77777777" w:rsidR="00B765DC" w:rsidRPr="00DE2B05" w:rsidRDefault="00B765DC" w:rsidP="000F2770">
      <w:pPr>
        <w:pStyle w:val="enumlev1"/>
        <w:jc w:val="both"/>
        <w:rPr>
          <w:lang w:val="es-ES"/>
        </w:rPr>
      </w:pPr>
      <w:r w:rsidRPr="00DE2B05">
        <w:rPr>
          <w:lang w:val="es-ES"/>
        </w:rPr>
        <w:t>–</w:t>
      </w:r>
      <w:r w:rsidRPr="00DE2B05">
        <w:rPr>
          <w:lang w:val="es-ES"/>
        </w:rPr>
        <w:tab/>
        <w:t>Sr. Daniel Caruso (Australia)</w:t>
      </w:r>
    </w:p>
    <w:p w14:paraId="5AFC5950" w14:textId="77777777" w:rsidR="00B765DC" w:rsidRPr="00DE2B05" w:rsidRDefault="00B765DC" w:rsidP="000F2770">
      <w:pPr>
        <w:pStyle w:val="enumlev1"/>
        <w:jc w:val="both"/>
        <w:rPr>
          <w:lang w:val="es-ES"/>
        </w:rPr>
      </w:pPr>
      <w:r w:rsidRPr="00DE2B05">
        <w:rPr>
          <w:lang w:val="es-ES"/>
        </w:rPr>
        <w:t>–</w:t>
      </w:r>
      <w:r w:rsidRPr="00DE2B05">
        <w:rPr>
          <w:lang w:val="es-ES"/>
        </w:rPr>
        <w:tab/>
        <w:t>Sr. Erzhan Meiramov (Kazajstán)</w:t>
      </w:r>
    </w:p>
    <w:p w14:paraId="1DFB29CE" w14:textId="7716DD5E" w:rsidR="00B765DC" w:rsidRPr="00DE2B05" w:rsidRDefault="00B765DC" w:rsidP="000F2770">
      <w:pPr>
        <w:pStyle w:val="enumlev1"/>
        <w:jc w:val="both"/>
        <w:rPr>
          <w:lang w:val="es-ES"/>
        </w:rPr>
      </w:pPr>
      <w:r w:rsidRPr="00DE2B05">
        <w:rPr>
          <w:lang w:val="es-ES"/>
        </w:rPr>
        <w:t>–</w:t>
      </w:r>
      <w:r w:rsidRPr="00DE2B05">
        <w:rPr>
          <w:lang w:val="es-ES"/>
        </w:rPr>
        <w:tab/>
        <w:t>Sr. Szabolcs Szentleleky (Hungría)</w:t>
      </w:r>
    </w:p>
    <w:p w14:paraId="477F9236" w14:textId="77777777" w:rsidR="00B765DC" w:rsidRPr="00DE2B05" w:rsidRDefault="00B765DC" w:rsidP="000F2770">
      <w:pPr>
        <w:jc w:val="both"/>
        <w:rPr>
          <w:lang w:val="es-ES"/>
        </w:rPr>
      </w:pPr>
      <w:r w:rsidRPr="00DE2B05">
        <w:rPr>
          <w:lang w:val="es-ES"/>
        </w:rPr>
        <w:t>5</w:t>
      </w:r>
      <w:r w:rsidRPr="00DE2B05">
        <w:rPr>
          <w:lang w:val="es-ES"/>
        </w:rPr>
        <w:tab/>
        <w:t xml:space="preserve">La 20.ª reunión del </w:t>
      </w:r>
      <w:proofErr w:type="spellStart"/>
      <w:r w:rsidRPr="00DE2B05">
        <w:rPr>
          <w:lang w:val="es-ES"/>
        </w:rPr>
        <w:t>GTC-RHF</w:t>
      </w:r>
      <w:proofErr w:type="spellEnd"/>
      <w:r w:rsidRPr="00DE2B05">
        <w:rPr>
          <w:lang w:val="es-ES"/>
        </w:rPr>
        <w:t xml:space="preserve"> estuvo presidida por el Sr. Szabolcs Szentleleky (Hungría) en ausencia de la Sra. Vernita D. Harris (Estados Unidos de América) y contó con la asistencia de cinco Vicepresidentes, a saber:</w:t>
      </w:r>
    </w:p>
    <w:p w14:paraId="0418FB4F" w14:textId="77777777" w:rsidR="00B765DC" w:rsidRPr="00F14956" w:rsidRDefault="00B765DC" w:rsidP="000F2770">
      <w:pPr>
        <w:pStyle w:val="enumlev1"/>
        <w:jc w:val="both"/>
        <w:rPr>
          <w:lang w:val="en-GB"/>
        </w:rPr>
      </w:pPr>
      <w:r w:rsidRPr="00F14956">
        <w:rPr>
          <w:lang w:val="en-GB"/>
        </w:rPr>
        <w:t>–</w:t>
      </w:r>
      <w:r w:rsidRPr="00F14956">
        <w:rPr>
          <w:lang w:val="en-GB"/>
        </w:rPr>
        <w:tab/>
      </w:r>
      <w:proofErr w:type="spellStart"/>
      <w:r w:rsidRPr="00F14956">
        <w:rPr>
          <w:lang w:val="en-GB"/>
        </w:rPr>
        <w:t>Sra.</w:t>
      </w:r>
      <w:proofErr w:type="spellEnd"/>
      <w:r w:rsidRPr="00F14956">
        <w:rPr>
          <w:lang w:val="en-GB"/>
        </w:rPr>
        <w:t> Seynabou Cisse Seck (Senegal)</w:t>
      </w:r>
    </w:p>
    <w:p w14:paraId="4D6DC96F" w14:textId="77777777" w:rsidR="00B765DC" w:rsidRPr="00DE2B05" w:rsidRDefault="00B765DC" w:rsidP="00B765DC">
      <w:pPr>
        <w:pStyle w:val="enumlev1"/>
        <w:rPr>
          <w:lang w:val="es-ES"/>
        </w:rPr>
      </w:pPr>
      <w:r w:rsidRPr="00DE2B05">
        <w:rPr>
          <w:lang w:val="es-ES"/>
        </w:rPr>
        <w:t>–</w:t>
      </w:r>
      <w:r w:rsidRPr="00DE2B05">
        <w:rPr>
          <w:lang w:val="es-ES"/>
        </w:rPr>
        <w:tab/>
        <w:t>Sr. Ronaldo Moura (Brasil)</w:t>
      </w:r>
    </w:p>
    <w:p w14:paraId="07D588F6" w14:textId="77777777" w:rsidR="00B765DC" w:rsidRPr="00DE2B05" w:rsidRDefault="00B765DC" w:rsidP="00B765DC">
      <w:pPr>
        <w:pStyle w:val="enumlev1"/>
        <w:rPr>
          <w:lang w:val="es-ES"/>
        </w:rPr>
      </w:pPr>
      <w:r w:rsidRPr="00DE2B05">
        <w:rPr>
          <w:lang w:val="es-ES"/>
        </w:rPr>
        <w:t>–</w:t>
      </w:r>
      <w:r w:rsidRPr="00DE2B05">
        <w:rPr>
          <w:lang w:val="es-ES"/>
        </w:rPr>
        <w:tab/>
        <w:t>Sra. Noha Gaafar (Egipto)</w:t>
      </w:r>
    </w:p>
    <w:p w14:paraId="25F3EC7B" w14:textId="77777777" w:rsidR="00B765DC" w:rsidRPr="00DE2B05" w:rsidRDefault="00B765DC" w:rsidP="00B765DC">
      <w:pPr>
        <w:pStyle w:val="enumlev1"/>
        <w:rPr>
          <w:lang w:val="es-ES"/>
        </w:rPr>
      </w:pPr>
      <w:r w:rsidRPr="00DE2B05">
        <w:rPr>
          <w:lang w:val="es-ES"/>
        </w:rPr>
        <w:lastRenderedPageBreak/>
        <w:t>–</w:t>
      </w:r>
      <w:r w:rsidRPr="00DE2B05">
        <w:rPr>
          <w:lang w:val="es-ES"/>
        </w:rPr>
        <w:tab/>
        <w:t xml:space="preserve">ASP (Vacante) </w:t>
      </w:r>
    </w:p>
    <w:p w14:paraId="19C3FD7B" w14:textId="433750AA" w:rsidR="00B765DC" w:rsidRPr="00DE2B05" w:rsidRDefault="00B765DC" w:rsidP="00B765DC">
      <w:pPr>
        <w:pStyle w:val="enumlev1"/>
        <w:rPr>
          <w:lang w:val="es-ES"/>
        </w:rPr>
      </w:pPr>
      <w:r w:rsidRPr="00DE2B05">
        <w:rPr>
          <w:lang w:val="es-ES"/>
        </w:rPr>
        <w:t>–</w:t>
      </w:r>
      <w:r w:rsidRPr="00DE2B05">
        <w:rPr>
          <w:lang w:val="es-ES"/>
        </w:rPr>
        <w:tab/>
        <w:t>Sr. Erzhan Meiramov (Kazajstán) (ausente)</w:t>
      </w:r>
    </w:p>
    <w:p w14:paraId="0EE02683" w14:textId="2AC48D62" w:rsidR="00B765DC" w:rsidRPr="00DE2B05" w:rsidRDefault="00B765DC" w:rsidP="000F2770">
      <w:pPr>
        <w:jc w:val="both"/>
        <w:rPr>
          <w:rFonts w:cs="Calibri"/>
          <w:szCs w:val="24"/>
          <w:lang w:val="es-ES"/>
        </w:rPr>
      </w:pPr>
      <w:r w:rsidRPr="00DE2B05">
        <w:rPr>
          <w:lang w:val="es-ES"/>
        </w:rPr>
        <w:t>6</w:t>
      </w:r>
      <w:r w:rsidRPr="00DE2B05">
        <w:rPr>
          <w:lang w:val="es-ES"/>
        </w:rPr>
        <w:tab/>
        <w:t xml:space="preserve">Las reuniones 21.ª y 22.ª del </w:t>
      </w:r>
      <w:proofErr w:type="spellStart"/>
      <w:r w:rsidRPr="00DE2B05">
        <w:rPr>
          <w:lang w:val="es-ES"/>
        </w:rPr>
        <w:t>GTC-RHF</w:t>
      </w:r>
      <w:proofErr w:type="spellEnd"/>
      <w:r w:rsidRPr="00DE2B05">
        <w:rPr>
          <w:lang w:val="es-ES"/>
        </w:rPr>
        <w:t xml:space="preserve"> estuvieron presididas por la Sra. Vernita D. Harris (Estados Unidos de América) con la asistencia de cinco Vicepresidentes, a saber</w:t>
      </w:r>
      <w:r w:rsidR="00D431AE">
        <w:rPr>
          <w:lang w:val="es-ES"/>
        </w:rPr>
        <w:t>:</w:t>
      </w:r>
    </w:p>
    <w:p w14:paraId="4832265D" w14:textId="77777777" w:rsidR="00B765DC" w:rsidRPr="00F14956" w:rsidRDefault="00B765DC" w:rsidP="000F2770">
      <w:pPr>
        <w:pStyle w:val="enumlev1"/>
        <w:jc w:val="both"/>
        <w:rPr>
          <w:lang w:val="en-GB"/>
        </w:rPr>
      </w:pPr>
      <w:r w:rsidRPr="00F14956">
        <w:rPr>
          <w:lang w:val="en-GB"/>
        </w:rPr>
        <w:t>–</w:t>
      </w:r>
      <w:r w:rsidRPr="00F14956">
        <w:rPr>
          <w:lang w:val="en-GB"/>
        </w:rPr>
        <w:tab/>
      </w:r>
      <w:proofErr w:type="spellStart"/>
      <w:r w:rsidRPr="00F14956">
        <w:rPr>
          <w:lang w:val="en-GB"/>
        </w:rPr>
        <w:t>Sra.</w:t>
      </w:r>
      <w:proofErr w:type="spellEnd"/>
      <w:r w:rsidRPr="00F14956">
        <w:rPr>
          <w:lang w:val="en-GB"/>
        </w:rPr>
        <w:t> Seynabou Cisse Seck (Senegal)</w:t>
      </w:r>
    </w:p>
    <w:p w14:paraId="46F68F28" w14:textId="77777777" w:rsidR="00B765DC" w:rsidRPr="00DE2B05" w:rsidRDefault="00B765DC" w:rsidP="000F2770">
      <w:pPr>
        <w:pStyle w:val="enumlev1"/>
        <w:jc w:val="both"/>
        <w:rPr>
          <w:lang w:val="es-ES"/>
        </w:rPr>
      </w:pPr>
      <w:r w:rsidRPr="00DE2B05">
        <w:rPr>
          <w:lang w:val="es-ES"/>
        </w:rPr>
        <w:t>–</w:t>
      </w:r>
      <w:r w:rsidRPr="00DE2B05">
        <w:rPr>
          <w:lang w:val="es-ES"/>
        </w:rPr>
        <w:tab/>
        <w:t>Sr. Ronaldo Moura (Brasil)</w:t>
      </w:r>
    </w:p>
    <w:p w14:paraId="7BDED568" w14:textId="77777777" w:rsidR="00B765DC" w:rsidRPr="00DE2B05" w:rsidRDefault="00B765DC" w:rsidP="000F2770">
      <w:pPr>
        <w:pStyle w:val="enumlev1"/>
        <w:jc w:val="both"/>
        <w:rPr>
          <w:lang w:val="es-ES"/>
        </w:rPr>
      </w:pPr>
      <w:r w:rsidRPr="00DE2B05">
        <w:rPr>
          <w:lang w:val="es-ES"/>
        </w:rPr>
        <w:t>–</w:t>
      </w:r>
      <w:r w:rsidRPr="00DE2B05">
        <w:rPr>
          <w:lang w:val="es-ES"/>
        </w:rPr>
        <w:tab/>
        <w:t>Sra. Noha Gaafar (Egipto)</w:t>
      </w:r>
    </w:p>
    <w:p w14:paraId="2EADFBDB" w14:textId="77777777" w:rsidR="00B765DC" w:rsidRPr="00DE2B05" w:rsidRDefault="00B765DC" w:rsidP="000F2770">
      <w:pPr>
        <w:pStyle w:val="enumlev1"/>
        <w:jc w:val="both"/>
        <w:rPr>
          <w:lang w:val="es-ES"/>
        </w:rPr>
      </w:pPr>
      <w:r w:rsidRPr="00DE2B05">
        <w:rPr>
          <w:lang w:val="es-ES"/>
        </w:rPr>
        <w:t>–</w:t>
      </w:r>
      <w:r w:rsidRPr="00DE2B05">
        <w:rPr>
          <w:lang w:val="es-ES"/>
        </w:rPr>
        <w:tab/>
        <w:t>Sra. Minjung Park (República de Corea del Sur)</w:t>
      </w:r>
    </w:p>
    <w:p w14:paraId="63A3CAD0" w14:textId="77777777" w:rsidR="00B765DC" w:rsidRPr="00DE2B05" w:rsidRDefault="00B765DC" w:rsidP="000F2770">
      <w:pPr>
        <w:pStyle w:val="enumlev1"/>
        <w:jc w:val="both"/>
        <w:rPr>
          <w:lang w:val="es-ES"/>
        </w:rPr>
      </w:pPr>
      <w:r w:rsidRPr="00DE2B05">
        <w:rPr>
          <w:lang w:val="es-ES"/>
        </w:rPr>
        <w:t>–</w:t>
      </w:r>
      <w:r w:rsidRPr="00DE2B05">
        <w:rPr>
          <w:lang w:val="es-ES"/>
        </w:rPr>
        <w:tab/>
        <w:t>Sr. Erzhan Meiramov (Kazajstán)</w:t>
      </w:r>
    </w:p>
    <w:p w14:paraId="1DA867A1" w14:textId="3C1E6ACA" w:rsidR="00B765DC" w:rsidRPr="00DE2B05" w:rsidRDefault="00B765DC" w:rsidP="000F2770">
      <w:pPr>
        <w:pStyle w:val="enumlev1"/>
        <w:jc w:val="both"/>
        <w:rPr>
          <w:lang w:val="es-ES"/>
        </w:rPr>
      </w:pPr>
      <w:r w:rsidRPr="00DE2B05">
        <w:rPr>
          <w:lang w:val="es-ES"/>
        </w:rPr>
        <w:t>–</w:t>
      </w:r>
      <w:r w:rsidRPr="00DE2B05">
        <w:rPr>
          <w:lang w:val="es-ES"/>
        </w:rPr>
        <w:tab/>
        <w:t>Sr. Szabolcs Szentleleky (Hungría)</w:t>
      </w:r>
    </w:p>
    <w:p w14:paraId="609C4BB3" w14:textId="77777777" w:rsidR="00B765DC" w:rsidRPr="00DE2B05" w:rsidRDefault="00B765DC" w:rsidP="00B765DC">
      <w:pPr>
        <w:pStyle w:val="Heading1"/>
        <w:rPr>
          <w:lang w:val="es-ES"/>
        </w:rPr>
      </w:pPr>
      <w:r w:rsidRPr="00DE2B05">
        <w:rPr>
          <w:lang w:val="es-ES"/>
        </w:rPr>
        <w:t>II</w:t>
      </w:r>
      <w:r w:rsidRPr="00DE2B05">
        <w:rPr>
          <w:lang w:val="es-ES"/>
        </w:rPr>
        <w:tab/>
        <w:t xml:space="preserve">Actividades del </w:t>
      </w:r>
      <w:proofErr w:type="spellStart"/>
      <w:r w:rsidRPr="00DE2B05">
        <w:rPr>
          <w:lang w:val="es-ES"/>
        </w:rPr>
        <w:t>GTC-RHF</w:t>
      </w:r>
      <w:proofErr w:type="spellEnd"/>
    </w:p>
    <w:p w14:paraId="6711056A" w14:textId="77777777" w:rsidR="00B765DC" w:rsidRPr="00DE2B05" w:rsidRDefault="00B765DC" w:rsidP="000F2770">
      <w:pPr>
        <w:jc w:val="both"/>
        <w:rPr>
          <w:lang w:val="es-ES"/>
        </w:rPr>
      </w:pPr>
      <w:r w:rsidRPr="00DE2B05">
        <w:rPr>
          <w:lang w:val="es-ES"/>
        </w:rPr>
        <w:t>7</w:t>
      </w:r>
      <w:r w:rsidRPr="00DE2B05">
        <w:rPr>
          <w:lang w:val="es-ES"/>
        </w:rPr>
        <w:tab/>
        <w:t xml:space="preserve">Los principales resultados de la 16.ª reunión del </w:t>
      </w:r>
      <w:proofErr w:type="spellStart"/>
      <w:r w:rsidRPr="00DE2B05">
        <w:rPr>
          <w:lang w:val="es-ES"/>
        </w:rPr>
        <w:t>GTC-RHF</w:t>
      </w:r>
      <w:proofErr w:type="spellEnd"/>
      <w:r w:rsidRPr="00DE2B05">
        <w:rPr>
          <w:lang w:val="es-ES"/>
        </w:rPr>
        <w:t xml:space="preserve">, celebrada del 11 al 13 de octubre de 2023, fueron los siguientes: </w:t>
      </w:r>
      <w:hyperlink r:id="rId12" w:history="1">
        <w:r w:rsidRPr="00DE2B05">
          <w:rPr>
            <w:rStyle w:val="Hyperlink"/>
            <w:lang w:val="es-ES"/>
          </w:rPr>
          <w:t>www.itu.int/md/S23-CWGFHR16-C-0026/es.</w:t>
        </w:r>
      </w:hyperlink>
      <w:r w:rsidRPr="00DE2B05">
        <w:rPr>
          <w:lang w:val="es-ES"/>
        </w:rPr>
        <w:t xml:space="preserve"> </w:t>
      </w:r>
      <w:hyperlink r:id="rId13" w:history="1"/>
    </w:p>
    <w:p w14:paraId="1309A939" w14:textId="77777777" w:rsidR="00B765DC" w:rsidRPr="00DE2B05" w:rsidRDefault="00B765DC" w:rsidP="000F2770">
      <w:pPr>
        <w:jc w:val="both"/>
        <w:rPr>
          <w:lang w:val="es-ES"/>
        </w:rPr>
      </w:pPr>
      <w:r w:rsidRPr="00DE2B05">
        <w:rPr>
          <w:lang w:val="es-ES"/>
        </w:rPr>
        <w:t>8</w:t>
      </w:r>
      <w:r w:rsidRPr="00DE2B05">
        <w:rPr>
          <w:lang w:val="es-ES"/>
        </w:rPr>
        <w:tab/>
        <w:t xml:space="preserve">Los principales resultados de la 17.ª reunión del </w:t>
      </w:r>
      <w:proofErr w:type="spellStart"/>
      <w:r w:rsidRPr="00DE2B05">
        <w:rPr>
          <w:lang w:val="es-ES"/>
        </w:rPr>
        <w:t>GTC-RHF</w:t>
      </w:r>
      <w:proofErr w:type="spellEnd"/>
      <w:r w:rsidRPr="00DE2B05">
        <w:rPr>
          <w:lang w:val="es-ES"/>
        </w:rPr>
        <w:t xml:space="preserve">, celebrada del 24 al 26 de enero de 2024, fueron los siguientes: </w:t>
      </w:r>
      <w:hyperlink r:id="rId14" w:history="1">
        <w:r w:rsidRPr="00DE2B05">
          <w:rPr>
            <w:rStyle w:val="Hyperlink"/>
            <w:lang w:val="es-ES"/>
          </w:rPr>
          <w:t>www.itu.int/md/S24-CWGFHR17-C-0024/es</w:t>
        </w:r>
      </w:hyperlink>
      <w:r w:rsidRPr="00DE2B05">
        <w:rPr>
          <w:lang w:val="es-ES"/>
        </w:rPr>
        <w:t>.</w:t>
      </w:r>
      <w:hyperlink r:id="rId15" w:history="1"/>
    </w:p>
    <w:p w14:paraId="74ADB0E4" w14:textId="1FC76A82" w:rsidR="00B765DC" w:rsidRPr="00DE2B05" w:rsidRDefault="00B765DC" w:rsidP="000F2770">
      <w:pPr>
        <w:jc w:val="both"/>
        <w:rPr>
          <w:lang w:val="es-ES"/>
        </w:rPr>
      </w:pPr>
      <w:r w:rsidRPr="00DE2B05">
        <w:rPr>
          <w:lang w:val="es-ES"/>
        </w:rPr>
        <w:t>9</w:t>
      </w:r>
      <w:r w:rsidRPr="00DE2B05">
        <w:rPr>
          <w:lang w:val="es-ES"/>
        </w:rPr>
        <w:tab/>
        <w:t xml:space="preserve">Los principales resultados de la 18.ª reunión del </w:t>
      </w:r>
      <w:proofErr w:type="spellStart"/>
      <w:r w:rsidRPr="00DE2B05">
        <w:rPr>
          <w:lang w:val="es-ES"/>
        </w:rPr>
        <w:t>GTC-RHF</w:t>
      </w:r>
      <w:proofErr w:type="spellEnd"/>
      <w:r w:rsidRPr="00DE2B05">
        <w:rPr>
          <w:lang w:val="es-ES"/>
        </w:rPr>
        <w:t>, celebrada el 3 de junio de</w:t>
      </w:r>
      <w:r w:rsidR="00F14956">
        <w:rPr>
          <w:lang w:val="es-ES"/>
        </w:rPr>
        <w:t> </w:t>
      </w:r>
      <w:r w:rsidRPr="00DE2B05">
        <w:rPr>
          <w:lang w:val="es-ES"/>
        </w:rPr>
        <w:t xml:space="preserve">2024, fueron los siguientes: </w:t>
      </w:r>
      <w:hyperlink r:id="rId16" w:history="1">
        <w:r w:rsidRPr="00DE2B05">
          <w:rPr>
            <w:rStyle w:val="Hyperlink"/>
            <w:lang w:val="es-ES"/>
          </w:rPr>
          <w:t>http://www.itu.int/md/S24-CWGFHR18-C-0009/es</w:t>
        </w:r>
      </w:hyperlink>
      <w:r w:rsidRPr="00DE2B05">
        <w:rPr>
          <w:lang w:val="es-ES"/>
        </w:rPr>
        <w:t>.</w:t>
      </w:r>
      <w:hyperlink r:id="rId17" w:history="1"/>
    </w:p>
    <w:p w14:paraId="46681C14" w14:textId="45A09DA9" w:rsidR="00B765DC" w:rsidRPr="00DE2B05" w:rsidRDefault="00B765DC" w:rsidP="000F2770">
      <w:pPr>
        <w:jc w:val="both"/>
        <w:rPr>
          <w:lang w:val="es-ES"/>
        </w:rPr>
      </w:pPr>
      <w:r w:rsidRPr="00DE2B05">
        <w:rPr>
          <w:lang w:val="es-ES"/>
        </w:rPr>
        <w:t>10</w:t>
      </w:r>
      <w:r w:rsidRPr="00DE2B05">
        <w:rPr>
          <w:lang w:val="es-ES"/>
        </w:rPr>
        <w:tab/>
        <w:t xml:space="preserve">Los principales resultados de la 19.ª reunión del </w:t>
      </w:r>
      <w:proofErr w:type="spellStart"/>
      <w:r w:rsidRPr="00DE2B05">
        <w:rPr>
          <w:lang w:val="es-ES"/>
        </w:rPr>
        <w:t>GTC-RHF</w:t>
      </w:r>
      <w:proofErr w:type="spellEnd"/>
      <w:r w:rsidRPr="00DE2B05">
        <w:rPr>
          <w:lang w:val="es-ES"/>
        </w:rPr>
        <w:t xml:space="preserve">, celebrada del 7 al 9 de octubre de 2024, fueron los siguientes: </w:t>
      </w:r>
      <w:hyperlink r:id="rId18" w:history="1">
        <w:r w:rsidRPr="00DE2B05">
          <w:rPr>
            <w:rStyle w:val="Hyperlink"/>
            <w:lang w:val="es-ES"/>
          </w:rPr>
          <w:t>www.itu.int/md/S24-CWGFHR19-C-0015/es</w:t>
        </w:r>
      </w:hyperlink>
      <w:r w:rsidRPr="00DE2B05">
        <w:rPr>
          <w:lang w:val="es-ES"/>
        </w:rPr>
        <w:t>.</w:t>
      </w:r>
      <w:hyperlink r:id="rId19" w:history="1"/>
    </w:p>
    <w:p w14:paraId="230A11D8" w14:textId="65CD7F91" w:rsidR="00B765DC" w:rsidRPr="00DE2B05" w:rsidRDefault="00B765DC" w:rsidP="000F2770">
      <w:pPr>
        <w:jc w:val="both"/>
        <w:rPr>
          <w:lang w:val="es-ES"/>
        </w:rPr>
      </w:pPr>
      <w:r w:rsidRPr="00DE2B05">
        <w:rPr>
          <w:lang w:val="es-ES"/>
        </w:rPr>
        <w:t>11</w:t>
      </w:r>
      <w:r w:rsidRPr="00DE2B05">
        <w:rPr>
          <w:lang w:val="es-ES"/>
        </w:rPr>
        <w:tab/>
        <w:t xml:space="preserve">Los principales resultados de la 20.ª reunión del </w:t>
      </w:r>
      <w:proofErr w:type="spellStart"/>
      <w:r w:rsidRPr="00DE2B05">
        <w:rPr>
          <w:lang w:val="es-ES"/>
        </w:rPr>
        <w:t>GTC-RHF</w:t>
      </w:r>
      <w:proofErr w:type="spellEnd"/>
      <w:r w:rsidRPr="00DE2B05">
        <w:rPr>
          <w:lang w:val="es-ES"/>
        </w:rPr>
        <w:t xml:space="preserve">, celebrada del 17 al 19 de febrero de 2025, fueron los siguientes: </w:t>
      </w:r>
      <w:hyperlink r:id="rId20" w:history="1">
        <w:r w:rsidRPr="00DE2B05">
          <w:rPr>
            <w:rStyle w:val="Hyperlink"/>
            <w:lang w:val="es-ES"/>
          </w:rPr>
          <w:t>www.itu.int/md/S25-CWGFHR20-C-0032/es</w:t>
        </w:r>
      </w:hyperlink>
      <w:r w:rsidRPr="00DE2B05">
        <w:rPr>
          <w:lang w:val="es-ES"/>
        </w:rPr>
        <w:t>.</w:t>
      </w:r>
      <w:hyperlink r:id="rId21" w:history="1"/>
    </w:p>
    <w:p w14:paraId="545B587E" w14:textId="06B9639C" w:rsidR="00B765DC" w:rsidRPr="00DE2B05" w:rsidRDefault="00B765DC" w:rsidP="000F2770">
      <w:pPr>
        <w:jc w:val="both"/>
        <w:rPr>
          <w:lang w:val="es-ES"/>
        </w:rPr>
      </w:pPr>
      <w:r w:rsidRPr="00DE2B05">
        <w:rPr>
          <w:lang w:val="es-ES"/>
        </w:rPr>
        <w:t>12</w:t>
      </w:r>
      <w:r w:rsidRPr="00DE2B05">
        <w:rPr>
          <w:lang w:val="es-ES"/>
        </w:rPr>
        <w:tab/>
        <w:t xml:space="preserve">Los principales resultados de la 21.ª reunión del </w:t>
      </w:r>
      <w:proofErr w:type="spellStart"/>
      <w:r w:rsidRPr="00DE2B05">
        <w:rPr>
          <w:lang w:val="es-ES"/>
        </w:rPr>
        <w:t>GTC-RHF</w:t>
      </w:r>
      <w:proofErr w:type="spellEnd"/>
      <w:r w:rsidRPr="00DE2B05">
        <w:rPr>
          <w:lang w:val="es-ES"/>
        </w:rPr>
        <w:t>, celebrada del 10 al 12 de septiembre de 2025, fueron los siguientes:</w:t>
      </w:r>
      <w:r w:rsidR="009A2CA8" w:rsidRPr="00DE2B05">
        <w:rPr>
          <w:lang w:val="es-ES"/>
        </w:rPr>
        <w:t xml:space="preserve"> </w:t>
      </w:r>
      <w:hyperlink r:id="rId22" w:history="1">
        <w:r w:rsidR="009A2CA8" w:rsidRPr="00DE2B05">
          <w:rPr>
            <w:rStyle w:val="Hyperlink"/>
            <w:lang w:val="es-ES"/>
          </w:rPr>
          <w:t>www.itu.int/md/S23-CWGFHR16-C-0026/es</w:t>
        </w:r>
      </w:hyperlink>
      <w:r w:rsidRPr="00DE2B05">
        <w:rPr>
          <w:lang w:val="es-ES"/>
        </w:rPr>
        <w:t>.</w:t>
      </w:r>
      <w:hyperlink r:id="rId23" w:history="1"/>
    </w:p>
    <w:p w14:paraId="4F5ECF7C" w14:textId="404DC921" w:rsidR="00B765DC" w:rsidRPr="00DE2B05" w:rsidRDefault="00B765DC" w:rsidP="000F2770">
      <w:pPr>
        <w:jc w:val="both"/>
        <w:rPr>
          <w:lang w:val="es-ES"/>
        </w:rPr>
      </w:pPr>
      <w:r w:rsidRPr="00DE2B05">
        <w:rPr>
          <w:lang w:val="es-ES"/>
        </w:rPr>
        <w:t>13</w:t>
      </w:r>
      <w:r w:rsidRPr="00DE2B05">
        <w:rPr>
          <w:lang w:val="es-ES"/>
        </w:rPr>
        <w:tab/>
        <w:t xml:space="preserve">Los principales resultados de la 22.ª reunión del </w:t>
      </w:r>
      <w:proofErr w:type="spellStart"/>
      <w:r w:rsidRPr="00DE2B05">
        <w:rPr>
          <w:lang w:val="es-ES"/>
        </w:rPr>
        <w:t>GTC-RHF</w:t>
      </w:r>
      <w:proofErr w:type="spellEnd"/>
      <w:r w:rsidRPr="00DE2B05">
        <w:rPr>
          <w:lang w:val="es-ES"/>
        </w:rPr>
        <w:t xml:space="preserve">, celebrada del 14 al 16 de enero de 2026, fueron los siguientes: </w:t>
      </w:r>
      <w:hyperlink r:id="rId24" w:history="1">
        <w:r w:rsidRPr="00DE2B05">
          <w:rPr>
            <w:rStyle w:val="Hyperlink"/>
            <w:lang w:val="es-ES"/>
          </w:rPr>
          <w:t>www.itu.int/md/S26-CWGFHR22-C-0036/es</w:t>
        </w:r>
      </w:hyperlink>
      <w:r w:rsidRPr="00DE2B05">
        <w:rPr>
          <w:lang w:val="es-ES"/>
        </w:rPr>
        <w:t>.</w:t>
      </w:r>
      <w:hyperlink r:id="rId25" w:history="1"/>
    </w:p>
    <w:p w14:paraId="034AAF9A" w14:textId="77777777" w:rsidR="00B765DC" w:rsidRPr="00DE2B05" w:rsidRDefault="00B765DC" w:rsidP="00B765DC">
      <w:pPr>
        <w:pStyle w:val="Heading1"/>
        <w:rPr>
          <w:lang w:val="es-ES"/>
        </w:rPr>
      </w:pPr>
      <w:r w:rsidRPr="00DE2B05">
        <w:rPr>
          <w:lang w:val="es-ES"/>
        </w:rPr>
        <w:t>III</w:t>
      </w:r>
      <w:r w:rsidRPr="00DE2B05">
        <w:rPr>
          <w:lang w:val="es-ES"/>
        </w:rPr>
        <w:tab/>
        <w:t>Recomendaciones a la PP-26</w:t>
      </w:r>
    </w:p>
    <w:p w14:paraId="633F5B78" w14:textId="77777777" w:rsidR="00B765DC" w:rsidRPr="00DE2B05" w:rsidRDefault="00B765DC" w:rsidP="000F2770">
      <w:pPr>
        <w:jc w:val="both"/>
        <w:rPr>
          <w:rFonts w:cs="Calibri"/>
          <w:lang w:val="es-ES"/>
        </w:rPr>
      </w:pPr>
      <w:r w:rsidRPr="00DE2B05">
        <w:rPr>
          <w:lang w:val="es-ES"/>
        </w:rPr>
        <w:t>14</w:t>
      </w:r>
      <w:r w:rsidRPr="00DE2B05">
        <w:rPr>
          <w:lang w:val="es-ES"/>
        </w:rPr>
        <w:tab/>
        <w:t xml:space="preserve">Se invita al Consejo a examinar el informe cuatrienal de la Presidenta del </w:t>
      </w:r>
      <w:proofErr w:type="spellStart"/>
      <w:r w:rsidRPr="00DE2B05">
        <w:rPr>
          <w:lang w:val="es-ES"/>
        </w:rPr>
        <w:t>GTC-RHF</w:t>
      </w:r>
      <w:proofErr w:type="spellEnd"/>
      <w:r w:rsidRPr="00DE2B05">
        <w:rPr>
          <w:lang w:val="es-ES"/>
        </w:rPr>
        <w:t xml:space="preserve"> y a recomendar a la Conferencia de Plenipotenciarios (PP-26) la continuación de las actividades del </w:t>
      </w:r>
      <w:proofErr w:type="spellStart"/>
      <w:r w:rsidRPr="00DE2B05">
        <w:rPr>
          <w:lang w:val="es-ES"/>
        </w:rPr>
        <w:t>GTC-RHF</w:t>
      </w:r>
      <w:proofErr w:type="spellEnd"/>
      <w:r w:rsidRPr="00DE2B05">
        <w:rPr>
          <w:lang w:val="es-ES"/>
        </w:rPr>
        <w:t xml:space="preserve"> durante los próximos cuatro años. Además, sobre la base de la directriz del Acuerdo 563 del Consejo, y el mandato del </w:t>
      </w:r>
      <w:proofErr w:type="spellStart"/>
      <w:r w:rsidRPr="00DE2B05">
        <w:rPr>
          <w:lang w:val="es-ES"/>
        </w:rPr>
        <w:t>GTC-RHF</w:t>
      </w:r>
      <w:proofErr w:type="spellEnd"/>
      <w:r w:rsidRPr="00DE2B05">
        <w:rPr>
          <w:lang w:val="es-ES"/>
        </w:rPr>
        <w:t xml:space="preserve">, de examinar y presentar las propuestas pertinentes al Consejo, se propone que el Consejo considere recomendaciones adicionales a la PP-26 en relación con el ciclo cuatrienal, en particular: </w:t>
      </w:r>
    </w:p>
    <w:p w14:paraId="10A4F11A" w14:textId="77777777" w:rsidR="00B765DC" w:rsidRPr="00DE2B05" w:rsidRDefault="00B765DC" w:rsidP="000F2770">
      <w:pPr>
        <w:pStyle w:val="enumlev1"/>
        <w:jc w:val="both"/>
        <w:rPr>
          <w:rFonts w:cs="Calibri"/>
          <w:lang w:val="es-ES"/>
        </w:rPr>
      </w:pPr>
      <w:r w:rsidRPr="00DE2B05">
        <w:rPr>
          <w:lang w:val="es-ES"/>
        </w:rPr>
        <w:t>–</w:t>
      </w:r>
      <w:r w:rsidRPr="00DE2B05">
        <w:rPr>
          <w:lang w:val="es-ES"/>
        </w:rPr>
        <w:tab/>
        <w:t xml:space="preserve">Sobre la base de la consideración por el </w:t>
      </w:r>
      <w:proofErr w:type="spellStart"/>
      <w:r w:rsidRPr="00DE2B05">
        <w:rPr>
          <w:lang w:val="es-ES"/>
        </w:rPr>
        <w:t>GTC-RHF</w:t>
      </w:r>
      <w:proofErr w:type="spellEnd"/>
      <w:r w:rsidRPr="00DE2B05">
        <w:rPr>
          <w:lang w:val="es-ES"/>
        </w:rPr>
        <w:t xml:space="preserve"> de las metodologías para ayudar a los Estados Miembros a preparar "estimaciones de costes" para las propuestas a las conferencias y asambleas de la Unión, recomendar que el Consejo considere invitar a la PP-26 a examinar o revisar el Artículo 34 del Convenio de la UIT y proporcionar orientaciones a los Estados Miembros sobre cómo deben tenerlo en cuenta al formular propuestas.</w:t>
      </w:r>
    </w:p>
    <w:p w14:paraId="22C22925" w14:textId="232C5706" w:rsidR="00B765DC" w:rsidRPr="00DE2B05" w:rsidRDefault="00B765DC" w:rsidP="000F2770">
      <w:pPr>
        <w:pStyle w:val="enumlev1"/>
        <w:jc w:val="both"/>
        <w:rPr>
          <w:rFonts w:cs="Calibri"/>
          <w:lang w:val="es-ES"/>
        </w:rPr>
      </w:pPr>
      <w:r w:rsidRPr="00DE2B05">
        <w:rPr>
          <w:lang w:val="es-ES"/>
        </w:rPr>
        <w:lastRenderedPageBreak/>
        <w:t>–</w:t>
      </w:r>
      <w:r w:rsidRPr="00DE2B05">
        <w:rPr>
          <w:lang w:val="es-ES"/>
        </w:rPr>
        <w:tab/>
        <w:t xml:space="preserve">Sobre la base del examen por el </w:t>
      </w:r>
      <w:proofErr w:type="spellStart"/>
      <w:r w:rsidRPr="00DE2B05">
        <w:rPr>
          <w:lang w:val="es-ES"/>
        </w:rPr>
        <w:t>GTC-RHF</w:t>
      </w:r>
      <w:proofErr w:type="spellEnd"/>
      <w:r w:rsidRPr="00DE2B05">
        <w:rPr>
          <w:lang w:val="es-ES"/>
        </w:rPr>
        <w:t xml:space="preserve"> de las cuestiones relativas a la coordinación de los trabajos de los tres Sectores y la Secretaría General de la UIT, recomendar que el Consejo examine las contribuciones de los Grupos Asesores de los Sectores, el </w:t>
      </w:r>
      <w:proofErr w:type="spellStart"/>
      <w:r w:rsidRPr="00DE2B05">
        <w:rPr>
          <w:lang w:val="es-ES"/>
        </w:rPr>
        <w:t>GCIS</w:t>
      </w:r>
      <w:proofErr w:type="spellEnd"/>
      <w:r w:rsidRPr="00DE2B05">
        <w:rPr>
          <w:lang w:val="es-ES"/>
        </w:rPr>
        <w:t xml:space="preserve">, el Comité de Coordinación y el </w:t>
      </w:r>
      <w:proofErr w:type="spellStart"/>
      <w:r w:rsidRPr="00DE2B05">
        <w:rPr>
          <w:lang w:val="es-ES"/>
        </w:rPr>
        <w:t>GAEM</w:t>
      </w:r>
      <w:proofErr w:type="spellEnd"/>
      <w:r w:rsidRPr="00DE2B05">
        <w:rPr>
          <w:lang w:val="es-ES"/>
        </w:rPr>
        <w:t xml:space="preserve"> para mejorar la aplicación de la Resolución</w:t>
      </w:r>
      <w:r w:rsidR="00F14956">
        <w:rPr>
          <w:lang w:val="es-ES"/>
        </w:rPr>
        <w:t> </w:t>
      </w:r>
      <w:r w:rsidRPr="00DE2B05">
        <w:rPr>
          <w:lang w:val="es-ES"/>
        </w:rPr>
        <w:t>191 y recomendar que la PP-26 considere reflejar dicha contribución actualizando la Resolución.</w:t>
      </w:r>
    </w:p>
    <w:p w14:paraId="0DB13AD9" w14:textId="11487139" w:rsidR="00B765DC" w:rsidRPr="00DE2B05" w:rsidRDefault="00B765DC" w:rsidP="000F2770">
      <w:pPr>
        <w:pStyle w:val="enumlev1"/>
        <w:jc w:val="both"/>
        <w:rPr>
          <w:rFonts w:cs="Calibri"/>
          <w:lang w:val="es-ES"/>
        </w:rPr>
      </w:pPr>
      <w:r w:rsidRPr="00DE2B05">
        <w:rPr>
          <w:lang w:val="es-ES"/>
        </w:rPr>
        <w:t>–</w:t>
      </w:r>
      <w:r w:rsidRPr="00DE2B05">
        <w:rPr>
          <w:lang w:val="es-ES"/>
        </w:rPr>
        <w:tab/>
        <w:t xml:space="preserve">Habida cuenta de la necesidad del </w:t>
      </w:r>
      <w:proofErr w:type="spellStart"/>
      <w:r w:rsidRPr="00DE2B05">
        <w:rPr>
          <w:lang w:val="es-ES"/>
        </w:rPr>
        <w:t>GTC-RHF</w:t>
      </w:r>
      <w:proofErr w:type="spellEnd"/>
      <w:r w:rsidRPr="00DE2B05">
        <w:rPr>
          <w:lang w:val="es-ES"/>
        </w:rPr>
        <w:t xml:space="preserve"> de facilitar la aplicación de las Resoluciones y Decisiones de la Conferencia de Plenipotenciarios en los locales de la futura Sede de la Unión, recomendar al Consejo que recomiende la actualización de la Resolución 212 de la PP, basándose en el análisis realizado por la Secretaría de los Acuerdos 588, 619 y 640 del Consejo, a fin de unificar y eliminar conflictos entre dichas decisiones, junto con las recomendaciones revisadas del plan relativas a la convención de denominación.</w:t>
      </w:r>
    </w:p>
    <w:p w14:paraId="632B5878" w14:textId="1AE9C8A1" w:rsidR="00B765DC" w:rsidRPr="00DE2B05" w:rsidRDefault="00B765DC" w:rsidP="000F2770">
      <w:pPr>
        <w:pStyle w:val="enumlev1"/>
        <w:jc w:val="both"/>
        <w:rPr>
          <w:lang w:val="es-ES"/>
        </w:rPr>
      </w:pPr>
      <w:r w:rsidRPr="00DE2B05">
        <w:rPr>
          <w:lang w:val="es-ES"/>
        </w:rPr>
        <w:t>–</w:t>
      </w:r>
      <w:r w:rsidRPr="00DE2B05">
        <w:rPr>
          <w:lang w:val="es-ES"/>
        </w:rPr>
        <w:tab/>
        <w:t>De conformidad con los requisitos de continuidad de las actividades establecidos en la Resolución</w:t>
      </w:r>
      <w:r w:rsidR="00F14956">
        <w:rPr>
          <w:lang w:val="es-ES"/>
        </w:rPr>
        <w:t> </w:t>
      </w:r>
      <w:r w:rsidRPr="00DE2B05">
        <w:rPr>
          <w:lang w:val="es-ES"/>
        </w:rPr>
        <w:t xml:space="preserve">217 de la PP, recomendar al Consejo de 2026 que </w:t>
      </w:r>
      <w:r w:rsidR="001D14E7">
        <w:rPr>
          <w:lang w:val="es-ES"/>
        </w:rPr>
        <w:t>acuerde asignar</w:t>
      </w:r>
      <w:r w:rsidRPr="00DE2B05">
        <w:rPr>
          <w:lang w:val="es-ES"/>
        </w:rPr>
        <w:t xml:space="preserve"> 2 782 600</w:t>
      </w:r>
      <w:r w:rsidR="00F14956">
        <w:rPr>
          <w:lang w:val="es-ES"/>
        </w:rPr>
        <w:t> </w:t>
      </w:r>
      <w:r w:rsidRPr="00DE2B05">
        <w:rPr>
          <w:lang w:val="es-ES"/>
        </w:rPr>
        <w:t>CHF al Fondo de Continuidad de las Actividades y se utilice exclusivamente para sufragar los costos de las reuniones celebradas en otros locales de Ginebra.</w:t>
      </w:r>
    </w:p>
    <w:p w14:paraId="10EDD1EF" w14:textId="1268CBF3" w:rsidR="00B765DC" w:rsidRPr="00DE2B05" w:rsidRDefault="00B765DC" w:rsidP="000F2770">
      <w:pPr>
        <w:pStyle w:val="enumlev1"/>
        <w:jc w:val="both"/>
        <w:rPr>
          <w:lang w:val="es-ES"/>
        </w:rPr>
      </w:pPr>
      <w:r w:rsidRPr="00DE2B05">
        <w:rPr>
          <w:lang w:val="es-ES"/>
        </w:rPr>
        <w:t>–</w:t>
      </w:r>
      <w:r w:rsidRPr="00DE2B05">
        <w:rPr>
          <w:lang w:val="es-ES"/>
        </w:rPr>
        <w:tab/>
        <w:t xml:space="preserve">Sobre la base del objetivo del </w:t>
      </w:r>
      <w:proofErr w:type="spellStart"/>
      <w:r w:rsidRPr="00DE2B05">
        <w:rPr>
          <w:lang w:val="es-ES"/>
        </w:rPr>
        <w:t>GTC-RHF</w:t>
      </w:r>
      <w:proofErr w:type="spellEnd"/>
      <w:r w:rsidRPr="00DE2B05">
        <w:rPr>
          <w:lang w:val="es-ES"/>
        </w:rPr>
        <w:t xml:space="preserve"> de mantener una estrecha asociación con la dirección de la UIT y el Consejo del Personal, así como de la consideración de la gestión y el desarrollo de los recursos humanos de la UIT y la aplicación del marco de rendición de cuentas de la UIT, solicitar al Consejo que incluya un informe permanente o una declaración del Consejo del Personal como mandato del </w:t>
      </w:r>
      <w:proofErr w:type="spellStart"/>
      <w:r w:rsidRPr="00DE2B05">
        <w:rPr>
          <w:lang w:val="es-ES"/>
        </w:rPr>
        <w:t>GTC</w:t>
      </w:r>
      <w:r w:rsidR="00F14956">
        <w:rPr>
          <w:lang w:val="es-ES"/>
        </w:rPr>
        <w:noBreakHyphen/>
      </w:r>
      <w:r w:rsidRPr="00DE2B05">
        <w:rPr>
          <w:lang w:val="es-ES"/>
        </w:rPr>
        <w:t>RHF</w:t>
      </w:r>
      <w:proofErr w:type="spellEnd"/>
      <w:r w:rsidRPr="00DE2B05">
        <w:rPr>
          <w:lang w:val="es-ES"/>
        </w:rPr>
        <w:t xml:space="preserve"> para ayudar a reforzar los conocimientos y la continuidad institucionales.</w:t>
      </w:r>
    </w:p>
    <w:p w14:paraId="0E9B653D" w14:textId="501F46B9" w:rsidR="00B765DC" w:rsidRPr="00DE2B05" w:rsidRDefault="00B765DC" w:rsidP="000F2770">
      <w:pPr>
        <w:pStyle w:val="enumlev1"/>
        <w:jc w:val="both"/>
        <w:rPr>
          <w:lang w:val="es-ES"/>
        </w:rPr>
      </w:pPr>
      <w:r w:rsidRPr="00DE2B05">
        <w:rPr>
          <w:lang w:val="es-ES"/>
        </w:rPr>
        <w:t>–</w:t>
      </w:r>
      <w:r w:rsidRPr="00DE2B05">
        <w:rPr>
          <w:lang w:val="es-ES"/>
        </w:rPr>
        <w:tab/>
        <w:t xml:space="preserve">En consonancia con la labor del </w:t>
      </w:r>
      <w:proofErr w:type="spellStart"/>
      <w:r w:rsidRPr="00DE2B05">
        <w:rPr>
          <w:lang w:val="es-ES"/>
        </w:rPr>
        <w:t>GTC-RHF</w:t>
      </w:r>
      <w:proofErr w:type="spellEnd"/>
      <w:r w:rsidRPr="00DE2B05">
        <w:rPr>
          <w:lang w:val="es-ES"/>
        </w:rPr>
        <w:t xml:space="preserve"> de incluir medidas para reducir gastos y aumentar la eficiencia, recomendar que el Consejo comparta con la PP</w:t>
      </w:r>
      <w:r w:rsidR="009D3592">
        <w:rPr>
          <w:lang w:val="es-ES"/>
        </w:rPr>
        <w:noBreakHyphen/>
      </w:r>
      <w:r w:rsidRPr="00DE2B05">
        <w:rPr>
          <w:lang w:val="es-ES"/>
        </w:rPr>
        <w:t>26 el siguiente cuadro de debate de notificaciones de redes de satélites.</w:t>
      </w:r>
    </w:p>
    <w:p w14:paraId="7A879D76" w14:textId="390D8D32" w:rsidR="00B765DC" w:rsidRPr="00DE2B05" w:rsidRDefault="00B765DC" w:rsidP="000F2770">
      <w:pPr>
        <w:pStyle w:val="enumlev1"/>
        <w:jc w:val="both"/>
        <w:rPr>
          <w:lang w:val="es-ES"/>
        </w:rPr>
      </w:pPr>
      <w:r w:rsidRPr="00DE2B05">
        <w:rPr>
          <w:lang w:val="es-ES"/>
        </w:rPr>
        <w:t>–</w:t>
      </w:r>
      <w:r w:rsidRPr="00DE2B05">
        <w:rPr>
          <w:lang w:val="es-ES"/>
        </w:rPr>
        <w:tab/>
        <w:t xml:space="preserve">Sobre la base de la Decisión 11 de la PP y de la consideración por el </w:t>
      </w:r>
      <w:proofErr w:type="spellStart"/>
      <w:r w:rsidRPr="00DE2B05">
        <w:rPr>
          <w:lang w:val="es-ES"/>
        </w:rPr>
        <w:t>GTC</w:t>
      </w:r>
      <w:r w:rsidR="009D3592">
        <w:rPr>
          <w:lang w:val="es-ES"/>
        </w:rPr>
        <w:noBreakHyphen/>
      </w:r>
      <w:r w:rsidRPr="00DE2B05">
        <w:rPr>
          <w:lang w:val="es-ES"/>
        </w:rPr>
        <w:t>RHF</w:t>
      </w:r>
      <w:proofErr w:type="spellEnd"/>
      <w:r w:rsidRPr="00DE2B05">
        <w:rPr>
          <w:lang w:val="es-ES"/>
        </w:rPr>
        <w:t xml:space="preserve"> de la gestión y el desarrollo de los recursos humanos de la UIT, </w:t>
      </w:r>
      <w:proofErr w:type="gramStart"/>
      <w:r w:rsidRPr="00DE2B05">
        <w:rPr>
          <w:lang w:val="es-ES"/>
        </w:rPr>
        <w:t>recomendar</w:t>
      </w:r>
      <w:proofErr w:type="gramEnd"/>
      <w:r w:rsidRPr="00DE2B05">
        <w:rPr>
          <w:lang w:val="es-ES"/>
        </w:rPr>
        <w:t xml:space="preserve"> que el Consejo invite a la PP-26 a considerar la actualización de la Decisión 11 para incluir la forma en que los </w:t>
      </w:r>
      <w:proofErr w:type="spellStart"/>
      <w:r w:rsidRPr="00DE2B05">
        <w:rPr>
          <w:lang w:val="es-ES"/>
        </w:rPr>
        <w:t>GTC</w:t>
      </w:r>
      <w:proofErr w:type="spellEnd"/>
      <w:r w:rsidRPr="00DE2B05">
        <w:rPr>
          <w:lang w:val="es-ES"/>
        </w:rPr>
        <w:t xml:space="preserve"> deben interactuar con el personal de la UIT.</w:t>
      </w:r>
      <w:bookmarkStart w:id="1" w:name="_Hlk95297702"/>
    </w:p>
    <w:p w14:paraId="3FB0C2EF" w14:textId="730D8C1B" w:rsidR="00B765DC" w:rsidRPr="00DE2B05" w:rsidRDefault="00B765DC" w:rsidP="000F2770">
      <w:pPr>
        <w:pStyle w:val="enumlev1"/>
        <w:jc w:val="both"/>
        <w:rPr>
          <w:lang w:val="es-ES"/>
        </w:rPr>
      </w:pPr>
      <w:r w:rsidRPr="00DE2B05">
        <w:rPr>
          <w:lang w:val="es-ES"/>
        </w:rPr>
        <w:t>–</w:t>
      </w:r>
      <w:r w:rsidRPr="00DE2B05">
        <w:rPr>
          <w:lang w:val="es-ES"/>
        </w:rPr>
        <w:tab/>
        <w:t xml:space="preserve">Sobre la base de la Decisión 11 de la PP y del mandato del </w:t>
      </w:r>
      <w:proofErr w:type="spellStart"/>
      <w:r w:rsidRPr="00DE2B05">
        <w:rPr>
          <w:lang w:val="es-ES"/>
        </w:rPr>
        <w:t>GTC-RHF</w:t>
      </w:r>
      <w:proofErr w:type="spellEnd"/>
      <w:r w:rsidRPr="00DE2B05">
        <w:rPr>
          <w:lang w:val="es-ES"/>
        </w:rPr>
        <w:t>, recomendar que el Consejo invite a la PP-26 a considerar la actualización de la Decisión</w:t>
      </w:r>
      <w:r w:rsidR="00F14956">
        <w:rPr>
          <w:lang w:val="es-ES"/>
        </w:rPr>
        <w:t> </w:t>
      </w:r>
      <w:r w:rsidRPr="00DE2B05">
        <w:rPr>
          <w:lang w:val="es-ES"/>
        </w:rPr>
        <w:t xml:space="preserve">11 para exigir que toda observación de apertura formulada por un funcionario electo de la UIT durante una reunión del </w:t>
      </w:r>
      <w:proofErr w:type="spellStart"/>
      <w:r w:rsidRPr="00DE2B05">
        <w:rPr>
          <w:lang w:val="es-ES"/>
        </w:rPr>
        <w:t>GTC</w:t>
      </w:r>
      <w:proofErr w:type="spellEnd"/>
      <w:r w:rsidRPr="00DE2B05">
        <w:rPr>
          <w:lang w:val="es-ES"/>
        </w:rPr>
        <w:t xml:space="preserve"> se publique como documento informativo antes de la conclusión de la reunión del </w:t>
      </w:r>
      <w:proofErr w:type="spellStart"/>
      <w:r w:rsidRPr="00DE2B05">
        <w:rPr>
          <w:lang w:val="es-ES"/>
        </w:rPr>
        <w:t>GTC</w:t>
      </w:r>
      <w:proofErr w:type="spellEnd"/>
      <w:r w:rsidRPr="00DE2B05">
        <w:rPr>
          <w:lang w:val="es-ES"/>
        </w:rPr>
        <w:t xml:space="preserve"> correspondiente.</w:t>
      </w:r>
    </w:p>
    <w:p w14:paraId="7B332975" w14:textId="4C94AABF" w:rsidR="00B765DC" w:rsidRPr="00DE2B05" w:rsidRDefault="009A2CA8" w:rsidP="000F2770">
      <w:pPr>
        <w:pStyle w:val="enumlev1"/>
        <w:jc w:val="both"/>
        <w:rPr>
          <w:lang w:val="es-ES"/>
        </w:rPr>
      </w:pPr>
      <w:r w:rsidRPr="00DE2B05">
        <w:rPr>
          <w:lang w:val="es-ES"/>
        </w:rPr>
        <w:t>–</w:t>
      </w:r>
      <w:r w:rsidRPr="00DE2B05">
        <w:rPr>
          <w:lang w:val="es-ES"/>
        </w:rPr>
        <w:tab/>
      </w:r>
      <w:r w:rsidR="00B765DC" w:rsidRPr="00DE2B05">
        <w:rPr>
          <w:lang w:val="es-ES"/>
        </w:rPr>
        <w:t xml:space="preserve">Sobre la base de la Decisión 11 de la PP y el mandato del </w:t>
      </w:r>
      <w:proofErr w:type="spellStart"/>
      <w:r w:rsidR="00B765DC" w:rsidRPr="00DE2B05">
        <w:rPr>
          <w:lang w:val="es-ES"/>
        </w:rPr>
        <w:t>GTC-RHF</w:t>
      </w:r>
      <w:proofErr w:type="spellEnd"/>
      <w:r w:rsidR="00B765DC" w:rsidRPr="00DE2B05">
        <w:rPr>
          <w:lang w:val="es-ES"/>
        </w:rPr>
        <w:t xml:space="preserve">, recomendar que el Consejo invite a la PP-26 a aclarar los métodos de trabajo de las Comisiones de Estudio y a estudiar formas de fortalecer el </w:t>
      </w:r>
      <w:proofErr w:type="spellStart"/>
      <w:r w:rsidR="00B765DC" w:rsidRPr="00DE2B05">
        <w:rPr>
          <w:lang w:val="es-ES"/>
        </w:rPr>
        <w:t>GTC-RHF</w:t>
      </w:r>
      <w:proofErr w:type="spellEnd"/>
      <w:r w:rsidR="00B765DC" w:rsidRPr="00DE2B05">
        <w:rPr>
          <w:lang w:val="es-ES"/>
        </w:rPr>
        <w:t>, habida cuenta de las restricciones de tiempo en las reuniones, de conformidad con la Resolución</w:t>
      </w:r>
      <w:r w:rsidR="00F14956">
        <w:rPr>
          <w:lang w:val="es-ES"/>
        </w:rPr>
        <w:t> </w:t>
      </w:r>
      <w:r w:rsidR="00B765DC" w:rsidRPr="00DE2B05">
        <w:rPr>
          <w:lang w:val="es-ES"/>
        </w:rPr>
        <w:t>1333 del Consejo (</w:t>
      </w:r>
      <w:proofErr w:type="spellStart"/>
      <w:r w:rsidR="00B765DC" w:rsidRPr="00DE2B05">
        <w:rPr>
          <w:lang w:val="es-ES"/>
        </w:rPr>
        <w:t>C11</w:t>
      </w:r>
      <w:proofErr w:type="spellEnd"/>
      <w:r w:rsidR="00B765DC" w:rsidRPr="00DE2B05">
        <w:rPr>
          <w:lang w:val="es-ES"/>
        </w:rPr>
        <w:t>,</w:t>
      </w:r>
      <w:r w:rsidR="00F14956">
        <w:rPr>
          <w:lang w:val="es-ES"/>
        </w:rPr>
        <w:t> </w:t>
      </w:r>
      <w:r w:rsidR="00B765DC" w:rsidRPr="00DE2B05">
        <w:rPr>
          <w:lang w:val="es-ES"/>
        </w:rPr>
        <w:t xml:space="preserve">modificación más reciente </w:t>
      </w:r>
      <w:proofErr w:type="spellStart"/>
      <w:r w:rsidR="00B765DC" w:rsidRPr="00DE2B05">
        <w:rPr>
          <w:lang w:val="es-ES"/>
        </w:rPr>
        <w:t>C25</w:t>
      </w:r>
      <w:proofErr w:type="spellEnd"/>
      <w:r w:rsidR="00B765DC" w:rsidRPr="00DE2B05">
        <w:rPr>
          <w:lang w:val="es-ES"/>
        </w:rPr>
        <w:t>).</w:t>
      </w:r>
      <w:bookmarkEnd w:id="1"/>
    </w:p>
    <w:p w14:paraId="77A4378A" w14:textId="77777777" w:rsidR="000F2770" w:rsidRDefault="000F2770">
      <w:pPr>
        <w:tabs>
          <w:tab w:val="clear" w:pos="567"/>
          <w:tab w:val="clear" w:pos="1134"/>
          <w:tab w:val="clear" w:pos="1701"/>
          <w:tab w:val="clear" w:pos="2268"/>
          <w:tab w:val="clear" w:pos="2835"/>
        </w:tabs>
        <w:overflowPunct/>
        <w:autoSpaceDE/>
        <w:autoSpaceDN/>
        <w:adjustRightInd/>
        <w:spacing w:before="0"/>
        <w:textAlignment w:val="auto"/>
        <w:rPr>
          <w:b/>
          <w:sz w:val="28"/>
          <w:lang w:val="es-ES"/>
        </w:rPr>
      </w:pPr>
      <w:r>
        <w:rPr>
          <w:lang w:val="es-ES"/>
        </w:rPr>
        <w:br w:type="page"/>
      </w:r>
    </w:p>
    <w:p w14:paraId="74CA5726" w14:textId="74BFA830" w:rsidR="00B765DC" w:rsidRPr="00DE2B05" w:rsidRDefault="00B765DC" w:rsidP="00B765DC">
      <w:pPr>
        <w:pStyle w:val="Annextitle"/>
        <w:rPr>
          <w:lang w:val="es-ES"/>
        </w:rPr>
      </w:pPr>
      <w:r w:rsidRPr="00DE2B05">
        <w:rPr>
          <w:lang w:val="es-ES"/>
        </w:rPr>
        <w:lastRenderedPageBreak/>
        <w:t>Temas de los comentarios/preguntas de los delegados</w:t>
      </w:r>
      <w:r w:rsidRPr="00DE2B05">
        <w:rPr>
          <w:lang w:val="es-ES"/>
        </w:rPr>
        <w:br/>
        <w:t>relativos a las notificaciones de redes de satélites</w:t>
      </w:r>
    </w:p>
    <w:p w14:paraId="117E5182" w14:textId="0440065F" w:rsidR="00B765DC" w:rsidRPr="00DE2B05" w:rsidRDefault="00B765DC" w:rsidP="000F2770">
      <w:pPr>
        <w:pStyle w:val="Normalaftertitle"/>
        <w:jc w:val="both"/>
        <w:rPr>
          <w:lang w:val="es-ES"/>
        </w:rPr>
      </w:pPr>
      <w:r w:rsidRPr="00DE2B05">
        <w:rPr>
          <w:lang w:val="es-ES"/>
        </w:rPr>
        <w:t xml:space="preserve">En el siguiente gráfico se recogen los comentarios y preguntas planteados por los delegados durante la 22.ª reunión del </w:t>
      </w:r>
      <w:proofErr w:type="spellStart"/>
      <w:r w:rsidRPr="00DE2B05">
        <w:rPr>
          <w:lang w:val="es-ES"/>
        </w:rPr>
        <w:t>GTC-RHF</w:t>
      </w:r>
      <w:proofErr w:type="spellEnd"/>
      <w:r w:rsidRPr="00DE2B05">
        <w:rPr>
          <w:lang w:val="es-ES"/>
        </w:rPr>
        <w:t xml:space="preserve">. La Presidenta del </w:t>
      </w:r>
      <w:proofErr w:type="spellStart"/>
      <w:r w:rsidRPr="00DE2B05">
        <w:rPr>
          <w:lang w:val="es-ES"/>
        </w:rPr>
        <w:t>GTC-RHF</w:t>
      </w:r>
      <w:proofErr w:type="spellEnd"/>
      <w:r w:rsidRPr="00DE2B05">
        <w:rPr>
          <w:lang w:val="es-ES"/>
        </w:rPr>
        <w:t xml:space="preserve"> envió este gráfico por correo electrónico el 15 de enero de 2026 a los delegados interesados para recabar su opinión.</w:t>
      </w:r>
    </w:p>
    <w:p w14:paraId="36098FB7" w14:textId="77777777" w:rsidR="00B765DC" w:rsidRPr="00DE2B05" w:rsidRDefault="00B765DC" w:rsidP="00B765DC">
      <w:pPr>
        <w:spacing w:before="0"/>
        <w:rPr>
          <w:lang w:val="es-ES"/>
        </w:rPr>
      </w:pPr>
    </w:p>
    <w:tbl>
      <w:tblPr>
        <w:tblStyle w:val="TableGrid"/>
        <w:tblW w:w="5000" w:type="pct"/>
        <w:tblLayout w:type="fixed"/>
        <w:tblCellMar>
          <w:left w:w="57" w:type="dxa"/>
          <w:right w:w="57" w:type="dxa"/>
        </w:tblCellMar>
        <w:tblLook w:val="04A0" w:firstRow="1" w:lastRow="0" w:firstColumn="1" w:lastColumn="0" w:noHBand="0" w:noVBand="1"/>
      </w:tblPr>
      <w:tblGrid>
        <w:gridCol w:w="1427"/>
        <w:gridCol w:w="3691"/>
        <w:gridCol w:w="3943"/>
      </w:tblGrid>
      <w:tr w:rsidR="00B765DC" w:rsidRPr="00DE2B05" w14:paraId="27CB3D9D" w14:textId="77777777" w:rsidTr="00B765DC">
        <w:trPr>
          <w:tblHeader/>
        </w:trPr>
        <w:tc>
          <w:tcPr>
            <w:tcW w:w="787" w:type="pct"/>
            <w:shd w:val="clear" w:color="auto" w:fill="DBE5F1" w:themeFill="accent1" w:themeFillTint="33"/>
          </w:tcPr>
          <w:p w14:paraId="27DB2EC2" w14:textId="77777777" w:rsidR="00B765DC" w:rsidRPr="00DE2B05" w:rsidRDefault="00B765DC" w:rsidP="007A0296">
            <w:pPr>
              <w:pStyle w:val="Tablehead"/>
              <w:rPr>
                <w:rFonts w:asciiTheme="minorHAnsi" w:hAnsiTheme="minorHAnsi" w:cstheme="minorHAnsi"/>
                <w:lang w:val="es-ES"/>
              </w:rPr>
            </w:pPr>
            <w:r w:rsidRPr="00DE2B05">
              <w:rPr>
                <w:rFonts w:asciiTheme="minorHAnsi" w:hAnsiTheme="minorHAnsi" w:cstheme="minorHAnsi"/>
                <w:bCs/>
                <w:color w:val="000000"/>
                <w:lang w:val="es-ES"/>
              </w:rPr>
              <w:t>Tema</w:t>
            </w:r>
          </w:p>
        </w:tc>
        <w:tc>
          <w:tcPr>
            <w:tcW w:w="2037" w:type="pct"/>
            <w:shd w:val="clear" w:color="auto" w:fill="DBE5F1" w:themeFill="accent1" w:themeFillTint="33"/>
          </w:tcPr>
          <w:p w14:paraId="1E9D82B3" w14:textId="77777777" w:rsidR="00B765DC" w:rsidRPr="00DE2B05" w:rsidRDefault="00B765DC" w:rsidP="007A0296">
            <w:pPr>
              <w:pStyle w:val="Tablehead"/>
              <w:rPr>
                <w:rFonts w:asciiTheme="minorHAnsi" w:hAnsiTheme="minorHAnsi" w:cstheme="minorHAnsi"/>
                <w:lang w:val="es-ES"/>
              </w:rPr>
            </w:pPr>
            <w:r w:rsidRPr="00DE2B05">
              <w:rPr>
                <w:rFonts w:asciiTheme="minorHAnsi" w:hAnsiTheme="minorHAnsi" w:cstheme="minorHAnsi"/>
                <w:bCs/>
                <w:color w:val="000000"/>
                <w:lang w:val="es-ES"/>
              </w:rPr>
              <w:t>Opiniones/asuntos expresados</w:t>
            </w:r>
          </w:p>
        </w:tc>
        <w:tc>
          <w:tcPr>
            <w:tcW w:w="2176" w:type="pct"/>
            <w:shd w:val="clear" w:color="auto" w:fill="DBE5F1" w:themeFill="accent1" w:themeFillTint="33"/>
          </w:tcPr>
          <w:p w14:paraId="1BABC5AD" w14:textId="77777777" w:rsidR="00B765DC" w:rsidRPr="00DE2B05" w:rsidRDefault="00B765DC" w:rsidP="007A0296">
            <w:pPr>
              <w:pStyle w:val="Tablehead"/>
              <w:rPr>
                <w:rFonts w:asciiTheme="minorHAnsi" w:hAnsiTheme="minorHAnsi" w:cstheme="minorHAnsi"/>
                <w:lang w:val="es-ES"/>
              </w:rPr>
            </w:pPr>
            <w:r w:rsidRPr="00DE2B05">
              <w:rPr>
                <w:rFonts w:asciiTheme="minorHAnsi" w:hAnsiTheme="minorHAnsi" w:cstheme="minorHAnsi"/>
                <w:bCs/>
                <w:color w:val="000000"/>
                <w:lang w:val="es-ES"/>
              </w:rPr>
              <w:t>Preguntas/asuntos pendientes</w:t>
            </w:r>
          </w:p>
        </w:tc>
      </w:tr>
      <w:tr w:rsidR="00B765DC" w:rsidRPr="00B72BEA" w14:paraId="28D1641D" w14:textId="77777777" w:rsidTr="00B765DC">
        <w:tc>
          <w:tcPr>
            <w:tcW w:w="5000" w:type="pct"/>
            <w:gridSpan w:val="3"/>
            <w:shd w:val="clear" w:color="auto" w:fill="EEECE1" w:themeFill="background2"/>
          </w:tcPr>
          <w:p w14:paraId="3B07799E" w14:textId="77777777" w:rsidR="00B765DC" w:rsidRPr="00DE2B05" w:rsidRDefault="00B765DC" w:rsidP="00DE2B05">
            <w:pPr>
              <w:pStyle w:val="Tabletext"/>
              <w:rPr>
                <w:b/>
                <w:bCs/>
                <w:lang w:val="es-ES"/>
              </w:rPr>
            </w:pPr>
            <w:r w:rsidRPr="00DE2B05">
              <w:rPr>
                <w:b/>
                <w:bCs/>
                <w:lang w:val="es-ES"/>
              </w:rPr>
              <w:t>¿Hacia dónde debe dirigirse ahora la UIT?</w:t>
            </w:r>
          </w:p>
        </w:tc>
      </w:tr>
      <w:tr w:rsidR="00B765DC" w:rsidRPr="00B72BEA" w14:paraId="442862AF" w14:textId="77777777" w:rsidTr="00B765DC">
        <w:tc>
          <w:tcPr>
            <w:tcW w:w="787" w:type="pct"/>
          </w:tcPr>
          <w:p w14:paraId="03FA6B7B" w14:textId="77777777" w:rsidR="00B765DC" w:rsidRPr="00DE2B05" w:rsidRDefault="00B765DC" w:rsidP="007A0296">
            <w:pPr>
              <w:pStyle w:val="Tabletext"/>
              <w:rPr>
                <w:rFonts w:asciiTheme="minorHAnsi" w:hAnsiTheme="minorHAnsi" w:cstheme="minorHAnsi"/>
                <w:lang w:val="es-ES"/>
              </w:rPr>
            </w:pPr>
          </w:p>
        </w:tc>
        <w:tc>
          <w:tcPr>
            <w:tcW w:w="2037" w:type="pct"/>
          </w:tcPr>
          <w:p w14:paraId="38F9F0FA" w14:textId="77777777" w:rsidR="00B765DC" w:rsidRPr="00DE2B05" w:rsidRDefault="00B765DC" w:rsidP="00DE2B05">
            <w:pPr>
              <w:pStyle w:val="Tabletext"/>
              <w:rPr>
                <w:lang w:val="es-ES"/>
              </w:rPr>
            </w:pPr>
            <w:r w:rsidRPr="00DE2B05">
              <w:rPr>
                <w:lang w:val="es-ES"/>
              </w:rPr>
              <w:t xml:space="preserve">En general, los Miembros opinan que las tasas de recuperación de costos recaudadas (por ejemplo, </w:t>
            </w:r>
            <w:proofErr w:type="spellStart"/>
            <w:r w:rsidRPr="00DE2B05">
              <w:rPr>
                <w:lang w:val="es-ES"/>
              </w:rPr>
              <w:t>SNF</w:t>
            </w:r>
            <w:proofErr w:type="spellEnd"/>
            <w:r w:rsidRPr="00DE2B05">
              <w:rPr>
                <w:lang w:val="es-ES"/>
              </w:rPr>
              <w:t>) deberían destinarse directamente a apoyar el trabajo de la Oficina al que se imputan dichas tasas, no al fondo general. No debería ser un mecanismo de recuperación presupuestaria.</w:t>
            </w:r>
          </w:p>
        </w:tc>
        <w:tc>
          <w:tcPr>
            <w:tcW w:w="2176" w:type="pct"/>
          </w:tcPr>
          <w:p w14:paraId="679E6F80" w14:textId="77777777" w:rsidR="00B765DC" w:rsidRPr="00DE2B05" w:rsidRDefault="00B765DC" w:rsidP="00DE2B05">
            <w:pPr>
              <w:pStyle w:val="Tabletext"/>
              <w:rPr>
                <w:lang w:val="es-ES"/>
              </w:rPr>
            </w:pPr>
            <w:r w:rsidRPr="00DE2B05">
              <w:rPr>
                <w:lang w:val="es-ES"/>
              </w:rPr>
              <w:t>¿Dónde imputa actualmente la UIT esas tasas?</w:t>
            </w:r>
          </w:p>
        </w:tc>
      </w:tr>
      <w:tr w:rsidR="00B765DC" w:rsidRPr="00DE2B05" w14:paraId="34D10878" w14:textId="77777777" w:rsidTr="00B765DC">
        <w:tc>
          <w:tcPr>
            <w:tcW w:w="5000" w:type="pct"/>
            <w:gridSpan w:val="3"/>
            <w:shd w:val="clear" w:color="auto" w:fill="EEECE1" w:themeFill="background2"/>
          </w:tcPr>
          <w:p w14:paraId="5C5E9D9A" w14:textId="77777777" w:rsidR="00B765DC" w:rsidRPr="00DE2B05" w:rsidRDefault="00B765DC" w:rsidP="00DE2B05">
            <w:pPr>
              <w:pStyle w:val="Tabletext"/>
              <w:rPr>
                <w:b/>
                <w:bCs/>
                <w:lang w:val="es-ES"/>
              </w:rPr>
            </w:pPr>
            <w:r w:rsidRPr="00DE2B05">
              <w:rPr>
                <w:b/>
                <w:bCs/>
                <w:lang w:val="es-ES"/>
              </w:rPr>
              <w:t>Notificaciones gratuitas</w:t>
            </w:r>
          </w:p>
        </w:tc>
      </w:tr>
      <w:tr w:rsidR="00B765DC" w:rsidRPr="00B72BEA" w14:paraId="041F32E2" w14:textId="77777777" w:rsidTr="00B765DC">
        <w:tc>
          <w:tcPr>
            <w:tcW w:w="787" w:type="pct"/>
            <w:vMerge w:val="restart"/>
          </w:tcPr>
          <w:p w14:paraId="523EB02B" w14:textId="77777777" w:rsidR="00B765DC" w:rsidRPr="00DE2B05" w:rsidRDefault="00B765DC" w:rsidP="007A0296">
            <w:pPr>
              <w:pStyle w:val="Tabletext"/>
              <w:rPr>
                <w:rFonts w:asciiTheme="minorHAnsi" w:hAnsiTheme="minorHAnsi" w:cstheme="minorHAnsi"/>
                <w:lang w:val="es-ES"/>
              </w:rPr>
            </w:pPr>
          </w:p>
        </w:tc>
        <w:tc>
          <w:tcPr>
            <w:tcW w:w="2037" w:type="pct"/>
          </w:tcPr>
          <w:p w14:paraId="49F953E3" w14:textId="77777777" w:rsidR="00B765DC" w:rsidRPr="00DE2B05" w:rsidRDefault="00B765DC" w:rsidP="00DE2B05">
            <w:pPr>
              <w:pStyle w:val="Tabletext"/>
              <w:rPr>
                <w:lang w:val="es-ES"/>
              </w:rPr>
            </w:pPr>
            <w:r w:rsidRPr="00DE2B05">
              <w:rPr>
                <w:lang w:val="es-ES"/>
              </w:rPr>
              <w:t>El costo de las notificaciones gratuitas debería sufragarse con contribuciones de los Estados Miembros. Otros consideran que las notificaciones gratuitas deben financiarse mediante la recuperación de costos y no con el presupuesto ordinario de la UIT (como resultado de la Res. 91)</w:t>
            </w:r>
          </w:p>
        </w:tc>
        <w:tc>
          <w:tcPr>
            <w:tcW w:w="2176" w:type="pct"/>
          </w:tcPr>
          <w:p w14:paraId="7D140560" w14:textId="77777777" w:rsidR="00B765DC" w:rsidRPr="00DE2B05" w:rsidRDefault="00B765DC" w:rsidP="00DE2B05">
            <w:pPr>
              <w:pStyle w:val="Tabletext"/>
              <w:rPr>
                <w:lang w:val="es-ES"/>
              </w:rPr>
            </w:pPr>
            <w:r w:rsidRPr="00DE2B05">
              <w:rPr>
                <w:lang w:val="es-ES"/>
              </w:rPr>
              <w:t>¿Qué implica y cuánto cuesta una notificación gratuita? ¿Quién abona actualmente las notificaciones gratuitas? ¿Se deberían aplicar límites de costo a las notificaciones gratuitas y quién determina el costo?</w:t>
            </w:r>
          </w:p>
        </w:tc>
      </w:tr>
      <w:tr w:rsidR="00B765DC" w:rsidRPr="00B72BEA" w14:paraId="1180B967" w14:textId="77777777" w:rsidTr="00B765DC">
        <w:trPr>
          <w:trHeight w:val="735"/>
        </w:trPr>
        <w:tc>
          <w:tcPr>
            <w:tcW w:w="787" w:type="pct"/>
            <w:vMerge/>
          </w:tcPr>
          <w:p w14:paraId="3BEFB715" w14:textId="77777777" w:rsidR="00B765DC" w:rsidRPr="00DE2B05" w:rsidRDefault="00B765DC" w:rsidP="007A0296">
            <w:pPr>
              <w:pStyle w:val="Tabletext"/>
              <w:rPr>
                <w:rFonts w:asciiTheme="minorHAnsi" w:hAnsiTheme="minorHAnsi" w:cstheme="minorHAnsi"/>
                <w:lang w:val="es-ES"/>
              </w:rPr>
            </w:pPr>
          </w:p>
        </w:tc>
        <w:tc>
          <w:tcPr>
            <w:tcW w:w="2037" w:type="pct"/>
          </w:tcPr>
          <w:p w14:paraId="764F7632" w14:textId="77777777" w:rsidR="00B765DC" w:rsidRPr="00DE2B05" w:rsidRDefault="00B765DC" w:rsidP="00DE2B05">
            <w:pPr>
              <w:pStyle w:val="Tabletext"/>
              <w:rPr>
                <w:lang w:val="es-ES"/>
              </w:rPr>
            </w:pPr>
            <w:r w:rsidRPr="00DE2B05">
              <w:rPr>
                <w:lang w:val="es-ES"/>
              </w:rPr>
              <w:t>La gratuidad de las notificaciones es una función fundamental del mandato de la UIT (múltiples países)</w:t>
            </w:r>
          </w:p>
        </w:tc>
        <w:tc>
          <w:tcPr>
            <w:tcW w:w="2176" w:type="pct"/>
          </w:tcPr>
          <w:p w14:paraId="617646A3" w14:textId="7E67456A" w:rsidR="00B765DC" w:rsidRPr="00DE2B05" w:rsidRDefault="00B765DC" w:rsidP="00DE2B05">
            <w:pPr>
              <w:pStyle w:val="Tabletext"/>
              <w:rPr>
                <w:lang w:val="es-ES"/>
              </w:rPr>
            </w:pPr>
            <w:r w:rsidRPr="00DE2B05">
              <w:rPr>
                <w:lang w:val="es-ES"/>
              </w:rPr>
              <w:t>¿Se mantiene todavía el propósito para el que se acordaron originalmente las notificaciones gratuitas?</w:t>
            </w:r>
          </w:p>
        </w:tc>
      </w:tr>
      <w:tr w:rsidR="00B765DC" w:rsidRPr="00B72BEA" w14:paraId="2C718CAE" w14:textId="77777777" w:rsidTr="00B765DC">
        <w:trPr>
          <w:trHeight w:val="615"/>
        </w:trPr>
        <w:tc>
          <w:tcPr>
            <w:tcW w:w="787" w:type="pct"/>
            <w:vMerge/>
          </w:tcPr>
          <w:p w14:paraId="12556443" w14:textId="77777777" w:rsidR="00B765DC" w:rsidRPr="00DE2B05" w:rsidRDefault="00B765DC" w:rsidP="007A0296">
            <w:pPr>
              <w:pStyle w:val="Tabletext"/>
              <w:rPr>
                <w:rFonts w:asciiTheme="minorHAnsi" w:hAnsiTheme="minorHAnsi" w:cstheme="minorHAnsi"/>
                <w:lang w:val="es-ES"/>
              </w:rPr>
            </w:pPr>
          </w:p>
        </w:tc>
        <w:tc>
          <w:tcPr>
            <w:tcW w:w="2037" w:type="pct"/>
          </w:tcPr>
          <w:p w14:paraId="70F40886" w14:textId="77777777" w:rsidR="00B765DC" w:rsidRPr="00DE2B05" w:rsidRDefault="00B765DC" w:rsidP="00DE2B05">
            <w:pPr>
              <w:pStyle w:val="Tabletext"/>
              <w:rPr>
                <w:lang w:val="es-ES"/>
              </w:rPr>
            </w:pPr>
            <w:r w:rsidRPr="00DE2B05">
              <w:rPr>
                <w:lang w:val="es-ES"/>
              </w:rPr>
              <w:t>En la actualidad, las notificaciones gratuitas no tienen en cuenta las consideraciones de los países en desarrollo y deberían seguir vigentes para apoyarlos, como mínimo, a los países en desarrollo.</w:t>
            </w:r>
          </w:p>
        </w:tc>
        <w:tc>
          <w:tcPr>
            <w:tcW w:w="2176" w:type="pct"/>
          </w:tcPr>
          <w:p w14:paraId="5CF7E0A2" w14:textId="77777777" w:rsidR="00B765DC" w:rsidRPr="00DE2B05" w:rsidRDefault="00B765DC" w:rsidP="00DE2B05">
            <w:pPr>
              <w:pStyle w:val="Tabletext"/>
              <w:rPr>
                <w:lang w:val="es-ES"/>
              </w:rPr>
            </w:pPr>
          </w:p>
        </w:tc>
      </w:tr>
      <w:tr w:rsidR="00B765DC" w:rsidRPr="00B72BEA" w14:paraId="3EEC313E" w14:textId="77777777" w:rsidTr="00B765DC">
        <w:tc>
          <w:tcPr>
            <w:tcW w:w="787" w:type="pct"/>
            <w:vMerge/>
          </w:tcPr>
          <w:p w14:paraId="1B2EC348" w14:textId="77777777" w:rsidR="00B765DC" w:rsidRPr="00DE2B05" w:rsidRDefault="00B765DC" w:rsidP="007A0296">
            <w:pPr>
              <w:pStyle w:val="Tabletext"/>
              <w:rPr>
                <w:rFonts w:asciiTheme="minorHAnsi" w:hAnsiTheme="minorHAnsi" w:cstheme="minorHAnsi"/>
                <w:lang w:val="es-ES"/>
              </w:rPr>
            </w:pPr>
          </w:p>
        </w:tc>
        <w:tc>
          <w:tcPr>
            <w:tcW w:w="2037" w:type="pct"/>
          </w:tcPr>
          <w:p w14:paraId="6C06735A" w14:textId="77777777" w:rsidR="00B765DC" w:rsidRPr="00DE2B05" w:rsidRDefault="00B765DC" w:rsidP="00DE2B05">
            <w:pPr>
              <w:pStyle w:val="Tabletext"/>
              <w:rPr>
                <w:lang w:val="es-ES"/>
              </w:rPr>
            </w:pPr>
            <w:r w:rsidRPr="00DE2B05">
              <w:rPr>
                <w:lang w:val="es-ES"/>
              </w:rPr>
              <w:t xml:space="preserve">Proponer un subsidio de gratuidad para la iniciativa regional de satélites en favor del acceso equitativo. </w:t>
            </w:r>
          </w:p>
        </w:tc>
        <w:tc>
          <w:tcPr>
            <w:tcW w:w="2176" w:type="pct"/>
          </w:tcPr>
          <w:p w14:paraId="4E842780" w14:textId="77777777" w:rsidR="00B765DC" w:rsidRPr="00DE2B05" w:rsidRDefault="00B765DC" w:rsidP="00DE2B05">
            <w:pPr>
              <w:pStyle w:val="Tabletext"/>
              <w:rPr>
                <w:lang w:val="es-ES"/>
              </w:rPr>
            </w:pPr>
            <w:r w:rsidRPr="00DE2B05">
              <w:rPr>
                <w:lang w:val="es-ES"/>
              </w:rPr>
              <w:t>¿Debemos diferenciar entre países desarrollados y en desarrollo?</w:t>
            </w:r>
          </w:p>
        </w:tc>
      </w:tr>
      <w:tr w:rsidR="00B765DC" w:rsidRPr="00DE2B05" w14:paraId="0C9AAB66" w14:textId="77777777" w:rsidTr="00B765DC">
        <w:tc>
          <w:tcPr>
            <w:tcW w:w="787" w:type="pct"/>
            <w:vMerge/>
          </w:tcPr>
          <w:p w14:paraId="0629E5E7" w14:textId="77777777" w:rsidR="00B765DC" w:rsidRPr="00DE2B05" w:rsidRDefault="00B765DC" w:rsidP="007A0296">
            <w:pPr>
              <w:pStyle w:val="Tabletext"/>
              <w:rPr>
                <w:rFonts w:asciiTheme="minorHAnsi" w:hAnsiTheme="minorHAnsi" w:cstheme="minorHAnsi"/>
                <w:lang w:val="es-ES"/>
              </w:rPr>
            </w:pPr>
          </w:p>
        </w:tc>
        <w:tc>
          <w:tcPr>
            <w:tcW w:w="2037" w:type="pct"/>
          </w:tcPr>
          <w:p w14:paraId="1065823F" w14:textId="77777777" w:rsidR="00B765DC" w:rsidRPr="00DE2B05" w:rsidRDefault="00B765DC" w:rsidP="00DE2B05">
            <w:pPr>
              <w:pStyle w:val="Tabletext"/>
              <w:rPr>
                <w:lang w:val="es-ES"/>
              </w:rPr>
            </w:pPr>
            <w:r w:rsidRPr="00DE2B05">
              <w:rPr>
                <w:lang w:val="es-ES"/>
              </w:rPr>
              <w:t xml:space="preserve">La gratuidad de las notificaciones debería aplicarse a sistemas de satélites completos. Excluir las modificaciones de la gratuidad. </w:t>
            </w:r>
          </w:p>
        </w:tc>
        <w:tc>
          <w:tcPr>
            <w:tcW w:w="2176" w:type="pct"/>
          </w:tcPr>
          <w:p w14:paraId="21426EA0" w14:textId="77777777" w:rsidR="00B765DC" w:rsidRPr="00DE2B05" w:rsidRDefault="00B765DC" w:rsidP="00DE2B05">
            <w:pPr>
              <w:pStyle w:val="Tabletext"/>
              <w:rPr>
                <w:lang w:val="es-ES"/>
              </w:rPr>
            </w:pPr>
          </w:p>
        </w:tc>
      </w:tr>
      <w:tr w:rsidR="00B765DC" w:rsidRPr="00B72BEA" w14:paraId="03FE53CE" w14:textId="77777777" w:rsidTr="00B765DC">
        <w:tc>
          <w:tcPr>
            <w:tcW w:w="787" w:type="pct"/>
            <w:vMerge/>
          </w:tcPr>
          <w:p w14:paraId="24AE0F2B" w14:textId="77777777" w:rsidR="00B765DC" w:rsidRPr="00DE2B05" w:rsidRDefault="00B765DC" w:rsidP="007A0296">
            <w:pPr>
              <w:pStyle w:val="Tabletext"/>
              <w:rPr>
                <w:rFonts w:asciiTheme="minorHAnsi" w:hAnsiTheme="minorHAnsi" w:cstheme="minorHAnsi"/>
                <w:lang w:val="es-ES"/>
              </w:rPr>
            </w:pPr>
          </w:p>
        </w:tc>
        <w:tc>
          <w:tcPr>
            <w:tcW w:w="2037" w:type="pct"/>
          </w:tcPr>
          <w:p w14:paraId="4488B76B" w14:textId="77777777" w:rsidR="00B765DC" w:rsidRPr="00DE2B05" w:rsidRDefault="00B765DC" w:rsidP="00DE2B05">
            <w:pPr>
              <w:pStyle w:val="Tabletext"/>
              <w:rPr>
                <w:lang w:val="es-ES"/>
              </w:rPr>
            </w:pPr>
            <w:r w:rsidRPr="00DE2B05">
              <w:rPr>
                <w:lang w:val="es-ES"/>
              </w:rPr>
              <w:t>Proseguir los debates sobre las notificaciones gratuitas mediante consultas con el Grupo de Expertos sobre el Acuerdo 482.</w:t>
            </w:r>
          </w:p>
        </w:tc>
        <w:tc>
          <w:tcPr>
            <w:tcW w:w="2176" w:type="pct"/>
          </w:tcPr>
          <w:p w14:paraId="4BF152B2" w14:textId="77777777" w:rsidR="00B765DC" w:rsidRPr="00DE2B05" w:rsidRDefault="00B765DC" w:rsidP="00DE2B05">
            <w:pPr>
              <w:pStyle w:val="Tabletext"/>
              <w:rPr>
                <w:lang w:val="es-ES"/>
              </w:rPr>
            </w:pPr>
          </w:p>
        </w:tc>
      </w:tr>
      <w:tr w:rsidR="00B765DC" w:rsidRPr="00B72BEA" w14:paraId="419CF340" w14:textId="77777777" w:rsidTr="00B765DC">
        <w:tc>
          <w:tcPr>
            <w:tcW w:w="787" w:type="pct"/>
            <w:vMerge/>
          </w:tcPr>
          <w:p w14:paraId="4EE1B0D8" w14:textId="77777777" w:rsidR="00B765DC" w:rsidRPr="00DE2B05" w:rsidRDefault="00B765DC" w:rsidP="007A0296">
            <w:pPr>
              <w:pStyle w:val="Tabletext"/>
              <w:rPr>
                <w:rFonts w:asciiTheme="minorHAnsi" w:hAnsiTheme="minorHAnsi" w:cstheme="minorHAnsi"/>
                <w:lang w:val="es-ES"/>
              </w:rPr>
            </w:pPr>
          </w:p>
        </w:tc>
        <w:tc>
          <w:tcPr>
            <w:tcW w:w="2037" w:type="pct"/>
          </w:tcPr>
          <w:p w14:paraId="434A3259" w14:textId="77777777" w:rsidR="00B765DC" w:rsidRPr="00DE2B05" w:rsidRDefault="00B765DC" w:rsidP="00DE2B05">
            <w:pPr>
              <w:pStyle w:val="Tabletext"/>
              <w:rPr>
                <w:lang w:val="es-ES"/>
              </w:rPr>
            </w:pPr>
            <w:proofErr w:type="gramStart"/>
            <w:r w:rsidRPr="00DE2B05">
              <w:rPr>
                <w:lang w:val="es-ES"/>
              </w:rPr>
              <w:t>Sugerir</w:t>
            </w:r>
            <w:proofErr w:type="gramEnd"/>
            <w:r w:rsidRPr="00DE2B05">
              <w:rPr>
                <w:lang w:val="es-ES"/>
              </w:rPr>
              <w:t xml:space="preserve"> que la UIT envíe recordatorios anuales a los países, especialmente a los países en desarrollo, para que utilicen sus notificaciones gratuitas.</w:t>
            </w:r>
          </w:p>
        </w:tc>
        <w:tc>
          <w:tcPr>
            <w:tcW w:w="2176" w:type="pct"/>
          </w:tcPr>
          <w:p w14:paraId="107A5F0B" w14:textId="77777777" w:rsidR="00B765DC" w:rsidRPr="00DE2B05" w:rsidRDefault="00B765DC" w:rsidP="00DE2B05">
            <w:pPr>
              <w:pStyle w:val="Tabletext"/>
              <w:rPr>
                <w:lang w:val="es-ES"/>
              </w:rPr>
            </w:pPr>
          </w:p>
        </w:tc>
      </w:tr>
      <w:tr w:rsidR="00B765DC" w:rsidRPr="00B72BEA" w14:paraId="50B8BCA8" w14:textId="77777777" w:rsidTr="00B765DC">
        <w:tc>
          <w:tcPr>
            <w:tcW w:w="787" w:type="pct"/>
            <w:vMerge/>
          </w:tcPr>
          <w:p w14:paraId="3D2CB850" w14:textId="77777777" w:rsidR="00B765DC" w:rsidRPr="00DE2B05" w:rsidRDefault="00B765DC" w:rsidP="007A0296">
            <w:pPr>
              <w:pStyle w:val="Tabletext"/>
              <w:rPr>
                <w:rFonts w:asciiTheme="minorHAnsi" w:hAnsiTheme="minorHAnsi" w:cstheme="minorHAnsi"/>
                <w:lang w:val="es-ES"/>
              </w:rPr>
            </w:pPr>
          </w:p>
        </w:tc>
        <w:tc>
          <w:tcPr>
            <w:tcW w:w="2037" w:type="pct"/>
          </w:tcPr>
          <w:p w14:paraId="77A7BBA3" w14:textId="77777777" w:rsidR="00B765DC" w:rsidRPr="00DE2B05" w:rsidRDefault="00B765DC" w:rsidP="00DE2B05">
            <w:pPr>
              <w:pStyle w:val="Tabletext"/>
              <w:rPr>
                <w:lang w:val="es-ES"/>
              </w:rPr>
            </w:pPr>
            <w:r w:rsidRPr="00DE2B05">
              <w:rPr>
                <w:lang w:val="es-ES"/>
              </w:rPr>
              <w:t xml:space="preserve">Algunos Miembros apoyaron la propuesta de la contribución </w:t>
            </w:r>
            <w:proofErr w:type="spellStart"/>
            <w:r w:rsidRPr="00DE2B05">
              <w:rPr>
                <w:lang w:val="es-ES"/>
              </w:rPr>
              <w:t>multipaís</w:t>
            </w:r>
            <w:proofErr w:type="spellEnd"/>
            <w:r w:rsidRPr="00DE2B05">
              <w:rPr>
                <w:lang w:val="es-ES"/>
              </w:rPr>
              <w:t xml:space="preserve"> para evitar el uso indebido de las notificaciones gratuitas. </w:t>
            </w:r>
          </w:p>
        </w:tc>
        <w:tc>
          <w:tcPr>
            <w:tcW w:w="2176" w:type="pct"/>
          </w:tcPr>
          <w:p w14:paraId="78D64F9A" w14:textId="77777777" w:rsidR="00B765DC" w:rsidRPr="00DE2B05" w:rsidRDefault="00B765DC" w:rsidP="00DE2B05">
            <w:pPr>
              <w:pStyle w:val="Tabletext"/>
              <w:rPr>
                <w:lang w:val="es-ES"/>
              </w:rPr>
            </w:pPr>
          </w:p>
        </w:tc>
      </w:tr>
      <w:tr w:rsidR="00B765DC" w:rsidRPr="00DE2B05" w14:paraId="26CAEEE4" w14:textId="77777777" w:rsidTr="00B765DC">
        <w:tc>
          <w:tcPr>
            <w:tcW w:w="5000" w:type="pct"/>
            <w:gridSpan w:val="3"/>
            <w:shd w:val="clear" w:color="auto" w:fill="EEECE1" w:themeFill="background2"/>
          </w:tcPr>
          <w:p w14:paraId="5A2A60A8" w14:textId="77777777" w:rsidR="00B765DC" w:rsidRPr="00DE2B05" w:rsidRDefault="00B765DC" w:rsidP="00DE2B05">
            <w:pPr>
              <w:pStyle w:val="Tabletext"/>
              <w:rPr>
                <w:b/>
                <w:bCs/>
                <w:lang w:val="es-ES"/>
              </w:rPr>
            </w:pPr>
            <w:r w:rsidRPr="00DE2B05">
              <w:rPr>
                <w:b/>
                <w:bCs/>
                <w:lang w:val="es-ES"/>
              </w:rPr>
              <w:t>Transparencia</w:t>
            </w:r>
          </w:p>
        </w:tc>
      </w:tr>
      <w:tr w:rsidR="00B765DC" w:rsidRPr="00B72BEA" w14:paraId="6778883D" w14:textId="77777777" w:rsidTr="00B765DC">
        <w:tc>
          <w:tcPr>
            <w:tcW w:w="787" w:type="pct"/>
            <w:vMerge w:val="restart"/>
          </w:tcPr>
          <w:p w14:paraId="523B5CD8" w14:textId="77777777" w:rsidR="00B765DC" w:rsidRPr="00DE2B05" w:rsidRDefault="00B765DC" w:rsidP="007A0296">
            <w:pPr>
              <w:pStyle w:val="Tabletext"/>
              <w:rPr>
                <w:rFonts w:asciiTheme="minorHAnsi" w:hAnsiTheme="minorHAnsi" w:cstheme="minorHAnsi"/>
                <w:lang w:val="es-ES"/>
              </w:rPr>
            </w:pPr>
          </w:p>
        </w:tc>
        <w:tc>
          <w:tcPr>
            <w:tcW w:w="2037" w:type="pct"/>
          </w:tcPr>
          <w:p w14:paraId="4A65B744" w14:textId="77777777" w:rsidR="00B765DC" w:rsidRPr="00DE2B05" w:rsidRDefault="00B765DC" w:rsidP="00DE2B05">
            <w:pPr>
              <w:pStyle w:val="Tabletext"/>
              <w:rPr>
                <w:lang w:val="es-ES"/>
              </w:rPr>
            </w:pPr>
            <w:r w:rsidRPr="00DE2B05">
              <w:rPr>
                <w:lang w:val="es-ES"/>
              </w:rPr>
              <w:t>La propuesta de la Secretaría carece de medidas concretas. Fundamentar la metodología propuesta en los datos auditados de las actividades de la BR.</w:t>
            </w:r>
          </w:p>
        </w:tc>
        <w:tc>
          <w:tcPr>
            <w:tcW w:w="2176" w:type="pct"/>
          </w:tcPr>
          <w:p w14:paraId="3B347BA7" w14:textId="77777777" w:rsidR="00B765DC" w:rsidRPr="00DE2B05" w:rsidRDefault="00B765DC" w:rsidP="00DE2B05">
            <w:pPr>
              <w:pStyle w:val="Tabletext"/>
              <w:rPr>
                <w:lang w:val="es-ES"/>
              </w:rPr>
            </w:pPr>
            <w:r w:rsidRPr="00DE2B05">
              <w:rPr>
                <w:lang w:val="es-ES"/>
              </w:rPr>
              <w:t xml:space="preserve">Solicitar aclaraciones sobre los componentes de costos que deben recuperarse en la metodología. Concretamente, sobre cómo determinará la Secretaría las definiciones, los cálculos y las asignaciones de los costes directos e indirectos. </w:t>
            </w:r>
          </w:p>
        </w:tc>
      </w:tr>
      <w:tr w:rsidR="00B765DC" w:rsidRPr="00B72BEA" w14:paraId="79CD2B09" w14:textId="77777777" w:rsidTr="00B765DC">
        <w:tc>
          <w:tcPr>
            <w:tcW w:w="787" w:type="pct"/>
            <w:vMerge/>
          </w:tcPr>
          <w:p w14:paraId="160F6C72" w14:textId="77777777" w:rsidR="00B765DC" w:rsidRPr="00DE2B05" w:rsidRDefault="00B765DC" w:rsidP="007A0296">
            <w:pPr>
              <w:pStyle w:val="Tabletext"/>
              <w:rPr>
                <w:rFonts w:asciiTheme="minorHAnsi" w:hAnsiTheme="minorHAnsi" w:cstheme="minorHAnsi"/>
                <w:lang w:val="es-ES"/>
              </w:rPr>
            </w:pPr>
          </w:p>
        </w:tc>
        <w:tc>
          <w:tcPr>
            <w:tcW w:w="2037" w:type="pct"/>
          </w:tcPr>
          <w:p w14:paraId="68C0148C" w14:textId="77777777" w:rsidR="00B765DC" w:rsidRPr="00DE2B05" w:rsidRDefault="00B765DC" w:rsidP="00DE2B05">
            <w:pPr>
              <w:pStyle w:val="Tabletext"/>
              <w:rPr>
                <w:lang w:val="es-ES"/>
              </w:rPr>
            </w:pPr>
            <w:r w:rsidRPr="00DE2B05">
              <w:rPr>
                <w:lang w:val="es-ES"/>
              </w:rPr>
              <w:t>Algunos países indican que todos los costos directos o indirectos deben recuperarse mediante la recuperación de costos, y para que se incluyan los costos la Secretaría debe demostrar la relación entre los gastos generales y la ejecución de las notificaciones de redes de satélites.</w:t>
            </w:r>
          </w:p>
        </w:tc>
        <w:tc>
          <w:tcPr>
            <w:tcW w:w="2176" w:type="pct"/>
          </w:tcPr>
          <w:p w14:paraId="2BE13579" w14:textId="77777777" w:rsidR="00B765DC" w:rsidRPr="00DE2B05" w:rsidRDefault="00B765DC" w:rsidP="00DE2B05">
            <w:pPr>
              <w:pStyle w:val="Tabletext"/>
              <w:rPr>
                <w:lang w:val="es-ES"/>
              </w:rPr>
            </w:pPr>
            <w:r w:rsidRPr="00DE2B05">
              <w:rPr>
                <w:lang w:val="es-ES"/>
              </w:rPr>
              <w:t>¿Cómo tiene previsto la Secretaría cuantificar las mejoras de eficiencia derivadas de la propuesta de reforma de las notificaciones de redes de satélites e informar al respecto?</w:t>
            </w:r>
          </w:p>
        </w:tc>
      </w:tr>
      <w:tr w:rsidR="00B765DC" w:rsidRPr="00DE2B05" w14:paraId="0F380CB0" w14:textId="77777777" w:rsidTr="00B765DC">
        <w:tc>
          <w:tcPr>
            <w:tcW w:w="787" w:type="pct"/>
            <w:vMerge/>
          </w:tcPr>
          <w:p w14:paraId="4EF8EE6E" w14:textId="77777777" w:rsidR="00B765DC" w:rsidRPr="00DE2B05" w:rsidRDefault="00B765DC" w:rsidP="007A0296">
            <w:pPr>
              <w:pStyle w:val="Tabletext"/>
              <w:rPr>
                <w:rFonts w:asciiTheme="minorHAnsi" w:hAnsiTheme="minorHAnsi" w:cstheme="minorHAnsi"/>
                <w:lang w:val="es-ES"/>
              </w:rPr>
            </w:pPr>
          </w:p>
        </w:tc>
        <w:tc>
          <w:tcPr>
            <w:tcW w:w="2037" w:type="pct"/>
          </w:tcPr>
          <w:p w14:paraId="3EDFDD09" w14:textId="77777777" w:rsidR="00B765DC" w:rsidRPr="00DE2B05" w:rsidRDefault="00B765DC" w:rsidP="00DE2B05">
            <w:pPr>
              <w:pStyle w:val="Tabletext"/>
              <w:rPr>
                <w:lang w:val="es-ES"/>
              </w:rPr>
            </w:pPr>
            <w:r w:rsidRPr="00DE2B05">
              <w:rPr>
                <w:lang w:val="es-ES"/>
              </w:rPr>
              <w:t xml:space="preserve">Res. 91 no se mencionan los costos de capital, como la depreciación. </w:t>
            </w:r>
          </w:p>
        </w:tc>
        <w:tc>
          <w:tcPr>
            <w:tcW w:w="2176" w:type="pct"/>
          </w:tcPr>
          <w:p w14:paraId="2D2F6B67" w14:textId="77777777" w:rsidR="00B765DC" w:rsidRPr="00DE2B05" w:rsidRDefault="00B765DC" w:rsidP="00DE2B05">
            <w:pPr>
              <w:pStyle w:val="Tabletext"/>
              <w:rPr>
                <w:lang w:val="es-ES"/>
              </w:rPr>
            </w:pPr>
            <w:r w:rsidRPr="00DE2B05">
              <w:rPr>
                <w:lang w:val="es-ES"/>
              </w:rPr>
              <w:t>¿Los gastos de capital son costos directos o indirectos? ¿Por qué se incluirían?</w:t>
            </w:r>
          </w:p>
        </w:tc>
      </w:tr>
      <w:tr w:rsidR="00B765DC" w:rsidRPr="00B72BEA" w14:paraId="776D02A8" w14:textId="77777777" w:rsidTr="00B765DC">
        <w:trPr>
          <w:trHeight w:val="300"/>
        </w:trPr>
        <w:tc>
          <w:tcPr>
            <w:tcW w:w="787" w:type="pct"/>
          </w:tcPr>
          <w:p w14:paraId="744B6D3D" w14:textId="77777777" w:rsidR="00B765DC" w:rsidRPr="00DE2B05" w:rsidRDefault="00B765DC" w:rsidP="007A0296">
            <w:pPr>
              <w:pStyle w:val="Tabletext"/>
              <w:rPr>
                <w:rFonts w:asciiTheme="minorHAnsi" w:hAnsiTheme="minorHAnsi" w:cstheme="minorHAnsi"/>
                <w:lang w:val="es-ES"/>
              </w:rPr>
            </w:pPr>
          </w:p>
        </w:tc>
        <w:tc>
          <w:tcPr>
            <w:tcW w:w="2037" w:type="pct"/>
          </w:tcPr>
          <w:p w14:paraId="0CAAAAEF" w14:textId="77777777" w:rsidR="00B765DC" w:rsidRPr="00DE2B05" w:rsidRDefault="00B765DC" w:rsidP="00DE2B05">
            <w:pPr>
              <w:pStyle w:val="Tabletext"/>
              <w:rPr>
                <w:lang w:val="es-ES"/>
              </w:rPr>
            </w:pPr>
            <w:r w:rsidRPr="00DE2B05">
              <w:rPr>
                <w:lang w:val="es-ES"/>
              </w:rPr>
              <w:t xml:space="preserve">Algunos Miembros expresaron su preocupación por que unas pocas entidades multinacionales puedan beneficiarse de la gratuidad de las notificaciones. </w:t>
            </w:r>
          </w:p>
        </w:tc>
        <w:tc>
          <w:tcPr>
            <w:tcW w:w="2176" w:type="pct"/>
          </w:tcPr>
          <w:p w14:paraId="0A6C4A5A" w14:textId="77777777" w:rsidR="00B765DC" w:rsidRPr="00DE2B05" w:rsidRDefault="00B765DC" w:rsidP="00DE2B05">
            <w:pPr>
              <w:pStyle w:val="Tabletext"/>
              <w:rPr>
                <w:lang w:val="es-ES"/>
              </w:rPr>
            </w:pPr>
            <w:r w:rsidRPr="00DE2B05">
              <w:rPr>
                <w:lang w:val="es-ES"/>
              </w:rPr>
              <w:t>¿Cuáles son las repercusiones financieras de la existencia de varias notificaciones gratuitas para la misma constelación de satélites?</w:t>
            </w:r>
          </w:p>
        </w:tc>
      </w:tr>
      <w:tr w:rsidR="00B765DC" w:rsidRPr="00DE2B05" w14:paraId="60C6AE20" w14:textId="77777777" w:rsidTr="00B765DC">
        <w:tc>
          <w:tcPr>
            <w:tcW w:w="5000" w:type="pct"/>
            <w:gridSpan w:val="3"/>
            <w:shd w:val="clear" w:color="auto" w:fill="EEECE1" w:themeFill="background2"/>
          </w:tcPr>
          <w:p w14:paraId="2C0BEE6E" w14:textId="77777777" w:rsidR="00B765DC" w:rsidRPr="00DE2B05" w:rsidRDefault="00B765DC" w:rsidP="00DE2B05">
            <w:pPr>
              <w:pStyle w:val="Tabletext"/>
              <w:rPr>
                <w:b/>
                <w:bCs/>
                <w:lang w:val="es-ES"/>
              </w:rPr>
            </w:pPr>
            <w:r w:rsidRPr="00DE2B05">
              <w:rPr>
                <w:b/>
                <w:bCs/>
                <w:lang w:val="es-ES"/>
              </w:rPr>
              <w:t>Estructura de tasas predecible</w:t>
            </w:r>
          </w:p>
        </w:tc>
      </w:tr>
      <w:tr w:rsidR="00B765DC" w:rsidRPr="00B72BEA" w14:paraId="75F305F0" w14:textId="77777777" w:rsidTr="00B765DC">
        <w:tc>
          <w:tcPr>
            <w:tcW w:w="787" w:type="pct"/>
          </w:tcPr>
          <w:p w14:paraId="4112FC5C" w14:textId="77777777" w:rsidR="00B765DC" w:rsidRPr="00DE2B05" w:rsidRDefault="00B765DC" w:rsidP="00DE2B05">
            <w:pPr>
              <w:pStyle w:val="Tabletext"/>
              <w:rPr>
                <w:lang w:val="es-ES"/>
              </w:rPr>
            </w:pPr>
          </w:p>
        </w:tc>
        <w:tc>
          <w:tcPr>
            <w:tcW w:w="2037" w:type="pct"/>
          </w:tcPr>
          <w:p w14:paraId="10681D22" w14:textId="77777777" w:rsidR="00B765DC" w:rsidRPr="00DE2B05" w:rsidRDefault="00B765DC" w:rsidP="00DE2B05">
            <w:pPr>
              <w:pStyle w:val="Tabletext"/>
              <w:rPr>
                <w:lang w:val="es-ES"/>
              </w:rPr>
            </w:pPr>
            <w:r w:rsidRPr="00DE2B05">
              <w:rPr>
                <w:lang w:val="es-ES"/>
              </w:rPr>
              <w:t xml:space="preserve">Los Estados Miembros parecen estar de acuerdo en que las fluctuaciones importantes impiden la planificación de las redes de satélite. </w:t>
            </w:r>
          </w:p>
        </w:tc>
        <w:tc>
          <w:tcPr>
            <w:tcW w:w="2176" w:type="pct"/>
          </w:tcPr>
          <w:p w14:paraId="05324E50" w14:textId="77777777" w:rsidR="00B765DC" w:rsidRPr="00DE2B05" w:rsidRDefault="00B765DC" w:rsidP="00DE2B05">
            <w:pPr>
              <w:pStyle w:val="Tabletext"/>
              <w:rPr>
                <w:lang w:val="es-ES"/>
              </w:rPr>
            </w:pPr>
            <w:r w:rsidRPr="00DE2B05">
              <w:rPr>
                <w:lang w:val="es-ES"/>
              </w:rPr>
              <w:t>¿Puede la UIT proponer una alternativa al ajuste anual para la planificación a largo plazo?</w:t>
            </w:r>
          </w:p>
        </w:tc>
      </w:tr>
      <w:tr w:rsidR="00B765DC" w:rsidRPr="00DE2B05" w14:paraId="7E3B423F" w14:textId="77777777" w:rsidTr="00B765DC">
        <w:tc>
          <w:tcPr>
            <w:tcW w:w="5000" w:type="pct"/>
            <w:gridSpan w:val="3"/>
            <w:shd w:val="clear" w:color="auto" w:fill="EEECE1" w:themeFill="background2"/>
          </w:tcPr>
          <w:p w14:paraId="0737AED8" w14:textId="77777777" w:rsidR="00B765DC" w:rsidRPr="00DE2B05" w:rsidRDefault="00B765DC" w:rsidP="00DE2B05">
            <w:pPr>
              <w:pStyle w:val="Tabletext"/>
              <w:rPr>
                <w:b/>
                <w:bCs/>
                <w:lang w:val="es-ES"/>
              </w:rPr>
            </w:pPr>
            <w:r w:rsidRPr="00DE2B05">
              <w:rPr>
                <w:b/>
                <w:bCs/>
                <w:lang w:val="es-ES"/>
              </w:rPr>
              <w:t>Otros</w:t>
            </w:r>
          </w:p>
        </w:tc>
      </w:tr>
      <w:tr w:rsidR="00B765DC" w:rsidRPr="00B72BEA" w14:paraId="14B94D02" w14:textId="77777777" w:rsidTr="00B765DC">
        <w:tc>
          <w:tcPr>
            <w:tcW w:w="787" w:type="pct"/>
            <w:vMerge w:val="restart"/>
          </w:tcPr>
          <w:p w14:paraId="42696A6A" w14:textId="77777777" w:rsidR="00B765DC" w:rsidRPr="00DE2B05" w:rsidRDefault="00B765DC" w:rsidP="00DE2B05">
            <w:pPr>
              <w:pStyle w:val="Tabletext"/>
              <w:rPr>
                <w:lang w:val="es-ES"/>
              </w:rPr>
            </w:pPr>
          </w:p>
        </w:tc>
        <w:tc>
          <w:tcPr>
            <w:tcW w:w="2037" w:type="pct"/>
          </w:tcPr>
          <w:p w14:paraId="61244457" w14:textId="77777777" w:rsidR="00B765DC" w:rsidRPr="00DE2B05" w:rsidRDefault="00B765DC" w:rsidP="00DE2B05">
            <w:pPr>
              <w:pStyle w:val="Tabletext"/>
              <w:rPr>
                <w:lang w:val="es-ES"/>
              </w:rPr>
            </w:pPr>
            <w:r w:rsidRPr="00DE2B05">
              <w:rPr>
                <w:lang w:val="es-ES"/>
              </w:rPr>
              <w:t xml:space="preserve">Algunos temas planteados por los Miembros pueden ser ajenos al mandato o la autoridad del </w:t>
            </w:r>
            <w:proofErr w:type="spellStart"/>
            <w:r w:rsidRPr="00DE2B05">
              <w:rPr>
                <w:lang w:val="es-ES"/>
              </w:rPr>
              <w:t>GTC-RHF</w:t>
            </w:r>
            <w:proofErr w:type="spellEnd"/>
            <w:r w:rsidRPr="00DE2B05">
              <w:rPr>
                <w:lang w:val="es-ES"/>
              </w:rPr>
              <w:t xml:space="preserve"> y la PP debería decidir sobre ellos.</w:t>
            </w:r>
          </w:p>
        </w:tc>
        <w:tc>
          <w:tcPr>
            <w:tcW w:w="2176" w:type="pct"/>
          </w:tcPr>
          <w:p w14:paraId="475EA3A8" w14:textId="77777777" w:rsidR="00B765DC" w:rsidRPr="00DE2B05" w:rsidRDefault="00B765DC" w:rsidP="00DE2B05">
            <w:pPr>
              <w:pStyle w:val="Tabletext"/>
              <w:rPr>
                <w:lang w:val="es-ES"/>
              </w:rPr>
            </w:pPr>
            <w:r w:rsidRPr="00DE2B05">
              <w:rPr>
                <w:lang w:val="es-ES"/>
              </w:rPr>
              <w:t xml:space="preserve">¿Qué recomendaciones se presentarán al Consejo? </w:t>
            </w:r>
          </w:p>
        </w:tc>
      </w:tr>
      <w:tr w:rsidR="00B765DC" w:rsidRPr="00B72BEA" w14:paraId="61BE7B4B" w14:textId="77777777" w:rsidTr="00B765DC">
        <w:tc>
          <w:tcPr>
            <w:tcW w:w="787" w:type="pct"/>
            <w:vMerge/>
          </w:tcPr>
          <w:p w14:paraId="23CC0B90" w14:textId="77777777" w:rsidR="00B765DC" w:rsidRPr="00DE2B05" w:rsidRDefault="00B765DC" w:rsidP="00DE2B05">
            <w:pPr>
              <w:pStyle w:val="Tabletext"/>
              <w:rPr>
                <w:lang w:val="es-ES"/>
              </w:rPr>
            </w:pPr>
          </w:p>
        </w:tc>
        <w:tc>
          <w:tcPr>
            <w:tcW w:w="2037" w:type="pct"/>
          </w:tcPr>
          <w:p w14:paraId="65E451E0" w14:textId="77777777" w:rsidR="00B765DC" w:rsidRPr="00DE2B05" w:rsidRDefault="00B765DC" w:rsidP="00DE2B05">
            <w:pPr>
              <w:pStyle w:val="Tabletext"/>
              <w:rPr>
                <w:lang w:val="es-ES"/>
              </w:rPr>
            </w:pPr>
            <w:r w:rsidRPr="00DE2B05">
              <w:rPr>
                <w:lang w:val="es-ES"/>
              </w:rPr>
              <w:t xml:space="preserve">Apoyo mixto a favor y en contra de la reactivación del Grupo de Expertos sobre el Acuerdo 482. </w:t>
            </w:r>
          </w:p>
        </w:tc>
        <w:tc>
          <w:tcPr>
            <w:tcW w:w="2176" w:type="pct"/>
          </w:tcPr>
          <w:p w14:paraId="0325F1EB" w14:textId="77777777" w:rsidR="00B765DC" w:rsidRPr="00DE2B05" w:rsidRDefault="00B765DC" w:rsidP="00DE2B05">
            <w:pPr>
              <w:pStyle w:val="Tabletext"/>
              <w:rPr>
                <w:lang w:val="es-ES"/>
              </w:rPr>
            </w:pPr>
            <w:r w:rsidRPr="00DE2B05">
              <w:rPr>
                <w:lang w:val="es-ES"/>
              </w:rPr>
              <w:t xml:space="preserve">¿Existe un plan de contingencia de costes para desbloquear los 5,5 millones de ingresos de </w:t>
            </w:r>
            <w:proofErr w:type="spellStart"/>
            <w:r w:rsidRPr="00DE2B05">
              <w:rPr>
                <w:lang w:val="es-ES"/>
              </w:rPr>
              <w:t>SNF</w:t>
            </w:r>
            <w:proofErr w:type="spellEnd"/>
            <w:r w:rsidRPr="00DE2B05">
              <w:rPr>
                <w:lang w:val="es-ES"/>
              </w:rPr>
              <w:t xml:space="preserve"> diferidos?</w:t>
            </w:r>
          </w:p>
        </w:tc>
      </w:tr>
      <w:tr w:rsidR="00B765DC" w:rsidRPr="00B72BEA" w14:paraId="3E042544" w14:textId="77777777" w:rsidTr="00B765DC">
        <w:tc>
          <w:tcPr>
            <w:tcW w:w="787" w:type="pct"/>
            <w:vMerge/>
          </w:tcPr>
          <w:p w14:paraId="638CCB8E" w14:textId="77777777" w:rsidR="00B765DC" w:rsidRPr="00DE2B05" w:rsidRDefault="00B765DC" w:rsidP="00DE2B05">
            <w:pPr>
              <w:pStyle w:val="Tabletext"/>
              <w:rPr>
                <w:lang w:val="es-ES"/>
              </w:rPr>
            </w:pPr>
          </w:p>
        </w:tc>
        <w:tc>
          <w:tcPr>
            <w:tcW w:w="2037" w:type="pct"/>
          </w:tcPr>
          <w:p w14:paraId="2B69F93A" w14:textId="77777777" w:rsidR="00B765DC" w:rsidRPr="00DE2B05" w:rsidRDefault="00B765DC" w:rsidP="008722D0">
            <w:pPr>
              <w:pStyle w:val="Tabletext"/>
              <w:keepNext/>
              <w:keepLines/>
              <w:rPr>
                <w:lang w:val="es-ES"/>
              </w:rPr>
            </w:pPr>
            <w:r w:rsidRPr="00DE2B05">
              <w:rPr>
                <w:lang w:val="es-ES"/>
              </w:rPr>
              <w:t>No apoya la inclusión de las contribuciones sobre gobernanza de las conferencias y asambleas del UIT-T y el UIT-D. Se propone limitar estos elementos a la PP, el Consejo y el UIT</w:t>
            </w:r>
            <w:r w:rsidRPr="00DE2B05">
              <w:rPr>
                <w:lang w:val="es-ES"/>
              </w:rPr>
              <w:noBreakHyphen/>
              <w:t>R.</w:t>
            </w:r>
          </w:p>
        </w:tc>
        <w:tc>
          <w:tcPr>
            <w:tcW w:w="2176" w:type="pct"/>
          </w:tcPr>
          <w:p w14:paraId="1B8AFC77" w14:textId="77777777" w:rsidR="00B765DC" w:rsidRPr="00DE2B05" w:rsidRDefault="00B765DC" w:rsidP="00DE2B05">
            <w:pPr>
              <w:pStyle w:val="Tabletext"/>
              <w:rPr>
                <w:lang w:val="es-ES"/>
              </w:rPr>
            </w:pPr>
          </w:p>
        </w:tc>
      </w:tr>
      <w:tr w:rsidR="00B765DC" w:rsidRPr="00B72BEA" w14:paraId="07F7F605" w14:textId="77777777" w:rsidTr="00B765DC">
        <w:tc>
          <w:tcPr>
            <w:tcW w:w="787" w:type="pct"/>
            <w:vMerge/>
          </w:tcPr>
          <w:p w14:paraId="401678D8" w14:textId="77777777" w:rsidR="00B765DC" w:rsidRPr="00DE2B05" w:rsidRDefault="00B765DC" w:rsidP="007A0296">
            <w:pPr>
              <w:pStyle w:val="Tabletext"/>
              <w:rPr>
                <w:rFonts w:asciiTheme="minorHAnsi" w:hAnsiTheme="minorHAnsi" w:cstheme="minorHAnsi"/>
                <w:lang w:val="es-ES"/>
              </w:rPr>
            </w:pPr>
          </w:p>
        </w:tc>
        <w:tc>
          <w:tcPr>
            <w:tcW w:w="2037" w:type="pct"/>
          </w:tcPr>
          <w:p w14:paraId="3926D9D3" w14:textId="77777777" w:rsidR="00B765DC" w:rsidRPr="00DE2B05" w:rsidRDefault="00B765DC" w:rsidP="00DE2B05">
            <w:pPr>
              <w:pStyle w:val="Tabletext"/>
              <w:rPr>
                <w:lang w:val="es-ES"/>
              </w:rPr>
            </w:pPr>
            <w:r w:rsidRPr="00DE2B05">
              <w:rPr>
                <w:lang w:val="es-ES"/>
              </w:rPr>
              <w:t xml:space="preserve">Recomendaciones para mejorar el documento de la Secretaría de cara a la reunión de 2026 del Consejo mediante la inclusión de elementos del Informe de la DCI de 2025. </w:t>
            </w:r>
          </w:p>
        </w:tc>
        <w:tc>
          <w:tcPr>
            <w:tcW w:w="2176" w:type="pct"/>
          </w:tcPr>
          <w:p w14:paraId="227F47F3" w14:textId="77777777" w:rsidR="00B765DC" w:rsidRPr="00DE2B05" w:rsidRDefault="00B765DC" w:rsidP="00DE2B05">
            <w:pPr>
              <w:pStyle w:val="Tabletext"/>
              <w:rPr>
                <w:lang w:val="es-ES"/>
              </w:rPr>
            </w:pPr>
          </w:p>
        </w:tc>
      </w:tr>
      <w:tr w:rsidR="00B765DC" w:rsidRPr="00B72BEA" w14:paraId="0633E395" w14:textId="77777777" w:rsidTr="00B765DC">
        <w:tc>
          <w:tcPr>
            <w:tcW w:w="787" w:type="pct"/>
            <w:vMerge/>
          </w:tcPr>
          <w:p w14:paraId="4EA5CEE5" w14:textId="77777777" w:rsidR="00B765DC" w:rsidRPr="00DE2B05" w:rsidRDefault="00B765DC" w:rsidP="007A0296">
            <w:pPr>
              <w:pStyle w:val="Tabletext"/>
              <w:rPr>
                <w:rFonts w:asciiTheme="minorHAnsi" w:hAnsiTheme="minorHAnsi" w:cstheme="minorHAnsi"/>
                <w:lang w:val="es-ES"/>
              </w:rPr>
            </w:pPr>
          </w:p>
        </w:tc>
        <w:tc>
          <w:tcPr>
            <w:tcW w:w="2037" w:type="pct"/>
          </w:tcPr>
          <w:p w14:paraId="49FF000E" w14:textId="77777777" w:rsidR="00B765DC" w:rsidRPr="00DE2B05" w:rsidRDefault="00B765DC" w:rsidP="00DE2B05">
            <w:pPr>
              <w:pStyle w:val="Tabletext"/>
              <w:rPr>
                <w:lang w:val="es-ES"/>
              </w:rPr>
            </w:pPr>
            <w:r w:rsidRPr="00DE2B05">
              <w:rPr>
                <w:lang w:val="es-ES"/>
              </w:rPr>
              <w:t xml:space="preserve">Los enfoques de los costes indirectos de los reguladores nacionales y de la UIT no son comparables. </w:t>
            </w:r>
          </w:p>
        </w:tc>
        <w:tc>
          <w:tcPr>
            <w:tcW w:w="2176" w:type="pct"/>
          </w:tcPr>
          <w:p w14:paraId="56B20342" w14:textId="77777777" w:rsidR="00B765DC" w:rsidRPr="00DE2B05" w:rsidRDefault="00B765DC" w:rsidP="00DE2B05">
            <w:pPr>
              <w:pStyle w:val="Tabletext"/>
              <w:rPr>
                <w:lang w:val="es-ES"/>
              </w:rPr>
            </w:pPr>
          </w:p>
        </w:tc>
      </w:tr>
      <w:tr w:rsidR="00B765DC" w:rsidRPr="00B72BEA" w14:paraId="31C36E6F" w14:textId="77777777" w:rsidTr="00B765DC">
        <w:tc>
          <w:tcPr>
            <w:tcW w:w="5000" w:type="pct"/>
            <w:gridSpan w:val="3"/>
            <w:shd w:val="clear" w:color="auto" w:fill="EEECE1" w:themeFill="background2"/>
          </w:tcPr>
          <w:p w14:paraId="0FAE6E20" w14:textId="77777777" w:rsidR="00B765DC" w:rsidRPr="00DE2B05" w:rsidRDefault="00B765DC" w:rsidP="00DE2B05">
            <w:pPr>
              <w:pStyle w:val="Tabletext"/>
              <w:rPr>
                <w:b/>
                <w:bCs/>
                <w:lang w:val="es-ES"/>
              </w:rPr>
            </w:pPr>
            <w:r w:rsidRPr="00DE2B05">
              <w:rPr>
                <w:b/>
                <w:bCs/>
                <w:lang w:val="es-ES"/>
              </w:rPr>
              <w:t>¿Dónde va la recuperación de costes? Tiene que ir a la BR.</w:t>
            </w:r>
          </w:p>
        </w:tc>
      </w:tr>
    </w:tbl>
    <w:p w14:paraId="368F23F6" w14:textId="77777777" w:rsidR="00F92BED" w:rsidRPr="00DE2B05" w:rsidRDefault="00F92BED" w:rsidP="0032202E">
      <w:pPr>
        <w:pStyle w:val="Reasons"/>
        <w:rPr>
          <w:lang w:val="es-ES"/>
        </w:rPr>
      </w:pPr>
    </w:p>
    <w:p w14:paraId="2C635DF3" w14:textId="77777777" w:rsidR="00F92BED" w:rsidRPr="00DE2B05" w:rsidRDefault="00F92BED" w:rsidP="00F92BED">
      <w:pPr>
        <w:jc w:val="center"/>
        <w:rPr>
          <w:lang w:val="es-ES"/>
        </w:rPr>
      </w:pPr>
      <w:r w:rsidRPr="00DE2B05">
        <w:rPr>
          <w:lang w:val="es-ES"/>
        </w:rPr>
        <w:t>______________</w:t>
      </w:r>
    </w:p>
    <w:sectPr w:rsidR="00F92BED" w:rsidRPr="00DE2B05" w:rsidSect="00C538FC">
      <w:headerReference w:type="even" r:id="rId26"/>
      <w:headerReference w:type="default" r:id="rId27"/>
      <w:footerReference w:type="even" r:id="rId28"/>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AB33" w14:textId="77777777" w:rsidR="00827850" w:rsidRDefault="00827850">
      <w:r>
        <w:separator/>
      </w:r>
    </w:p>
  </w:endnote>
  <w:endnote w:type="continuationSeparator" w:id="0">
    <w:p w14:paraId="3685D7FE" w14:textId="77777777" w:rsidR="00827850" w:rsidRDefault="0082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16F" w14:textId="77777777" w:rsidR="008722D0" w:rsidRDefault="00872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E7A825E" w14:textId="77777777" w:rsidTr="00E31DCE">
      <w:trPr>
        <w:jc w:val="center"/>
      </w:trPr>
      <w:tc>
        <w:tcPr>
          <w:tcW w:w="1803" w:type="dxa"/>
          <w:vAlign w:val="center"/>
        </w:tcPr>
        <w:p w14:paraId="2FD42943" w14:textId="41302E40" w:rsidR="003273A4" w:rsidRDefault="002946E2" w:rsidP="003273A4">
          <w:pPr>
            <w:pStyle w:val="Header"/>
            <w:jc w:val="left"/>
            <w:rPr>
              <w:noProof/>
            </w:rPr>
          </w:pPr>
          <w:r>
            <w:rPr>
              <w:noProof/>
            </w:rPr>
            <w:t xml:space="preserve">gDoc </w:t>
          </w:r>
          <w:r w:rsidR="00B765DC" w:rsidRPr="00B765DC">
            <w:rPr>
              <w:noProof/>
            </w:rPr>
            <w:t>2601134</w:t>
          </w:r>
        </w:p>
      </w:tc>
      <w:tc>
        <w:tcPr>
          <w:tcW w:w="8261" w:type="dxa"/>
        </w:tcPr>
        <w:p w14:paraId="793FC521" w14:textId="3D1C96E4" w:rsidR="003273A4" w:rsidRPr="00E06FD5" w:rsidRDefault="003273A4" w:rsidP="008722D0">
          <w:pPr>
            <w:pStyle w:val="Header"/>
            <w:tabs>
              <w:tab w:val="left" w:pos="6172"/>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765DC">
            <w:rPr>
              <w:bCs/>
            </w:rPr>
            <w:t>53</w:t>
          </w:r>
          <w:r w:rsidR="00DE2B05">
            <w:rPr>
              <w:bCs/>
            </w:rPr>
            <w:t>(</w:t>
          </w:r>
          <w:proofErr w:type="spellStart"/>
          <w:r w:rsidR="00DE2B05">
            <w:rPr>
              <w:bCs/>
            </w:rPr>
            <w:t>Rev.</w:t>
          </w:r>
          <w:proofErr w:type="gramStart"/>
          <w:r w:rsidR="00DE2B05">
            <w:rPr>
              <w:bCs/>
            </w:rPr>
            <w:t>1</w:t>
          </w:r>
          <w:proofErr w:type="spellEnd"/>
          <w:r w:rsidR="00DE2B05">
            <w:rPr>
              <w:bCs/>
            </w:rPr>
            <w:t>)</w:t>
          </w:r>
          <w:r w:rsidRPr="00623AE3">
            <w:rPr>
              <w:bCs/>
            </w:rPr>
            <w:t>-</w:t>
          </w:r>
          <w:proofErr w:type="gramEnd"/>
          <w:r>
            <w:rPr>
              <w:bCs/>
            </w:rPr>
            <w:t>S</w:t>
          </w:r>
          <w:r>
            <w:rPr>
              <w:bCs/>
            </w:rPr>
            <w:tab/>
          </w:r>
          <w:r>
            <w:fldChar w:fldCharType="begin"/>
          </w:r>
          <w:r>
            <w:instrText>PAGE</w:instrText>
          </w:r>
          <w:r>
            <w:fldChar w:fldCharType="separate"/>
          </w:r>
          <w:r>
            <w:t>1</w:t>
          </w:r>
          <w:r>
            <w:rPr>
              <w:noProof/>
            </w:rPr>
            <w:fldChar w:fldCharType="end"/>
          </w:r>
        </w:p>
      </w:tc>
    </w:tr>
  </w:tbl>
  <w:p w14:paraId="5CE821E5" w14:textId="77777777" w:rsidR="00760F1C" w:rsidRPr="003273A4" w:rsidRDefault="00760F1C" w:rsidP="003273A4">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04CA145" w14:textId="77777777" w:rsidTr="00E31DCE">
      <w:trPr>
        <w:jc w:val="center"/>
      </w:trPr>
      <w:tc>
        <w:tcPr>
          <w:tcW w:w="1803" w:type="dxa"/>
          <w:vAlign w:val="center"/>
        </w:tcPr>
        <w:p w14:paraId="0D088567" w14:textId="009D8300"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1AF26656" w14:textId="07AE1F8A" w:rsidR="00F24B71" w:rsidRPr="00E06FD5" w:rsidRDefault="00F24B71" w:rsidP="008722D0">
          <w:pPr>
            <w:pStyle w:val="Header"/>
            <w:tabs>
              <w:tab w:val="left" w:pos="6172"/>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765DC">
            <w:rPr>
              <w:bCs/>
            </w:rPr>
            <w:t>53</w:t>
          </w:r>
          <w:r w:rsidR="00DE2B05">
            <w:rPr>
              <w:bCs/>
            </w:rPr>
            <w:t>(</w:t>
          </w:r>
          <w:proofErr w:type="spellStart"/>
          <w:r w:rsidR="00DE2B05">
            <w:rPr>
              <w:bCs/>
            </w:rPr>
            <w:t>Rev.</w:t>
          </w:r>
          <w:proofErr w:type="gramStart"/>
          <w:r w:rsidR="00DE2B05">
            <w:rPr>
              <w:bCs/>
            </w:rPr>
            <w:t>1</w:t>
          </w:r>
          <w:proofErr w:type="spellEnd"/>
          <w:r w:rsidR="00DE2B05">
            <w:rPr>
              <w:bCs/>
            </w:rPr>
            <w:t>)</w:t>
          </w:r>
          <w:r w:rsidRPr="00623AE3">
            <w:rPr>
              <w:bCs/>
            </w:rPr>
            <w:t>-</w:t>
          </w:r>
          <w:proofErr w:type="gramEnd"/>
          <w:r w:rsidR="003273A4">
            <w:rPr>
              <w:bCs/>
            </w:rPr>
            <w:t>S</w:t>
          </w:r>
          <w:r>
            <w:rPr>
              <w:bCs/>
            </w:rPr>
            <w:tab/>
          </w:r>
          <w:r>
            <w:fldChar w:fldCharType="begin"/>
          </w:r>
          <w:r>
            <w:instrText>PAGE</w:instrText>
          </w:r>
          <w:r>
            <w:fldChar w:fldCharType="separate"/>
          </w:r>
          <w:r>
            <w:t>1</w:t>
          </w:r>
          <w:r>
            <w:rPr>
              <w:noProof/>
            </w:rPr>
            <w:fldChar w:fldCharType="end"/>
          </w:r>
        </w:p>
      </w:tc>
    </w:tr>
  </w:tbl>
  <w:p w14:paraId="76D3BE7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A763" w14:textId="77777777" w:rsidR="00827850" w:rsidRDefault="00827850">
      <w:r>
        <w:t>____________________</w:t>
      </w:r>
    </w:p>
  </w:footnote>
  <w:footnote w:type="continuationSeparator" w:id="0">
    <w:p w14:paraId="10059880" w14:textId="77777777" w:rsidR="00827850" w:rsidRDefault="00827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1BD7" w14:textId="77777777" w:rsidR="008722D0" w:rsidRDefault="00872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FE5A" w14:textId="77777777" w:rsidR="008722D0" w:rsidRDefault="00872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A153" w14:textId="77777777" w:rsidR="001559F5" w:rsidRPr="00B1560D" w:rsidRDefault="00B1560D" w:rsidP="00B1560D">
    <w:pPr>
      <w:pStyle w:val="Header"/>
    </w:pPr>
    <w:r>
      <w:rPr>
        <w:noProof/>
      </w:rPr>
      <w:drawing>
        <wp:inline distT="0" distB="0" distL="0" distR="0" wp14:anchorId="1748FDD1" wp14:editId="663DF78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E00C0"/>
    <w:multiLevelType w:val="hybridMultilevel"/>
    <w:tmpl w:val="E14E1382"/>
    <w:lvl w:ilvl="0" w:tplc="2A101700">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53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BD"/>
    <w:rsid w:val="000007D1"/>
    <w:rsid w:val="00020B2B"/>
    <w:rsid w:val="0006007D"/>
    <w:rsid w:val="00093EEB"/>
    <w:rsid w:val="000B0D00"/>
    <w:rsid w:val="000B7C15"/>
    <w:rsid w:val="000D1D0F"/>
    <w:rsid w:val="000E3F07"/>
    <w:rsid w:val="000F2770"/>
    <w:rsid w:val="000F5290"/>
    <w:rsid w:val="000F5A95"/>
    <w:rsid w:val="0010165C"/>
    <w:rsid w:val="00146BFB"/>
    <w:rsid w:val="001559F5"/>
    <w:rsid w:val="00157AC4"/>
    <w:rsid w:val="0016169C"/>
    <w:rsid w:val="001958F5"/>
    <w:rsid w:val="001B6E2B"/>
    <w:rsid w:val="001D14E7"/>
    <w:rsid w:val="001F14A2"/>
    <w:rsid w:val="00277DEA"/>
    <w:rsid w:val="002801AA"/>
    <w:rsid w:val="002946E2"/>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3056D"/>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C1B1F"/>
    <w:rsid w:val="007E5DD3"/>
    <w:rsid w:val="007F350B"/>
    <w:rsid w:val="00820BE4"/>
    <w:rsid w:val="00827850"/>
    <w:rsid w:val="008451E8"/>
    <w:rsid w:val="0084546D"/>
    <w:rsid w:val="008722D0"/>
    <w:rsid w:val="008D7BBD"/>
    <w:rsid w:val="008F6ABC"/>
    <w:rsid w:val="00913B9C"/>
    <w:rsid w:val="00927F93"/>
    <w:rsid w:val="00956E77"/>
    <w:rsid w:val="009A2CA8"/>
    <w:rsid w:val="009A338E"/>
    <w:rsid w:val="009A3CA3"/>
    <w:rsid w:val="009A76A8"/>
    <w:rsid w:val="009D3592"/>
    <w:rsid w:val="009F4811"/>
    <w:rsid w:val="00A01F4F"/>
    <w:rsid w:val="00A109AF"/>
    <w:rsid w:val="00A85A36"/>
    <w:rsid w:val="00A94438"/>
    <w:rsid w:val="00AA390C"/>
    <w:rsid w:val="00AD5A4D"/>
    <w:rsid w:val="00AF0EAC"/>
    <w:rsid w:val="00B0200A"/>
    <w:rsid w:val="00B060DF"/>
    <w:rsid w:val="00B1560D"/>
    <w:rsid w:val="00B574DB"/>
    <w:rsid w:val="00B72BEA"/>
    <w:rsid w:val="00B765DC"/>
    <w:rsid w:val="00B826C2"/>
    <w:rsid w:val="00B8298E"/>
    <w:rsid w:val="00BB6FD8"/>
    <w:rsid w:val="00BD0723"/>
    <w:rsid w:val="00BD2518"/>
    <w:rsid w:val="00BF1D1C"/>
    <w:rsid w:val="00C04ED0"/>
    <w:rsid w:val="00C20C59"/>
    <w:rsid w:val="00C2727F"/>
    <w:rsid w:val="00C4421B"/>
    <w:rsid w:val="00C538FC"/>
    <w:rsid w:val="00C55B1F"/>
    <w:rsid w:val="00CC1FAF"/>
    <w:rsid w:val="00CF1A67"/>
    <w:rsid w:val="00D2750E"/>
    <w:rsid w:val="00D375E0"/>
    <w:rsid w:val="00D431AE"/>
    <w:rsid w:val="00D50A36"/>
    <w:rsid w:val="00D62446"/>
    <w:rsid w:val="00DA4EA2"/>
    <w:rsid w:val="00DC3D3E"/>
    <w:rsid w:val="00DE2B05"/>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14956"/>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E3D68"/>
  <w15:docId w15:val="{515400BF-2E6A-497E-8DA3-FF261B54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2770"/>
    <w:pPr>
      <w:framePr w:hSpace="181" w:wrap="around" w:vAnchor="page" w:hAnchor="page" w:x="1589" w:y="2314"/>
      <w:spacing w:before="840"/>
    </w:pPr>
    <w:rPr>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2770"/>
    <w:pPr>
      <w:framePr w:hSpace="181" w:wrap="around" w:vAnchor="page" w:hAnchor="page" w:x="1589" w:y="2314"/>
      <w:spacing w:after="160"/>
    </w:pPr>
    <w:rPr>
      <w:sz w:val="32"/>
      <w:szCs w:val="32"/>
      <w:lang w:val="es-ES"/>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B765DC"/>
    <w:pPr>
      <w:ind w:left="720"/>
      <w:contextualSpacing/>
    </w:pPr>
  </w:style>
  <w:style w:type="paragraph" w:styleId="Revision">
    <w:name w:val="Revision"/>
    <w:hidden/>
    <w:uiPriority w:val="99"/>
    <w:semiHidden/>
    <w:rsid w:val="001D14E7"/>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23-CWGFHR16-C-0026/en" TargetMode="External"/><Relationship Id="rId18" Type="http://schemas.openxmlformats.org/officeDocument/2006/relationships/hyperlink" Target="https://www.itu.int/md/S24-CWGFHR19-C-0015/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itu.int/md/S25-CWGFHR20-C-0032/en" TargetMode="External"/><Relationship Id="rId7" Type="http://schemas.openxmlformats.org/officeDocument/2006/relationships/hyperlink" Target="https://www.itu.int/en/council/Documents/basic-texts-2023/DEC-011-S.pdf" TargetMode="External"/><Relationship Id="rId12" Type="http://schemas.openxmlformats.org/officeDocument/2006/relationships/hyperlink" Target="https://www.itu.int/md/S23-CWGFHR16-C-0026/es" TargetMode="External"/><Relationship Id="rId17" Type="http://schemas.openxmlformats.org/officeDocument/2006/relationships/hyperlink" Target="http://www.itu.int/md/S24-CWGFHR18-C-0009/en" TargetMode="External"/><Relationship Id="rId25" Type="http://schemas.openxmlformats.org/officeDocument/2006/relationships/hyperlink" Target="http://www.itu.int/md/S26-CWGFHR22-C-0036/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tu.int/md/S24-CWGFHR18-C-0009/es" TargetMode="External"/><Relationship Id="rId20" Type="http://schemas.openxmlformats.org/officeDocument/2006/relationships/hyperlink" Target="https://www.itu.int/md/S25-CWGFHR20-C-0032/e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3-CL-C-0129/en" TargetMode="External"/><Relationship Id="rId24" Type="http://schemas.openxmlformats.org/officeDocument/2006/relationships/hyperlink" Target="http://www.itu.int/md/S26-CWGFHR22-C-0036/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tu.int/md/S24-CWGFHR17-C-0024/en" TargetMode="External"/><Relationship Id="rId23" Type="http://schemas.openxmlformats.org/officeDocument/2006/relationships/hyperlink" Target="http://www.itu.int/md/S25-CWGFHR21-C-0025/en" TargetMode="External"/><Relationship Id="rId28" Type="http://schemas.openxmlformats.org/officeDocument/2006/relationships/footer" Target="footer1.xml"/><Relationship Id="rId10" Type="http://schemas.openxmlformats.org/officeDocument/2006/relationships/hyperlink" Target="https://www.itu.int/md/S23-CL-C-0129/es" TargetMode="External"/><Relationship Id="rId19" Type="http://schemas.openxmlformats.org/officeDocument/2006/relationships/hyperlink" Target="http://www.itu.int/md/S24-CWGFHR19-C-0015/en"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en/council/cwg-fhr/Pages/default.aspx" TargetMode="External"/><Relationship Id="rId14" Type="http://schemas.openxmlformats.org/officeDocument/2006/relationships/hyperlink" Target="http://www.itu.int/md/S24-CWGFHR17-C-0024/es" TargetMode="External"/><Relationship Id="rId22" Type="http://schemas.openxmlformats.org/officeDocument/2006/relationships/hyperlink" Target="https://www.itu.int/md/S23-CWGFHR16-C-0026/e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itu.int/md/S23-CL-C-0129/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2</TotalTime>
  <Pages>7</Pages>
  <Words>2267</Words>
  <Characters>13700</Characters>
  <Application>Microsoft Office Word</Application>
  <DocSecurity>0</DocSecurity>
  <Lines>370</Lines>
  <Paragraphs>143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cuatrienal del Grupo de Trabajo del Consejo sobre recursos humanos y financieros</vt:lpstr>
    </vt:vector>
  </TitlesOfParts>
  <Manager>Secretaría General - Pool</Manager>
  <Company>International Telecommunication Union</Company>
  <LinksUpToDate>false</LinksUpToDate>
  <CharactersWithSpaces>15824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cuatrienal del Grupo de Trabajo del Consejo sobre recursos humanos y financieros</dc:title>
  <dc:subject>Consejo 2026 de la UIT</dc:subject>
  <cp:keywords>C26; C2026; Council 2026; PP26</cp:keywords>
  <dc:description/>
  <cp:lastPrinted>2006-03-24T09:51:00Z</cp:lastPrinted>
  <dcterms:created xsi:type="dcterms:W3CDTF">2026-05-01T11:34:00Z</dcterms:created>
  <dcterms:modified xsi:type="dcterms:W3CDTF">2026-05-01T11:36:00Z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