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23C34AA" w14:textId="77777777" w:rsidTr="00555C29">
        <w:trPr>
          <w:cantSplit/>
          <w:trHeight w:val="23"/>
        </w:trPr>
        <w:tc>
          <w:tcPr>
            <w:tcW w:w="3969" w:type="dxa"/>
            <w:vMerge w:val="restart"/>
            <w:tcMar>
              <w:left w:w="0" w:type="dxa"/>
            </w:tcMar>
          </w:tcPr>
          <w:p w14:paraId="60054789" w14:textId="0AC781C1"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F928C4">
              <w:rPr>
                <w:b/>
              </w:rPr>
              <w:t>ADM 1</w:t>
            </w:r>
          </w:p>
        </w:tc>
        <w:tc>
          <w:tcPr>
            <w:tcW w:w="5245" w:type="dxa"/>
          </w:tcPr>
          <w:p w14:paraId="45964E07" w14:textId="13069186"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F928C4">
              <w:rPr>
                <w:rFonts w:hint="eastAsia"/>
                <w:b/>
                <w:lang w:val="fr-CH" w:eastAsia="zh-CN"/>
              </w:rPr>
              <w:t>53</w:t>
            </w:r>
            <w:r w:rsidR="00D40EF3">
              <w:rPr>
                <w:rFonts w:hint="eastAsia"/>
                <w:b/>
                <w:lang w:val="fr-CH" w:eastAsia="zh-CN"/>
              </w:rPr>
              <w:t>(</w:t>
            </w:r>
            <w:proofErr w:type="spellStart"/>
            <w:r w:rsidR="00D40EF3">
              <w:rPr>
                <w:rFonts w:hint="eastAsia"/>
                <w:b/>
                <w:lang w:val="fr-CH" w:eastAsia="zh-CN"/>
              </w:rPr>
              <w:t>Rev.</w:t>
            </w:r>
            <w:r w:rsidR="00A17B34">
              <w:rPr>
                <w:rFonts w:hint="eastAsia"/>
                <w:b/>
                <w:lang w:val="fr-CH" w:eastAsia="zh-CN"/>
              </w:rPr>
              <w:t>1</w:t>
            </w:r>
            <w:proofErr w:type="spellEnd"/>
            <w:r w:rsidR="00D40EF3">
              <w:rPr>
                <w:rFonts w:hint="eastAsia"/>
                <w:b/>
                <w:lang w:val="fr-CH" w:eastAsia="zh-CN"/>
              </w:rPr>
              <w:t>)</w:t>
            </w:r>
            <w:r w:rsidRPr="00E24D59">
              <w:rPr>
                <w:b/>
                <w:lang w:val="fr-CH"/>
              </w:rPr>
              <w:t>-C</w:t>
            </w:r>
          </w:p>
        </w:tc>
      </w:tr>
      <w:tr w:rsidR="00E24D59" w:rsidRPr="00813E5E" w14:paraId="6998B4A1" w14:textId="77777777" w:rsidTr="00555C29">
        <w:trPr>
          <w:cantSplit/>
        </w:trPr>
        <w:tc>
          <w:tcPr>
            <w:tcW w:w="3969" w:type="dxa"/>
            <w:vMerge/>
          </w:tcPr>
          <w:p w14:paraId="4ABD3A9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87DB514" w14:textId="3286F07B" w:rsidR="00E24D59" w:rsidRPr="00E85629" w:rsidRDefault="00F928C4"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sidR="00D40EF3">
              <w:rPr>
                <w:rFonts w:hint="eastAsia"/>
                <w:b/>
                <w:lang w:eastAsia="zh-CN"/>
              </w:rPr>
              <w:t>30</w:t>
            </w:r>
            <w:r>
              <w:rPr>
                <w:rFonts w:hint="eastAsia"/>
                <w:b/>
                <w:lang w:eastAsia="zh-CN"/>
              </w:rPr>
              <w:t>日</w:t>
            </w:r>
          </w:p>
        </w:tc>
      </w:tr>
      <w:tr w:rsidR="00E24D59" w:rsidRPr="00813E5E" w14:paraId="76553DE7" w14:textId="77777777" w:rsidTr="00555C29">
        <w:trPr>
          <w:cantSplit/>
          <w:trHeight w:val="23"/>
        </w:trPr>
        <w:tc>
          <w:tcPr>
            <w:tcW w:w="3969" w:type="dxa"/>
            <w:vMerge/>
          </w:tcPr>
          <w:p w14:paraId="225661B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6EEE85E" w14:textId="59494C42"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F928C4" w:rsidRPr="00F928C4">
              <w:rPr>
                <w:rFonts w:cstheme="minorHAnsi" w:hint="eastAsia"/>
                <w:b/>
                <w:bCs/>
                <w:lang w:val="ru-RU" w:eastAsia="zh-CN"/>
              </w:rPr>
              <w:t>英文</w:t>
            </w:r>
          </w:p>
        </w:tc>
      </w:tr>
      <w:tr w:rsidR="00E24D59" w:rsidRPr="00813E5E" w14:paraId="3FAB9B6E" w14:textId="77777777" w:rsidTr="00555C29">
        <w:trPr>
          <w:cantSplit/>
          <w:trHeight w:val="23"/>
        </w:trPr>
        <w:tc>
          <w:tcPr>
            <w:tcW w:w="3969" w:type="dxa"/>
          </w:tcPr>
          <w:p w14:paraId="3F34CC5E" w14:textId="77777777" w:rsidR="00E24D59" w:rsidRPr="00813E5E" w:rsidRDefault="00E24D59" w:rsidP="00555C29">
            <w:pPr>
              <w:tabs>
                <w:tab w:val="left" w:pos="851"/>
              </w:tabs>
              <w:spacing w:line="240" w:lineRule="atLeast"/>
              <w:rPr>
                <w:b/>
              </w:rPr>
            </w:pPr>
          </w:p>
        </w:tc>
        <w:tc>
          <w:tcPr>
            <w:tcW w:w="5245" w:type="dxa"/>
          </w:tcPr>
          <w:p w14:paraId="6790F8F4" w14:textId="77777777" w:rsidR="00E24D59" w:rsidRDefault="00E24D59" w:rsidP="00555C29">
            <w:pPr>
              <w:tabs>
                <w:tab w:val="left" w:pos="851"/>
              </w:tabs>
              <w:spacing w:before="0" w:line="240" w:lineRule="atLeast"/>
              <w:jc w:val="right"/>
              <w:rPr>
                <w:b/>
              </w:rPr>
            </w:pPr>
          </w:p>
        </w:tc>
      </w:tr>
      <w:tr w:rsidR="00E24D59" w:rsidRPr="00813E5E" w14:paraId="252F8C0A" w14:textId="77777777" w:rsidTr="00555C29">
        <w:trPr>
          <w:cantSplit/>
        </w:trPr>
        <w:tc>
          <w:tcPr>
            <w:tcW w:w="9214" w:type="dxa"/>
            <w:gridSpan w:val="2"/>
            <w:tcMar>
              <w:left w:w="0" w:type="dxa"/>
            </w:tcMar>
          </w:tcPr>
          <w:p w14:paraId="3576AF4A" w14:textId="2B3A0189" w:rsidR="00E24D59" w:rsidRPr="00C24DAC" w:rsidRDefault="00521703" w:rsidP="00C24DAC">
            <w:pPr>
              <w:pStyle w:val="Source"/>
              <w:framePr w:hSpace="0" w:wrap="auto" w:vAnchor="margin" w:hAnchor="text" w:xAlign="left" w:yAlign="inline"/>
            </w:pPr>
            <w:bookmarkStart w:id="5" w:name="dsource" w:colFirst="0" w:colLast="0"/>
            <w:bookmarkEnd w:id="4"/>
            <w:r w:rsidRPr="00521703">
              <w:rPr>
                <w:rFonts w:hint="eastAsia"/>
              </w:rPr>
              <w:t>CWG-FHR</w:t>
            </w:r>
            <w:r w:rsidRPr="00521703">
              <w:rPr>
                <w:rFonts w:hint="eastAsia"/>
              </w:rPr>
              <w:t>主席的报告</w:t>
            </w:r>
          </w:p>
        </w:tc>
      </w:tr>
      <w:tr w:rsidR="00E24D59" w:rsidRPr="00813E5E" w14:paraId="50F177FE" w14:textId="77777777" w:rsidTr="00555C29">
        <w:trPr>
          <w:cantSplit/>
        </w:trPr>
        <w:tc>
          <w:tcPr>
            <w:tcW w:w="9214" w:type="dxa"/>
            <w:gridSpan w:val="2"/>
            <w:tcMar>
              <w:left w:w="0" w:type="dxa"/>
            </w:tcMar>
          </w:tcPr>
          <w:p w14:paraId="2C1C3386" w14:textId="2658424F" w:rsidR="00E24D59" w:rsidRPr="00C24DAC" w:rsidRDefault="00521703" w:rsidP="00C24DAC">
            <w:pPr>
              <w:pStyle w:val="Subtitle"/>
              <w:framePr w:hSpace="0" w:wrap="auto" w:vAnchor="margin" w:hAnchor="text" w:xAlign="left" w:yAlign="inline"/>
            </w:pPr>
            <w:bookmarkStart w:id="6" w:name="dtitle1" w:colFirst="0" w:colLast="0"/>
            <w:bookmarkEnd w:id="5"/>
            <w:r w:rsidRPr="00521703">
              <w:rPr>
                <w:rFonts w:hint="eastAsia"/>
              </w:rPr>
              <w:t>理事会财务和人力资源工作组的四年期报告</w:t>
            </w:r>
          </w:p>
        </w:tc>
      </w:tr>
      <w:tr w:rsidR="00E24D59" w:rsidRPr="00813E5E" w14:paraId="11B8B3C1" w14:textId="77777777" w:rsidTr="00555C29">
        <w:trPr>
          <w:cantSplit/>
        </w:trPr>
        <w:tc>
          <w:tcPr>
            <w:tcW w:w="9214" w:type="dxa"/>
            <w:gridSpan w:val="2"/>
            <w:tcBorders>
              <w:top w:val="single" w:sz="4" w:space="0" w:color="auto"/>
              <w:bottom w:val="single" w:sz="4" w:space="0" w:color="auto"/>
            </w:tcBorders>
            <w:tcMar>
              <w:left w:w="0" w:type="dxa"/>
            </w:tcMar>
          </w:tcPr>
          <w:p w14:paraId="5A951CB8" w14:textId="0321D67F" w:rsidR="003F086E" w:rsidRPr="00477D57" w:rsidRDefault="003F086E" w:rsidP="00555C29">
            <w:pPr>
              <w:rPr>
                <w:b/>
                <w:bCs/>
                <w:lang w:eastAsia="zh-CN"/>
              </w:rPr>
            </w:pPr>
            <w:r w:rsidRPr="00477D57">
              <w:rPr>
                <w:b/>
                <w:bCs/>
                <w:lang w:eastAsia="zh-CN"/>
              </w:rPr>
              <w:t>目的</w:t>
            </w:r>
          </w:p>
          <w:p w14:paraId="5C079C5B" w14:textId="77777777" w:rsidR="00521703" w:rsidRPr="00165724" w:rsidRDefault="00521703" w:rsidP="00521703">
            <w:pPr>
              <w:ind w:firstLineChars="200" w:firstLine="480"/>
              <w:rPr>
                <w:rFonts w:cs="Calibri"/>
                <w:lang w:eastAsia="zh-CN"/>
              </w:rPr>
            </w:pPr>
            <w:r w:rsidRPr="00165724">
              <w:rPr>
                <w:rFonts w:cs="Calibri" w:hint="eastAsia"/>
                <w:lang w:eastAsia="zh-CN"/>
              </w:rPr>
              <w:t>根据全权代表大会第</w:t>
            </w:r>
            <w:r w:rsidRPr="00165724">
              <w:rPr>
                <w:rFonts w:cs="Calibri" w:hint="eastAsia"/>
                <w:lang w:eastAsia="zh-CN"/>
              </w:rPr>
              <w:t>11</w:t>
            </w:r>
            <w:r w:rsidRPr="00165724">
              <w:rPr>
                <w:rFonts w:cs="Calibri" w:hint="eastAsia"/>
                <w:lang w:eastAsia="zh-CN"/>
              </w:rPr>
              <w:t>号决定（</w:t>
            </w:r>
            <w:r w:rsidRPr="00165724">
              <w:rPr>
                <w:rFonts w:cs="Calibri" w:hint="eastAsia"/>
                <w:lang w:eastAsia="zh-CN"/>
              </w:rPr>
              <w:t>2022</w:t>
            </w:r>
            <w:r w:rsidRPr="00165724">
              <w:rPr>
                <w:rFonts w:cs="Calibri" w:hint="eastAsia"/>
                <w:lang w:eastAsia="zh-CN"/>
              </w:rPr>
              <w:t>年，布加勒斯特，修订版），本文件介绍了理事会财务和人力资源工作组（</w:t>
            </w:r>
            <w:r w:rsidRPr="00165724">
              <w:rPr>
                <w:rFonts w:cs="Calibri" w:hint="eastAsia"/>
                <w:lang w:eastAsia="zh-CN"/>
              </w:rPr>
              <w:t>CWG-FHR</w:t>
            </w:r>
            <w:r w:rsidRPr="00165724">
              <w:rPr>
                <w:rFonts w:cs="Calibri" w:hint="eastAsia"/>
                <w:lang w:eastAsia="zh-CN"/>
              </w:rPr>
              <w:t>）主席向理事会</w:t>
            </w:r>
            <w:r w:rsidRPr="00165724">
              <w:rPr>
                <w:rFonts w:cs="Calibri" w:hint="eastAsia"/>
                <w:lang w:eastAsia="zh-CN"/>
              </w:rPr>
              <w:t>2023</w:t>
            </w:r>
            <w:r w:rsidRPr="00165724">
              <w:rPr>
                <w:rFonts w:cs="Calibri" w:hint="eastAsia"/>
                <w:lang w:eastAsia="zh-CN"/>
              </w:rPr>
              <w:t>年、</w:t>
            </w:r>
            <w:r w:rsidRPr="00165724">
              <w:rPr>
                <w:rFonts w:cs="Calibri" w:hint="eastAsia"/>
                <w:lang w:eastAsia="zh-CN"/>
              </w:rPr>
              <w:t>2024</w:t>
            </w:r>
            <w:r w:rsidRPr="00165724">
              <w:rPr>
                <w:rFonts w:cs="Calibri" w:hint="eastAsia"/>
                <w:lang w:eastAsia="zh-CN"/>
              </w:rPr>
              <w:t>年、</w:t>
            </w:r>
            <w:r w:rsidRPr="00165724">
              <w:rPr>
                <w:rFonts w:cs="Calibri" w:hint="eastAsia"/>
                <w:lang w:eastAsia="zh-CN"/>
              </w:rPr>
              <w:t>2025</w:t>
            </w:r>
            <w:r w:rsidRPr="00165724">
              <w:rPr>
                <w:rFonts w:cs="Calibri" w:hint="eastAsia"/>
                <w:lang w:eastAsia="zh-CN"/>
              </w:rPr>
              <w:t>年和</w:t>
            </w:r>
            <w:r w:rsidRPr="00165724">
              <w:rPr>
                <w:rFonts w:cs="Calibri" w:hint="eastAsia"/>
                <w:lang w:eastAsia="zh-CN"/>
              </w:rPr>
              <w:t>2026</w:t>
            </w:r>
            <w:r w:rsidRPr="00165724">
              <w:rPr>
                <w:rFonts w:cs="Calibri" w:hint="eastAsia"/>
                <w:lang w:eastAsia="zh-CN"/>
              </w:rPr>
              <w:t>年会议提交的四年期报告。</w:t>
            </w:r>
          </w:p>
          <w:p w14:paraId="2B063410" w14:textId="7C6AAC26" w:rsidR="00521703" w:rsidRPr="00165724" w:rsidRDefault="00521703" w:rsidP="00521703">
            <w:pPr>
              <w:ind w:firstLineChars="200" w:firstLine="480"/>
              <w:rPr>
                <w:rFonts w:cs="Calibri"/>
                <w:lang w:eastAsia="zh-CN"/>
              </w:rPr>
            </w:pPr>
            <w:r w:rsidRPr="00165724">
              <w:rPr>
                <w:rFonts w:cs="Calibri" w:hint="eastAsia"/>
                <w:lang w:eastAsia="zh-CN"/>
              </w:rPr>
              <w:t>理事会认识到有必要在理事会各届会议之间研究解决财务和人力资源问题的重要性，特别是那些要求对国际电联的财务法规（《财务规则和财务细则》）以及《人事规则和人事细则》进行审议和可能修改的问题，因此</w:t>
            </w:r>
            <w:r w:rsidR="00F64BCC">
              <w:rPr>
                <w:rFonts w:cs="Calibri" w:hint="eastAsia"/>
                <w:lang w:eastAsia="zh-CN"/>
              </w:rPr>
              <w:t>建议全权代表大会</w:t>
            </w:r>
            <w:r w:rsidRPr="00165724">
              <w:rPr>
                <w:rFonts w:cs="Calibri" w:hint="eastAsia"/>
                <w:lang w:eastAsia="zh-CN"/>
              </w:rPr>
              <w:t>在下一周期保留此工作组。</w:t>
            </w:r>
          </w:p>
          <w:p w14:paraId="1429C5E4" w14:textId="77777777" w:rsidR="003F086E" w:rsidRPr="00165724" w:rsidRDefault="003F086E" w:rsidP="00555C29">
            <w:pPr>
              <w:rPr>
                <w:rFonts w:cs="Calibri"/>
                <w:b/>
                <w:bCs/>
                <w:lang w:eastAsia="zh-CN"/>
              </w:rPr>
            </w:pPr>
            <w:r w:rsidRPr="00165724">
              <w:rPr>
                <w:rFonts w:cs="Calibri"/>
                <w:b/>
                <w:bCs/>
                <w:lang w:eastAsia="zh-CN"/>
              </w:rPr>
              <w:t>理事会需采取的行动</w:t>
            </w:r>
          </w:p>
          <w:p w14:paraId="21998675" w14:textId="28F2D29B" w:rsidR="003F086E" w:rsidRPr="00165724" w:rsidRDefault="00521703" w:rsidP="00521703">
            <w:pPr>
              <w:ind w:firstLineChars="200" w:firstLine="480"/>
              <w:rPr>
                <w:rFonts w:cs="Calibri"/>
                <w:lang w:eastAsia="zh-CN"/>
              </w:rPr>
            </w:pPr>
            <w:r w:rsidRPr="00165724">
              <w:rPr>
                <w:rFonts w:cs="Calibri" w:hint="eastAsia"/>
                <w:lang w:eastAsia="zh-CN"/>
              </w:rPr>
              <w:t>请理事会</w:t>
            </w:r>
            <w:r w:rsidRPr="00B42A51">
              <w:rPr>
                <w:rFonts w:cs="Calibri" w:hint="eastAsia"/>
                <w:b/>
                <w:bCs/>
                <w:lang w:eastAsia="zh-CN"/>
              </w:rPr>
              <w:t>审议</w:t>
            </w:r>
            <w:r w:rsidRPr="00165724">
              <w:rPr>
                <w:rFonts w:cs="Calibri" w:hint="eastAsia"/>
                <w:lang w:eastAsia="zh-CN"/>
              </w:rPr>
              <w:t>本报告并酌情向全权代表大会</w:t>
            </w:r>
            <w:r w:rsidRPr="00BC6260">
              <w:rPr>
                <w:rFonts w:cs="Calibri" w:hint="eastAsia"/>
                <w:b/>
                <w:bCs/>
                <w:lang w:eastAsia="zh-CN"/>
              </w:rPr>
              <w:t>提交</w:t>
            </w:r>
            <w:r w:rsidRPr="00BC6260">
              <w:rPr>
                <w:rFonts w:cs="Calibri" w:hint="eastAsia"/>
                <w:lang w:eastAsia="zh-CN"/>
              </w:rPr>
              <w:t>建议</w:t>
            </w:r>
            <w:r w:rsidRPr="00165724">
              <w:rPr>
                <w:rFonts w:cs="Calibri" w:hint="eastAsia"/>
                <w:lang w:eastAsia="zh-CN"/>
              </w:rPr>
              <w:t>，特别是关于</w:t>
            </w:r>
            <w:r w:rsidRPr="00165724">
              <w:rPr>
                <w:rFonts w:cs="Calibri" w:hint="eastAsia"/>
                <w:lang w:eastAsia="zh-CN"/>
              </w:rPr>
              <w:t>CWG-FHR</w:t>
            </w:r>
            <w:r w:rsidRPr="00165724">
              <w:rPr>
                <w:rFonts w:cs="Calibri" w:hint="eastAsia"/>
                <w:lang w:eastAsia="zh-CN"/>
              </w:rPr>
              <w:t>在今后四年继续开展活动的建议。</w:t>
            </w:r>
          </w:p>
          <w:p w14:paraId="19C80D0C" w14:textId="77777777" w:rsidR="003F086E" w:rsidRPr="00165724" w:rsidRDefault="003F086E" w:rsidP="00555C29">
            <w:pPr>
              <w:rPr>
                <w:rFonts w:cs="Calibri"/>
                <w:b/>
                <w:bCs/>
                <w:lang w:eastAsia="zh-CN"/>
              </w:rPr>
            </w:pPr>
            <w:r w:rsidRPr="00165724">
              <w:rPr>
                <w:rFonts w:cs="Calibri" w:hint="eastAsia"/>
                <w:b/>
                <w:bCs/>
                <w:lang w:eastAsia="zh-CN"/>
              </w:rPr>
              <w:t>与</w:t>
            </w:r>
            <w:r w:rsidRPr="00165724">
              <w:rPr>
                <w:rFonts w:cs="Calibri"/>
                <w:b/>
                <w:bCs/>
                <w:lang w:eastAsia="zh-CN"/>
              </w:rPr>
              <w:t>《战略规划》</w:t>
            </w:r>
            <w:r w:rsidRPr="00165724">
              <w:rPr>
                <w:rFonts w:cs="Calibri" w:hint="eastAsia"/>
                <w:b/>
                <w:bCs/>
                <w:lang w:eastAsia="zh-CN"/>
              </w:rPr>
              <w:t>的关联</w:t>
            </w:r>
          </w:p>
          <w:p w14:paraId="2AA95755" w14:textId="60FC3C3F" w:rsidR="003F086E" w:rsidRPr="00165724" w:rsidRDefault="00521703" w:rsidP="00521703">
            <w:pPr>
              <w:ind w:firstLineChars="200" w:firstLine="480"/>
              <w:rPr>
                <w:rFonts w:cs="Calibri"/>
                <w:lang w:eastAsia="zh-CN"/>
              </w:rPr>
            </w:pPr>
            <w:r w:rsidRPr="00165724">
              <w:rPr>
                <w:rFonts w:cs="Calibri" w:hint="eastAsia"/>
                <w:lang w:eastAsia="zh-CN"/>
              </w:rPr>
              <w:t>召集平台；卓越的人力资源和组织创新。</w:t>
            </w:r>
          </w:p>
          <w:p w14:paraId="3D8826C7" w14:textId="77777777" w:rsidR="003F086E" w:rsidRPr="00165724" w:rsidRDefault="003F086E" w:rsidP="00555C29">
            <w:pPr>
              <w:rPr>
                <w:rFonts w:cs="Calibri"/>
                <w:b/>
                <w:bCs/>
                <w:lang w:eastAsia="zh-CN"/>
              </w:rPr>
            </w:pPr>
            <w:r w:rsidRPr="00165724">
              <w:rPr>
                <w:rFonts w:cs="Calibri"/>
                <w:b/>
                <w:bCs/>
                <w:lang w:eastAsia="zh-CN"/>
              </w:rPr>
              <w:t>财务影响</w:t>
            </w:r>
          </w:p>
          <w:p w14:paraId="2B448466" w14:textId="5D16684E" w:rsidR="008F64AD" w:rsidRPr="00165724" w:rsidRDefault="00521703" w:rsidP="00521703">
            <w:pPr>
              <w:ind w:firstLineChars="200" w:firstLine="480"/>
              <w:rPr>
                <w:rFonts w:cs="Calibri"/>
                <w:lang w:eastAsia="zh-CN"/>
              </w:rPr>
            </w:pPr>
            <w:r w:rsidRPr="00165724">
              <w:rPr>
                <w:rFonts w:cs="Calibri" w:hint="eastAsia"/>
                <w:lang w:eastAsia="zh-CN"/>
              </w:rPr>
              <w:t>在</w:t>
            </w:r>
            <w:r w:rsidRPr="00165724">
              <w:rPr>
                <w:rFonts w:cs="Calibri" w:hint="eastAsia"/>
                <w:lang w:eastAsia="zh-CN"/>
              </w:rPr>
              <w:t>2022-2023</w:t>
            </w:r>
            <w:r w:rsidRPr="00165724">
              <w:rPr>
                <w:rFonts w:cs="Calibri" w:hint="eastAsia"/>
                <w:lang w:eastAsia="zh-CN"/>
              </w:rPr>
              <w:t>年、</w:t>
            </w:r>
            <w:r w:rsidRPr="00165724">
              <w:rPr>
                <w:rFonts w:cs="Calibri" w:hint="eastAsia"/>
                <w:lang w:eastAsia="zh-CN"/>
              </w:rPr>
              <w:t>2024-2025</w:t>
            </w:r>
            <w:r w:rsidRPr="00165724">
              <w:rPr>
                <w:rFonts w:cs="Calibri" w:hint="eastAsia"/>
                <w:lang w:eastAsia="zh-CN"/>
              </w:rPr>
              <w:t>年和</w:t>
            </w:r>
            <w:r w:rsidRPr="00165724">
              <w:rPr>
                <w:rFonts w:cs="Calibri" w:hint="eastAsia"/>
                <w:lang w:eastAsia="zh-CN"/>
              </w:rPr>
              <w:t>2026-2027</w:t>
            </w:r>
            <w:r w:rsidRPr="00165724">
              <w:rPr>
                <w:rFonts w:cs="Calibri" w:hint="eastAsia"/>
                <w:lang w:eastAsia="zh-CN"/>
              </w:rPr>
              <w:t>年划拨的预算范围内。</w:t>
            </w:r>
          </w:p>
          <w:p w14:paraId="7E980A4D" w14:textId="77777777" w:rsidR="00E24D59" w:rsidRPr="00DA2D30" w:rsidRDefault="00DA2D30" w:rsidP="00DA2D30">
            <w:pPr>
              <w:rPr>
                <w:lang w:eastAsia="zh-CN"/>
              </w:rPr>
            </w:pPr>
            <w:r>
              <w:rPr>
                <w:lang w:eastAsia="zh-CN"/>
              </w:rPr>
              <w:t>_______________</w:t>
            </w:r>
          </w:p>
          <w:p w14:paraId="29D03697" w14:textId="77777777" w:rsidR="00E24D59" w:rsidRPr="00477D57" w:rsidRDefault="00E24D59" w:rsidP="00555C29">
            <w:pPr>
              <w:rPr>
                <w:b/>
                <w:bCs/>
                <w:lang w:eastAsia="zh-CN"/>
              </w:rPr>
            </w:pPr>
            <w:r w:rsidRPr="00477D57">
              <w:rPr>
                <w:rFonts w:hint="eastAsia"/>
                <w:b/>
                <w:bCs/>
                <w:lang w:eastAsia="zh-CN"/>
              </w:rPr>
              <w:t>参考文件</w:t>
            </w:r>
          </w:p>
          <w:p w14:paraId="33CB1A32" w14:textId="0E644CE3" w:rsidR="00E24D59" w:rsidRPr="00477D57" w:rsidRDefault="00521703" w:rsidP="00521703">
            <w:pPr>
              <w:spacing w:after="120"/>
              <w:ind w:firstLineChars="200" w:firstLine="480"/>
              <w:rPr>
                <w:rFonts w:asciiTheme="majorEastAsia" w:eastAsiaTheme="majorEastAsia" w:hAnsiTheme="majorEastAsia"/>
                <w:i/>
                <w:iCs/>
                <w:sz w:val="22"/>
                <w:szCs w:val="22"/>
                <w:lang w:eastAsia="zh-CN"/>
              </w:rPr>
            </w:pPr>
            <w:r w:rsidRPr="0020639E">
              <w:rPr>
                <w:rFonts w:ascii="STKaiti" w:eastAsia="STKaiti" w:hAnsi="STKaiti"/>
                <w:color w:val="000000"/>
                <w:lang w:val="zh-CN" w:eastAsia="zh-CN"/>
              </w:rPr>
              <w:t>全权代表大会</w:t>
            </w:r>
            <w:r w:rsidR="00193FB8" w:rsidRPr="005F039D">
              <w:rPr>
                <w:rStyle w:val="Hyperlink"/>
                <w:rFonts w:asciiTheme="minorHAnsi" w:eastAsia="STKaiti" w:hAnsiTheme="minorHAnsi"/>
                <w:u w:val="single"/>
              </w:rPr>
              <w:fldChar w:fldCharType="begin"/>
            </w:r>
            <w:r w:rsidR="00193FB8" w:rsidRPr="005F039D">
              <w:rPr>
                <w:rStyle w:val="Hyperlink"/>
                <w:rFonts w:asciiTheme="minorHAnsi" w:eastAsia="STKaiti" w:hAnsiTheme="minorHAnsi"/>
                <w:u w:val="single"/>
                <w:lang w:eastAsia="zh-CN"/>
              </w:rPr>
              <w:instrText>HYPERLINK "https://www.itu.int/en/council/Documents/basic-texts-2023/DEC-011-C.pdf"</w:instrText>
            </w:r>
            <w:r w:rsidR="00193FB8" w:rsidRPr="005F039D">
              <w:rPr>
                <w:rStyle w:val="Hyperlink"/>
                <w:rFonts w:asciiTheme="minorHAnsi" w:eastAsia="STKaiti" w:hAnsiTheme="minorHAnsi"/>
                <w:u w:val="single"/>
              </w:rPr>
            </w:r>
            <w:r w:rsidR="00193FB8" w:rsidRPr="005F039D">
              <w:rPr>
                <w:rStyle w:val="Hyperlink"/>
                <w:rFonts w:asciiTheme="minorHAnsi" w:eastAsia="STKaiti" w:hAnsiTheme="minorHAnsi"/>
                <w:u w:val="single"/>
              </w:rPr>
              <w:fldChar w:fldCharType="separate"/>
            </w:r>
            <w:r w:rsidRPr="005F039D">
              <w:rPr>
                <w:rStyle w:val="Hyperlink"/>
                <w:rFonts w:asciiTheme="minorHAnsi" w:eastAsia="STKaiti" w:hAnsiTheme="minorHAnsi"/>
                <w:u w:val="single"/>
                <w:lang w:eastAsia="zh-CN"/>
              </w:rPr>
              <w:t>第</w:t>
            </w:r>
            <w:r w:rsidRPr="005F039D">
              <w:rPr>
                <w:rStyle w:val="Hyperlink"/>
                <w:rFonts w:asciiTheme="minorHAnsi" w:eastAsia="STKaiti" w:hAnsiTheme="minorHAnsi"/>
                <w:u w:val="single"/>
                <w:lang w:eastAsia="zh-CN"/>
              </w:rPr>
              <w:t>11</w:t>
            </w:r>
            <w:r w:rsidRPr="005F039D">
              <w:rPr>
                <w:rStyle w:val="Hyperlink"/>
                <w:rFonts w:asciiTheme="minorHAnsi" w:eastAsia="STKaiti" w:hAnsiTheme="minorHAnsi"/>
                <w:u w:val="single"/>
                <w:lang w:eastAsia="zh-CN"/>
              </w:rPr>
              <w:t>号决定（</w:t>
            </w:r>
            <w:r w:rsidRPr="005F039D">
              <w:rPr>
                <w:rStyle w:val="Hyperlink"/>
                <w:rFonts w:asciiTheme="minorHAnsi" w:eastAsia="STKaiti" w:hAnsiTheme="minorHAnsi"/>
                <w:u w:val="single"/>
                <w:lang w:eastAsia="zh-CN"/>
              </w:rPr>
              <w:t>2022</w:t>
            </w:r>
            <w:r w:rsidRPr="005F039D">
              <w:rPr>
                <w:rStyle w:val="Hyperlink"/>
                <w:rFonts w:asciiTheme="minorHAnsi" w:eastAsia="STKaiti" w:hAnsiTheme="minorHAnsi"/>
                <w:u w:val="single"/>
                <w:lang w:eastAsia="zh-CN"/>
              </w:rPr>
              <w:t>年，布加勒斯特，修订版）</w:t>
            </w:r>
            <w:r w:rsidR="00193FB8" w:rsidRPr="005F039D">
              <w:rPr>
                <w:rStyle w:val="Hyperlink"/>
                <w:rFonts w:asciiTheme="minorHAnsi" w:eastAsia="STKaiti" w:hAnsiTheme="minorHAnsi"/>
                <w:u w:val="single"/>
              </w:rPr>
              <w:fldChar w:fldCharType="end"/>
            </w:r>
            <w:r w:rsidRPr="0020639E">
              <w:rPr>
                <w:rFonts w:ascii="STKaiti" w:eastAsia="STKaiti" w:hAnsi="STKaiti"/>
                <w:color w:val="000000"/>
                <w:lang w:val="zh-CN" w:eastAsia="zh-CN"/>
              </w:rPr>
              <w:t>；理事会</w:t>
            </w:r>
            <w:r>
              <w:fldChar w:fldCharType="begin"/>
            </w:r>
            <w:r>
              <w:rPr>
                <w:lang w:eastAsia="zh-CN"/>
              </w:rPr>
              <w:instrText>HYPERLINK "https://www.itu.int/md/S23-CL-C-0129/en"</w:instrText>
            </w:r>
            <w:r>
              <w:fldChar w:fldCharType="separate"/>
            </w:r>
            <w:r w:rsidRPr="009C0B91">
              <w:rPr>
                <w:rStyle w:val="Hyperlink"/>
                <w:rFonts w:asciiTheme="minorHAnsi" w:eastAsia="STKaiti" w:hAnsiTheme="minorHAnsi"/>
                <w:u w:val="single"/>
                <w:lang w:eastAsia="zh-CN"/>
              </w:rPr>
              <w:t>第</w:t>
            </w:r>
            <w:r w:rsidRPr="009C0B91">
              <w:rPr>
                <w:rStyle w:val="Hyperlink"/>
                <w:rFonts w:asciiTheme="minorHAnsi" w:eastAsia="STKaiti" w:hAnsiTheme="minorHAnsi"/>
                <w:u w:val="single"/>
                <w:lang w:eastAsia="zh-CN"/>
              </w:rPr>
              <w:t>563</w:t>
            </w:r>
            <w:r w:rsidRPr="009C0B91">
              <w:rPr>
                <w:rStyle w:val="Hyperlink"/>
                <w:rFonts w:asciiTheme="minorHAnsi" w:eastAsia="STKaiti" w:hAnsiTheme="minorHAnsi"/>
                <w:u w:val="single"/>
                <w:lang w:eastAsia="zh-CN"/>
              </w:rPr>
              <w:t>号决定（</w:t>
            </w:r>
            <w:r w:rsidRPr="009C0B91">
              <w:rPr>
                <w:rStyle w:val="Hyperlink"/>
                <w:rFonts w:asciiTheme="minorHAnsi" w:eastAsia="STKaiti" w:hAnsiTheme="minorHAnsi"/>
                <w:u w:val="single"/>
                <w:lang w:eastAsia="zh-CN"/>
              </w:rPr>
              <w:t>2023</w:t>
            </w:r>
            <w:r w:rsidRPr="009C0B91">
              <w:rPr>
                <w:rStyle w:val="Hyperlink"/>
                <w:rFonts w:asciiTheme="minorHAnsi" w:eastAsia="STKaiti" w:hAnsiTheme="minorHAnsi"/>
                <w:u w:val="single"/>
                <w:lang w:eastAsia="zh-CN"/>
              </w:rPr>
              <w:t>年</w:t>
            </w:r>
            <w:r w:rsidRPr="009C0B91">
              <w:rPr>
                <w:rStyle w:val="Hyperlink"/>
                <w:rFonts w:asciiTheme="minorHAnsi" w:eastAsia="STKaiti" w:hAnsiTheme="minorHAnsi" w:hint="eastAsia"/>
                <w:u w:val="single"/>
                <w:lang w:eastAsia="zh-CN"/>
              </w:rPr>
              <w:t>，</w:t>
            </w:r>
            <w:r w:rsidRPr="009C0B91">
              <w:rPr>
                <w:rStyle w:val="Hyperlink"/>
                <w:rFonts w:asciiTheme="minorHAnsi" w:eastAsia="STKaiti" w:hAnsiTheme="minorHAnsi"/>
                <w:u w:val="single"/>
                <w:lang w:eastAsia="zh-CN"/>
              </w:rPr>
              <w:t>修订</w:t>
            </w:r>
            <w:r w:rsidRPr="009C0B91">
              <w:rPr>
                <w:rStyle w:val="Hyperlink"/>
                <w:rFonts w:asciiTheme="minorHAnsi" w:eastAsia="STKaiti" w:hAnsiTheme="minorHAnsi" w:hint="eastAsia"/>
                <w:u w:val="single"/>
                <w:lang w:eastAsia="zh-CN"/>
              </w:rPr>
              <w:t>版</w:t>
            </w:r>
            <w:r w:rsidRPr="009C0B91">
              <w:rPr>
                <w:rStyle w:val="Hyperlink"/>
                <w:rFonts w:asciiTheme="minorHAnsi" w:eastAsia="STKaiti" w:hAnsiTheme="minorHAnsi"/>
                <w:u w:val="single"/>
                <w:lang w:eastAsia="zh-CN"/>
              </w:rPr>
              <w:t>）</w:t>
            </w:r>
            <w:r>
              <w:fldChar w:fldCharType="end"/>
            </w:r>
            <w:r w:rsidRPr="0020639E">
              <w:rPr>
                <w:rFonts w:ascii="STKaiti" w:eastAsia="STKaiti" w:hAnsi="STKaiti"/>
                <w:color w:val="000000"/>
                <w:lang w:val="zh-CN" w:eastAsia="zh-CN"/>
              </w:rPr>
              <w:t>；</w:t>
            </w:r>
            <w:r w:rsidR="00193FB8" w:rsidRPr="009C0B91">
              <w:rPr>
                <w:rStyle w:val="Hyperlink"/>
                <w:rFonts w:asciiTheme="minorHAnsi" w:eastAsia="STKaiti" w:hAnsiTheme="minorHAnsi"/>
                <w:u w:val="single"/>
              </w:rPr>
              <w:fldChar w:fldCharType="begin"/>
            </w:r>
            <w:r w:rsidR="00193FB8" w:rsidRPr="009C0B91">
              <w:rPr>
                <w:rStyle w:val="Hyperlink"/>
                <w:rFonts w:asciiTheme="minorHAnsi" w:eastAsia="STKaiti" w:hAnsiTheme="minorHAnsi"/>
                <w:u w:val="single"/>
                <w:lang w:eastAsia="zh-CN"/>
              </w:rPr>
              <w:instrText>HYPERLINK "https://www.itu.int/en/council/cwg-fhr/Pages/default.aspx" \l "/zh"</w:instrText>
            </w:r>
            <w:r w:rsidR="00193FB8" w:rsidRPr="009C0B91">
              <w:rPr>
                <w:rStyle w:val="Hyperlink"/>
                <w:rFonts w:asciiTheme="minorHAnsi" w:eastAsia="STKaiti" w:hAnsiTheme="minorHAnsi"/>
                <w:u w:val="single"/>
              </w:rPr>
            </w:r>
            <w:r w:rsidR="00193FB8" w:rsidRPr="009C0B91">
              <w:rPr>
                <w:rStyle w:val="Hyperlink"/>
                <w:rFonts w:asciiTheme="minorHAnsi" w:eastAsia="STKaiti" w:hAnsiTheme="minorHAnsi"/>
                <w:u w:val="single"/>
              </w:rPr>
              <w:fldChar w:fldCharType="separate"/>
            </w:r>
            <w:r w:rsidRPr="009C0B91">
              <w:rPr>
                <w:rStyle w:val="Hyperlink"/>
                <w:rFonts w:asciiTheme="minorHAnsi" w:eastAsia="STKaiti" w:hAnsiTheme="minorHAnsi"/>
                <w:u w:val="single"/>
                <w:lang w:eastAsia="zh-CN"/>
              </w:rPr>
              <w:t>CWG-FHR</w:t>
            </w:r>
            <w:r w:rsidRPr="009C0B91">
              <w:rPr>
                <w:rStyle w:val="Hyperlink"/>
                <w:rFonts w:asciiTheme="minorHAnsi" w:eastAsia="STKaiti" w:hAnsiTheme="minorHAnsi"/>
                <w:u w:val="single"/>
                <w:lang w:eastAsia="zh-CN"/>
              </w:rPr>
              <w:t>网站</w:t>
            </w:r>
            <w:r w:rsidR="00193FB8" w:rsidRPr="009C0B91">
              <w:rPr>
                <w:rStyle w:val="Hyperlink"/>
                <w:rFonts w:asciiTheme="minorHAnsi" w:eastAsia="STKaiti" w:hAnsiTheme="minorHAnsi"/>
                <w:u w:val="single"/>
              </w:rPr>
              <w:fldChar w:fldCharType="end"/>
            </w:r>
          </w:p>
        </w:tc>
      </w:tr>
      <w:bookmarkEnd w:id="2"/>
      <w:bookmarkEnd w:id="6"/>
    </w:tbl>
    <w:p w14:paraId="75D4A07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91C0B2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E5CCE7D" w14:textId="77777777" w:rsidR="00EB0D71" w:rsidRPr="00982711" w:rsidRDefault="00EB0D71" w:rsidP="00EB0D71">
      <w:pPr>
        <w:pStyle w:val="Heading1"/>
        <w:rPr>
          <w:lang w:eastAsia="zh-CN"/>
        </w:rPr>
      </w:pPr>
      <w:r>
        <w:rPr>
          <w:rFonts w:hint="eastAsia"/>
          <w:bCs/>
          <w:lang w:val="zh-CN" w:eastAsia="zh-CN"/>
        </w:rPr>
        <w:lastRenderedPageBreak/>
        <w:t>一</w:t>
      </w:r>
      <w:r>
        <w:rPr>
          <w:bCs/>
          <w:lang w:val="zh-CN" w:eastAsia="zh-CN"/>
        </w:rPr>
        <w:tab/>
      </w:r>
      <w:r>
        <w:rPr>
          <w:rFonts w:hint="eastAsia"/>
          <w:bCs/>
          <w:lang w:val="zh-CN" w:eastAsia="zh-CN"/>
        </w:rPr>
        <w:t>引言</w:t>
      </w:r>
    </w:p>
    <w:p w14:paraId="596A7956" w14:textId="4FF510E7" w:rsidR="00EB0D71" w:rsidRPr="00020FC4" w:rsidRDefault="00EB0D71" w:rsidP="00EB0D71">
      <w:pPr>
        <w:rPr>
          <w:lang w:eastAsia="zh-CN"/>
        </w:rPr>
      </w:pPr>
      <w:r>
        <w:rPr>
          <w:lang w:val="zh-CN" w:eastAsia="zh-CN"/>
        </w:rPr>
        <w:t>1</w:t>
      </w:r>
      <w:r>
        <w:rPr>
          <w:lang w:val="zh-CN" w:eastAsia="zh-CN"/>
        </w:rPr>
        <w:tab/>
      </w:r>
      <w:r>
        <w:rPr>
          <w:lang w:val="zh-CN" w:eastAsia="zh-CN"/>
        </w:rPr>
        <w:t>理事会财务和人力资源工作组（</w:t>
      </w:r>
      <w:r>
        <w:rPr>
          <w:lang w:val="zh-CN" w:eastAsia="zh-CN"/>
        </w:rPr>
        <w:t>CWG-FHR</w:t>
      </w:r>
      <w:r>
        <w:rPr>
          <w:lang w:val="zh-CN" w:eastAsia="zh-CN"/>
        </w:rPr>
        <w:t>）的职</w:t>
      </w:r>
      <w:r>
        <w:rPr>
          <w:rFonts w:hint="eastAsia"/>
          <w:lang w:val="zh-CN" w:eastAsia="zh-CN"/>
        </w:rPr>
        <w:t>责</w:t>
      </w:r>
      <w:r w:rsidRPr="00A92AE1">
        <w:rPr>
          <w:rFonts w:cs="Calibri"/>
          <w:lang w:val="zh-CN" w:eastAsia="zh-CN"/>
        </w:rPr>
        <w:t>由</w:t>
      </w:r>
      <w:r>
        <w:fldChar w:fldCharType="begin"/>
      </w:r>
      <w:r>
        <w:rPr>
          <w:lang w:eastAsia="zh-CN"/>
        </w:rPr>
        <w:instrText>HYPERLINK "https://www.itu.int/md/S23-CL-C-0129/en"</w:instrText>
      </w:r>
      <w:r>
        <w:fldChar w:fldCharType="separate"/>
      </w:r>
      <w:r w:rsidRPr="00A92AE1">
        <w:rPr>
          <w:rStyle w:val="Hyperlink"/>
          <w:rFonts w:eastAsia="SimSun" w:cs="Calibri"/>
          <w:u w:val="single"/>
          <w:lang w:eastAsia="zh-CN"/>
        </w:rPr>
        <w:t>第</w:t>
      </w:r>
      <w:r w:rsidRPr="00A92AE1">
        <w:rPr>
          <w:rStyle w:val="Hyperlink"/>
          <w:rFonts w:eastAsia="SimSun" w:cs="Calibri"/>
          <w:u w:val="single"/>
          <w:lang w:eastAsia="zh-CN"/>
        </w:rPr>
        <w:t>563</w:t>
      </w:r>
      <w:r w:rsidRPr="00A92AE1">
        <w:rPr>
          <w:rStyle w:val="Hyperlink"/>
          <w:rFonts w:eastAsia="SimSun" w:cs="Calibri"/>
          <w:u w:val="single"/>
          <w:lang w:eastAsia="zh-CN"/>
        </w:rPr>
        <w:t>号决定</w:t>
      </w:r>
      <w:r>
        <w:fldChar w:fldCharType="end"/>
      </w:r>
      <w:r>
        <w:rPr>
          <w:lang w:val="zh-CN" w:eastAsia="zh-CN"/>
        </w:rPr>
        <w:t>批准，并于</w:t>
      </w:r>
      <w:r>
        <w:rPr>
          <w:lang w:val="zh-CN" w:eastAsia="zh-CN"/>
        </w:rPr>
        <w:t>2023</w:t>
      </w:r>
      <w:r>
        <w:rPr>
          <w:lang w:val="zh-CN" w:eastAsia="zh-CN"/>
        </w:rPr>
        <w:t>年修订（见该决定附件</w:t>
      </w:r>
      <w:r>
        <w:rPr>
          <w:lang w:val="zh-CN" w:eastAsia="zh-CN"/>
        </w:rPr>
        <w:t>1</w:t>
      </w:r>
      <w:r>
        <w:rPr>
          <w:lang w:val="zh-CN" w:eastAsia="zh-CN"/>
        </w:rPr>
        <w:t>）。该组向所有成员国和部门成员开放。</w:t>
      </w:r>
      <w:r>
        <w:fldChar w:fldCharType="begin"/>
      </w:r>
      <w:r>
        <w:rPr>
          <w:lang w:eastAsia="zh-CN"/>
        </w:rPr>
        <w:instrText>HYPERLINK "https://www.itu.int/md/S23-CL-C-0129/en"</w:instrText>
      </w:r>
      <w:r>
        <w:fldChar w:fldCharType="separate"/>
      </w:r>
      <w:r>
        <w:fldChar w:fldCharType="end"/>
      </w:r>
    </w:p>
    <w:p w14:paraId="64BDAF9B" w14:textId="77777777" w:rsidR="00EB0D71" w:rsidRDefault="00EB0D71" w:rsidP="00EB0D71">
      <w:pPr>
        <w:rPr>
          <w:lang w:eastAsia="zh-CN"/>
        </w:rPr>
      </w:pPr>
      <w:r>
        <w:rPr>
          <w:lang w:val="zh-CN" w:eastAsia="zh-CN"/>
        </w:rPr>
        <w:t>2</w:t>
      </w:r>
      <w:r>
        <w:rPr>
          <w:lang w:val="zh-CN" w:eastAsia="zh-CN"/>
        </w:rPr>
        <w:tab/>
      </w:r>
      <w:r>
        <w:rPr>
          <w:lang w:val="zh-CN" w:eastAsia="zh-CN"/>
        </w:rPr>
        <w:t>理事会财务和人力资源工作组：</w:t>
      </w:r>
    </w:p>
    <w:p w14:paraId="5C06C591" w14:textId="77777777" w:rsidR="00EB0D71" w:rsidRPr="008743D3" w:rsidRDefault="00EB0D71" w:rsidP="00EB0D71">
      <w:pPr>
        <w:pStyle w:val="enumlev1"/>
        <w:rPr>
          <w:lang w:eastAsia="zh-CN"/>
        </w:rPr>
      </w:pPr>
      <w:r>
        <w:rPr>
          <w:lang w:val="zh-CN" w:eastAsia="zh-CN"/>
        </w:rPr>
        <w:t>–</w:t>
      </w:r>
      <w:r>
        <w:rPr>
          <w:lang w:val="zh-CN" w:eastAsia="zh-CN"/>
        </w:rPr>
        <w:tab/>
      </w:r>
      <w:r>
        <w:rPr>
          <w:lang w:val="zh-CN" w:eastAsia="zh-CN"/>
        </w:rPr>
        <w:t>在理事会各届会议之间处理重要的财务和人力资源问题，特别是那些要求对国际电联的财务法规（《财务规则和财务细则》）以及《人事规则和人事细则》进行审议和可能修改的问题；</w:t>
      </w:r>
    </w:p>
    <w:p w14:paraId="0AD639F9" w14:textId="77777777" w:rsidR="00EB0D71" w:rsidRPr="008743D3" w:rsidRDefault="00EB0D71" w:rsidP="00EB0D71">
      <w:pPr>
        <w:pStyle w:val="enumlev1"/>
        <w:rPr>
          <w:lang w:eastAsia="zh-CN"/>
        </w:rPr>
      </w:pPr>
      <w:r>
        <w:rPr>
          <w:lang w:val="zh-CN" w:eastAsia="zh-CN"/>
        </w:rPr>
        <w:t>–</w:t>
      </w:r>
      <w:r>
        <w:rPr>
          <w:lang w:val="zh-CN" w:eastAsia="zh-CN"/>
        </w:rPr>
        <w:tab/>
      </w:r>
      <w:r>
        <w:rPr>
          <w:lang w:val="zh-CN" w:eastAsia="zh-CN"/>
        </w:rPr>
        <w:t>确保联合国联合检查组、外部审计员和独立管理顾问委员会（</w:t>
      </w:r>
      <w:r>
        <w:rPr>
          <w:lang w:val="zh-CN" w:eastAsia="zh-CN"/>
        </w:rPr>
        <w:t>IMAC</w:t>
      </w:r>
      <w:r>
        <w:rPr>
          <w:lang w:val="zh-CN" w:eastAsia="zh-CN"/>
        </w:rPr>
        <w:t>）涉及国际电联财务和人力资源管理的相关建议得到考虑；</w:t>
      </w:r>
    </w:p>
    <w:p w14:paraId="577AC751" w14:textId="77777777" w:rsidR="00EB0D71" w:rsidRPr="008743D3" w:rsidRDefault="00EB0D71" w:rsidP="00EB0D71">
      <w:pPr>
        <w:pStyle w:val="enumlev1"/>
        <w:rPr>
          <w:lang w:eastAsia="zh-CN"/>
        </w:rPr>
      </w:pPr>
      <w:r>
        <w:rPr>
          <w:lang w:val="zh-CN" w:eastAsia="zh-CN"/>
        </w:rPr>
        <w:t>–</w:t>
      </w:r>
      <w:r>
        <w:rPr>
          <w:lang w:val="zh-CN" w:eastAsia="zh-CN"/>
        </w:rPr>
        <w:tab/>
      </w:r>
      <w:r>
        <w:rPr>
          <w:lang w:val="zh-CN" w:eastAsia="zh-CN"/>
        </w:rPr>
        <w:t>每年对基于结果的管理的落实进行评估，其中包括国际电联各项活动和举措的优先顺序，同时顾及国际电联战略规划所确定的具体标准；</w:t>
      </w:r>
    </w:p>
    <w:p w14:paraId="1C3D61AB" w14:textId="77777777" w:rsidR="00EB0D71" w:rsidRPr="008743D3" w:rsidRDefault="00EB0D71" w:rsidP="00EB0D71">
      <w:pPr>
        <w:pStyle w:val="enumlev1"/>
        <w:rPr>
          <w:lang w:eastAsia="zh-CN"/>
        </w:rPr>
      </w:pPr>
      <w:r>
        <w:rPr>
          <w:lang w:val="zh-CN" w:eastAsia="zh-CN"/>
        </w:rPr>
        <w:t>–</w:t>
      </w:r>
      <w:r>
        <w:rPr>
          <w:lang w:val="zh-CN" w:eastAsia="zh-CN"/>
        </w:rPr>
        <w:tab/>
      </w:r>
      <w:r>
        <w:rPr>
          <w:lang w:val="zh-CN" w:eastAsia="zh-CN"/>
        </w:rPr>
        <w:t>与国际电联管理层和职工委员会保持密切联系，以确定共同关心的、需要理事会合理提出意见并予以指导的问题。</w:t>
      </w:r>
    </w:p>
    <w:p w14:paraId="79D89E88" w14:textId="77777777" w:rsidR="00EB0D71" w:rsidRPr="00DB64AE" w:rsidRDefault="00EB0D71" w:rsidP="00EB0D71">
      <w:pPr>
        <w:rPr>
          <w:rFonts w:cs="Calibri"/>
          <w:szCs w:val="24"/>
        </w:rPr>
      </w:pPr>
      <w:r w:rsidRPr="00C93AED">
        <w:t>3</w:t>
      </w:r>
      <w:r>
        <w:tab/>
      </w:r>
      <w:r w:rsidRPr="00C93AED">
        <w:t>CWG-FHR</w:t>
      </w:r>
      <w:r>
        <w:rPr>
          <w:lang w:val="zh-CN"/>
        </w:rPr>
        <w:t>第</w:t>
      </w:r>
      <w:r w:rsidRPr="00C93AED">
        <w:t>16</w:t>
      </w:r>
      <w:r>
        <w:rPr>
          <w:lang w:val="zh-CN"/>
        </w:rPr>
        <w:t>和</w:t>
      </w:r>
      <w:r w:rsidRPr="00C93AED">
        <w:t>17</w:t>
      </w:r>
      <w:proofErr w:type="spellStart"/>
      <w:r>
        <w:rPr>
          <w:lang w:val="zh-CN"/>
        </w:rPr>
        <w:t>次会议在</w:t>
      </w:r>
      <w:proofErr w:type="spellEnd"/>
      <w:r w:rsidRPr="00C93AED">
        <w:t>Vernita D. Harris</w:t>
      </w:r>
      <w:proofErr w:type="spellStart"/>
      <w:r>
        <w:rPr>
          <w:lang w:val="zh-CN"/>
        </w:rPr>
        <w:t>女士</w:t>
      </w:r>
      <w:r w:rsidRPr="00C93AED">
        <w:t>（</w:t>
      </w:r>
      <w:r>
        <w:rPr>
          <w:lang w:val="zh-CN"/>
        </w:rPr>
        <w:t>美国</w:t>
      </w:r>
      <w:r w:rsidRPr="00C93AED">
        <w:t>）</w:t>
      </w:r>
      <w:r>
        <w:rPr>
          <w:lang w:val="zh-CN"/>
        </w:rPr>
        <w:t>的主持下召开</w:t>
      </w:r>
      <w:r w:rsidRPr="00C93AED">
        <w:t>，</w:t>
      </w:r>
      <w:r>
        <w:rPr>
          <w:lang w:val="zh-CN"/>
        </w:rPr>
        <w:t>并由以下五位副主席协助</w:t>
      </w:r>
      <w:proofErr w:type="spellEnd"/>
      <w:r w:rsidRPr="00C93AED">
        <w:t>：</w:t>
      </w:r>
    </w:p>
    <w:p w14:paraId="0646B734" w14:textId="40DDB5C9" w:rsidR="00EB0D71" w:rsidRPr="00982711" w:rsidRDefault="00EB0D71" w:rsidP="00EB0D71">
      <w:pPr>
        <w:pStyle w:val="enumlev1"/>
      </w:pPr>
      <w:r w:rsidRPr="00C93AED">
        <w:t>–</w:t>
      </w:r>
      <w:r w:rsidR="00811F70">
        <w:tab/>
      </w:r>
      <w:r w:rsidRPr="00C93AED">
        <w:t>Seynabou Cisse Seck</w:t>
      </w:r>
      <w:proofErr w:type="spellStart"/>
      <w:r>
        <w:rPr>
          <w:lang w:val="zh-CN"/>
        </w:rPr>
        <w:t>女士</w:t>
      </w:r>
      <w:r w:rsidRPr="00C93AED">
        <w:t>（</w:t>
      </w:r>
      <w:r>
        <w:rPr>
          <w:lang w:val="zh-CN"/>
        </w:rPr>
        <w:t>塞内加尔</w:t>
      </w:r>
      <w:proofErr w:type="spellEnd"/>
      <w:r w:rsidRPr="00C93AED">
        <w:t>）</w:t>
      </w:r>
    </w:p>
    <w:p w14:paraId="61EEF9AA" w14:textId="1493B12B" w:rsidR="00EB0D71" w:rsidRPr="00613D88" w:rsidRDefault="00EB0D71" w:rsidP="00EB0D71">
      <w:pPr>
        <w:pStyle w:val="enumlev1"/>
        <w:rPr>
          <w:lang w:val="fr-FR"/>
        </w:rPr>
      </w:pPr>
      <w:r w:rsidRPr="00613D88">
        <w:rPr>
          <w:lang w:val="fr-FR"/>
        </w:rPr>
        <w:t>–</w:t>
      </w:r>
      <w:r w:rsidR="00811F70" w:rsidRPr="00613D88">
        <w:rPr>
          <w:lang w:val="fr-FR"/>
        </w:rPr>
        <w:tab/>
      </w:r>
      <w:r w:rsidRPr="00613D88">
        <w:rPr>
          <w:lang w:val="fr-FR"/>
        </w:rPr>
        <w:t>Ronaldo Moura</w:t>
      </w:r>
      <w:proofErr w:type="spellStart"/>
      <w:r>
        <w:rPr>
          <w:lang w:val="zh-CN"/>
        </w:rPr>
        <w:t>先生</w:t>
      </w:r>
      <w:proofErr w:type="spellEnd"/>
      <w:r w:rsidRPr="00613D88">
        <w:rPr>
          <w:lang w:val="fr-FR"/>
        </w:rPr>
        <w:t>（</w:t>
      </w:r>
      <w:proofErr w:type="spellStart"/>
      <w:r>
        <w:rPr>
          <w:lang w:val="zh-CN"/>
        </w:rPr>
        <w:t>巴西</w:t>
      </w:r>
      <w:proofErr w:type="spellEnd"/>
      <w:r w:rsidRPr="00613D88">
        <w:rPr>
          <w:lang w:val="fr-FR"/>
        </w:rPr>
        <w:t>）</w:t>
      </w:r>
    </w:p>
    <w:p w14:paraId="27ECDC4E" w14:textId="01008D9A" w:rsidR="00EB0D71" w:rsidRPr="00613D88" w:rsidRDefault="00EB0D71" w:rsidP="00EB0D71">
      <w:pPr>
        <w:pStyle w:val="enumlev1"/>
        <w:rPr>
          <w:lang w:val="fr-FR"/>
        </w:rPr>
      </w:pPr>
      <w:r w:rsidRPr="00613D88">
        <w:rPr>
          <w:lang w:val="fr-FR"/>
        </w:rPr>
        <w:t>–</w:t>
      </w:r>
      <w:r w:rsidR="00811F70" w:rsidRPr="00613D88">
        <w:rPr>
          <w:lang w:val="fr-FR"/>
        </w:rPr>
        <w:tab/>
      </w:r>
      <w:r w:rsidRPr="00613D88">
        <w:rPr>
          <w:lang w:val="fr-FR"/>
        </w:rPr>
        <w:t>Noha Gaafar</w:t>
      </w:r>
      <w:proofErr w:type="spellStart"/>
      <w:r>
        <w:rPr>
          <w:lang w:val="zh-CN"/>
        </w:rPr>
        <w:t>女士</w:t>
      </w:r>
      <w:proofErr w:type="spellEnd"/>
      <w:r w:rsidRPr="00613D88">
        <w:rPr>
          <w:lang w:val="fr-FR"/>
        </w:rPr>
        <w:t>（</w:t>
      </w:r>
      <w:proofErr w:type="spellStart"/>
      <w:r>
        <w:rPr>
          <w:lang w:val="zh-CN"/>
        </w:rPr>
        <w:t>埃及</w:t>
      </w:r>
      <w:proofErr w:type="spellEnd"/>
      <w:r w:rsidRPr="00613D88">
        <w:rPr>
          <w:lang w:val="fr-FR"/>
        </w:rPr>
        <w:t>）</w:t>
      </w:r>
    </w:p>
    <w:p w14:paraId="44CC653E" w14:textId="0D44EB4B" w:rsidR="00EB0D71" w:rsidRPr="00613D88" w:rsidRDefault="00EB0D71" w:rsidP="00EB0D71">
      <w:pPr>
        <w:pStyle w:val="enumlev1"/>
        <w:rPr>
          <w:lang w:val="fr-FR"/>
        </w:rPr>
      </w:pPr>
      <w:r w:rsidRPr="00613D88">
        <w:rPr>
          <w:lang w:val="fr-FR"/>
        </w:rPr>
        <w:t>–</w:t>
      </w:r>
      <w:r w:rsidR="00811F70" w:rsidRPr="00613D88">
        <w:rPr>
          <w:lang w:val="fr-FR"/>
        </w:rPr>
        <w:tab/>
      </w:r>
      <w:r w:rsidRPr="00613D88">
        <w:rPr>
          <w:lang w:val="fr-FR"/>
        </w:rPr>
        <w:t>Daniel Caruso</w:t>
      </w:r>
      <w:proofErr w:type="spellStart"/>
      <w:r>
        <w:rPr>
          <w:lang w:val="zh-CN"/>
        </w:rPr>
        <w:t>先生</w:t>
      </w:r>
      <w:proofErr w:type="spellEnd"/>
      <w:r w:rsidRPr="00613D88">
        <w:rPr>
          <w:lang w:val="fr-FR"/>
        </w:rPr>
        <w:t>（</w:t>
      </w:r>
      <w:proofErr w:type="spellStart"/>
      <w:r>
        <w:rPr>
          <w:lang w:val="zh-CN"/>
        </w:rPr>
        <w:t>澳大利亚</w:t>
      </w:r>
      <w:proofErr w:type="spellEnd"/>
      <w:r w:rsidRPr="00613D88">
        <w:rPr>
          <w:lang w:val="fr-FR"/>
        </w:rPr>
        <w:t>）</w:t>
      </w:r>
    </w:p>
    <w:p w14:paraId="7054CB3F" w14:textId="28036561" w:rsidR="00EB0D71" w:rsidRPr="00613D88" w:rsidRDefault="00EB0D71" w:rsidP="00EB0D71">
      <w:pPr>
        <w:pStyle w:val="enumlev1"/>
        <w:rPr>
          <w:lang w:val="fr-FR"/>
        </w:rPr>
      </w:pPr>
      <w:r w:rsidRPr="00613D88">
        <w:rPr>
          <w:lang w:val="fr-FR"/>
        </w:rPr>
        <w:t>–</w:t>
      </w:r>
      <w:r w:rsidR="00811F70" w:rsidRPr="00613D88">
        <w:rPr>
          <w:lang w:val="fr-FR"/>
        </w:rPr>
        <w:tab/>
      </w:r>
      <w:r w:rsidRPr="00613D88">
        <w:rPr>
          <w:lang w:val="fr-FR"/>
        </w:rPr>
        <w:t>Szabolcs Szentleleky</w:t>
      </w:r>
      <w:proofErr w:type="spellStart"/>
      <w:r>
        <w:rPr>
          <w:lang w:val="zh-CN"/>
        </w:rPr>
        <w:t>先生</w:t>
      </w:r>
      <w:proofErr w:type="spellEnd"/>
      <w:r w:rsidRPr="00613D88">
        <w:rPr>
          <w:lang w:val="fr-FR"/>
        </w:rPr>
        <w:t>（</w:t>
      </w:r>
      <w:proofErr w:type="spellStart"/>
      <w:r>
        <w:rPr>
          <w:lang w:val="zh-CN"/>
        </w:rPr>
        <w:t>匈牙利</w:t>
      </w:r>
      <w:proofErr w:type="spellEnd"/>
      <w:r w:rsidRPr="00613D88">
        <w:rPr>
          <w:lang w:val="fr-FR"/>
        </w:rPr>
        <w:t>）</w:t>
      </w:r>
      <w:r>
        <w:rPr>
          <w:lang w:val="zh-CN"/>
        </w:rPr>
        <w:t>。</w:t>
      </w:r>
    </w:p>
    <w:p w14:paraId="000613EC" w14:textId="77777777" w:rsidR="00EB0D71" w:rsidRPr="00613D88" w:rsidRDefault="00EB0D71" w:rsidP="00EB0D71">
      <w:pPr>
        <w:rPr>
          <w:rFonts w:cs="Calibri"/>
          <w:szCs w:val="24"/>
          <w:lang w:val="fr-FR"/>
        </w:rPr>
      </w:pPr>
      <w:r w:rsidRPr="00613D88">
        <w:rPr>
          <w:lang w:val="fr-FR"/>
        </w:rPr>
        <w:t>4</w:t>
      </w:r>
      <w:r w:rsidRPr="00613D88">
        <w:rPr>
          <w:lang w:val="fr-FR"/>
        </w:rPr>
        <w:tab/>
        <w:t>CWG-FHR</w:t>
      </w:r>
      <w:r>
        <w:rPr>
          <w:lang w:val="zh-CN"/>
        </w:rPr>
        <w:t>第</w:t>
      </w:r>
      <w:r w:rsidRPr="00613D88">
        <w:rPr>
          <w:lang w:val="fr-FR"/>
        </w:rPr>
        <w:t>18</w:t>
      </w:r>
      <w:r>
        <w:rPr>
          <w:lang w:val="zh-CN"/>
        </w:rPr>
        <w:t>和</w:t>
      </w:r>
      <w:r w:rsidRPr="00613D88">
        <w:rPr>
          <w:lang w:val="fr-FR"/>
        </w:rPr>
        <w:t>19</w:t>
      </w:r>
      <w:proofErr w:type="spellStart"/>
      <w:r>
        <w:rPr>
          <w:lang w:val="zh-CN"/>
        </w:rPr>
        <w:t>次会议由</w:t>
      </w:r>
      <w:proofErr w:type="spellEnd"/>
      <w:r w:rsidRPr="00613D88">
        <w:rPr>
          <w:lang w:val="fr-FR"/>
        </w:rPr>
        <w:t>Vernita D. Harris</w:t>
      </w:r>
      <w:proofErr w:type="spellStart"/>
      <w:r>
        <w:rPr>
          <w:lang w:val="zh-CN"/>
        </w:rPr>
        <w:t>女士</w:t>
      </w:r>
      <w:proofErr w:type="spellEnd"/>
      <w:r w:rsidRPr="00613D88">
        <w:rPr>
          <w:lang w:val="fr-FR"/>
        </w:rPr>
        <w:t>（</w:t>
      </w:r>
      <w:proofErr w:type="spellStart"/>
      <w:r>
        <w:rPr>
          <w:lang w:val="zh-CN"/>
        </w:rPr>
        <w:t>美国</w:t>
      </w:r>
      <w:proofErr w:type="spellEnd"/>
      <w:r w:rsidRPr="00613D88">
        <w:rPr>
          <w:lang w:val="fr-FR"/>
        </w:rPr>
        <w:t>）</w:t>
      </w:r>
      <w:proofErr w:type="spellStart"/>
      <w:r>
        <w:rPr>
          <w:lang w:val="zh-CN"/>
        </w:rPr>
        <w:t>主持</w:t>
      </w:r>
      <w:proofErr w:type="spellEnd"/>
      <w:r w:rsidRPr="00613D88">
        <w:rPr>
          <w:lang w:val="fr-FR"/>
        </w:rPr>
        <w:t>，</w:t>
      </w:r>
      <w:proofErr w:type="spellStart"/>
      <w:r>
        <w:rPr>
          <w:lang w:val="zh-CN"/>
        </w:rPr>
        <w:t>并由以下六位副主席协助</w:t>
      </w:r>
      <w:proofErr w:type="spellEnd"/>
      <w:r w:rsidRPr="00613D88">
        <w:rPr>
          <w:lang w:val="fr-FR"/>
        </w:rPr>
        <w:t>：</w:t>
      </w:r>
    </w:p>
    <w:p w14:paraId="0436E4BC" w14:textId="4F3A89E4" w:rsidR="00EB0D71" w:rsidRPr="00613D88" w:rsidRDefault="00EB0D71" w:rsidP="00EB0D71">
      <w:pPr>
        <w:pStyle w:val="enumlev1"/>
        <w:rPr>
          <w:lang w:val="fr-FR"/>
        </w:rPr>
      </w:pPr>
      <w:r w:rsidRPr="00613D88">
        <w:rPr>
          <w:lang w:val="fr-FR"/>
        </w:rPr>
        <w:t>–</w:t>
      </w:r>
      <w:r w:rsidR="00B06EE0" w:rsidRPr="00613D88">
        <w:rPr>
          <w:lang w:val="fr-FR"/>
        </w:rPr>
        <w:tab/>
      </w:r>
      <w:r w:rsidRPr="00613D88">
        <w:rPr>
          <w:lang w:val="fr-FR"/>
        </w:rPr>
        <w:t>Seynabou Cisse Seck</w:t>
      </w:r>
      <w:proofErr w:type="spellStart"/>
      <w:r>
        <w:rPr>
          <w:lang w:val="zh-CN"/>
        </w:rPr>
        <w:t>女士</w:t>
      </w:r>
      <w:proofErr w:type="spellEnd"/>
      <w:r w:rsidRPr="00613D88">
        <w:rPr>
          <w:lang w:val="fr-FR"/>
        </w:rPr>
        <w:t>（</w:t>
      </w:r>
      <w:proofErr w:type="spellStart"/>
      <w:r>
        <w:rPr>
          <w:lang w:val="zh-CN"/>
        </w:rPr>
        <w:t>塞内加尔</w:t>
      </w:r>
      <w:proofErr w:type="spellEnd"/>
      <w:r w:rsidRPr="00613D88">
        <w:rPr>
          <w:lang w:val="fr-FR"/>
        </w:rPr>
        <w:t>）</w:t>
      </w:r>
    </w:p>
    <w:p w14:paraId="48F1A2EA" w14:textId="13C8DE5A" w:rsidR="00EB0D71" w:rsidRPr="00613D88" w:rsidRDefault="00EB0D71" w:rsidP="00EB0D71">
      <w:pPr>
        <w:pStyle w:val="enumlev1"/>
        <w:rPr>
          <w:lang w:val="fr-FR"/>
        </w:rPr>
      </w:pPr>
      <w:r w:rsidRPr="00613D88">
        <w:rPr>
          <w:lang w:val="fr-FR"/>
        </w:rPr>
        <w:t>–</w:t>
      </w:r>
      <w:r w:rsidR="00B06EE0" w:rsidRPr="00613D88">
        <w:rPr>
          <w:lang w:val="fr-FR"/>
        </w:rPr>
        <w:tab/>
      </w:r>
      <w:r w:rsidRPr="00613D88">
        <w:rPr>
          <w:lang w:val="fr-FR"/>
        </w:rPr>
        <w:t>Ronaldo Moura</w:t>
      </w:r>
      <w:proofErr w:type="spellStart"/>
      <w:r>
        <w:rPr>
          <w:lang w:val="zh-CN"/>
        </w:rPr>
        <w:t>先生</w:t>
      </w:r>
      <w:proofErr w:type="spellEnd"/>
      <w:r w:rsidRPr="00613D88">
        <w:rPr>
          <w:lang w:val="fr-FR"/>
        </w:rPr>
        <w:t>（</w:t>
      </w:r>
      <w:proofErr w:type="spellStart"/>
      <w:r>
        <w:rPr>
          <w:lang w:val="zh-CN"/>
        </w:rPr>
        <w:t>巴西</w:t>
      </w:r>
      <w:proofErr w:type="spellEnd"/>
      <w:r w:rsidRPr="00613D88">
        <w:rPr>
          <w:lang w:val="fr-FR"/>
        </w:rPr>
        <w:t>）</w:t>
      </w:r>
    </w:p>
    <w:p w14:paraId="7903CF5A" w14:textId="1C06D31A" w:rsidR="00EB0D71" w:rsidRPr="00613D88" w:rsidRDefault="00EB0D71" w:rsidP="00EB0D71">
      <w:pPr>
        <w:pStyle w:val="enumlev1"/>
        <w:rPr>
          <w:lang w:val="fr-FR"/>
        </w:rPr>
      </w:pPr>
      <w:r w:rsidRPr="00613D88">
        <w:rPr>
          <w:lang w:val="fr-FR"/>
        </w:rPr>
        <w:t>–</w:t>
      </w:r>
      <w:r w:rsidR="00B06EE0" w:rsidRPr="00613D88">
        <w:rPr>
          <w:lang w:val="fr-FR"/>
        </w:rPr>
        <w:tab/>
      </w:r>
      <w:r w:rsidRPr="00613D88">
        <w:rPr>
          <w:lang w:val="fr-FR"/>
        </w:rPr>
        <w:t>Noha Gaafar</w:t>
      </w:r>
      <w:proofErr w:type="spellStart"/>
      <w:r>
        <w:rPr>
          <w:lang w:val="zh-CN"/>
        </w:rPr>
        <w:t>女士</w:t>
      </w:r>
      <w:proofErr w:type="spellEnd"/>
      <w:r w:rsidRPr="00613D88">
        <w:rPr>
          <w:lang w:val="fr-FR"/>
        </w:rPr>
        <w:t>（</w:t>
      </w:r>
      <w:proofErr w:type="spellStart"/>
      <w:r>
        <w:rPr>
          <w:lang w:val="zh-CN"/>
        </w:rPr>
        <w:t>埃及</w:t>
      </w:r>
      <w:proofErr w:type="spellEnd"/>
      <w:r w:rsidRPr="00613D88">
        <w:rPr>
          <w:lang w:val="fr-FR"/>
        </w:rPr>
        <w:t>）</w:t>
      </w:r>
    </w:p>
    <w:p w14:paraId="2236B059" w14:textId="4CDD4CF5" w:rsidR="00EB0D71" w:rsidRPr="00613D88" w:rsidRDefault="00EB0D71" w:rsidP="00EB0D71">
      <w:pPr>
        <w:pStyle w:val="enumlev1"/>
        <w:rPr>
          <w:lang w:val="fr-FR"/>
        </w:rPr>
      </w:pPr>
      <w:r w:rsidRPr="00613D88">
        <w:rPr>
          <w:lang w:val="fr-FR"/>
        </w:rPr>
        <w:t>–</w:t>
      </w:r>
      <w:r w:rsidR="00B06EE0" w:rsidRPr="00613D88">
        <w:rPr>
          <w:lang w:val="fr-FR"/>
        </w:rPr>
        <w:tab/>
      </w:r>
      <w:r w:rsidRPr="00613D88">
        <w:rPr>
          <w:lang w:val="fr-FR"/>
        </w:rPr>
        <w:t>Daniel Caruso</w:t>
      </w:r>
      <w:proofErr w:type="spellStart"/>
      <w:r>
        <w:rPr>
          <w:lang w:val="zh-CN"/>
        </w:rPr>
        <w:t>先生</w:t>
      </w:r>
      <w:proofErr w:type="spellEnd"/>
      <w:r w:rsidRPr="00613D88">
        <w:rPr>
          <w:lang w:val="fr-FR"/>
        </w:rPr>
        <w:t>（</w:t>
      </w:r>
      <w:proofErr w:type="spellStart"/>
      <w:r>
        <w:rPr>
          <w:lang w:val="zh-CN"/>
        </w:rPr>
        <w:t>澳大利亚</w:t>
      </w:r>
      <w:proofErr w:type="spellEnd"/>
      <w:r w:rsidRPr="00613D88">
        <w:rPr>
          <w:lang w:val="fr-FR"/>
        </w:rPr>
        <w:t>）</w:t>
      </w:r>
    </w:p>
    <w:p w14:paraId="27181B87" w14:textId="60DE3BE7" w:rsidR="00EB0D71" w:rsidRPr="00613D88" w:rsidRDefault="00EB0D71" w:rsidP="00EB0D71">
      <w:pPr>
        <w:pStyle w:val="enumlev1"/>
        <w:rPr>
          <w:lang w:val="fr-FR"/>
        </w:rPr>
      </w:pPr>
      <w:r w:rsidRPr="00613D88">
        <w:rPr>
          <w:lang w:val="fr-FR"/>
        </w:rPr>
        <w:t>–</w:t>
      </w:r>
      <w:r w:rsidR="00B06EE0" w:rsidRPr="00613D88">
        <w:rPr>
          <w:lang w:val="fr-FR"/>
        </w:rPr>
        <w:tab/>
      </w:r>
      <w:r w:rsidRPr="00613D88">
        <w:rPr>
          <w:lang w:val="fr-FR"/>
        </w:rPr>
        <w:t>Erzhan Meiramov</w:t>
      </w:r>
      <w:proofErr w:type="spellStart"/>
      <w:r>
        <w:rPr>
          <w:lang w:val="zh-CN"/>
        </w:rPr>
        <w:t>先生</w:t>
      </w:r>
      <w:proofErr w:type="spellEnd"/>
      <w:r w:rsidRPr="00613D88">
        <w:rPr>
          <w:lang w:val="fr-FR"/>
        </w:rPr>
        <w:t>（</w:t>
      </w:r>
      <w:proofErr w:type="spellStart"/>
      <w:r>
        <w:rPr>
          <w:lang w:val="zh-CN"/>
        </w:rPr>
        <w:t>哈萨克斯坦</w:t>
      </w:r>
      <w:proofErr w:type="spellEnd"/>
      <w:r w:rsidRPr="00613D88">
        <w:rPr>
          <w:lang w:val="fr-FR"/>
        </w:rPr>
        <w:t>）</w:t>
      </w:r>
    </w:p>
    <w:p w14:paraId="62E4D1AC" w14:textId="48ACF225" w:rsidR="00EB0D71" w:rsidRPr="00613D88" w:rsidRDefault="00EB0D71" w:rsidP="00EB0D71">
      <w:pPr>
        <w:pStyle w:val="enumlev1"/>
        <w:rPr>
          <w:lang w:val="fr-FR"/>
        </w:rPr>
      </w:pPr>
      <w:r w:rsidRPr="00613D88">
        <w:rPr>
          <w:lang w:val="fr-FR"/>
        </w:rPr>
        <w:t>–</w:t>
      </w:r>
      <w:r w:rsidR="00B06EE0" w:rsidRPr="00613D88">
        <w:rPr>
          <w:lang w:val="fr-FR"/>
        </w:rPr>
        <w:tab/>
      </w:r>
      <w:r w:rsidRPr="00613D88">
        <w:rPr>
          <w:lang w:val="fr-FR"/>
        </w:rPr>
        <w:t>Szabolcs Szentleleky</w:t>
      </w:r>
      <w:proofErr w:type="spellStart"/>
      <w:r>
        <w:rPr>
          <w:lang w:val="zh-CN"/>
        </w:rPr>
        <w:t>先生</w:t>
      </w:r>
      <w:proofErr w:type="spellEnd"/>
      <w:r w:rsidRPr="00613D88">
        <w:rPr>
          <w:lang w:val="fr-FR"/>
        </w:rPr>
        <w:t>（</w:t>
      </w:r>
      <w:proofErr w:type="spellStart"/>
      <w:r>
        <w:rPr>
          <w:lang w:val="zh-CN"/>
        </w:rPr>
        <w:t>匈牙利</w:t>
      </w:r>
      <w:proofErr w:type="spellEnd"/>
      <w:r w:rsidRPr="00613D88">
        <w:rPr>
          <w:lang w:val="fr-FR"/>
        </w:rPr>
        <w:t>）</w:t>
      </w:r>
      <w:r>
        <w:rPr>
          <w:lang w:val="zh-CN"/>
        </w:rPr>
        <w:t>。</w:t>
      </w:r>
    </w:p>
    <w:p w14:paraId="7F4CA632" w14:textId="77777777" w:rsidR="00EB0D71" w:rsidRPr="00613D88" w:rsidRDefault="00EB0D71" w:rsidP="00EB0D71">
      <w:pPr>
        <w:rPr>
          <w:lang w:val="fr-FR"/>
        </w:rPr>
      </w:pPr>
      <w:r w:rsidRPr="00613D88">
        <w:rPr>
          <w:lang w:val="fr-FR"/>
        </w:rPr>
        <w:t>5</w:t>
      </w:r>
      <w:r w:rsidRPr="00613D88">
        <w:rPr>
          <w:lang w:val="fr-FR"/>
        </w:rPr>
        <w:tab/>
      </w:r>
      <w:r>
        <w:rPr>
          <w:lang w:val="zh-CN"/>
        </w:rPr>
        <w:t>在</w:t>
      </w:r>
      <w:r w:rsidRPr="00613D88">
        <w:rPr>
          <w:lang w:val="fr-FR"/>
        </w:rPr>
        <w:t>Vernita D. Harris</w:t>
      </w:r>
      <w:proofErr w:type="spellStart"/>
      <w:r>
        <w:rPr>
          <w:lang w:val="zh-CN"/>
        </w:rPr>
        <w:t>女士</w:t>
      </w:r>
      <w:proofErr w:type="spellEnd"/>
      <w:r w:rsidRPr="00613D88">
        <w:rPr>
          <w:lang w:val="fr-FR"/>
        </w:rPr>
        <w:t>（</w:t>
      </w:r>
      <w:proofErr w:type="spellStart"/>
      <w:r>
        <w:rPr>
          <w:lang w:val="zh-CN"/>
        </w:rPr>
        <w:t>美国</w:t>
      </w:r>
      <w:proofErr w:type="spellEnd"/>
      <w:r w:rsidRPr="00613D88">
        <w:rPr>
          <w:lang w:val="fr-FR"/>
        </w:rPr>
        <w:t>）</w:t>
      </w:r>
      <w:proofErr w:type="spellStart"/>
      <w:r>
        <w:rPr>
          <w:lang w:val="zh-CN"/>
        </w:rPr>
        <w:t>缺席的情况下</w:t>
      </w:r>
      <w:proofErr w:type="spellEnd"/>
      <w:r w:rsidRPr="00613D88">
        <w:rPr>
          <w:lang w:val="fr-FR"/>
        </w:rPr>
        <w:t>，</w:t>
      </w:r>
      <w:r w:rsidRPr="00613D88">
        <w:rPr>
          <w:lang w:val="fr-FR"/>
        </w:rPr>
        <w:t>CWG-FHR</w:t>
      </w:r>
      <w:r>
        <w:rPr>
          <w:lang w:val="zh-CN"/>
        </w:rPr>
        <w:t>第</w:t>
      </w:r>
      <w:r w:rsidRPr="00613D88">
        <w:rPr>
          <w:lang w:val="fr-FR"/>
        </w:rPr>
        <w:t>20</w:t>
      </w:r>
      <w:proofErr w:type="spellStart"/>
      <w:r>
        <w:rPr>
          <w:lang w:val="zh-CN"/>
        </w:rPr>
        <w:t>次会议由</w:t>
      </w:r>
      <w:proofErr w:type="spellEnd"/>
      <w:r w:rsidRPr="00613D88">
        <w:rPr>
          <w:lang w:val="fr-FR"/>
        </w:rPr>
        <w:t>Szabolcs Szentleleky</w:t>
      </w:r>
      <w:proofErr w:type="spellStart"/>
      <w:r>
        <w:rPr>
          <w:lang w:val="zh-CN"/>
        </w:rPr>
        <w:t>先生</w:t>
      </w:r>
      <w:proofErr w:type="spellEnd"/>
      <w:r w:rsidRPr="00613D88">
        <w:rPr>
          <w:lang w:val="fr-FR"/>
        </w:rPr>
        <w:t>（</w:t>
      </w:r>
      <w:proofErr w:type="spellStart"/>
      <w:r>
        <w:rPr>
          <w:lang w:val="zh-CN"/>
        </w:rPr>
        <w:t>匈牙利</w:t>
      </w:r>
      <w:proofErr w:type="spellEnd"/>
      <w:r w:rsidRPr="00613D88">
        <w:rPr>
          <w:lang w:val="fr-FR"/>
        </w:rPr>
        <w:t>）</w:t>
      </w:r>
      <w:proofErr w:type="spellStart"/>
      <w:r>
        <w:rPr>
          <w:lang w:val="zh-CN"/>
        </w:rPr>
        <w:t>主持</w:t>
      </w:r>
      <w:proofErr w:type="spellEnd"/>
      <w:r w:rsidRPr="00613D88">
        <w:rPr>
          <w:lang w:val="fr-FR"/>
        </w:rPr>
        <w:t>，</w:t>
      </w:r>
      <w:proofErr w:type="spellStart"/>
      <w:r>
        <w:rPr>
          <w:lang w:val="zh-CN"/>
        </w:rPr>
        <w:t>并由以下五位副主席协助</w:t>
      </w:r>
      <w:proofErr w:type="spellEnd"/>
      <w:r w:rsidRPr="00613D88">
        <w:rPr>
          <w:lang w:val="fr-FR"/>
        </w:rPr>
        <w:t>：</w:t>
      </w:r>
    </w:p>
    <w:p w14:paraId="3A90CFE3" w14:textId="7DB40074" w:rsidR="00EB0D71" w:rsidRPr="00613D88" w:rsidRDefault="00EB0D71" w:rsidP="00EB0D71">
      <w:pPr>
        <w:pStyle w:val="enumlev1"/>
        <w:rPr>
          <w:lang w:val="fr-FR"/>
        </w:rPr>
      </w:pPr>
      <w:r w:rsidRPr="00613D88">
        <w:rPr>
          <w:lang w:val="fr-FR"/>
        </w:rPr>
        <w:t>–</w:t>
      </w:r>
      <w:r w:rsidR="00B071FB" w:rsidRPr="00613D88">
        <w:rPr>
          <w:lang w:val="fr-FR"/>
        </w:rPr>
        <w:tab/>
      </w:r>
      <w:r w:rsidRPr="00613D88">
        <w:rPr>
          <w:lang w:val="fr-FR"/>
        </w:rPr>
        <w:t>Seynabou Cisse Seck</w:t>
      </w:r>
      <w:proofErr w:type="spellStart"/>
      <w:r>
        <w:rPr>
          <w:lang w:val="zh-CN"/>
        </w:rPr>
        <w:t>女士</w:t>
      </w:r>
      <w:proofErr w:type="spellEnd"/>
      <w:r w:rsidRPr="00613D88">
        <w:rPr>
          <w:lang w:val="fr-FR"/>
        </w:rPr>
        <w:t>（</w:t>
      </w:r>
      <w:proofErr w:type="spellStart"/>
      <w:r>
        <w:rPr>
          <w:lang w:val="zh-CN"/>
        </w:rPr>
        <w:t>塞内加尔</w:t>
      </w:r>
      <w:proofErr w:type="spellEnd"/>
      <w:r w:rsidRPr="00613D88">
        <w:rPr>
          <w:lang w:val="fr-FR"/>
        </w:rPr>
        <w:t>）</w:t>
      </w:r>
    </w:p>
    <w:p w14:paraId="60841DE4" w14:textId="7D825F31" w:rsidR="00EB0D71" w:rsidRPr="00613D88" w:rsidRDefault="00EB0D71" w:rsidP="00EB0D71">
      <w:pPr>
        <w:pStyle w:val="enumlev1"/>
        <w:rPr>
          <w:lang w:val="fr-FR"/>
        </w:rPr>
      </w:pPr>
      <w:r w:rsidRPr="00613D88">
        <w:rPr>
          <w:lang w:val="fr-FR"/>
        </w:rPr>
        <w:t>–</w:t>
      </w:r>
      <w:r w:rsidR="00B071FB" w:rsidRPr="00613D88">
        <w:rPr>
          <w:lang w:val="fr-FR"/>
        </w:rPr>
        <w:tab/>
      </w:r>
      <w:r w:rsidRPr="00613D88">
        <w:rPr>
          <w:lang w:val="fr-FR"/>
        </w:rPr>
        <w:t>Ronaldo Moura</w:t>
      </w:r>
      <w:proofErr w:type="spellStart"/>
      <w:r>
        <w:rPr>
          <w:lang w:val="zh-CN"/>
        </w:rPr>
        <w:t>先生</w:t>
      </w:r>
      <w:proofErr w:type="spellEnd"/>
      <w:r w:rsidRPr="00613D88">
        <w:rPr>
          <w:lang w:val="fr-FR"/>
        </w:rPr>
        <w:t>（</w:t>
      </w:r>
      <w:proofErr w:type="spellStart"/>
      <w:r>
        <w:rPr>
          <w:lang w:val="zh-CN"/>
        </w:rPr>
        <w:t>巴西</w:t>
      </w:r>
      <w:proofErr w:type="spellEnd"/>
      <w:r w:rsidRPr="00613D88">
        <w:rPr>
          <w:lang w:val="fr-FR"/>
        </w:rPr>
        <w:t>）</w:t>
      </w:r>
    </w:p>
    <w:p w14:paraId="477B9948" w14:textId="0D8AE127" w:rsidR="00EB0D71" w:rsidRPr="00613D88" w:rsidRDefault="00EB0D71" w:rsidP="00EB0D71">
      <w:pPr>
        <w:pStyle w:val="enumlev1"/>
        <w:rPr>
          <w:lang w:val="fr-FR"/>
        </w:rPr>
      </w:pPr>
      <w:r w:rsidRPr="00613D88">
        <w:rPr>
          <w:lang w:val="fr-FR"/>
        </w:rPr>
        <w:t>–</w:t>
      </w:r>
      <w:r w:rsidR="00B071FB" w:rsidRPr="00613D88">
        <w:rPr>
          <w:lang w:val="fr-FR"/>
        </w:rPr>
        <w:tab/>
      </w:r>
      <w:r w:rsidRPr="00613D88">
        <w:rPr>
          <w:lang w:val="fr-FR"/>
        </w:rPr>
        <w:t>Noha Gaafar</w:t>
      </w:r>
      <w:proofErr w:type="spellStart"/>
      <w:r>
        <w:rPr>
          <w:lang w:val="zh-CN"/>
        </w:rPr>
        <w:t>女士</w:t>
      </w:r>
      <w:proofErr w:type="spellEnd"/>
      <w:r w:rsidRPr="00613D88">
        <w:rPr>
          <w:lang w:val="fr-FR"/>
        </w:rPr>
        <w:t>（</w:t>
      </w:r>
      <w:proofErr w:type="spellStart"/>
      <w:r>
        <w:rPr>
          <w:lang w:val="zh-CN"/>
        </w:rPr>
        <w:t>埃及</w:t>
      </w:r>
      <w:proofErr w:type="spellEnd"/>
      <w:r w:rsidRPr="00613D88">
        <w:rPr>
          <w:lang w:val="fr-FR"/>
        </w:rPr>
        <w:t>）</w:t>
      </w:r>
    </w:p>
    <w:p w14:paraId="6BB436BF" w14:textId="23EC3C82" w:rsidR="00EB0D71" w:rsidRPr="00613D88" w:rsidRDefault="00EB0D71" w:rsidP="00EB0D71">
      <w:pPr>
        <w:pStyle w:val="enumlev1"/>
        <w:rPr>
          <w:lang w:val="fr-FR"/>
        </w:rPr>
      </w:pPr>
      <w:r w:rsidRPr="00613D88">
        <w:rPr>
          <w:lang w:val="fr-FR"/>
        </w:rPr>
        <w:t>–</w:t>
      </w:r>
      <w:r w:rsidR="00B071FB" w:rsidRPr="00613D88">
        <w:rPr>
          <w:lang w:val="fr-FR"/>
        </w:rPr>
        <w:tab/>
      </w:r>
      <w:r w:rsidRPr="00613D88">
        <w:rPr>
          <w:lang w:val="fr-FR"/>
        </w:rPr>
        <w:t xml:space="preserve">ASP – </w:t>
      </w:r>
      <w:proofErr w:type="spellStart"/>
      <w:r>
        <w:rPr>
          <w:lang w:val="zh-CN"/>
        </w:rPr>
        <w:t>空缺</w:t>
      </w:r>
      <w:proofErr w:type="spellEnd"/>
    </w:p>
    <w:p w14:paraId="7BA5242F" w14:textId="38DA0891" w:rsidR="00EB0D71" w:rsidRPr="00613D88" w:rsidRDefault="00EB0D71" w:rsidP="00EB0D71">
      <w:pPr>
        <w:pStyle w:val="enumlev1"/>
        <w:rPr>
          <w:lang w:val="fr-FR"/>
        </w:rPr>
      </w:pPr>
      <w:r w:rsidRPr="00613D88">
        <w:rPr>
          <w:lang w:val="fr-FR"/>
        </w:rPr>
        <w:t>–</w:t>
      </w:r>
      <w:r w:rsidR="00B071FB" w:rsidRPr="00613D88">
        <w:rPr>
          <w:lang w:val="fr-FR"/>
        </w:rPr>
        <w:tab/>
      </w:r>
      <w:r w:rsidRPr="00613D88">
        <w:rPr>
          <w:lang w:val="fr-FR"/>
        </w:rPr>
        <w:t>Erzhan Meiramov</w:t>
      </w:r>
      <w:proofErr w:type="spellStart"/>
      <w:r>
        <w:rPr>
          <w:lang w:val="zh-CN"/>
        </w:rPr>
        <w:t>先生</w:t>
      </w:r>
      <w:proofErr w:type="spellEnd"/>
      <w:r w:rsidRPr="00613D88">
        <w:rPr>
          <w:lang w:val="fr-FR"/>
        </w:rPr>
        <w:t>（</w:t>
      </w:r>
      <w:proofErr w:type="spellStart"/>
      <w:r>
        <w:rPr>
          <w:lang w:val="zh-CN"/>
        </w:rPr>
        <w:t>哈萨克斯坦</w:t>
      </w:r>
      <w:proofErr w:type="spellEnd"/>
      <w:r w:rsidRPr="00613D88">
        <w:rPr>
          <w:lang w:val="fr-FR"/>
        </w:rPr>
        <w:t>）（</w:t>
      </w:r>
      <w:proofErr w:type="spellStart"/>
      <w:r>
        <w:rPr>
          <w:lang w:val="zh-CN"/>
        </w:rPr>
        <w:t>缺席</w:t>
      </w:r>
      <w:proofErr w:type="spellEnd"/>
      <w:r w:rsidRPr="00613D88">
        <w:rPr>
          <w:lang w:val="fr-FR"/>
        </w:rPr>
        <w:t>）</w:t>
      </w:r>
      <w:r>
        <w:rPr>
          <w:lang w:val="zh-CN"/>
        </w:rPr>
        <w:t>。</w:t>
      </w:r>
    </w:p>
    <w:p w14:paraId="096A275F" w14:textId="77777777" w:rsidR="00EB0D71" w:rsidRPr="00613D88" w:rsidRDefault="00EB0D71" w:rsidP="00B071FB">
      <w:pPr>
        <w:keepNext/>
        <w:rPr>
          <w:rFonts w:cs="Calibri"/>
          <w:szCs w:val="24"/>
          <w:lang w:val="fr-FR"/>
        </w:rPr>
      </w:pPr>
      <w:r w:rsidRPr="00613D88">
        <w:rPr>
          <w:lang w:val="fr-FR"/>
        </w:rPr>
        <w:lastRenderedPageBreak/>
        <w:t>6</w:t>
      </w:r>
      <w:r w:rsidRPr="00613D88">
        <w:rPr>
          <w:lang w:val="fr-FR"/>
        </w:rPr>
        <w:tab/>
        <w:t>CWG-FHR</w:t>
      </w:r>
      <w:r>
        <w:rPr>
          <w:lang w:val="zh-CN"/>
        </w:rPr>
        <w:t>第</w:t>
      </w:r>
      <w:r w:rsidRPr="00613D88">
        <w:rPr>
          <w:lang w:val="fr-FR"/>
        </w:rPr>
        <w:t>21</w:t>
      </w:r>
      <w:r>
        <w:rPr>
          <w:lang w:val="zh-CN"/>
        </w:rPr>
        <w:t>和</w:t>
      </w:r>
      <w:r w:rsidRPr="00613D88">
        <w:rPr>
          <w:lang w:val="fr-FR"/>
        </w:rPr>
        <w:t>22</w:t>
      </w:r>
      <w:proofErr w:type="spellStart"/>
      <w:r>
        <w:rPr>
          <w:lang w:val="zh-CN"/>
        </w:rPr>
        <w:t>次会议由</w:t>
      </w:r>
      <w:proofErr w:type="spellEnd"/>
      <w:r w:rsidRPr="00613D88">
        <w:rPr>
          <w:lang w:val="fr-FR"/>
        </w:rPr>
        <w:t>Vernita D. Harris</w:t>
      </w:r>
      <w:proofErr w:type="spellStart"/>
      <w:r>
        <w:rPr>
          <w:lang w:val="zh-CN"/>
        </w:rPr>
        <w:t>女士</w:t>
      </w:r>
      <w:proofErr w:type="spellEnd"/>
      <w:r w:rsidRPr="00613D88">
        <w:rPr>
          <w:lang w:val="fr-FR"/>
        </w:rPr>
        <w:t>（</w:t>
      </w:r>
      <w:proofErr w:type="spellStart"/>
      <w:r>
        <w:rPr>
          <w:lang w:val="zh-CN"/>
        </w:rPr>
        <w:t>美国</w:t>
      </w:r>
      <w:proofErr w:type="spellEnd"/>
      <w:r w:rsidRPr="00613D88">
        <w:rPr>
          <w:lang w:val="fr-FR"/>
        </w:rPr>
        <w:t>）</w:t>
      </w:r>
      <w:proofErr w:type="spellStart"/>
      <w:r>
        <w:rPr>
          <w:lang w:val="zh-CN"/>
        </w:rPr>
        <w:t>主持</w:t>
      </w:r>
      <w:proofErr w:type="spellEnd"/>
      <w:r w:rsidRPr="00613D88">
        <w:rPr>
          <w:lang w:val="fr-FR"/>
        </w:rPr>
        <w:t>，</w:t>
      </w:r>
      <w:proofErr w:type="spellStart"/>
      <w:r>
        <w:rPr>
          <w:lang w:val="zh-CN"/>
        </w:rPr>
        <w:t>并由以下五位副主席协助</w:t>
      </w:r>
      <w:proofErr w:type="spellEnd"/>
      <w:r w:rsidRPr="00613D88">
        <w:rPr>
          <w:lang w:val="fr-FR"/>
        </w:rPr>
        <w:t>：</w:t>
      </w:r>
    </w:p>
    <w:p w14:paraId="48752A93" w14:textId="6128B63F" w:rsidR="00EB0D71" w:rsidRPr="00613D88" w:rsidRDefault="00EB0D71" w:rsidP="00EB0D71">
      <w:pPr>
        <w:pStyle w:val="enumlev1"/>
        <w:rPr>
          <w:lang w:val="fr-FR"/>
        </w:rPr>
      </w:pPr>
      <w:r w:rsidRPr="00613D88">
        <w:rPr>
          <w:lang w:val="fr-FR"/>
        </w:rPr>
        <w:t>–</w:t>
      </w:r>
      <w:r w:rsidR="003A0E1B" w:rsidRPr="00613D88">
        <w:rPr>
          <w:lang w:val="fr-FR"/>
        </w:rPr>
        <w:tab/>
      </w:r>
      <w:r w:rsidRPr="00613D88">
        <w:rPr>
          <w:lang w:val="fr-FR"/>
        </w:rPr>
        <w:t>Seynabou Cisse Seck</w:t>
      </w:r>
      <w:proofErr w:type="spellStart"/>
      <w:r>
        <w:rPr>
          <w:lang w:val="zh-CN"/>
        </w:rPr>
        <w:t>女士</w:t>
      </w:r>
      <w:proofErr w:type="spellEnd"/>
      <w:r w:rsidRPr="00613D88">
        <w:rPr>
          <w:lang w:val="fr-FR"/>
        </w:rPr>
        <w:t>（</w:t>
      </w:r>
      <w:proofErr w:type="spellStart"/>
      <w:r>
        <w:rPr>
          <w:lang w:val="zh-CN"/>
        </w:rPr>
        <w:t>塞内加尔</w:t>
      </w:r>
      <w:proofErr w:type="spellEnd"/>
      <w:r w:rsidRPr="00613D88">
        <w:rPr>
          <w:lang w:val="fr-FR"/>
        </w:rPr>
        <w:t>）</w:t>
      </w:r>
    </w:p>
    <w:p w14:paraId="51EF12AE" w14:textId="71E46F8B" w:rsidR="00EB0D71" w:rsidRPr="00613D88" w:rsidRDefault="00EB0D71" w:rsidP="00EB0D71">
      <w:pPr>
        <w:pStyle w:val="enumlev1"/>
        <w:rPr>
          <w:lang w:val="fr-FR"/>
        </w:rPr>
      </w:pPr>
      <w:r w:rsidRPr="00613D88">
        <w:rPr>
          <w:lang w:val="fr-FR"/>
        </w:rPr>
        <w:t>–</w:t>
      </w:r>
      <w:r w:rsidR="003A0E1B" w:rsidRPr="00613D88">
        <w:rPr>
          <w:lang w:val="fr-FR"/>
        </w:rPr>
        <w:tab/>
      </w:r>
      <w:r w:rsidRPr="00613D88">
        <w:rPr>
          <w:lang w:val="fr-FR"/>
        </w:rPr>
        <w:t>Ronaldo Moura</w:t>
      </w:r>
      <w:proofErr w:type="spellStart"/>
      <w:r>
        <w:rPr>
          <w:lang w:val="zh-CN"/>
        </w:rPr>
        <w:t>先生</w:t>
      </w:r>
      <w:proofErr w:type="spellEnd"/>
      <w:r w:rsidRPr="00613D88">
        <w:rPr>
          <w:lang w:val="fr-FR"/>
        </w:rPr>
        <w:t>（</w:t>
      </w:r>
      <w:proofErr w:type="spellStart"/>
      <w:r>
        <w:rPr>
          <w:lang w:val="zh-CN"/>
        </w:rPr>
        <w:t>巴西</w:t>
      </w:r>
      <w:proofErr w:type="spellEnd"/>
      <w:r w:rsidRPr="00613D88">
        <w:rPr>
          <w:lang w:val="fr-FR"/>
        </w:rPr>
        <w:t>）</w:t>
      </w:r>
    </w:p>
    <w:p w14:paraId="5BAC8FC6" w14:textId="63980D79" w:rsidR="00EB0D71" w:rsidRPr="00613D88" w:rsidRDefault="00EB0D71" w:rsidP="00EB0D71">
      <w:pPr>
        <w:pStyle w:val="enumlev1"/>
        <w:rPr>
          <w:lang w:val="fr-FR"/>
        </w:rPr>
      </w:pPr>
      <w:r w:rsidRPr="00613D88">
        <w:rPr>
          <w:lang w:val="fr-FR"/>
        </w:rPr>
        <w:t>–</w:t>
      </w:r>
      <w:r w:rsidR="003A0E1B" w:rsidRPr="00613D88">
        <w:rPr>
          <w:lang w:val="fr-FR"/>
        </w:rPr>
        <w:tab/>
      </w:r>
      <w:r w:rsidRPr="00613D88">
        <w:rPr>
          <w:lang w:val="fr-FR"/>
        </w:rPr>
        <w:t>Noha Gaafar</w:t>
      </w:r>
      <w:proofErr w:type="spellStart"/>
      <w:r>
        <w:rPr>
          <w:lang w:val="zh-CN"/>
        </w:rPr>
        <w:t>女士</w:t>
      </w:r>
      <w:proofErr w:type="spellEnd"/>
      <w:r w:rsidRPr="00613D88">
        <w:rPr>
          <w:lang w:val="fr-FR"/>
        </w:rPr>
        <w:t>（</w:t>
      </w:r>
      <w:proofErr w:type="spellStart"/>
      <w:r>
        <w:rPr>
          <w:lang w:val="zh-CN"/>
        </w:rPr>
        <w:t>埃及</w:t>
      </w:r>
      <w:proofErr w:type="spellEnd"/>
      <w:r w:rsidRPr="00613D88">
        <w:rPr>
          <w:lang w:val="fr-FR"/>
        </w:rPr>
        <w:t>）</w:t>
      </w:r>
    </w:p>
    <w:p w14:paraId="061494B9" w14:textId="5B49BD09" w:rsidR="00EB0D71" w:rsidRPr="00613D88" w:rsidRDefault="00EB0D71" w:rsidP="00EB0D71">
      <w:pPr>
        <w:pStyle w:val="enumlev1"/>
        <w:rPr>
          <w:lang w:val="fr-FR"/>
        </w:rPr>
      </w:pPr>
      <w:r w:rsidRPr="00613D88">
        <w:rPr>
          <w:lang w:val="fr-FR"/>
        </w:rPr>
        <w:t>–</w:t>
      </w:r>
      <w:r w:rsidR="003A0E1B" w:rsidRPr="00613D88">
        <w:rPr>
          <w:lang w:val="fr-FR"/>
        </w:rPr>
        <w:tab/>
      </w:r>
      <w:r w:rsidRPr="00613D88">
        <w:rPr>
          <w:lang w:val="fr-FR"/>
        </w:rPr>
        <w:t>Minjung Park</w:t>
      </w:r>
      <w:proofErr w:type="spellStart"/>
      <w:r>
        <w:rPr>
          <w:lang w:val="zh-CN"/>
        </w:rPr>
        <w:t>女士</w:t>
      </w:r>
      <w:proofErr w:type="spellEnd"/>
      <w:r w:rsidRPr="00613D88">
        <w:rPr>
          <w:lang w:val="fr-FR"/>
        </w:rPr>
        <w:t>（</w:t>
      </w:r>
      <w:proofErr w:type="spellStart"/>
      <w:r>
        <w:rPr>
          <w:lang w:val="zh-CN"/>
        </w:rPr>
        <w:t>韩国</w:t>
      </w:r>
      <w:proofErr w:type="spellEnd"/>
      <w:r w:rsidRPr="00613D88">
        <w:rPr>
          <w:lang w:val="fr-FR"/>
        </w:rPr>
        <w:t>）</w:t>
      </w:r>
    </w:p>
    <w:p w14:paraId="5E9A1F00" w14:textId="36E5F98E" w:rsidR="00EB0D71" w:rsidRPr="00DA2388" w:rsidRDefault="00EB0D71" w:rsidP="00EB0D71">
      <w:pPr>
        <w:pStyle w:val="enumlev1"/>
      </w:pPr>
      <w:r w:rsidRPr="00C93AED">
        <w:t>–</w:t>
      </w:r>
      <w:r w:rsidR="003A0E1B">
        <w:tab/>
      </w:r>
      <w:r w:rsidRPr="00C93AED">
        <w:t>Erzhan Meiramov</w:t>
      </w:r>
      <w:proofErr w:type="spellStart"/>
      <w:r>
        <w:rPr>
          <w:lang w:val="zh-CN"/>
        </w:rPr>
        <w:t>先生</w:t>
      </w:r>
      <w:r w:rsidRPr="00C93AED">
        <w:t>（</w:t>
      </w:r>
      <w:r>
        <w:rPr>
          <w:lang w:val="zh-CN"/>
        </w:rPr>
        <w:t>哈萨克斯坦</w:t>
      </w:r>
      <w:proofErr w:type="spellEnd"/>
      <w:r w:rsidRPr="00C93AED">
        <w:t>）</w:t>
      </w:r>
    </w:p>
    <w:p w14:paraId="59A419C4" w14:textId="2FA39D05" w:rsidR="00EB0D71" w:rsidRPr="00DA2388" w:rsidRDefault="00EB0D71" w:rsidP="00EB0D71">
      <w:pPr>
        <w:pStyle w:val="enumlev1"/>
      </w:pPr>
      <w:r w:rsidRPr="00C93AED">
        <w:t>–</w:t>
      </w:r>
      <w:r w:rsidR="003A0E1B">
        <w:tab/>
      </w:r>
      <w:r w:rsidRPr="00C93AED">
        <w:t xml:space="preserve">Szabolcs </w:t>
      </w:r>
      <w:proofErr w:type="spellStart"/>
      <w:r w:rsidRPr="00C93AED">
        <w:t>Szentleleky</w:t>
      </w:r>
      <w:r>
        <w:rPr>
          <w:lang w:val="zh-CN"/>
        </w:rPr>
        <w:t>先生</w:t>
      </w:r>
      <w:r w:rsidRPr="00C93AED">
        <w:t>（</w:t>
      </w:r>
      <w:r>
        <w:rPr>
          <w:lang w:val="zh-CN"/>
        </w:rPr>
        <w:t>匈牙利</w:t>
      </w:r>
      <w:proofErr w:type="spellEnd"/>
      <w:r w:rsidRPr="00C93AED">
        <w:t>）</w:t>
      </w:r>
      <w:r>
        <w:rPr>
          <w:lang w:val="zh-CN"/>
        </w:rPr>
        <w:t>。</w:t>
      </w:r>
    </w:p>
    <w:p w14:paraId="077D5B15" w14:textId="77777777" w:rsidR="00EB0D71" w:rsidRPr="00982711" w:rsidRDefault="00EB0D71" w:rsidP="00EB0D71">
      <w:pPr>
        <w:pStyle w:val="Heading1"/>
      </w:pPr>
      <w:r>
        <w:rPr>
          <w:bCs/>
          <w:lang w:val="zh-CN"/>
        </w:rPr>
        <w:t>二</w:t>
      </w:r>
      <w:r w:rsidRPr="00211BCB">
        <w:rPr>
          <w:bCs/>
        </w:rPr>
        <w:tab/>
      </w:r>
      <w:r w:rsidRPr="00C93AED">
        <w:rPr>
          <w:bCs/>
        </w:rPr>
        <w:t>CWG-FHR</w:t>
      </w:r>
      <w:proofErr w:type="spellStart"/>
      <w:r>
        <w:rPr>
          <w:bCs/>
          <w:lang w:val="zh-CN"/>
        </w:rPr>
        <w:t>的活动</w:t>
      </w:r>
      <w:proofErr w:type="spellEnd"/>
    </w:p>
    <w:p w14:paraId="6F1BF72A" w14:textId="693C7961" w:rsidR="00EB0D71" w:rsidRPr="00A14C84" w:rsidRDefault="00EB0D71" w:rsidP="00EB0D71">
      <w:r w:rsidRPr="00C93AED">
        <w:t>7</w:t>
      </w:r>
      <w:r>
        <w:tab/>
      </w:r>
      <w:r w:rsidRPr="00C93AED">
        <w:t>2023</w:t>
      </w:r>
      <w:r>
        <w:rPr>
          <w:lang w:val="zh-CN"/>
        </w:rPr>
        <w:t>年</w:t>
      </w:r>
      <w:r w:rsidRPr="00C93AED">
        <w:t>10</w:t>
      </w:r>
      <w:r>
        <w:rPr>
          <w:lang w:val="zh-CN"/>
        </w:rPr>
        <w:t>月</w:t>
      </w:r>
      <w:r w:rsidRPr="00C93AED">
        <w:t>11</w:t>
      </w:r>
      <w:proofErr w:type="spellStart"/>
      <w:r>
        <w:rPr>
          <w:lang w:val="zh-CN"/>
        </w:rPr>
        <w:t>日至</w:t>
      </w:r>
      <w:proofErr w:type="spellEnd"/>
      <w:r w:rsidRPr="00C93AED">
        <w:t>13</w:t>
      </w:r>
      <w:proofErr w:type="spellStart"/>
      <w:r>
        <w:rPr>
          <w:lang w:val="zh-CN"/>
        </w:rPr>
        <w:t>日举行的</w:t>
      </w:r>
      <w:proofErr w:type="spellEnd"/>
      <w:r w:rsidRPr="00C93AED">
        <w:t>CWG-FHR</w:t>
      </w:r>
      <w:r>
        <w:rPr>
          <w:lang w:val="zh-CN"/>
        </w:rPr>
        <w:t>第</w:t>
      </w:r>
      <w:r w:rsidRPr="00C93AED">
        <w:t>16</w:t>
      </w:r>
      <w:proofErr w:type="spellStart"/>
      <w:r>
        <w:rPr>
          <w:lang w:val="zh-CN"/>
        </w:rPr>
        <w:t>次会议的主要成果</w:t>
      </w:r>
      <w:proofErr w:type="spellEnd"/>
      <w:r w:rsidRPr="00C93AED">
        <w:t>：</w:t>
      </w:r>
      <w:hyperlink r:id="rId8" w:history="1">
        <w:r w:rsidRPr="000523F5">
          <w:rPr>
            <w:rStyle w:val="Hyperlink"/>
            <w:rFonts w:asciiTheme="minorHAnsi" w:eastAsia="STKaiti" w:hAnsiTheme="minorHAnsi"/>
            <w:u w:val="single"/>
          </w:rPr>
          <w:t>www.itu.int/md/S23-CWGFHR16-C-0026/en</w:t>
        </w:r>
      </w:hyperlink>
      <w:r>
        <w:rPr>
          <w:rFonts w:hint="eastAsia"/>
        </w:rPr>
        <w:t>。</w:t>
      </w:r>
      <w:hyperlink r:id="rId9" w:history="1"/>
    </w:p>
    <w:p w14:paraId="1EE5EB7D" w14:textId="77777777" w:rsidR="00EB0D71" w:rsidRPr="00A14C84" w:rsidRDefault="00EB0D71" w:rsidP="00EB0D71">
      <w:r w:rsidRPr="00AF3A85">
        <w:t>8</w:t>
      </w:r>
      <w:r w:rsidRPr="00AF3A85">
        <w:tab/>
        <w:t>2024</w:t>
      </w:r>
      <w:r>
        <w:rPr>
          <w:lang w:val="zh-CN"/>
        </w:rPr>
        <w:t>年</w:t>
      </w:r>
      <w:r w:rsidRPr="00AF3A85">
        <w:t>1</w:t>
      </w:r>
      <w:r>
        <w:rPr>
          <w:lang w:val="zh-CN"/>
        </w:rPr>
        <w:t>月</w:t>
      </w:r>
      <w:r w:rsidRPr="00AF3A85">
        <w:t>24</w:t>
      </w:r>
      <w:proofErr w:type="spellStart"/>
      <w:r>
        <w:rPr>
          <w:lang w:val="zh-CN"/>
        </w:rPr>
        <w:t>日至</w:t>
      </w:r>
      <w:proofErr w:type="spellEnd"/>
      <w:r w:rsidRPr="00AF3A85">
        <w:t>26</w:t>
      </w:r>
      <w:proofErr w:type="spellStart"/>
      <w:r>
        <w:rPr>
          <w:lang w:val="zh-CN"/>
        </w:rPr>
        <w:t>日举行的</w:t>
      </w:r>
      <w:proofErr w:type="spellEnd"/>
      <w:r w:rsidRPr="00AF3A85">
        <w:t>CWG-FHR</w:t>
      </w:r>
      <w:r>
        <w:rPr>
          <w:lang w:val="zh-CN"/>
        </w:rPr>
        <w:t>第</w:t>
      </w:r>
      <w:r w:rsidRPr="00AF3A85">
        <w:t>17</w:t>
      </w:r>
      <w:proofErr w:type="spellStart"/>
      <w:r>
        <w:rPr>
          <w:lang w:val="zh-CN"/>
        </w:rPr>
        <w:t>次会议的主要成果</w:t>
      </w:r>
      <w:proofErr w:type="spellEnd"/>
      <w:r w:rsidRPr="00AF3A85">
        <w:rPr>
          <w:rFonts w:hint="eastAsia"/>
        </w:rPr>
        <w:t>：</w:t>
      </w:r>
      <w:hyperlink r:id="rId10" w:history="1">
        <w:r w:rsidRPr="000523F5">
          <w:rPr>
            <w:rStyle w:val="Hyperlink"/>
            <w:rFonts w:asciiTheme="minorHAnsi" w:eastAsia="STKaiti" w:hAnsiTheme="minorHAnsi"/>
            <w:u w:val="single"/>
          </w:rPr>
          <w:t>www.itu.int/md/S24-CWGFHR17-C-0024/en</w:t>
        </w:r>
      </w:hyperlink>
      <w:r>
        <w:rPr>
          <w:rFonts w:hint="eastAsia"/>
        </w:rPr>
        <w:t>。</w:t>
      </w:r>
      <w:hyperlink r:id="rId11" w:history="1"/>
    </w:p>
    <w:p w14:paraId="7587DD2B" w14:textId="77777777" w:rsidR="00EB0D71" w:rsidRDefault="00EB0D71" w:rsidP="00E8677D">
      <w:pPr>
        <w:autoSpaceDN/>
      </w:pPr>
      <w:r w:rsidRPr="00AF3A85">
        <w:t>9</w:t>
      </w:r>
      <w:r w:rsidRPr="00AF3A85">
        <w:tab/>
        <w:t>2024</w:t>
      </w:r>
      <w:r>
        <w:rPr>
          <w:lang w:val="zh-CN"/>
        </w:rPr>
        <w:t>年</w:t>
      </w:r>
      <w:r w:rsidRPr="00AF3A85">
        <w:t>6</w:t>
      </w:r>
      <w:r>
        <w:rPr>
          <w:lang w:val="zh-CN"/>
        </w:rPr>
        <w:t>月</w:t>
      </w:r>
      <w:r w:rsidRPr="00AF3A85">
        <w:t>3</w:t>
      </w:r>
      <w:proofErr w:type="spellStart"/>
      <w:r>
        <w:rPr>
          <w:lang w:val="zh-CN"/>
        </w:rPr>
        <w:t>日举行的</w:t>
      </w:r>
      <w:proofErr w:type="spellEnd"/>
      <w:r w:rsidRPr="00AF3A85">
        <w:t>CWG-FHR</w:t>
      </w:r>
      <w:r>
        <w:rPr>
          <w:lang w:val="zh-CN"/>
        </w:rPr>
        <w:t>第</w:t>
      </w:r>
      <w:r w:rsidRPr="00AF3A85">
        <w:t>18</w:t>
      </w:r>
      <w:proofErr w:type="spellStart"/>
      <w:r>
        <w:rPr>
          <w:lang w:val="zh-CN"/>
        </w:rPr>
        <w:t>次会议的主要成果</w:t>
      </w:r>
      <w:proofErr w:type="spellEnd"/>
      <w:r w:rsidRPr="00AF3A85">
        <w:rPr>
          <w:rFonts w:hint="eastAsia"/>
        </w:rPr>
        <w:t>：</w:t>
      </w:r>
      <w:hyperlink r:id="rId12" w:history="1">
        <w:r w:rsidRPr="000523F5">
          <w:rPr>
            <w:rStyle w:val="Hyperlink"/>
            <w:rFonts w:asciiTheme="minorHAnsi" w:eastAsia="STKaiti" w:hAnsiTheme="minorHAnsi"/>
            <w:u w:val="single"/>
          </w:rPr>
          <w:t>www.itu.int/md/S24-CWGFHR18-C-0009/en</w:t>
        </w:r>
      </w:hyperlink>
      <w:r>
        <w:rPr>
          <w:rFonts w:hint="eastAsia"/>
          <w:lang w:val="zh-CN"/>
        </w:rPr>
        <w:t>。</w:t>
      </w:r>
      <w:hyperlink r:id="rId13" w:history="1"/>
    </w:p>
    <w:p w14:paraId="783CB4C0" w14:textId="77777777" w:rsidR="00EB0D71" w:rsidRDefault="00EB0D71" w:rsidP="00EB0D71">
      <w:r w:rsidRPr="00AF3A85">
        <w:t>10</w:t>
      </w:r>
      <w:r w:rsidRPr="00AF3A85">
        <w:tab/>
        <w:t>2024</w:t>
      </w:r>
      <w:r>
        <w:rPr>
          <w:lang w:val="zh-CN"/>
        </w:rPr>
        <w:t>年</w:t>
      </w:r>
      <w:r w:rsidRPr="00AF3A85">
        <w:t>10</w:t>
      </w:r>
      <w:r>
        <w:rPr>
          <w:lang w:val="zh-CN"/>
        </w:rPr>
        <w:t>月</w:t>
      </w:r>
      <w:r w:rsidRPr="00AF3A85">
        <w:t>7</w:t>
      </w:r>
      <w:proofErr w:type="spellStart"/>
      <w:r>
        <w:rPr>
          <w:lang w:val="zh-CN"/>
        </w:rPr>
        <w:t>日至</w:t>
      </w:r>
      <w:proofErr w:type="spellEnd"/>
      <w:r w:rsidRPr="00AF3A85">
        <w:t>9</w:t>
      </w:r>
      <w:proofErr w:type="spellStart"/>
      <w:r>
        <w:rPr>
          <w:lang w:val="zh-CN"/>
        </w:rPr>
        <w:t>日举行的</w:t>
      </w:r>
      <w:proofErr w:type="spellEnd"/>
      <w:r w:rsidRPr="00AF3A85">
        <w:t>CWG-FHR</w:t>
      </w:r>
      <w:r>
        <w:rPr>
          <w:lang w:val="zh-CN"/>
        </w:rPr>
        <w:t>第</w:t>
      </w:r>
      <w:r w:rsidRPr="00AF3A85">
        <w:t>19</w:t>
      </w:r>
      <w:proofErr w:type="spellStart"/>
      <w:r>
        <w:rPr>
          <w:lang w:val="zh-CN"/>
        </w:rPr>
        <w:t>次会议的主要成果</w:t>
      </w:r>
      <w:proofErr w:type="spellEnd"/>
      <w:r w:rsidRPr="00AF3A85">
        <w:rPr>
          <w:rFonts w:hint="eastAsia"/>
        </w:rPr>
        <w:t>：</w:t>
      </w:r>
      <w:hyperlink r:id="rId14" w:history="1">
        <w:r w:rsidRPr="000523F5">
          <w:rPr>
            <w:rStyle w:val="Hyperlink"/>
            <w:rFonts w:asciiTheme="minorHAnsi" w:eastAsia="STKaiti" w:hAnsiTheme="minorHAnsi"/>
            <w:u w:val="single"/>
          </w:rPr>
          <w:t>www.itu.int/md/S24-CWGFHR19-C-0015/en</w:t>
        </w:r>
      </w:hyperlink>
      <w:r>
        <w:rPr>
          <w:rFonts w:hint="eastAsia"/>
          <w:lang w:val="zh-CN"/>
        </w:rPr>
        <w:t>。</w:t>
      </w:r>
      <w:hyperlink r:id="rId15" w:history="1"/>
    </w:p>
    <w:p w14:paraId="4BEF2CF3" w14:textId="77777777" w:rsidR="00EB0D71" w:rsidRDefault="00EB0D71" w:rsidP="00EB0D71">
      <w:r w:rsidRPr="00AF3A85">
        <w:t>11</w:t>
      </w:r>
      <w:r w:rsidRPr="00AF3A85">
        <w:tab/>
        <w:t>2025</w:t>
      </w:r>
      <w:r>
        <w:rPr>
          <w:lang w:val="zh-CN"/>
        </w:rPr>
        <w:t>年</w:t>
      </w:r>
      <w:r w:rsidRPr="00AF3A85">
        <w:t>2</w:t>
      </w:r>
      <w:r>
        <w:rPr>
          <w:lang w:val="zh-CN"/>
        </w:rPr>
        <w:t>月</w:t>
      </w:r>
      <w:r w:rsidRPr="00AF3A85">
        <w:t>17</w:t>
      </w:r>
      <w:proofErr w:type="spellStart"/>
      <w:r>
        <w:rPr>
          <w:lang w:val="zh-CN"/>
        </w:rPr>
        <w:t>日至</w:t>
      </w:r>
      <w:proofErr w:type="spellEnd"/>
      <w:r w:rsidRPr="00AF3A85">
        <w:t>19</w:t>
      </w:r>
      <w:proofErr w:type="spellStart"/>
      <w:r>
        <w:rPr>
          <w:lang w:val="zh-CN"/>
        </w:rPr>
        <w:t>日举行的</w:t>
      </w:r>
      <w:proofErr w:type="spellEnd"/>
      <w:r w:rsidRPr="00AF3A85">
        <w:t>CWG-FHR</w:t>
      </w:r>
      <w:r>
        <w:rPr>
          <w:lang w:val="zh-CN"/>
        </w:rPr>
        <w:t>第</w:t>
      </w:r>
      <w:r w:rsidRPr="00AF3A85">
        <w:t>20</w:t>
      </w:r>
      <w:proofErr w:type="spellStart"/>
      <w:r>
        <w:rPr>
          <w:lang w:val="zh-CN"/>
        </w:rPr>
        <w:t>次会议的主要成果</w:t>
      </w:r>
      <w:proofErr w:type="spellEnd"/>
      <w:r w:rsidRPr="00AF3A85">
        <w:rPr>
          <w:rFonts w:hint="eastAsia"/>
        </w:rPr>
        <w:t>：</w:t>
      </w:r>
      <w:hyperlink r:id="rId16" w:history="1">
        <w:r w:rsidRPr="000523F5">
          <w:rPr>
            <w:rStyle w:val="Hyperlink"/>
            <w:rFonts w:asciiTheme="minorHAnsi" w:eastAsia="STKaiti" w:hAnsiTheme="minorHAnsi"/>
            <w:u w:val="single"/>
          </w:rPr>
          <w:t>www.itu.int/md/S25-CWGFHR20-C-0032/en</w:t>
        </w:r>
      </w:hyperlink>
      <w:r>
        <w:rPr>
          <w:rFonts w:hint="eastAsia"/>
          <w:lang w:val="zh-CN"/>
        </w:rPr>
        <w:t>。</w:t>
      </w:r>
      <w:hyperlink r:id="rId17" w:history="1"/>
    </w:p>
    <w:p w14:paraId="319C4237" w14:textId="77777777" w:rsidR="00EB0D71" w:rsidRDefault="00EB0D71" w:rsidP="00EB0D71">
      <w:r w:rsidRPr="00AF3A85">
        <w:t>12</w:t>
      </w:r>
      <w:r w:rsidRPr="00AF3A85">
        <w:tab/>
        <w:t>2025</w:t>
      </w:r>
      <w:r>
        <w:rPr>
          <w:lang w:val="zh-CN"/>
        </w:rPr>
        <w:t>年</w:t>
      </w:r>
      <w:r w:rsidRPr="00AF3A85">
        <w:t>9</w:t>
      </w:r>
      <w:r>
        <w:rPr>
          <w:lang w:val="zh-CN"/>
        </w:rPr>
        <w:t>月</w:t>
      </w:r>
      <w:r w:rsidRPr="00AF3A85">
        <w:t>10</w:t>
      </w:r>
      <w:proofErr w:type="spellStart"/>
      <w:r>
        <w:rPr>
          <w:lang w:val="zh-CN"/>
        </w:rPr>
        <w:t>日至</w:t>
      </w:r>
      <w:proofErr w:type="spellEnd"/>
      <w:r w:rsidRPr="00AF3A85">
        <w:t>12</w:t>
      </w:r>
      <w:proofErr w:type="spellStart"/>
      <w:r>
        <w:rPr>
          <w:lang w:val="zh-CN"/>
        </w:rPr>
        <w:t>日举行的</w:t>
      </w:r>
      <w:proofErr w:type="spellEnd"/>
      <w:r w:rsidRPr="00AF3A85">
        <w:t>CWG-FHR</w:t>
      </w:r>
      <w:r>
        <w:rPr>
          <w:lang w:val="zh-CN"/>
        </w:rPr>
        <w:t>第</w:t>
      </w:r>
      <w:r w:rsidRPr="00AF3A85">
        <w:t>21</w:t>
      </w:r>
      <w:proofErr w:type="spellStart"/>
      <w:r>
        <w:rPr>
          <w:lang w:val="zh-CN"/>
        </w:rPr>
        <w:t>次会议的主要成果</w:t>
      </w:r>
      <w:proofErr w:type="spellEnd"/>
      <w:r w:rsidRPr="00AF3A85">
        <w:rPr>
          <w:rFonts w:hint="eastAsia"/>
        </w:rPr>
        <w:t>：</w:t>
      </w:r>
      <w:hyperlink r:id="rId18" w:history="1">
        <w:r w:rsidRPr="000523F5">
          <w:rPr>
            <w:rStyle w:val="Hyperlink"/>
            <w:rFonts w:asciiTheme="minorHAnsi" w:eastAsia="STKaiti" w:hAnsiTheme="minorHAnsi"/>
            <w:u w:val="single"/>
          </w:rPr>
          <w:t>www.itu.int/md/S25-CWGFHR21-C-0025/en</w:t>
        </w:r>
      </w:hyperlink>
      <w:r>
        <w:rPr>
          <w:rFonts w:hint="eastAsia"/>
          <w:lang w:val="zh-CN"/>
        </w:rPr>
        <w:t>。</w:t>
      </w:r>
      <w:hyperlink r:id="rId19" w:history="1"/>
    </w:p>
    <w:p w14:paraId="52A50CF3" w14:textId="77777777" w:rsidR="00EB0D71" w:rsidRDefault="00EB0D71" w:rsidP="00EB0D71">
      <w:r w:rsidRPr="00AF3A85">
        <w:t>13</w:t>
      </w:r>
      <w:r w:rsidRPr="00AF3A85">
        <w:tab/>
        <w:t>2026</w:t>
      </w:r>
      <w:r>
        <w:rPr>
          <w:lang w:val="zh-CN"/>
        </w:rPr>
        <w:t>年</w:t>
      </w:r>
      <w:r w:rsidRPr="00AF3A85">
        <w:t>1</w:t>
      </w:r>
      <w:r>
        <w:rPr>
          <w:lang w:val="zh-CN"/>
        </w:rPr>
        <w:t>月</w:t>
      </w:r>
      <w:r w:rsidRPr="00AF3A85">
        <w:t>14</w:t>
      </w:r>
      <w:proofErr w:type="spellStart"/>
      <w:r>
        <w:rPr>
          <w:lang w:val="zh-CN"/>
        </w:rPr>
        <w:t>日至</w:t>
      </w:r>
      <w:proofErr w:type="spellEnd"/>
      <w:r w:rsidRPr="00AF3A85">
        <w:t>16</w:t>
      </w:r>
      <w:proofErr w:type="spellStart"/>
      <w:r>
        <w:rPr>
          <w:lang w:val="zh-CN"/>
        </w:rPr>
        <w:t>日举行的</w:t>
      </w:r>
      <w:proofErr w:type="spellEnd"/>
      <w:r w:rsidRPr="00AF3A85">
        <w:t>CWG-FHR</w:t>
      </w:r>
      <w:r>
        <w:rPr>
          <w:lang w:val="zh-CN"/>
        </w:rPr>
        <w:t>第</w:t>
      </w:r>
      <w:r w:rsidRPr="00AF3A85">
        <w:t>22</w:t>
      </w:r>
      <w:proofErr w:type="spellStart"/>
      <w:r>
        <w:rPr>
          <w:lang w:val="zh-CN"/>
        </w:rPr>
        <w:t>次会议的主要成果</w:t>
      </w:r>
      <w:proofErr w:type="spellEnd"/>
      <w:r w:rsidRPr="00AF3A85">
        <w:rPr>
          <w:rFonts w:hint="eastAsia"/>
        </w:rPr>
        <w:t>：</w:t>
      </w:r>
      <w:hyperlink r:id="rId20" w:history="1">
        <w:r w:rsidRPr="000523F5">
          <w:rPr>
            <w:rStyle w:val="Hyperlink"/>
            <w:rFonts w:asciiTheme="minorHAnsi" w:eastAsia="STKaiti" w:hAnsiTheme="minorHAnsi"/>
            <w:u w:val="single"/>
          </w:rPr>
          <w:t>www.itu.int/md/S26-CWGFHR22-C-0036/en</w:t>
        </w:r>
      </w:hyperlink>
      <w:r>
        <w:rPr>
          <w:rFonts w:hint="eastAsia"/>
        </w:rPr>
        <w:t>。</w:t>
      </w:r>
      <w:hyperlink r:id="rId21" w:history="1"/>
    </w:p>
    <w:p w14:paraId="20EE9F5F" w14:textId="77777777" w:rsidR="00EB0D71" w:rsidRPr="00982711" w:rsidRDefault="00EB0D71" w:rsidP="00EB0D71">
      <w:pPr>
        <w:pStyle w:val="Heading1"/>
        <w:rPr>
          <w:rFonts w:cs="Calibri"/>
          <w:lang w:eastAsia="zh-CN"/>
        </w:rPr>
      </w:pPr>
      <w:r>
        <w:rPr>
          <w:bCs/>
          <w:lang w:val="zh-CN" w:eastAsia="zh-CN"/>
        </w:rPr>
        <w:t>三</w:t>
      </w:r>
      <w:r>
        <w:rPr>
          <w:bCs/>
          <w:lang w:val="zh-CN" w:eastAsia="zh-CN"/>
        </w:rPr>
        <w:tab/>
      </w:r>
      <w:r>
        <w:rPr>
          <w:rFonts w:hint="eastAsia"/>
          <w:bCs/>
          <w:lang w:val="zh-CN" w:eastAsia="zh-CN"/>
        </w:rPr>
        <w:t>向</w:t>
      </w:r>
      <w:r>
        <w:rPr>
          <w:bCs/>
          <w:lang w:val="zh-CN" w:eastAsia="zh-CN"/>
        </w:rPr>
        <w:t>PP-26</w:t>
      </w:r>
      <w:r>
        <w:rPr>
          <w:rFonts w:hint="eastAsia"/>
          <w:bCs/>
          <w:lang w:val="zh-CN" w:eastAsia="zh-CN"/>
        </w:rPr>
        <w:t>提出</w:t>
      </w:r>
      <w:r>
        <w:rPr>
          <w:bCs/>
          <w:lang w:val="zh-CN" w:eastAsia="zh-CN"/>
        </w:rPr>
        <w:t>的建议</w:t>
      </w:r>
    </w:p>
    <w:p w14:paraId="7D64B1DC" w14:textId="4D4EDA4B" w:rsidR="00EB0D71" w:rsidRDefault="00EB0D71" w:rsidP="00EB0D71">
      <w:pPr>
        <w:rPr>
          <w:rFonts w:cs="Calibri"/>
          <w:lang w:eastAsia="zh-CN"/>
        </w:rPr>
      </w:pPr>
      <w:r>
        <w:rPr>
          <w:lang w:val="zh-CN" w:eastAsia="zh-CN"/>
        </w:rPr>
        <w:t>14</w:t>
      </w:r>
      <w:r>
        <w:rPr>
          <w:lang w:val="zh-CN" w:eastAsia="zh-CN"/>
        </w:rPr>
        <w:tab/>
      </w:r>
      <w:r>
        <w:rPr>
          <w:lang w:val="zh-CN" w:eastAsia="zh-CN"/>
        </w:rPr>
        <w:t>请理事会审议</w:t>
      </w:r>
      <w:r>
        <w:rPr>
          <w:lang w:val="zh-CN" w:eastAsia="zh-CN"/>
        </w:rPr>
        <w:t>CWG-FHR</w:t>
      </w:r>
      <w:r>
        <w:rPr>
          <w:lang w:val="zh-CN" w:eastAsia="zh-CN"/>
        </w:rPr>
        <w:t>主席的四年期报告，并向全权代表大会（</w:t>
      </w:r>
      <w:r>
        <w:rPr>
          <w:lang w:val="zh-CN" w:eastAsia="zh-CN"/>
        </w:rPr>
        <w:t>PP-26</w:t>
      </w:r>
      <w:r>
        <w:rPr>
          <w:lang w:val="zh-CN" w:eastAsia="zh-CN"/>
        </w:rPr>
        <w:t>）建议在未来四年继续开展</w:t>
      </w:r>
      <w:r>
        <w:rPr>
          <w:lang w:val="zh-CN" w:eastAsia="zh-CN"/>
        </w:rPr>
        <w:t>CWG-FHR</w:t>
      </w:r>
      <w:r>
        <w:rPr>
          <w:lang w:val="zh-CN" w:eastAsia="zh-CN"/>
        </w:rPr>
        <w:t>的活动。此外，根据理事会第</w:t>
      </w:r>
      <w:r>
        <w:rPr>
          <w:lang w:val="zh-CN" w:eastAsia="zh-CN"/>
        </w:rPr>
        <w:t>563</w:t>
      </w:r>
      <w:r>
        <w:rPr>
          <w:lang w:val="zh-CN" w:eastAsia="zh-CN"/>
        </w:rPr>
        <w:t>号决定</w:t>
      </w:r>
      <w:r w:rsidR="00BC6260">
        <w:rPr>
          <w:rFonts w:hint="eastAsia"/>
          <w:lang w:val="zh-CN" w:eastAsia="zh-CN"/>
        </w:rPr>
        <w:t>“</w:t>
      </w:r>
      <w:r w:rsidR="00BC6260" w:rsidRPr="00D26B16">
        <w:rPr>
          <w:lang w:eastAsia="zh-CN"/>
        </w:rPr>
        <w:t>CWG-FHR</w:t>
      </w:r>
      <w:r w:rsidR="00BC6260">
        <w:rPr>
          <w:rFonts w:hint="eastAsia"/>
          <w:lang w:val="zh-CN" w:eastAsia="zh-CN"/>
        </w:rPr>
        <w:t>的职责范围”</w:t>
      </w:r>
      <w:r>
        <w:rPr>
          <w:lang w:val="zh-CN" w:eastAsia="zh-CN"/>
        </w:rPr>
        <w:t>关于审</w:t>
      </w:r>
      <w:r>
        <w:rPr>
          <w:rFonts w:hint="eastAsia"/>
          <w:lang w:val="zh-CN" w:eastAsia="zh-CN"/>
        </w:rPr>
        <w:t>议</w:t>
      </w:r>
      <w:r>
        <w:rPr>
          <w:lang w:val="zh-CN" w:eastAsia="zh-CN"/>
        </w:rPr>
        <w:t>并向理事会提交相关提案的指示，建议理事会考虑</w:t>
      </w:r>
      <w:r w:rsidR="00BC6260">
        <w:rPr>
          <w:rFonts w:hint="eastAsia"/>
          <w:lang w:val="zh-CN" w:eastAsia="zh-CN"/>
        </w:rPr>
        <w:t>有关四年周期的</w:t>
      </w:r>
      <w:r>
        <w:rPr>
          <w:lang w:val="zh-CN" w:eastAsia="zh-CN"/>
        </w:rPr>
        <w:t>更多建议，包括：</w:t>
      </w:r>
    </w:p>
    <w:p w14:paraId="1B084786" w14:textId="20B6E774" w:rsidR="00EB0D71" w:rsidRPr="00982711" w:rsidRDefault="00EB0D71" w:rsidP="00EB0D71">
      <w:pPr>
        <w:pStyle w:val="enumlev1"/>
        <w:rPr>
          <w:rFonts w:cs="Calibri"/>
          <w:lang w:eastAsia="zh-CN"/>
        </w:rPr>
      </w:pPr>
      <w:r>
        <w:rPr>
          <w:lang w:val="zh-CN" w:eastAsia="zh-CN"/>
        </w:rPr>
        <w:t>–</w:t>
      </w:r>
      <w:r>
        <w:rPr>
          <w:lang w:val="zh-CN" w:eastAsia="zh-CN"/>
        </w:rPr>
        <w:tab/>
      </w:r>
      <w:r>
        <w:rPr>
          <w:rFonts w:hint="eastAsia"/>
          <w:lang w:val="zh-CN" w:eastAsia="zh-CN"/>
        </w:rPr>
        <w:t>基于</w:t>
      </w:r>
      <w:r w:rsidRPr="007C0732">
        <w:rPr>
          <w:rFonts w:hint="eastAsia"/>
          <w:lang w:val="zh-CN" w:eastAsia="zh-CN"/>
        </w:rPr>
        <w:t>CWG-FHR</w:t>
      </w:r>
      <w:r w:rsidRPr="007C0732">
        <w:rPr>
          <w:rFonts w:hint="eastAsia"/>
          <w:lang w:val="zh-CN" w:eastAsia="zh-CN"/>
        </w:rPr>
        <w:t>就协助成员国编制提交</w:t>
      </w:r>
      <w:r>
        <w:rPr>
          <w:rFonts w:hint="eastAsia"/>
          <w:lang w:val="zh-CN" w:eastAsia="zh-CN"/>
        </w:rPr>
        <w:t>国际电联</w:t>
      </w:r>
      <w:r w:rsidRPr="007C0732">
        <w:rPr>
          <w:rFonts w:hint="eastAsia"/>
          <w:lang w:val="zh-CN" w:eastAsia="zh-CN"/>
        </w:rPr>
        <w:t>各类大会和</w:t>
      </w:r>
      <w:r>
        <w:rPr>
          <w:rFonts w:hint="eastAsia"/>
          <w:lang w:val="zh-CN" w:eastAsia="zh-CN"/>
        </w:rPr>
        <w:t>全</w:t>
      </w:r>
      <w:r w:rsidRPr="007C0732">
        <w:rPr>
          <w:rFonts w:hint="eastAsia"/>
          <w:lang w:val="zh-CN" w:eastAsia="zh-CN"/>
        </w:rPr>
        <w:t>会提案所需“成本估算”方法开展的研究，建议理事会</w:t>
      </w:r>
      <w:r w:rsidR="00D83434">
        <w:rPr>
          <w:rFonts w:hint="eastAsia"/>
          <w:lang w:val="zh-CN" w:eastAsia="zh-CN"/>
        </w:rPr>
        <w:t>考虑</w:t>
      </w:r>
      <w:r w:rsidRPr="007C0732">
        <w:rPr>
          <w:rFonts w:hint="eastAsia"/>
          <w:lang w:val="zh-CN" w:eastAsia="zh-CN"/>
        </w:rPr>
        <w:t>请</w:t>
      </w:r>
      <w:r w:rsidRPr="007C0732">
        <w:rPr>
          <w:rFonts w:hint="eastAsia"/>
          <w:lang w:val="zh-CN" w:eastAsia="zh-CN"/>
        </w:rPr>
        <w:t>PP-26</w:t>
      </w:r>
      <w:r w:rsidRPr="007C0732">
        <w:rPr>
          <w:rFonts w:hint="eastAsia"/>
          <w:lang w:val="zh-CN" w:eastAsia="zh-CN"/>
        </w:rPr>
        <w:t>审议</w:t>
      </w:r>
      <w:r>
        <w:rPr>
          <w:rFonts w:hint="eastAsia"/>
          <w:lang w:val="zh-CN" w:eastAsia="zh-CN"/>
        </w:rPr>
        <w:t>或</w:t>
      </w:r>
      <w:r w:rsidRPr="007C0732">
        <w:rPr>
          <w:rFonts w:hint="eastAsia"/>
          <w:lang w:val="zh-CN" w:eastAsia="zh-CN"/>
        </w:rPr>
        <w:t>修订</w:t>
      </w:r>
      <w:r>
        <w:rPr>
          <w:rFonts w:hint="eastAsia"/>
          <w:lang w:val="zh-CN" w:eastAsia="zh-CN"/>
        </w:rPr>
        <w:t>国际电联</w:t>
      </w:r>
      <w:r w:rsidRPr="007C0732">
        <w:rPr>
          <w:rFonts w:hint="eastAsia"/>
          <w:lang w:val="zh-CN" w:eastAsia="zh-CN"/>
        </w:rPr>
        <w:t>《公约》第</w:t>
      </w:r>
      <w:r w:rsidRPr="007C0732">
        <w:rPr>
          <w:rFonts w:hint="eastAsia"/>
          <w:lang w:val="zh-CN" w:eastAsia="zh-CN"/>
        </w:rPr>
        <w:t>34</w:t>
      </w:r>
      <w:r w:rsidRPr="007C0732">
        <w:rPr>
          <w:rFonts w:hint="eastAsia"/>
          <w:lang w:val="zh-CN" w:eastAsia="zh-CN"/>
        </w:rPr>
        <w:t>条，并就成员国在提出提案时如何适用该条款提供指导。</w:t>
      </w:r>
    </w:p>
    <w:p w14:paraId="27ACAA3C" w14:textId="1BEAF7C2" w:rsidR="00EB0D71" w:rsidRPr="00982711" w:rsidRDefault="00EB0D71" w:rsidP="00EB0D71">
      <w:pPr>
        <w:pStyle w:val="enumlev1"/>
        <w:rPr>
          <w:rFonts w:cs="Calibri"/>
          <w:lang w:eastAsia="zh-CN"/>
        </w:rPr>
      </w:pPr>
      <w:r>
        <w:rPr>
          <w:lang w:val="zh-CN" w:eastAsia="zh-CN"/>
        </w:rPr>
        <w:t>–</w:t>
      </w:r>
      <w:r>
        <w:rPr>
          <w:lang w:val="zh-CN" w:eastAsia="zh-CN"/>
        </w:rPr>
        <w:tab/>
      </w:r>
      <w:r>
        <w:rPr>
          <w:lang w:val="zh-CN" w:eastAsia="zh-CN"/>
        </w:rPr>
        <w:t>根据</w:t>
      </w:r>
      <w:r>
        <w:rPr>
          <w:lang w:val="zh-CN" w:eastAsia="zh-CN"/>
        </w:rPr>
        <w:t>CWG-FHR</w:t>
      </w:r>
      <w:r>
        <w:rPr>
          <w:lang w:val="zh-CN" w:eastAsia="zh-CN"/>
        </w:rPr>
        <w:t>对国际电联三个部门和总秘书处工作协调问题的审议，建议理事会审议各部门顾问组、</w:t>
      </w:r>
      <w:r w:rsidRPr="00A11CE0">
        <w:rPr>
          <w:rFonts w:hint="eastAsia"/>
          <w:lang w:val="zh-CN" w:eastAsia="zh-CN"/>
        </w:rPr>
        <w:t>跨部门协调组（</w:t>
      </w:r>
      <w:r w:rsidRPr="00A11CE0">
        <w:rPr>
          <w:rFonts w:hint="eastAsia"/>
          <w:lang w:val="zh-CN" w:eastAsia="zh-CN"/>
        </w:rPr>
        <w:t>ISCG</w:t>
      </w:r>
      <w:r w:rsidRPr="00A11CE0">
        <w:rPr>
          <w:rFonts w:hint="eastAsia"/>
          <w:lang w:val="zh-CN" w:eastAsia="zh-CN"/>
        </w:rPr>
        <w:t>）</w:t>
      </w:r>
      <w:r>
        <w:rPr>
          <w:lang w:val="zh-CN" w:eastAsia="zh-CN"/>
        </w:rPr>
        <w:t>、协调委员会和</w:t>
      </w:r>
      <w:r w:rsidRPr="00A11CE0">
        <w:rPr>
          <w:rFonts w:hint="eastAsia"/>
          <w:lang w:val="zh-CN" w:eastAsia="zh-CN"/>
        </w:rPr>
        <w:t>成员国顾问组（</w:t>
      </w:r>
      <w:r w:rsidRPr="00A11CE0">
        <w:rPr>
          <w:rFonts w:hint="eastAsia"/>
          <w:lang w:val="zh-CN" w:eastAsia="zh-CN"/>
        </w:rPr>
        <w:t>MSAG</w:t>
      </w:r>
      <w:r w:rsidRPr="00A11CE0">
        <w:rPr>
          <w:rFonts w:hint="eastAsia"/>
          <w:lang w:val="zh-CN" w:eastAsia="zh-CN"/>
        </w:rPr>
        <w:t>）</w:t>
      </w:r>
      <w:r>
        <w:rPr>
          <w:lang w:val="zh-CN" w:eastAsia="zh-CN"/>
        </w:rPr>
        <w:t>的输入意见，以改进第</w:t>
      </w:r>
      <w:r>
        <w:rPr>
          <w:lang w:val="zh-CN" w:eastAsia="zh-CN"/>
        </w:rPr>
        <w:t>191</w:t>
      </w:r>
      <w:r>
        <w:rPr>
          <w:lang w:val="zh-CN" w:eastAsia="zh-CN"/>
        </w:rPr>
        <w:t>号决议的落实，并建议</w:t>
      </w:r>
      <w:r>
        <w:rPr>
          <w:lang w:val="zh-CN" w:eastAsia="zh-CN"/>
        </w:rPr>
        <w:t>PP-26</w:t>
      </w:r>
      <w:r w:rsidR="00D83434">
        <w:rPr>
          <w:rFonts w:hint="eastAsia"/>
          <w:lang w:val="zh-CN" w:eastAsia="zh-CN"/>
        </w:rPr>
        <w:t>考虑</w:t>
      </w:r>
      <w:r>
        <w:rPr>
          <w:lang w:val="zh-CN" w:eastAsia="zh-CN"/>
        </w:rPr>
        <w:t>通过更新决议</w:t>
      </w:r>
      <w:r>
        <w:rPr>
          <w:rFonts w:hint="eastAsia"/>
          <w:lang w:val="zh-CN" w:eastAsia="zh-CN"/>
        </w:rPr>
        <w:t>使</w:t>
      </w:r>
      <w:r>
        <w:rPr>
          <w:lang w:val="zh-CN" w:eastAsia="zh-CN"/>
        </w:rPr>
        <w:t>这些输入意见</w:t>
      </w:r>
      <w:r>
        <w:rPr>
          <w:rFonts w:hint="eastAsia"/>
          <w:lang w:val="zh-CN" w:eastAsia="zh-CN"/>
        </w:rPr>
        <w:t>得到体现</w:t>
      </w:r>
      <w:r>
        <w:rPr>
          <w:lang w:val="zh-CN" w:eastAsia="zh-CN"/>
        </w:rPr>
        <w:t>。</w:t>
      </w:r>
    </w:p>
    <w:p w14:paraId="260B8F5F" w14:textId="77777777" w:rsidR="00EB0D71" w:rsidRPr="00211BCB" w:rsidRDefault="00EB0D71" w:rsidP="00EB0D71">
      <w:pPr>
        <w:pStyle w:val="enumlev1"/>
        <w:rPr>
          <w:lang w:val="zh-CN" w:eastAsia="zh-CN"/>
        </w:rPr>
      </w:pPr>
      <w:r>
        <w:rPr>
          <w:lang w:val="zh-CN" w:eastAsia="zh-CN"/>
        </w:rPr>
        <w:lastRenderedPageBreak/>
        <w:t>–</w:t>
      </w:r>
      <w:r>
        <w:rPr>
          <w:lang w:val="zh-CN" w:eastAsia="zh-CN"/>
        </w:rPr>
        <w:tab/>
      </w:r>
      <w:r w:rsidRPr="00211BCB">
        <w:rPr>
          <w:lang w:val="zh-CN" w:eastAsia="zh-CN"/>
        </w:rPr>
        <w:t>根据</w:t>
      </w:r>
      <w:r w:rsidRPr="00211BCB">
        <w:rPr>
          <w:lang w:val="zh-CN" w:eastAsia="zh-CN"/>
        </w:rPr>
        <w:t>CWG-FHR</w:t>
      </w:r>
      <w:r w:rsidRPr="00211BCB">
        <w:rPr>
          <w:lang w:val="zh-CN" w:eastAsia="zh-CN"/>
        </w:rPr>
        <w:t>推动落实国际电联未来总部办公场所的全权代表大会决议和决定的要求，建议理事会根据秘书处对理事会第</w:t>
      </w:r>
      <w:r w:rsidRPr="00211BCB">
        <w:rPr>
          <w:lang w:val="zh-CN" w:eastAsia="zh-CN"/>
        </w:rPr>
        <w:t>588</w:t>
      </w:r>
      <w:r w:rsidRPr="00211BCB">
        <w:rPr>
          <w:lang w:val="zh-CN" w:eastAsia="zh-CN"/>
        </w:rPr>
        <w:t>、</w:t>
      </w:r>
      <w:r w:rsidRPr="00211BCB">
        <w:rPr>
          <w:lang w:val="zh-CN" w:eastAsia="zh-CN"/>
        </w:rPr>
        <w:t>619</w:t>
      </w:r>
      <w:r w:rsidRPr="00211BCB">
        <w:rPr>
          <w:lang w:val="zh-CN" w:eastAsia="zh-CN"/>
        </w:rPr>
        <w:t>和</w:t>
      </w:r>
      <w:r w:rsidRPr="00211BCB">
        <w:rPr>
          <w:lang w:val="zh-CN" w:eastAsia="zh-CN"/>
        </w:rPr>
        <w:t>640</w:t>
      </w:r>
      <w:r w:rsidRPr="00211BCB">
        <w:rPr>
          <w:lang w:val="zh-CN" w:eastAsia="zh-CN"/>
        </w:rPr>
        <w:t>号决定的分析，提出对全权代表大会第</w:t>
      </w:r>
      <w:r w:rsidRPr="00211BCB">
        <w:rPr>
          <w:lang w:val="zh-CN" w:eastAsia="zh-CN"/>
        </w:rPr>
        <w:t>212</w:t>
      </w:r>
      <w:r w:rsidRPr="00211BCB">
        <w:rPr>
          <w:lang w:val="zh-CN" w:eastAsia="zh-CN"/>
        </w:rPr>
        <w:t>号决议的更新建议，</w:t>
      </w:r>
      <w:r>
        <w:rPr>
          <w:rFonts w:hint="eastAsia"/>
          <w:lang w:val="zh-CN" w:eastAsia="zh-CN"/>
        </w:rPr>
        <w:t>在</w:t>
      </w:r>
      <w:r w:rsidRPr="00211BCB">
        <w:rPr>
          <w:rFonts w:hint="eastAsia"/>
          <w:lang w:val="zh-CN" w:eastAsia="zh-CN"/>
        </w:rPr>
        <w:t>统一这些决策并解决其中冲突</w:t>
      </w:r>
      <w:r>
        <w:rPr>
          <w:rFonts w:hint="eastAsia"/>
          <w:lang w:val="zh-CN" w:eastAsia="zh-CN"/>
        </w:rPr>
        <w:t>的</w:t>
      </w:r>
      <w:r w:rsidRPr="00211BCB">
        <w:rPr>
          <w:rFonts w:hint="eastAsia"/>
          <w:lang w:val="zh-CN" w:eastAsia="zh-CN"/>
        </w:rPr>
        <w:t>同时</w:t>
      </w:r>
      <w:r>
        <w:rPr>
          <w:rFonts w:hint="eastAsia"/>
          <w:lang w:val="zh-CN" w:eastAsia="zh-CN"/>
        </w:rPr>
        <w:t>，</w:t>
      </w:r>
      <w:r w:rsidRPr="00211BCB">
        <w:rPr>
          <w:rFonts w:hint="eastAsia"/>
          <w:lang w:val="zh-CN" w:eastAsia="zh-CN"/>
        </w:rPr>
        <w:t>纳入对该计划命名规范</w:t>
      </w:r>
      <w:r>
        <w:rPr>
          <w:rFonts w:hint="eastAsia"/>
          <w:lang w:val="zh-CN" w:eastAsia="zh-CN"/>
        </w:rPr>
        <w:t>的</w:t>
      </w:r>
      <w:r w:rsidRPr="00211BCB">
        <w:rPr>
          <w:rFonts w:hint="eastAsia"/>
          <w:lang w:val="zh-CN" w:eastAsia="zh-CN"/>
        </w:rPr>
        <w:t>修订建议</w:t>
      </w:r>
      <w:r w:rsidRPr="00211BCB">
        <w:rPr>
          <w:lang w:val="zh-CN" w:eastAsia="zh-CN"/>
        </w:rPr>
        <w:t>。</w:t>
      </w:r>
    </w:p>
    <w:p w14:paraId="2488059B" w14:textId="1EC9DA92" w:rsidR="00EB0D71" w:rsidRPr="00AF3A85" w:rsidRDefault="00EB0D71" w:rsidP="00EB0D71">
      <w:pPr>
        <w:pStyle w:val="enumlev1"/>
        <w:rPr>
          <w:lang w:val="zh-CN" w:eastAsia="zh-CN"/>
        </w:rPr>
      </w:pPr>
      <w:r>
        <w:rPr>
          <w:lang w:val="zh-CN" w:eastAsia="zh-CN"/>
        </w:rPr>
        <w:t>–</w:t>
      </w:r>
      <w:r>
        <w:rPr>
          <w:lang w:val="zh-CN" w:eastAsia="zh-CN"/>
        </w:rPr>
        <w:tab/>
      </w:r>
      <w:r w:rsidR="00D40EF3" w:rsidRPr="00D40EF3">
        <w:rPr>
          <w:rFonts w:hint="eastAsia"/>
          <w:lang w:val="zh-CN" w:eastAsia="zh-CN"/>
        </w:rPr>
        <w:t>根据全权代表大会第</w:t>
      </w:r>
      <w:r w:rsidR="00D40EF3" w:rsidRPr="00D40EF3">
        <w:rPr>
          <w:rFonts w:hint="eastAsia"/>
          <w:lang w:val="zh-CN" w:eastAsia="zh-CN"/>
        </w:rPr>
        <w:t>217</w:t>
      </w:r>
      <w:r w:rsidR="00D40EF3" w:rsidRPr="00D40EF3">
        <w:rPr>
          <w:rFonts w:hint="eastAsia"/>
          <w:lang w:val="zh-CN" w:eastAsia="zh-CN"/>
        </w:rPr>
        <w:t>号决议中的业务连续性要求，建议理事会</w:t>
      </w:r>
      <w:r w:rsidR="00D40EF3" w:rsidRPr="00D40EF3">
        <w:rPr>
          <w:rFonts w:hint="eastAsia"/>
          <w:lang w:val="zh-CN" w:eastAsia="zh-CN"/>
        </w:rPr>
        <w:t>2026</w:t>
      </w:r>
      <w:r w:rsidR="00D40EF3" w:rsidRPr="00D40EF3">
        <w:rPr>
          <w:rFonts w:hint="eastAsia"/>
          <w:lang w:val="zh-CN" w:eastAsia="zh-CN"/>
        </w:rPr>
        <w:t>年会议同意将</w:t>
      </w:r>
      <w:r w:rsidR="00D40EF3" w:rsidRPr="00D40EF3">
        <w:rPr>
          <w:rFonts w:hint="eastAsia"/>
          <w:lang w:val="zh-CN" w:eastAsia="zh-CN"/>
        </w:rPr>
        <w:t>2 782 600</w:t>
      </w:r>
      <w:r w:rsidR="00D40EF3" w:rsidRPr="00D40EF3">
        <w:rPr>
          <w:rFonts w:hint="eastAsia"/>
          <w:lang w:val="zh-CN" w:eastAsia="zh-CN"/>
        </w:rPr>
        <w:t>瑞郎专用于业务连续性基金，</w:t>
      </w:r>
      <w:r w:rsidR="00D40EF3">
        <w:rPr>
          <w:rFonts w:hint="eastAsia"/>
          <w:lang w:val="zh-CN" w:eastAsia="zh-CN"/>
        </w:rPr>
        <w:t>并</w:t>
      </w:r>
      <w:r w:rsidR="00D40EF3" w:rsidRPr="00D40EF3">
        <w:rPr>
          <w:rFonts w:hint="eastAsia"/>
          <w:lang w:val="zh-CN" w:eastAsia="zh-CN"/>
        </w:rPr>
        <w:t>仅用于抵消在日内瓦召开的会议的费用。</w:t>
      </w:r>
    </w:p>
    <w:p w14:paraId="114BD9D6" w14:textId="77777777" w:rsidR="00EB0D71" w:rsidRPr="00AF3A85" w:rsidRDefault="00EB0D71" w:rsidP="00EB0D71">
      <w:pPr>
        <w:pStyle w:val="enumlev1"/>
        <w:rPr>
          <w:lang w:val="zh-CN" w:eastAsia="zh-CN"/>
        </w:rPr>
      </w:pPr>
      <w:r>
        <w:rPr>
          <w:lang w:val="zh-CN" w:eastAsia="zh-CN"/>
        </w:rPr>
        <w:t>–</w:t>
      </w:r>
      <w:r>
        <w:rPr>
          <w:lang w:val="zh-CN" w:eastAsia="zh-CN"/>
        </w:rPr>
        <w:tab/>
      </w:r>
      <w:r>
        <w:rPr>
          <w:lang w:val="zh-CN" w:eastAsia="zh-CN"/>
        </w:rPr>
        <w:t>基于</w:t>
      </w:r>
      <w:r>
        <w:rPr>
          <w:lang w:val="zh-CN" w:eastAsia="zh-CN"/>
        </w:rPr>
        <w:t>CWG-FHR</w:t>
      </w:r>
      <w:r>
        <w:rPr>
          <w:lang w:val="zh-CN" w:eastAsia="zh-CN"/>
        </w:rPr>
        <w:t>与国际电联管理层和职工委员会保持密切联系的目标，同时考虑到国际电联人力资源的管理和开发以及国际电联问责制框架的实施，请理事会将职工委员会的</w:t>
      </w:r>
      <w:r>
        <w:rPr>
          <w:rFonts w:hint="eastAsia"/>
          <w:lang w:val="zh-CN" w:eastAsia="zh-CN"/>
        </w:rPr>
        <w:t>定</w:t>
      </w:r>
      <w:r>
        <w:rPr>
          <w:lang w:val="zh-CN" w:eastAsia="zh-CN"/>
        </w:rPr>
        <w:t>期报告或声明纳入</w:t>
      </w:r>
      <w:r>
        <w:rPr>
          <w:lang w:val="zh-CN" w:eastAsia="zh-CN"/>
        </w:rPr>
        <w:t>CWG-FHR</w:t>
      </w:r>
      <w:r>
        <w:rPr>
          <w:lang w:val="zh-CN" w:eastAsia="zh-CN"/>
        </w:rPr>
        <w:t>的职责范围，以</w:t>
      </w:r>
      <w:r>
        <w:rPr>
          <w:rFonts w:hint="eastAsia"/>
          <w:lang w:val="zh-CN" w:eastAsia="zh-CN"/>
        </w:rPr>
        <w:t>帮助增</w:t>
      </w:r>
      <w:r>
        <w:rPr>
          <w:lang w:val="zh-CN" w:eastAsia="zh-CN"/>
        </w:rPr>
        <w:t>强</w:t>
      </w:r>
      <w:r>
        <w:rPr>
          <w:rFonts w:hint="eastAsia"/>
          <w:lang w:val="zh-CN" w:eastAsia="zh-CN"/>
        </w:rPr>
        <w:t>相关方对国际电联的了解和组织工作的</w:t>
      </w:r>
      <w:r>
        <w:rPr>
          <w:lang w:val="zh-CN" w:eastAsia="zh-CN"/>
        </w:rPr>
        <w:t>连续性。</w:t>
      </w:r>
    </w:p>
    <w:p w14:paraId="25F0A802" w14:textId="77777777" w:rsidR="00EB0D71" w:rsidRPr="00AF3A85" w:rsidRDefault="00EB0D71" w:rsidP="00EB0D71">
      <w:pPr>
        <w:pStyle w:val="enumlev1"/>
        <w:rPr>
          <w:lang w:val="zh-CN" w:eastAsia="zh-CN"/>
        </w:rPr>
      </w:pPr>
      <w:r>
        <w:rPr>
          <w:lang w:val="zh-CN" w:eastAsia="zh-CN"/>
        </w:rPr>
        <w:t>–</w:t>
      </w:r>
      <w:r>
        <w:rPr>
          <w:lang w:val="zh-CN" w:eastAsia="zh-CN"/>
        </w:rPr>
        <w:tab/>
      </w:r>
      <w:r>
        <w:rPr>
          <w:lang w:val="zh-CN" w:eastAsia="zh-CN"/>
        </w:rPr>
        <w:t>为与</w:t>
      </w:r>
      <w:r>
        <w:rPr>
          <w:lang w:val="zh-CN" w:eastAsia="zh-CN"/>
        </w:rPr>
        <w:t>CWG-FHR</w:t>
      </w:r>
      <w:r>
        <w:rPr>
          <w:rFonts w:hint="eastAsia"/>
          <w:lang w:val="zh-CN" w:eastAsia="zh-CN"/>
        </w:rPr>
        <w:t>在</w:t>
      </w:r>
      <w:r>
        <w:rPr>
          <w:lang w:val="zh-CN" w:eastAsia="zh-CN"/>
        </w:rPr>
        <w:t>节支增效措施</w:t>
      </w:r>
      <w:r>
        <w:rPr>
          <w:rFonts w:hint="eastAsia"/>
          <w:lang w:val="zh-CN" w:eastAsia="zh-CN"/>
        </w:rPr>
        <w:t>方面的</w:t>
      </w:r>
      <w:r>
        <w:rPr>
          <w:lang w:val="zh-CN" w:eastAsia="zh-CN"/>
        </w:rPr>
        <w:t>工作</w:t>
      </w:r>
      <w:r>
        <w:rPr>
          <w:rFonts w:hint="eastAsia"/>
          <w:lang w:val="zh-CN" w:eastAsia="zh-CN"/>
        </w:rPr>
        <w:t>保持</w:t>
      </w:r>
      <w:r>
        <w:rPr>
          <w:lang w:val="zh-CN" w:eastAsia="zh-CN"/>
        </w:rPr>
        <w:t>一致，建议理事会与</w:t>
      </w:r>
      <w:r>
        <w:rPr>
          <w:lang w:val="zh-CN" w:eastAsia="zh-CN"/>
        </w:rPr>
        <w:t>PP-26</w:t>
      </w:r>
      <w:r>
        <w:rPr>
          <w:lang w:val="zh-CN" w:eastAsia="zh-CN"/>
        </w:rPr>
        <w:t>分享以下卫星网络申报</w:t>
      </w:r>
      <w:r>
        <w:rPr>
          <w:rFonts w:hint="eastAsia"/>
          <w:lang w:val="zh-CN" w:eastAsia="zh-CN"/>
        </w:rPr>
        <w:t>的</w:t>
      </w:r>
      <w:r>
        <w:rPr>
          <w:lang w:val="zh-CN" w:eastAsia="zh-CN"/>
        </w:rPr>
        <w:t>讨论表。</w:t>
      </w:r>
    </w:p>
    <w:p w14:paraId="1C6A1039" w14:textId="6C57C5FD" w:rsidR="00EB0D71" w:rsidRPr="00AF3A85" w:rsidRDefault="00EB0D71" w:rsidP="00EB0D71">
      <w:pPr>
        <w:pStyle w:val="enumlev1"/>
        <w:rPr>
          <w:lang w:val="zh-CN" w:eastAsia="zh-CN"/>
        </w:rPr>
      </w:pPr>
      <w:r>
        <w:rPr>
          <w:lang w:val="zh-CN" w:eastAsia="zh-CN"/>
        </w:rPr>
        <w:t>–</w:t>
      </w:r>
      <w:r>
        <w:rPr>
          <w:lang w:val="zh-CN" w:eastAsia="zh-CN"/>
        </w:rPr>
        <w:tab/>
      </w:r>
      <w:r>
        <w:rPr>
          <w:lang w:val="zh-CN" w:eastAsia="zh-CN"/>
        </w:rPr>
        <w:t>根据</w:t>
      </w:r>
      <w:r>
        <w:rPr>
          <w:lang w:val="zh-CN" w:eastAsia="zh-CN"/>
        </w:rPr>
        <w:t>PP</w:t>
      </w:r>
      <w:r>
        <w:rPr>
          <w:lang w:val="zh-CN" w:eastAsia="zh-CN"/>
        </w:rPr>
        <w:t>第</w:t>
      </w:r>
      <w:r>
        <w:rPr>
          <w:lang w:val="zh-CN" w:eastAsia="zh-CN"/>
        </w:rPr>
        <w:t>11</w:t>
      </w:r>
      <w:r>
        <w:rPr>
          <w:lang w:val="zh-CN" w:eastAsia="zh-CN"/>
        </w:rPr>
        <w:t>号决定和</w:t>
      </w:r>
      <w:r>
        <w:rPr>
          <w:lang w:val="zh-CN" w:eastAsia="zh-CN"/>
        </w:rPr>
        <w:t>CWG-FHR</w:t>
      </w:r>
      <w:r>
        <w:rPr>
          <w:lang w:val="zh-CN" w:eastAsia="zh-CN"/>
        </w:rPr>
        <w:t>对国际电联人力资源管理和开发的考虑，理事会</w:t>
      </w:r>
      <w:r w:rsidR="00D83434">
        <w:rPr>
          <w:rFonts w:hint="eastAsia"/>
          <w:lang w:val="zh-CN" w:eastAsia="zh-CN"/>
        </w:rPr>
        <w:t>请</w:t>
      </w:r>
      <w:r>
        <w:rPr>
          <w:lang w:val="zh-CN" w:eastAsia="zh-CN"/>
        </w:rPr>
        <w:t>PP-26</w:t>
      </w:r>
      <w:r w:rsidR="00D83434">
        <w:rPr>
          <w:rFonts w:hint="eastAsia"/>
          <w:lang w:val="zh-CN" w:eastAsia="zh-CN"/>
        </w:rPr>
        <w:t>考虑</w:t>
      </w:r>
      <w:r>
        <w:rPr>
          <w:lang w:val="zh-CN" w:eastAsia="zh-CN"/>
        </w:rPr>
        <w:t>更新第</w:t>
      </w:r>
      <w:r>
        <w:rPr>
          <w:lang w:val="zh-CN" w:eastAsia="zh-CN"/>
        </w:rPr>
        <w:t>11</w:t>
      </w:r>
      <w:r>
        <w:rPr>
          <w:lang w:val="zh-CN" w:eastAsia="zh-CN"/>
        </w:rPr>
        <w:t>号决定，以</w:t>
      </w:r>
      <w:r>
        <w:rPr>
          <w:rFonts w:hint="eastAsia"/>
          <w:lang w:val="zh-CN" w:eastAsia="zh-CN"/>
        </w:rPr>
        <w:t>纳入</w:t>
      </w:r>
      <w:r>
        <w:rPr>
          <w:lang w:val="zh-CN" w:eastAsia="zh-CN"/>
        </w:rPr>
        <w:t>CWG</w:t>
      </w:r>
      <w:r>
        <w:rPr>
          <w:lang w:val="zh-CN" w:eastAsia="zh-CN"/>
        </w:rPr>
        <w:t>与国际电联</w:t>
      </w:r>
      <w:r>
        <w:rPr>
          <w:rFonts w:hint="eastAsia"/>
          <w:lang w:val="zh-CN" w:eastAsia="zh-CN"/>
        </w:rPr>
        <w:t>职员</w:t>
      </w:r>
      <w:r>
        <w:rPr>
          <w:lang w:val="zh-CN" w:eastAsia="zh-CN"/>
        </w:rPr>
        <w:t>互动</w:t>
      </w:r>
      <w:r>
        <w:rPr>
          <w:rFonts w:hint="eastAsia"/>
          <w:lang w:val="zh-CN" w:eastAsia="zh-CN"/>
        </w:rPr>
        <w:t>的方法</w:t>
      </w:r>
      <w:r>
        <w:rPr>
          <w:lang w:val="zh-CN" w:eastAsia="zh-CN"/>
        </w:rPr>
        <w:t>。</w:t>
      </w:r>
      <w:bookmarkStart w:id="7" w:name="_Hlk95297702"/>
    </w:p>
    <w:p w14:paraId="2BFD16BA" w14:textId="65194E41" w:rsidR="00EB0D71" w:rsidRDefault="00EB0D71" w:rsidP="00EB0D71">
      <w:pPr>
        <w:pStyle w:val="enumlev1"/>
        <w:rPr>
          <w:lang w:val="zh-CN" w:eastAsia="zh-CN"/>
        </w:rPr>
      </w:pPr>
      <w:r>
        <w:rPr>
          <w:lang w:val="zh-CN" w:eastAsia="zh-CN"/>
        </w:rPr>
        <w:t>–</w:t>
      </w:r>
      <w:r>
        <w:rPr>
          <w:lang w:val="zh-CN" w:eastAsia="zh-CN"/>
        </w:rPr>
        <w:tab/>
      </w:r>
      <w:r>
        <w:rPr>
          <w:lang w:val="zh-CN" w:eastAsia="zh-CN"/>
        </w:rPr>
        <w:t>根据</w:t>
      </w:r>
      <w:r>
        <w:rPr>
          <w:lang w:val="zh-CN" w:eastAsia="zh-CN"/>
        </w:rPr>
        <w:t>PP</w:t>
      </w:r>
      <w:r>
        <w:rPr>
          <w:lang w:val="zh-CN" w:eastAsia="zh-CN"/>
        </w:rPr>
        <w:t>第</w:t>
      </w:r>
      <w:r>
        <w:rPr>
          <w:lang w:val="zh-CN" w:eastAsia="zh-CN"/>
        </w:rPr>
        <w:t>11</w:t>
      </w:r>
      <w:r>
        <w:rPr>
          <w:lang w:val="zh-CN" w:eastAsia="zh-CN"/>
        </w:rPr>
        <w:t>号决定和</w:t>
      </w:r>
      <w:r>
        <w:rPr>
          <w:lang w:val="zh-CN" w:eastAsia="zh-CN"/>
        </w:rPr>
        <w:t>CWG-FHR</w:t>
      </w:r>
      <w:r>
        <w:rPr>
          <w:lang w:val="zh-CN" w:eastAsia="zh-CN"/>
        </w:rPr>
        <w:t>的职责范围，建议理事会建议</w:t>
      </w:r>
      <w:r>
        <w:rPr>
          <w:lang w:val="zh-CN" w:eastAsia="zh-CN"/>
        </w:rPr>
        <w:t>PP-26</w:t>
      </w:r>
      <w:r>
        <w:rPr>
          <w:lang w:val="zh-CN" w:eastAsia="zh-CN"/>
        </w:rPr>
        <w:t>更新第</w:t>
      </w:r>
      <w:r>
        <w:rPr>
          <w:lang w:val="zh-CN" w:eastAsia="zh-CN"/>
        </w:rPr>
        <w:t>11</w:t>
      </w:r>
      <w:r>
        <w:rPr>
          <w:lang w:val="zh-CN" w:eastAsia="zh-CN"/>
        </w:rPr>
        <w:t>号决定，要求在相关</w:t>
      </w:r>
      <w:r>
        <w:rPr>
          <w:lang w:val="zh-CN" w:eastAsia="zh-CN"/>
        </w:rPr>
        <w:t>CWG</w:t>
      </w:r>
      <w:r>
        <w:rPr>
          <w:lang w:val="zh-CN" w:eastAsia="zh-CN"/>
        </w:rPr>
        <w:t>会议结束前</w:t>
      </w:r>
      <w:r>
        <w:rPr>
          <w:rFonts w:hint="eastAsia"/>
          <w:lang w:val="zh-CN" w:eastAsia="zh-CN"/>
        </w:rPr>
        <w:t>，将</w:t>
      </w:r>
      <w:r>
        <w:rPr>
          <w:lang w:val="zh-CN" w:eastAsia="zh-CN"/>
        </w:rPr>
        <w:t>国际电联选任官员在</w:t>
      </w:r>
      <w:r>
        <w:rPr>
          <w:lang w:val="zh-CN" w:eastAsia="zh-CN"/>
        </w:rPr>
        <w:t>CWG</w:t>
      </w:r>
      <w:r>
        <w:rPr>
          <w:lang w:val="zh-CN" w:eastAsia="zh-CN"/>
        </w:rPr>
        <w:t>会议期间所做任何开场白作为情况通报文件公布。</w:t>
      </w:r>
    </w:p>
    <w:p w14:paraId="16DBF9BE" w14:textId="0D344A83" w:rsidR="00BC6260" w:rsidRDefault="00BC6260" w:rsidP="00EB0D71">
      <w:pPr>
        <w:pStyle w:val="enumlev1"/>
        <w:rPr>
          <w:lang w:eastAsia="zh-CN"/>
        </w:rPr>
      </w:pPr>
      <w:r>
        <w:rPr>
          <w:lang w:val="zh-CN" w:eastAsia="zh-CN"/>
        </w:rPr>
        <w:t>–</w:t>
      </w:r>
      <w:r>
        <w:rPr>
          <w:lang w:val="zh-CN" w:eastAsia="zh-CN"/>
        </w:rPr>
        <w:tab/>
      </w:r>
      <w:r w:rsidR="0099087D">
        <w:rPr>
          <w:lang w:eastAsia="zh-CN"/>
        </w:rPr>
        <w:t>根据</w:t>
      </w:r>
      <w:r w:rsidR="0099087D">
        <w:rPr>
          <w:lang w:eastAsia="zh-CN"/>
        </w:rPr>
        <w:t>PP</w:t>
      </w:r>
      <w:r w:rsidR="0099087D">
        <w:rPr>
          <w:lang w:eastAsia="zh-CN"/>
        </w:rPr>
        <w:t>第</w:t>
      </w:r>
      <w:r w:rsidR="0099087D">
        <w:rPr>
          <w:lang w:eastAsia="zh-CN"/>
        </w:rPr>
        <w:t>11</w:t>
      </w:r>
      <w:r w:rsidR="0099087D">
        <w:rPr>
          <w:lang w:eastAsia="zh-CN"/>
        </w:rPr>
        <w:t>号决定和</w:t>
      </w:r>
      <w:r w:rsidR="0099087D">
        <w:rPr>
          <w:lang w:eastAsia="zh-CN"/>
        </w:rPr>
        <w:t>CWG-FHR</w:t>
      </w:r>
      <w:r w:rsidR="0099087D">
        <w:rPr>
          <w:lang w:eastAsia="zh-CN"/>
        </w:rPr>
        <w:t>的职责范围，建议理事会请</w:t>
      </w:r>
      <w:r w:rsidR="0099087D">
        <w:rPr>
          <w:lang w:eastAsia="zh-CN"/>
        </w:rPr>
        <w:t>PP-26</w:t>
      </w:r>
      <w:r w:rsidR="0099087D">
        <w:rPr>
          <w:lang w:eastAsia="zh-CN"/>
        </w:rPr>
        <w:t>澄清工作组的工作方法，并在理事会第</w:t>
      </w:r>
      <w:r w:rsidR="0099087D">
        <w:rPr>
          <w:lang w:eastAsia="zh-CN"/>
        </w:rPr>
        <w:t>1333</w:t>
      </w:r>
      <w:r w:rsidR="0099087D">
        <w:rPr>
          <w:lang w:eastAsia="zh-CN"/>
        </w:rPr>
        <w:t>号决议（</w:t>
      </w:r>
      <w:r w:rsidR="0099087D">
        <w:rPr>
          <w:lang w:eastAsia="zh-CN"/>
        </w:rPr>
        <w:t>C11</w:t>
      </w:r>
      <w:r w:rsidR="0099087D">
        <w:rPr>
          <w:lang w:eastAsia="zh-CN"/>
        </w:rPr>
        <w:t>，最后修正</w:t>
      </w:r>
      <w:r w:rsidR="0099087D">
        <w:rPr>
          <w:lang w:eastAsia="zh-CN"/>
        </w:rPr>
        <w:t>C25</w:t>
      </w:r>
      <w:r w:rsidR="0099087D">
        <w:rPr>
          <w:lang w:eastAsia="zh-CN"/>
        </w:rPr>
        <w:t>）规定的有限会议时间内审查加强</w:t>
      </w:r>
      <w:r w:rsidR="0099087D">
        <w:rPr>
          <w:lang w:eastAsia="zh-CN"/>
        </w:rPr>
        <w:t>CWG-FHR</w:t>
      </w:r>
      <w:r w:rsidR="0099087D">
        <w:rPr>
          <w:lang w:eastAsia="zh-CN"/>
        </w:rPr>
        <w:t>的方法</w:t>
      </w:r>
      <w:r w:rsidR="0099087D">
        <w:rPr>
          <w:rFonts w:ascii="SimSun" w:hAnsi="SimSun" w:cs="SimSun" w:hint="eastAsia"/>
          <w:lang w:eastAsia="zh-CN"/>
        </w:rPr>
        <w:t>。</w:t>
      </w:r>
    </w:p>
    <w:bookmarkEnd w:id="7"/>
    <w:p w14:paraId="275DA401" w14:textId="77777777" w:rsidR="00EB0D71" w:rsidRDefault="00EB0D71" w:rsidP="00EB0D71">
      <w:pPr>
        <w:overflowPunct/>
        <w:autoSpaceDE/>
        <w:autoSpaceDN/>
        <w:adjustRightInd/>
        <w:spacing w:before="0"/>
        <w:textAlignment w:val="auto"/>
        <w:rPr>
          <w:lang w:eastAsia="zh-CN"/>
        </w:rPr>
      </w:pPr>
      <w:r>
        <w:rPr>
          <w:lang w:eastAsia="zh-CN"/>
        </w:rPr>
        <w:br w:type="page"/>
      </w:r>
    </w:p>
    <w:p w14:paraId="4E698A50" w14:textId="438A5FBA" w:rsidR="00EB0D71" w:rsidRPr="00825E6F" w:rsidRDefault="00EB0D71" w:rsidP="00EB0D71">
      <w:pPr>
        <w:pStyle w:val="Annextitle"/>
        <w:rPr>
          <w:lang w:eastAsia="zh-CN"/>
        </w:rPr>
      </w:pPr>
      <w:r>
        <w:rPr>
          <w:bCs/>
          <w:lang w:val="zh-CN" w:eastAsia="zh-CN"/>
        </w:rPr>
        <w:lastRenderedPageBreak/>
        <w:t>与卫星网络申报相关的</w:t>
      </w:r>
      <w:r w:rsidR="00BC3DCB">
        <w:rPr>
          <w:bCs/>
          <w:lang w:val="zh-CN" w:eastAsia="zh-CN"/>
        </w:rPr>
        <w:br/>
      </w:r>
      <w:r>
        <w:rPr>
          <w:bCs/>
          <w:lang w:val="zh-CN" w:eastAsia="zh-CN"/>
        </w:rPr>
        <w:t>代表意见</w:t>
      </w:r>
      <w:r>
        <w:rPr>
          <w:bCs/>
          <w:lang w:val="zh-CN" w:eastAsia="zh-CN"/>
        </w:rPr>
        <w:t>/</w:t>
      </w:r>
      <w:r>
        <w:rPr>
          <w:bCs/>
          <w:lang w:val="zh-CN" w:eastAsia="zh-CN"/>
        </w:rPr>
        <w:t>问题的主题</w:t>
      </w:r>
    </w:p>
    <w:p w14:paraId="13A1B423" w14:textId="2E872987" w:rsidR="00EB0D71" w:rsidRPr="003D57E4" w:rsidRDefault="00EB0D71" w:rsidP="00BC3DCB">
      <w:pPr>
        <w:pStyle w:val="Normalaftertitle"/>
        <w:spacing w:after="240"/>
        <w:ind w:firstLineChars="200" w:firstLine="480"/>
        <w:rPr>
          <w:lang w:eastAsia="zh-CN"/>
        </w:rPr>
      </w:pPr>
      <w:r>
        <w:rPr>
          <w:lang w:val="zh-CN" w:eastAsia="zh-CN"/>
        </w:rPr>
        <w:t>下</w:t>
      </w:r>
      <w:r>
        <w:rPr>
          <w:rFonts w:hint="eastAsia"/>
          <w:lang w:val="zh-CN" w:eastAsia="zh-CN"/>
        </w:rPr>
        <w:t>表</w:t>
      </w:r>
      <w:r>
        <w:rPr>
          <w:lang w:val="zh-CN" w:eastAsia="zh-CN"/>
        </w:rPr>
        <w:t>记录了代表们在</w:t>
      </w:r>
      <w:r>
        <w:rPr>
          <w:lang w:val="zh-CN" w:eastAsia="zh-CN"/>
        </w:rPr>
        <w:t>CWG-FHR</w:t>
      </w:r>
      <w:r>
        <w:rPr>
          <w:lang w:val="zh-CN" w:eastAsia="zh-CN"/>
        </w:rPr>
        <w:t>第</w:t>
      </w:r>
      <w:r>
        <w:rPr>
          <w:lang w:val="zh-CN" w:eastAsia="zh-CN"/>
        </w:rPr>
        <w:t>22</w:t>
      </w:r>
      <w:r>
        <w:rPr>
          <w:lang w:val="zh-CN" w:eastAsia="zh-CN"/>
        </w:rPr>
        <w:t>次会议期间提出的意见和问题。该表已于</w:t>
      </w:r>
      <w:r>
        <w:rPr>
          <w:lang w:val="zh-CN" w:eastAsia="zh-CN"/>
        </w:rPr>
        <w:t>2026</w:t>
      </w:r>
      <w:r>
        <w:rPr>
          <w:lang w:val="zh-CN" w:eastAsia="zh-CN"/>
        </w:rPr>
        <w:t>年</w:t>
      </w:r>
      <w:r>
        <w:rPr>
          <w:lang w:val="zh-CN" w:eastAsia="zh-CN"/>
        </w:rPr>
        <w:t>1</w:t>
      </w:r>
      <w:r>
        <w:rPr>
          <w:lang w:val="zh-CN" w:eastAsia="zh-CN"/>
        </w:rPr>
        <w:t>月</w:t>
      </w:r>
      <w:r>
        <w:rPr>
          <w:lang w:val="zh-CN" w:eastAsia="zh-CN"/>
        </w:rPr>
        <w:t>15</w:t>
      </w:r>
      <w:r>
        <w:rPr>
          <w:lang w:val="zh-CN" w:eastAsia="zh-CN"/>
        </w:rPr>
        <w:t>日由</w:t>
      </w:r>
      <w:r>
        <w:rPr>
          <w:lang w:val="zh-CN" w:eastAsia="zh-CN"/>
        </w:rPr>
        <w:t>CWG-FHR</w:t>
      </w:r>
      <w:r>
        <w:rPr>
          <w:lang w:val="zh-CN" w:eastAsia="zh-CN"/>
        </w:rPr>
        <w:t>主席通过电子邮件发送给感兴趣的代表，征求反馈意见。</w:t>
      </w:r>
    </w:p>
    <w:tbl>
      <w:tblPr>
        <w:tblStyle w:val="TableGrid"/>
        <w:tblW w:w="5000" w:type="pct"/>
        <w:tblLayout w:type="fixed"/>
        <w:tblLook w:val="04A0" w:firstRow="1" w:lastRow="0" w:firstColumn="1" w:lastColumn="0" w:noHBand="0" w:noVBand="1"/>
      </w:tblPr>
      <w:tblGrid>
        <w:gridCol w:w="1427"/>
        <w:gridCol w:w="3691"/>
        <w:gridCol w:w="3943"/>
      </w:tblGrid>
      <w:tr w:rsidR="00EB0D71" w:rsidRPr="00F8365C" w14:paraId="14DDACF0" w14:textId="77777777" w:rsidTr="00EF478B">
        <w:trPr>
          <w:tblHeader/>
        </w:trPr>
        <w:tc>
          <w:tcPr>
            <w:tcW w:w="787" w:type="pct"/>
            <w:shd w:val="clear" w:color="auto" w:fill="DBE5F1" w:themeFill="accent1" w:themeFillTint="33"/>
          </w:tcPr>
          <w:p w14:paraId="3D8865DA" w14:textId="77777777" w:rsidR="00EB0D71" w:rsidRPr="00F8365C" w:rsidRDefault="00EB0D71" w:rsidP="00F8365C">
            <w:pPr>
              <w:pStyle w:val="Tablehead"/>
              <w:rPr>
                <w:rFonts w:eastAsia="SimSun" w:cs="Calibri"/>
              </w:rPr>
            </w:pPr>
            <w:proofErr w:type="spellStart"/>
            <w:r w:rsidRPr="00F8365C">
              <w:rPr>
                <w:rFonts w:eastAsia="SimSun" w:cs="Calibri" w:hint="eastAsia"/>
              </w:rPr>
              <w:t>主题</w:t>
            </w:r>
            <w:proofErr w:type="spellEnd"/>
          </w:p>
        </w:tc>
        <w:tc>
          <w:tcPr>
            <w:tcW w:w="2037" w:type="pct"/>
            <w:shd w:val="clear" w:color="auto" w:fill="DBE5F1" w:themeFill="accent1" w:themeFillTint="33"/>
          </w:tcPr>
          <w:p w14:paraId="34B82C72" w14:textId="77777777" w:rsidR="00EB0D71" w:rsidRPr="00F8365C" w:rsidRDefault="00EB0D71" w:rsidP="00F8365C">
            <w:pPr>
              <w:pStyle w:val="Tablehead"/>
              <w:rPr>
                <w:rFonts w:eastAsia="SimSun" w:cs="Calibri"/>
              </w:rPr>
            </w:pPr>
            <w:proofErr w:type="spellStart"/>
            <w:r w:rsidRPr="00F8365C">
              <w:rPr>
                <w:rFonts w:eastAsia="SimSun" w:cs="Calibri" w:hint="eastAsia"/>
              </w:rPr>
              <w:t>表达的观点</w:t>
            </w:r>
            <w:proofErr w:type="spellEnd"/>
            <w:r w:rsidRPr="00F8365C">
              <w:rPr>
                <w:rFonts w:eastAsia="SimSun" w:cs="Calibri"/>
              </w:rPr>
              <w:t>/</w:t>
            </w:r>
            <w:proofErr w:type="spellStart"/>
            <w:r w:rsidRPr="00F8365C">
              <w:rPr>
                <w:rFonts w:eastAsia="SimSun" w:cs="Calibri" w:hint="eastAsia"/>
              </w:rPr>
              <w:t>问题</w:t>
            </w:r>
            <w:proofErr w:type="spellEnd"/>
          </w:p>
        </w:tc>
        <w:tc>
          <w:tcPr>
            <w:tcW w:w="2176" w:type="pct"/>
            <w:shd w:val="clear" w:color="auto" w:fill="DBE5F1" w:themeFill="accent1" w:themeFillTint="33"/>
          </w:tcPr>
          <w:p w14:paraId="188DD97F" w14:textId="77777777" w:rsidR="00EB0D71" w:rsidRPr="00F8365C" w:rsidRDefault="00EB0D71" w:rsidP="00F8365C">
            <w:pPr>
              <w:pStyle w:val="Tablehead"/>
              <w:rPr>
                <w:rFonts w:eastAsia="SimSun" w:cs="Calibri"/>
              </w:rPr>
            </w:pPr>
            <w:proofErr w:type="spellStart"/>
            <w:r w:rsidRPr="00F8365C">
              <w:rPr>
                <w:rFonts w:eastAsia="SimSun" w:cs="Calibri" w:hint="eastAsia"/>
              </w:rPr>
              <w:t>未决问题</w:t>
            </w:r>
            <w:proofErr w:type="spellEnd"/>
            <w:r w:rsidRPr="00F8365C">
              <w:rPr>
                <w:rFonts w:eastAsia="SimSun" w:cs="Calibri"/>
              </w:rPr>
              <w:t>/</w:t>
            </w:r>
            <w:proofErr w:type="spellStart"/>
            <w:r w:rsidRPr="00F8365C">
              <w:rPr>
                <w:rFonts w:eastAsia="SimSun" w:cs="Calibri" w:hint="eastAsia"/>
              </w:rPr>
              <w:t>事宜</w:t>
            </w:r>
            <w:proofErr w:type="spellEnd"/>
          </w:p>
        </w:tc>
      </w:tr>
      <w:tr w:rsidR="00EB0D71" w:rsidRPr="002F1C95" w14:paraId="15AA5BD1" w14:textId="77777777" w:rsidTr="00EF478B">
        <w:tc>
          <w:tcPr>
            <w:tcW w:w="5000" w:type="pct"/>
            <w:gridSpan w:val="3"/>
            <w:shd w:val="clear" w:color="auto" w:fill="EEECE1" w:themeFill="background2"/>
          </w:tcPr>
          <w:p w14:paraId="174037D3" w14:textId="77777777" w:rsidR="00EB0D71" w:rsidRPr="001349FB" w:rsidRDefault="00EB0D71" w:rsidP="00F8365C">
            <w:pPr>
              <w:pStyle w:val="Tabletext"/>
              <w:rPr>
                <w:rFonts w:eastAsia="SimSun" w:cs="Calibri"/>
                <w:b/>
                <w:bCs/>
                <w:lang w:eastAsia="zh-CN"/>
              </w:rPr>
            </w:pPr>
            <w:r w:rsidRPr="001349FB">
              <w:rPr>
                <w:rFonts w:eastAsia="SimSun" w:cs="Calibri"/>
                <w:b/>
                <w:bCs/>
                <w:lang w:eastAsia="zh-CN"/>
              </w:rPr>
              <w:t>国际电联下一步何去何从？</w:t>
            </w:r>
          </w:p>
        </w:tc>
      </w:tr>
      <w:tr w:rsidR="00EB0D71" w:rsidRPr="00A37FFD" w14:paraId="352A71F7" w14:textId="77777777" w:rsidTr="00EF478B">
        <w:tc>
          <w:tcPr>
            <w:tcW w:w="787" w:type="pct"/>
          </w:tcPr>
          <w:p w14:paraId="43912350" w14:textId="77777777" w:rsidR="00EB0D71" w:rsidRPr="00A37FFD" w:rsidRDefault="00EB0D71" w:rsidP="00EF478B">
            <w:pPr>
              <w:pStyle w:val="Tabletext"/>
              <w:rPr>
                <w:lang w:eastAsia="zh-CN"/>
              </w:rPr>
            </w:pPr>
          </w:p>
        </w:tc>
        <w:tc>
          <w:tcPr>
            <w:tcW w:w="2037" w:type="pct"/>
          </w:tcPr>
          <w:p w14:paraId="32048B5B" w14:textId="77777777" w:rsidR="00EB0D71" w:rsidRPr="00C80E62" w:rsidRDefault="00EB0D71" w:rsidP="00EF478B">
            <w:pPr>
              <w:pStyle w:val="Tabletext"/>
              <w:rPr>
                <w:rFonts w:eastAsia="SimSun" w:cs="Calibri"/>
              </w:rPr>
            </w:pPr>
            <w:r w:rsidRPr="00C80E62">
              <w:rPr>
                <w:rFonts w:eastAsia="SimSun" w:cs="Calibri"/>
                <w:color w:val="000000"/>
                <w:lang w:val="zh-CN" w:eastAsia="zh-CN"/>
              </w:rPr>
              <w:t>成员</w:t>
            </w:r>
            <w:r w:rsidRPr="00C80E62">
              <w:rPr>
                <w:rFonts w:eastAsia="SimSun" w:cs="Calibri" w:hint="eastAsia"/>
                <w:color w:val="000000"/>
                <w:lang w:val="zh-CN" w:eastAsia="zh-CN"/>
              </w:rPr>
              <w:t>们</w:t>
            </w:r>
            <w:r w:rsidRPr="00C80E62">
              <w:rPr>
                <w:rFonts w:eastAsia="SimSun" w:cs="Calibri"/>
                <w:color w:val="000000"/>
                <w:lang w:val="zh-CN" w:eastAsia="zh-CN"/>
              </w:rPr>
              <w:t>普遍认为，收取的成本回收费用（如卫星网络申报（</w:t>
            </w:r>
            <w:r w:rsidRPr="00C80E62">
              <w:rPr>
                <w:rFonts w:eastAsia="SimSun" w:cs="Calibri"/>
                <w:color w:val="000000"/>
                <w:lang w:val="zh-CN" w:eastAsia="zh-CN"/>
              </w:rPr>
              <w:t>SNF</w:t>
            </w:r>
            <w:r w:rsidRPr="00C80E62">
              <w:rPr>
                <w:rFonts w:eastAsia="SimSun" w:cs="Calibri"/>
                <w:color w:val="000000"/>
                <w:lang w:val="zh-CN" w:eastAsia="zh-CN"/>
              </w:rPr>
              <w:t>））应直接用于支持无线电通信局</w:t>
            </w:r>
            <w:r w:rsidRPr="00C80E62">
              <w:rPr>
                <w:rFonts w:eastAsia="SimSun" w:cs="Calibri" w:hint="eastAsia"/>
                <w:color w:val="000000"/>
                <w:lang w:val="zh-CN" w:eastAsia="zh-CN"/>
              </w:rPr>
              <w:t>与</w:t>
            </w:r>
            <w:r w:rsidRPr="00C80E62">
              <w:rPr>
                <w:rFonts w:eastAsia="SimSun" w:cs="Calibri"/>
                <w:color w:val="000000"/>
                <w:lang w:val="zh-CN" w:eastAsia="zh-CN"/>
              </w:rPr>
              <w:t>此类</w:t>
            </w:r>
            <w:r w:rsidRPr="00C80E62">
              <w:rPr>
                <w:rFonts w:eastAsia="SimSun" w:cs="Calibri" w:hint="eastAsia"/>
                <w:color w:val="000000"/>
                <w:lang w:val="zh-CN" w:eastAsia="zh-CN"/>
              </w:rPr>
              <w:t>成本相关</w:t>
            </w:r>
            <w:r w:rsidRPr="00C80E62">
              <w:rPr>
                <w:rFonts w:eastAsia="SimSun" w:cs="Calibri"/>
                <w:color w:val="000000"/>
                <w:lang w:val="zh-CN" w:eastAsia="zh-CN"/>
              </w:rPr>
              <w:t>的工作，而非</w:t>
            </w:r>
            <w:r w:rsidRPr="00C80E62">
              <w:rPr>
                <w:rFonts w:eastAsia="SimSun" w:cs="Calibri" w:hint="eastAsia"/>
                <w:color w:val="000000"/>
                <w:lang w:val="zh-CN" w:eastAsia="zh-CN"/>
              </w:rPr>
              <w:t>作为一般性资金</w:t>
            </w:r>
            <w:r w:rsidRPr="00C80E62">
              <w:rPr>
                <w:rFonts w:eastAsia="SimSun" w:cs="Calibri"/>
                <w:color w:val="000000"/>
                <w:lang w:val="zh-CN" w:eastAsia="zh-CN"/>
              </w:rPr>
              <w:t>。</w:t>
            </w:r>
            <w:proofErr w:type="spellStart"/>
            <w:r w:rsidRPr="00C80E62">
              <w:rPr>
                <w:rFonts w:eastAsia="SimSun" w:cs="Calibri" w:hint="eastAsia"/>
                <w:color w:val="000000"/>
                <w:lang w:val="zh-CN"/>
              </w:rPr>
              <w:t>其</w:t>
            </w:r>
            <w:r w:rsidRPr="00C80E62">
              <w:rPr>
                <w:rFonts w:eastAsia="SimSun" w:cs="Calibri"/>
                <w:color w:val="000000"/>
                <w:lang w:val="zh-CN"/>
              </w:rPr>
              <w:t>不应成为一种预算回收机制</w:t>
            </w:r>
            <w:proofErr w:type="spellEnd"/>
            <w:r w:rsidRPr="00C80E62">
              <w:rPr>
                <w:rFonts w:eastAsia="SimSun" w:cs="Calibri"/>
                <w:color w:val="000000"/>
                <w:lang w:val="zh-CN"/>
              </w:rPr>
              <w:t>。</w:t>
            </w:r>
          </w:p>
        </w:tc>
        <w:tc>
          <w:tcPr>
            <w:tcW w:w="2176" w:type="pct"/>
          </w:tcPr>
          <w:p w14:paraId="7362ECFC" w14:textId="77777777" w:rsidR="00EB0D71" w:rsidRPr="00C80E62" w:rsidRDefault="00EB0D71" w:rsidP="00EF478B">
            <w:pPr>
              <w:pStyle w:val="Tabletext"/>
              <w:rPr>
                <w:rFonts w:eastAsia="SimSun" w:cs="Calibri"/>
                <w:lang w:eastAsia="zh-CN"/>
              </w:rPr>
            </w:pPr>
            <w:r w:rsidRPr="00C80E62">
              <w:rPr>
                <w:rFonts w:eastAsia="SimSun" w:cs="Calibri"/>
                <w:color w:val="000000"/>
                <w:lang w:val="zh-CN" w:eastAsia="zh-CN"/>
              </w:rPr>
              <w:t>国际电联目前将这些费用归属何处？</w:t>
            </w:r>
          </w:p>
        </w:tc>
      </w:tr>
      <w:tr w:rsidR="00EB0D71" w:rsidRPr="002F1C95" w14:paraId="422A5E9D" w14:textId="77777777" w:rsidTr="00EF478B">
        <w:tc>
          <w:tcPr>
            <w:tcW w:w="5000" w:type="pct"/>
            <w:gridSpan w:val="3"/>
            <w:shd w:val="clear" w:color="auto" w:fill="EEECE1" w:themeFill="background2"/>
          </w:tcPr>
          <w:p w14:paraId="3862D24B" w14:textId="77777777" w:rsidR="00EB0D71" w:rsidRPr="00761C4B" w:rsidRDefault="00EB0D71" w:rsidP="00761C4B">
            <w:pPr>
              <w:pStyle w:val="Tabletext"/>
              <w:rPr>
                <w:rFonts w:eastAsia="SimSun"/>
                <w:b/>
                <w:bCs/>
              </w:rPr>
            </w:pPr>
            <w:proofErr w:type="spellStart"/>
            <w:r w:rsidRPr="00761C4B">
              <w:rPr>
                <w:rFonts w:eastAsia="SimSun"/>
                <w:b/>
                <w:bCs/>
                <w:lang w:val="zh-CN"/>
              </w:rPr>
              <w:t>免费申报</w:t>
            </w:r>
            <w:proofErr w:type="spellEnd"/>
          </w:p>
        </w:tc>
      </w:tr>
      <w:tr w:rsidR="00EB0D71" w:rsidRPr="00A37FFD" w14:paraId="1501A87C" w14:textId="77777777" w:rsidTr="00EF478B">
        <w:tc>
          <w:tcPr>
            <w:tcW w:w="787" w:type="pct"/>
            <w:vMerge w:val="restart"/>
          </w:tcPr>
          <w:p w14:paraId="6E7C7EEE" w14:textId="77777777" w:rsidR="00EB0D71" w:rsidRPr="00A37FFD" w:rsidRDefault="00EB0D71" w:rsidP="00EF478B">
            <w:pPr>
              <w:pStyle w:val="Tabletext"/>
            </w:pPr>
          </w:p>
        </w:tc>
        <w:tc>
          <w:tcPr>
            <w:tcW w:w="2037" w:type="pct"/>
          </w:tcPr>
          <w:p w14:paraId="391E5EC2" w14:textId="77777777" w:rsidR="00EB0D71" w:rsidRPr="00796EA8" w:rsidRDefault="00EB0D71" w:rsidP="00EF478B">
            <w:pPr>
              <w:pStyle w:val="Tabletext"/>
              <w:rPr>
                <w:rFonts w:eastAsia="SimSun" w:cs="Calibri"/>
                <w:lang w:eastAsia="zh-CN"/>
              </w:rPr>
            </w:pPr>
            <w:r>
              <w:rPr>
                <w:rFonts w:eastAsia="SimSun" w:cs="Calibri" w:hint="eastAsia"/>
                <w:color w:val="000000"/>
                <w:lang w:val="zh-CN" w:eastAsia="zh-CN"/>
              </w:rPr>
              <w:t>有些人认为</w:t>
            </w:r>
            <w:r w:rsidRPr="00796EA8">
              <w:rPr>
                <w:rFonts w:eastAsia="SimSun" w:cs="Calibri"/>
                <w:color w:val="000000"/>
                <w:lang w:val="zh-CN" w:eastAsia="zh-CN"/>
              </w:rPr>
              <w:t>免费申报的</w:t>
            </w:r>
            <w:r>
              <w:rPr>
                <w:rFonts w:eastAsia="SimSun" w:cs="Calibri" w:hint="eastAsia"/>
                <w:color w:val="000000"/>
                <w:lang w:val="zh-CN" w:eastAsia="zh-CN"/>
              </w:rPr>
              <w:t>成本</w:t>
            </w:r>
            <w:r w:rsidRPr="00796EA8">
              <w:rPr>
                <w:rFonts w:eastAsia="SimSun" w:cs="Calibri"/>
                <w:color w:val="000000"/>
                <w:lang w:val="zh-CN" w:eastAsia="zh-CN"/>
              </w:rPr>
              <w:t>应由成员国会费（多个国家）支付。另一些人则认为免费申报的资金应来自成本回收，而</w:t>
            </w:r>
            <w:r>
              <w:rPr>
                <w:rFonts w:eastAsia="SimSun" w:cs="Calibri" w:hint="eastAsia"/>
                <w:color w:val="000000"/>
                <w:lang w:val="zh-CN" w:eastAsia="zh-CN"/>
              </w:rPr>
              <w:t>非</w:t>
            </w:r>
            <w:r w:rsidRPr="00796EA8">
              <w:rPr>
                <w:rFonts w:eastAsia="SimSun" w:cs="Calibri"/>
                <w:color w:val="000000"/>
                <w:lang w:val="zh-CN" w:eastAsia="zh-CN"/>
              </w:rPr>
              <w:t>国际电联的</w:t>
            </w:r>
            <w:r>
              <w:rPr>
                <w:rFonts w:eastAsia="SimSun" w:cs="Calibri" w:hint="eastAsia"/>
                <w:color w:val="000000"/>
                <w:lang w:val="zh-CN" w:eastAsia="zh-CN"/>
              </w:rPr>
              <w:t>常规</w:t>
            </w:r>
            <w:r w:rsidRPr="00796EA8">
              <w:rPr>
                <w:rFonts w:eastAsia="SimSun" w:cs="Calibri"/>
                <w:color w:val="000000"/>
                <w:lang w:val="zh-CN" w:eastAsia="zh-CN"/>
              </w:rPr>
              <w:t>预算（根据第</w:t>
            </w:r>
            <w:r w:rsidRPr="00796EA8">
              <w:rPr>
                <w:rFonts w:eastAsia="SimSun" w:cs="Calibri"/>
                <w:color w:val="000000"/>
                <w:lang w:val="zh-CN" w:eastAsia="zh-CN"/>
              </w:rPr>
              <w:t>91</w:t>
            </w:r>
            <w:r w:rsidRPr="00796EA8">
              <w:rPr>
                <w:rFonts w:eastAsia="SimSun" w:cs="Calibri"/>
                <w:color w:val="000000"/>
                <w:lang w:val="zh-CN" w:eastAsia="zh-CN"/>
              </w:rPr>
              <w:t>号决议）。</w:t>
            </w:r>
          </w:p>
        </w:tc>
        <w:tc>
          <w:tcPr>
            <w:tcW w:w="2176" w:type="pct"/>
          </w:tcPr>
          <w:p w14:paraId="5D25FA56"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免费申</w:t>
            </w:r>
            <w:r>
              <w:rPr>
                <w:rFonts w:eastAsia="SimSun" w:cs="Calibri" w:hint="eastAsia"/>
                <w:color w:val="000000"/>
                <w:lang w:val="zh-CN" w:eastAsia="zh-CN"/>
              </w:rPr>
              <w:t>报</w:t>
            </w:r>
            <w:r w:rsidRPr="00796EA8">
              <w:rPr>
                <w:rFonts w:eastAsia="SimSun" w:cs="Calibri"/>
                <w:color w:val="000000"/>
                <w:lang w:val="zh-CN" w:eastAsia="zh-CN"/>
              </w:rPr>
              <w:t>的</w:t>
            </w:r>
            <w:r>
              <w:rPr>
                <w:rFonts w:eastAsia="SimSun" w:cs="Calibri" w:hint="eastAsia"/>
                <w:color w:val="000000"/>
                <w:lang w:val="zh-CN" w:eastAsia="zh-CN"/>
              </w:rPr>
              <w:t>后果</w:t>
            </w:r>
            <w:r w:rsidRPr="00796EA8">
              <w:rPr>
                <w:rFonts w:eastAsia="SimSun" w:cs="Calibri"/>
                <w:color w:val="000000"/>
                <w:lang w:val="zh-CN" w:eastAsia="zh-CN"/>
              </w:rPr>
              <w:t>和</w:t>
            </w:r>
            <w:r>
              <w:rPr>
                <w:rFonts w:eastAsia="SimSun" w:cs="Calibri" w:hint="eastAsia"/>
                <w:color w:val="000000"/>
                <w:lang w:val="zh-CN" w:eastAsia="zh-CN"/>
              </w:rPr>
              <w:t>成本</w:t>
            </w:r>
            <w:r w:rsidRPr="00796EA8">
              <w:rPr>
                <w:rFonts w:eastAsia="SimSun" w:cs="Calibri"/>
                <w:color w:val="000000"/>
                <w:lang w:val="zh-CN" w:eastAsia="zh-CN"/>
              </w:rPr>
              <w:t>？现在谁为免费申报付费？免费申报是否应有成本限制，</w:t>
            </w:r>
            <w:r>
              <w:rPr>
                <w:rFonts w:eastAsia="SimSun" w:cs="Calibri" w:hint="eastAsia"/>
                <w:color w:val="000000"/>
                <w:lang w:val="zh-CN" w:eastAsia="zh-CN"/>
              </w:rPr>
              <w:t>成本</w:t>
            </w:r>
            <w:r w:rsidRPr="00796EA8">
              <w:rPr>
                <w:rFonts w:eastAsia="SimSun" w:cs="Calibri"/>
                <w:color w:val="000000"/>
                <w:lang w:val="zh-CN" w:eastAsia="zh-CN"/>
              </w:rPr>
              <w:t>由谁</w:t>
            </w:r>
            <w:r>
              <w:rPr>
                <w:rFonts w:eastAsia="SimSun" w:cs="Calibri" w:hint="eastAsia"/>
                <w:color w:val="000000"/>
                <w:lang w:val="zh-CN" w:eastAsia="zh-CN"/>
              </w:rPr>
              <w:t>确</w:t>
            </w:r>
            <w:r w:rsidRPr="00796EA8">
              <w:rPr>
                <w:rFonts w:eastAsia="SimSun" w:cs="Calibri"/>
                <w:color w:val="000000"/>
                <w:lang w:val="zh-CN" w:eastAsia="zh-CN"/>
              </w:rPr>
              <w:t>定？</w:t>
            </w:r>
          </w:p>
        </w:tc>
      </w:tr>
      <w:tr w:rsidR="00EB0D71" w:rsidRPr="00A37FFD" w14:paraId="1348C3EF" w14:textId="77777777" w:rsidTr="00EF478B">
        <w:trPr>
          <w:trHeight w:val="735"/>
        </w:trPr>
        <w:tc>
          <w:tcPr>
            <w:tcW w:w="787" w:type="pct"/>
            <w:vMerge/>
          </w:tcPr>
          <w:p w14:paraId="7BA95E75" w14:textId="77777777" w:rsidR="00EB0D71" w:rsidRPr="00A37FFD" w:rsidRDefault="00EB0D71" w:rsidP="00EF478B">
            <w:pPr>
              <w:pStyle w:val="Tabletext"/>
              <w:rPr>
                <w:lang w:eastAsia="zh-CN"/>
              </w:rPr>
            </w:pPr>
          </w:p>
        </w:tc>
        <w:tc>
          <w:tcPr>
            <w:tcW w:w="2037" w:type="pct"/>
          </w:tcPr>
          <w:p w14:paraId="2B999E4C"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免费申报是国际电联职责</w:t>
            </w:r>
            <w:r>
              <w:rPr>
                <w:rFonts w:eastAsia="SimSun" w:cs="Calibri" w:hint="eastAsia"/>
                <w:color w:val="000000"/>
                <w:lang w:val="zh-CN" w:eastAsia="zh-CN"/>
              </w:rPr>
              <w:t>范围内</w:t>
            </w:r>
            <w:r w:rsidRPr="00796EA8">
              <w:rPr>
                <w:rFonts w:eastAsia="SimSun" w:cs="Calibri"/>
                <w:color w:val="000000"/>
                <w:lang w:val="zh-CN" w:eastAsia="zh-CN"/>
              </w:rPr>
              <w:t>的</w:t>
            </w:r>
            <w:r>
              <w:rPr>
                <w:rFonts w:eastAsia="SimSun" w:cs="Calibri" w:hint="eastAsia"/>
                <w:color w:val="000000"/>
                <w:lang w:val="zh-CN" w:eastAsia="zh-CN"/>
              </w:rPr>
              <w:t>一项</w:t>
            </w:r>
            <w:r w:rsidRPr="00796EA8">
              <w:rPr>
                <w:rFonts w:eastAsia="SimSun" w:cs="Calibri"/>
                <w:color w:val="000000"/>
                <w:lang w:val="zh-CN" w:eastAsia="zh-CN"/>
              </w:rPr>
              <w:t>核心职能（多个国家）</w:t>
            </w:r>
          </w:p>
        </w:tc>
        <w:tc>
          <w:tcPr>
            <w:tcW w:w="2176" w:type="pct"/>
          </w:tcPr>
          <w:p w14:paraId="3F5AA3C0"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免费申报的最初目的是否仍然</w:t>
            </w:r>
            <w:r>
              <w:rPr>
                <w:rFonts w:eastAsia="SimSun" w:cs="Calibri" w:hint="eastAsia"/>
                <w:color w:val="000000"/>
                <w:lang w:val="zh-CN" w:eastAsia="zh-CN"/>
              </w:rPr>
              <w:t>有效</w:t>
            </w:r>
            <w:r w:rsidRPr="00796EA8">
              <w:rPr>
                <w:rFonts w:eastAsia="SimSun" w:cs="Calibri"/>
                <w:color w:val="000000"/>
                <w:lang w:val="zh-CN" w:eastAsia="zh-CN"/>
              </w:rPr>
              <w:t>？</w:t>
            </w:r>
          </w:p>
        </w:tc>
      </w:tr>
      <w:tr w:rsidR="00EB0D71" w:rsidRPr="00A37FFD" w14:paraId="0110C619" w14:textId="77777777" w:rsidTr="00EF478B">
        <w:trPr>
          <w:trHeight w:val="615"/>
        </w:trPr>
        <w:tc>
          <w:tcPr>
            <w:tcW w:w="787" w:type="pct"/>
            <w:vMerge/>
          </w:tcPr>
          <w:p w14:paraId="699170BA" w14:textId="77777777" w:rsidR="00EB0D71" w:rsidRPr="00A37FFD" w:rsidRDefault="00EB0D71" w:rsidP="00EF478B">
            <w:pPr>
              <w:pStyle w:val="Tabletext"/>
              <w:rPr>
                <w:lang w:eastAsia="zh-CN"/>
              </w:rPr>
            </w:pPr>
          </w:p>
        </w:tc>
        <w:tc>
          <w:tcPr>
            <w:tcW w:w="2037" w:type="pct"/>
          </w:tcPr>
          <w:p w14:paraId="0B9E85A9"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免费申报目前</w:t>
            </w:r>
            <w:r>
              <w:rPr>
                <w:rFonts w:eastAsia="SimSun" w:cs="Calibri" w:hint="eastAsia"/>
                <w:color w:val="000000"/>
                <w:lang w:val="zh-CN" w:eastAsia="zh-CN"/>
              </w:rPr>
              <w:t>未顾及到</w:t>
            </w:r>
            <w:r w:rsidRPr="00796EA8">
              <w:rPr>
                <w:rFonts w:eastAsia="SimSun" w:cs="Calibri"/>
                <w:color w:val="000000"/>
                <w:lang w:val="zh-CN" w:eastAsia="zh-CN"/>
              </w:rPr>
              <w:t>发展中国家的考虑</w:t>
            </w:r>
            <w:r>
              <w:rPr>
                <w:rFonts w:eastAsia="SimSun" w:cs="Calibri" w:hint="eastAsia"/>
                <w:color w:val="000000"/>
                <w:lang w:val="zh-CN" w:eastAsia="zh-CN"/>
              </w:rPr>
              <w:t>。为</w:t>
            </w:r>
            <w:r w:rsidRPr="00796EA8">
              <w:rPr>
                <w:rFonts w:eastAsia="SimSun" w:cs="Calibri"/>
                <w:color w:val="000000"/>
                <w:lang w:val="zh-CN" w:eastAsia="zh-CN"/>
              </w:rPr>
              <w:t>支持发展中国家</w:t>
            </w:r>
            <w:r>
              <w:rPr>
                <w:rFonts w:eastAsia="SimSun" w:cs="Calibri" w:hint="eastAsia"/>
                <w:color w:val="000000"/>
                <w:lang w:val="zh-CN" w:eastAsia="zh-CN"/>
              </w:rPr>
              <w:t>，</w:t>
            </w:r>
            <w:r w:rsidRPr="00796EA8">
              <w:rPr>
                <w:rFonts w:eastAsia="SimSun" w:cs="Calibri"/>
                <w:color w:val="000000"/>
                <w:lang w:val="zh-CN" w:eastAsia="zh-CN"/>
              </w:rPr>
              <w:t>至少应继续</w:t>
            </w:r>
            <w:r>
              <w:rPr>
                <w:rFonts w:eastAsia="SimSun" w:cs="Calibri" w:hint="eastAsia"/>
                <w:color w:val="000000"/>
                <w:lang w:val="zh-CN" w:eastAsia="zh-CN"/>
              </w:rPr>
              <w:t>予以</w:t>
            </w:r>
            <w:r w:rsidRPr="00796EA8">
              <w:rPr>
                <w:rFonts w:eastAsia="SimSun" w:cs="Calibri"/>
                <w:color w:val="000000"/>
                <w:lang w:val="zh-CN" w:eastAsia="zh-CN"/>
              </w:rPr>
              <w:t>保留。</w:t>
            </w:r>
          </w:p>
        </w:tc>
        <w:tc>
          <w:tcPr>
            <w:tcW w:w="2176" w:type="pct"/>
          </w:tcPr>
          <w:p w14:paraId="5B7A620F" w14:textId="77777777" w:rsidR="00EB0D71" w:rsidRPr="00796EA8" w:rsidRDefault="00EB0D71" w:rsidP="00EF478B">
            <w:pPr>
              <w:pStyle w:val="Tabletext"/>
              <w:rPr>
                <w:rFonts w:eastAsia="SimSun" w:cs="Calibri"/>
                <w:lang w:eastAsia="zh-CN"/>
              </w:rPr>
            </w:pPr>
          </w:p>
        </w:tc>
      </w:tr>
      <w:tr w:rsidR="00EB0D71" w:rsidRPr="00A37FFD" w14:paraId="36C749D1" w14:textId="77777777" w:rsidTr="00EF478B">
        <w:tc>
          <w:tcPr>
            <w:tcW w:w="787" w:type="pct"/>
            <w:vMerge/>
          </w:tcPr>
          <w:p w14:paraId="7B8C6F17" w14:textId="77777777" w:rsidR="00EB0D71" w:rsidRPr="00A37FFD" w:rsidRDefault="00EB0D71" w:rsidP="00EF478B">
            <w:pPr>
              <w:pStyle w:val="Tabletext"/>
              <w:rPr>
                <w:lang w:eastAsia="zh-CN"/>
              </w:rPr>
            </w:pPr>
          </w:p>
        </w:tc>
        <w:tc>
          <w:tcPr>
            <w:tcW w:w="2037" w:type="pct"/>
          </w:tcPr>
          <w:p w14:paraId="558EC688"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建议为区域卫星举措提供免费申报</w:t>
            </w:r>
            <w:r>
              <w:rPr>
                <w:rFonts w:eastAsia="SimSun" w:cs="Calibri" w:hint="eastAsia"/>
                <w:color w:val="000000"/>
                <w:lang w:val="zh-CN" w:eastAsia="zh-CN"/>
              </w:rPr>
              <w:t>补</w:t>
            </w:r>
            <w:r w:rsidRPr="00796EA8">
              <w:rPr>
                <w:rFonts w:eastAsia="SimSun" w:cs="Calibri"/>
                <w:color w:val="000000"/>
                <w:lang w:val="zh-CN" w:eastAsia="zh-CN"/>
              </w:rPr>
              <w:t>贴，以实现平等接入。</w:t>
            </w:r>
          </w:p>
        </w:tc>
        <w:tc>
          <w:tcPr>
            <w:tcW w:w="2176" w:type="pct"/>
          </w:tcPr>
          <w:p w14:paraId="61633A7A"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我们是否需要区分发达国家和发展中国家？</w:t>
            </w:r>
          </w:p>
        </w:tc>
      </w:tr>
      <w:tr w:rsidR="00EB0D71" w:rsidRPr="00A37FFD" w14:paraId="6C2584CF" w14:textId="77777777" w:rsidTr="00EF478B">
        <w:tc>
          <w:tcPr>
            <w:tcW w:w="787" w:type="pct"/>
            <w:vMerge/>
          </w:tcPr>
          <w:p w14:paraId="16679532" w14:textId="77777777" w:rsidR="00EB0D71" w:rsidRPr="00A37FFD" w:rsidRDefault="00EB0D71" w:rsidP="00EF478B">
            <w:pPr>
              <w:pStyle w:val="Tabletext"/>
              <w:rPr>
                <w:lang w:eastAsia="zh-CN"/>
              </w:rPr>
            </w:pPr>
          </w:p>
        </w:tc>
        <w:tc>
          <w:tcPr>
            <w:tcW w:w="2037" w:type="pct"/>
          </w:tcPr>
          <w:p w14:paraId="1ED35078"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免费申报应适用于</w:t>
            </w:r>
            <w:r>
              <w:rPr>
                <w:rFonts w:eastAsia="SimSun" w:cs="Calibri" w:hint="eastAsia"/>
                <w:color w:val="000000"/>
                <w:lang w:val="zh-CN" w:eastAsia="zh-CN"/>
              </w:rPr>
              <w:t>整个</w:t>
            </w:r>
            <w:r w:rsidRPr="00796EA8">
              <w:rPr>
                <w:rFonts w:eastAsia="SimSun" w:cs="Calibri"/>
                <w:color w:val="000000"/>
                <w:lang w:val="zh-CN" w:eastAsia="zh-CN"/>
              </w:rPr>
              <w:t>卫星系统。</w:t>
            </w:r>
            <w:r>
              <w:rPr>
                <w:rFonts w:eastAsia="SimSun" w:cs="Calibri" w:hint="eastAsia"/>
                <w:color w:val="000000"/>
                <w:lang w:val="zh-CN" w:eastAsia="zh-CN"/>
              </w:rPr>
              <w:t>但不包括</w:t>
            </w:r>
            <w:r w:rsidRPr="00796EA8">
              <w:rPr>
                <w:rFonts w:eastAsia="SimSun" w:cs="Calibri"/>
                <w:color w:val="000000"/>
                <w:lang w:val="zh-CN" w:eastAsia="zh-CN"/>
              </w:rPr>
              <w:t>修改的免费申报。</w:t>
            </w:r>
          </w:p>
        </w:tc>
        <w:tc>
          <w:tcPr>
            <w:tcW w:w="2176" w:type="pct"/>
          </w:tcPr>
          <w:p w14:paraId="2BC2D301" w14:textId="77777777" w:rsidR="00EB0D71" w:rsidRPr="00796EA8" w:rsidRDefault="00EB0D71" w:rsidP="00EF478B">
            <w:pPr>
              <w:pStyle w:val="Tabletext"/>
              <w:rPr>
                <w:rFonts w:eastAsia="SimSun" w:cs="Calibri"/>
                <w:lang w:eastAsia="zh-CN"/>
              </w:rPr>
            </w:pPr>
          </w:p>
        </w:tc>
      </w:tr>
      <w:tr w:rsidR="00EB0D71" w:rsidRPr="00A37FFD" w14:paraId="7DBEDF8A" w14:textId="77777777" w:rsidTr="00EF478B">
        <w:tc>
          <w:tcPr>
            <w:tcW w:w="787" w:type="pct"/>
            <w:vMerge/>
          </w:tcPr>
          <w:p w14:paraId="7664E2EC" w14:textId="77777777" w:rsidR="00EB0D71" w:rsidRPr="00A37FFD" w:rsidRDefault="00EB0D71" w:rsidP="00EF478B">
            <w:pPr>
              <w:pStyle w:val="Tabletext"/>
              <w:rPr>
                <w:lang w:eastAsia="zh-CN"/>
              </w:rPr>
            </w:pPr>
          </w:p>
        </w:tc>
        <w:tc>
          <w:tcPr>
            <w:tcW w:w="2037" w:type="pct"/>
          </w:tcPr>
          <w:p w14:paraId="17625CF7"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通过与第</w:t>
            </w:r>
            <w:r w:rsidRPr="00796EA8">
              <w:rPr>
                <w:rFonts w:eastAsia="SimSun" w:cs="Calibri"/>
                <w:color w:val="000000"/>
                <w:lang w:val="zh-CN" w:eastAsia="zh-CN"/>
              </w:rPr>
              <w:t>482</w:t>
            </w:r>
            <w:r w:rsidRPr="00796EA8">
              <w:rPr>
                <w:rFonts w:eastAsia="SimSun" w:cs="Calibri"/>
                <w:color w:val="000000"/>
                <w:lang w:val="zh-CN" w:eastAsia="zh-CN"/>
              </w:rPr>
              <w:t>号决定专家组的磋商，继续就免费申报开展讨论。</w:t>
            </w:r>
          </w:p>
        </w:tc>
        <w:tc>
          <w:tcPr>
            <w:tcW w:w="2176" w:type="pct"/>
          </w:tcPr>
          <w:p w14:paraId="3395327E" w14:textId="77777777" w:rsidR="00EB0D71" w:rsidRPr="00796EA8" w:rsidRDefault="00EB0D71" w:rsidP="00EF478B">
            <w:pPr>
              <w:pStyle w:val="Tabletext"/>
              <w:rPr>
                <w:rFonts w:eastAsia="SimSun" w:cs="Calibri"/>
                <w:lang w:eastAsia="zh-CN"/>
              </w:rPr>
            </w:pPr>
          </w:p>
        </w:tc>
      </w:tr>
      <w:tr w:rsidR="00EB0D71" w:rsidRPr="00A37FFD" w14:paraId="271233E1" w14:textId="77777777" w:rsidTr="00EF478B">
        <w:tc>
          <w:tcPr>
            <w:tcW w:w="787" w:type="pct"/>
            <w:vMerge/>
          </w:tcPr>
          <w:p w14:paraId="1E92B42F" w14:textId="77777777" w:rsidR="00EB0D71" w:rsidRPr="00A37FFD" w:rsidRDefault="00EB0D71" w:rsidP="00EF478B">
            <w:pPr>
              <w:pStyle w:val="Tabletext"/>
              <w:rPr>
                <w:lang w:eastAsia="zh-CN"/>
              </w:rPr>
            </w:pPr>
          </w:p>
        </w:tc>
        <w:tc>
          <w:tcPr>
            <w:tcW w:w="2037" w:type="pct"/>
          </w:tcPr>
          <w:p w14:paraId="7D173D12"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建议国际电联每年向各国（特别是发展中国家）发出使用免费申报的提醒</w:t>
            </w:r>
            <w:r>
              <w:rPr>
                <w:rFonts w:eastAsia="SimSun" w:cs="Calibri" w:hint="eastAsia"/>
                <w:color w:val="000000"/>
                <w:lang w:val="zh-CN" w:eastAsia="zh-CN"/>
              </w:rPr>
              <w:t>函</w:t>
            </w:r>
            <w:r w:rsidRPr="00796EA8">
              <w:rPr>
                <w:rFonts w:eastAsia="SimSun" w:cs="Calibri"/>
                <w:color w:val="000000"/>
                <w:lang w:val="zh-CN" w:eastAsia="zh-CN"/>
              </w:rPr>
              <w:t>。</w:t>
            </w:r>
          </w:p>
        </w:tc>
        <w:tc>
          <w:tcPr>
            <w:tcW w:w="2176" w:type="pct"/>
          </w:tcPr>
          <w:p w14:paraId="7F8EDF1C" w14:textId="77777777" w:rsidR="00EB0D71" w:rsidRPr="00796EA8" w:rsidRDefault="00EB0D71" w:rsidP="00EF478B">
            <w:pPr>
              <w:pStyle w:val="Tabletext"/>
              <w:rPr>
                <w:rFonts w:eastAsia="SimSun" w:cs="Calibri"/>
                <w:lang w:eastAsia="zh-CN"/>
              </w:rPr>
            </w:pPr>
          </w:p>
        </w:tc>
      </w:tr>
      <w:tr w:rsidR="00EB0D71" w:rsidRPr="00A37FFD" w14:paraId="34670D46" w14:textId="77777777" w:rsidTr="00EF478B">
        <w:tc>
          <w:tcPr>
            <w:tcW w:w="787" w:type="pct"/>
            <w:vMerge/>
          </w:tcPr>
          <w:p w14:paraId="005CF836" w14:textId="77777777" w:rsidR="00EB0D71" w:rsidRPr="00A37FFD" w:rsidRDefault="00EB0D71" w:rsidP="00EF478B">
            <w:pPr>
              <w:pStyle w:val="Tabletext"/>
              <w:rPr>
                <w:lang w:eastAsia="zh-CN"/>
              </w:rPr>
            </w:pPr>
          </w:p>
        </w:tc>
        <w:tc>
          <w:tcPr>
            <w:tcW w:w="2037" w:type="pct"/>
          </w:tcPr>
          <w:p w14:paraId="09AAEF4F"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一些成员支持多国</w:t>
            </w:r>
            <w:r>
              <w:rPr>
                <w:rFonts w:eastAsia="SimSun" w:cs="Calibri" w:hint="eastAsia"/>
                <w:color w:val="000000"/>
                <w:lang w:val="zh-CN" w:eastAsia="zh-CN"/>
              </w:rPr>
              <w:t>提交的</w:t>
            </w:r>
            <w:r w:rsidRPr="00796EA8">
              <w:rPr>
                <w:rFonts w:eastAsia="SimSun" w:cs="Calibri"/>
                <w:color w:val="000000"/>
                <w:lang w:val="zh-CN" w:eastAsia="zh-CN"/>
              </w:rPr>
              <w:t>关于防止滥用免费申报</w:t>
            </w:r>
            <w:r>
              <w:rPr>
                <w:rFonts w:eastAsia="SimSun" w:cs="Calibri" w:hint="eastAsia"/>
                <w:color w:val="000000"/>
                <w:lang w:val="zh-CN" w:eastAsia="zh-CN"/>
              </w:rPr>
              <w:t>的</w:t>
            </w:r>
            <w:r w:rsidRPr="00796EA8">
              <w:rPr>
                <w:rFonts w:eastAsia="SimSun" w:cs="Calibri"/>
                <w:color w:val="000000"/>
                <w:lang w:val="zh-CN" w:eastAsia="zh-CN"/>
              </w:rPr>
              <w:t>提案文稿。</w:t>
            </w:r>
          </w:p>
        </w:tc>
        <w:tc>
          <w:tcPr>
            <w:tcW w:w="2176" w:type="pct"/>
          </w:tcPr>
          <w:p w14:paraId="7DAB6C4F" w14:textId="77777777" w:rsidR="00EB0D71" w:rsidRPr="00796EA8" w:rsidRDefault="00EB0D71" w:rsidP="00EF478B">
            <w:pPr>
              <w:pStyle w:val="Tabletext"/>
              <w:rPr>
                <w:rFonts w:eastAsia="SimSun" w:cs="Calibri"/>
                <w:lang w:eastAsia="zh-CN"/>
              </w:rPr>
            </w:pPr>
          </w:p>
        </w:tc>
      </w:tr>
      <w:tr w:rsidR="00EB0D71" w:rsidRPr="002F1C95" w14:paraId="54AAC7FF" w14:textId="77777777" w:rsidTr="00EF478B">
        <w:tc>
          <w:tcPr>
            <w:tcW w:w="5000" w:type="pct"/>
            <w:gridSpan w:val="3"/>
            <w:shd w:val="clear" w:color="auto" w:fill="EEECE1" w:themeFill="background2"/>
          </w:tcPr>
          <w:p w14:paraId="7075076D" w14:textId="77777777" w:rsidR="00EB0D71" w:rsidRPr="00796EA8" w:rsidRDefault="00EB0D71" w:rsidP="00EF478B">
            <w:pPr>
              <w:pStyle w:val="Tabletext"/>
              <w:rPr>
                <w:rFonts w:eastAsia="SimSun" w:cs="Calibri"/>
                <w:b/>
                <w:bCs/>
              </w:rPr>
            </w:pPr>
            <w:proofErr w:type="spellStart"/>
            <w:r w:rsidRPr="00C80E62">
              <w:rPr>
                <w:rFonts w:eastAsia="SimSun"/>
                <w:b/>
                <w:bCs/>
                <w:lang w:val="zh-CN"/>
              </w:rPr>
              <w:t>透明度</w:t>
            </w:r>
            <w:proofErr w:type="spellEnd"/>
          </w:p>
        </w:tc>
      </w:tr>
      <w:tr w:rsidR="00EB0D71" w:rsidRPr="00A37FFD" w14:paraId="2671D9ED" w14:textId="77777777" w:rsidTr="00EF478B">
        <w:tc>
          <w:tcPr>
            <w:tcW w:w="787" w:type="pct"/>
            <w:vMerge w:val="restart"/>
          </w:tcPr>
          <w:p w14:paraId="36C774F4" w14:textId="77777777" w:rsidR="00EB0D71" w:rsidRPr="00A37FFD" w:rsidRDefault="00EB0D71" w:rsidP="00EF478B">
            <w:pPr>
              <w:pStyle w:val="Tabletext"/>
            </w:pPr>
          </w:p>
        </w:tc>
        <w:tc>
          <w:tcPr>
            <w:tcW w:w="2037" w:type="pct"/>
          </w:tcPr>
          <w:p w14:paraId="1CDE7D06"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秘书处的提案缺乏具体措施。拟议方法以无线电通信局</w:t>
            </w:r>
            <w:r>
              <w:rPr>
                <w:rFonts w:eastAsia="SimSun" w:cs="Calibri" w:hint="eastAsia"/>
                <w:color w:val="000000"/>
                <w:lang w:val="zh-CN" w:eastAsia="zh-CN"/>
              </w:rPr>
              <w:t>运作</w:t>
            </w:r>
            <w:r w:rsidRPr="00796EA8">
              <w:rPr>
                <w:rFonts w:eastAsia="SimSun" w:cs="Calibri"/>
                <w:color w:val="000000"/>
                <w:lang w:val="zh-CN" w:eastAsia="zh-CN"/>
              </w:rPr>
              <w:t>的审计数据为基础。</w:t>
            </w:r>
          </w:p>
        </w:tc>
        <w:tc>
          <w:tcPr>
            <w:tcW w:w="2176" w:type="pct"/>
          </w:tcPr>
          <w:p w14:paraId="1E6F147E"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要求澄清该方法中要收回</w:t>
            </w:r>
            <w:r>
              <w:rPr>
                <w:rFonts w:eastAsia="SimSun" w:cs="Calibri" w:hint="eastAsia"/>
                <w:color w:val="000000"/>
                <w:lang w:val="zh-CN" w:eastAsia="zh-CN"/>
              </w:rPr>
              <w:t>部分</w:t>
            </w:r>
            <w:r w:rsidRPr="00796EA8">
              <w:rPr>
                <w:rFonts w:eastAsia="SimSun" w:cs="Calibri"/>
                <w:color w:val="000000"/>
                <w:lang w:val="zh-CN" w:eastAsia="zh-CN"/>
              </w:rPr>
              <w:t>的成本构成。具体而言，秘书处将如何确定直接</w:t>
            </w:r>
            <w:r>
              <w:rPr>
                <w:rFonts w:eastAsia="SimSun" w:cs="Calibri" w:hint="eastAsia"/>
                <w:color w:val="000000"/>
                <w:lang w:val="zh-CN" w:eastAsia="zh-CN"/>
              </w:rPr>
              <w:t>成本</w:t>
            </w:r>
            <w:r w:rsidRPr="00796EA8">
              <w:rPr>
                <w:rFonts w:eastAsia="SimSun" w:cs="Calibri"/>
                <w:color w:val="000000"/>
                <w:lang w:val="zh-CN" w:eastAsia="zh-CN"/>
              </w:rPr>
              <w:t>和间接</w:t>
            </w:r>
            <w:r>
              <w:rPr>
                <w:rFonts w:eastAsia="SimSun" w:cs="Calibri" w:hint="eastAsia"/>
                <w:color w:val="000000"/>
                <w:lang w:val="zh-CN" w:eastAsia="zh-CN"/>
              </w:rPr>
              <w:t>成本</w:t>
            </w:r>
            <w:r w:rsidRPr="00796EA8">
              <w:rPr>
                <w:rFonts w:eastAsia="SimSun" w:cs="Calibri"/>
                <w:color w:val="000000"/>
                <w:lang w:val="zh-CN" w:eastAsia="zh-CN"/>
              </w:rPr>
              <w:t>的定义、计算和分配。</w:t>
            </w:r>
          </w:p>
        </w:tc>
      </w:tr>
      <w:tr w:rsidR="00EB0D71" w:rsidRPr="00A37FFD" w14:paraId="555CBE02" w14:textId="77777777" w:rsidTr="00EF478B">
        <w:tc>
          <w:tcPr>
            <w:tcW w:w="787" w:type="pct"/>
            <w:vMerge/>
          </w:tcPr>
          <w:p w14:paraId="78C21CC1" w14:textId="77777777" w:rsidR="00EB0D71" w:rsidRPr="00A37FFD" w:rsidRDefault="00EB0D71" w:rsidP="00EF478B">
            <w:pPr>
              <w:pStyle w:val="Tabletext"/>
              <w:rPr>
                <w:lang w:eastAsia="zh-CN"/>
              </w:rPr>
            </w:pPr>
          </w:p>
        </w:tc>
        <w:tc>
          <w:tcPr>
            <w:tcW w:w="2037" w:type="pct"/>
          </w:tcPr>
          <w:p w14:paraId="49D61924"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一些国家表示，任何直接或间接成本都必须通过成本回收</w:t>
            </w:r>
            <w:r>
              <w:rPr>
                <w:rFonts w:eastAsia="SimSun" w:cs="Calibri" w:hint="eastAsia"/>
                <w:color w:val="000000"/>
                <w:lang w:val="zh-CN" w:eastAsia="zh-CN"/>
              </w:rPr>
              <w:t>的方式</w:t>
            </w:r>
            <w:r w:rsidRPr="00796EA8">
              <w:rPr>
                <w:rFonts w:eastAsia="SimSun" w:cs="Calibri"/>
                <w:color w:val="000000"/>
                <w:lang w:val="zh-CN" w:eastAsia="zh-CN"/>
              </w:rPr>
              <w:t>回</w:t>
            </w:r>
            <w:r w:rsidRPr="00796EA8">
              <w:rPr>
                <w:rFonts w:eastAsia="SimSun" w:cs="Calibri"/>
                <w:color w:val="000000"/>
                <w:lang w:val="zh-CN" w:eastAsia="zh-CN"/>
              </w:rPr>
              <w:lastRenderedPageBreak/>
              <w:t>收，秘书处必须证明</w:t>
            </w:r>
            <w:r>
              <w:rPr>
                <w:rFonts w:eastAsia="SimSun" w:cs="Calibri"/>
                <w:color w:val="000000"/>
                <w:lang w:val="zh-CN" w:eastAsia="zh-CN"/>
              </w:rPr>
              <w:t>间接成本</w:t>
            </w:r>
            <w:r w:rsidRPr="00796EA8">
              <w:rPr>
                <w:rFonts w:eastAsia="SimSun" w:cs="Calibri"/>
                <w:color w:val="000000"/>
                <w:lang w:val="zh-CN" w:eastAsia="zh-CN"/>
              </w:rPr>
              <w:t>与</w:t>
            </w:r>
            <w:r w:rsidRPr="00796EA8">
              <w:rPr>
                <w:rFonts w:eastAsia="SimSun" w:cs="Calibri"/>
                <w:color w:val="000000"/>
                <w:lang w:val="zh-CN" w:eastAsia="zh-CN"/>
              </w:rPr>
              <w:t>SNF</w:t>
            </w:r>
            <w:r w:rsidRPr="00796EA8">
              <w:rPr>
                <w:rFonts w:eastAsia="SimSun" w:cs="Calibri"/>
                <w:color w:val="000000"/>
                <w:lang w:val="zh-CN" w:eastAsia="zh-CN"/>
              </w:rPr>
              <w:t>交付之间的联系，才能将这些成本包括在内。</w:t>
            </w:r>
          </w:p>
        </w:tc>
        <w:tc>
          <w:tcPr>
            <w:tcW w:w="2176" w:type="pct"/>
          </w:tcPr>
          <w:p w14:paraId="358F4BD3"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lastRenderedPageBreak/>
              <w:t>秘书处打算如何衡量</w:t>
            </w:r>
            <w:r>
              <w:rPr>
                <w:rFonts w:eastAsia="SimSun" w:cs="Calibri" w:hint="eastAsia"/>
                <w:color w:val="000000"/>
                <w:lang w:val="zh-CN" w:eastAsia="zh-CN"/>
              </w:rPr>
              <w:t>并</w:t>
            </w:r>
            <w:r w:rsidRPr="00796EA8">
              <w:rPr>
                <w:rFonts w:eastAsia="SimSun" w:cs="Calibri"/>
                <w:color w:val="000000"/>
                <w:lang w:val="zh-CN" w:eastAsia="zh-CN"/>
              </w:rPr>
              <w:t>报告建议的卫星网络申报改革带来</w:t>
            </w:r>
            <w:r>
              <w:rPr>
                <w:rFonts w:eastAsia="SimSun" w:cs="Calibri" w:hint="eastAsia"/>
                <w:color w:val="000000"/>
                <w:lang w:val="zh-CN" w:eastAsia="zh-CN"/>
              </w:rPr>
              <w:t>的效率提升</w:t>
            </w:r>
            <w:r w:rsidRPr="00796EA8">
              <w:rPr>
                <w:rFonts w:eastAsia="SimSun" w:cs="Calibri"/>
                <w:color w:val="000000"/>
                <w:lang w:val="zh-CN" w:eastAsia="zh-CN"/>
              </w:rPr>
              <w:t>？</w:t>
            </w:r>
          </w:p>
        </w:tc>
      </w:tr>
      <w:tr w:rsidR="00EB0D71" w:rsidRPr="00A37FFD" w14:paraId="5E42FFAB" w14:textId="77777777" w:rsidTr="00EF478B">
        <w:tc>
          <w:tcPr>
            <w:tcW w:w="787" w:type="pct"/>
            <w:vMerge/>
          </w:tcPr>
          <w:p w14:paraId="61F24331" w14:textId="77777777" w:rsidR="00EB0D71" w:rsidRPr="00A37FFD" w:rsidRDefault="00EB0D71" w:rsidP="00EF478B">
            <w:pPr>
              <w:pStyle w:val="Tabletext"/>
              <w:rPr>
                <w:lang w:eastAsia="zh-CN"/>
              </w:rPr>
            </w:pPr>
          </w:p>
        </w:tc>
        <w:tc>
          <w:tcPr>
            <w:tcW w:w="2037" w:type="pct"/>
          </w:tcPr>
          <w:p w14:paraId="2608A14B" w14:textId="77777777" w:rsidR="00EB0D71" w:rsidRPr="00796EA8" w:rsidRDefault="00EB0D71" w:rsidP="00EF478B">
            <w:pPr>
              <w:pStyle w:val="Tabletext"/>
              <w:rPr>
                <w:rFonts w:eastAsia="SimSun" w:cs="Calibri"/>
                <w:lang w:eastAsia="zh-CN"/>
              </w:rPr>
            </w:pPr>
            <w:r>
              <w:rPr>
                <w:rFonts w:eastAsia="SimSun" w:cs="Calibri" w:hint="eastAsia"/>
                <w:color w:val="000000"/>
                <w:lang w:val="zh-CN" w:eastAsia="zh-CN"/>
              </w:rPr>
              <w:t>第</w:t>
            </w:r>
            <w:r w:rsidRPr="00796EA8">
              <w:rPr>
                <w:rFonts w:eastAsia="SimSun" w:cs="Calibri"/>
                <w:color w:val="000000"/>
                <w:lang w:val="zh-CN" w:eastAsia="zh-CN"/>
              </w:rPr>
              <w:t>91</w:t>
            </w:r>
            <w:r>
              <w:rPr>
                <w:rFonts w:eastAsia="SimSun" w:cs="Calibri" w:hint="eastAsia"/>
                <w:color w:val="000000"/>
                <w:lang w:val="zh-CN" w:eastAsia="zh-CN"/>
              </w:rPr>
              <w:t>号决议</w:t>
            </w:r>
            <w:r w:rsidRPr="00796EA8">
              <w:rPr>
                <w:rFonts w:eastAsia="SimSun" w:cs="Calibri"/>
                <w:color w:val="000000"/>
                <w:lang w:val="zh-CN" w:eastAsia="zh-CN"/>
              </w:rPr>
              <w:t>未提及折旧等资本成本。</w:t>
            </w:r>
          </w:p>
        </w:tc>
        <w:tc>
          <w:tcPr>
            <w:tcW w:w="2176" w:type="pct"/>
          </w:tcPr>
          <w:p w14:paraId="342082B4"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资本成本</w:t>
            </w:r>
            <w:r>
              <w:rPr>
                <w:rFonts w:eastAsia="SimSun" w:cs="Calibri" w:hint="eastAsia"/>
                <w:color w:val="000000"/>
                <w:lang w:val="zh-CN" w:eastAsia="zh-CN"/>
              </w:rPr>
              <w:t>属于</w:t>
            </w:r>
            <w:r w:rsidRPr="00796EA8">
              <w:rPr>
                <w:rFonts w:eastAsia="SimSun" w:cs="Calibri"/>
                <w:color w:val="000000"/>
                <w:lang w:val="zh-CN" w:eastAsia="zh-CN"/>
              </w:rPr>
              <w:t>直接</w:t>
            </w:r>
            <w:r>
              <w:rPr>
                <w:rFonts w:eastAsia="SimSun" w:cs="Calibri" w:hint="eastAsia"/>
                <w:color w:val="000000"/>
                <w:lang w:val="zh-CN" w:eastAsia="zh-CN"/>
              </w:rPr>
              <w:t>成本还是</w:t>
            </w:r>
            <w:r w:rsidRPr="00796EA8">
              <w:rPr>
                <w:rFonts w:eastAsia="SimSun" w:cs="Calibri"/>
                <w:color w:val="000000"/>
                <w:lang w:val="zh-CN" w:eastAsia="zh-CN"/>
              </w:rPr>
              <w:t>间接</w:t>
            </w:r>
            <w:r>
              <w:rPr>
                <w:rFonts w:eastAsia="SimSun" w:cs="Calibri" w:hint="eastAsia"/>
                <w:color w:val="000000"/>
                <w:lang w:val="zh-CN" w:eastAsia="zh-CN"/>
              </w:rPr>
              <w:t>成本</w:t>
            </w:r>
            <w:r w:rsidRPr="00796EA8">
              <w:rPr>
                <w:rFonts w:eastAsia="SimSun" w:cs="Calibri"/>
                <w:color w:val="000000"/>
                <w:lang w:val="zh-CN" w:eastAsia="zh-CN"/>
              </w:rPr>
              <w:t>？为什么要把</w:t>
            </w:r>
            <w:r>
              <w:rPr>
                <w:rFonts w:eastAsia="SimSun" w:cs="Calibri" w:hint="eastAsia"/>
                <w:color w:val="000000"/>
                <w:lang w:val="zh-CN" w:eastAsia="zh-CN"/>
              </w:rPr>
              <w:t>这些成本</w:t>
            </w:r>
            <w:r w:rsidRPr="00796EA8">
              <w:rPr>
                <w:rFonts w:eastAsia="SimSun" w:cs="Calibri"/>
                <w:color w:val="000000"/>
                <w:lang w:val="zh-CN" w:eastAsia="zh-CN"/>
              </w:rPr>
              <w:t>包括进去？</w:t>
            </w:r>
          </w:p>
        </w:tc>
      </w:tr>
      <w:tr w:rsidR="00EB0D71" w:rsidRPr="00A37FFD" w14:paraId="2C8C9314" w14:textId="77777777" w:rsidTr="00EF478B">
        <w:trPr>
          <w:trHeight w:val="300"/>
        </w:trPr>
        <w:tc>
          <w:tcPr>
            <w:tcW w:w="787" w:type="pct"/>
          </w:tcPr>
          <w:p w14:paraId="4B571983" w14:textId="77777777" w:rsidR="00EB0D71" w:rsidRPr="00A37FFD" w:rsidRDefault="00EB0D71" w:rsidP="00EF478B">
            <w:pPr>
              <w:pStyle w:val="Tabletext"/>
              <w:rPr>
                <w:lang w:eastAsia="zh-CN"/>
              </w:rPr>
            </w:pPr>
          </w:p>
        </w:tc>
        <w:tc>
          <w:tcPr>
            <w:tcW w:w="2037" w:type="pct"/>
          </w:tcPr>
          <w:p w14:paraId="677AA0FC" w14:textId="77777777" w:rsidR="00EB0D71" w:rsidRPr="00796EA8" w:rsidRDefault="00EB0D71" w:rsidP="00EF478B">
            <w:pPr>
              <w:pStyle w:val="Tabletext"/>
              <w:rPr>
                <w:rFonts w:eastAsia="SimSun" w:cs="Calibri"/>
                <w:lang w:eastAsia="zh-CN"/>
              </w:rPr>
            </w:pPr>
            <w:r>
              <w:rPr>
                <w:rFonts w:eastAsia="SimSun" w:cs="Calibri" w:hint="eastAsia"/>
                <w:color w:val="000000"/>
                <w:lang w:val="zh-CN" w:eastAsia="zh-CN"/>
              </w:rPr>
              <w:t>有</w:t>
            </w:r>
            <w:r w:rsidRPr="00796EA8">
              <w:rPr>
                <w:rFonts w:eastAsia="SimSun" w:cs="Calibri"/>
                <w:color w:val="000000"/>
                <w:lang w:val="zh-CN" w:eastAsia="zh-CN"/>
              </w:rPr>
              <w:t>些成员对数量有限的跨国实体可能受益于免费申报表示关切。</w:t>
            </w:r>
          </w:p>
        </w:tc>
        <w:tc>
          <w:tcPr>
            <w:tcW w:w="2176" w:type="pct"/>
          </w:tcPr>
          <w:p w14:paraId="667EE10D"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同一卫星星座中的免费申报</w:t>
            </w:r>
            <w:r>
              <w:rPr>
                <w:rFonts w:eastAsia="SimSun" w:cs="Calibri" w:hint="eastAsia"/>
                <w:color w:val="000000"/>
                <w:lang w:val="zh-CN" w:eastAsia="zh-CN"/>
              </w:rPr>
              <w:t>会产生什么</w:t>
            </w:r>
            <w:r w:rsidRPr="00796EA8">
              <w:rPr>
                <w:rFonts w:eastAsia="SimSun" w:cs="Calibri"/>
                <w:color w:val="000000"/>
                <w:lang w:val="zh-CN" w:eastAsia="zh-CN"/>
              </w:rPr>
              <w:t>财务影响？</w:t>
            </w:r>
          </w:p>
        </w:tc>
      </w:tr>
      <w:tr w:rsidR="00EB0D71" w:rsidRPr="002F1C95" w14:paraId="391A670D" w14:textId="77777777" w:rsidTr="00EF478B">
        <w:tc>
          <w:tcPr>
            <w:tcW w:w="5000" w:type="pct"/>
            <w:gridSpan w:val="3"/>
            <w:shd w:val="clear" w:color="auto" w:fill="EEECE1" w:themeFill="background2"/>
          </w:tcPr>
          <w:p w14:paraId="27F33A90" w14:textId="77777777" w:rsidR="00EB0D71" w:rsidRPr="00796EA8" w:rsidRDefault="00EB0D71" w:rsidP="00EF478B">
            <w:pPr>
              <w:pStyle w:val="Tabletext"/>
              <w:rPr>
                <w:rFonts w:eastAsia="SimSun" w:cs="Calibri"/>
                <w:b/>
                <w:bCs/>
              </w:rPr>
            </w:pPr>
            <w:proofErr w:type="spellStart"/>
            <w:r w:rsidRPr="00796EA8">
              <w:rPr>
                <w:rFonts w:eastAsia="SimSun" w:cs="Calibri"/>
                <w:b/>
                <w:bCs/>
                <w:color w:val="000000"/>
                <w:lang w:val="zh-CN"/>
              </w:rPr>
              <w:t>可预测的收费结构</w:t>
            </w:r>
            <w:proofErr w:type="spellEnd"/>
          </w:p>
        </w:tc>
      </w:tr>
      <w:tr w:rsidR="00EB0D71" w:rsidRPr="00A37FFD" w14:paraId="7C6CCAEC" w14:textId="77777777" w:rsidTr="00EF478B">
        <w:tc>
          <w:tcPr>
            <w:tcW w:w="787" w:type="pct"/>
          </w:tcPr>
          <w:p w14:paraId="44F0352A" w14:textId="77777777" w:rsidR="00EB0D71" w:rsidRPr="00A37FFD" w:rsidRDefault="00EB0D71" w:rsidP="00EF478B">
            <w:pPr>
              <w:pStyle w:val="Tabletext"/>
            </w:pPr>
          </w:p>
        </w:tc>
        <w:tc>
          <w:tcPr>
            <w:tcW w:w="2037" w:type="pct"/>
          </w:tcPr>
          <w:p w14:paraId="4E34651F"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成员国似乎同意</w:t>
            </w:r>
            <w:r>
              <w:rPr>
                <w:rFonts w:eastAsia="SimSun" w:cs="Calibri" w:hint="eastAsia"/>
                <w:color w:val="000000"/>
                <w:lang w:val="zh-CN" w:eastAsia="zh-CN"/>
              </w:rPr>
              <w:t>收费</w:t>
            </w:r>
            <w:r w:rsidRPr="00796EA8">
              <w:rPr>
                <w:rFonts w:eastAsia="SimSun" w:cs="Calibri"/>
                <w:color w:val="000000"/>
                <w:lang w:val="zh-CN" w:eastAsia="zh-CN"/>
              </w:rPr>
              <w:t>大幅度波动</w:t>
            </w:r>
            <w:r>
              <w:rPr>
                <w:rFonts w:eastAsia="SimSun" w:cs="Calibri" w:hint="eastAsia"/>
                <w:color w:val="000000"/>
                <w:lang w:val="zh-CN" w:eastAsia="zh-CN"/>
              </w:rPr>
              <w:t>有</w:t>
            </w:r>
            <w:r w:rsidRPr="00796EA8">
              <w:rPr>
                <w:rFonts w:eastAsia="SimSun" w:cs="Calibri"/>
                <w:color w:val="000000"/>
                <w:lang w:val="zh-CN" w:eastAsia="zh-CN"/>
              </w:rPr>
              <w:t>碍卫星网络规划</w:t>
            </w:r>
            <w:r>
              <w:rPr>
                <w:rFonts w:eastAsia="SimSun" w:cs="Calibri" w:hint="eastAsia"/>
                <w:color w:val="000000"/>
                <w:lang w:val="zh-CN" w:eastAsia="zh-CN"/>
              </w:rPr>
              <w:t>。</w:t>
            </w:r>
          </w:p>
        </w:tc>
        <w:tc>
          <w:tcPr>
            <w:tcW w:w="2176" w:type="pct"/>
          </w:tcPr>
          <w:p w14:paraId="4B18406F"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国际电联</w:t>
            </w:r>
            <w:r w:rsidRPr="00715C6E">
              <w:rPr>
                <w:rFonts w:eastAsia="SimSun" w:cs="Calibri" w:hint="eastAsia"/>
                <w:color w:val="000000"/>
                <w:lang w:val="zh-CN" w:eastAsia="zh-CN"/>
              </w:rPr>
              <w:t>是否能够为长期规划目的，提出除年度调整之外的替代性方案？</w:t>
            </w:r>
          </w:p>
        </w:tc>
      </w:tr>
      <w:tr w:rsidR="00EB0D71" w:rsidRPr="002F1C95" w14:paraId="5FA4C862" w14:textId="77777777" w:rsidTr="00EF478B">
        <w:tc>
          <w:tcPr>
            <w:tcW w:w="5000" w:type="pct"/>
            <w:gridSpan w:val="3"/>
            <w:shd w:val="clear" w:color="auto" w:fill="EEECE1" w:themeFill="background2"/>
          </w:tcPr>
          <w:p w14:paraId="74B1AF73" w14:textId="77777777" w:rsidR="00EB0D71" w:rsidRPr="00796EA8" w:rsidRDefault="00EB0D71" w:rsidP="00EF478B">
            <w:pPr>
              <w:pStyle w:val="Tabletext"/>
              <w:rPr>
                <w:rFonts w:eastAsia="SimSun" w:cs="Calibri"/>
                <w:b/>
                <w:bCs/>
              </w:rPr>
            </w:pPr>
            <w:proofErr w:type="spellStart"/>
            <w:r w:rsidRPr="00796EA8">
              <w:rPr>
                <w:rFonts w:eastAsia="SimSun" w:cs="Calibri"/>
                <w:b/>
                <w:bCs/>
                <w:color w:val="000000"/>
                <w:lang w:val="zh-CN"/>
              </w:rPr>
              <w:t>其他</w:t>
            </w:r>
            <w:proofErr w:type="spellEnd"/>
          </w:p>
        </w:tc>
      </w:tr>
      <w:tr w:rsidR="00EB0D71" w:rsidRPr="00A37FFD" w14:paraId="260A8E59" w14:textId="77777777" w:rsidTr="00EF478B">
        <w:tc>
          <w:tcPr>
            <w:tcW w:w="787" w:type="pct"/>
            <w:vMerge w:val="restart"/>
          </w:tcPr>
          <w:p w14:paraId="4FA8504F" w14:textId="77777777" w:rsidR="00EB0D71" w:rsidRPr="00A37FFD" w:rsidRDefault="00EB0D71" w:rsidP="00EF478B">
            <w:pPr>
              <w:pStyle w:val="Tabletext"/>
            </w:pPr>
          </w:p>
        </w:tc>
        <w:tc>
          <w:tcPr>
            <w:tcW w:w="2037" w:type="pct"/>
          </w:tcPr>
          <w:p w14:paraId="071DD872"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成员</w:t>
            </w:r>
            <w:r>
              <w:rPr>
                <w:rFonts w:eastAsia="SimSun" w:cs="Calibri" w:hint="eastAsia"/>
                <w:color w:val="000000"/>
                <w:lang w:val="zh-CN" w:eastAsia="zh-CN"/>
              </w:rPr>
              <w:t>国</w:t>
            </w:r>
            <w:r w:rsidRPr="00796EA8">
              <w:rPr>
                <w:rFonts w:eastAsia="SimSun" w:cs="Calibri"/>
                <w:color w:val="000000"/>
                <w:lang w:val="zh-CN" w:eastAsia="zh-CN"/>
              </w:rPr>
              <w:t>提出的一些观点可能超越了</w:t>
            </w:r>
            <w:r w:rsidRPr="00796EA8">
              <w:rPr>
                <w:rFonts w:eastAsia="SimSun" w:cs="Calibri"/>
                <w:color w:val="000000"/>
                <w:lang w:val="zh-CN" w:eastAsia="zh-CN"/>
              </w:rPr>
              <w:t>FHR</w:t>
            </w:r>
            <w:r w:rsidRPr="00796EA8">
              <w:rPr>
                <w:rFonts w:eastAsia="SimSun" w:cs="Calibri"/>
                <w:color w:val="000000"/>
                <w:lang w:val="zh-CN" w:eastAsia="zh-CN"/>
              </w:rPr>
              <w:t>的职责</w:t>
            </w:r>
            <w:r w:rsidRPr="00796EA8">
              <w:rPr>
                <w:rFonts w:eastAsia="SimSun" w:cs="Calibri"/>
                <w:color w:val="000000"/>
                <w:lang w:val="zh-CN" w:eastAsia="zh-CN"/>
              </w:rPr>
              <w:t>/</w:t>
            </w:r>
            <w:r w:rsidRPr="00796EA8">
              <w:rPr>
                <w:rFonts w:eastAsia="SimSun" w:cs="Calibri"/>
                <w:color w:val="000000"/>
                <w:lang w:val="zh-CN" w:eastAsia="zh-CN"/>
              </w:rPr>
              <w:t>权限，应由全权代表大会决定。</w:t>
            </w:r>
          </w:p>
        </w:tc>
        <w:tc>
          <w:tcPr>
            <w:tcW w:w="2176" w:type="pct"/>
          </w:tcPr>
          <w:p w14:paraId="1F05368D"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将向理事会提出哪些建议？</w:t>
            </w:r>
          </w:p>
        </w:tc>
      </w:tr>
      <w:tr w:rsidR="00EB0D71" w:rsidRPr="00A37FFD" w14:paraId="68BE26CF" w14:textId="77777777" w:rsidTr="00EF478B">
        <w:tc>
          <w:tcPr>
            <w:tcW w:w="787" w:type="pct"/>
            <w:vMerge/>
          </w:tcPr>
          <w:p w14:paraId="7E03BEF9" w14:textId="77777777" w:rsidR="00EB0D71" w:rsidRPr="00A37FFD" w:rsidRDefault="00EB0D71" w:rsidP="00EF478B">
            <w:pPr>
              <w:pStyle w:val="Tabletext"/>
              <w:rPr>
                <w:lang w:eastAsia="zh-CN"/>
              </w:rPr>
            </w:pPr>
          </w:p>
        </w:tc>
        <w:tc>
          <w:tcPr>
            <w:tcW w:w="2037" w:type="pct"/>
          </w:tcPr>
          <w:p w14:paraId="70C26412" w14:textId="77777777" w:rsidR="00EB0D71" w:rsidRPr="00796EA8" w:rsidRDefault="00EB0D71" w:rsidP="00EF478B">
            <w:pPr>
              <w:pStyle w:val="Tabletext"/>
              <w:rPr>
                <w:rFonts w:eastAsia="SimSun" w:cs="Calibri"/>
                <w:lang w:eastAsia="zh-CN"/>
              </w:rPr>
            </w:pPr>
            <w:r>
              <w:rPr>
                <w:rFonts w:eastAsia="SimSun" w:cs="Calibri" w:hint="eastAsia"/>
                <w:color w:val="000000"/>
                <w:lang w:val="zh-CN" w:eastAsia="zh-CN"/>
              </w:rPr>
              <w:t>关</w:t>
            </w:r>
            <w:r w:rsidRPr="006E4454">
              <w:rPr>
                <w:rFonts w:eastAsia="SimSun" w:cs="Calibri" w:hint="eastAsia"/>
                <w:color w:val="000000"/>
                <w:lang w:val="zh-CN" w:eastAsia="zh-CN"/>
              </w:rPr>
              <w:t>于重新启动第</w:t>
            </w:r>
            <w:r w:rsidRPr="006E4454">
              <w:rPr>
                <w:rFonts w:eastAsia="SimSun" w:cs="Calibri" w:hint="eastAsia"/>
                <w:color w:val="000000"/>
                <w:lang w:val="zh-CN" w:eastAsia="zh-CN"/>
              </w:rPr>
              <w:t>482</w:t>
            </w:r>
            <w:r w:rsidRPr="006E4454">
              <w:rPr>
                <w:rFonts w:eastAsia="SimSun" w:cs="Calibri" w:hint="eastAsia"/>
                <w:color w:val="000000"/>
                <w:lang w:val="zh-CN" w:eastAsia="zh-CN"/>
              </w:rPr>
              <w:t>号决</w:t>
            </w:r>
            <w:r>
              <w:rPr>
                <w:rFonts w:eastAsia="SimSun" w:cs="Calibri" w:hint="eastAsia"/>
                <w:color w:val="000000"/>
                <w:lang w:val="zh-CN" w:eastAsia="zh-CN"/>
              </w:rPr>
              <w:t>定</w:t>
            </w:r>
            <w:r w:rsidRPr="006E4454">
              <w:rPr>
                <w:rFonts w:eastAsia="SimSun" w:cs="Calibri" w:hint="eastAsia"/>
                <w:color w:val="000000"/>
                <w:lang w:val="zh-CN" w:eastAsia="zh-CN"/>
              </w:rPr>
              <w:t>专家组，存在支持与反对的分歧意见。</w:t>
            </w:r>
          </w:p>
        </w:tc>
        <w:tc>
          <w:tcPr>
            <w:tcW w:w="2176" w:type="pct"/>
          </w:tcPr>
          <w:p w14:paraId="6C85EC11" w14:textId="2C63EC26"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是否有成本应急计划</w:t>
            </w:r>
            <w:r>
              <w:rPr>
                <w:rFonts w:eastAsia="SimSun" w:cs="Calibri" w:hint="eastAsia"/>
                <w:color w:val="000000"/>
                <w:lang w:val="zh-CN" w:eastAsia="zh-CN"/>
              </w:rPr>
              <w:t>，用于</w:t>
            </w:r>
            <w:r w:rsidRPr="00796EA8">
              <w:rPr>
                <w:rFonts w:eastAsia="SimSun" w:cs="Calibri"/>
                <w:color w:val="000000"/>
                <w:lang w:val="zh-CN" w:eastAsia="zh-CN"/>
              </w:rPr>
              <w:t>释放</w:t>
            </w:r>
            <w:r w:rsidRPr="00796EA8">
              <w:rPr>
                <w:rFonts w:eastAsia="SimSun" w:cs="Calibri"/>
                <w:color w:val="000000"/>
                <w:lang w:val="zh-CN" w:eastAsia="zh-CN"/>
              </w:rPr>
              <w:t>55</w:t>
            </w:r>
            <w:r>
              <w:rPr>
                <w:rFonts w:eastAsia="SimSun" w:cs="Calibri" w:hint="eastAsia"/>
                <w:color w:val="000000"/>
                <w:lang w:val="zh-CN" w:eastAsia="zh-CN"/>
              </w:rPr>
              <w:t>0</w:t>
            </w:r>
            <w:r>
              <w:rPr>
                <w:rFonts w:eastAsia="SimSun" w:cs="Calibri" w:hint="eastAsia"/>
                <w:color w:val="000000"/>
                <w:lang w:val="zh-CN" w:eastAsia="zh-CN"/>
              </w:rPr>
              <w:t>万</w:t>
            </w:r>
            <w:r w:rsidRPr="00796EA8">
              <w:rPr>
                <w:rFonts w:eastAsia="SimSun" w:cs="Calibri"/>
                <w:color w:val="000000"/>
                <w:lang w:val="zh-CN" w:eastAsia="zh-CN"/>
              </w:rPr>
              <w:t>递延</w:t>
            </w:r>
            <w:r w:rsidRPr="00796EA8">
              <w:rPr>
                <w:rFonts w:eastAsia="SimSun" w:cs="Calibri"/>
                <w:color w:val="000000"/>
                <w:lang w:val="zh-CN" w:eastAsia="zh-CN"/>
              </w:rPr>
              <w:t>SNF</w:t>
            </w:r>
            <w:r w:rsidRPr="00796EA8">
              <w:rPr>
                <w:rFonts w:eastAsia="SimSun" w:cs="Calibri"/>
                <w:color w:val="000000"/>
                <w:lang w:val="zh-CN" w:eastAsia="zh-CN"/>
              </w:rPr>
              <w:t>收入？</w:t>
            </w:r>
          </w:p>
        </w:tc>
      </w:tr>
      <w:tr w:rsidR="00EB0D71" w:rsidRPr="00A37FFD" w14:paraId="713FD7DB" w14:textId="77777777" w:rsidTr="00EF478B">
        <w:tc>
          <w:tcPr>
            <w:tcW w:w="787" w:type="pct"/>
            <w:vMerge/>
          </w:tcPr>
          <w:p w14:paraId="61E3BCEC" w14:textId="77777777" w:rsidR="00EB0D71" w:rsidRPr="00A37FFD" w:rsidRDefault="00EB0D71" w:rsidP="00EF478B">
            <w:pPr>
              <w:pStyle w:val="Tabletext"/>
              <w:rPr>
                <w:lang w:eastAsia="zh-CN"/>
              </w:rPr>
            </w:pPr>
          </w:p>
        </w:tc>
        <w:tc>
          <w:tcPr>
            <w:tcW w:w="2037" w:type="pct"/>
          </w:tcPr>
          <w:p w14:paraId="78D38EE2"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不支持</w:t>
            </w:r>
            <w:r>
              <w:rPr>
                <w:rFonts w:eastAsia="SimSun" w:cs="Calibri" w:hint="eastAsia"/>
                <w:color w:val="000000"/>
                <w:lang w:val="zh-CN" w:eastAsia="zh-CN"/>
              </w:rPr>
              <w:t>将</w:t>
            </w:r>
            <w:r w:rsidRPr="00796EA8">
              <w:rPr>
                <w:rFonts w:eastAsia="SimSun" w:cs="Calibri"/>
                <w:color w:val="000000"/>
                <w:lang w:val="zh-CN" w:eastAsia="zh-CN"/>
              </w:rPr>
              <w:t>ITU-T</w:t>
            </w:r>
            <w:r w:rsidRPr="00796EA8">
              <w:rPr>
                <w:rFonts w:eastAsia="SimSun" w:cs="Calibri"/>
                <w:color w:val="000000"/>
                <w:lang w:val="zh-CN" w:eastAsia="zh-CN"/>
              </w:rPr>
              <w:t>和</w:t>
            </w:r>
            <w:r w:rsidRPr="00796EA8">
              <w:rPr>
                <w:rFonts w:eastAsia="SimSun" w:cs="Calibri"/>
                <w:color w:val="000000"/>
                <w:lang w:val="zh-CN" w:eastAsia="zh-CN"/>
              </w:rPr>
              <w:t>ITU-D</w:t>
            </w:r>
            <w:r w:rsidRPr="00796EA8">
              <w:rPr>
                <w:rFonts w:eastAsia="SimSun" w:cs="Calibri"/>
                <w:color w:val="000000"/>
                <w:lang w:val="zh-CN" w:eastAsia="zh-CN"/>
              </w:rPr>
              <w:t>大会</w:t>
            </w:r>
            <w:r>
              <w:rPr>
                <w:rFonts w:eastAsia="SimSun" w:cs="Calibri" w:hint="eastAsia"/>
                <w:color w:val="000000"/>
                <w:lang w:val="zh-CN" w:eastAsia="zh-CN"/>
              </w:rPr>
              <w:t>及</w:t>
            </w:r>
            <w:r w:rsidRPr="00796EA8">
              <w:rPr>
                <w:rFonts w:eastAsia="SimSun" w:cs="Calibri"/>
                <w:color w:val="000000"/>
                <w:lang w:val="zh-CN" w:eastAsia="zh-CN"/>
              </w:rPr>
              <w:t>全会</w:t>
            </w:r>
            <w:r>
              <w:rPr>
                <w:rFonts w:eastAsia="SimSun" w:cs="Calibri" w:hint="eastAsia"/>
                <w:color w:val="000000"/>
                <w:lang w:val="zh-CN" w:eastAsia="zh-CN"/>
              </w:rPr>
              <w:t>有关</w:t>
            </w:r>
            <w:r w:rsidRPr="00796EA8">
              <w:rPr>
                <w:rFonts w:eastAsia="SimSun" w:cs="Calibri"/>
                <w:color w:val="000000"/>
                <w:lang w:val="zh-CN" w:eastAsia="zh-CN"/>
              </w:rPr>
              <w:t>治理</w:t>
            </w:r>
            <w:r>
              <w:rPr>
                <w:rFonts w:eastAsia="SimSun" w:cs="Calibri" w:hint="eastAsia"/>
                <w:color w:val="000000"/>
                <w:lang w:val="zh-CN" w:eastAsia="zh-CN"/>
              </w:rPr>
              <w:t>的</w:t>
            </w:r>
            <w:r w:rsidRPr="00796EA8">
              <w:rPr>
                <w:rFonts w:eastAsia="SimSun" w:cs="Calibri"/>
                <w:color w:val="000000"/>
                <w:lang w:val="zh-CN" w:eastAsia="zh-CN"/>
              </w:rPr>
              <w:t>输入意见</w:t>
            </w:r>
            <w:r>
              <w:rPr>
                <w:rFonts w:eastAsia="SimSun" w:cs="Calibri" w:hint="eastAsia"/>
                <w:color w:val="000000"/>
                <w:lang w:val="zh-CN" w:eastAsia="zh-CN"/>
              </w:rPr>
              <w:t>纳入</w:t>
            </w:r>
            <w:r w:rsidRPr="00796EA8">
              <w:rPr>
                <w:rFonts w:eastAsia="SimSun" w:cs="Calibri"/>
                <w:color w:val="000000"/>
                <w:lang w:val="zh-CN" w:eastAsia="zh-CN"/>
              </w:rPr>
              <w:t>。建议将这些内容限于</w:t>
            </w:r>
            <w:r w:rsidRPr="00796EA8">
              <w:rPr>
                <w:rFonts w:eastAsia="SimSun" w:cs="Calibri"/>
                <w:color w:val="000000"/>
                <w:lang w:val="zh-CN" w:eastAsia="zh-CN"/>
              </w:rPr>
              <w:t>PP</w:t>
            </w:r>
            <w:r w:rsidRPr="00796EA8">
              <w:rPr>
                <w:rFonts w:eastAsia="SimSun" w:cs="Calibri"/>
                <w:color w:val="000000"/>
                <w:lang w:val="zh-CN" w:eastAsia="zh-CN"/>
              </w:rPr>
              <w:t>、理事会和</w:t>
            </w:r>
            <w:r w:rsidRPr="00796EA8">
              <w:rPr>
                <w:rFonts w:eastAsia="SimSun" w:cs="Calibri"/>
                <w:color w:val="000000"/>
                <w:lang w:val="zh-CN" w:eastAsia="zh-CN"/>
              </w:rPr>
              <w:t>ITU-R</w:t>
            </w:r>
            <w:r w:rsidRPr="00796EA8">
              <w:rPr>
                <w:rFonts w:eastAsia="SimSun" w:cs="Calibri"/>
                <w:color w:val="000000"/>
                <w:lang w:val="zh-CN" w:eastAsia="zh-CN"/>
              </w:rPr>
              <w:t>。</w:t>
            </w:r>
          </w:p>
        </w:tc>
        <w:tc>
          <w:tcPr>
            <w:tcW w:w="2176" w:type="pct"/>
          </w:tcPr>
          <w:p w14:paraId="671D7C8B" w14:textId="77777777" w:rsidR="00EB0D71" w:rsidRPr="00796EA8" w:rsidRDefault="00EB0D71" w:rsidP="00EF478B">
            <w:pPr>
              <w:pStyle w:val="Tabletext"/>
              <w:rPr>
                <w:rFonts w:eastAsia="SimSun" w:cs="Calibri"/>
                <w:lang w:eastAsia="zh-CN"/>
              </w:rPr>
            </w:pPr>
          </w:p>
        </w:tc>
      </w:tr>
      <w:tr w:rsidR="00EB0D71" w:rsidRPr="00A37FFD" w14:paraId="729F804A" w14:textId="77777777" w:rsidTr="00EF478B">
        <w:tc>
          <w:tcPr>
            <w:tcW w:w="787" w:type="pct"/>
            <w:vMerge/>
          </w:tcPr>
          <w:p w14:paraId="3948D3F6" w14:textId="77777777" w:rsidR="00EB0D71" w:rsidRPr="00A37FFD" w:rsidRDefault="00EB0D71" w:rsidP="00EF478B">
            <w:pPr>
              <w:pStyle w:val="Tabletext"/>
              <w:rPr>
                <w:lang w:eastAsia="zh-CN"/>
              </w:rPr>
            </w:pPr>
          </w:p>
        </w:tc>
        <w:tc>
          <w:tcPr>
            <w:tcW w:w="2037" w:type="pct"/>
          </w:tcPr>
          <w:p w14:paraId="39F85152"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建议将联检组</w:t>
            </w:r>
            <w:r w:rsidRPr="00796EA8">
              <w:rPr>
                <w:rFonts w:eastAsia="SimSun" w:cs="Calibri"/>
                <w:color w:val="000000"/>
                <w:lang w:val="zh-CN" w:eastAsia="zh-CN"/>
              </w:rPr>
              <w:t>2025</w:t>
            </w:r>
            <w:r w:rsidRPr="00796EA8">
              <w:rPr>
                <w:rFonts w:eastAsia="SimSun" w:cs="Calibri"/>
                <w:color w:val="000000"/>
                <w:lang w:val="zh-CN" w:eastAsia="zh-CN"/>
              </w:rPr>
              <w:t>年报告的内容纳入</w:t>
            </w:r>
            <w:r>
              <w:rPr>
                <w:rFonts w:eastAsia="SimSun" w:cs="Calibri" w:hint="eastAsia"/>
                <w:color w:val="000000"/>
                <w:lang w:val="zh-CN" w:eastAsia="zh-CN"/>
              </w:rPr>
              <w:t>，以便</w:t>
            </w:r>
            <w:r w:rsidRPr="00796EA8">
              <w:rPr>
                <w:rFonts w:eastAsia="SimSun" w:cs="Calibri"/>
                <w:color w:val="000000"/>
                <w:lang w:val="zh-CN" w:eastAsia="zh-CN"/>
              </w:rPr>
              <w:t>在理事会</w:t>
            </w:r>
            <w:r w:rsidRPr="00796EA8">
              <w:rPr>
                <w:rFonts w:eastAsia="SimSun" w:cs="Calibri"/>
                <w:color w:val="000000"/>
                <w:lang w:val="zh-CN" w:eastAsia="zh-CN"/>
              </w:rPr>
              <w:t>2026</w:t>
            </w:r>
            <w:r w:rsidRPr="00796EA8">
              <w:rPr>
                <w:rFonts w:eastAsia="SimSun" w:cs="Calibri"/>
                <w:color w:val="000000"/>
                <w:lang w:val="zh-CN" w:eastAsia="zh-CN"/>
              </w:rPr>
              <w:t>年会议之前</w:t>
            </w:r>
            <w:r>
              <w:rPr>
                <w:rFonts w:eastAsia="SimSun" w:cs="Calibri" w:hint="eastAsia"/>
                <w:color w:val="000000"/>
                <w:lang w:val="zh-CN" w:eastAsia="zh-CN"/>
              </w:rPr>
              <w:t>充实</w:t>
            </w:r>
            <w:r w:rsidRPr="00796EA8">
              <w:rPr>
                <w:rFonts w:eastAsia="SimSun" w:cs="Calibri"/>
                <w:color w:val="000000"/>
                <w:lang w:val="zh-CN" w:eastAsia="zh-CN"/>
              </w:rPr>
              <w:t>秘书处的文件。</w:t>
            </w:r>
          </w:p>
        </w:tc>
        <w:tc>
          <w:tcPr>
            <w:tcW w:w="2176" w:type="pct"/>
          </w:tcPr>
          <w:p w14:paraId="06547F2C" w14:textId="77777777" w:rsidR="00EB0D71" w:rsidRPr="00796EA8" w:rsidRDefault="00EB0D71" w:rsidP="00EF478B">
            <w:pPr>
              <w:pStyle w:val="Tabletext"/>
              <w:rPr>
                <w:rFonts w:eastAsia="SimSun" w:cs="Calibri"/>
                <w:lang w:eastAsia="zh-CN"/>
              </w:rPr>
            </w:pPr>
          </w:p>
        </w:tc>
      </w:tr>
      <w:tr w:rsidR="00EB0D71" w:rsidRPr="00A37FFD" w14:paraId="1D3A10BA" w14:textId="77777777" w:rsidTr="00EF478B">
        <w:tc>
          <w:tcPr>
            <w:tcW w:w="787" w:type="pct"/>
            <w:vMerge/>
          </w:tcPr>
          <w:p w14:paraId="6C0997C2" w14:textId="77777777" w:rsidR="00EB0D71" w:rsidRPr="00A37FFD" w:rsidRDefault="00EB0D71" w:rsidP="00EF478B">
            <w:pPr>
              <w:pStyle w:val="Tabletext"/>
              <w:rPr>
                <w:lang w:eastAsia="zh-CN"/>
              </w:rPr>
            </w:pPr>
          </w:p>
        </w:tc>
        <w:tc>
          <w:tcPr>
            <w:tcW w:w="2037" w:type="pct"/>
          </w:tcPr>
          <w:p w14:paraId="470FD780" w14:textId="77777777" w:rsidR="00EB0D71" w:rsidRPr="00796EA8" w:rsidRDefault="00EB0D71" w:rsidP="00EF478B">
            <w:pPr>
              <w:pStyle w:val="Tabletext"/>
              <w:rPr>
                <w:rFonts w:eastAsia="SimSun" w:cs="Calibri"/>
                <w:lang w:eastAsia="zh-CN"/>
              </w:rPr>
            </w:pPr>
            <w:r w:rsidRPr="00796EA8">
              <w:rPr>
                <w:rFonts w:eastAsia="SimSun" w:cs="Calibri"/>
                <w:color w:val="000000"/>
                <w:lang w:val="zh-CN" w:eastAsia="zh-CN"/>
              </w:rPr>
              <w:t>国家监管机构处理</w:t>
            </w:r>
            <w:r>
              <w:rPr>
                <w:rFonts w:eastAsia="SimSun" w:cs="Calibri"/>
                <w:color w:val="000000"/>
                <w:lang w:val="zh-CN" w:eastAsia="zh-CN"/>
              </w:rPr>
              <w:t>间接成本</w:t>
            </w:r>
            <w:r w:rsidRPr="00796EA8">
              <w:rPr>
                <w:rFonts w:eastAsia="SimSun" w:cs="Calibri"/>
                <w:color w:val="000000"/>
                <w:lang w:val="zh-CN" w:eastAsia="zh-CN"/>
              </w:rPr>
              <w:t>的方法与国际电联</w:t>
            </w:r>
            <w:r>
              <w:rPr>
                <w:rFonts w:eastAsia="SimSun" w:cs="Calibri" w:hint="eastAsia"/>
                <w:color w:val="000000"/>
                <w:lang w:val="zh-CN" w:eastAsia="zh-CN"/>
              </w:rPr>
              <w:t>处理</w:t>
            </w:r>
            <w:r w:rsidRPr="00796EA8">
              <w:rPr>
                <w:rFonts w:eastAsia="SimSun" w:cs="Calibri"/>
                <w:color w:val="000000"/>
                <w:lang w:val="zh-CN" w:eastAsia="zh-CN"/>
              </w:rPr>
              <w:t>间接成本</w:t>
            </w:r>
            <w:r>
              <w:rPr>
                <w:rFonts w:eastAsia="SimSun" w:cs="Calibri" w:hint="eastAsia"/>
                <w:color w:val="000000"/>
                <w:lang w:val="zh-CN" w:eastAsia="zh-CN"/>
              </w:rPr>
              <w:t>的</w:t>
            </w:r>
            <w:r w:rsidRPr="00796EA8">
              <w:rPr>
                <w:rFonts w:eastAsia="SimSun" w:cs="Calibri"/>
                <w:color w:val="000000"/>
                <w:lang w:val="zh-CN" w:eastAsia="zh-CN"/>
              </w:rPr>
              <w:t>方法没有可比性。</w:t>
            </w:r>
          </w:p>
        </w:tc>
        <w:tc>
          <w:tcPr>
            <w:tcW w:w="2176" w:type="pct"/>
          </w:tcPr>
          <w:p w14:paraId="45CB243D" w14:textId="77777777" w:rsidR="00EB0D71" w:rsidRPr="00796EA8" w:rsidRDefault="00EB0D71" w:rsidP="00EF478B">
            <w:pPr>
              <w:pStyle w:val="Tabletext"/>
              <w:rPr>
                <w:rFonts w:eastAsia="SimSun" w:cs="Calibri"/>
                <w:lang w:eastAsia="zh-CN"/>
              </w:rPr>
            </w:pPr>
          </w:p>
        </w:tc>
      </w:tr>
      <w:tr w:rsidR="00EB0D71" w:rsidRPr="002F1C95" w14:paraId="4309A6BC" w14:textId="77777777" w:rsidTr="00EF478B">
        <w:tc>
          <w:tcPr>
            <w:tcW w:w="5000" w:type="pct"/>
            <w:gridSpan w:val="3"/>
            <w:shd w:val="clear" w:color="auto" w:fill="EEECE1" w:themeFill="background2"/>
          </w:tcPr>
          <w:p w14:paraId="57A07DDF" w14:textId="77777777" w:rsidR="00EB0D71" w:rsidRPr="00796EA8" w:rsidRDefault="00EB0D71" w:rsidP="00EF478B">
            <w:pPr>
              <w:pStyle w:val="Tabletext"/>
              <w:rPr>
                <w:rFonts w:eastAsia="SimSun" w:cs="Calibri"/>
                <w:b/>
                <w:bCs/>
                <w:lang w:eastAsia="zh-CN"/>
              </w:rPr>
            </w:pPr>
            <w:r>
              <w:rPr>
                <w:rFonts w:eastAsia="SimSun" w:cs="Calibri" w:hint="eastAsia"/>
                <w:b/>
                <w:bCs/>
                <w:color w:val="000000"/>
                <w:lang w:val="zh-CN" w:eastAsia="zh-CN"/>
              </w:rPr>
              <w:t>成本回收收入将转入何处</w:t>
            </w:r>
            <w:r w:rsidRPr="00796EA8">
              <w:rPr>
                <w:rFonts w:eastAsia="SimSun" w:cs="Calibri"/>
                <w:b/>
                <w:bCs/>
                <w:color w:val="000000"/>
                <w:lang w:val="zh-CN" w:eastAsia="zh-CN"/>
              </w:rPr>
              <w:t>？需要</w:t>
            </w:r>
            <w:r>
              <w:rPr>
                <w:rFonts w:eastAsia="SimSun" w:cs="Calibri" w:hint="eastAsia"/>
                <w:b/>
                <w:bCs/>
                <w:color w:val="000000"/>
                <w:lang w:val="zh-CN" w:eastAsia="zh-CN"/>
              </w:rPr>
              <w:t>将其转交</w:t>
            </w:r>
            <w:r w:rsidRPr="00796EA8">
              <w:rPr>
                <w:rFonts w:eastAsia="SimSun" w:cs="Calibri"/>
                <w:b/>
                <w:bCs/>
                <w:color w:val="000000"/>
                <w:lang w:val="zh-CN" w:eastAsia="zh-CN"/>
              </w:rPr>
              <w:t>无线电通信局。</w:t>
            </w:r>
          </w:p>
        </w:tc>
      </w:tr>
    </w:tbl>
    <w:p w14:paraId="6CB80E5C" w14:textId="77777777" w:rsidR="00E323D0" w:rsidRPr="00E323D0" w:rsidRDefault="00E323D0" w:rsidP="00E323D0">
      <w:pPr>
        <w:jc w:val="center"/>
      </w:pPr>
      <w:r>
        <w:t>______________</w:t>
      </w:r>
    </w:p>
    <w:sectPr w:rsidR="00E323D0" w:rsidRPr="00E323D0" w:rsidSect="00E24D59">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7327" w14:textId="77777777" w:rsidR="00E919AB" w:rsidRDefault="00E919AB">
      <w:r>
        <w:separator/>
      </w:r>
    </w:p>
  </w:endnote>
  <w:endnote w:type="continuationSeparator" w:id="0">
    <w:p w14:paraId="5F030B1F" w14:textId="77777777" w:rsidR="00E919AB" w:rsidRDefault="00E9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D930CEE" w14:textId="77777777" w:rsidTr="00E31DCE">
      <w:trPr>
        <w:jc w:val="center"/>
      </w:trPr>
      <w:tc>
        <w:tcPr>
          <w:tcW w:w="1803" w:type="dxa"/>
          <w:vAlign w:val="center"/>
        </w:tcPr>
        <w:p w14:paraId="3F7635F8" w14:textId="18D0F3A0"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575E1B">
            <w:rPr>
              <w:noProof/>
              <w:color w:val="808080" w:themeColor="background1" w:themeShade="80"/>
            </w:rPr>
            <w:t xml:space="preserve"> 260</w:t>
          </w:r>
          <w:r w:rsidR="00BC6260">
            <w:rPr>
              <w:noProof/>
              <w:color w:val="808080" w:themeColor="background1" w:themeShade="80"/>
            </w:rPr>
            <w:t>1134</w:t>
          </w:r>
        </w:p>
      </w:tc>
      <w:tc>
        <w:tcPr>
          <w:tcW w:w="8261" w:type="dxa"/>
        </w:tcPr>
        <w:p w14:paraId="35014A7A" w14:textId="51671359" w:rsidR="00E24D59" w:rsidRPr="00A13406" w:rsidRDefault="00E24D59" w:rsidP="00BC6260">
          <w:pPr>
            <w:pStyle w:val="Header"/>
            <w:tabs>
              <w:tab w:val="left" w:pos="6448"/>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575E1B">
            <w:rPr>
              <w:bCs/>
              <w:color w:val="808080" w:themeColor="background1" w:themeShade="80"/>
            </w:rPr>
            <w:t>53</w:t>
          </w:r>
          <w:r w:rsidR="00BC6260">
            <w:rPr>
              <w:bCs/>
              <w:color w:val="808080" w:themeColor="background1" w:themeShade="80"/>
            </w:rPr>
            <w:t>(</w:t>
          </w:r>
          <w:proofErr w:type="spellStart"/>
          <w:r w:rsidR="00BC6260">
            <w:rPr>
              <w:bCs/>
              <w:color w:val="808080" w:themeColor="background1" w:themeShade="80"/>
            </w:rPr>
            <w:t>Rev.</w:t>
          </w:r>
          <w:proofErr w:type="gramStart"/>
          <w:r w:rsidR="00BC6260">
            <w:rPr>
              <w:bCs/>
              <w:color w:val="808080" w:themeColor="background1" w:themeShade="80"/>
            </w:rPr>
            <w:t>1</w:t>
          </w:r>
          <w:proofErr w:type="spellEnd"/>
          <w:r w:rsidR="00BC6260">
            <w:rPr>
              <w:bCs/>
              <w:color w:val="808080" w:themeColor="background1" w:themeShade="80"/>
            </w:rPr>
            <w:t>)</w:t>
          </w:r>
          <w:r w:rsidRPr="00A13406">
            <w:rPr>
              <w:bCs/>
              <w:color w:val="808080" w:themeColor="background1" w:themeShade="80"/>
            </w:rPr>
            <w:t>-</w:t>
          </w:r>
          <w:proofErr w:type="gramEnd"/>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D63BB6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F233C6" w14:textId="77777777" w:rsidTr="00E31DCE">
      <w:trPr>
        <w:jc w:val="center"/>
      </w:trPr>
      <w:tc>
        <w:tcPr>
          <w:tcW w:w="1803" w:type="dxa"/>
          <w:vAlign w:val="center"/>
        </w:tcPr>
        <w:p w14:paraId="391F7F04"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8589253" w14:textId="3434CA7F" w:rsidR="00E24D59" w:rsidRPr="00A13406" w:rsidRDefault="00E24D59" w:rsidP="00BC6260">
          <w:pPr>
            <w:pStyle w:val="Header"/>
            <w:tabs>
              <w:tab w:val="left" w:pos="6306"/>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575E1B">
            <w:rPr>
              <w:bCs/>
              <w:color w:val="808080" w:themeColor="background1" w:themeShade="80"/>
            </w:rPr>
            <w:t>53</w:t>
          </w:r>
          <w:r w:rsidR="00BC6260">
            <w:rPr>
              <w:bCs/>
              <w:color w:val="808080" w:themeColor="background1" w:themeShade="80"/>
            </w:rPr>
            <w:t>(</w:t>
          </w:r>
          <w:proofErr w:type="spellStart"/>
          <w:r w:rsidR="00BC6260">
            <w:rPr>
              <w:bCs/>
              <w:color w:val="808080" w:themeColor="background1" w:themeShade="80"/>
            </w:rPr>
            <w:t>Rev.</w:t>
          </w:r>
          <w:proofErr w:type="gramStart"/>
          <w:r w:rsidR="00BC6260">
            <w:rPr>
              <w:bCs/>
              <w:color w:val="808080" w:themeColor="background1" w:themeShade="80"/>
            </w:rPr>
            <w:t>1</w:t>
          </w:r>
          <w:proofErr w:type="spellEnd"/>
          <w:r w:rsidR="00BC6260">
            <w:rPr>
              <w:bCs/>
              <w:color w:val="808080" w:themeColor="background1" w:themeShade="80"/>
            </w:rPr>
            <w:t>)</w:t>
          </w:r>
          <w:r w:rsidRPr="003F086E">
            <w:rPr>
              <w:bCs/>
              <w:color w:val="808080" w:themeColor="background1" w:themeShade="80"/>
            </w:rPr>
            <w:t>-</w:t>
          </w:r>
          <w:proofErr w:type="gramEnd"/>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EB9008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C7DE" w14:textId="77777777" w:rsidR="00E919AB" w:rsidRDefault="00E919AB">
      <w:r>
        <w:t>____________________</w:t>
      </w:r>
    </w:p>
  </w:footnote>
  <w:footnote w:type="continuationSeparator" w:id="0">
    <w:p w14:paraId="378834C8" w14:textId="77777777" w:rsidR="00E919AB" w:rsidRDefault="00E9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002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7"/>
    <w:rsid w:val="00001B77"/>
    <w:rsid w:val="0000517A"/>
    <w:rsid w:val="0000538F"/>
    <w:rsid w:val="00031E72"/>
    <w:rsid w:val="000404D2"/>
    <w:rsid w:val="000523F5"/>
    <w:rsid w:val="000646BD"/>
    <w:rsid w:val="000853C0"/>
    <w:rsid w:val="00093DD9"/>
    <w:rsid w:val="0009409E"/>
    <w:rsid w:val="000A1C21"/>
    <w:rsid w:val="000C0BC5"/>
    <w:rsid w:val="000D15EA"/>
    <w:rsid w:val="000D7012"/>
    <w:rsid w:val="000F5F09"/>
    <w:rsid w:val="00100D84"/>
    <w:rsid w:val="00124C9D"/>
    <w:rsid w:val="001305DE"/>
    <w:rsid w:val="001349FB"/>
    <w:rsid w:val="0015333E"/>
    <w:rsid w:val="00157773"/>
    <w:rsid w:val="00165724"/>
    <w:rsid w:val="0018251A"/>
    <w:rsid w:val="00190272"/>
    <w:rsid w:val="00193244"/>
    <w:rsid w:val="00193FB8"/>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13FDA"/>
    <w:rsid w:val="00325C25"/>
    <w:rsid w:val="00372C8F"/>
    <w:rsid w:val="00380ECE"/>
    <w:rsid w:val="00393DDF"/>
    <w:rsid w:val="00397F55"/>
    <w:rsid w:val="003A0E1B"/>
    <w:rsid w:val="003B310F"/>
    <w:rsid w:val="003B4454"/>
    <w:rsid w:val="003C2E37"/>
    <w:rsid w:val="003E2B7B"/>
    <w:rsid w:val="003F086E"/>
    <w:rsid w:val="003F1415"/>
    <w:rsid w:val="0040144C"/>
    <w:rsid w:val="00403EB7"/>
    <w:rsid w:val="004178E6"/>
    <w:rsid w:val="00430BF0"/>
    <w:rsid w:val="00462799"/>
    <w:rsid w:val="00465C35"/>
    <w:rsid w:val="004672E6"/>
    <w:rsid w:val="00474ED1"/>
    <w:rsid w:val="00477D57"/>
    <w:rsid w:val="00491BA9"/>
    <w:rsid w:val="00493085"/>
    <w:rsid w:val="004A36EC"/>
    <w:rsid w:val="004D163F"/>
    <w:rsid w:val="004E4BFF"/>
    <w:rsid w:val="004F2598"/>
    <w:rsid w:val="00521703"/>
    <w:rsid w:val="005403F7"/>
    <w:rsid w:val="00540632"/>
    <w:rsid w:val="00541CF4"/>
    <w:rsid w:val="005451E8"/>
    <w:rsid w:val="005507F2"/>
    <w:rsid w:val="00555C29"/>
    <w:rsid w:val="005728BC"/>
    <w:rsid w:val="005759CC"/>
    <w:rsid w:val="00575E1B"/>
    <w:rsid w:val="00576C08"/>
    <w:rsid w:val="005A72E1"/>
    <w:rsid w:val="005C04FD"/>
    <w:rsid w:val="005C6632"/>
    <w:rsid w:val="005D1C9E"/>
    <w:rsid w:val="005F039D"/>
    <w:rsid w:val="00602842"/>
    <w:rsid w:val="00613D88"/>
    <w:rsid w:val="0063056D"/>
    <w:rsid w:val="00630DD5"/>
    <w:rsid w:val="00637584"/>
    <w:rsid w:val="00651A52"/>
    <w:rsid w:val="00654257"/>
    <w:rsid w:val="0065435A"/>
    <w:rsid w:val="00670D8A"/>
    <w:rsid w:val="00696F16"/>
    <w:rsid w:val="006A2DD3"/>
    <w:rsid w:val="006A5113"/>
    <w:rsid w:val="006A5AF8"/>
    <w:rsid w:val="006C36CD"/>
    <w:rsid w:val="006F062B"/>
    <w:rsid w:val="00700D1F"/>
    <w:rsid w:val="007205CB"/>
    <w:rsid w:val="0072138B"/>
    <w:rsid w:val="00726073"/>
    <w:rsid w:val="00734FE8"/>
    <w:rsid w:val="007360CE"/>
    <w:rsid w:val="007513E3"/>
    <w:rsid w:val="00761C4B"/>
    <w:rsid w:val="00770814"/>
    <w:rsid w:val="0077110E"/>
    <w:rsid w:val="00772315"/>
    <w:rsid w:val="00775157"/>
    <w:rsid w:val="007813AE"/>
    <w:rsid w:val="007A37DB"/>
    <w:rsid w:val="007A7CBE"/>
    <w:rsid w:val="007E189D"/>
    <w:rsid w:val="007F0210"/>
    <w:rsid w:val="00806E3F"/>
    <w:rsid w:val="00811259"/>
    <w:rsid w:val="00811F70"/>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087D"/>
    <w:rsid w:val="00997185"/>
    <w:rsid w:val="009A3456"/>
    <w:rsid w:val="009A76A8"/>
    <w:rsid w:val="009C0B91"/>
    <w:rsid w:val="009C2458"/>
    <w:rsid w:val="009C4A7B"/>
    <w:rsid w:val="009C6123"/>
    <w:rsid w:val="009F1E3E"/>
    <w:rsid w:val="00A01F4F"/>
    <w:rsid w:val="00A109AF"/>
    <w:rsid w:val="00A1213C"/>
    <w:rsid w:val="00A13406"/>
    <w:rsid w:val="00A17B34"/>
    <w:rsid w:val="00A272FF"/>
    <w:rsid w:val="00A5354B"/>
    <w:rsid w:val="00A71B57"/>
    <w:rsid w:val="00A90528"/>
    <w:rsid w:val="00A92AE1"/>
    <w:rsid w:val="00AA2E08"/>
    <w:rsid w:val="00AB42C1"/>
    <w:rsid w:val="00AC516F"/>
    <w:rsid w:val="00AE195F"/>
    <w:rsid w:val="00AE2926"/>
    <w:rsid w:val="00B0184B"/>
    <w:rsid w:val="00B035CD"/>
    <w:rsid w:val="00B06EE0"/>
    <w:rsid w:val="00B071FB"/>
    <w:rsid w:val="00B0769D"/>
    <w:rsid w:val="00B217F8"/>
    <w:rsid w:val="00B326AA"/>
    <w:rsid w:val="00B332EA"/>
    <w:rsid w:val="00B40A53"/>
    <w:rsid w:val="00B42A51"/>
    <w:rsid w:val="00B45365"/>
    <w:rsid w:val="00B46A65"/>
    <w:rsid w:val="00B56E82"/>
    <w:rsid w:val="00B60184"/>
    <w:rsid w:val="00B62D20"/>
    <w:rsid w:val="00B81E75"/>
    <w:rsid w:val="00B91673"/>
    <w:rsid w:val="00B93453"/>
    <w:rsid w:val="00B9445B"/>
    <w:rsid w:val="00BC3DCB"/>
    <w:rsid w:val="00BC6260"/>
    <w:rsid w:val="00BD0954"/>
    <w:rsid w:val="00BD1A5A"/>
    <w:rsid w:val="00BD7A9B"/>
    <w:rsid w:val="00BD7BE1"/>
    <w:rsid w:val="00BE5C47"/>
    <w:rsid w:val="00BF416B"/>
    <w:rsid w:val="00C02C87"/>
    <w:rsid w:val="00C24DAC"/>
    <w:rsid w:val="00C45EB2"/>
    <w:rsid w:val="00C53732"/>
    <w:rsid w:val="00C63BAC"/>
    <w:rsid w:val="00C64E4E"/>
    <w:rsid w:val="00C66E64"/>
    <w:rsid w:val="00C761A0"/>
    <w:rsid w:val="00C80E62"/>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0EF3"/>
    <w:rsid w:val="00D45098"/>
    <w:rsid w:val="00D453EE"/>
    <w:rsid w:val="00D5666C"/>
    <w:rsid w:val="00D666BC"/>
    <w:rsid w:val="00D83434"/>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8677D"/>
    <w:rsid w:val="00E919AB"/>
    <w:rsid w:val="00EB0D71"/>
    <w:rsid w:val="00EE5706"/>
    <w:rsid w:val="00EF373D"/>
    <w:rsid w:val="00F11595"/>
    <w:rsid w:val="00F13BC9"/>
    <w:rsid w:val="00F357B2"/>
    <w:rsid w:val="00F36366"/>
    <w:rsid w:val="00F36556"/>
    <w:rsid w:val="00F64BCC"/>
    <w:rsid w:val="00F6736A"/>
    <w:rsid w:val="00F705DF"/>
    <w:rsid w:val="00F70622"/>
    <w:rsid w:val="00F82391"/>
    <w:rsid w:val="00F8365C"/>
    <w:rsid w:val="00F85624"/>
    <w:rsid w:val="00F87C05"/>
    <w:rsid w:val="00F928C4"/>
    <w:rsid w:val="00F93191"/>
    <w:rsid w:val="00F93A17"/>
    <w:rsid w:val="00FA2AF6"/>
    <w:rsid w:val="00FA4287"/>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1DD62"/>
  <w15:docId w15:val="{EEEFB448-D43D-4DF3-A3A4-05343DF1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S23-CWGFHR16-C-0026/en" TargetMode="External"/><Relationship Id="rId13" Type="http://schemas.openxmlformats.org/officeDocument/2006/relationships/hyperlink" Target="http://www.itu.int/md/S24-CWGFHR18-C-0009/en" TargetMode="External"/><Relationship Id="rId18" Type="http://schemas.openxmlformats.org/officeDocument/2006/relationships/hyperlink" Target="http://www.itu.int/md/S25-CWGFHR21-C-0025/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md/S26-CWGFHR22-C-0036/en" TargetMode="External"/><Relationship Id="rId7" Type="http://schemas.openxmlformats.org/officeDocument/2006/relationships/endnotes" Target="endnotes.xml"/><Relationship Id="rId12" Type="http://schemas.openxmlformats.org/officeDocument/2006/relationships/hyperlink" Target="http://www.itu.int/md/S24-CWGFHR18-C-0009/en" TargetMode="External"/><Relationship Id="rId17" Type="http://schemas.openxmlformats.org/officeDocument/2006/relationships/hyperlink" Target="http://www.itu.int/md/S25-CWGFHR20-C-0032/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S25-CWGFHR20-C-0032/en" TargetMode="External"/><Relationship Id="rId20" Type="http://schemas.openxmlformats.org/officeDocument/2006/relationships/hyperlink" Target="http://www.itu.int/md/S26-CWGFHR22-C-003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24-CWGFHR17-C-0024/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S24-CWGFHR19-C-0015/en" TargetMode="External"/><Relationship Id="rId23" Type="http://schemas.openxmlformats.org/officeDocument/2006/relationships/header" Target="header1.xml"/><Relationship Id="rId10" Type="http://schemas.openxmlformats.org/officeDocument/2006/relationships/hyperlink" Target="http://www.itu.int/md/S24-CWGFHR17-C-0024/en" TargetMode="External"/><Relationship Id="rId19" Type="http://schemas.openxmlformats.org/officeDocument/2006/relationships/hyperlink" Target="http://www.itu.int/md/S25-CWGFHR21-C-0025/en" TargetMode="External"/><Relationship Id="rId4" Type="http://schemas.openxmlformats.org/officeDocument/2006/relationships/settings" Target="settings.xml"/><Relationship Id="rId9" Type="http://schemas.openxmlformats.org/officeDocument/2006/relationships/hyperlink" Target="http://www.itu.int/md/S23-CWGFHR16-C-0026/en" TargetMode="External"/><Relationship Id="rId14" Type="http://schemas.openxmlformats.org/officeDocument/2006/relationships/hyperlink" Target="http://www.itu.int/md/S24-CWGFHR19-C-0015/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POOL\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6</Pages>
  <Words>3279</Words>
  <Characters>2516</Characters>
  <Application>Microsoft Office Word</Application>
  <DocSecurity>0</DocSecurity>
  <Lines>68</Lines>
  <Paragraphs>52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5743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financial and human resources</dc:title>
  <dc:subject>ITU Council 2026</dc:subject>
  <cp:keywords>C26; C2026; Council 2026; PP26</cp:keywords>
  <dc:description/>
  <cp:lastPrinted>2015-02-24T13:23:00Z</cp:lastPrinted>
  <dcterms:created xsi:type="dcterms:W3CDTF">2026-05-01T11:33:00Z</dcterms:created>
  <dcterms:modified xsi:type="dcterms:W3CDTF">2026-05-01T11:33:00Z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