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6"/>
        <w:gridCol w:w="2965"/>
      </w:tblGrid>
      <w:tr w:rsidR="007B0AA0" w:rsidRPr="001803B1" w14:paraId="022429C0" w14:textId="77777777" w:rsidTr="00F363FE">
        <w:tc>
          <w:tcPr>
            <w:tcW w:w="6512" w:type="dxa"/>
          </w:tcPr>
          <w:p w14:paraId="76813177" w14:textId="361870C4" w:rsidR="007B0AA0" w:rsidRPr="001803B1" w:rsidRDefault="007B0AA0" w:rsidP="00F363FE">
            <w:pPr>
              <w:spacing w:before="60" w:after="60" w:line="260" w:lineRule="exact"/>
              <w:rPr>
                <w:b/>
                <w:bCs/>
                <w:lang w:bidi="ar-EG"/>
              </w:rPr>
            </w:pPr>
            <w:r w:rsidRPr="001803B1">
              <w:rPr>
                <w:rFonts w:hint="cs"/>
                <w:b/>
                <w:bCs/>
                <w:rtl/>
                <w:lang w:bidi="ar-EG"/>
              </w:rPr>
              <w:t>بند جدول الأعمال:</w:t>
            </w:r>
            <w:r w:rsidR="00586F6A" w:rsidRPr="001803B1">
              <w:rPr>
                <w:rFonts w:hint="cs"/>
                <w:b/>
                <w:bCs/>
                <w:rtl/>
                <w:lang w:bidi="ar-EG"/>
              </w:rPr>
              <w:t xml:space="preserve"> </w:t>
            </w:r>
            <w:r w:rsidR="00586F6A" w:rsidRPr="001803B1">
              <w:rPr>
                <w:b/>
                <w:bCs/>
                <w:lang w:bidi="ar-EG"/>
              </w:rPr>
              <w:t>ADM 1</w:t>
            </w:r>
          </w:p>
        </w:tc>
        <w:tc>
          <w:tcPr>
            <w:tcW w:w="3117" w:type="dxa"/>
          </w:tcPr>
          <w:p w14:paraId="55539266" w14:textId="0F469D51" w:rsidR="007B0AA0" w:rsidRPr="001803B1" w:rsidRDefault="00BE7075" w:rsidP="00BE7075">
            <w:pPr>
              <w:spacing w:before="60" w:after="60" w:line="260" w:lineRule="exact"/>
              <w:jc w:val="left"/>
              <w:rPr>
                <w:b/>
                <w:bCs/>
                <w:lang w:bidi="ar-EG"/>
              </w:rPr>
            </w:pPr>
            <w:r w:rsidRPr="001803B1">
              <w:rPr>
                <w:rFonts w:hint="cs"/>
                <w:b/>
                <w:bCs/>
                <w:rtl/>
                <w:lang w:bidi="ar-EG"/>
              </w:rPr>
              <w:t xml:space="preserve">المراجعة </w:t>
            </w:r>
            <w:r w:rsidRPr="001803B1">
              <w:rPr>
                <w:b/>
                <w:bCs/>
                <w:lang w:bidi="ar-EG"/>
              </w:rPr>
              <w:t>1</w:t>
            </w:r>
            <w:r w:rsidRPr="001803B1">
              <w:rPr>
                <w:b/>
                <w:bCs/>
                <w:rtl/>
                <w:lang w:bidi="ar-EG"/>
              </w:rPr>
              <w:br/>
            </w:r>
            <w:r w:rsidR="00191E1A" w:rsidRPr="001803B1">
              <w:rPr>
                <w:rFonts w:hint="cs"/>
                <w:b/>
                <w:bCs/>
                <w:rtl/>
                <w:lang w:bidi="ar-EG"/>
              </w:rPr>
              <w:t>ل</w:t>
            </w:r>
            <w:r w:rsidR="007B0AA0" w:rsidRPr="001803B1">
              <w:rPr>
                <w:rFonts w:hint="cs"/>
                <w:b/>
                <w:bCs/>
                <w:rtl/>
                <w:lang w:bidi="ar-EG"/>
              </w:rPr>
              <w:t xml:space="preserve">لوثيقة </w:t>
            </w:r>
            <w:r w:rsidR="007B0AA0" w:rsidRPr="001803B1">
              <w:rPr>
                <w:b/>
                <w:bCs/>
                <w:lang w:bidi="ar-EG"/>
              </w:rPr>
              <w:t>C2</w:t>
            </w:r>
            <w:r w:rsidR="000116AF" w:rsidRPr="001803B1">
              <w:rPr>
                <w:b/>
                <w:bCs/>
                <w:lang w:bidi="ar-EG"/>
              </w:rPr>
              <w:t>6</w:t>
            </w:r>
            <w:r w:rsidR="007B0AA0" w:rsidRPr="001803B1">
              <w:rPr>
                <w:b/>
                <w:bCs/>
                <w:lang w:bidi="ar-EG"/>
              </w:rPr>
              <w:t>/</w:t>
            </w:r>
            <w:r w:rsidR="00586F6A" w:rsidRPr="001803B1">
              <w:rPr>
                <w:b/>
                <w:bCs/>
                <w:lang w:bidi="ar-EG"/>
              </w:rPr>
              <w:t>53</w:t>
            </w:r>
            <w:r w:rsidR="007B0AA0" w:rsidRPr="001803B1">
              <w:rPr>
                <w:b/>
                <w:bCs/>
                <w:lang w:bidi="ar-EG"/>
              </w:rPr>
              <w:t>-A</w:t>
            </w:r>
          </w:p>
        </w:tc>
      </w:tr>
      <w:tr w:rsidR="007B0AA0" w:rsidRPr="001803B1" w14:paraId="562EF28F" w14:textId="77777777" w:rsidTr="00F363FE">
        <w:tc>
          <w:tcPr>
            <w:tcW w:w="6512" w:type="dxa"/>
          </w:tcPr>
          <w:p w14:paraId="4062644C" w14:textId="77777777" w:rsidR="007B0AA0" w:rsidRPr="001803B1" w:rsidRDefault="007B0AA0" w:rsidP="00F363FE">
            <w:pPr>
              <w:spacing w:before="60" w:after="60" w:line="260" w:lineRule="exact"/>
              <w:rPr>
                <w:b/>
                <w:bCs/>
                <w:rtl/>
                <w:lang w:bidi="ar-EG"/>
              </w:rPr>
            </w:pPr>
          </w:p>
        </w:tc>
        <w:tc>
          <w:tcPr>
            <w:tcW w:w="3117" w:type="dxa"/>
          </w:tcPr>
          <w:p w14:paraId="19AE7E46" w14:textId="25894D77" w:rsidR="007B0AA0" w:rsidRPr="001803B1" w:rsidRDefault="00586F6A" w:rsidP="00BE7075">
            <w:pPr>
              <w:spacing w:before="60" w:after="60" w:line="260" w:lineRule="exact"/>
              <w:jc w:val="left"/>
              <w:rPr>
                <w:b/>
                <w:bCs/>
                <w:rtl/>
                <w:lang w:bidi="ar-EG"/>
              </w:rPr>
            </w:pPr>
            <w:r w:rsidRPr="001803B1">
              <w:rPr>
                <w:rFonts w:hint="cs"/>
                <w:b/>
                <w:bCs/>
                <w:rtl/>
              </w:rPr>
              <w:t>‏</w:t>
            </w:r>
            <w:r w:rsidR="00BE7075" w:rsidRPr="001803B1">
              <w:rPr>
                <w:b/>
                <w:bCs/>
              </w:rPr>
              <w:t>30</w:t>
            </w:r>
            <w:r w:rsidRPr="001803B1">
              <w:rPr>
                <w:rFonts w:hint="cs"/>
                <w:b/>
                <w:bCs/>
                <w:rtl/>
              </w:rPr>
              <w:t>‏ أبريل‏ 2026</w:t>
            </w:r>
          </w:p>
        </w:tc>
      </w:tr>
      <w:tr w:rsidR="007B0AA0" w:rsidRPr="001803B1" w14:paraId="57EB225F" w14:textId="77777777" w:rsidTr="00F363FE">
        <w:tc>
          <w:tcPr>
            <w:tcW w:w="6512" w:type="dxa"/>
          </w:tcPr>
          <w:p w14:paraId="621C3B74" w14:textId="77777777" w:rsidR="007B0AA0" w:rsidRPr="001803B1" w:rsidRDefault="007B0AA0" w:rsidP="00F363FE">
            <w:pPr>
              <w:spacing w:before="60" w:after="60" w:line="260" w:lineRule="exact"/>
              <w:rPr>
                <w:b/>
                <w:bCs/>
                <w:rtl/>
                <w:lang w:bidi="ar-EG"/>
              </w:rPr>
            </w:pPr>
          </w:p>
        </w:tc>
        <w:tc>
          <w:tcPr>
            <w:tcW w:w="3117" w:type="dxa"/>
          </w:tcPr>
          <w:p w14:paraId="7021B35E" w14:textId="77777777" w:rsidR="007B0AA0" w:rsidRPr="001803B1" w:rsidRDefault="001D64C7" w:rsidP="00BE7075">
            <w:pPr>
              <w:spacing w:before="60" w:after="60" w:line="260" w:lineRule="exact"/>
              <w:jc w:val="left"/>
              <w:rPr>
                <w:b/>
                <w:bCs/>
                <w:rtl/>
                <w:lang w:bidi="ar-EG"/>
              </w:rPr>
            </w:pPr>
            <w:r w:rsidRPr="001803B1">
              <w:rPr>
                <w:rFonts w:hint="cs"/>
                <w:b/>
                <w:bCs/>
                <w:rtl/>
                <w:lang w:bidi="ar-EG"/>
              </w:rPr>
              <w:t>الأصل: بالإنكليزية</w:t>
            </w:r>
          </w:p>
        </w:tc>
      </w:tr>
      <w:tr w:rsidR="007B0AA0" w:rsidRPr="001803B1" w14:paraId="5F66EFDF" w14:textId="77777777" w:rsidTr="00F363FE">
        <w:tc>
          <w:tcPr>
            <w:tcW w:w="6512" w:type="dxa"/>
          </w:tcPr>
          <w:p w14:paraId="72926ED9" w14:textId="77777777" w:rsidR="007B0AA0" w:rsidRPr="001803B1" w:rsidRDefault="007B0AA0" w:rsidP="00F363FE">
            <w:pPr>
              <w:spacing w:before="60" w:after="60" w:line="260" w:lineRule="exact"/>
              <w:rPr>
                <w:lang w:bidi="ar-EG"/>
              </w:rPr>
            </w:pPr>
          </w:p>
        </w:tc>
        <w:tc>
          <w:tcPr>
            <w:tcW w:w="3117" w:type="dxa"/>
          </w:tcPr>
          <w:p w14:paraId="76B380F3" w14:textId="77777777" w:rsidR="007B0AA0" w:rsidRPr="001803B1" w:rsidRDefault="007B0AA0" w:rsidP="00F363FE">
            <w:pPr>
              <w:spacing w:before="60" w:after="60" w:line="260" w:lineRule="exact"/>
              <w:rPr>
                <w:rtl/>
                <w:lang w:bidi="ar-EG"/>
              </w:rPr>
            </w:pPr>
          </w:p>
        </w:tc>
      </w:tr>
      <w:tr w:rsidR="007B0AA0" w:rsidRPr="001803B1" w14:paraId="15551E73" w14:textId="77777777" w:rsidTr="00EE7446">
        <w:tc>
          <w:tcPr>
            <w:tcW w:w="9629" w:type="dxa"/>
            <w:gridSpan w:val="2"/>
          </w:tcPr>
          <w:p w14:paraId="0B0D391F" w14:textId="45584937" w:rsidR="007B0AA0" w:rsidRPr="001803B1" w:rsidRDefault="00586F6A" w:rsidP="001E2596">
            <w:pPr>
              <w:pStyle w:val="Source"/>
              <w:jc w:val="both"/>
              <w:rPr>
                <w:spacing w:val="6"/>
                <w:lang w:bidi="ar-EG"/>
              </w:rPr>
            </w:pPr>
            <w:r w:rsidRPr="001803B1">
              <w:rPr>
                <w:spacing w:val="6"/>
                <w:rtl/>
              </w:rPr>
              <w:t>تقرير رئيسة فريق العمل التابع للمجلس والمعني بالموارد المالية والبشرية</w:t>
            </w:r>
            <w:r w:rsidR="001D712E" w:rsidRPr="001803B1">
              <w:rPr>
                <w:rFonts w:hint="cs"/>
                <w:spacing w:val="6"/>
                <w:rtl/>
              </w:rPr>
              <w:t> </w:t>
            </w:r>
            <w:r w:rsidRPr="001803B1">
              <w:rPr>
                <w:spacing w:val="6"/>
                <w:lang w:bidi="ar-EG"/>
              </w:rPr>
              <w:t>(CWG-FHR)</w:t>
            </w:r>
          </w:p>
        </w:tc>
      </w:tr>
      <w:tr w:rsidR="007B0AA0" w:rsidRPr="001803B1" w14:paraId="611A1CE2" w14:textId="77777777" w:rsidTr="007B0AA0">
        <w:tc>
          <w:tcPr>
            <w:tcW w:w="9629" w:type="dxa"/>
            <w:gridSpan w:val="2"/>
            <w:tcBorders>
              <w:bottom w:val="single" w:sz="4" w:space="0" w:color="auto"/>
            </w:tcBorders>
          </w:tcPr>
          <w:p w14:paraId="7D7DE07D" w14:textId="230DEAC5" w:rsidR="007B0AA0" w:rsidRPr="001803B1" w:rsidRDefault="00586F6A" w:rsidP="00191E1A">
            <w:pPr>
              <w:pStyle w:val="Subtitle0"/>
              <w:rPr>
                <w:sz w:val="32"/>
                <w:szCs w:val="32"/>
              </w:rPr>
            </w:pPr>
            <w:r w:rsidRPr="001803B1">
              <w:rPr>
                <w:sz w:val="32"/>
                <w:szCs w:val="32"/>
                <w:rtl/>
                <w:lang w:bidi="ar-SA"/>
              </w:rPr>
              <w:t>تقرير فترة السنوات الأربع لفريق العمل التابع للمجلس والمعني بالموارد المالية والبشرية</w:t>
            </w:r>
          </w:p>
        </w:tc>
      </w:tr>
      <w:tr w:rsidR="007B0AA0" w:rsidRPr="001803B1" w14:paraId="0992BDB1" w14:textId="77777777" w:rsidTr="007B0AA0">
        <w:tc>
          <w:tcPr>
            <w:tcW w:w="9629" w:type="dxa"/>
            <w:gridSpan w:val="2"/>
            <w:tcBorders>
              <w:top w:val="single" w:sz="4" w:space="0" w:color="auto"/>
              <w:bottom w:val="single" w:sz="4" w:space="0" w:color="auto"/>
            </w:tcBorders>
          </w:tcPr>
          <w:p w14:paraId="41D30582" w14:textId="77777777" w:rsidR="007B0AA0" w:rsidRPr="001803B1" w:rsidRDefault="007B0AA0" w:rsidP="007B0AA0">
            <w:pPr>
              <w:rPr>
                <w:b/>
                <w:bCs/>
                <w:rtl/>
              </w:rPr>
            </w:pPr>
            <w:r w:rsidRPr="001803B1">
              <w:rPr>
                <w:rFonts w:hint="cs"/>
                <w:b/>
                <w:bCs/>
                <w:rtl/>
              </w:rPr>
              <w:t>الغرض</w:t>
            </w:r>
          </w:p>
          <w:p w14:paraId="12ADFE08" w14:textId="77777777" w:rsidR="00586F6A" w:rsidRPr="001803B1" w:rsidRDefault="00586F6A" w:rsidP="00586F6A">
            <w:pPr>
              <w:rPr>
                <w:rtl/>
              </w:rPr>
            </w:pPr>
            <w:r w:rsidRPr="001803B1">
              <w:rPr>
                <w:rtl/>
              </w:rPr>
              <w:t>وفقاً للمقرر 11 (المراجَع في بوخارست، 2022) لمؤتمر المندوبين المفوضين، تعرض هذه الوثيقة تقرير فترة السنوات الأربع المقدم من رئيسة فريق العمل التابع للمجلس والمعني بالموارد المالية والبشرية إلى المجلس وهو يغطي السنوات 2023 و2024 و2025 و2026.</w:t>
            </w:r>
          </w:p>
          <w:p w14:paraId="57872C49" w14:textId="3BD7A019" w:rsidR="007B0AA0" w:rsidRPr="001803B1" w:rsidRDefault="00586F6A" w:rsidP="00586F6A">
            <w:pPr>
              <w:rPr>
                <w:spacing w:val="-2"/>
                <w:rtl/>
              </w:rPr>
            </w:pPr>
            <w:r w:rsidRPr="001803B1">
              <w:rPr>
                <w:spacing w:val="-2"/>
                <w:rtl/>
              </w:rPr>
              <w:t>وإدراكاً لضرورة وأهمية تناول مسائل الموارد المالية والبشرية في الفترات الفاصلة بين دورات المجلس، لا سيما المسائل التي تتطلب استعراض، وربما تعديل، الصكوك المالية للاتحاد (اللوائح المالية والقواعد المالية) والنظامين الإداري والأساسي للموظفين، قد يوصي المجلس مؤتمر المندوبين المفوضين بالإبقاء على هذا الفريق في الفترة التالية.</w:t>
            </w:r>
          </w:p>
          <w:p w14:paraId="77BAC11C" w14:textId="77777777" w:rsidR="007B0AA0" w:rsidRPr="001803B1" w:rsidRDefault="007B0AA0" w:rsidP="007B0AA0">
            <w:pPr>
              <w:rPr>
                <w:b/>
                <w:bCs/>
                <w:rtl/>
              </w:rPr>
            </w:pPr>
            <w:r w:rsidRPr="001803B1">
              <w:rPr>
                <w:rFonts w:hint="cs"/>
                <w:b/>
                <w:bCs/>
                <w:rtl/>
              </w:rPr>
              <w:t>الإجراء المطلوب من المجلس</w:t>
            </w:r>
          </w:p>
          <w:p w14:paraId="528F5225" w14:textId="64DAE859" w:rsidR="007B0AA0" w:rsidRPr="001803B1" w:rsidRDefault="00586F6A" w:rsidP="00586F6A">
            <w:pPr>
              <w:rPr>
                <w:rtl/>
              </w:rPr>
            </w:pPr>
            <w:r w:rsidRPr="001803B1">
              <w:rPr>
                <w:rtl/>
              </w:rPr>
              <w:t xml:space="preserve">يُدعى المجلس إلى </w:t>
            </w:r>
            <w:r w:rsidRPr="001803B1">
              <w:rPr>
                <w:b/>
                <w:bCs/>
                <w:rtl/>
              </w:rPr>
              <w:t xml:space="preserve">النظر </w:t>
            </w:r>
            <w:r w:rsidRPr="001803B1">
              <w:rPr>
                <w:rtl/>
              </w:rPr>
              <w:t>في هذا التقرير و</w:t>
            </w:r>
            <w:r w:rsidRPr="001803B1">
              <w:rPr>
                <w:b/>
                <w:bCs/>
                <w:rtl/>
              </w:rPr>
              <w:t>تقديم</w:t>
            </w:r>
            <w:r w:rsidRPr="001803B1">
              <w:rPr>
                <w:rtl/>
              </w:rPr>
              <w:t xml:space="preserve"> توصياته إلى مؤتمر المندوبين المفوضين حسب الاقتضاء، ولا سيما بشأن مواصلة أنشطة فريق العمل التابع للمجلس والمعني بالموارد المالية والبشرية للسنوات الأربع القادمة.</w:t>
            </w:r>
          </w:p>
          <w:p w14:paraId="5F4F42C3" w14:textId="77777777" w:rsidR="007B0AA0" w:rsidRPr="001803B1" w:rsidRDefault="00494119" w:rsidP="007B0AA0">
            <w:pPr>
              <w:rPr>
                <w:b/>
                <w:bCs/>
                <w:rtl/>
              </w:rPr>
            </w:pPr>
            <w:r w:rsidRPr="001803B1">
              <w:rPr>
                <w:rFonts w:hint="cs"/>
                <w:b/>
                <w:bCs/>
                <w:rtl/>
                <w:lang w:bidi="ar-EG"/>
              </w:rPr>
              <w:t>الصلة</w:t>
            </w:r>
            <w:r w:rsidR="007B0AA0" w:rsidRPr="001803B1">
              <w:rPr>
                <w:b/>
                <w:bCs/>
                <w:rtl/>
              </w:rPr>
              <w:t xml:space="preserve"> بالخطة ال</w:t>
            </w:r>
            <w:r w:rsidR="007B0AA0" w:rsidRPr="001803B1">
              <w:rPr>
                <w:rFonts w:hint="cs"/>
                <w:b/>
                <w:bCs/>
                <w:rtl/>
              </w:rPr>
              <w:t>ا</w:t>
            </w:r>
            <w:r w:rsidR="007B0AA0" w:rsidRPr="001803B1">
              <w:rPr>
                <w:b/>
                <w:bCs/>
                <w:rtl/>
              </w:rPr>
              <w:t>ستراتيجية</w:t>
            </w:r>
          </w:p>
          <w:p w14:paraId="7EC10D33" w14:textId="36C387D6" w:rsidR="007B0AA0" w:rsidRPr="001803B1" w:rsidRDefault="00586F6A" w:rsidP="00586F6A">
            <w:pPr>
              <w:rPr>
                <w:rtl/>
              </w:rPr>
            </w:pPr>
            <w:r w:rsidRPr="001803B1">
              <w:rPr>
                <w:rtl/>
              </w:rPr>
              <w:t>منصات عقد الاجتماعات؛ التميز في مجال الموارد البشرية والابتكار التنظيمي.</w:t>
            </w:r>
          </w:p>
          <w:p w14:paraId="4F245FFA" w14:textId="77777777" w:rsidR="007B0AA0" w:rsidRPr="001803B1" w:rsidRDefault="007B0AA0" w:rsidP="00B97F32">
            <w:pPr>
              <w:rPr>
                <w:b/>
                <w:bCs/>
              </w:rPr>
            </w:pPr>
            <w:r w:rsidRPr="001803B1">
              <w:rPr>
                <w:rFonts w:hint="cs"/>
                <w:b/>
                <w:bCs/>
                <w:rtl/>
              </w:rPr>
              <w:t>الآثار المالية</w:t>
            </w:r>
          </w:p>
          <w:p w14:paraId="4182DCCD" w14:textId="2629E599" w:rsidR="006F363C" w:rsidRPr="001803B1" w:rsidRDefault="00586F6A" w:rsidP="00586F6A">
            <w:pPr>
              <w:rPr>
                <w:rtl/>
              </w:rPr>
            </w:pPr>
            <w:r w:rsidRPr="001803B1">
              <w:rPr>
                <w:rtl/>
              </w:rPr>
              <w:t>ضمن الميزانية المخصَّصة لفترات السنتين 2022-2023 و</w:t>
            </w:r>
            <w:r w:rsidR="00630CC1" w:rsidRPr="001803B1">
              <w:t>2025-2024</w:t>
            </w:r>
            <w:r w:rsidRPr="001803B1">
              <w:rPr>
                <w:rtl/>
              </w:rPr>
              <w:t xml:space="preserve"> و</w:t>
            </w:r>
            <w:r w:rsidR="00630CC1" w:rsidRPr="001803B1">
              <w:t>2027-2026</w:t>
            </w:r>
            <w:r w:rsidRPr="001803B1">
              <w:rPr>
                <w:rtl/>
              </w:rPr>
              <w:t>.</w:t>
            </w:r>
          </w:p>
          <w:p w14:paraId="545D7C4A" w14:textId="77777777" w:rsidR="007B0AA0" w:rsidRPr="001803B1" w:rsidRDefault="007B0AA0" w:rsidP="007B0AA0">
            <w:pPr>
              <w:rPr>
                <w:rFonts w:ascii="Traditional Arabic" w:hAnsi="Traditional Arabic" w:cs="Traditional Arabic"/>
                <w:sz w:val="30"/>
                <w:szCs w:val="30"/>
                <w:rtl/>
              </w:rPr>
            </w:pPr>
            <w:r w:rsidRPr="001803B1">
              <w:rPr>
                <w:rFonts w:ascii="Traditional Arabic" w:hAnsi="Traditional Arabic" w:cs="Traditional Arabic"/>
                <w:sz w:val="30"/>
                <w:szCs w:val="30"/>
                <w:rtl/>
              </w:rPr>
              <w:t>___________</w:t>
            </w:r>
          </w:p>
          <w:p w14:paraId="2175F83A" w14:textId="77777777" w:rsidR="007B0AA0" w:rsidRPr="001803B1" w:rsidRDefault="007B0AA0" w:rsidP="007B0AA0">
            <w:pPr>
              <w:rPr>
                <w:b/>
                <w:bCs/>
                <w:rtl/>
              </w:rPr>
            </w:pPr>
            <w:r w:rsidRPr="001803B1">
              <w:rPr>
                <w:rFonts w:hint="cs"/>
                <w:b/>
                <w:bCs/>
                <w:rtl/>
              </w:rPr>
              <w:t>المراجع</w:t>
            </w:r>
          </w:p>
          <w:p w14:paraId="45C09EA3" w14:textId="22B436BC" w:rsidR="007B0AA0" w:rsidRPr="001803B1" w:rsidRDefault="00586F6A" w:rsidP="00586F6A">
            <w:pPr>
              <w:rPr>
                <w:i/>
                <w:iCs/>
                <w:rtl/>
              </w:rPr>
            </w:pPr>
            <w:hyperlink r:id="rId8" w:history="1">
              <w:r w:rsidRPr="001803B1">
                <w:rPr>
                  <w:rStyle w:val="Hyperlink"/>
                  <w:i/>
                  <w:iCs/>
                  <w:noProof w:val="0"/>
                  <w:rtl/>
                  <w:lang w:val="en-US" w:eastAsia="zh-CN"/>
                </w:rPr>
                <w:t>المقرر 11 (المراجَع في بوخارست، 2022)</w:t>
              </w:r>
            </w:hyperlink>
            <w:r w:rsidRPr="001803B1">
              <w:rPr>
                <w:i/>
                <w:iCs/>
                <w:rtl/>
              </w:rPr>
              <w:t xml:space="preserve"> لمؤتمر المندوبين المفوضين؛ </w:t>
            </w:r>
            <w:hyperlink r:id="rId9" w:history="1">
              <w:r w:rsidRPr="001803B1">
                <w:rPr>
                  <w:rStyle w:val="Hyperlink"/>
                  <w:i/>
                  <w:iCs/>
                  <w:noProof w:val="0"/>
                  <w:rtl/>
                  <w:lang w:val="en-US" w:eastAsia="zh-CN"/>
                </w:rPr>
                <w:t>مقرر المجلس 563 (المعدَّل في 2023</w:t>
              </w:r>
            </w:hyperlink>
            <w:r w:rsidRPr="001803B1">
              <w:rPr>
                <w:i/>
                <w:iCs/>
                <w:rtl/>
              </w:rPr>
              <w:t xml:space="preserve">)؛ </w:t>
            </w:r>
            <w:hyperlink r:id="rId10" w:anchor="/ar" w:history="1">
              <w:r w:rsidRPr="001803B1">
                <w:rPr>
                  <w:rStyle w:val="Hyperlink"/>
                  <w:i/>
                  <w:iCs/>
                  <w:noProof w:val="0"/>
                  <w:rtl/>
                  <w:lang w:val="en-US" w:eastAsia="zh-CN"/>
                </w:rPr>
                <w:t>الموقع الإلكتروني للفريق</w:t>
              </w:r>
            </w:hyperlink>
          </w:p>
        </w:tc>
      </w:tr>
    </w:tbl>
    <w:p w14:paraId="28439698" w14:textId="77777777" w:rsidR="00F50E3F" w:rsidRPr="001803B1" w:rsidRDefault="00F50E3F" w:rsidP="0043260A">
      <w:pPr>
        <w:rPr>
          <w:rtl/>
          <w:lang w:bidi="ar-EG"/>
        </w:rPr>
      </w:pPr>
      <w:r w:rsidRPr="001803B1">
        <w:rPr>
          <w:rtl/>
          <w:lang w:bidi="ar-EG"/>
        </w:rPr>
        <w:br w:type="page"/>
      </w:r>
    </w:p>
    <w:p w14:paraId="6F2E1D16" w14:textId="281CD2C6" w:rsidR="00586F6A" w:rsidRPr="001803B1" w:rsidRDefault="001D712E" w:rsidP="00750D93">
      <w:pPr>
        <w:pStyle w:val="Heading1"/>
        <w:rPr>
          <w:rtl/>
        </w:rPr>
      </w:pPr>
      <w:r w:rsidRPr="001803B1">
        <w:rPr>
          <w:rFonts w:hint="cs"/>
          <w:rtl/>
        </w:rPr>
        <w:lastRenderedPageBreak/>
        <w:t>أولاً</w:t>
      </w:r>
      <w:r w:rsidR="00586F6A" w:rsidRPr="001803B1">
        <w:rPr>
          <w:rtl/>
        </w:rPr>
        <w:tab/>
        <w:t>مقدمة</w:t>
      </w:r>
    </w:p>
    <w:p w14:paraId="571ED139" w14:textId="4744669E" w:rsidR="00586F6A" w:rsidRPr="001803B1" w:rsidRDefault="00586F6A" w:rsidP="00586F6A">
      <w:pPr>
        <w:rPr>
          <w:rtl/>
        </w:rPr>
      </w:pPr>
      <w:r w:rsidRPr="001803B1">
        <w:rPr>
          <w:rtl/>
        </w:rPr>
        <w:t>1</w:t>
      </w:r>
      <w:r w:rsidRPr="001803B1">
        <w:rPr>
          <w:rtl/>
        </w:rPr>
        <w:tab/>
      </w:r>
      <w:r w:rsidRPr="001803B1">
        <w:rPr>
          <w:spacing w:val="-4"/>
          <w:rtl/>
        </w:rPr>
        <w:t xml:space="preserve">تمت الموافقة على ولاية فريق العمل التابع للمجلس والمعني بالموارد المالية والبشرية </w:t>
      </w:r>
      <w:r w:rsidRPr="001803B1">
        <w:rPr>
          <w:spacing w:val="-4"/>
          <w:lang w:bidi="ar-EG"/>
        </w:rPr>
        <w:t>(CWG</w:t>
      </w:r>
      <w:r w:rsidRPr="001803B1">
        <w:rPr>
          <w:spacing w:val="-4"/>
          <w:lang w:bidi="ar-EG"/>
        </w:rPr>
        <w:noBreakHyphen/>
        <w:t>FHR)</w:t>
      </w:r>
      <w:r w:rsidRPr="001803B1">
        <w:rPr>
          <w:spacing w:val="-4"/>
          <w:rtl/>
        </w:rPr>
        <w:t xml:space="preserve"> بموجب </w:t>
      </w:r>
      <w:hyperlink r:id="rId11" w:history="1">
        <w:r w:rsidRPr="001803B1">
          <w:rPr>
            <w:rStyle w:val="Hyperlink"/>
            <w:noProof w:val="0"/>
            <w:spacing w:val="-4"/>
            <w:rtl/>
            <w:lang w:val="en-US" w:eastAsia="zh-CN"/>
          </w:rPr>
          <w:t>المقرر 563</w:t>
        </w:r>
      </w:hyperlink>
      <w:r w:rsidRPr="001803B1">
        <w:rPr>
          <w:spacing w:val="-4"/>
          <w:rtl/>
        </w:rPr>
        <w:t>، المعدّل في عام 2023 (انظر الملحق 1 بالمقرر). وهذا الفريق مفتوح أمام جميع الدول الأعضاء وأعضاء القطاعات.</w:t>
      </w:r>
    </w:p>
    <w:p w14:paraId="544D57D7" w14:textId="77777777" w:rsidR="00586F6A" w:rsidRPr="001803B1" w:rsidRDefault="00586F6A" w:rsidP="00586F6A">
      <w:pPr>
        <w:rPr>
          <w:rtl/>
        </w:rPr>
      </w:pPr>
      <w:r w:rsidRPr="001803B1">
        <w:rPr>
          <w:rtl/>
        </w:rPr>
        <w:t>2</w:t>
      </w:r>
      <w:r w:rsidRPr="001803B1">
        <w:rPr>
          <w:rtl/>
        </w:rPr>
        <w:tab/>
        <w:t>فريق العمل التابع للمجلس والمعني بالموارد المالية والبشرية:</w:t>
      </w:r>
    </w:p>
    <w:p w14:paraId="362FAEAB" w14:textId="03C4D9A1" w:rsidR="00586F6A" w:rsidRPr="001803B1" w:rsidRDefault="00586F6A" w:rsidP="00750D93">
      <w:pPr>
        <w:pStyle w:val="enumlev1"/>
        <w:rPr>
          <w:rtl/>
        </w:rPr>
      </w:pPr>
      <w:r w:rsidRPr="001803B1">
        <w:rPr>
          <w:lang w:bidi="ar-EG"/>
        </w:rPr>
        <w:t>–</w:t>
      </w:r>
      <w:r w:rsidRPr="001803B1">
        <w:rPr>
          <w:rtl/>
        </w:rPr>
        <w:tab/>
        <w:t>يعالج المسائل المهمة المتعلقة بالموارد المالية والبشرية في الفترات الفاصلة بين دورات المجلس، ولا سيما المسائل التي تتطلب استعراض، وربما تعديل، الصكوك المالية للاتحاد (اللوائح المالية والقواعد المالية) والنظامين الإداري والأساسي للموظفين</w:t>
      </w:r>
      <w:r w:rsidR="00630CC1" w:rsidRPr="001803B1">
        <w:rPr>
          <w:rFonts w:hint="cs"/>
          <w:rtl/>
        </w:rPr>
        <w:t>؛</w:t>
      </w:r>
    </w:p>
    <w:p w14:paraId="5E4CAE9C" w14:textId="77777777" w:rsidR="00586F6A" w:rsidRPr="001803B1" w:rsidRDefault="00586F6A" w:rsidP="00750D93">
      <w:pPr>
        <w:pStyle w:val="enumlev1"/>
        <w:rPr>
          <w:rtl/>
        </w:rPr>
      </w:pPr>
      <w:r w:rsidRPr="001803B1">
        <w:rPr>
          <w:lang w:bidi="ar-EG"/>
        </w:rPr>
        <w:t>–</w:t>
      </w:r>
      <w:r w:rsidRPr="001803B1">
        <w:rPr>
          <w:rtl/>
        </w:rPr>
        <w:tab/>
        <w:t xml:space="preserve">يضمن مراعاة التوصيات ذات الصلة المقدمة من وحدة التفتيش المشتركة للأمم المتحدة والمراجع الخارجي واللجنة الاستشارية المستقلة للإدارة </w:t>
      </w:r>
      <w:r w:rsidRPr="001803B1">
        <w:rPr>
          <w:lang w:bidi="ar-EG"/>
        </w:rPr>
        <w:t>(IMAC)</w:t>
      </w:r>
      <w:r w:rsidRPr="001803B1">
        <w:rPr>
          <w:rtl/>
        </w:rPr>
        <w:t>، التي تؤثر على إدارة الموارد المالية والموارد البشرية للاتحاد؛</w:t>
      </w:r>
    </w:p>
    <w:p w14:paraId="3ED3845E" w14:textId="77777777" w:rsidR="00586F6A" w:rsidRPr="001803B1" w:rsidRDefault="00586F6A" w:rsidP="00750D93">
      <w:pPr>
        <w:pStyle w:val="enumlev1"/>
        <w:rPr>
          <w:rtl/>
        </w:rPr>
      </w:pPr>
      <w:r w:rsidRPr="001803B1">
        <w:rPr>
          <w:lang w:bidi="ar-EG"/>
        </w:rPr>
        <w:t>–</w:t>
      </w:r>
      <w:r w:rsidRPr="001803B1">
        <w:rPr>
          <w:rtl/>
        </w:rPr>
        <w:tab/>
        <w:t>يضطلع سنوياً بتقييم تنفيذ الإدارة القائمة على النتائج، بما في ذلك ترتيب أولويات أنشطة الاتحاد ومبادراته مع مراعاة المعايير الخاصة المحددة في الخطة الاستراتيجية للاتحاد؛</w:t>
      </w:r>
    </w:p>
    <w:p w14:paraId="5389E0FD" w14:textId="77777777" w:rsidR="00586F6A" w:rsidRPr="001803B1" w:rsidRDefault="00586F6A" w:rsidP="00750D93">
      <w:pPr>
        <w:pStyle w:val="enumlev1"/>
        <w:rPr>
          <w:rtl/>
        </w:rPr>
      </w:pPr>
      <w:r w:rsidRPr="001803B1">
        <w:rPr>
          <w:lang w:bidi="ar-EG"/>
        </w:rPr>
        <w:t>–</w:t>
      </w:r>
      <w:r w:rsidRPr="001803B1">
        <w:rPr>
          <w:rtl/>
        </w:rPr>
        <w:tab/>
        <w:t>يحافظ على صلة وثيقة بإدارة الاتحاد ومجلس الموظفين بغية تحديد المسائل ذات الاهتمام المشترك، وخاصة تلك التي تكون آراء المجلس وتوجيهاته بشأنها مطلوبة ومبررة.</w:t>
      </w:r>
    </w:p>
    <w:p w14:paraId="6B8937C1" w14:textId="77777777" w:rsidR="00586F6A" w:rsidRPr="001803B1" w:rsidRDefault="00586F6A" w:rsidP="00586F6A">
      <w:pPr>
        <w:rPr>
          <w:rtl/>
        </w:rPr>
      </w:pPr>
      <w:r w:rsidRPr="001803B1">
        <w:rPr>
          <w:rtl/>
        </w:rPr>
        <w:t>3</w:t>
      </w:r>
      <w:r w:rsidRPr="001803B1">
        <w:rPr>
          <w:rtl/>
        </w:rPr>
        <w:tab/>
        <w:t xml:space="preserve">وعُقد الاجتماعان السادس عشر والسابع عشر للفريق </w:t>
      </w:r>
      <w:r w:rsidRPr="001803B1">
        <w:rPr>
          <w:lang w:bidi="ar-EG"/>
        </w:rPr>
        <w:t>CWG-FHR</w:t>
      </w:r>
      <w:r w:rsidRPr="001803B1">
        <w:rPr>
          <w:rtl/>
        </w:rPr>
        <w:t xml:space="preserve"> برئاسة السيدة فيرنيتا د. هاريس (الولايات المتحدة الأمريكية) بمساعدة خمسة نواب للرئيسة، على النحو التالي:</w:t>
      </w:r>
    </w:p>
    <w:p w14:paraId="0A2CCBE5" w14:textId="77777777" w:rsidR="00586F6A" w:rsidRPr="001803B1" w:rsidRDefault="00586F6A" w:rsidP="00750D93">
      <w:pPr>
        <w:pStyle w:val="enumlev1"/>
        <w:rPr>
          <w:rtl/>
        </w:rPr>
      </w:pPr>
      <w:r w:rsidRPr="001803B1">
        <w:rPr>
          <w:lang w:bidi="ar-EG"/>
        </w:rPr>
        <w:t>–</w:t>
      </w:r>
      <w:r w:rsidRPr="001803B1">
        <w:rPr>
          <w:rtl/>
        </w:rPr>
        <w:tab/>
        <w:t>السيدة Seynabou Cisse Seck (السنغال)</w:t>
      </w:r>
    </w:p>
    <w:p w14:paraId="7396CF81" w14:textId="77777777" w:rsidR="00586F6A" w:rsidRPr="001803B1" w:rsidRDefault="00586F6A" w:rsidP="00750D93">
      <w:pPr>
        <w:pStyle w:val="enumlev1"/>
        <w:rPr>
          <w:rtl/>
        </w:rPr>
      </w:pPr>
      <w:r w:rsidRPr="001803B1">
        <w:rPr>
          <w:lang w:bidi="ar-EG"/>
        </w:rPr>
        <w:t>–</w:t>
      </w:r>
      <w:r w:rsidRPr="001803B1">
        <w:rPr>
          <w:rtl/>
        </w:rPr>
        <w:tab/>
        <w:t>السيد Ronaldo Moura (البرازيل)</w:t>
      </w:r>
    </w:p>
    <w:p w14:paraId="7BA3745B" w14:textId="2A8D9FB3" w:rsidR="00586F6A" w:rsidRPr="001803B1" w:rsidRDefault="00586F6A" w:rsidP="001D712E">
      <w:pPr>
        <w:pStyle w:val="enumlev1"/>
        <w:rPr>
          <w:rtl/>
        </w:rPr>
      </w:pPr>
      <w:r w:rsidRPr="001803B1">
        <w:rPr>
          <w:lang w:bidi="ar-EG"/>
        </w:rPr>
        <w:t>–</w:t>
      </w:r>
      <w:r w:rsidRPr="001803B1">
        <w:rPr>
          <w:rtl/>
        </w:rPr>
        <w:tab/>
        <w:t xml:space="preserve">السيدة </w:t>
      </w:r>
      <w:r w:rsidR="001D712E" w:rsidRPr="001803B1">
        <w:rPr>
          <w:rtl/>
          <w:lang w:bidi="ar-SA"/>
        </w:rPr>
        <w:t xml:space="preserve">نهى جعفر </w:t>
      </w:r>
      <w:r w:rsidRPr="001803B1">
        <w:rPr>
          <w:rtl/>
        </w:rPr>
        <w:t xml:space="preserve">(مصر) </w:t>
      </w:r>
    </w:p>
    <w:p w14:paraId="48B3C7DC" w14:textId="77777777" w:rsidR="00586F6A" w:rsidRPr="001803B1" w:rsidRDefault="00586F6A" w:rsidP="00750D93">
      <w:pPr>
        <w:pStyle w:val="enumlev1"/>
        <w:rPr>
          <w:rtl/>
        </w:rPr>
      </w:pPr>
      <w:r w:rsidRPr="001803B1">
        <w:rPr>
          <w:lang w:bidi="ar-EG"/>
        </w:rPr>
        <w:t>–</w:t>
      </w:r>
      <w:r w:rsidRPr="001803B1">
        <w:rPr>
          <w:rtl/>
        </w:rPr>
        <w:tab/>
        <w:t>السيد Daniel Caruso (أستراليا)</w:t>
      </w:r>
    </w:p>
    <w:p w14:paraId="3407260E" w14:textId="77777777" w:rsidR="00586F6A" w:rsidRPr="001803B1" w:rsidRDefault="00586F6A" w:rsidP="00750D93">
      <w:pPr>
        <w:pStyle w:val="enumlev1"/>
        <w:rPr>
          <w:rtl/>
        </w:rPr>
      </w:pPr>
      <w:r w:rsidRPr="001803B1">
        <w:rPr>
          <w:lang w:bidi="ar-EG"/>
        </w:rPr>
        <w:t>–</w:t>
      </w:r>
      <w:r w:rsidRPr="001803B1">
        <w:rPr>
          <w:rtl/>
        </w:rPr>
        <w:tab/>
        <w:t>السيد Szabolcs Szentleleky (هنغاريا).</w:t>
      </w:r>
    </w:p>
    <w:p w14:paraId="114BA67A" w14:textId="77777777" w:rsidR="00586F6A" w:rsidRPr="001803B1" w:rsidRDefault="00586F6A" w:rsidP="00586F6A">
      <w:pPr>
        <w:rPr>
          <w:rtl/>
        </w:rPr>
      </w:pPr>
      <w:r w:rsidRPr="001803B1">
        <w:rPr>
          <w:rtl/>
        </w:rPr>
        <w:t>4</w:t>
      </w:r>
      <w:r w:rsidRPr="001803B1">
        <w:rPr>
          <w:rtl/>
        </w:rPr>
        <w:tab/>
        <w:t xml:space="preserve">وعُقد الاجتماعان الثامن عشر والتاسع عشر للفريق </w:t>
      </w:r>
      <w:r w:rsidRPr="001803B1">
        <w:rPr>
          <w:lang w:bidi="ar-EG"/>
        </w:rPr>
        <w:t>CWG-FHR</w:t>
      </w:r>
      <w:r w:rsidRPr="001803B1">
        <w:rPr>
          <w:rtl/>
        </w:rPr>
        <w:t xml:space="preserve"> برئاسة السيدة فيرنيتا د. هاريس (الولايات المتحدة الأمريكية) بمساعدة ستة نواب للرئيسة، على النحو التالي:</w:t>
      </w:r>
    </w:p>
    <w:p w14:paraId="1E3E636D" w14:textId="77777777" w:rsidR="00586F6A" w:rsidRPr="001803B1" w:rsidRDefault="00586F6A" w:rsidP="00750D93">
      <w:pPr>
        <w:pStyle w:val="enumlev1"/>
        <w:rPr>
          <w:rtl/>
        </w:rPr>
      </w:pPr>
      <w:r w:rsidRPr="001803B1">
        <w:rPr>
          <w:lang w:bidi="ar-EG"/>
        </w:rPr>
        <w:t>–</w:t>
      </w:r>
      <w:r w:rsidRPr="001803B1">
        <w:rPr>
          <w:rtl/>
        </w:rPr>
        <w:tab/>
        <w:t>السيدة Seynabou Cisse Seck (السنغال)</w:t>
      </w:r>
    </w:p>
    <w:p w14:paraId="5A78FC8D" w14:textId="77777777" w:rsidR="00586F6A" w:rsidRPr="001803B1" w:rsidRDefault="00586F6A" w:rsidP="00750D93">
      <w:pPr>
        <w:pStyle w:val="enumlev1"/>
        <w:rPr>
          <w:rtl/>
        </w:rPr>
      </w:pPr>
      <w:r w:rsidRPr="001803B1">
        <w:rPr>
          <w:lang w:bidi="ar-EG"/>
        </w:rPr>
        <w:t>–</w:t>
      </w:r>
      <w:r w:rsidRPr="001803B1">
        <w:rPr>
          <w:rtl/>
        </w:rPr>
        <w:tab/>
        <w:t>السيد Ronaldo Moura (البرازيل)</w:t>
      </w:r>
    </w:p>
    <w:p w14:paraId="6E7D90A6" w14:textId="62D62D61" w:rsidR="00586F6A" w:rsidRPr="001803B1" w:rsidRDefault="00586F6A" w:rsidP="001D712E">
      <w:pPr>
        <w:pStyle w:val="enumlev1"/>
        <w:rPr>
          <w:rtl/>
        </w:rPr>
      </w:pPr>
      <w:r w:rsidRPr="001803B1">
        <w:rPr>
          <w:lang w:bidi="ar-EG"/>
        </w:rPr>
        <w:t>–</w:t>
      </w:r>
      <w:r w:rsidRPr="001803B1">
        <w:rPr>
          <w:rtl/>
        </w:rPr>
        <w:tab/>
        <w:t xml:space="preserve">السيدة </w:t>
      </w:r>
      <w:r w:rsidR="001D712E" w:rsidRPr="001803B1">
        <w:rPr>
          <w:rtl/>
          <w:lang w:bidi="ar-SA"/>
        </w:rPr>
        <w:t xml:space="preserve">نهى جعفر </w:t>
      </w:r>
      <w:r w:rsidRPr="001803B1">
        <w:rPr>
          <w:rtl/>
        </w:rPr>
        <w:t xml:space="preserve">(مصر) </w:t>
      </w:r>
    </w:p>
    <w:p w14:paraId="622331EE" w14:textId="77777777" w:rsidR="00586F6A" w:rsidRPr="001803B1" w:rsidRDefault="00586F6A" w:rsidP="00750D93">
      <w:pPr>
        <w:pStyle w:val="enumlev1"/>
        <w:rPr>
          <w:rtl/>
        </w:rPr>
      </w:pPr>
      <w:r w:rsidRPr="001803B1">
        <w:rPr>
          <w:lang w:bidi="ar-EG"/>
        </w:rPr>
        <w:t>–</w:t>
      </w:r>
      <w:r w:rsidRPr="001803B1">
        <w:rPr>
          <w:rtl/>
        </w:rPr>
        <w:tab/>
        <w:t>السيد Daniel Caruso (أستراليا)</w:t>
      </w:r>
    </w:p>
    <w:p w14:paraId="7B3F5A96" w14:textId="77777777" w:rsidR="00586F6A" w:rsidRPr="001803B1" w:rsidRDefault="00586F6A" w:rsidP="00750D93">
      <w:pPr>
        <w:pStyle w:val="enumlev1"/>
        <w:rPr>
          <w:rtl/>
        </w:rPr>
      </w:pPr>
      <w:r w:rsidRPr="001803B1">
        <w:rPr>
          <w:lang w:bidi="ar-EG"/>
        </w:rPr>
        <w:t>–</w:t>
      </w:r>
      <w:r w:rsidRPr="001803B1">
        <w:rPr>
          <w:rtl/>
        </w:rPr>
        <w:tab/>
        <w:t>السيد Erzhan Meiramov (كازاخستان)</w:t>
      </w:r>
    </w:p>
    <w:p w14:paraId="4883389C" w14:textId="77777777" w:rsidR="00586F6A" w:rsidRPr="001803B1" w:rsidRDefault="00586F6A" w:rsidP="00750D93">
      <w:pPr>
        <w:pStyle w:val="enumlev1"/>
        <w:rPr>
          <w:rtl/>
        </w:rPr>
      </w:pPr>
      <w:r w:rsidRPr="001803B1">
        <w:rPr>
          <w:lang w:bidi="ar-EG"/>
        </w:rPr>
        <w:t>–</w:t>
      </w:r>
      <w:r w:rsidRPr="001803B1">
        <w:rPr>
          <w:rtl/>
        </w:rPr>
        <w:tab/>
        <w:t>السيد Szabolcs Szentleleky (هنغاريا).</w:t>
      </w:r>
    </w:p>
    <w:p w14:paraId="6D1F85EC" w14:textId="6E032C9F" w:rsidR="00586F6A" w:rsidRPr="001803B1" w:rsidRDefault="00586F6A" w:rsidP="00586F6A">
      <w:pPr>
        <w:rPr>
          <w:rtl/>
        </w:rPr>
      </w:pPr>
      <w:r w:rsidRPr="001803B1">
        <w:rPr>
          <w:rtl/>
        </w:rPr>
        <w:t>5</w:t>
      </w:r>
      <w:r w:rsidRPr="001803B1">
        <w:rPr>
          <w:rtl/>
        </w:rPr>
        <w:tab/>
        <w:t xml:space="preserve">وترأس الاجتماع العشرين للفريق </w:t>
      </w:r>
      <w:r w:rsidRPr="001803B1">
        <w:rPr>
          <w:lang w:bidi="ar-EG"/>
        </w:rPr>
        <w:t>CWG-FHR</w:t>
      </w:r>
      <w:r w:rsidRPr="001803B1">
        <w:rPr>
          <w:rtl/>
        </w:rPr>
        <w:t xml:space="preserve"> السيد Szabolcs Szentleleky (هنغاريا) في غياب السيدة</w:t>
      </w:r>
      <w:r w:rsidR="00750D93" w:rsidRPr="001803B1">
        <w:rPr>
          <w:rFonts w:hint="cs"/>
          <w:rtl/>
        </w:rPr>
        <w:t> </w:t>
      </w:r>
      <w:r w:rsidRPr="001803B1">
        <w:rPr>
          <w:rtl/>
        </w:rPr>
        <w:t>فيرنيتا د. هاريس (الولايات المتحدة الأمريكية) وساعده خمسة نواب للرئيسة على النحو التالي:</w:t>
      </w:r>
    </w:p>
    <w:p w14:paraId="6D6192FC" w14:textId="77777777" w:rsidR="00586F6A" w:rsidRPr="001803B1" w:rsidRDefault="00586F6A" w:rsidP="00750D93">
      <w:pPr>
        <w:pStyle w:val="enumlev1"/>
        <w:rPr>
          <w:rtl/>
        </w:rPr>
      </w:pPr>
      <w:r w:rsidRPr="001803B1">
        <w:rPr>
          <w:lang w:bidi="ar-EG"/>
        </w:rPr>
        <w:t>–</w:t>
      </w:r>
      <w:r w:rsidRPr="001803B1">
        <w:rPr>
          <w:rtl/>
        </w:rPr>
        <w:tab/>
        <w:t>السيدة Seynabou Cisse Seck (السنغال)</w:t>
      </w:r>
    </w:p>
    <w:p w14:paraId="5350CF3F" w14:textId="77777777" w:rsidR="00586F6A" w:rsidRPr="001803B1" w:rsidRDefault="00586F6A" w:rsidP="00750D93">
      <w:pPr>
        <w:pStyle w:val="enumlev1"/>
        <w:rPr>
          <w:rtl/>
        </w:rPr>
      </w:pPr>
      <w:r w:rsidRPr="001803B1">
        <w:rPr>
          <w:lang w:bidi="ar-EG"/>
        </w:rPr>
        <w:t>–</w:t>
      </w:r>
      <w:r w:rsidRPr="001803B1">
        <w:rPr>
          <w:rtl/>
        </w:rPr>
        <w:tab/>
        <w:t>السيد Ronaldo Moura (البرازيل)</w:t>
      </w:r>
    </w:p>
    <w:p w14:paraId="5E2B8DE9" w14:textId="22C58BF4" w:rsidR="00586F6A" w:rsidRPr="001803B1" w:rsidRDefault="00586F6A" w:rsidP="001D712E">
      <w:pPr>
        <w:pStyle w:val="enumlev1"/>
        <w:rPr>
          <w:rtl/>
        </w:rPr>
      </w:pPr>
      <w:r w:rsidRPr="001803B1">
        <w:rPr>
          <w:lang w:bidi="ar-EG"/>
        </w:rPr>
        <w:t>–</w:t>
      </w:r>
      <w:r w:rsidRPr="001803B1">
        <w:rPr>
          <w:rtl/>
        </w:rPr>
        <w:tab/>
        <w:t xml:space="preserve">السيدة </w:t>
      </w:r>
      <w:r w:rsidR="001D712E" w:rsidRPr="001803B1">
        <w:rPr>
          <w:rtl/>
          <w:lang w:bidi="ar-SA"/>
        </w:rPr>
        <w:t xml:space="preserve">نهى جعفر </w:t>
      </w:r>
      <w:r w:rsidRPr="001803B1">
        <w:rPr>
          <w:rtl/>
        </w:rPr>
        <w:t>(مصر)</w:t>
      </w:r>
    </w:p>
    <w:p w14:paraId="47EFFE4F" w14:textId="0AD3C9AC" w:rsidR="00586F6A" w:rsidRPr="001803B1" w:rsidRDefault="00586F6A" w:rsidP="00750D93">
      <w:pPr>
        <w:pStyle w:val="enumlev1"/>
        <w:rPr>
          <w:rtl/>
        </w:rPr>
      </w:pPr>
      <w:r w:rsidRPr="001803B1">
        <w:rPr>
          <w:lang w:bidi="ar-EG"/>
        </w:rPr>
        <w:t>–</w:t>
      </w:r>
      <w:r w:rsidRPr="001803B1">
        <w:rPr>
          <w:rtl/>
        </w:rPr>
        <w:tab/>
        <w:t>منطقة آسيا والمحيط الهادئ - شاغر</w:t>
      </w:r>
    </w:p>
    <w:p w14:paraId="5CFBEE4B" w14:textId="5B143358" w:rsidR="00586F6A" w:rsidRPr="001803B1" w:rsidRDefault="00586F6A" w:rsidP="00750D93">
      <w:pPr>
        <w:pStyle w:val="enumlev1"/>
        <w:rPr>
          <w:rtl/>
        </w:rPr>
      </w:pPr>
      <w:r w:rsidRPr="001803B1">
        <w:rPr>
          <w:lang w:bidi="ar-EG"/>
        </w:rPr>
        <w:t>–</w:t>
      </w:r>
      <w:r w:rsidRPr="001803B1">
        <w:rPr>
          <w:rtl/>
        </w:rPr>
        <w:tab/>
        <w:t>السيد Erzhan Meiramov (كازاخستان) (غائب)</w:t>
      </w:r>
      <w:r w:rsidR="001D712E" w:rsidRPr="001803B1">
        <w:rPr>
          <w:rFonts w:hint="cs"/>
          <w:rtl/>
        </w:rPr>
        <w:t>.</w:t>
      </w:r>
    </w:p>
    <w:p w14:paraId="47F1AC08" w14:textId="44579578" w:rsidR="00586F6A" w:rsidRPr="001803B1" w:rsidRDefault="00586F6A" w:rsidP="00750D93">
      <w:pPr>
        <w:pageBreakBefore/>
        <w:rPr>
          <w:rtl/>
        </w:rPr>
      </w:pPr>
      <w:r w:rsidRPr="001803B1">
        <w:rPr>
          <w:rtl/>
        </w:rPr>
        <w:lastRenderedPageBreak/>
        <w:t>6</w:t>
      </w:r>
      <w:r w:rsidRPr="001803B1">
        <w:rPr>
          <w:rtl/>
        </w:rPr>
        <w:tab/>
        <w:t xml:space="preserve">وعُقد الاجتماعان الحادي والعشرون والثاني والعشرون للفريق </w:t>
      </w:r>
      <w:r w:rsidRPr="001803B1">
        <w:rPr>
          <w:lang w:bidi="ar-EG"/>
        </w:rPr>
        <w:t>CWG-FHR</w:t>
      </w:r>
      <w:r w:rsidRPr="001803B1">
        <w:rPr>
          <w:rtl/>
        </w:rPr>
        <w:t xml:space="preserve"> برئاسة السيدة فيرنيتا د. هاريس (الولايات المتحدة الأمريكية) بمساعدة </w:t>
      </w:r>
      <w:r w:rsidR="001D712E" w:rsidRPr="001803B1">
        <w:rPr>
          <w:rFonts w:hint="cs"/>
          <w:rtl/>
        </w:rPr>
        <w:t>ستة</w:t>
      </w:r>
      <w:r w:rsidRPr="001803B1">
        <w:rPr>
          <w:rtl/>
        </w:rPr>
        <w:t xml:space="preserve"> نواب للرئيسة، على النحو التالي:</w:t>
      </w:r>
    </w:p>
    <w:p w14:paraId="1D618141" w14:textId="77777777" w:rsidR="00586F6A" w:rsidRPr="001803B1" w:rsidRDefault="00586F6A" w:rsidP="00750D93">
      <w:pPr>
        <w:pStyle w:val="enumlev1"/>
        <w:rPr>
          <w:rtl/>
        </w:rPr>
      </w:pPr>
      <w:r w:rsidRPr="001803B1">
        <w:rPr>
          <w:lang w:bidi="ar-EG"/>
        </w:rPr>
        <w:t>–</w:t>
      </w:r>
      <w:r w:rsidRPr="001803B1">
        <w:rPr>
          <w:rtl/>
        </w:rPr>
        <w:tab/>
        <w:t>السيدة Seynabou Cisse Seck (السنغال)</w:t>
      </w:r>
    </w:p>
    <w:p w14:paraId="40A865FE" w14:textId="77777777" w:rsidR="00586F6A" w:rsidRPr="001803B1" w:rsidRDefault="00586F6A" w:rsidP="00750D93">
      <w:pPr>
        <w:pStyle w:val="enumlev1"/>
        <w:rPr>
          <w:rtl/>
        </w:rPr>
      </w:pPr>
      <w:r w:rsidRPr="001803B1">
        <w:rPr>
          <w:lang w:bidi="ar-EG"/>
        </w:rPr>
        <w:t>–</w:t>
      </w:r>
      <w:r w:rsidRPr="001803B1">
        <w:rPr>
          <w:rtl/>
        </w:rPr>
        <w:tab/>
        <w:t>السيد Ronaldo Moura (البرازيل)</w:t>
      </w:r>
    </w:p>
    <w:p w14:paraId="175D90C6" w14:textId="1D8C7D80" w:rsidR="00586F6A" w:rsidRPr="001803B1" w:rsidRDefault="00586F6A" w:rsidP="001D712E">
      <w:pPr>
        <w:pStyle w:val="enumlev1"/>
        <w:rPr>
          <w:rtl/>
        </w:rPr>
      </w:pPr>
      <w:r w:rsidRPr="001803B1">
        <w:rPr>
          <w:lang w:bidi="ar-EG"/>
        </w:rPr>
        <w:t>–</w:t>
      </w:r>
      <w:r w:rsidRPr="001803B1">
        <w:rPr>
          <w:rtl/>
        </w:rPr>
        <w:tab/>
        <w:t xml:space="preserve">السيدة </w:t>
      </w:r>
      <w:r w:rsidR="001D712E" w:rsidRPr="001803B1">
        <w:rPr>
          <w:rtl/>
          <w:lang w:bidi="ar-SA"/>
        </w:rPr>
        <w:t xml:space="preserve">نهى جعفر </w:t>
      </w:r>
      <w:r w:rsidRPr="001803B1">
        <w:rPr>
          <w:rtl/>
        </w:rPr>
        <w:t>(مصر)</w:t>
      </w:r>
    </w:p>
    <w:p w14:paraId="7B87CB0D" w14:textId="77777777" w:rsidR="00586F6A" w:rsidRPr="001803B1" w:rsidRDefault="00586F6A" w:rsidP="00750D93">
      <w:pPr>
        <w:pStyle w:val="enumlev1"/>
        <w:rPr>
          <w:rtl/>
        </w:rPr>
      </w:pPr>
      <w:r w:rsidRPr="001803B1">
        <w:rPr>
          <w:lang w:bidi="ar-EG"/>
        </w:rPr>
        <w:t>–</w:t>
      </w:r>
      <w:r w:rsidRPr="001803B1">
        <w:rPr>
          <w:rtl/>
        </w:rPr>
        <w:tab/>
        <w:t>السيدة Minjung Park (جمهورية كوريا الجنوبية)</w:t>
      </w:r>
    </w:p>
    <w:p w14:paraId="2385AABC" w14:textId="03DD51DE" w:rsidR="00586F6A" w:rsidRPr="001803B1" w:rsidRDefault="00586F6A" w:rsidP="00750D93">
      <w:pPr>
        <w:pStyle w:val="enumlev1"/>
        <w:rPr>
          <w:rtl/>
        </w:rPr>
      </w:pPr>
      <w:r w:rsidRPr="001803B1">
        <w:rPr>
          <w:lang w:bidi="ar-EG"/>
        </w:rPr>
        <w:t>–</w:t>
      </w:r>
      <w:r w:rsidRPr="001803B1">
        <w:rPr>
          <w:rtl/>
        </w:rPr>
        <w:tab/>
        <w:t>السيد Erzhan Meiramov (كازاخستان)</w:t>
      </w:r>
    </w:p>
    <w:p w14:paraId="59F3AF42" w14:textId="18B03934" w:rsidR="00586F6A" w:rsidRPr="001803B1" w:rsidRDefault="00586F6A" w:rsidP="00750D93">
      <w:pPr>
        <w:pStyle w:val="enumlev1"/>
        <w:rPr>
          <w:rtl/>
        </w:rPr>
      </w:pPr>
      <w:r w:rsidRPr="001803B1">
        <w:rPr>
          <w:lang w:bidi="ar-EG"/>
        </w:rPr>
        <w:t>–</w:t>
      </w:r>
      <w:r w:rsidRPr="001803B1">
        <w:rPr>
          <w:rtl/>
        </w:rPr>
        <w:tab/>
        <w:t>السيد Szabolcs Szentleleky (هنغاريا)</w:t>
      </w:r>
      <w:r w:rsidR="001D712E" w:rsidRPr="001803B1">
        <w:rPr>
          <w:rFonts w:hint="cs"/>
          <w:rtl/>
        </w:rPr>
        <w:t>.</w:t>
      </w:r>
    </w:p>
    <w:p w14:paraId="74976352" w14:textId="75649FFF" w:rsidR="00586F6A" w:rsidRPr="001803B1" w:rsidRDefault="001D712E" w:rsidP="00750D93">
      <w:pPr>
        <w:pStyle w:val="Heading1"/>
        <w:rPr>
          <w:rtl/>
        </w:rPr>
      </w:pPr>
      <w:r w:rsidRPr="001803B1">
        <w:rPr>
          <w:rFonts w:hint="cs"/>
          <w:rtl/>
          <w:lang w:bidi="ar-EG"/>
        </w:rPr>
        <w:t>ثانياً</w:t>
      </w:r>
      <w:r w:rsidR="00586F6A" w:rsidRPr="001803B1">
        <w:rPr>
          <w:rtl/>
        </w:rPr>
        <w:tab/>
        <w:t xml:space="preserve">أنشطة فريق العمل التابع للمجلس والمعني بالموارد المالية والبشرية </w:t>
      </w:r>
      <w:r w:rsidR="00586F6A" w:rsidRPr="001803B1">
        <w:rPr>
          <w:lang w:bidi="ar-EG"/>
        </w:rPr>
        <w:t>(CWG-FHR)</w:t>
      </w:r>
    </w:p>
    <w:p w14:paraId="6ECA33A7" w14:textId="44B4FDF3" w:rsidR="00586F6A" w:rsidRPr="001803B1" w:rsidRDefault="00586F6A" w:rsidP="00586F6A">
      <w:pPr>
        <w:rPr>
          <w:rtl/>
        </w:rPr>
      </w:pPr>
      <w:r w:rsidRPr="001803B1">
        <w:rPr>
          <w:rtl/>
        </w:rPr>
        <w:t>7</w:t>
      </w:r>
      <w:r w:rsidRPr="001803B1">
        <w:rPr>
          <w:rtl/>
        </w:rPr>
        <w:tab/>
        <w:t xml:space="preserve">ترد النتائج الرئيسية للاجتماع السادس عشر للفريق </w:t>
      </w:r>
      <w:r w:rsidRPr="001803B1">
        <w:rPr>
          <w:lang w:bidi="ar-EG"/>
        </w:rPr>
        <w:t>CWG-FHR</w:t>
      </w:r>
      <w:r w:rsidRPr="001803B1">
        <w:rPr>
          <w:rtl/>
        </w:rPr>
        <w:t>، الذي عُقد في الفترة من 11 إلى 13 أكتوبر 2023 في العنوان التالي</w:t>
      </w:r>
      <w:r w:rsidRPr="001803B1">
        <w:rPr>
          <w:lang w:bidi="ar-EG"/>
        </w:rPr>
        <w:t>:</w:t>
      </w:r>
      <w:r w:rsidRPr="001803B1">
        <w:rPr>
          <w:rtl/>
        </w:rPr>
        <w:t xml:space="preserve"> </w:t>
      </w:r>
      <w:hyperlink r:id="rId12" w:history="1">
        <w:r w:rsidRPr="001803B1">
          <w:rPr>
            <w:rStyle w:val="Hyperlink"/>
            <w:noProof w:val="0"/>
            <w:lang w:val="en-US" w:eastAsia="zh-CN" w:bidi="ar-EG"/>
          </w:rPr>
          <w:t>http://www.itu.int/md/S23-CWGFHR16-C-0026/en</w:t>
        </w:r>
      </w:hyperlink>
    </w:p>
    <w:p w14:paraId="5E2C790A" w14:textId="6348BB59" w:rsidR="00586F6A" w:rsidRPr="001803B1" w:rsidRDefault="00586F6A" w:rsidP="00586F6A">
      <w:pPr>
        <w:rPr>
          <w:rtl/>
        </w:rPr>
      </w:pPr>
      <w:r w:rsidRPr="001803B1">
        <w:rPr>
          <w:rtl/>
        </w:rPr>
        <w:t>8</w:t>
      </w:r>
      <w:r w:rsidRPr="001803B1">
        <w:rPr>
          <w:rtl/>
        </w:rPr>
        <w:tab/>
        <w:t xml:space="preserve">ترد النتائج الرئيسية للاجتماع السابع عشر للفريق </w:t>
      </w:r>
      <w:r w:rsidRPr="001803B1">
        <w:rPr>
          <w:lang w:bidi="ar-EG"/>
        </w:rPr>
        <w:t>CWG-FHR</w:t>
      </w:r>
      <w:r w:rsidRPr="001803B1">
        <w:rPr>
          <w:rtl/>
        </w:rPr>
        <w:t xml:space="preserve">، الذي عُقد في الفترة من 24 إلى 26 يناير 2024 في العنوان </w:t>
      </w:r>
      <w:r w:rsidR="002728EC" w:rsidRPr="001803B1">
        <w:rPr>
          <w:rFonts w:hint="cs"/>
          <w:rtl/>
        </w:rPr>
        <w:t xml:space="preserve">التالي: </w:t>
      </w:r>
      <w:hyperlink r:id="rId13" w:history="1">
        <w:r w:rsidR="002728EC" w:rsidRPr="001803B1">
          <w:rPr>
            <w:rStyle w:val="Hyperlink"/>
            <w:noProof w:val="0"/>
            <w:lang w:val="en-US" w:eastAsia="zh-CN" w:bidi="ar-EG"/>
          </w:rPr>
          <w:t>http://www.itu.int/md/S24-CWGFHR17-C-0024/en</w:t>
        </w:r>
      </w:hyperlink>
    </w:p>
    <w:p w14:paraId="6B2C59B5" w14:textId="21898BE2" w:rsidR="00586F6A" w:rsidRPr="001803B1" w:rsidRDefault="00586F6A" w:rsidP="00586F6A">
      <w:pPr>
        <w:rPr>
          <w:rtl/>
        </w:rPr>
      </w:pPr>
      <w:r w:rsidRPr="001803B1">
        <w:rPr>
          <w:rtl/>
        </w:rPr>
        <w:t>9</w:t>
      </w:r>
      <w:r w:rsidRPr="001803B1">
        <w:rPr>
          <w:rtl/>
        </w:rPr>
        <w:tab/>
        <w:t xml:space="preserve">ترد النتائج الرئيسية للاجتماع الثامن عشر للفريق </w:t>
      </w:r>
      <w:r w:rsidRPr="001803B1">
        <w:rPr>
          <w:lang w:bidi="ar-EG"/>
        </w:rPr>
        <w:t>CWG-FHR</w:t>
      </w:r>
      <w:r w:rsidRPr="001803B1">
        <w:rPr>
          <w:rtl/>
        </w:rPr>
        <w:t xml:space="preserve">، الذي عُقد في 3 يونيو 2024 في العنوان </w:t>
      </w:r>
      <w:r w:rsidR="002728EC" w:rsidRPr="001803B1">
        <w:rPr>
          <w:rFonts w:hint="cs"/>
          <w:rtl/>
        </w:rPr>
        <w:t xml:space="preserve">التالي: </w:t>
      </w:r>
      <w:r w:rsidR="002728EC" w:rsidRPr="001803B1">
        <w:rPr>
          <w:rtl/>
        </w:rPr>
        <w:br/>
      </w:r>
      <w:hyperlink r:id="rId14" w:history="1">
        <w:r w:rsidR="002728EC" w:rsidRPr="001803B1">
          <w:rPr>
            <w:rStyle w:val="Hyperlink"/>
            <w:noProof w:val="0"/>
            <w:lang w:val="en-US" w:eastAsia="zh-CN" w:bidi="ar-EG"/>
          </w:rPr>
          <w:t>http://www.itu.int/md/S24-CWGFHR18-C-0009/en</w:t>
        </w:r>
      </w:hyperlink>
    </w:p>
    <w:p w14:paraId="1F7A763B" w14:textId="52F4EB22" w:rsidR="00586F6A" w:rsidRPr="001803B1" w:rsidRDefault="00586F6A" w:rsidP="00586F6A">
      <w:pPr>
        <w:rPr>
          <w:rtl/>
        </w:rPr>
      </w:pPr>
      <w:r w:rsidRPr="001803B1">
        <w:rPr>
          <w:rtl/>
        </w:rPr>
        <w:t>10</w:t>
      </w:r>
      <w:r w:rsidRPr="001803B1">
        <w:rPr>
          <w:rtl/>
        </w:rPr>
        <w:tab/>
        <w:t xml:space="preserve">ترد النتائج الرئيسية للاجتماع التاسع عشر للفريق </w:t>
      </w:r>
      <w:r w:rsidRPr="001803B1">
        <w:rPr>
          <w:lang w:bidi="ar-EG"/>
        </w:rPr>
        <w:t>CWG-FHR</w:t>
      </w:r>
      <w:r w:rsidRPr="001803B1">
        <w:rPr>
          <w:rtl/>
        </w:rPr>
        <w:t xml:space="preserve">، الذي عُقد في الفترة من 7 إلى 9 أكتوبر 2024 في العنوان </w:t>
      </w:r>
      <w:r w:rsidR="002728EC" w:rsidRPr="001803B1">
        <w:rPr>
          <w:rFonts w:hint="cs"/>
          <w:rtl/>
        </w:rPr>
        <w:t xml:space="preserve">التالي: </w:t>
      </w:r>
      <w:hyperlink r:id="rId15" w:history="1">
        <w:r w:rsidR="002728EC" w:rsidRPr="001803B1">
          <w:rPr>
            <w:rStyle w:val="Hyperlink"/>
            <w:noProof w:val="0"/>
            <w:lang w:val="en-US" w:eastAsia="zh-CN" w:bidi="ar-EG"/>
          </w:rPr>
          <w:t>http://www.itu.int/md/S24-CWGFHR19-C-0015/en</w:t>
        </w:r>
      </w:hyperlink>
    </w:p>
    <w:p w14:paraId="38168A7A" w14:textId="76BC4A56" w:rsidR="00586F6A" w:rsidRPr="001803B1" w:rsidRDefault="00586F6A" w:rsidP="00586F6A">
      <w:pPr>
        <w:rPr>
          <w:rtl/>
        </w:rPr>
      </w:pPr>
      <w:r w:rsidRPr="001803B1">
        <w:rPr>
          <w:rtl/>
        </w:rPr>
        <w:t>11</w:t>
      </w:r>
      <w:r w:rsidRPr="001803B1">
        <w:rPr>
          <w:rtl/>
        </w:rPr>
        <w:tab/>
        <w:t xml:space="preserve">ترد النتائج الرئيسية للاجتماع العشرين للفريق </w:t>
      </w:r>
      <w:r w:rsidRPr="001803B1">
        <w:rPr>
          <w:lang w:bidi="ar-EG"/>
        </w:rPr>
        <w:t>CWG-FHR</w:t>
      </w:r>
      <w:r w:rsidRPr="001803B1">
        <w:rPr>
          <w:rtl/>
        </w:rPr>
        <w:t>، الذي عُقد في الفترة من 17 إلى 19 فبراير 2025 في العنوان التالي</w:t>
      </w:r>
      <w:r w:rsidR="002728EC" w:rsidRPr="001803B1">
        <w:rPr>
          <w:rFonts w:hint="cs"/>
          <w:rtl/>
        </w:rPr>
        <w:t xml:space="preserve">: </w:t>
      </w:r>
      <w:hyperlink r:id="rId16" w:history="1">
        <w:r w:rsidR="002728EC" w:rsidRPr="001803B1">
          <w:rPr>
            <w:rStyle w:val="Hyperlink"/>
            <w:noProof w:val="0"/>
            <w:lang w:val="en-US" w:eastAsia="zh-CN" w:bidi="ar-EG"/>
          </w:rPr>
          <w:t>http://www.itu.int/md/S25-CWGFHR20-C-0032/en</w:t>
        </w:r>
      </w:hyperlink>
    </w:p>
    <w:p w14:paraId="53CB4A61" w14:textId="1A8AE520" w:rsidR="00586F6A" w:rsidRPr="001803B1" w:rsidRDefault="00586F6A" w:rsidP="00586F6A">
      <w:pPr>
        <w:rPr>
          <w:rtl/>
        </w:rPr>
      </w:pPr>
      <w:r w:rsidRPr="001803B1">
        <w:rPr>
          <w:rtl/>
        </w:rPr>
        <w:t>12</w:t>
      </w:r>
      <w:r w:rsidRPr="001803B1">
        <w:rPr>
          <w:rtl/>
        </w:rPr>
        <w:tab/>
        <w:t xml:space="preserve">ترد النتائج الرئيسية للاجتماع الحادي والعشرين للفريق </w:t>
      </w:r>
      <w:r w:rsidRPr="001803B1">
        <w:rPr>
          <w:lang w:bidi="ar-EG"/>
        </w:rPr>
        <w:t>CWG-FHR</w:t>
      </w:r>
      <w:r w:rsidRPr="001803B1">
        <w:rPr>
          <w:rtl/>
        </w:rPr>
        <w:t xml:space="preserve">، الذي عُقد في الفترة من 10 إلى 12 سبتمبر 2025 في العنوان </w:t>
      </w:r>
      <w:r w:rsidR="002728EC" w:rsidRPr="001803B1">
        <w:rPr>
          <w:rFonts w:hint="cs"/>
          <w:rtl/>
        </w:rPr>
        <w:t xml:space="preserve">التالي: </w:t>
      </w:r>
      <w:hyperlink r:id="rId17" w:history="1">
        <w:r w:rsidR="002728EC" w:rsidRPr="001803B1">
          <w:rPr>
            <w:rStyle w:val="Hyperlink"/>
            <w:noProof w:val="0"/>
            <w:lang w:val="en-US" w:eastAsia="zh-CN" w:bidi="ar-EG"/>
          </w:rPr>
          <w:t>http://www.itu.int/md/S25-CWGFHR21-C-0025/en</w:t>
        </w:r>
      </w:hyperlink>
    </w:p>
    <w:p w14:paraId="38F13FD5" w14:textId="3895131D" w:rsidR="00586F6A" w:rsidRPr="001803B1" w:rsidRDefault="00586F6A" w:rsidP="00586F6A">
      <w:pPr>
        <w:rPr>
          <w:rtl/>
        </w:rPr>
      </w:pPr>
      <w:r w:rsidRPr="001803B1">
        <w:rPr>
          <w:rtl/>
        </w:rPr>
        <w:t>13</w:t>
      </w:r>
      <w:r w:rsidRPr="001803B1">
        <w:rPr>
          <w:rtl/>
        </w:rPr>
        <w:tab/>
        <w:t xml:space="preserve">ترد النتائج الرئيسية للاجتماع الثاني والعشرين للفريق </w:t>
      </w:r>
      <w:r w:rsidRPr="001803B1">
        <w:rPr>
          <w:lang w:bidi="ar-EG"/>
        </w:rPr>
        <w:t>CWG-FHR</w:t>
      </w:r>
      <w:r w:rsidRPr="001803B1">
        <w:rPr>
          <w:rtl/>
        </w:rPr>
        <w:t xml:space="preserve">، الذي عُقد في الفترة من 14 إلى 16 يناير 2026 في العنوان </w:t>
      </w:r>
      <w:r w:rsidR="002728EC" w:rsidRPr="001803B1">
        <w:rPr>
          <w:rFonts w:hint="cs"/>
          <w:rtl/>
        </w:rPr>
        <w:t xml:space="preserve">التالي: </w:t>
      </w:r>
      <w:hyperlink r:id="rId18" w:history="1">
        <w:r w:rsidR="002728EC" w:rsidRPr="001803B1">
          <w:rPr>
            <w:rStyle w:val="Hyperlink"/>
            <w:noProof w:val="0"/>
            <w:lang w:val="en-US" w:eastAsia="zh-CN" w:bidi="ar-EG"/>
          </w:rPr>
          <w:t>http://www.itu.int/md/S26-CWGFHR22-C-0036/en</w:t>
        </w:r>
      </w:hyperlink>
    </w:p>
    <w:p w14:paraId="1A2AAAFE" w14:textId="4886BD8A" w:rsidR="00586F6A" w:rsidRPr="001803B1" w:rsidRDefault="001D712E" w:rsidP="00750D93">
      <w:pPr>
        <w:pStyle w:val="Heading1"/>
        <w:rPr>
          <w:rtl/>
        </w:rPr>
      </w:pPr>
      <w:r w:rsidRPr="001803B1">
        <w:rPr>
          <w:rFonts w:hint="cs"/>
          <w:rtl/>
          <w:lang w:bidi="ar-EG"/>
        </w:rPr>
        <w:t>ثالثاً</w:t>
      </w:r>
      <w:r w:rsidR="00586F6A" w:rsidRPr="001803B1">
        <w:rPr>
          <w:rtl/>
        </w:rPr>
        <w:tab/>
        <w:t>توصيات إلى مؤتمر المندوبين المفوضين لعام 2026</w:t>
      </w:r>
    </w:p>
    <w:p w14:paraId="71EE993A" w14:textId="539ADCA6" w:rsidR="00586F6A" w:rsidRPr="001803B1" w:rsidRDefault="00586F6A" w:rsidP="00BE7075">
      <w:pPr>
        <w:rPr>
          <w:rtl/>
        </w:rPr>
      </w:pPr>
      <w:r w:rsidRPr="001803B1">
        <w:rPr>
          <w:rtl/>
        </w:rPr>
        <w:t>14</w:t>
      </w:r>
      <w:r w:rsidRPr="001803B1">
        <w:rPr>
          <w:rtl/>
        </w:rPr>
        <w:tab/>
        <w:t xml:space="preserve">يُدعى المجلس إلى النظر في تقرير فترة الأربع سنوات المقدم من رئيسة فريق العمل التابع للمجلس والمعني بالموارد المالية والبشرية </w:t>
      </w:r>
      <w:r w:rsidRPr="001803B1">
        <w:rPr>
          <w:lang w:bidi="ar-EG"/>
        </w:rPr>
        <w:t>(CWG-FHR)</w:t>
      </w:r>
      <w:r w:rsidRPr="001803B1">
        <w:rPr>
          <w:rtl/>
        </w:rPr>
        <w:t xml:space="preserve"> وتوصية مؤتمر المندوبين المفوضين لعام 2026 (PP-26) بمواصلة أنشطة الفريق </w:t>
      </w:r>
      <w:r w:rsidRPr="001803B1">
        <w:rPr>
          <w:lang w:bidi="ar-EG"/>
        </w:rPr>
        <w:t>CWG-FHR</w:t>
      </w:r>
      <w:r w:rsidRPr="001803B1">
        <w:rPr>
          <w:rtl/>
        </w:rPr>
        <w:t xml:space="preserve"> خلال السنوات الأربع القادمة. وبالإضافة إلى ذلك، واستناداً إلى التوجيه الوارد في مقرر المجلس</w:t>
      </w:r>
      <w:r w:rsidR="00750D93" w:rsidRPr="001803B1">
        <w:rPr>
          <w:rFonts w:hint="cs"/>
          <w:rtl/>
        </w:rPr>
        <w:t> </w:t>
      </w:r>
      <w:r w:rsidRPr="001803B1">
        <w:rPr>
          <w:rtl/>
        </w:rPr>
        <w:t xml:space="preserve">563 </w:t>
      </w:r>
      <w:r w:rsidR="00BE7075" w:rsidRPr="001803B1">
        <w:rPr>
          <w:rtl/>
        </w:rPr>
        <w:t xml:space="preserve">بشأن اختصاصات </w:t>
      </w:r>
      <w:r w:rsidR="00630CC1" w:rsidRPr="001803B1">
        <w:rPr>
          <w:rFonts w:hint="cs"/>
          <w:rtl/>
        </w:rPr>
        <w:t>ال</w:t>
      </w:r>
      <w:r w:rsidR="00BE7075" w:rsidRPr="001803B1">
        <w:rPr>
          <w:rtl/>
        </w:rPr>
        <w:t xml:space="preserve">فريق </w:t>
      </w:r>
      <w:r w:rsidR="00BE7075" w:rsidRPr="001803B1">
        <w:rPr>
          <w:lang w:val="en-CA"/>
        </w:rPr>
        <w:t>CWG-FHR</w:t>
      </w:r>
      <w:r w:rsidR="00630CC1" w:rsidRPr="001803B1">
        <w:rPr>
          <w:rFonts w:hint="cs"/>
          <w:rtl/>
          <w:lang w:val="en-CA"/>
        </w:rPr>
        <w:t xml:space="preserve"> </w:t>
      </w:r>
      <w:r w:rsidRPr="001803B1">
        <w:rPr>
          <w:rtl/>
        </w:rPr>
        <w:t>باستعراض المقترحات ذات الصلة وتقديمها إلى المجلس، يُقترح أن ينظر المجلس في توصيات إضافية</w:t>
      </w:r>
      <w:r w:rsidR="00BE7075" w:rsidRPr="001803B1">
        <w:rPr>
          <w:rFonts w:hint="cs"/>
          <w:rtl/>
          <w:lang w:bidi="ar-EG"/>
        </w:rPr>
        <w:t xml:space="preserve"> </w:t>
      </w:r>
      <w:r w:rsidR="00BE7075" w:rsidRPr="001803B1">
        <w:rPr>
          <w:rtl/>
        </w:rPr>
        <w:t>من الدورة الممتدة لأربع سنوات</w:t>
      </w:r>
      <w:r w:rsidRPr="001803B1">
        <w:rPr>
          <w:rtl/>
        </w:rPr>
        <w:t>، بما في ذلك</w:t>
      </w:r>
      <w:r w:rsidRPr="001803B1">
        <w:rPr>
          <w:lang w:bidi="ar-EG"/>
        </w:rPr>
        <w:t>:</w:t>
      </w:r>
      <w:r w:rsidRPr="001803B1">
        <w:rPr>
          <w:rtl/>
        </w:rPr>
        <w:t xml:space="preserve"> </w:t>
      </w:r>
    </w:p>
    <w:p w14:paraId="697946CC" w14:textId="77777777" w:rsidR="00586F6A" w:rsidRPr="001803B1" w:rsidRDefault="00586F6A" w:rsidP="00750D93">
      <w:pPr>
        <w:pStyle w:val="enumlev1"/>
        <w:rPr>
          <w:rtl/>
        </w:rPr>
      </w:pPr>
      <w:r w:rsidRPr="001803B1">
        <w:rPr>
          <w:lang w:bidi="ar-EG"/>
        </w:rPr>
        <w:t>–</w:t>
      </w:r>
      <w:r w:rsidRPr="001803B1">
        <w:rPr>
          <w:rtl/>
        </w:rPr>
        <w:tab/>
        <w:t xml:space="preserve">استناداً إلى نظر الفريق </w:t>
      </w:r>
      <w:r w:rsidRPr="001803B1">
        <w:rPr>
          <w:lang w:bidi="ar-EG"/>
        </w:rPr>
        <w:t>CWG-FHR</w:t>
      </w:r>
      <w:r w:rsidRPr="001803B1">
        <w:rPr>
          <w:rtl/>
        </w:rPr>
        <w:t xml:space="preserve"> في منهجيات لمساعدة الدول الأعضاء في إعداد "تقديرات التكاليف" للمقترحات المقدمة إلى مؤتمرات الاتحاد وجمعياته، يوصي بأن ينظر المجلس في دعوة مؤتمر المندوبين المفوضين لعام 2026 إلى دراسة أو مراجعة المادة 34 من اتفاقية الاتحاد وتقديم توجيهات إلى الدول الأعضاء بشأن كيفية أخذها في الاعتبار عند تقديم مقترحات.</w:t>
      </w:r>
    </w:p>
    <w:p w14:paraId="6C9DDC58" w14:textId="078E5541" w:rsidR="00586F6A" w:rsidRPr="001803B1" w:rsidRDefault="00586F6A" w:rsidP="00750D93">
      <w:pPr>
        <w:pStyle w:val="enumlev1"/>
        <w:rPr>
          <w:rtl/>
        </w:rPr>
      </w:pPr>
      <w:r w:rsidRPr="001803B1">
        <w:rPr>
          <w:lang w:bidi="ar-EG"/>
        </w:rPr>
        <w:t>–</w:t>
      </w:r>
      <w:r w:rsidRPr="001803B1">
        <w:rPr>
          <w:rtl/>
        </w:rPr>
        <w:tab/>
      </w:r>
      <w:r w:rsidRPr="001803B1">
        <w:rPr>
          <w:spacing w:val="-4"/>
          <w:rtl/>
        </w:rPr>
        <w:t xml:space="preserve">استناداً إلى نظر الفريق </w:t>
      </w:r>
      <w:r w:rsidRPr="001803B1">
        <w:rPr>
          <w:spacing w:val="-4"/>
          <w:lang w:bidi="ar-EG"/>
        </w:rPr>
        <w:t>CWG-FHR</w:t>
      </w:r>
      <w:r w:rsidRPr="001803B1">
        <w:rPr>
          <w:spacing w:val="-4"/>
          <w:rtl/>
        </w:rPr>
        <w:t xml:space="preserve"> في القضايا المتعلقة بتنسيق عمل قطاعات الاتحاد الثلاثة والأمانة العامة، يوصي بأن يستعرض المجلس المدخلات المقدمة من الأفرقة الاستشارية للقطاعات، وفريق التنسيق بين القطاعات </w:t>
      </w:r>
      <w:r w:rsidRPr="001803B1">
        <w:rPr>
          <w:spacing w:val="-4"/>
          <w:lang w:bidi="ar-EG"/>
        </w:rPr>
        <w:t>(ISCG)</w:t>
      </w:r>
      <w:r w:rsidRPr="001803B1">
        <w:rPr>
          <w:spacing w:val="-4"/>
          <w:rtl/>
        </w:rPr>
        <w:t xml:space="preserve">، ولجنة التنسيق، والفريق الاستشاري للدول الأعضاء </w:t>
      </w:r>
      <w:r w:rsidRPr="001803B1">
        <w:rPr>
          <w:spacing w:val="-4"/>
          <w:lang w:bidi="ar-EG"/>
        </w:rPr>
        <w:t>(MSAG)</w:t>
      </w:r>
      <w:r w:rsidRPr="001803B1">
        <w:rPr>
          <w:spacing w:val="-4"/>
          <w:rtl/>
        </w:rPr>
        <w:t xml:space="preserve"> لتحسين تنفيذ القرار</w:t>
      </w:r>
      <w:r w:rsidR="00750D93" w:rsidRPr="001803B1">
        <w:rPr>
          <w:rFonts w:hint="cs"/>
          <w:spacing w:val="-4"/>
          <w:rtl/>
        </w:rPr>
        <w:t> </w:t>
      </w:r>
      <w:r w:rsidRPr="001803B1">
        <w:rPr>
          <w:spacing w:val="-4"/>
          <w:rtl/>
        </w:rPr>
        <w:t>191، ويوصي بأن ينظر مؤتمر المندوبين المفوضين لعام 2026 في أخذ هذه المدخلات في الاعتبار من خلال تحديث القرار.</w:t>
      </w:r>
    </w:p>
    <w:p w14:paraId="7F1B0CCF" w14:textId="339F03A0" w:rsidR="00586F6A" w:rsidRPr="001803B1" w:rsidRDefault="00586F6A" w:rsidP="00750D93">
      <w:pPr>
        <w:pStyle w:val="enumlev1"/>
        <w:rPr>
          <w:rtl/>
        </w:rPr>
      </w:pPr>
      <w:r w:rsidRPr="001803B1">
        <w:rPr>
          <w:lang w:bidi="ar-EG"/>
        </w:rPr>
        <w:lastRenderedPageBreak/>
        <w:t>–</w:t>
      </w:r>
      <w:r w:rsidRPr="001803B1">
        <w:rPr>
          <w:rtl/>
        </w:rPr>
        <w:tab/>
        <w:t xml:space="preserve">استناداً إلى مطلب الفريق </w:t>
      </w:r>
      <w:r w:rsidRPr="001803B1">
        <w:rPr>
          <w:lang w:bidi="ar-EG"/>
        </w:rPr>
        <w:t>CWG-FHR</w:t>
      </w:r>
      <w:r w:rsidRPr="001803B1">
        <w:rPr>
          <w:rtl/>
        </w:rPr>
        <w:t xml:space="preserve"> بتسهيل تنفيذ قرارات مؤتمر المندوبين المفوضين ومقرراته بشأن مباني مقر الاتحاد في المستقبل، يوصى بأن يوصي المجلس بتحديث القرار</w:t>
      </w:r>
      <w:r w:rsidR="00750D93" w:rsidRPr="001803B1">
        <w:rPr>
          <w:rFonts w:hint="cs"/>
          <w:rtl/>
        </w:rPr>
        <w:t> </w:t>
      </w:r>
      <w:r w:rsidRPr="001803B1">
        <w:rPr>
          <w:rtl/>
        </w:rPr>
        <w:t xml:space="preserve">212 لمؤتمر المندوبين المفوضين، استناداً إلى تحليل الأمانة لمقررات المجلس 588 و619 و640 من أجل توحيد هذه المقررات وإزالة أوجه التعارض بينها وبين أي توصيات مراجَعة بشأن اصطلاح التسميات المستخدمة في الخطة. </w:t>
      </w:r>
    </w:p>
    <w:p w14:paraId="4BC75051" w14:textId="2D2870BC" w:rsidR="00586F6A" w:rsidRPr="001803B1" w:rsidRDefault="00586F6A" w:rsidP="00750D93">
      <w:pPr>
        <w:pStyle w:val="enumlev1"/>
        <w:rPr>
          <w:rtl/>
        </w:rPr>
      </w:pPr>
      <w:r w:rsidRPr="001803B1">
        <w:rPr>
          <w:lang w:bidi="ar-EG"/>
        </w:rPr>
        <w:t>–</w:t>
      </w:r>
      <w:r w:rsidRPr="001803B1">
        <w:rPr>
          <w:rtl/>
        </w:rPr>
        <w:tab/>
        <w:t xml:space="preserve">تماشياً مع متطلبات استمرارية الأعمال المنصوص عليها في القرار 217 لمؤتمر المندوبين المفوضين، يوصى بأن </w:t>
      </w:r>
      <w:r w:rsidR="00B243B2">
        <w:rPr>
          <w:rFonts w:hint="cs"/>
          <w:rtl/>
          <w:lang w:val="en-GB"/>
        </w:rPr>
        <w:t>يوافق</w:t>
      </w:r>
      <w:r w:rsidR="00B243B2" w:rsidRPr="001803B1">
        <w:rPr>
          <w:rtl/>
        </w:rPr>
        <w:t xml:space="preserve"> </w:t>
      </w:r>
      <w:r w:rsidRPr="001803B1">
        <w:rPr>
          <w:rtl/>
        </w:rPr>
        <w:t xml:space="preserve">المجلس في دورته لعام 2026 </w:t>
      </w:r>
      <w:r w:rsidR="00B243B2">
        <w:rPr>
          <w:rFonts w:hint="cs"/>
          <w:rtl/>
        </w:rPr>
        <w:t xml:space="preserve">على </w:t>
      </w:r>
      <w:r w:rsidRPr="001803B1">
        <w:rPr>
          <w:rtl/>
        </w:rPr>
        <w:t xml:space="preserve">تخصيص مبلغ </w:t>
      </w:r>
      <w:r w:rsidR="00750D93" w:rsidRPr="001803B1">
        <w:t>2 782 600</w:t>
      </w:r>
      <w:r w:rsidRPr="001803B1">
        <w:rPr>
          <w:rtl/>
        </w:rPr>
        <w:t xml:space="preserve"> فرنك سويسري</w:t>
      </w:r>
      <w:r w:rsidR="00B243B2">
        <w:rPr>
          <w:rFonts w:hint="cs"/>
          <w:rtl/>
        </w:rPr>
        <w:t xml:space="preserve"> </w:t>
      </w:r>
      <w:r w:rsidRPr="001803B1">
        <w:rPr>
          <w:rtl/>
        </w:rPr>
        <w:t>لصندوق استمرارية الأعمال، وألا يستخدم هذا المبلغ إلا لتغطية تكاليف الاجتماعات التي ستُعقد في جنيف.</w:t>
      </w:r>
    </w:p>
    <w:p w14:paraId="38611BA7" w14:textId="5C28252B" w:rsidR="00586F6A" w:rsidRPr="001803B1" w:rsidRDefault="00586F6A" w:rsidP="00750D93">
      <w:pPr>
        <w:pStyle w:val="enumlev1"/>
        <w:rPr>
          <w:rtl/>
        </w:rPr>
      </w:pPr>
      <w:r w:rsidRPr="001803B1">
        <w:rPr>
          <w:lang w:bidi="ar-EG"/>
        </w:rPr>
        <w:t>–</w:t>
      </w:r>
      <w:r w:rsidRPr="001803B1">
        <w:rPr>
          <w:rtl/>
        </w:rPr>
        <w:tab/>
        <w:t xml:space="preserve">استناداً إلى هدف الفريق </w:t>
      </w:r>
      <w:r w:rsidRPr="001803B1">
        <w:rPr>
          <w:lang w:bidi="ar-EG"/>
        </w:rPr>
        <w:t>CWG-FHR</w:t>
      </w:r>
      <w:r w:rsidRPr="001803B1">
        <w:rPr>
          <w:rtl/>
        </w:rPr>
        <w:t xml:space="preserve"> المتمثل في الحفاظ على صلة وثيقة بإدارة الاتحاد ومجلس الموظفين، فضلاً عن نظره في إدارة الموارد البشرية وتنميتها في الاتحاد وتنفيذ إطار المساءلة في الاتحاد، يُطلب إلى المجلس أن يدرج، ضمن اختصاصات الفريق </w:t>
      </w:r>
      <w:r w:rsidRPr="001803B1">
        <w:rPr>
          <w:lang w:bidi="ar-EG"/>
        </w:rPr>
        <w:t>CWG-FHR</w:t>
      </w:r>
      <w:r w:rsidRPr="001803B1">
        <w:rPr>
          <w:rtl/>
        </w:rPr>
        <w:t>، تقريراً دائماً أو بياناً من مجلس الموظفين، للمساعدة في</w:t>
      </w:r>
      <w:r w:rsidR="00750D93" w:rsidRPr="001803B1">
        <w:rPr>
          <w:rFonts w:hint="cs"/>
          <w:rtl/>
        </w:rPr>
        <w:t> </w:t>
      </w:r>
      <w:r w:rsidRPr="001803B1">
        <w:rPr>
          <w:rtl/>
        </w:rPr>
        <w:t>تعزيز المعارف المؤسسية والاستمرارية.</w:t>
      </w:r>
    </w:p>
    <w:p w14:paraId="006EA28C" w14:textId="77777777" w:rsidR="00586F6A" w:rsidRPr="001803B1" w:rsidRDefault="00586F6A" w:rsidP="00750D93">
      <w:pPr>
        <w:pStyle w:val="enumlev1"/>
        <w:rPr>
          <w:rtl/>
        </w:rPr>
      </w:pPr>
      <w:r w:rsidRPr="001803B1">
        <w:rPr>
          <w:lang w:bidi="ar-EG"/>
        </w:rPr>
        <w:t>–</w:t>
      </w:r>
      <w:r w:rsidRPr="001803B1">
        <w:rPr>
          <w:rtl/>
        </w:rPr>
        <w:tab/>
        <w:t xml:space="preserve">تماشياً مع عمل الفريق </w:t>
      </w:r>
      <w:r w:rsidRPr="001803B1">
        <w:rPr>
          <w:lang w:bidi="ar-EG"/>
        </w:rPr>
        <w:t>CWG-FHR</w:t>
      </w:r>
      <w:r w:rsidRPr="001803B1">
        <w:rPr>
          <w:rtl/>
        </w:rPr>
        <w:t xml:space="preserve"> الرامي إلى إدراج تدابير لخفض النفقات وزيادة الكفاءة، يوصي بأن يُطلع المجلس مؤتمر المندوبين المفوضين لعام 2026 على المخطط الوارد أدناه المتعلق بمناقشة بطاقات التبليغ عن الشبكات الساتلية.</w:t>
      </w:r>
    </w:p>
    <w:p w14:paraId="2F5E9646" w14:textId="19EF2F19" w:rsidR="00586F6A" w:rsidRPr="001803B1" w:rsidRDefault="00586F6A" w:rsidP="00750D93">
      <w:pPr>
        <w:pStyle w:val="enumlev1"/>
        <w:rPr>
          <w:rtl/>
        </w:rPr>
      </w:pPr>
      <w:r w:rsidRPr="001803B1">
        <w:rPr>
          <w:lang w:bidi="ar-EG"/>
        </w:rPr>
        <w:t>–</w:t>
      </w:r>
      <w:r w:rsidRPr="001803B1">
        <w:rPr>
          <w:rtl/>
        </w:rPr>
        <w:tab/>
        <w:t xml:space="preserve">استناداً إلى المقرر 11 لمؤتمر المندوبين المفوضين ونظر الفريق </w:t>
      </w:r>
      <w:r w:rsidRPr="001803B1">
        <w:rPr>
          <w:lang w:bidi="ar-EG"/>
        </w:rPr>
        <w:t>CWG-FHR</w:t>
      </w:r>
      <w:r w:rsidRPr="001803B1">
        <w:rPr>
          <w:rtl/>
        </w:rPr>
        <w:t xml:space="preserve"> في إدارة الموارد البشرية وتنميتها في الاتحاد، يوصي بأن يدعو المجلس مؤتمر المندوبين المفوضين لعام 2026 إلى النظر في تحديث المقرر</w:t>
      </w:r>
      <w:r w:rsidR="00750D93" w:rsidRPr="001803B1">
        <w:rPr>
          <w:rFonts w:hint="cs"/>
          <w:rtl/>
        </w:rPr>
        <w:t> </w:t>
      </w:r>
      <w:r w:rsidRPr="001803B1">
        <w:rPr>
          <w:rtl/>
        </w:rPr>
        <w:t>11 لتضمينه الطريقة التي ينبغي أن تتفاعل بها أفرقة العمل التابعة للمجلس مع موظفي الاتحاد.</w:t>
      </w:r>
      <w:bookmarkStart w:id="0" w:name="_Hlk95297702"/>
    </w:p>
    <w:p w14:paraId="5AB7C4DC" w14:textId="14BF16FC" w:rsidR="00586F6A" w:rsidRPr="001803B1" w:rsidRDefault="00586F6A" w:rsidP="00750D93">
      <w:pPr>
        <w:pStyle w:val="enumlev1"/>
        <w:rPr>
          <w:rtl/>
        </w:rPr>
      </w:pPr>
      <w:r w:rsidRPr="001803B1">
        <w:rPr>
          <w:lang w:bidi="ar-EG"/>
        </w:rPr>
        <w:t>–</w:t>
      </w:r>
      <w:r w:rsidRPr="001803B1">
        <w:rPr>
          <w:rtl/>
        </w:rPr>
        <w:tab/>
        <w:t>استناداً إلى المقرر</w:t>
      </w:r>
      <w:r w:rsidR="00750D93" w:rsidRPr="001803B1">
        <w:rPr>
          <w:rFonts w:hint="cs"/>
          <w:rtl/>
        </w:rPr>
        <w:t> </w:t>
      </w:r>
      <w:r w:rsidRPr="001803B1">
        <w:rPr>
          <w:rtl/>
        </w:rPr>
        <w:t xml:space="preserve">11 لمؤتمر المندوبين المفوضين واختصاصات الفريق </w:t>
      </w:r>
      <w:r w:rsidRPr="001803B1">
        <w:rPr>
          <w:lang w:bidi="ar-EG"/>
        </w:rPr>
        <w:t>CWG-FHR</w:t>
      </w:r>
      <w:r w:rsidRPr="001803B1">
        <w:rPr>
          <w:rtl/>
        </w:rPr>
        <w:t>، يوصي بأن يدعو المجلس مؤتمر المندوبين المفوضين لعام 2026 إلى النظر في تحديث المقرر 11 لينص على وجوب نشر أي ملاحظة افتتاحية يدلي بها أحد المسؤولين المنتخبين في الاتحاد خلال اجتماع أي فريق عمل تابع للمجلس، في</w:t>
      </w:r>
      <w:r w:rsidR="00750D93" w:rsidRPr="001803B1">
        <w:rPr>
          <w:rFonts w:hint="cs"/>
          <w:rtl/>
        </w:rPr>
        <w:t> </w:t>
      </w:r>
      <w:r w:rsidRPr="001803B1">
        <w:rPr>
          <w:rtl/>
        </w:rPr>
        <w:t>شكل وثيقة معلومات، قبل اختتام اجتماع فريق العمل المعني التابع للمجلس.</w:t>
      </w:r>
    </w:p>
    <w:p w14:paraId="01E16DFC" w14:textId="70358002" w:rsidR="00BE7075" w:rsidRPr="001803B1" w:rsidRDefault="00BE7075" w:rsidP="00750D93">
      <w:pPr>
        <w:pStyle w:val="enumlev1"/>
        <w:rPr>
          <w:rtl/>
        </w:rPr>
      </w:pPr>
      <w:r w:rsidRPr="001803B1">
        <w:rPr>
          <w:lang w:bidi="ar-EG"/>
        </w:rPr>
        <w:t>–</w:t>
      </w:r>
      <w:r w:rsidRPr="001803B1">
        <w:rPr>
          <w:rtl/>
        </w:rPr>
        <w:tab/>
        <w:t xml:space="preserve">استناداً إلى المقرر 11 لمؤتمر المندوبين المفوضين واختصاصات الفريق </w:t>
      </w:r>
      <w:r w:rsidRPr="001803B1">
        <w:rPr>
          <w:lang w:bidi="ar-EG"/>
        </w:rPr>
        <w:t>CWG-FHR</w:t>
      </w:r>
      <w:r w:rsidRPr="001803B1">
        <w:rPr>
          <w:rtl/>
        </w:rPr>
        <w:t xml:space="preserve">، يوصى بأن يدعو المجلس مؤتمر المندوبين المفوضين لعام 2026 إلى توضيح أساليب عمل </w:t>
      </w:r>
      <w:r w:rsidR="00257658">
        <w:rPr>
          <w:rFonts w:hint="cs"/>
          <w:rtl/>
        </w:rPr>
        <w:t>أفرقة</w:t>
      </w:r>
      <w:r w:rsidRPr="001803B1">
        <w:rPr>
          <w:rtl/>
        </w:rPr>
        <w:t xml:space="preserve"> العمل ودراسة طرق تعزيز الفريق </w:t>
      </w:r>
      <w:r w:rsidRPr="001803B1">
        <w:rPr>
          <w:lang w:bidi="ar-EG"/>
        </w:rPr>
        <w:t>CWG-FHR</w:t>
      </w:r>
      <w:r w:rsidRPr="001803B1">
        <w:rPr>
          <w:rtl/>
        </w:rPr>
        <w:t xml:space="preserve"> نظراً للوقت المحدود في الاجتماعات بما يتفق مع قرار المجلس 1333 (الصادر في دورة المجلس لعام 2011، والمعدل آخر مرة في دورته لعام 2025).</w:t>
      </w:r>
    </w:p>
    <w:bookmarkEnd w:id="0"/>
    <w:p w14:paraId="57081190" w14:textId="77777777" w:rsidR="00586F6A" w:rsidRPr="001803B1" w:rsidRDefault="00586F6A" w:rsidP="00586F6A">
      <w:pPr>
        <w:rPr>
          <w:lang w:bidi="ar-EG"/>
        </w:rPr>
      </w:pPr>
      <w:r w:rsidRPr="001803B1">
        <w:rPr>
          <w:lang w:bidi="ar-EG"/>
        </w:rPr>
        <w:br w:type="page"/>
      </w:r>
    </w:p>
    <w:p w14:paraId="6B96972E" w14:textId="77777777" w:rsidR="00586F6A" w:rsidRPr="001803B1" w:rsidRDefault="00586F6A" w:rsidP="00750D93">
      <w:pPr>
        <w:pStyle w:val="Headingb"/>
        <w:rPr>
          <w:rtl/>
        </w:rPr>
      </w:pPr>
      <w:r w:rsidRPr="001803B1">
        <w:rPr>
          <w:rtl/>
        </w:rPr>
        <w:lastRenderedPageBreak/>
        <w:t>تجميع تعليقات/أسئلة المندوبين المتعلقة ببطاقات التبليغ عن الشبكات الساتلية في شكل مواضيع</w:t>
      </w:r>
    </w:p>
    <w:p w14:paraId="30253D5E" w14:textId="1BD28477" w:rsidR="00586F6A" w:rsidRPr="001803B1" w:rsidRDefault="00586F6A" w:rsidP="00750D93">
      <w:r w:rsidRPr="001803B1">
        <w:rPr>
          <w:rtl/>
        </w:rPr>
        <w:t xml:space="preserve">يبين المخطط أدناه التعليقات والأسئلة التي أثارها المندوبون خلال الاجتماع الثاني والعشرين لفريق العمل التابع للمجلس والمعني بالموارد المالية والبشرية </w:t>
      </w:r>
      <w:r w:rsidRPr="001803B1">
        <w:rPr>
          <w:lang w:bidi="ar-EG"/>
        </w:rPr>
        <w:t>(CWG-FHR)</w:t>
      </w:r>
      <w:r w:rsidRPr="001803B1">
        <w:rPr>
          <w:rtl/>
        </w:rPr>
        <w:t xml:space="preserve">. وقد أرسلت رئيسة الفريق </w:t>
      </w:r>
      <w:r w:rsidRPr="001803B1">
        <w:rPr>
          <w:lang w:bidi="ar-EG"/>
        </w:rPr>
        <w:t>CWG-FHR</w:t>
      </w:r>
      <w:r w:rsidRPr="001803B1">
        <w:rPr>
          <w:rtl/>
        </w:rPr>
        <w:t xml:space="preserve">، في 15 يناير 2026، هذا المخطط بالبريد الإلكتروني إلى المندوبين المهتمين للحصول على تعقيبات. </w:t>
      </w:r>
    </w:p>
    <w:tbl>
      <w:tblPr>
        <w:tblStyle w:val="TableGrid"/>
        <w:bidiVisual/>
        <w:tblW w:w="5000" w:type="pct"/>
        <w:tblLayout w:type="fixed"/>
        <w:tblLook w:val="04A0" w:firstRow="1" w:lastRow="0" w:firstColumn="1" w:lastColumn="0" w:noHBand="0" w:noVBand="1"/>
      </w:tblPr>
      <w:tblGrid>
        <w:gridCol w:w="1427"/>
        <w:gridCol w:w="3691"/>
        <w:gridCol w:w="3943"/>
      </w:tblGrid>
      <w:tr w:rsidR="00586F6A" w:rsidRPr="001803B1" w14:paraId="462FEE3D" w14:textId="77777777" w:rsidTr="008777D0">
        <w:trPr>
          <w:tblHeader/>
        </w:trPr>
        <w:tc>
          <w:tcPr>
            <w:tcW w:w="787" w:type="pct"/>
            <w:shd w:val="clear" w:color="auto" w:fill="DEEAF6" w:themeFill="accent1" w:themeFillTint="33"/>
          </w:tcPr>
          <w:p w14:paraId="1FB0007D" w14:textId="77777777" w:rsidR="00586F6A" w:rsidRPr="001803B1" w:rsidRDefault="00586F6A" w:rsidP="00750D93">
            <w:pPr>
              <w:pStyle w:val="Tablehead"/>
              <w:rPr>
                <w:rtl/>
              </w:rPr>
            </w:pPr>
            <w:r w:rsidRPr="001803B1">
              <w:rPr>
                <w:rtl/>
              </w:rPr>
              <w:t>الموضوع</w:t>
            </w:r>
          </w:p>
        </w:tc>
        <w:tc>
          <w:tcPr>
            <w:tcW w:w="2037" w:type="pct"/>
            <w:shd w:val="clear" w:color="auto" w:fill="DEEAF6" w:themeFill="accent1" w:themeFillTint="33"/>
          </w:tcPr>
          <w:p w14:paraId="3E0F7DDF" w14:textId="77777777" w:rsidR="00586F6A" w:rsidRPr="001803B1" w:rsidRDefault="00586F6A" w:rsidP="00750D93">
            <w:pPr>
              <w:pStyle w:val="Tablehead"/>
              <w:rPr>
                <w:rtl/>
              </w:rPr>
            </w:pPr>
            <w:r w:rsidRPr="001803B1">
              <w:rPr>
                <w:rtl/>
              </w:rPr>
              <w:t>الآراء/القضايا المعرب عنها</w:t>
            </w:r>
          </w:p>
        </w:tc>
        <w:tc>
          <w:tcPr>
            <w:tcW w:w="2176" w:type="pct"/>
            <w:shd w:val="clear" w:color="auto" w:fill="DEEAF6" w:themeFill="accent1" w:themeFillTint="33"/>
          </w:tcPr>
          <w:p w14:paraId="735CB245" w14:textId="77777777" w:rsidR="00586F6A" w:rsidRPr="001803B1" w:rsidRDefault="00586F6A" w:rsidP="00750D93">
            <w:pPr>
              <w:pStyle w:val="Tablehead"/>
              <w:rPr>
                <w:rtl/>
              </w:rPr>
            </w:pPr>
            <w:r w:rsidRPr="001803B1">
              <w:rPr>
                <w:rtl/>
              </w:rPr>
              <w:t>الأسئلة/القضايا المعلقة</w:t>
            </w:r>
          </w:p>
        </w:tc>
      </w:tr>
      <w:tr w:rsidR="00586F6A" w:rsidRPr="001803B1" w14:paraId="44164CB1" w14:textId="77777777" w:rsidTr="008777D0">
        <w:tc>
          <w:tcPr>
            <w:tcW w:w="5000" w:type="pct"/>
            <w:gridSpan w:val="3"/>
            <w:shd w:val="clear" w:color="auto" w:fill="E7E6E6" w:themeFill="background2"/>
          </w:tcPr>
          <w:p w14:paraId="37D366AA" w14:textId="77777777" w:rsidR="00586F6A" w:rsidRPr="001803B1" w:rsidRDefault="00586F6A" w:rsidP="00750D93">
            <w:pPr>
              <w:pStyle w:val="Tabletexte"/>
              <w:rPr>
                <w:b/>
                <w:bCs/>
                <w:rtl/>
              </w:rPr>
            </w:pPr>
            <w:r w:rsidRPr="001803B1">
              <w:rPr>
                <w:b/>
                <w:bCs/>
                <w:rtl/>
              </w:rPr>
              <w:t>إلى أين يتعين أن يتجه الاتحاد بعد ذلك؟</w:t>
            </w:r>
          </w:p>
        </w:tc>
      </w:tr>
      <w:tr w:rsidR="00586F6A" w:rsidRPr="001803B1" w14:paraId="5633D3BB" w14:textId="77777777" w:rsidTr="008777D0">
        <w:tc>
          <w:tcPr>
            <w:tcW w:w="787" w:type="pct"/>
          </w:tcPr>
          <w:p w14:paraId="26890056" w14:textId="77777777" w:rsidR="00586F6A" w:rsidRPr="001803B1" w:rsidRDefault="00586F6A" w:rsidP="00750D93">
            <w:pPr>
              <w:pStyle w:val="Tabletexte"/>
              <w:rPr>
                <w:lang w:bidi="ar-EG"/>
              </w:rPr>
            </w:pPr>
          </w:p>
        </w:tc>
        <w:tc>
          <w:tcPr>
            <w:tcW w:w="2037" w:type="pct"/>
          </w:tcPr>
          <w:p w14:paraId="70DEBB81" w14:textId="77777777" w:rsidR="00586F6A" w:rsidRPr="001803B1" w:rsidRDefault="00586F6A" w:rsidP="00750D93">
            <w:pPr>
              <w:pStyle w:val="Tabletexte"/>
              <w:rPr>
                <w:rtl/>
              </w:rPr>
            </w:pPr>
            <w:r w:rsidRPr="001803B1">
              <w:rPr>
                <w:rtl/>
              </w:rPr>
              <w:t>يرى الأعضاء عموماً أن رسوم استرداد التكاليف المحصلة (مثل الرسوم المتعلقة ببطاقات التبليغ عن الشبكات الساتلية) ينبغي أن توجه مباشرة لدعم عمل المكتب المقيدة عليه هذه الرسوم وليس إلى الصندوق العام. وينبغي ألا تكون آلية للاسترداد في إطار الميزانية.</w:t>
            </w:r>
          </w:p>
        </w:tc>
        <w:tc>
          <w:tcPr>
            <w:tcW w:w="2176" w:type="pct"/>
          </w:tcPr>
          <w:p w14:paraId="2BCC4305" w14:textId="77777777" w:rsidR="00586F6A" w:rsidRPr="001803B1" w:rsidRDefault="00586F6A" w:rsidP="00750D93">
            <w:pPr>
              <w:pStyle w:val="Tabletexte"/>
              <w:rPr>
                <w:rtl/>
              </w:rPr>
            </w:pPr>
            <w:r w:rsidRPr="001803B1">
              <w:rPr>
                <w:rtl/>
              </w:rPr>
              <w:t>أين يقيد الاتحاد هذه الرسوم حالياً؟</w:t>
            </w:r>
          </w:p>
        </w:tc>
      </w:tr>
      <w:tr w:rsidR="00586F6A" w:rsidRPr="001803B1" w14:paraId="6C74DEFB" w14:textId="77777777" w:rsidTr="008777D0">
        <w:tc>
          <w:tcPr>
            <w:tcW w:w="5000" w:type="pct"/>
            <w:gridSpan w:val="3"/>
            <w:shd w:val="clear" w:color="auto" w:fill="E7E6E6" w:themeFill="background2"/>
          </w:tcPr>
          <w:p w14:paraId="1D4EA0A0" w14:textId="77777777" w:rsidR="00586F6A" w:rsidRPr="001803B1" w:rsidRDefault="00586F6A" w:rsidP="00750D93">
            <w:pPr>
              <w:pStyle w:val="Tabletexte"/>
              <w:rPr>
                <w:b/>
                <w:bCs/>
                <w:rtl/>
              </w:rPr>
            </w:pPr>
            <w:r w:rsidRPr="001803B1">
              <w:rPr>
                <w:b/>
                <w:bCs/>
                <w:rtl/>
              </w:rPr>
              <w:t>بطاقات التبليغ المجانية</w:t>
            </w:r>
          </w:p>
        </w:tc>
      </w:tr>
      <w:tr w:rsidR="00586F6A" w:rsidRPr="001803B1" w14:paraId="78F920CF" w14:textId="77777777" w:rsidTr="008777D0">
        <w:tc>
          <w:tcPr>
            <w:tcW w:w="787" w:type="pct"/>
            <w:vMerge w:val="restart"/>
          </w:tcPr>
          <w:p w14:paraId="5A9B409D" w14:textId="77777777" w:rsidR="00586F6A" w:rsidRPr="001803B1" w:rsidRDefault="00586F6A" w:rsidP="00750D93">
            <w:pPr>
              <w:pStyle w:val="Tabletexte"/>
              <w:rPr>
                <w:lang w:bidi="ar-EG"/>
              </w:rPr>
            </w:pPr>
          </w:p>
        </w:tc>
        <w:tc>
          <w:tcPr>
            <w:tcW w:w="2037" w:type="pct"/>
          </w:tcPr>
          <w:p w14:paraId="110AA393" w14:textId="07BCCE91" w:rsidR="00586F6A" w:rsidRPr="001803B1" w:rsidRDefault="00586F6A" w:rsidP="00750D93">
            <w:pPr>
              <w:pStyle w:val="Tabletexte"/>
              <w:rPr>
                <w:rtl/>
              </w:rPr>
            </w:pPr>
            <w:r w:rsidRPr="001803B1">
              <w:rPr>
                <w:rtl/>
              </w:rPr>
              <w:t>ينبغي تغطية تكاليف بطاقات التبليغ المجانية من مساهمات الدول الأعضاء (بلدان متعددة). ورأى آخرون أن بطاقات التبليغ المجانية ينبغي أن تموَّل من استرداد التكاليف وليس من ميزانية الاتحاد العادية (نتيجة للقرار</w:t>
            </w:r>
            <w:r w:rsidR="00750D93" w:rsidRPr="001803B1">
              <w:rPr>
                <w:rFonts w:hint="cs"/>
                <w:rtl/>
              </w:rPr>
              <w:t> </w:t>
            </w:r>
            <w:r w:rsidRPr="001803B1">
              <w:rPr>
                <w:rtl/>
              </w:rPr>
              <w:t>91</w:t>
            </w:r>
            <w:r w:rsidR="00750D93" w:rsidRPr="001803B1">
              <w:rPr>
                <w:rFonts w:hint="cs"/>
                <w:rtl/>
                <w:lang w:bidi="ar-EG"/>
              </w:rPr>
              <w:t>)</w:t>
            </w:r>
          </w:p>
        </w:tc>
        <w:tc>
          <w:tcPr>
            <w:tcW w:w="2176" w:type="pct"/>
          </w:tcPr>
          <w:p w14:paraId="6031FE64" w14:textId="77777777" w:rsidR="00586F6A" w:rsidRPr="001803B1" w:rsidRDefault="00586F6A" w:rsidP="00750D93">
            <w:pPr>
              <w:pStyle w:val="Tabletexte"/>
              <w:rPr>
                <w:rtl/>
              </w:rPr>
            </w:pPr>
            <w:r w:rsidRPr="001803B1">
              <w:rPr>
                <w:rtl/>
              </w:rPr>
              <w:t>ماذا يترتب على بطاقات التبليغ المجانية وما هي تكلفتها؟ من يدفع ثمن بطاقات التبليغ المجانية الآن؟ هل ينبغي أن يكون لبطاقات التبليغ المجانية حدود تكلفة، ومن يحدد هذه التكلفة؟</w:t>
            </w:r>
          </w:p>
        </w:tc>
      </w:tr>
      <w:tr w:rsidR="00586F6A" w:rsidRPr="001803B1" w14:paraId="5BDDC3AE" w14:textId="77777777" w:rsidTr="008777D0">
        <w:trPr>
          <w:trHeight w:val="735"/>
        </w:trPr>
        <w:tc>
          <w:tcPr>
            <w:tcW w:w="787" w:type="pct"/>
            <w:vMerge/>
          </w:tcPr>
          <w:p w14:paraId="086CA747" w14:textId="77777777" w:rsidR="00586F6A" w:rsidRPr="001803B1" w:rsidRDefault="00586F6A" w:rsidP="00750D93">
            <w:pPr>
              <w:pStyle w:val="Tabletexte"/>
              <w:rPr>
                <w:lang w:bidi="ar-EG"/>
              </w:rPr>
            </w:pPr>
          </w:p>
        </w:tc>
        <w:tc>
          <w:tcPr>
            <w:tcW w:w="2037" w:type="pct"/>
          </w:tcPr>
          <w:p w14:paraId="4B5A0EDB" w14:textId="77777777" w:rsidR="00586F6A" w:rsidRPr="001803B1" w:rsidRDefault="00586F6A" w:rsidP="00750D93">
            <w:pPr>
              <w:pStyle w:val="Tabletexte"/>
              <w:rPr>
                <w:rtl/>
              </w:rPr>
            </w:pPr>
            <w:r w:rsidRPr="001803B1">
              <w:rPr>
                <w:rtl/>
              </w:rPr>
              <w:t>بطاقات التبليغ المجانية من الوظائف الأساسية المنصوص عليها في ولاية الاتحاد (بلدان متعددة).</w:t>
            </w:r>
          </w:p>
        </w:tc>
        <w:tc>
          <w:tcPr>
            <w:tcW w:w="2176" w:type="pct"/>
          </w:tcPr>
          <w:p w14:paraId="58F8CD03" w14:textId="77777777" w:rsidR="00586F6A" w:rsidRPr="001803B1" w:rsidRDefault="00586F6A" w:rsidP="00750D93">
            <w:pPr>
              <w:pStyle w:val="Tabletexte"/>
              <w:rPr>
                <w:rtl/>
              </w:rPr>
            </w:pPr>
            <w:r w:rsidRPr="001803B1">
              <w:rPr>
                <w:rtl/>
              </w:rPr>
              <w:t xml:space="preserve">هل لا يزال الغرض الذي خصصت من أجله بطاقات التبليغ المجانية في الأصل قائماً أم لا؟ </w:t>
            </w:r>
          </w:p>
        </w:tc>
      </w:tr>
      <w:tr w:rsidR="00586F6A" w:rsidRPr="001803B1" w14:paraId="18EC6AEF" w14:textId="77777777" w:rsidTr="008777D0">
        <w:trPr>
          <w:trHeight w:val="615"/>
        </w:trPr>
        <w:tc>
          <w:tcPr>
            <w:tcW w:w="787" w:type="pct"/>
            <w:vMerge/>
          </w:tcPr>
          <w:p w14:paraId="65A8D103" w14:textId="77777777" w:rsidR="00586F6A" w:rsidRPr="001803B1" w:rsidRDefault="00586F6A" w:rsidP="00750D93">
            <w:pPr>
              <w:pStyle w:val="Tabletexte"/>
              <w:rPr>
                <w:lang w:bidi="ar-EG"/>
              </w:rPr>
            </w:pPr>
          </w:p>
        </w:tc>
        <w:tc>
          <w:tcPr>
            <w:tcW w:w="2037" w:type="pct"/>
          </w:tcPr>
          <w:p w14:paraId="18674206" w14:textId="77777777" w:rsidR="00586F6A" w:rsidRPr="001803B1" w:rsidRDefault="00586F6A" w:rsidP="00750D93">
            <w:pPr>
              <w:pStyle w:val="Tabletexte"/>
              <w:rPr>
                <w:rtl/>
              </w:rPr>
            </w:pPr>
            <w:r w:rsidRPr="001803B1">
              <w:rPr>
                <w:rtl/>
              </w:rPr>
              <w:t>لا تراعي بطاقات التبليغ المجانية حالياً اعتبارات البلدان النامية وينبغي أن تظل معمولاً بها، على الأقل، لدعم البلدان النامية.</w:t>
            </w:r>
          </w:p>
        </w:tc>
        <w:tc>
          <w:tcPr>
            <w:tcW w:w="2176" w:type="pct"/>
          </w:tcPr>
          <w:p w14:paraId="4C5CA32A" w14:textId="77777777" w:rsidR="00586F6A" w:rsidRPr="001803B1" w:rsidRDefault="00586F6A" w:rsidP="00750D93">
            <w:pPr>
              <w:pStyle w:val="Tabletexte"/>
              <w:rPr>
                <w:lang w:bidi="ar-EG"/>
              </w:rPr>
            </w:pPr>
          </w:p>
        </w:tc>
      </w:tr>
      <w:tr w:rsidR="00586F6A" w:rsidRPr="001803B1" w14:paraId="1A60212C" w14:textId="77777777" w:rsidTr="008777D0">
        <w:tc>
          <w:tcPr>
            <w:tcW w:w="787" w:type="pct"/>
            <w:vMerge/>
          </w:tcPr>
          <w:p w14:paraId="40CF2326" w14:textId="77777777" w:rsidR="00586F6A" w:rsidRPr="001803B1" w:rsidRDefault="00586F6A" w:rsidP="00750D93">
            <w:pPr>
              <w:pStyle w:val="Tabletexte"/>
              <w:rPr>
                <w:lang w:bidi="ar-EG"/>
              </w:rPr>
            </w:pPr>
          </w:p>
        </w:tc>
        <w:tc>
          <w:tcPr>
            <w:tcW w:w="2037" w:type="pct"/>
          </w:tcPr>
          <w:p w14:paraId="658437DA" w14:textId="77777777" w:rsidR="00586F6A" w:rsidRPr="001803B1" w:rsidRDefault="00586F6A" w:rsidP="00750D93">
            <w:pPr>
              <w:pStyle w:val="Tabletexte"/>
              <w:rPr>
                <w:rtl/>
              </w:rPr>
            </w:pPr>
            <w:r w:rsidRPr="001803B1">
              <w:rPr>
                <w:rtl/>
              </w:rPr>
              <w:t xml:space="preserve">اقتراح بدل بطاقات تبليغ مجانية للمبادرة الإقليمية الساتلية من أجل تحقيق النفاذ المنصف. </w:t>
            </w:r>
          </w:p>
        </w:tc>
        <w:tc>
          <w:tcPr>
            <w:tcW w:w="2176" w:type="pct"/>
          </w:tcPr>
          <w:p w14:paraId="1C5F983D" w14:textId="12212EA1" w:rsidR="00586F6A" w:rsidRPr="001803B1" w:rsidRDefault="00586F6A" w:rsidP="00750D93">
            <w:pPr>
              <w:pStyle w:val="Tabletexte"/>
              <w:rPr>
                <w:rtl/>
              </w:rPr>
            </w:pPr>
            <w:r w:rsidRPr="001803B1">
              <w:rPr>
                <w:rtl/>
              </w:rPr>
              <w:t>هل نحتاج إلى التفريق بين البلدان المتقدمة والبلدان</w:t>
            </w:r>
            <w:r w:rsidR="00750D93" w:rsidRPr="001803B1">
              <w:rPr>
                <w:rFonts w:hint="cs"/>
                <w:rtl/>
              </w:rPr>
              <w:t> </w:t>
            </w:r>
            <w:r w:rsidRPr="001803B1">
              <w:rPr>
                <w:rtl/>
              </w:rPr>
              <w:t>النامية؟</w:t>
            </w:r>
          </w:p>
        </w:tc>
      </w:tr>
      <w:tr w:rsidR="00586F6A" w:rsidRPr="001803B1" w14:paraId="6BF363FC" w14:textId="77777777" w:rsidTr="008777D0">
        <w:tc>
          <w:tcPr>
            <w:tcW w:w="787" w:type="pct"/>
            <w:vMerge/>
          </w:tcPr>
          <w:p w14:paraId="74E5539F" w14:textId="77777777" w:rsidR="00586F6A" w:rsidRPr="001803B1" w:rsidRDefault="00586F6A" w:rsidP="00750D93">
            <w:pPr>
              <w:pStyle w:val="Tabletexte"/>
              <w:rPr>
                <w:lang w:bidi="ar-EG"/>
              </w:rPr>
            </w:pPr>
          </w:p>
        </w:tc>
        <w:tc>
          <w:tcPr>
            <w:tcW w:w="2037" w:type="pct"/>
          </w:tcPr>
          <w:p w14:paraId="1CC5F546" w14:textId="1E069308" w:rsidR="00586F6A" w:rsidRPr="001803B1" w:rsidRDefault="00586F6A" w:rsidP="00750D93">
            <w:pPr>
              <w:pStyle w:val="Tabletexte"/>
              <w:rPr>
                <w:rtl/>
              </w:rPr>
            </w:pPr>
            <w:r w:rsidRPr="001803B1">
              <w:rPr>
                <w:rtl/>
              </w:rPr>
              <w:t>ينبغي تطبيق بطاقات التبليغ المجانية على الأنظمة الساتلية الكاملة. استبعاد بطاقات التبليغ المجانية الخاصة بالتعديلات.</w:t>
            </w:r>
          </w:p>
        </w:tc>
        <w:tc>
          <w:tcPr>
            <w:tcW w:w="2176" w:type="pct"/>
          </w:tcPr>
          <w:p w14:paraId="715F314E" w14:textId="77777777" w:rsidR="00586F6A" w:rsidRPr="001803B1" w:rsidRDefault="00586F6A" w:rsidP="00750D93">
            <w:pPr>
              <w:pStyle w:val="Tabletexte"/>
              <w:rPr>
                <w:lang w:bidi="ar-EG"/>
              </w:rPr>
            </w:pPr>
          </w:p>
        </w:tc>
      </w:tr>
      <w:tr w:rsidR="00586F6A" w:rsidRPr="001803B1" w14:paraId="40835BB4" w14:textId="77777777" w:rsidTr="008777D0">
        <w:tc>
          <w:tcPr>
            <w:tcW w:w="787" w:type="pct"/>
            <w:vMerge/>
          </w:tcPr>
          <w:p w14:paraId="734FB50D" w14:textId="77777777" w:rsidR="00586F6A" w:rsidRPr="001803B1" w:rsidRDefault="00586F6A" w:rsidP="00750D93">
            <w:pPr>
              <w:pStyle w:val="Tabletexte"/>
              <w:rPr>
                <w:lang w:bidi="ar-EG"/>
              </w:rPr>
            </w:pPr>
          </w:p>
        </w:tc>
        <w:tc>
          <w:tcPr>
            <w:tcW w:w="2037" w:type="pct"/>
          </w:tcPr>
          <w:p w14:paraId="53E1B353" w14:textId="77777777" w:rsidR="00586F6A" w:rsidRPr="001803B1" w:rsidRDefault="00586F6A" w:rsidP="00750D93">
            <w:pPr>
              <w:pStyle w:val="Tabletexte"/>
              <w:rPr>
                <w:rtl/>
              </w:rPr>
            </w:pPr>
            <w:r w:rsidRPr="001803B1">
              <w:rPr>
                <w:rtl/>
              </w:rPr>
              <w:t>مواصلة المناقشات المتعلقة ببطاقات التبليغ المجانية من خلال المشاورات مع فريق الخبراء المعني بالمقرر 482.</w:t>
            </w:r>
          </w:p>
        </w:tc>
        <w:tc>
          <w:tcPr>
            <w:tcW w:w="2176" w:type="pct"/>
          </w:tcPr>
          <w:p w14:paraId="14A95DE2" w14:textId="77777777" w:rsidR="00586F6A" w:rsidRPr="001803B1" w:rsidRDefault="00586F6A" w:rsidP="00750D93">
            <w:pPr>
              <w:pStyle w:val="Tabletexte"/>
              <w:rPr>
                <w:lang w:bidi="ar-EG"/>
              </w:rPr>
            </w:pPr>
          </w:p>
        </w:tc>
      </w:tr>
      <w:tr w:rsidR="00586F6A" w:rsidRPr="001803B1" w14:paraId="04EF6C11" w14:textId="77777777" w:rsidTr="008777D0">
        <w:tc>
          <w:tcPr>
            <w:tcW w:w="787" w:type="pct"/>
            <w:vMerge/>
          </w:tcPr>
          <w:p w14:paraId="0A61CF80" w14:textId="77777777" w:rsidR="00586F6A" w:rsidRPr="001803B1" w:rsidRDefault="00586F6A" w:rsidP="00750D93">
            <w:pPr>
              <w:pStyle w:val="Tabletexte"/>
              <w:rPr>
                <w:lang w:bidi="ar-EG"/>
              </w:rPr>
            </w:pPr>
          </w:p>
        </w:tc>
        <w:tc>
          <w:tcPr>
            <w:tcW w:w="2037" w:type="pct"/>
          </w:tcPr>
          <w:p w14:paraId="6562236F" w14:textId="77777777" w:rsidR="00586F6A" w:rsidRPr="001803B1" w:rsidRDefault="00586F6A" w:rsidP="00750D93">
            <w:pPr>
              <w:pStyle w:val="Tabletexte"/>
              <w:rPr>
                <w:rtl/>
              </w:rPr>
            </w:pPr>
            <w:r w:rsidRPr="001803B1">
              <w:rPr>
                <w:rtl/>
              </w:rPr>
              <w:t>اقتراح بأن يرسل الاتحاد رسائل تذكير سنوية إلى البلدان، خاصة البلدان النامية، لاستعمال بطاقات التبليغ المجانية الخاصة بها.</w:t>
            </w:r>
          </w:p>
        </w:tc>
        <w:tc>
          <w:tcPr>
            <w:tcW w:w="2176" w:type="pct"/>
          </w:tcPr>
          <w:p w14:paraId="00F65389" w14:textId="77777777" w:rsidR="00586F6A" w:rsidRPr="001803B1" w:rsidRDefault="00586F6A" w:rsidP="00750D93">
            <w:pPr>
              <w:pStyle w:val="Tabletexte"/>
              <w:rPr>
                <w:lang w:bidi="ar-EG"/>
              </w:rPr>
            </w:pPr>
          </w:p>
        </w:tc>
      </w:tr>
      <w:tr w:rsidR="00586F6A" w:rsidRPr="001803B1" w14:paraId="444E1007" w14:textId="77777777" w:rsidTr="008777D0">
        <w:tc>
          <w:tcPr>
            <w:tcW w:w="787" w:type="pct"/>
            <w:vMerge/>
          </w:tcPr>
          <w:p w14:paraId="70116B9E" w14:textId="77777777" w:rsidR="00586F6A" w:rsidRPr="001803B1" w:rsidRDefault="00586F6A" w:rsidP="00750D93">
            <w:pPr>
              <w:pStyle w:val="Tabletexte"/>
              <w:rPr>
                <w:lang w:bidi="ar-EG"/>
              </w:rPr>
            </w:pPr>
          </w:p>
        </w:tc>
        <w:tc>
          <w:tcPr>
            <w:tcW w:w="2037" w:type="pct"/>
          </w:tcPr>
          <w:p w14:paraId="675A6E83" w14:textId="77777777" w:rsidR="00586F6A" w:rsidRPr="001803B1" w:rsidRDefault="00586F6A" w:rsidP="00750D93">
            <w:pPr>
              <w:pStyle w:val="Tabletexte"/>
              <w:rPr>
                <w:rtl/>
              </w:rPr>
            </w:pPr>
            <w:r w:rsidRPr="001803B1">
              <w:rPr>
                <w:rtl/>
              </w:rPr>
              <w:t xml:space="preserve">أيد بعض الأعضاء المقترح المقدم ضمن مساهمة متعددة البلدان لمنع إساءة استعمال بطاقات التبليغ المجانية. </w:t>
            </w:r>
          </w:p>
        </w:tc>
        <w:tc>
          <w:tcPr>
            <w:tcW w:w="2176" w:type="pct"/>
          </w:tcPr>
          <w:p w14:paraId="134E7793" w14:textId="77777777" w:rsidR="00586F6A" w:rsidRPr="001803B1" w:rsidRDefault="00586F6A" w:rsidP="00750D93">
            <w:pPr>
              <w:pStyle w:val="Tabletexte"/>
              <w:rPr>
                <w:lang w:bidi="ar-EG"/>
              </w:rPr>
            </w:pPr>
          </w:p>
        </w:tc>
      </w:tr>
      <w:tr w:rsidR="00586F6A" w:rsidRPr="001803B1" w14:paraId="336F1360" w14:textId="77777777" w:rsidTr="008777D0">
        <w:tc>
          <w:tcPr>
            <w:tcW w:w="5000" w:type="pct"/>
            <w:gridSpan w:val="3"/>
            <w:shd w:val="clear" w:color="auto" w:fill="E7E6E6" w:themeFill="background2"/>
          </w:tcPr>
          <w:p w14:paraId="01C9BD48" w14:textId="77777777" w:rsidR="00586F6A" w:rsidRPr="001803B1" w:rsidRDefault="00586F6A" w:rsidP="00750D93">
            <w:pPr>
              <w:pStyle w:val="Tabletexte"/>
              <w:rPr>
                <w:b/>
                <w:bCs/>
                <w:rtl/>
              </w:rPr>
            </w:pPr>
            <w:r w:rsidRPr="001803B1">
              <w:rPr>
                <w:b/>
                <w:bCs/>
                <w:rtl/>
              </w:rPr>
              <w:t>الشفافية</w:t>
            </w:r>
          </w:p>
        </w:tc>
      </w:tr>
      <w:tr w:rsidR="00586F6A" w:rsidRPr="001803B1" w14:paraId="42D6CD8F" w14:textId="77777777" w:rsidTr="008777D0">
        <w:tc>
          <w:tcPr>
            <w:tcW w:w="787" w:type="pct"/>
            <w:vMerge w:val="restart"/>
          </w:tcPr>
          <w:p w14:paraId="474727C3" w14:textId="77777777" w:rsidR="00586F6A" w:rsidRPr="001803B1" w:rsidRDefault="00586F6A" w:rsidP="00750D93">
            <w:pPr>
              <w:pStyle w:val="Tabletexte"/>
              <w:rPr>
                <w:lang w:bidi="ar-EG"/>
              </w:rPr>
            </w:pPr>
          </w:p>
        </w:tc>
        <w:tc>
          <w:tcPr>
            <w:tcW w:w="2037" w:type="pct"/>
          </w:tcPr>
          <w:p w14:paraId="0FCD452D" w14:textId="77777777" w:rsidR="00586F6A" w:rsidRPr="001803B1" w:rsidRDefault="00586F6A" w:rsidP="00750D93">
            <w:pPr>
              <w:pStyle w:val="Tabletexte"/>
              <w:rPr>
                <w:rtl/>
              </w:rPr>
            </w:pPr>
            <w:r w:rsidRPr="001803B1">
              <w:rPr>
                <w:rtl/>
              </w:rPr>
              <w:t xml:space="preserve">يفتقر مقترح الأمانة إلى تدابير محددة. إرساء المنهجية المقترحة على بيانات مدققة مستقاة من عمليات مكتب الاتصالات الراديوية </w:t>
            </w:r>
            <w:r w:rsidRPr="001803B1">
              <w:rPr>
                <w:lang w:bidi="ar-EG"/>
              </w:rPr>
              <w:t>(BR)</w:t>
            </w:r>
            <w:r w:rsidRPr="001803B1">
              <w:rPr>
                <w:rtl/>
              </w:rPr>
              <w:t>.</w:t>
            </w:r>
          </w:p>
        </w:tc>
        <w:tc>
          <w:tcPr>
            <w:tcW w:w="2176" w:type="pct"/>
          </w:tcPr>
          <w:p w14:paraId="50E380F3" w14:textId="46107E09" w:rsidR="00586F6A" w:rsidRPr="001803B1" w:rsidRDefault="00586F6A" w:rsidP="00750D93">
            <w:pPr>
              <w:pStyle w:val="Tabletexte"/>
              <w:rPr>
                <w:rtl/>
              </w:rPr>
            </w:pPr>
            <w:r w:rsidRPr="001803B1">
              <w:rPr>
                <w:rtl/>
              </w:rPr>
              <w:t>التماس توضيح بشأن عناصر التكلفة التي يتعين استردادها في المنهجية. وعلى وجه التحديد، كيف ستحدد الأمانة التعاريف والحسابات والمخصصات للتكاليف المباشرة والتكاليف غير المباشرة؟</w:t>
            </w:r>
          </w:p>
        </w:tc>
      </w:tr>
      <w:tr w:rsidR="00586F6A" w:rsidRPr="001803B1" w14:paraId="407C7DAF" w14:textId="77777777" w:rsidTr="008777D0">
        <w:tc>
          <w:tcPr>
            <w:tcW w:w="787" w:type="pct"/>
            <w:vMerge/>
          </w:tcPr>
          <w:p w14:paraId="4598B446" w14:textId="77777777" w:rsidR="00586F6A" w:rsidRPr="001803B1" w:rsidRDefault="00586F6A" w:rsidP="00750D93">
            <w:pPr>
              <w:pStyle w:val="Tabletexte"/>
              <w:rPr>
                <w:lang w:bidi="ar-EG"/>
              </w:rPr>
            </w:pPr>
          </w:p>
        </w:tc>
        <w:tc>
          <w:tcPr>
            <w:tcW w:w="2037" w:type="pct"/>
          </w:tcPr>
          <w:p w14:paraId="0E48CCA8" w14:textId="77777777" w:rsidR="00586F6A" w:rsidRPr="001803B1" w:rsidRDefault="00586F6A" w:rsidP="00750D93">
            <w:pPr>
              <w:pStyle w:val="Tabletexte"/>
              <w:rPr>
                <w:rtl/>
              </w:rPr>
            </w:pPr>
            <w:r w:rsidRPr="001803B1">
              <w:rPr>
                <w:rtl/>
              </w:rPr>
              <w:t>تشير بعض البلدان إلى أن أي تكاليف مباشرة أو غير مباشرة يجب أن تسترد عن طريق آلية استرداد التكاليف، ويجب على الأمانة أن تثبت الصلة بين التكاليف غير المباشرة وتقديم بطاقات التبليغ عن الشبكات الساتلية من أجل إدراج هذه التكاليف.</w:t>
            </w:r>
          </w:p>
        </w:tc>
        <w:tc>
          <w:tcPr>
            <w:tcW w:w="2176" w:type="pct"/>
          </w:tcPr>
          <w:p w14:paraId="19DFF9BD" w14:textId="77777777" w:rsidR="00586F6A" w:rsidRPr="001803B1" w:rsidRDefault="00586F6A" w:rsidP="00750D93">
            <w:pPr>
              <w:pStyle w:val="Tabletexte"/>
              <w:rPr>
                <w:rtl/>
              </w:rPr>
            </w:pPr>
            <w:r w:rsidRPr="001803B1">
              <w:rPr>
                <w:rtl/>
              </w:rPr>
              <w:t>كيف تعتزم الأمانة قياس مكاسب الكفاءة المتأتية من الإصلاح المقترح بخصوص بطاقات التبليغ عن الشبكات الساتلية، والإبلاغ عن هذه المكاسب؟</w:t>
            </w:r>
          </w:p>
        </w:tc>
      </w:tr>
      <w:tr w:rsidR="00586F6A" w:rsidRPr="001803B1" w14:paraId="7ABC9CD1" w14:textId="77777777" w:rsidTr="008777D0">
        <w:tc>
          <w:tcPr>
            <w:tcW w:w="787" w:type="pct"/>
            <w:vMerge/>
          </w:tcPr>
          <w:p w14:paraId="02EE7AFE" w14:textId="77777777" w:rsidR="00586F6A" w:rsidRPr="001803B1" w:rsidRDefault="00586F6A" w:rsidP="00750D93">
            <w:pPr>
              <w:pStyle w:val="Tabletexte"/>
              <w:rPr>
                <w:lang w:bidi="ar-EG"/>
              </w:rPr>
            </w:pPr>
          </w:p>
        </w:tc>
        <w:tc>
          <w:tcPr>
            <w:tcW w:w="2037" w:type="pct"/>
          </w:tcPr>
          <w:p w14:paraId="11F122A4" w14:textId="01C007CC" w:rsidR="00586F6A" w:rsidRPr="001803B1" w:rsidRDefault="00586F6A" w:rsidP="00750D93">
            <w:pPr>
              <w:pStyle w:val="Tabletexte"/>
              <w:rPr>
                <w:spacing w:val="-6"/>
                <w:rtl/>
              </w:rPr>
            </w:pPr>
            <w:r w:rsidRPr="001803B1">
              <w:rPr>
                <w:spacing w:val="-6"/>
                <w:rtl/>
              </w:rPr>
              <w:t>لم يذكر القرار 91 التكاليف الرأسمالية مثل الاستهلاك.</w:t>
            </w:r>
          </w:p>
        </w:tc>
        <w:tc>
          <w:tcPr>
            <w:tcW w:w="2176" w:type="pct"/>
          </w:tcPr>
          <w:p w14:paraId="6ACAA22E" w14:textId="77777777" w:rsidR="00586F6A" w:rsidRPr="001803B1" w:rsidRDefault="00586F6A" w:rsidP="00750D93">
            <w:pPr>
              <w:pStyle w:val="Tabletexte"/>
              <w:rPr>
                <w:rtl/>
              </w:rPr>
            </w:pPr>
            <w:r w:rsidRPr="001803B1">
              <w:rPr>
                <w:rtl/>
              </w:rPr>
              <w:t>هل التكاليف الرأسمالية مباشرة أم غير مباشرة؟ لماذا يجب إدراجها؟</w:t>
            </w:r>
          </w:p>
        </w:tc>
      </w:tr>
      <w:tr w:rsidR="00586F6A" w:rsidRPr="001803B1" w14:paraId="2DE3F2BC" w14:textId="77777777" w:rsidTr="008777D0">
        <w:trPr>
          <w:trHeight w:val="300"/>
        </w:trPr>
        <w:tc>
          <w:tcPr>
            <w:tcW w:w="787" w:type="pct"/>
          </w:tcPr>
          <w:p w14:paraId="30D90386" w14:textId="77777777" w:rsidR="00586F6A" w:rsidRPr="001803B1" w:rsidRDefault="00586F6A" w:rsidP="00750D93">
            <w:pPr>
              <w:pStyle w:val="Tabletexte"/>
              <w:rPr>
                <w:lang w:bidi="ar-EG"/>
              </w:rPr>
            </w:pPr>
          </w:p>
        </w:tc>
        <w:tc>
          <w:tcPr>
            <w:tcW w:w="2037" w:type="pct"/>
          </w:tcPr>
          <w:p w14:paraId="1069006D" w14:textId="30C28F2E" w:rsidR="00586F6A" w:rsidRPr="001803B1" w:rsidRDefault="00586F6A" w:rsidP="00750D93">
            <w:pPr>
              <w:pStyle w:val="Tabletexte"/>
              <w:rPr>
                <w:rtl/>
              </w:rPr>
            </w:pPr>
            <w:r w:rsidRPr="001803B1">
              <w:rPr>
                <w:rtl/>
              </w:rPr>
              <w:t>أعرب بعض الأعضاء عن قلقهم من إمكانية استفادة عدد محدود من الكيانات المتعددة الجنسيات من بطاقات التبليغ المجانية.</w:t>
            </w:r>
          </w:p>
        </w:tc>
        <w:tc>
          <w:tcPr>
            <w:tcW w:w="2176" w:type="pct"/>
          </w:tcPr>
          <w:p w14:paraId="274219C9" w14:textId="77777777" w:rsidR="00586F6A" w:rsidRPr="001803B1" w:rsidRDefault="00586F6A" w:rsidP="00750D93">
            <w:pPr>
              <w:pStyle w:val="Tabletexte"/>
              <w:rPr>
                <w:spacing w:val="-4"/>
                <w:rtl/>
              </w:rPr>
            </w:pPr>
            <w:r w:rsidRPr="001803B1">
              <w:rPr>
                <w:spacing w:val="-4"/>
                <w:rtl/>
              </w:rPr>
              <w:t>ما هي الآثار المالية المترتبة على معالجة بطاقات التبليغ المجانية التي كانت جزءاً من الكوكبة الساتلية نفسها؟</w:t>
            </w:r>
          </w:p>
        </w:tc>
      </w:tr>
      <w:tr w:rsidR="00586F6A" w:rsidRPr="001803B1" w14:paraId="6FB11E30" w14:textId="77777777" w:rsidTr="008777D0">
        <w:tc>
          <w:tcPr>
            <w:tcW w:w="5000" w:type="pct"/>
            <w:gridSpan w:val="3"/>
            <w:shd w:val="clear" w:color="auto" w:fill="E7E6E6" w:themeFill="background2"/>
          </w:tcPr>
          <w:p w14:paraId="1CE3F16A" w14:textId="77777777" w:rsidR="00586F6A" w:rsidRPr="001803B1" w:rsidRDefault="00586F6A" w:rsidP="00750D93">
            <w:pPr>
              <w:pStyle w:val="Tabletexte"/>
              <w:rPr>
                <w:b/>
                <w:bCs/>
                <w:rtl/>
              </w:rPr>
            </w:pPr>
            <w:r w:rsidRPr="001803B1">
              <w:rPr>
                <w:b/>
                <w:bCs/>
                <w:rtl/>
              </w:rPr>
              <w:t>هيكل رسوم يمكن التنبؤ به</w:t>
            </w:r>
          </w:p>
        </w:tc>
      </w:tr>
      <w:tr w:rsidR="00586F6A" w:rsidRPr="001803B1" w14:paraId="46DF1E78" w14:textId="77777777" w:rsidTr="008777D0">
        <w:tc>
          <w:tcPr>
            <w:tcW w:w="787" w:type="pct"/>
          </w:tcPr>
          <w:p w14:paraId="78DFF77E" w14:textId="77777777" w:rsidR="00586F6A" w:rsidRPr="001803B1" w:rsidRDefault="00586F6A" w:rsidP="00750D93">
            <w:pPr>
              <w:pStyle w:val="Tabletexte"/>
              <w:rPr>
                <w:lang w:bidi="ar-EG"/>
              </w:rPr>
            </w:pPr>
          </w:p>
        </w:tc>
        <w:tc>
          <w:tcPr>
            <w:tcW w:w="2037" w:type="pct"/>
          </w:tcPr>
          <w:p w14:paraId="432697E1" w14:textId="32FB92FB" w:rsidR="00586F6A" w:rsidRPr="001803B1" w:rsidRDefault="00586F6A" w:rsidP="00750D93">
            <w:pPr>
              <w:pStyle w:val="Tabletexte"/>
              <w:rPr>
                <w:rtl/>
              </w:rPr>
            </w:pPr>
            <w:r w:rsidRPr="001803B1">
              <w:rPr>
                <w:rtl/>
              </w:rPr>
              <w:t>يبدو أن الدول الأعضاء متفقة على أن التقلبات الرئيسية تعوق تخطيط الشبكات الساتلية.</w:t>
            </w:r>
          </w:p>
        </w:tc>
        <w:tc>
          <w:tcPr>
            <w:tcW w:w="2176" w:type="pct"/>
          </w:tcPr>
          <w:p w14:paraId="3A9D7D5D" w14:textId="77777777" w:rsidR="00586F6A" w:rsidRPr="001803B1" w:rsidRDefault="00586F6A" w:rsidP="00750D93">
            <w:pPr>
              <w:pStyle w:val="Tabletexte"/>
              <w:rPr>
                <w:rtl/>
              </w:rPr>
            </w:pPr>
            <w:r w:rsidRPr="001803B1">
              <w:rPr>
                <w:rtl/>
              </w:rPr>
              <w:t>هل يمكن للاتحاد أن يقترح شيئاً آخر غير التسوية السنوية لأغراض التخطيط طويل الأجل؟</w:t>
            </w:r>
          </w:p>
        </w:tc>
      </w:tr>
      <w:tr w:rsidR="00586F6A" w:rsidRPr="001803B1" w14:paraId="48D627E9" w14:textId="77777777" w:rsidTr="008777D0">
        <w:tc>
          <w:tcPr>
            <w:tcW w:w="5000" w:type="pct"/>
            <w:gridSpan w:val="3"/>
            <w:shd w:val="clear" w:color="auto" w:fill="E7E6E6" w:themeFill="background2"/>
          </w:tcPr>
          <w:p w14:paraId="78A0B895" w14:textId="77777777" w:rsidR="00586F6A" w:rsidRPr="001803B1" w:rsidRDefault="00586F6A" w:rsidP="00750D93">
            <w:pPr>
              <w:pStyle w:val="Tabletexte"/>
              <w:rPr>
                <w:b/>
                <w:bCs/>
                <w:rtl/>
              </w:rPr>
            </w:pPr>
            <w:r w:rsidRPr="001803B1">
              <w:rPr>
                <w:b/>
                <w:bCs/>
                <w:rtl/>
              </w:rPr>
              <w:t>مواضيع أخرى</w:t>
            </w:r>
          </w:p>
        </w:tc>
      </w:tr>
      <w:tr w:rsidR="00586F6A" w:rsidRPr="001803B1" w14:paraId="69131065" w14:textId="77777777" w:rsidTr="008777D0">
        <w:tc>
          <w:tcPr>
            <w:tcW w:w="787" w:type="pct"/>
            <w:vMerge w:val="restart"/>
          </w:tcPr>
          <w:p w14:paraId="5AC5F22E" w14:textId="77777777" w:rsidR="00586F6A" w:rsidRPr="001803B1" w:rsidRDefault="00586F6A" w:rsidP="00750D93">
            <w:pPr>
              <w:pStyle w:val="Tabletexte"/>
              <w:rPr>
                <w:lang w:bidi="ar-EG"/>
              </w:rPr>
            </w:pPr>
          </w:p>
        </w:tc>
        <w:tc>
          <w:tcPr>
            <w:tcW w:w="2037" w:type="pct"/>
          </w:tcPr>
          <w:p w14:paraId="76E8B50F" w14:textId="77777777" w:rsidR="00586F6A" w:rsidRPr="001803B1" w:rsidRDefault="00586F6A" w:rsidP="00750D93">
            <w:pPr>
              <w:pStyle w:val="Tabletexte"/>
              <w:rPr>
                <w:spacing w:val="-4"/>
                <w:rtl/>
              </w:rPr>
            </w:pPr>
            <w:r w:rsidRPr="001803B1">
              <w:rPr>
                <w:spacing w:val="-4"/>
                <w:rtl/>
              </w:rPr>
              <w:t>قد تتجاوز بعض النقاط التي أثارها الأعضاء ولاية/سلطة الفريق المعني بالموارد المالية والبشرية وينبغي أن يقررها مؤتمر المندوبين المفوضين.</w:t>
            </w:r>
          </w:p>
        </w:tc>
        <w:tc>
          <w:tcPr>
            <w:tcW w:w="2176" w:type="pct"/>
          </w:tcPr>
          <w:p w14:paraId="5877054C" w14:textId="784274A8" w:rsidR="00586F6A" w:rsidRPr="001803B1" w:rsidRDefault="00586F6A" w:rsidP="00750D93">
            <w:pPr>
              <w:pStyle w:val="Tabletexte"/>
              <w:rPr>
                <w:rtl/>
              </w:rPr>
            </w:pPr>
            <w:r w:rsidRPr="001803B1">
              <w:rPr>
                <w:rtl/>
              </w:rPr>
              <w:t>ما التوصيات التي ستحال إلى المجلس؟</w:t>
            </w:r>
          </w:p>
        </w:tc>
      </w:tr>
      <w:tr w:rsidR="00586F6A" w:rsidRPr="001803B1" w14:paraId="0FE93F2F" w14:textId="77777777" w:rsidTr="008777D0">
        <w:tc>
          <w:tcPr>
            <w:tcW w:w="787" w:type="pct"/>
            <w:vMerge/>
          </w:tcPr>
          <w:p w14:paraId="1B68E017" w14:textId="77777777" w:rsidR="00586F6A" w:rsidRPr="001803B1" w:rsidRDefault="00586F6A" w:rsidP="00750D93">
            <w:pPr>
              <w:pStyle w:val="Tabletexte"/>
              <w:rPr>
                <w:lang w:bidi="ar-EG"/>
              </w:rPr>
            </w:pPr>
          </w:p>
        </w:tc>
        <w:tc>
          <w:tcPr>
            <w:tcW w:w="2037" w:type="pct"/>
          </w:tcPr>
          <w:p w14:paraId="21698D54" w14:textId="1B250034" w:rsidR="00586F6A" w:rsidRPr="001803B1" w:rsidRDefault="00586F6A" w:rsidP="00750D93">
            <w:pPr>
              <w:pStyle w:val="Tabletexte"/>
              <w:rPr>
                <w:rtl/>
              </w:rPr>
            </w:pPr>
            <w:r w:rsidRPr="001803B1">
              <w:rPr>
                <w:rtl/>
              </w:rPr>
              <w:t>تباين في تأييد ومعارضة إعادة فتح فريق الخبراء المعني بالمقرر 482.</w:t>
            </w:r>
          </w:p>
        </w:tc>
        <w:tc>
          <w:tcPr>
            <w:tcW w:w="2176" w:type="pct"/>
          </w:tcPr>
          <w:p w14:paraId="695F811E" w14:textId="426FDBDF" w:rsidR="00586F6A" w:rsidRPr="001803B1" w:rsidRDefault="00586F6A" w:rsidP="00750D93">
            <w:pPr>
              <w:pStyle w:val="Tabletexte"/>
              <w:rPr>
                <w:spacing w:val="-2"/>
                <w:rtl/>
              </w:rPr>
            </w:pPr>
            <w:r w:rsidRPr="001803B1">
              <w:rPr>
                <w:spacing w:val="-2"/>
                <w:rtl/>
              </w:rPr>
              <w:t>هل توجد خطة طوارئ تتعلق بالتكلفة للتصرف في</w:t>
            </w:r>
            <w:r w:rsidR="002728EC" w:rsidRPr="001803B1">
              <w:rPr>
                <w:rFonts w:hint="cs"/>
                <w:spacing w:val="-2"/>
                <w:rtl/>
              </w:rPr>
              <w:t> </w:t>
            </w:r>
            <w:r w:rsidRPr="001803B1">
              <w:rPr>
                <w:spacing w:val="-2"/>
                <w:rtl/>
              </w:rPr>
              <w:t>مبلغ 5,5 ملايين فرنك سويسري من الإيرادات المؤجلة في إطار بطاقات التبليغ عن الشبكات</w:t>
            </w:r>
            <w:r w:rsidR="002728EC" w:rsidRPr="001803B1">
              <w:rPr>
                <w:rFonts w:hint="cs"/>
                <w:spacing w:val="-2"/>
                <w:rtl/>
              </w:rPr>
              <w:t> </w:t>
            </w:r>
            <w:r w:rsidRPr="001803B1">
              <w:rPr>
                <w:spacing w:val="-2"/>
                <w:rtl/>
              </w:rPr>
              <w:t>الساتلية؟</w:t>
            </w:r>
          </w:p>
        </w:tc>
      </w:tr>
      <w:tr w:rsidR="00586F6A" w:rsidRPr="001803B1" w14:paraId="03A25080" w14:textId="77777777" w:rsidTr="008777D0">
        <w:tc>
          <w:tcPr>
            <w:tcW w:w="787" w:type="pct"/>
            <w:vMerge/>
          </w:tcPr>
          <w:p w14:paraId="0229950B" w14:textId="77777777" w:rsidR="00586F6A" w:rsidRPr="001803B1" w:rsidRDefault="00586F6A" w:rsidP="00750D93">
            <w:pPr>
              <w:pStyle w:val="Tabletexte"/>
              <w:rPr>
                <w:lang w:bidi="ar-EG"/>
              </w:rPr>
            </w:pPr>
          </w:p>
        </w:tc>
        <w:tc>
          <w:tcPr>
            <w:tcW w:w="2037" w:type="pct"/>
          </w:tcPr>
          <w:p w14:paraId="1047657F" w14:textId="77777777" w:rsidR="00586F6A" w:rsidRPr="001803B1" w:rsidRDefault="00586F6A" w:rsidP="00750D93">
            <w:pPr>
              <w:pStyle w:val="Tabletexte"/>
              <w:rPr>
                <w:rtl/>
              </w:rPr>
            </w:pPr>
            <w:r w:rsidRPr="001803B1">
              <w:rPr>
                <w:rtl/>
              </w:rPr>
              <w:t>لا يوجد تأييد لإدراج مدخلات تتعلق بالحوكمة مصدرها مؤتمرات وجمعيات قطاعي تقييس الاتصالات وتنمية الاتصالات. ويُقترح قصر هذه العناصر على مؤتمر المندوبين المفوضين والمجلس وقطاع الاتصالات الراديوية.</w:t>
            </w:r>
          </w:p>
        </w:tc>
        <w:tc>
          <w:tcPr>
            <w:tcW w:w="2176" w:type="pct"/>
          </w:tcPr>
          <w:p w14:paraId="1E0D69D8" w14:textId="77777777" w:rsidR="00586F6A" w:rsidRPr="001803B1" w:rsidRDefault="00586F6A" w:rsidP="00750D93">
            <w:pPr>
              <w:pStyle w:val="Tabletexte"/>
              <w:rPr>
                <w:lang w:bidi="ar-EG"/>
              </w:rPr>
            </w:pPr>
          </w:p>
        </w:tc>
      </w:tr>
      <w:tr w:rsidR="00586F6A" w:rsidRPr="001803B1" w14:paraId="375D6919" w14:textId="77777777" w:rsidTr="008777D0">
        <w:tc>
          <w:tcPr>
            <w:tcW w:w="787" w:type="pct"/>
            <w:vMerge/>
          </w:tcPr>
          <w:p w14:paraId="04F6E77D" w14:textId="77777777" w:rsidR="00586F6A" w:rsidRPr="001803B1" w:rsidRDefault="00586F6A" w:rsidP="00750D93">
            <w:pPr>
              <w:pStyle w:val="Tabletexte"/>
              <w:rPr>
                <w:lang w:bidi="ar-EG"/>
              </w:rPr>
            </w:pPr>
          </w:p>
        </w:tc>
        <w:tc>
          <w:tcPr>
            <w:tcW w:w="2037" w:type="pct"/>
          </w:tcPr>
          <w:p w14:paraId="0F1B679A" w14:textId="3FFB1429" w:rsidR="00586F6A" w:rsidRPr="001803B1" w:rsidRDefault="00586F6A" w:rsidP="00750D93">
            <w:pPr>
              <w:pStyle w:val="Tabletexte"/>
              <w:rPr>
                <w:rtl/>
              </w:rPr>
            </w:pPr>
            <w:r w:rsidRPr="001803B1">
              <w:rPr>
                <w:rtl/>
              </w:rPr>
              <w:t>توصيات ترمي إلى تعزيز وثيقة الأمانة قبل دورة المجلس لعام 2026 بتضمينها عناصر من تقرير وحدة التفتيش المشتركة لعام 2025.</w:t>
            </w:r>
          </w:p>
        </w:tc>
        <w:tc>
          <w:tcPr>
            <w:tcW w:w="2176" w:type="pct"/>
          </w:tcPr>
          <w:p w14:paraId="29623379" w14:textId="77777777" w:rsidR="00586F6A" w:rsidRPr="001803B1" w:rsidRDefault="00586F6A" w:rsidP="00750D93">
            <w:pPr>
              <w:pStyle w:val="Tabletexte"/>
              <w:rPr>
                <w:lang w:bidi="ar-EG"/>
              </w:rPr>
            </w:pPr>
          </w:p>
        </w:tc>
      </w:tr>
      <w:tr w:rsidR="00586F6A" w:rsidRPr="001803B1" w14:paraId="714B9BAD" w14:textId="77777777" w:rsidTr="008777D0">
        <w:tc>
          <w:tcPr>
            <w:tcW w:w="787" w:type="pct"/>
            <w:vMerge/>
          </w:tcPr>
          <w:p w14:paraId="1595AA25" w14:textId="77777777" w:rsidR="00586F6A" w:rsidRPr="001803B1" w:rsidRDefault="00586F6A" w:rsidP="00750D93">
            <w:pPr>
              <w:pStyle w:val="Tabletexte"/>
              <w:rPr>
                <w:lang w:bidi="ar-EG"/>
              </w:rPr>
            </w:pPr>
          </w:p>
        </w:tc>
        <w:tc>
          <w:tcPr>
            <w:tcW w:w="2037" w:type="pct"/>
          </w:tcPr>
          <w:p w14:paraId="29ACFA8D" w14:textId="1E413327" w:rsidR="00586F6A" w:rsidRPr="001803B1" w:rsidRDefault="00586F6A" w:rsidP="00750D93">
            <w:pPr>
              <w:pStyle w:val="Tabletexte"/>
              <w:rPr>
                <w:spacing w:val="-2"/>
                <w:rtl/>
              </w:rPr>
            </w:pPr>
            <w:r w:rsidRPr="001803B1">
              <w:rPr>
                <w:spacing w:val="-2"/>
                <w:rtl/>
              </w:rPr>
              <w:t>فيما يتعلق بالتكاليف غير المباشرة، لا يمكن مقارنة نهج الهيئات التنظيمية الوطنية بنهج الاتحاد.</w:t>
            </w:r>
          </w:p>
        </w:tc>
        <w:tc>
          <w:tcPr>
            <w:tcW w:w="2176" w:type="pct"/>
          </w:tcPr>
          <w:p w14:paraId="6C14B409" w14:textId="77777777" w:rsidR="00586F6A" w:rsidRPr="001803B1" w:rsidRDefault="00586F6A" w:rsidP="00750D93">
            <w:pPr>
              <w:pStyle w:val="Tabletexte"/>
              <w:rPr>
                <w:lang w:bidi="ar-EG"/>
              </w:rPr>
            </w:pPr>
          </w:p>
        </w:tc>
      </w:tr>
      <w:tr w:rsidR="00586F6A" w:rsidRPr="001803B1" w14:paraId="29691944" w14:textId="77777777" w:rsidTr="008777D0">
        <w:tc>
          <w:tcPr>
            <w:tcW w:w="5000" w:type="pct"/>
            <w:gridSpan w:val="3"/>
            <w:shd w:val="clear" w:color="auto" w:fill="E7E6E6" w:themeFill="background2"/>
          </w:tcPr>
          <w:p w14:paraId="7CA036F4" w14:textId="77777777" w:rsidR="00586F6A" w:rsidRPr="001803B1" w:rsidRDefault="00586F6A" w:rsidP="00750D93">
            <w:pPr>
              <w:pStyle w:val="Tabletexte"/>
              <w:rPr>
                <w:b/>
                <w:bCs/>
                <w:rtl/>
              </w:rPr>
            </w:pPr>
            <w:r w:rsidRPr="001803B1">
              <w:rPr>
                <w:b/>
                <w:bCs/>
                <w:rtl/>
              </w:rPr>
              <w:t xml:space="preserve">إلى أين تُوجَّه مبالغ استرداد التكاليف </w:t>
            </w:r>
            <w:r w:rsidRPr="001803B1">
              <w:rPr>
                <w:b/>
                <w:bCs/>
                <w:lang w:bidi="ar-EG"/>
              </w:rPr>
              <w:t>(CR)</w:t>
            </w:r>
            <w:r w:rsidRPr="001803B1">
              <w:rPr>
                <w:b/>
                <w:bCs/>
                <w:rtl/>
              </w:rPr>
              <w:t>؟ يتعين توجيهها إلى مكتب الاتصالات الراديوية.</w:t>
            </w:r>
          </w:p>
        </w:tc>
      </w:tr>
    </w:tbl>
    <w:p w14:paraId="1405F0E8" w14:textId="77777777" w:rsidR="00F50E3F" w:rsidRDefault="00D63735" w:rsidP="00D63735">
      <w:pPr>
        <w:spacing w:before="600"/>
        <w:jc w:val="center"/>
        <w:rPr>
          <w:rtl/>
          <w:lang w:bidi="ar-EG"/>
        </w:rPr>
      </w:pPr>
      <w:r w:rsidRPr="001803B1">
        <w:rPr>
          <w:rFonts w:hint="cs"/>
          <w:rtl/>
          <w:lang w:bidi="ar-EG"/>
        </w:rPr>
        <w:t>ــــــــــــــــــــــــــــــــــــــــــــــــــــــــــــــــــــــــــــــــــــــــــــــــ</w:t>
      </w:r>
    </w:p>
    <w:sectPr w:rsidR="00F50E3F" w:rsidSect="006F363C">
      <w:footerReference w:type="default" r:id="rId19"/>
      <w:headerReference w:type="first" r:id="rId20"/>
      <w:footerReference w:type="first" r:id="rId21"/>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504D0" w14:textId="77777777" w:rsidR="00586F6A" w:rsidRDefault="00586F6A" w:rsidP="006C3242">
      <w:pPr>
        <w:spacing w:before="0" w:line="240" w:lineRule="auto"/>
      </w:pPr>
      <w:r>
        <w:separator/>
      </w:r>
    </w:p>
  </w:endnote>
  <w:endnote w:type="continuationSeparator" w:id="0">
    <w:p w14:paraId="01B94792" w14:textId="77777777" w:rsidR="00586F6A" w:rsidRDefault="00586F6A"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18DBAE6F" w14:textId="77777777" w:rsidTr="00A67F05">
      <w:trPr>
        <w:jc w:val="center"/>
      </w:trPr>
      <w:tc>
        <w:tcPr>
          <w:tcW w:w="868" w:type="pct"/>
          <w:vAlign w:val="center"/>
        </w:tcPr>
        <w:p w14:paraId="339DB2DF" w14:textId="54A1D91F" w:rsidR="00F50E3F" w:rsidRPr="002728EC" w:rsidRDefault="00BE7075" w:rsidP="006F363C">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lang w:val="en-US"/>
            </w:rPr>
          </w:pPr>
          <w:r w:rsidRPr="00BE7075">
            <w:rPr>
              <w:rFonts w:ascii="Calibri" w:hAnsi="Calibri" w:cs="Arial"/>
              <w:sz w:val="18"/>
              <w:szCs w:val="14"/>
            </w:rPr>
            <w:t>2601134</w:t>
          </w:r>
        </w:p>
      </w:tc>
      <w:tc>
        <w:tcPr>
          <w:tcW w:w="3912" w:type="pct"/>
        </w:tcPr>
        <w:p w14:paraId="43E3F153" w14:textId="1A236E63"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proofErr w:type="spellStart"/>
          <w:r w:rsidRPr="007B0AA0">
            <w:rPr>
              <w:rFonts w:ascii="Calibri" w:hAnsi="Calibri" w:cs="Arial"/>
              <w:bCs/>
              <w:color w:val="7F7F7F"/>
              <w:sz w:val="18"/>
            </w:rPr>
            <w:t>C2</w:t>
          </w:r>
          <w:r w:rsidR="000116AF">
            <w:rPr>
              <w:rFonts w:ascii="Calibri" w:hAnsi="Calibri" w:cs="Arial"/>
              <w:bCs/>
              <w:color w:val="7F7F7F"/>
              <w:sz w:val="18"/>
            </w:rPr>
            <w:t>6</w:t>
          </w:r>
          <w:proofErr w:type="spellEnd"/>
          <w:r w:rsidRPr="007B0AA0">
            <w:rPr>
              <w:rFonts w:ascii="Calibri" w:hAnsi="Calibri" w:cs="Arial"/>
              <w:bCs/>
              <w:color w:val="7F7F7F"/>
              <w:sz w:val="18"/>
            </w:rPr>
            <w:t>/</w:t>
          </w:r>
          <w:r w:rsidR="002728EC">
            <w:rPr>
              <w:rFonts w:ascii="Calibri" w:hAnsi="Calibri" w:cs="Arial"/>
              <w:bCs/>
              <w:color w:val="7F7F7F"/>
              <w:sz w:val="18"/>
            </w:rPr>
            <w:t>53</w:t>
          </w:r>
          <w:r w:rsidR="00BE7075">
            <w:rPr>
              <w:rFonts w:ascii="Calibri" w:hAnsi="Calibri" w:cs="Arial"/>
              <w:bCs/>
              <w:color w:val="7F7F7F"/>
              <w:sz w:val="18"/>
              <w:lang w:val="en-US"/>
            </w:rPr>
            <w:t>(</w:t>
          </w:r>
          <w:proofErr w:type="spellStart"/>
          <w:r w:rsidR="00BE7075">
            <w:rPr>
              <w:rFonts w:ascii="Calibri" w:hAnsi="Calibri" w:cs="Arial"/>
              <w:bCs/>
              <w:color w:val="7F7F7F"/>
              <w:sz w:val="18"/>
              <w:lang w:val="en-US"/>
            </w:rPr>
            <w:t>Rev.1</w:t>
          </w:r>
          <w:proofErr w:type="spellEnd"/>
          <w:r w:rsidR="00BE7075">
            <w:rPr>
              <w:rFonts w:ascii="Calibri" w:hAnsi="Calibri" w:cs="Arial"/>
              <w:bCs/>
              <w:color w:val="7F7F7F"/>
              <w:sz w:val="18"/>
              <w:lang w:val="en-US"/>
            </w:rPr>
            <w:t>)</w:t>
          </w:r>
          <w:r w:rsidRPr="007B0AA0">
            <w:rPr>
              <w:rFonts w:ascii="Calibri" w:hAnsi="Calibri" w:cs="Arial"/>
              <w:bCs/>
              <w:color w:val="7F7F7F"/>
              <w:sz w:val="18"/>
            </w:rPr>
            <w:t>-</w:t>
          </w:r>
          <w:r>
            <w:rPr>
              <w:rFonts w:ascii="Calibri" w:hAnsi="Calibri" w:cs="Arial"/>
              <w:bCs/>
              <w:color w:val="7F7F7F"/>
              <w:sz w:val="18"/>
            </w:rPr>
            <w:t>A</w:t>
          </w:r>
        </w:p>
      </w:tc>
      <w:tc>
        <w:tcPr>
          <w:tcW w:w="220" w:type="pct"/>
        </w:tcPr>
        <w:p w14:paraId="1AADCE9A" w14:textId="77777777"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3EBF8C8D" w14:textId="77777777" w:rsidR="006C3242" w:rsidRPr="00077A58" w:rsidRDefault="006C3242" w:rsidP="00077A58">
    <w:pPr>
      <w:pStyle w:val="Footer"/>
      <w:tabs>
        <w:tab w:val="clear" w:pos="4153"/>
        <w:tab w:val="clear" w:pos="8306"/>
        <w:tab w:val="center" w:pos="5103"/>
        <w:tab w:val="right" w:pos="9639"/>
      </w:tabs>
      <w:spacing w:after="0"/>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45E7A974" w14:textId="77777777" w:rsidTr="00A67F05">
      <w:trPr>
        <w:jc w:val="center"/>
      </w:trPr>
      <w:tc>
        <w:tcPr>
          <w:tcW w:w="1013" w:type="pct"/>
          <w:vAlign w:val="center"/>
        </w:tcPr>
        <w:p w14:paraId="465D55C0" w14:textId="77777777" w:rsidR="007B0AA0" w:rsidRPr="000116AF" w:rsidRDefault="000116AF" w:rsidP="000116AF">
          <w:pPr>
            <w:tabs>
              <w:tab w:val="clear" w:pos="794"/>
            </w:tabs>
            <w:overflowPunct w:val="0"/>
            <w:autoSpaceDE w:val="0"/>
            <w:autoSpaceDN w:val="0"/>
            <w:bidi w:val="0"/>
            <w:adjustRightInd w:val="0"/>
            <w:spacing w:before="0" w:line="240" w:lineRule="auto"/>
            <w:jc w:val="right"/>
            <w:textAlignment w:val="baseline"/>
            <w:rPr>
              <w:rFonts w:ascii="Calibri" w:hAnsi="Calibri" w:cs="Arial"/>
              <w:noProof/>
              <w:color w:val="7F7F7F"/>
              <w:sz w:val="18"/>
              <w:szCs w:val="18"/>
            </w:rPr>
          </w:pPr>
          <w:hyperlink r:id="rId1" w:anchor="/ar" w:history="1">
            <w:r w:rsidRPr="000116AF">
              <w:rPr>
                <w:rStyle w:val="Hyperlink"/>
                <w:noProof w:val="0"/>
                <w:sz w:val="18"/>
                <w:szCs w:val="18"/>
                <w:lang w:val="en-US"/>
              </w:rPr>
              <w:t>council.itu.int/2026</w:t>
            </w:r>
          </w:hyperlink>
        </w:p>
      </w:tc>
      <w:tc>
        <w:tcPr>
          <w:tcW w:w="3768" w:type="pct"/>
        </w:tcPr>
        <w:p w14:paraId="05AF8ADC" w14:textId="0E7F2450" w:rsidR="007B0AA0" w:rsidRPr="007B0AA0" w:rsidRDefault="007B0AA0"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proofErr w:type="spellStart"/>
          <w:r w:rsidRPr="007B0AA0">
            <w:rPr>
              <w:rFonts w:ascii="Calibri" w:hAnsi="Calibri" w:cs="Arial"/>
              <w:bCs/>
              <w:color w:val="7F7F7F"/>
              <w:sz w:val="18"/>
            </w:rPr>
            <w:t>C2</w:t>
          </w:r>
          <w:r w:rsidR="000116AF">
            <w:rPr>
              <w:rFonts w:ascii="Calibri" w:hAnsi="Calibri" w:cs="Arial"/>
              <w:bCs/>
              <w:color w:val="7F7F7F"/>
              <w:sz w:val="18"/>
            </w:rPr>
            <w:t>6</w:t>
          </w:r>
          <w:proofErr w:type="spellEnd"/>
          <w:r w:rsidRPr="007B0AA0">
            <w:rPr>
              <w:rFonts w:ascii="Calibri" w:hAnsi="Calibri" w:cs="Arial"/>
              <w:bCs/>
              <w:color w:val="7F7F7F"/>
              <w:sz w:val="18"/>
            </w:rPr>
            <w:t>/</w:t>
          </w:r>
          <w:r w:rsidR="00586F6A">
            <w:rPr>
              <w:rFonts w:ascii="Calibri" w:hAnsi="Calibri" w:cs="Arial"/>
              <w:bCs/>
              <w:color w:val="7F7F7F"/>
              <w:sz w:val="18"/>
            </w:rPr>
            <w:t>53</w:t>
          </w:r>
          <w:r w:rsidR="00BE7075">
            <w:rPr>
              <w:rFonts w:ascii="Calibri" w:hAnsi="Calibri" w:cs="Arial"/>
              <w:bCs/>
              <w:color w:val="7F7F7F"/>
              <w:sz w:val="18"/>
              <w:lang w:val="en-US" w:bidi="ar-EG"/>
            </w:rPr>
            <w:t>(</w:t>
          </w:r>
          <w:proofErr w:type="spellStart"/>
          <w:r w:rsidR="00BE7075">
            <w:rPr>
              <w:rFonts w:ascii="Calibri" w:hAnsi="Calibri" w:cs="Arial"/>
              <w:bCs/>
              <w:color w:val="7F7F7F"/>
              <w:sz w:val="18"/>
              <w:lang w:val="en-US" w:bidi="ar-EG"/>
            </w:rPr>
            <w:t>Rev.1</w:t>
          </w:r>
          <w:proofErr w:type="spellEnd"/>
          <w:r w:rsidR="00BE7075">
            <w:rPr>
              <w:rFonts w:ascii="Calibri" w:hAnsi="Calibri" w:cs="Arial"/>
              <w:bCs/>
              <w:color w:val="7F7F7F"/>
              <w:sz w:val="18"/>
              <w:lang w:val="en-US" w:bidi="ar-EG"/>
            </w:rPr>
            <w:t>)</w:t>
          </w:r>
          <w:r w:rsidRPr="007B0AA0">
            <w:rPr>
              <w:rFonts w:ascii="Calibri" w:hAnsi="Calibri" w:cs="Arial"/>
              <w:bCs/>
              <w:color w:val="7F7F7F"/>
              <w:sz w:val="18"/>
            </w:rPr>
            <w:t>-</w:t>
          </w:r>
          <w:r>
            <w:rPr>
              <w:rFonts w:ascii="Calibri" w:hAnsi="Calibri" w:cs="Arial"/>
              <w:bCs/>
              <w:color w:val="7F7F7F"/>
              <w:sz w:val="18"/>
            </w:rPr>
            <w:t>A</w:t>
          </w:r>
        </w:p>
      </w:tc>
      <w:tc>
        <w:tcPr>
          <w:tcW w:w="220" w:type="pct"/>
        </w:tcPr>
        <w:p w14:paraId="3A6EC0CF" w14:textId="77777777" w:rsidR="007B0AA0"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635CA254" w14:textId="77777777" w:rsidR="0006468A" w:rsidRPr="00077A58" w:rsidRDefault="0006468A" w:rsidP="00077A58">
    <w:pPr>
      <w:pStyle w:val="Footer"/>
      <w:tabs>
        <w:tab w:val="clear" w:pos="4153"/>
        <w:tab w:val="clear" w:pos="8306"/>
        <w:tab w:val="center" w:pos="5103"/>
        <w:tab w:val="right" w:pos="9639"/>
      </w:tabs>
      <w:spacing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7A67C" w14:textId="77777777" w:rsidR="00586F6A" w:rsidRDefault="00586F6A" w:rsidP="006C3242">
      <w:pPr>
        <w:spacing w:before="0" w:line="240" w:lineRule="auto"/>
      </w:pPr>
      <w:r>
        <w:separator/>
      </w:r>
    </w:p>
  </w:footnote>
  <w:footnote w:type="continuationSeparator" w:id="0">
    <w:p w14:paraId="6232760D" w14:textId="77777777" w:rsidR="00586F6A" w:rsidRDefault="00586F6A"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CCBD" w14:textId="77777777" w:rsidR="001A3E13" w:rsidRPr="00057769" w:rsidRDefault="001A3E13" w:rsidP="001A3E13">
    <w:pPr>
      <w:pStyle w:val="Header"/>
    </w:pPr>
    <w:r>
      <w:rPr>
        <w:noProof/>
      </w:rPr>
      <w:drawing>
        <wp:inline distT="0" distB="0" distL="0" distR="0" wp14:anchorId="52FF1C3A" wp14:editId="1FEABD35">
          <wp:extent cx="5760085" cy="840740"/>
          <wp:effectExtent l="0" t="0" r="0" b="0"/>
          <wp:docPr id="149653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511" name="Picture 1496537511"/>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80289017">
    <w:abstractNumId w:val="9"/>
  </w:num>
  <w:num w:numId="2" w16cid:durableId="887649864">
    <w:abstractNumId w:val="7"/>
  </w:num>
  <w:num w:numId="3" w16cid:durableId="1729953975">
    <w:abstractNumId w:val="6"/>
  </w:num>
  <w:num w:numId="4" w16cid:durableId="1654673720">
    <w:abstractNumId w:val="5"/>
  </w:num>
  <w:num w:numId="5" w16cid:durableId="111947995">
    <w:abstractNumId w:val="4"/>
  </w:num>
  <w:num w:numId="6" w16cid:durableId="1603680573">
    <w:abstractNumId w:val="8"/>
  </w:num>
  <w:num w:numId="7" w16cid:durableId="1145901361">
    <w:abstractNumId w:val="3"/>
  </w:num>
  <w:num w:numId="8" w16cid:durableId="2008824747">
    <w:abstractNumId w:val="2"/>
  </w:num>
  <w:num w:numId="9" w16cid:durableId="849877453">
    <w:abstractNumId w:val="1"/>
  </w:num>
  <w:num w:numId="10" w16cid:durableId="1274248533">
    <w:abstractNumId w:val="0"/>
  </w:num>
  <w:num w:numId="11" w16cid:durableId="1381901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F6A"/>
    <w:rsid w:val="000116AF"/>
    <w:rsid w:val="0006468A"/>
    <w:rsid w:val="00077A58"/>
    <w:rsid w:val="00090574"/>
    <w:rsid w:val="000C1C0E"/>
    <w:rsid w:val="000C548A"/>
    <w:rsid w:val="001803B1"/>
    <w:rsid w:val="00191059"/>
    <w:rsid w:val="00191E1A"/>
    <w:rsid w:val="001A3E13"/>
    <w:rsid w:val="001B6E2B"/>
    <w:rsid w:val="001C0169"/>
    <w:rsid w:val="001C0C21"/>
    <w:rsid w:val="001D1D50"/>
    <w:rsid w:val="001D64C7"/>
    <w:rsid w:val="001D6745"/>
    <w:rsid w:val="001D712E"/>
    <w:rsid w:val="001E2596"/>
    <w:rsid w:val="001E446E"/>
    <w:rsid w:val="002154EE"/>
    <w:rsid w:val="002276D2"/>
    <w:rsid w:val="0023283D"/>
    <w:rsid w:val="00254393"/>
    <w:rsid w:val="00257658"/>
    <w:rsid w:val="0026373E"/>
    <w:rsid w:val="00271C43"/>
    <w:rsid w:val="002728EC"/>
    <w:rsid w:val="00290728"/>
    <w:rsid w:val="002978F4"/>
    <w:rsid w:val="002B028D"/>
    <w:rsid w:val="002C3F32"/>
    <w:rsid w:val="002E6541"/>
    <w:rsid w:val="0031034A"/>
    <w:rsid w:val="00334924"/>
    <w:rsid w:val="003409BC"/>
    <w:rsid w:val="00357185"/>
    <w:rsid w:val="00383829"/>
    <w:rsid w:val="003D3BDF"/>
    <w:rsid w:val="003F4B29"/>
    <w:rsid w:val="00410B26"/>
    <w:rsid w:val="00420F8A"/>
    <w:rsid w:val="0042686F"/>
    <w:rsid w:val="004317D8"/>
    <w:rsid w:val="0043260A"/>
    <w:rsid w:val="00434183"/>
    <w:rsid w:val="00443869"/>
    <w:rsid w:val="00447F32"/>
    <w:rsid w:val="00491BA9"/>
    <w:rsid w:val="00494119"/>
    <w:rsid w:val="004A4701"/>
    <w:rsid w:val="004B7334"/>
    <w:rsid w:val="004E11DC"/>
    <w:rsid w:val="005130DE"/>
    <w:rsid w:val="00513157"/>
    <w:rsid w:val="00525DDD"/>
    <w:rsid w:val="005409AC"/>
    <w:rsid w:val="005434E0"/>
    <w:rsid w:val="005546CF"/>
    <w:rsid w:val="0055516A"/>
    <w:rsid w:val="0058491B"/>
    <w:rsid w:val="00586F6A"/>
    <w:rsid w:val="00592EA5"/>
    <w:rsid w:val="005A3170"/>
    <w:rsid w:val="0063056D"/>
    <w:rsid w:val="00630CC1"/>
    <w:rsid w:val="00657019"/>
    <w:rsid w:val="00660DEA"/>
    <w:rsid w:val="00677396"/>
    <w:rsid w:val="00683F16"/>
    <w:rsid w:val="0069200F"/>
    <w:rsid w:val="006A65CB"/>
    <w:rsid w:val="006B12E5"/>
    <w:rsid w:val="006C3242"/>
    <w:rsid w:val="006C7CC0"/>
    <w:rsid w:val="006F363C"/>
    <w:rsid w:val="006F63F7"/>
    <w:rsid w:val="007025C7"/>
    <w:rsid w:val="00706D7A"/>
    <w:rsid w:val="00722F0D"/>
    <w:rsid w:val="00735081"/>
    <w:rsid w:val="0074420E"/>
    <w:rsid w:val="00750D93"/>
    <w:rsid w:val="007648A6"/>
    <w:rsid w:val="0077110E"/>
    <w:rsid w:val="00783E26"/>
    <w:rsid w:val="007A6684"/>
    <w:rsid w:val="007B0AA0"/>
    <w:rsid w:val="007C3BC7"/>
    <w:rsid w:val="007C3BCD"/>
    <w:rsid w:val="007D4ACF"/>
    <w:rsid w:val="007F0787"/>
    <w:rsid w:val="00810B7B"/>
    <w:rsid w:val="0082358A"/>
    <w:rsid w:val="008235CD"/>
    <w:rsid w:val="008247DE"/>
    <w:rsid w:val="008339C0"/>
    <w:rsid w:val="00840B10"/>
    <w:rsid w:val="008513CB"/>
    <w:rsid w:val="00874E9F"/>
    <w:rsid w:val="008A7F84"/>
    <w:rsid w:val="0091702E"/>
    <w:rsid w:val="00923B0C"/>
    <w:rsid w:val="00924F46"/>
    <w:rsid w:val="00935AAC"/>
    <w:rsid w:val="0093725D"/>
    <w:rsid w:val="0094021C"/>
    <w:rsid w:val="00952F86"/>
    <w:rsid w:val="0096716C"/>
    <w:rsid w:val="00982B28"/>
    <w:rsid w:val="009868AC"/>
    <w:rsid w:val="009D313F"/>
    <w:rsid w:val="00A47A5A"/>
    <w:rsid w:val="00A63AE6"/>
    <w:rsid w:val="00A6683B"/>
    <w:rsid w:val="00A67F05"/>
    <w:rsid w:val="00A97F94"/>
    <w:rsid w:val="00AA7EA2"/>
    <w:rsid w:val="00AB5A56"/>
    <w:rsid w:val="00B03099"/>
    <w:rsid w:val="00B05BC8"/>
    <w:rsid w:val="00B243B2"/>
    <w:rsid w:val="00B30F5E"/>
    <w:rsid w:val="00B64B47"/>
    <w:rsid w:val="00B95654"/>
    <w:rsid w:val="00B97F32"/>
    <w:rsid w:val="00BA04B2"/>
    <w:rsid w:val="00BE7075"/>
    <w:rsid w:val="00C002DE"/>
    <w:rsid w:val="00C0602B"/>
    <w:rsid w:val="00C224DA"/>
    <w:rsid w:val="00C53BF8"/>
    <w:rsid w:val="00C66157"/>
    <w:rsid w:val="00C674FE"/>
    <w:rsid w:val="00C67501"/>
    <w:rsid w:val="00C75633"/>
    <w:rsid w:val="00CA55B1"/>
    <w:rsid w:val="00CE2EE1"/>
    <w:rsid w:val="00CE3349"/>
    <w:rsid w:val="00CE36E5"/>
    <w:rsid w:val="00CE4360"/>
    <w:rsid w:val="00CF27F5"/>
    <w:rsid w:val="00CF3FFD"/>
    <w:rsid w:val="00D10CCF"/>
    <w:rsid w:val="00D13941"/>
    <w:rsid w:val="00D23F5F"/>
    <w:rsid w:val="00D43F7D"/>
    <w:rsid w:val="00D63735"/>
    <w:rsid w:val="00D77D0F"/>
    <w:rsid w:val="00DA1CF0"/>
    <w:rsid w:val="00DA6A30"/>
    <w:rsid w:val="00DC1E02"/>
    <w:rsid w:val="00DC24B4"/>
    <w:rsid w:val="00DC5FB0"/>
    <w:rsid w:val="00DF16DC"/>
    <w:rsid w:val="00E45211"/>
    <w:rsid w:val="00E473C5"/>
    <w:rsid w:val="00E61BE8"/>
    <w:rsid w:val="00E83FF1"/>
    <w:rsid w:val="00E92863"/>
    <w:rsid w:val="00E979B2"/>
    <w:rsid w:val="00EB796D"/>
    <w:rsid w:val="00F058DC"/>
    <w:rsid w:val="00F24FC4"/>
    <w:rsid w:val="00F2676C"/>
    <w:rsid w:val="00F363FE"/>
    <w:rsid w:val="00F50E3F"/>
    <w:rsid w:val="00F74100"/>
    <w:rsid w:val="00F84366"/>
    <w:rsid w:val="00F84F64"/>
    <w:rsid w:val="00F85089"/>
    <w:rsid w:val="00F974C5"/>
    <w:rsid w:val="00FA3763"/>
    <w:rsid w:val="00FA6F46"/>
    <w:rsid w:val="00FC0E94"/>
    <w:rsid w:val="00FC4592"/>
    <w:rsid w:val="00FD527F"/>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219EDA1"/>
  <w15:chartTrackingRefBased/>
  <w15:docId w15:val="{9F2BD9BF-C312-43D0-B8D9-5AC28516B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81"/>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077A58"/>
    <w:pPr>
      <w:spacing w:before="80" w:after="80"/>
      <w:ind w:left="794" w:hanging="794"/>
      <w:outlineLvl w:val="0"/>
    </w:pPr>
    <w:rPr>
      <w:lang w:bidi="ar-SY"/>
    </w:rPr>
  </w:style>
  <w:style w:type="paragraph" w:customStyle="1" w:styleId="enumlev2">
    <w:name w:val="enumlev2"/>
    <w:basedOn w:val="Normal"/>
    <w:next w:val="enumlev1"/>
    <w:qFormat/>
    <w:rsid w:val="00077A58"/>
    <w:pPr>
      <w:spacing w:before="80" w:after="80"/>
      <w:ind w:left="1588" w:hanging="794"/>
      <w:outlineLvl w:val="1"/>
    </w:pPr>
  </w:style>
  <w:style w:type="paragraph" w:customStyle="1" w:styleId="enumlev3">
    <w:name w:val="enumlev3"/>
    <w:basedOn w:val="Normal"/>
    <w:qFormat/>
    <w:rsid w:val="00077A58"/>
    <w:pPr>
      <w:spacing w:before="80" w:after="80"/>
      <w:ind w:left="2382" w:hanging="794"/>
      <w:outlineLvl w:val="2"/>
    </w:pPr>
    <w:rPr>
      <w:lang w:bidi="ar-SY"/>
    </w:rPr>
  </w:style>
  <w:style w:type="paragraph" w:customStyle="1" w:styleId="Figurelegend">
    <w:name w:val="Figure_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aliases w:val="Footnote_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_No"/>
    <w:basedOn w:val="Normal"/>
    <w:qFormat/>
    <w:rsid w:val="00F974C5"/>
    <w:pPr>
      <w:keepNext/>
      <w:keepLines/>
      <w:spacing w:before="36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_No"/>
    <w:basedOn w:val="Normal"/>
    <w:qFormat/>
    <w:rsid w:val="00F974C5"/>
    <w:pPr>
      <w:keepNext/>
      <w:spacing w:before="24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qFormat/>
    <w:rsid w:val="00F974C5"/>
    <w:pPr>
      <w:keepNext/>
      <w:spacing w:before="24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F974C5"/>
    <w:pPr>
      <w:keepNext/>
      <w:spacing w:before="60" w:after="60" w:line="260" w:lineRule="exact"/>
      <w:jc w:val="center"/>
    </w:pPr>
    <w:rPr>
      <w:b/>
      <w:bCs/>
      <w:sz w:val="20"/>
      <w:szCs w:val="20"/>
    </w:rPr>
  </w:style>
  <w:style w:type="paragraph" w:customStyle="1" w:styleId="Tabletexte">
    <w:name w:val="Table_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_No"/>
    <w:basedOn w:val="Normal"/>
    <w:qFormat/>
    <w:rsid w:val="00F974C5"/>
    <w:pPr>
      <w:keepNext/>
      <w:spacing w:before="36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96716C"/>
    <w:rPr>
      <w:rFonts w:ascii="Dubai" w:hAnsi="Dubai" w:cs="Dubai"/>
      <w:noProof/>
      <w:color w:val="5B9BD5"/>
      <w:u w:val="single" w:color="5B9BD5"/>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_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F974C5"/>
    <w:pPr>
      <w:spacing w:before="80"/>
    </w:pPr>
    <w:rPr>
      <w:lang w:bidi="ar-SY"/>
    </w:rPr>
  </w:style>
  <w:style w:type="paragraph" w:customStyle="1" w:styleId="Headingb">
    <w:name w:val="Heading_b"/>
    <w:basedOn w:val="Normal"/>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character" w:styleId="FollowedHyperlink">
    <w:name w:val="FollowedHyperlink"/>
    <w:basedOn w:val="DefaultParagraphFont"/>
    <w:uiPriority w:val="99"/>
    <w:semiHidden/>
    <w:unhideWhenUsed/>
    <w:rsid w:val="000116AF"/>
    <w:rPr>
      <w:color w:val="954F72" w:themeColor="followedHyperlink"/>
      <w:u w:val="single"/>
    </w:rPr>
  </w:style>
  <w:style w:type="paragraph" w:styleId="Revision">
    <w:name w:val="Revision"/>
    <w:hidden/>
    <w:uiPriority w:val="99"/>
    <w:semiHidden/>
    <w:rsid w:val="00B243B2"/>
    <w:pPr>
      <w:spacing w:after="0" w:line="240" w:lineRule="auto"/>
    </w:pPr>
    <w:rPr>
      <w:rFonts w:ascii="Dubai" w:hAnsi="Dubai" w:cs="Duba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en/council/Documents/basic-texts-2023/DEC-011-A.pdf" TargetMode="External"/><Relationship Id="rId13" Type="http://schemas.openxmlformats.org/officeDocument/2006/relationships/hyperlink" Target="http://www.itu.int/md/S24-CWGFHR17-C-0024/en" TargetMode="External"/><Relationship Id="rId18" Type="http://schemas.openxmlformats.org/officeDocument/2006/relationships/hyperlink" Target="http://www.itu.int/md/S26-CWGFHR22-C-0036/en"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itu.int/md/S23-CWGFHR16-C-0026/en" TargetMode="External"/><Relationship Id="rId17" Type="http://schemas.openxmlformats.org/officeDocument/2006/relationships/hyperlink" Target="http://www.itu.int/md/S25-CWGFHR21-C-0025/en" TargetMode="External"/><Relationship Id="rId2" Type="http://schemas.openxmlformats.org/officeDocument/2006/relationships/numbering" Target="numbering.xml"/><Relationship Id="rId16" Type="http://schemas.openxmlformats.org/officeDocument/2006/relationships/hyperlink" Target="http://www.itu.int/md/S25-CWGFHR20-C-0032/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3-CL-C-0129/en&#8206;" TargetMode="External"/><Relationship Id="rId5" Type="http://schemas.openxmlformats.org/officeDocument/2006/relationships/webSettings" Target="webSettings.xml"/><Relationship Id="rId15" Type="http://schemas.openxmlformats.org/officeDocument/2006/relationships/hyperlink" Target="http://www.itu.int/md/S24-CWGFHR19-C-0015/en" TargetMode="External"/><Relationship Id="rId23" Type="http://schemas.openxmlformats.org/officeDocument/2006/relationships/theme" Target="theme/theme1.xml"/><Relationship Id="rId10" Type="http://schemas.openxmlformats.org/officeDocument/2006/relationships/hyperlink" Target="https://www.itu.int/en/council/cwg-fhr/Pages/default.asp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tu.int/md/S23-CL-C-0129/en" TargetMode="External"/><Relationship Id="rId14" Type="http://schemas.openxmlformats.org/officeDocument/2006/relationships/hyperlink" Target="http://www.itu.int/md/S24-CWGFHR18-C-0009/en"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ARA\Arabic%20Pool\Templates\Arabic%20Templates%202026\SG\PA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PA_Council26.dotx</Template>
  <TotalTime>0</TotalTime>
  <Pages>6</Pages>
  <Words>2094</Words>
  <Characters>11459</Characters>
  <Application>Microsoft Office Word</Application>
  <DocSecurity>0</DocSecurity>
  <Lines>309</Lines>
  <Paragraphs>122</Paragraphs>
  <ScaleCrop>false</ScaleCrop>
  <HeadingPairs>
    <vt:vector size="2" baseType="variant">
      <vt:variant>
        <vt:lpstr>Title</vt:lpstr>
      </vt:variant>
      <vt:variant>
        <vt:i4>1</vt:i4>
      </vt:variant>
    </vt:vector>
  </HeadingPairs>
  <TitlesOfParts>
    <vt:vector size="1" baseType="lpstr">
      <vt:lpstr/>
    </vt:vector>
  </TitlesOfParts>
  <Company>International Telecommunication Union</Company>
  <LinksUpToDate>false</LinksUpToDate>
  <CharactersWithSpaces>13431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Four-year report of the Council Working Group on financial and human resources</dc:title>
  <dc:subject>ITU Council 2026</dc:subject>
  <cp:keywords>C26; C2026; Council 2026; PP26</cp:keywords>
  <dc:description/>
  <dcterms:created xsi:type="dcterms:W3CDTF">2026-05-01T11:36:00Z</dcterms:created>
  <dcterms:modified xsi:type="dcterms:W3CDTF">2026-05-01T11:36:00Z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