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9A65F0" w14:paraId="755612EC" w14:textId="77777777" w:rsidTr="00C4421B">
        <w:trPr>
          <w:cantSplit/>
          <w:trHeight w:val="23"/>
        </w:trPr>
        <w:tc>
          <w:tcPr>
            <w:tcW w:w="3969" w:type="dxa"/>
            <w:vMerge w:val="restart"/>
            <w:tcMar>
              <w:left w:w="0" w:type="dxa"/>
            </w:tcMar>
          </w:tcPr>
          <w:p w14:paraId="1DD6BB33" w14:textId="4433021B" w:rsidR="00FE57F6" w:rsidRPr="009A65F0" w:rsidRDefault="009E1ECE" w:rsidP="00C4421B">
            <w:pPr>
              <w:tabs>
                <w:tab w:val="left" w:pos="851"/>
              </w:tabs>
              <w:spacing w:before="0" w:line="240" w:lineRule="atLeast"/>
              <w:rPr>
                <w:b/>
                <w:lang w:val="es-ES_tradnl"/>
              </w:rPr>
            </w:pPr>
            <w:bookmarkStart w:id="0" w:name="_Hlk133421839"/>
            <w:r w:rsidRPr="009A65F0">
              <w:rPr>
                <w:b/>
                <w:lang w:val="es-ES_tradnl"/>
              </w:rPr>
              <w:t>Punto del o</w:t>
            </w:r>
            <w:r w:rsidR="00BB6FD8" w:rsidRPr="009A65F0">
              <w:rPr>
                <w:b/>
                <w:lang w:val="es-ES_tradnl"/>
              </w:rPr>
              <w:t>rden del día</w:t>
            </w:r>
            <w:r w:rsidR="00FE57F6" w:rsidRPr="009A65F0">
              <w:rPr>
                <w:b/>
                <w:lang w:val="es-ES_tradnl"/>
              </w:rPr>
              <w:t xml:space="preserve">: </w:t>
            </w:r>
            <w:r w:rsidRPr="009A65F0">
              <w:rPr>
                <w:b/>
                <w:lang w:val="es-ES_tradnl"/>
              </w:rPr>
              <w:t>PL-2</w:t>
            </w:r>
          </w:p>
        </w:tc>
        <w:tc>
          <w:tcPr>
            <w:tcW w:w="5245" w:type="dxa"/>
          </w:tcPr>
          <w:p w14:paraId="51D862E0" w14:textId="5ECD945D" w:rsidR="00FE57F6" w:rsidRPr="009A65F0" w:rsidRDefault="00FE57F6" w:rsidP="00C4421B">
            <w:pPr>
              <w:tabs>
                <w:tab w:val="left" w:pos="851"/>
              </w:tabs>
              <w:spacing w:before="0" w:line="240" w:lineRule="atLeast"/>
              <w:jc w:val="right"/>
              <w:rPr>
                <w:b/>
                <w:lang w:val="es-ES_tradnl"/>
              </w:rPr>
            </w:pPr>
            <w:r w:rsidRPr="009A65F0">
              <w:rPr>
                <w:b/>
                <w:lang w:val="es-ES_tradnl"/>
              </w:rPr>
              <w:t>Document</w:t>
            </w:r>
            <w:r w:rsidR="00F24B71" w:rsidRPr="009A65F0">
              <w:rPr>
                <w:b/>
                <w:lang w:val="es-ES_tradnl"/>
              </w:rPr>
              <w:t>o</w:t>
            </w:r>
            <w:r w:rsidRPr="009A65F0">
              <w:rPr>
                <w:b/>
                <w:lang w:val="es-ES_tradnl"/>
              </w:rPr>
              <w:t xml:space="preserve"> </w:t>
            </w:r>
            <w:proofErr w:type="spellStart"/>
            <w:r w:rsidRPr="009A65F0">
              <w:rPr>
                <w:b/>
                <w:lang w:val="es-ES_tradnl"/>
              </w:rPr>
              <w:t>C2</w:t>
            </w:r>
            <w:r w:rsidR="00F85E5C" w:rsidRPr="009A65F0">
              <w:rPr>
                <w:b/>
                <w:lang w:val="es-ES_tradnl"/>
              </w:rPr>
              <w:t>6</w:t>
            </w:r>
            <w:proofErr w:type="spellEnd"/>
            <w:r w:rsidRPr="009A65F0">
              <w:rPr>
                <w:b/>
                <w:lang w:val="es-ES_tradnl"/>
              </w:rPr>
              <w:t>/</w:t>
            </w:r>
            <w:r w:rsidR="009E1ECE" w:rsidRPr="009A65F0">
              <w:rPr>
                <w:b/>
                <w:lang w:val="es-ES_tradnl"/>
              </w:rPr>
              <w:t>52</w:t>
            </w:r>
            <w:r w:rsidRPr="009A65F0">
              <w:rPr>
                <w:b/>
                <w:lang w:val="es-ES_tradnl"/>
              </w:rPr>
              <w:t>-</w:t>
            </w:r>
            <w:r w:rsidR="00F24B71" w:rsidRPr="009A65F0">
              <w:rPr>
                <w:b/>
                <w:lang w:val="es-ES_tradnl"/>
              </w:rPr>
              <w:t>S</w:t>
            </w:r>
          </w:p>
        </w:tc>
      </w:tr>
      <w:tr w:rsidR="00FE57F6" w:rsidRPr="009A65F0" w14:paraId="10D382A8" w14:textId="77777777" w:rsidTr="00C4421B">
        <w:trPr>
          <w:cantSplit/>
        </w:trPr>
        <w:tc>
          <w:tcPr>
            <w:tcW w:w="3969" w:type="dxa"/>
            <w:vMerge/>
          </w:tcPr>
          <w:p w14:paraId="0220E8FD" w14:textId="77777777" w:rsidR="00FE57F6" w:rsidRPr="009A65F0" w:rsidRDefault="00FE57F6" w:rsidP="00C4421B">
            <w:pPr>
              <w:tabs>
                <w:tab w:val="left" w:pos="851"/>
              </w:tabs>
              <w:spacing w:line="240" w:lineRule="atLeast"/>
              <w:rPr>
                <w:b/>
                <w:lang w:val="es-ES_tradnl"/>
              </w:rPr>
            </w:pPr>
          </w:p>
        </w:tc>
        <w:tc>
          <w:tcPr>
            <w:tcW w:w="5245" w:type="dxa"/>
          </w:tcPr>
          <w:p w14:paraId="4396F220" w14:textId="05DB792F" w:rsidR="00FE57F6" w:rsidRPr="009A65F0" w:rsidRDefault="009E1ECE" w:rsidP="00C4421B">
            <w:pPr>
              <w:tabs>
                <w:tab w:val="left" w:pos="851"/>
              </w:tabs>
              <w:spacing w:before="0"/>
              <w:jc w:val="right"/>
              <w:rPr>
                <w:b/>
                <w:lang w:val="es-ES_tradnl"/>
              </w:rPr>
            </w:pPr>
            <w:r w:rsidRPr="009A65F0">
              <w:rPr>
                <w:b/>
                <w:lang w:val="es-ES_tradnl"/>
              </w:rPr>
              <w:t>2</w:t>
            </w:r>
            <w:r w:rsidR="00210647" w:rsidRPr="009A65F0">
              <w:rPr>
                <w:b/>
                <w:lang w:val="es-ES_tradnl"/>
              </w:rPr>
              <w:t>7</w:t>
            </w:r>
            <w:r w:rsidRPr="009A65F0">
              <w:rPr>
                <w:b/>
                <w:lang w:val="es-ES_tradnl"/>
              </w:rPr>
              <w:t xml:space="preserve"> de marzo de 2026</w:t>
            </w:r>
          </w:p>
        </w:tc>
      </w:tr>
      <w:tr w:rsidR="00FE57F6" w:rsidRPr="009A65F0" w14:paraId="4FF06AAF" w14:textId="77777777" w:rsidTr="00C4421B">
        <w:trPr>
          <w:cantSplit/>
          <w:trHeight w:val="23"/>
        </w:trPr>
        <w:tc>
          <w:tcPr>
            <w:tcW w:w="3969" w:type="dxa"/>
            <w:vMerge/>
          </w:tcPr>
          <w:p w14:paraId="1D482706" w14:textId="77777777" w:rsidR="00FE57F6" w:rsidRPr="009A65F0" w:rsidRDefault="00FE57F6" w:rsidP="00C4421B">
            <w:pPr>
              <w:tabs>
                <w:tab w:val="left" w:pos="851"/>
              </w:tabs>
              <w:spacing w:line="240" w:lineRule="atLeast"/>
              <w:rPr>
                <w:b/>
                <w:lang w:val="es-ES_tradnl"/>
              </w:rPr>
            </w:pPr>
          </w:p>
        </w:tc>
        <w:tc>
          <w:tcPr>
            <w:tcW w:w="5245" w:type="dxa"/>
          </w:tcPr>
          <w:p w14:paraId="740DC94C" w14:textId="77777777" w:rsidR="00FE57F6" w:rsidRPr="009A65F0" w:rsidRDefault="00F24B71" w:rsidP="00C4421B">
            <w:pPr>
              <w:tabs>
                <w:tab w:val="left" w:pos="851"/>
              </w:tabs>
              <w:spacing w:before="0" w:line="240" w:lineRule="atLeast"/>
              <w:jc w:val="right"/>
              <w:rPr>
                <w:b/>
                <w:bCs/>
                <w:lang w:val="es-ES_tradnl"/>
              </w:rPr>
            </w:pPr>
            <w:r w:rsidRPr="009A65F0">
              <w:rPr>
                <w:rFonts w:cstheme="minorHAnsi"/>
                <w:b/>
                <w:bCs/>
                <w:lang w:val="es-ES_tradnl"/>
              </w:rPr>
              <w:t>Original: inglés</w:t>
            </w:r>
          </w:p>
        </w:tc>
      </w:tr>
      <w:tr w:rsidR="00FE57F6" w:rsidRPr="009A65F0" w14:paraId="2DA59CBC" w14:textId="77777777" w:rsidTr="00C4421B">
        <w:trPr>
          <w:cantSplit/>
          <w:trHeight w:val="23"/>
        </w:trPr>
        <w:tc>
          <w:tcPr>
            <w:tcW w:w="3969" w:type="dxa"/>
          </w:tcPr>
          <w:p w14:paraId="5539A200" w14:textId="77777777" w:rsidR="00FE57F6" w:rsidRPr="009A65F0" w:rsidRDefault="00FE57F6" w:rsidP="00C4421B">
            <w:pPr>
              <w:tabs>
                <w:tab w:val="left" w:pos="851"/>
              </w:tabs>
              <w:spacing w:line="240" w:lineRule="atLeast"/>
              <w:rPr>
                <w:b/>
                <w:lang w:val="es-ES_tradnl"/>
              </w:rPr>
            </w:pPr>
          </w:p>
        </w:tc>
        <w:tc>
          <w:tcPr>
            <w:tcW w:w="5245" w:type="dxa"/>
          </w:tcPr>
          <w:p w14:paraId="1F08BF75" w14:textId="77777777" w:rsidR="00FE57F6" w:rsidRPr="009A65F0" w:rsidRDefault="00FE57F6" w:rsidP="00C4421B">
            <w:pPr>
              <w:tabs>
                <w:tab w:val="left" w:pos="851"/>
              </w:tabs>
              <w:spacing w:before="0" w:line="240" w:lineRule="atLeast"/>
              <w:jc w:val="right"/>
              <w:rPr>
                <w:b/>
                <w:lang w:val="es-ES_tradnl"/>
              </w:rPr>
            </w:pPr>
          </w:p>
        </w:tc>
      </w:tr>
      <w:tr w:rsidR="00FE57F6" w:rsidRPr="009A65F0" w14:paraId="0B42463B" w14:textId="77777777" w:rsidTr="00C4421B">
        <w:trPr>
          <w:cantSplit/>
        </w:trPr>
        <w:tc>
          <w:tcPr>
            <w:tcW w:w="9214" w:type="dxa"/>
            <w:gridSpan w:val="2"/>
            <w:tcMar>
              <w:left w:w="0" w:type="dxa"/>
            </w:tcMar>
          </w:tcPr>
          <w:p w14:paraId="457A98BC" w14:textId="46CC44FA" w:rsidR="00FE57F6" w:rsidRPr="009A65F0" w:rsidRDefault="00157AC4" w:rsidP="009A65F0">
            <w:pPr>
              <w:pStyle w:val="Source"/>
              <w:framePr w:hSpace="0" w:wrap="auto" w:vAnchor="margin" w:hAnchor="text" w:xAlign="left" w:yAlign="inline"/>
            </w:pPr>
            <w:r w:rsidRPr="009A65F0">
              <w:t xml:space="preserve">Informe </w:t>
            </w:r>
            <w:r w:rsidR="009E1ECE" w:rsidRPr="009A65F0">
              <w:t xml:space="preserve">del Presidente del </w:t>
            </w:r>
            <w:proofErr w:type="spellStart"/>
            <w:r w:rsidR="009E1ECE" w:rsidRPr="009A65F0">
              <w:t>GTC</w:t>
            </w:r>
            <w:proofErr w:type="spellEnd"/>
            <w:r w:rsidR="009E1ECE" w:rsidRPr="009A65F0">
              <w:t>-Internet</w:t>
            </w:r>
          </w:p>
        </w:tc>
      </w:tr>
      <w:tr w:rsidR="00FE57F6" w:rsidRPr="009A65F0" w14:paraId="2588D98C" w14:textId="77777777" w:rsidTr="00C4421B">
        <w:trPr>
          <w:cantSplit/>
        </w:trPr>
        <w:tc>
          <w:tcPr>
            <w:tcW w:w="9214" w:type="dxa"/>
            <w:gridSpan w:val="2"/>
            <w:tcMar>
              <w:left w:w="0" w:type="dxa"/>
            </w:tcMar>
          </w:tcPr>
          <w:p w14:paraId="088D086C" w14:textId="15AE8522" w:rsidR="00FE57F6" w:rsidRPr="009A65F0" w:rsidRDefault="009A65F0" w:rsidP="00C4421B">
            <w:pPr>
              <w:pStyle w:val="Subtitle"/>
              <w:framePr w:hSpace="0" w:wrap="auto" w:hAnchor="text" w:xAlign="left" w:yAlign="inline"/>
              <w:rPr>
                <w:lang w:val="es-ES_tradnl"/>
              </w:rPr>
            </w:pPr>
            <w:r w:rsidRPr="009A65F0">
              <w:rPr>
                <w:color w:val="000000"/>
                <w:lang w:val="es-ES_tradnl"/>
              </w:rPr>
              <w:t>INFORME CUATRIENAL DEL GRUPO DE TRABAJO DEL CONSEJO SOBRE CUESTIONES DE POLÍTICA PÚBLICA INTERNACIONAL RELACIONADAS CON INTERNET</w:t>
            </w:r>
          </w:p>
        </w:tc>
      </w:tr>
      <w:tr w:rsidR="00FE57F6" w:rsidRPr="009A65F0" w14:paraId="72215BED" w14:textId="77777777" w:rsidTr="00C4421B">
        <w:trPr>
          <w:cantSplit/>
        </w:trPr>
        <w:tc>
          <w:tcPr>
            <w:tcW w:w="9214" w:type="dxa"/>
            <w:gridSpan w:val="2"/>
            <w:tcBorders>
              <w:top w:val="single" w:sz="4" w:space="0" w:color="auto"/>
              <w:bottom w:val="single" w:sz="4" w:space="0" w:color="auto"/>
            </w:tcBorders>
            <w:tcMar>
              <w:left w:w="0" w:type="dxa"/>
            </w:tcMar>
          </w:tcPr>
          <w:p w14:paraId="0E0EA030" w14:textId="77777777" w:rsidR="00FE57F6" w:rsidRPr="009A65F0" w:rsidRDefault="00F24B71" w:rsidP="00C4421B">
            <w:pPr>
              <w:spacing w:before="160"/>
              <w:rPr>
                <w:b/>
                <w:bCs/>
                <w:sz w:val="26"/>
                <w:szCs w:val="26"/>
                <w:lang w:val="es-ES_tradnl"/>
              </w:rPr>
            </w:pPr>
            <w:r w:rsidRPr="009A65F0">
              <w:rPr>
                <w:b/>
                <w:bCs/>
                <w:sz w:val="26"/>
                <w:szCs w:val="26"/>
                <w:lang w:val="es-ES_tradnl"/>
              </w:rPr>
              <w:t>Finalidad</w:t>
            </w:r>
          </w:p>
          <w:p w14:paraId="6223FA1F" w14:textId="575DBBFE" w:rsidR="00FE57F6" w:rsidRPr="009A65F0" w:rsidRDefault="009E1ECE" w:rsidP="0019149E">
            <w:pPr>
              <w:jc w:val="both"/>
              <w:rPr>
                <w:lang w:val="es-ES_tradnl"/>
              </w:rPr>
            </w:pPr>
            <w:r w:rsidRPr="009A65F0">
              <w:rPr>
                <w:lang w:val="es-ES_tradnl"/>
              </w:rPr>
              <w:t xml:space="preserve">En el presente Informe se resumen los principales resultados de las reuniones del </w:t>
            </w:r>
            <w:proofErr w:type="spellStart"/>
            <w:r w:rsidRPr="009A65F0">
              <w:rPr>
                <w:lang w:val="es-ES_tradnl"/>
              </w:rPr>
              <w:t>GTC</w:t>
            </w:r>
            <w:proofErr w:type="spellEnd"/>
            <w:r w:rsidRPr="009A65F0">
              <w:rPr>
                <w:lang w:val="es-ES_tradnl"/>
              </w:rPr>
              <w:noBreakHyphen/>
              <w:t>Internet celebradas entre octubre de 2023 y enero de 2026, de conformidad con las Resoluciones</w:t>
            </w:r>
            <w:r w:rsidR="0089455A" w:rsidRPr="009A65F0">
              <w:rPr>
                <w:lang w:val="es-ES_tradnl"/>
              </w:rPr>
              <w:t> </w:t>
            </w:r>
            <w:r w:rsidRPr="009A65F0">
              <w:rPr>
                <w:lang w:val="es-ES_tradnl"/>
              </w:rPr>
              <w:t>102 (Rev. Bucarest, 2022) y 140 (Rev. Bucarest, 2022) de la PP y la Resolución 1305 (Mod. 2019) y 1336 (Mod. 2019).</w:t>
            </w:r>
          </w:p>
          <w:p w14:paraId="193F694E" w14:textId="77777777" w:rsidR="00FE57F6" w:rsidRPr="009A65F0" w:rsidRDefault="00F24B71" w:rsidP="00C4421B">
            <w:pPr>
              <w:spacing w:before="160"/>
              <w:rPr>
                <w:b/>
                <w:bCs/>
                <w:sz w:val="26"/>
                <w:szCs w:val="26"/>
                <w:lang w:val="es-ES_tradnl"/>
              </w:rPr>
            </w:pPr>
            <w:r w:rsidRPr="009A65F0">
              <w:rPr>
                <w:b/>
                <w:bCs/>
                <w:sz w:val="26"/>
                <w:szCs w:val="26"/>
                <w:lang w:val="es-ES_tradnl"/>
              </w:rPr>
              <w:t xml:space="preserve">Acción solicitada </w:t>
            </w:r>
            <w:r w:rsidR="00677A97" w:rsidRPr="009A65F0">
              <w:rPr>
                <w:b/>
                <w:bCs/>
                <w:sz w:val="26"/>
                <w:szCs w:val="26"/>
                <w:lang w:val="es-ES_tradnl"/>
              </w:rPr>
              <w:t>al</w:t>
            </w:r>
            <w:r w:rsidRPr="009A65F0">
              <w:rPr>
                <w:b/>
                <w:bCs/>
                <w:sz w:val="26"/>
                <w:szCs w:val="26"/>
                <w:lang w:val="es-ES_tradnl"/>
              </w:rPr>
              <w:t xml:space="preserve"> Consejo</w:t>
            </w:r>
          </w:p>
          <w:p w14:paraId="30B79A59" w14:textId="3294C0DE" w:rsidR="00F92BED" w:rsidRPr="009A65F0" w:rsidRDefault="009E1ECE" w:rsidP="0019149E">
            <w:pPr>
              <w:spacing w:before="160"/>
              <w:jc w:val="both"/>
              <w:rPr>
                <w:szCs w:val="24"/>
                <w:lang w:val="es-ES_tradnl"/>
              </w:rPr>
            </w:pPr>
            <w:r w:rsidRPr="009A65F0">
              <w:rPr>
                <w:lang w:val="es-ES_tradnl"/>
              </w:rPr>
              <w:t xml:space="preserve">Se invita al Consejo a </w:t>
            </w:r>
            <w:r w:rsidRPr="009A65F0">
              <w:rPr>
                <w:b/>
                <w:bCs/>
                <w:lang w:val="es-ES_tradnl"/>
              </w:rPr>
              <w:t>examinar</w:t>
            </w:r>
            <w:r w:rsidRPr="009A65F0">
              <w:rPr>
                <w:lang w:val="es-ES_tradnl"/>
              </w:rPr>
              <w:t xml:space="preserve"> el presente informe y a </w:t>
            </w:r>
            <w:r w:rsidRPr="009A65F0">
              <w:rPr>
                <w:b/>
                <w:bCs/>
                <w:lang w:val="es-ES_tradnl"/>
              </w:rPr>
              <w:t>presentar</w:t>
            </w:r>
            <w:r w:rsidRPr="009A65F0">
              <w:rPr>
                <w:lang w:val="es-ES_tradnl"/>
              </w:rPr>
              <w:t xml:space="preserve"> sus recomendaciones a la Conferencia de Plenipotenciarios, según proceda.</w:t>
            </w:r>
          </w:p>
          <w:p w14:paraId="0EA906FA" w14:textId="77777777" w:rsidR="00F92BED" w:rsidRPr="009A65F0" w:rsidRDefault="00F92BED" w:rsidP="00C4421B">
            <w:pPr>
              <w:spacing w:before="160"/>
              <w:rPr>
                <w:b/>
                <w:bCs/>
                <w:sz w:val="26"/>
                <w:szCs w:val="26"/>
                <w:lang w:val="es-ES_tradnl"/>
              </w:rPr>
            </w:pPr>
            <w:r w:rsidRPr="009A65F0">
              <w:rPr>
                <w:b/>
                <w:bCs/>
                <w:sz w:val="26"/>
                <w:szCs w:val="26"/>
                <w:lang w:val="es-ES_tradnl"/>
              </w:rPr>
              <w:t>Vínculo(s) pertinente(s) con el Plan Estratégico</w:t>
            </w:r>
          </w:p>
          <w:p w14:paraId="057D529B" w14:textId="113B4BF9" w:rsidR="00F92BED" w:rsidRPr="009A65F0" w:rsidRDefault="009E1ECE" w:rsidP="00C4421B">
            <w:pPr>
              <w:rPr>
                <w:lang w:val="es-ES_tradnl"/>
              </w:rPr>
            </w:pPr>
            <w:r w:rsidRPr="009A65F0">
              <w:rPr>
                <w:lang w:val="es-ES_tradnl"/>
              </w:rPr>
              <w:t>Orientada a los Miembros.</w:t>
            </w:r>
          </w:p>
          <w:p w14:paraId="33D6B71C" w14:textId="77777777" w:rsidR="00F92BED" w:rsidRPr="009A65F0" w:rsidRDefault="00F92BED" w:rsidP="00C4421B">
            <w:pPr>
              <w:spacing w:before="160"/>
              <w:rPr>
                <w:b/>
                <w:bCs/>
                <w:sz w:val="26"/>
                <w:szCs w:val="26"/>
                <w:lang w:val="es-ES_tradnl"/>
              </w:rPr>
            </w:pPr>
            <w:r w:rsidRPr="009A65F0">
              <w:rPr>
                <w:b/>
                <w:bCs/>
                <w:sz w:val="26"/>
                <w:szCs w:val="26"/>
                <w:lang w:val="es-ES_tradnl"/>
              </w:rPr>
              <w:t>Repercusiones financieras</w:t>
            </w:r>
          </w:p>
          <w:p w14:paraId="4F3B8CDB" w14:textId="0CE3ED8E" w:rsidR="00F92BED" w:rsidRPr="009A65F0" w:rsidRDefault="009E1ECE" w:rsidP="00C4421B">
            <w:pPr>
              <w:rPr>
                <w:lang w:val="es-ES_tradnl"/>
              </w:rPr>
            </w:pPr>
            <w:r w:rsidRPr="009A65F0">
              <w:rPr>
                <w:lang w:val="es-ES_tradnl"/>
              </w:rPr>
              <w:t>Con cargo al presupuesto asignado para 2025-2026.</w:t>
            </w:r>
          </w:p>
          <w:p w14:paraId="3A9785AD" w14:textId="77777777" w:rsidR="00FE57F6" w:rsidRPr="009A65F0" w:rsidRDefault="00FE57F6" w:rsidP="00C4421B">
            <w:pPr>
              <w:spacing w:before="160"/>
              <w:rPr>
                <w:caps/>
                <w:sz w:val="22"/>
                <w:lang w:val="es-ES_tradnl"/>
              </w:rPr>
            </w:pPr>
            <w:r w:rsidRPr="009A65F0">
              <w:rPr>
                <w:sz w:val="22"/>
                <w:lang w:val="es-ES_tradnl"/>
              </w:rPr>
              <w:t>__________________</w:t>
            </w:r>
          </w:p>
          <w:p w14:paraId="61F008B3" w14:textId="77777777" w:rsidR="00FE57F6" w:rsidRPr="009A65F0" w:rsidRDefault="00F24B71" w:rsidP="00C4421B">
            <w:pPr>
              <w:spacing w:before="160"/>
              <w:rPr>
                <w:b/>
                <w:bCs/>
                <w:sz w:val="26"/>
                <w:szCs w:val="26"/>
                <w:lang w:val="es-ES_tradnl"/>
              </w:rPr>
            </w:pPr>
            <w:r w:rsidRPr="009A65F0">
              <w:rPr>
                <w:b/>
                <w:bCs/>
                <w:sz w:val="26"/>
                <w:szCs w:val="26"/>
                <w:lang w:val="es-ES_tradnl"/>
              </w:rPr>
              <w:t>Referencia</w:t>
            </w:r>
            <w:r w:rsidR="00F92BED" w:rsidRPr="009A65F0">
              <w:rPr>
                <w:b/>
                <w:bCs/>
                <w:sz w:val="26"/>
                <w:szCs w:val="26"/>
                <w:lang w:val="es-ES_tradnl"/>
              </w:rPr>
              <w:t>s</w:t>
            </w:r>
            <w:r w:rsidR="00D375E0" w:rsidRPr="009A65F0">
              <w:rPr>
                <w:sz w:val="26"/>
                <w:szCs w:val="26"/>
                <w:lang w:val="es-ES_tradnl"/>
              </w:rPr>
              <w:t xml:space="preserve"> </w:t>
            </w:r>
          </w:p>
          <w:p w14:paraId="508AA679" w14:textId="452B4562" w:rsidR="00FE57F6" w:rsidRPr="0019149E" w:rsidRDefault="009E1ECE" w:rsidP="0019149E">
            <w:pPr>
              <w:spacing w:after="160"/>
              <w:rPr>
                <w:i/>
                <w:iCs/>
                <w:sz w:val="22"/>
                <w:szCs w:val="22"/>
                <w:lang w:val="es-ES_tradnl"/>
              </w:rPr>
            </w:pPr>
            <w:r w:rsidRPr="0019149E">
              <w:rPr>
                <w:i/>
                <w:iCs/>
                <w:color w:val="000000"/>
                <w:sz w:val="22"/>
                <w:szCs w:val="22"/>
                <w:lang w:val="es-ES_tradnl"/>
              </w:rPr>
              <w:t xml:space="preserve">Resoluciones </w:t>
            </w:r>
            <w:hyperlink r:id="rId6" w:history="1">
              <w:r w:rsidRPr="0019149E">
                <w:rPr>
                  <w:rStyle w:val="Hyperlink"/>
                  <w:i/>
                  <w:iCs/>
                  <w:sz w:val="22"/>
                  <w:lang w:val="es-ES_tradnl"/>
                </w:rPr>
                <w:t>102 (Rev. Bucarest, 2022)</w:t>
              </w:r>
            </w:hyperlink>
            <w:r w:rsidRPr="0019149E">
              <w:rPr>
                <w:i/>
                <w:iCs/>
                <w:color w:val="000000"/>
                <w:sz w:val="22"/>
                <w:szCs w:val="22"/>
                <w:lang w:val="es-ES_tradnl"/>
              </w:rPr>
              <w:t xml:space="preserve"> y </w:t>
            </w:r>
            <w:hyperlink r:id="rId7" w:history="1">
              <w:r w:rsidRPr="0019149E">
                <w:rPr>
                  <w:rStyle w:val="Hyperlink"/>
                  <w:i/>
                  <w:iCs/>
                  <w:sz w:val="22"/>
                  <w:lang w:val="es-ES_tradnl"/>
                </w:rPr>
                <w:t>140 (Rev. Bucarest, 2022)</w:t>
              </w:r>
            </w:hyperlink>
            <w:r w:rsidRPr="0019149E">
              <w:rPr>
                <w:i/>
                <w:iCs/>
                <w:color w:val="000000"/>
                <w:sz w:val="22"/>
                <w:szCs w:val="22"/>
                <w:lang w:val="es-ES_tradnl"/>
              </w:rPr>
              <w:t xml:space="preserve"> de la Conferencia de Plenipotenciarios; Resoluci</w:t>
            </w:r>
            <w:r w:rsidR="0019149E" w:rsidRPr="0019149E">
              <w:rPr>
                <w:i/>
                <w:iCs/>
                <w:color w:val="000000"/>
                <w:sz w:val="22"/>
                <w:szCs w:val="22"/>
                <w:lang w:val="es-ES_tradnl"/>
              </w:rPr>
              <w:t>ones</w:t>
            </w:r>
            <w:r w:rsidRPr="0019149E">
              <w:rPr>
                <w:i/>
                <w:iCs/>
                <w:color w:val="000000"/>
                <w:sz w:val="22"/>
                <w:szCs w:val="22"/>
                <w:lang w:val="es-ES_tradnl"/>
              </w:rPr>
              <w:t xml:space="preserve"> </w:t>
            </w:r>
            <w:hyperlink r:id="rId8" w:history="1">
              <w:r w:rsidRPr="0019149E">
                <w:rPr>
                  <w:rStyle w:val="Hyperlink"/>
                  <w:i/>
                  <w:iCs/>
                  <w:sz w:val="22"/>
                  <w:lang w:val="es-ES_tradnl"/>
                </w:rPr>
                <w:t>1305 (Mod. 2019)</w:t>
              </w:r>
            </w:hyperlink>
            <w:r w:rsidRPr="0019149E">
              <w:rPr>
                <w:i/>
                <w:iCs/>
                <w:color w:val="000000"/>
                <w:sz w:val="22"/>
                <w:szCs w:val="22"/>
                <w:lang w:val="es-ES_tradnl"/>
              </w:rPr>
              <w:t xml:space="preserve"> y </w:t>
            </w:r>
            <w:hyperlink r:id="rId9" w:history="1">
              <w:r w:rsidRPr="0019149E">
                <w:rPr>
                  <w:rStyle w:val="Hyperlink"/>
                  <w:i/>
                  <w:iCs/>
                  <w:sz w:val="22"/>
                  <w:lang w:val="es-ES_tradnl"/>
                </w:rPr>
                <w:t>1336 (Mod. 2019)</w:t>
              </w:r>
            </w:hyperlink>
            <w:r w:rsidR="0019149E" w:rsidRPr="0019149E">
              <w:rPr>
                <w:i/>
                <w:iCs/>
                <w:lang w:val="es-ES_tradnl"/>
              </w:rPr>
              <w:t xml:space="preserve"> </w:t>
            </w:r>
            <w:r w:rsidR="0019149E" w:rsidRPr="0019149E">
              <w:rPr>
                <w:i/>
                <w:iCs/>
                <w:color w:val="000000"/>
                <w:sz w:val="22"/>
                <w:szCs w:val="22"/>
                <w:lang w:val="es-ES_tradnl"/>
              </w:rPr>
              <w:t>del Consejo</w:t>
            </w:r>
          </w:p>
        </w:tc>
      </w:tr>
      <w:bookmarkEnd w:id="0"/>
    </w:tbl>
    <w:p w14:paraId="04D0897D" w14:textId="77777777" w:rsidR="00093EEB" w:rsidRPr="009A65F0" w:rsidRDefault="00093EEB">
      <w:pPr>
        <w:rPr>
          <w:lang w:val="es-ES_tradnl"/>
        </w:rPr>
      </w:pPr>
    </w:p>
    <w:p w14:paraId="4F373396" w14:textId="77777777" w:rsidR="001559F5" w:rsidRPr="009A65F0" w:rsidRDefault="001559F5">
      <w:pPr>
        <w:tabs>
          <w:tab w:val="clear" w:pos="567"/>
          <w:tab w:val="clear" w:pos="1134"/>
          <w:tab w:val="clear" w:pos="1701"/>
          <w:tab w:val="clear" w:pos="2268"/>
          <w:tab w:val="clear" w:pos="2835"/>
        </w:tabs>
        <w:overflowPunct/>
        <w:autoSpaceDE/>
        <w:autoSpaceDN/>
        <w:adjustRightInd/>
        <w:spacing w:before="0"/>
        <w:textAlignment w:val="auto"/>
        <w:rPr>
          <w:lang w:val="es-ES_tradnl"/>
        </w:rPr>
      </w:pPr>
      <w:r w:rsidRPr="009A65F0">
        <w:rPr>
          <w:lang w:val="es-ES_tradnl"/>
        </w:rPr>
        <w:br w:type="page"/>
      </w:r>
    </w:p>
    <w:p w14:paraId="4DB54891" w14:textId="77777777" w:rsidR="009E1ECE" w:rsidRPr="009A65F0" w:rsidRDefault="009E1ECE" w:rsidP="009E1ECE">
      <w:pPr>
        <w:pStyle w:val="Heading1"/>
        <w:rPr>
          <w:b w:val="0"/>
          <w:lang w:val="es-ES_tradnl"/>
        </w:rPr>
      </w:pPr>
      <w:r w:rsidRPr="009A65F0">
        <w:rPr>
          <w:lang w:val="es-ES_tradnl"/>
        </w:rPr>
        <w:lastRenderedPageBreak/>
        <w:t>1</w:t>
      </w:r>
      <w:r w:rsidRPr="009A65F0">
        <w:rPr>
          <w:lang w:val="es-ES_tradnl"/>
        </w:rPr>
        <w:tab/>
        <w:t>Introducción</w:t>
      </w:r>
    </w:p>
    <w:p w14:paraId="3EADC31C" w14:textId="24BE459C" w:rsidR="009E1ECE" w:rsidRPr="009A65F0" w:rsidRDefault="009E1ECE" w:rsidP="0019149E">
      <w:pPr>
        <w:jc w:val="both"/>
        <w:rPr>
          <w:lang w:val="es-ES_tradnl"/>
        </w:rPr>
      </w:pPr>
      <w:r w:rsidRPr="009A65F0">
        <w:rPr>
          <w:lang w:val="es-ES_tradnl"/>
        </w:rPr>
        <w:t>1.1</w:t>
      </w:r>
      <w:r w:rsidRPr="009A65F0">
        <w:rPr>
          <w:lang w:val="es-ES_tradnl"/>
        </w:rPr>
        <w:tab/>
        <w:t xml:space="preserve">El </w:t>
      </w:r>
      <w:hyperlink r:id="rId10" w:history="1">
        <w:r w:rsidRPr="009A65F0">
          <w:rPr>
            <w:rStyle w:val="Hyperlink"/>
            <w:lang w:val="es-ES_tradnl"/>
          </w:rPr>
          <w:t>Grupo de Trabajo del Consejo sobre cuestiones de política pública internacional relacionadas con Internet (</w:t>
        </w:r>
        <w:proofErr w:type="spellStart"/>
        <w:r w:rsidRPr="009A65F0">
          <w:rPr>
            <w:rStyle w:val="Hyperlink"/>
            <w:lang w:val="es-ES_tradnl"/>
          </w:rPr>
          <w:t>GTC</w:t>
        </w:r>
        <w:proofErr w:type="spellEnd"/>
        <w:r w:rsidRPr="009A65F0">
          <w:rPr>
            <w:rStyle w:val="Hyperlink"/>
            <w:lang w:val="es-ES_tradnl"/>
          </w:rPr>
          <w:t>-Internet)</w:t>
        </w:r>
      </w:hyperlink>
      <w:r w:rsidRPr="009A65F0">
        <w:rPr>
          <w:lang w:val="es-ES_tradnl"/>
        </w:rPr>
        <w:t xml:space="preserve"> fue creado por la Resolución</w:t>
      </w:r>
      <w:r w:rsidR="0089455A" w:rsidRPr="009A65F0">
        <w:rPr>
          <w:lang w:val="es-ES_tradnl"/>
        </w:rPr>
        <w:t> </w:t>
      </w:r>
      <w:r w:rsidRPr="009A65F0">
        <w:rPr>
          <w:lang w:val="es-ES_tradnl"/>
        </w:rPr>
        <w:t>1336 del Consejo (Mod.</w:t>
      </w:r>
      <w:r w:rsidR="0089455A" w:rsidRPr="009A65F0">
        <w:rPr>
          <w:lang w:val="es-ES_tradnl"/>
        </w:rPr>
        <w:t> </w:t>
      </w:r>
      <w:r w:rsidRPr="009A65F0">
        <w:rPr>
          <w:lang w:val="es-ES_tradnl"/>
        </w:rPr>
        <w:t xml:space="preserve">2019), de conformidad con las Resoluciones 102 y 140 de la Conferencia de Plenipotenciarios de la UIT (Rev. Bucarest, 2022). El </w:t>
      </w:r>
      <w:proofErr w:type="spellStart"/>
      <w:r w:rsidRPr="009A65F0">
        <w:rPr>
          <w:lang w:val="es-ES_tradnl"/>
        </w:rPr>
        <w:t>GTC</w:t>
      </w:r>
      <w:proofErr w:type="spellEnd"/>
      <w:r w:rsidRPr="009A65F0">
        <w:rPr>
          <w:lang w:val="es-ES_tradnl"/>
        </w:rPr>
        <w:t>-Internet está limitado a los Estados Miembros, con consultas abiertas a todas las partes interesadas. El Grupo fue presidido por el Sr. Wojciech Berezowski (Polonia).</w:t>
      </w:r>
      <w:hyperlink r:id="rId11" w:history="1"/>
    </w:p>
    <w:p w14:paraId="2B22DA3F" w14:textId="24745B30" w:rsidR="009E1ECE" w:rsidRPr="009A65F0" w:rsidRDefault="009E1ECE" w:rsidP="0019149E">
      <w:pPr>
        <w:jc w:val="both"/>
        <w:rPr>
          <w:lang w:val="es-ES_tradnl"/>
        </w:rPr>
      </w:pPr>
      <w:r w:rsidRPr="009A65F0">
        <w:rPr>
          <w:lang w:val="es-ES_tradnl"/>
        </w:rPr>
        <w:t>1.2</w:t>
      </w:r>
      <w:r w:rsidRPr="009A65F0">
        <w:rPr>
          <w:lang w:val="es-ES_tradnl"/>
        </w:rPr>
        <w:tab/>
        <w:t xml:space="preserve">El mandato del </w:t>
      </w:r>
      <w:proofErr w:type="spellStart"/>
      <w:r w:rsidRPr="009A65F0">
        <w:rPr>
          <w:lang w:val="es-ES_tradnl"/>
        </w:rPr>
        <w:t>GTC</w:t>
      </w:r>
      <w:proofErr w:type="spellEnd"/>
      <w:r w:rsidRPr="009A65F0">
        <w:rPr>
          <w:lang w:val="es-ES_tradnl"/>
        </w:rPr>
        <w:t>-Internet y la modalidad de consultas abiertas se especifican en la Resolución</w:t>
      </w:r>
      <w:r w:rsidR="0089455A" w:rsidRPr="009A65F0">
        <w:rPr>
          <w:lang w:val="es-ES_tradnl"/>
        </w:rPr>
        <w:t> </w:t>
      </w:r>
      <w:r w:rsidRPr="009A65F0">
        <w:rPr>
          <w:lang w:val="es-ES_tradnl"/>
        </w:rPr>
        <w:t>1336 del Consejo (Mod. 2019).</w:t>
      </w:r>
    </w:p>
    <w:p w14:paraId="731B6AE4" w14:textId="6DC0889B" w:rsidR="009E1ECE" w:rsidRPr="009A65F0" w:rsidRDefault="009E1ECE" w:rsidP="0019149E">
      <w:pPr>
        <w:jc w:val="both"/>
        <w:rPr>
          <w:lang w:val="es-ES_tradnl"/>
        </w:rPr>
      </w:pPr>
      <w:r w:rsidRPr="009A65F0">
        <w:rPr>
          <w:lang w:val="es-ES_tradnl"/>
        </w:rPr>
        <w:t>1.3</w:t>
      </w:r>
      <w:r w:rsidRPr="009A65F0">
        <w:rPr>
          <w:lang w:val="es-ES_tradnl"/>
        </w:rPr>
        <w:tab/>
      </w:r>
      <w:r w:rsidR="0089455A" w:rsidRPr="009A65F0">
        <w:rPr>
          <w:lang w:val="es-ES_tradnl"/>
        </w:rPr>
        <w:t xml:space="preserve">En la </w:t>
      </w:r>
      <w:r w:rsidRPr="009A65F0">
        <w:rPr>
          <w:lang w:val="es-ES_tradnl"/>
        </w:rPr>
        <w:t>Resolución 1305 del Consejo (Mod. 2019) se invita a presentar en el Anexo</w:t>
      </w:r>
      <w:r w:rsidR="0089455A" w:rsidRPr="009A65F0">
        <w:rPr>
          <w:lang w:val="es-ES_tradnl"/>
        </w:rPr>
        <w:t> </w:t>
      </w:r>
      <w:r w:rsidRPr="009A65F0">
        <w:rPr>
          <w:lang w:val="es-ES_tradnl"/>
        </w:rPr>
        <w:t>1 una lista de temas, establecida de conformidad con las decisiones de los Miembros de la UIT en la</w:t>
      </w:r>
      <w:r w:rsidR="0019149E">
        <w:rPr>
          <w:lang w:val="es-ES_tradnl"/>
        </w:rPr>
        <w:t> </w:t>
      </w:r>
      <w:r w:rsidRPr="009A65F0">
        <w:rPr>
          <w:lang w:val="es-ES_tradnl"/>
        </w:rPr>
        <w:t>Conferencia de Plenipotenciarios, el Consejo y las conferencias mundiales, que representan el ámbito de trabajo de la UIT en cuestiones de política pública internacional relacionadas con</w:t>
      </w:r>
      <w:r w:rsidR="0019149E">
        <w:rPr>
          <w:lang w:val="es-ES_tradnl"/>
        </w:rPr>
        <w:t> </w:t>
      </w:r>
      <w:r w:rsidRPr="009A65F0">
        <w:rPr>
          <w:lang w:val="es-ES_tradnl"/>
        </w:rPr>
        <w:t>Internet.</w:t>
      </w:r>
    </w:p>
    <w:p w14:paraId="7DE09C05" w14:textId="77777777" w:rsidR="009E1ECE" w:rsidRPr="009A65F0" w:rsidRDefault="009E1ECE" w:rsidP="0019149E">
      <w:pPr>
        <w:jc w:val="both"/>
        <w:rPr>
          <w:lang w:val="es-ES_tradnl"/>
        </w:rPr>
      </w:pPr>
      <w:r w:rsidRPr="009A65F0">
        <w:rPr>
          <w:lang w:val="es-ES_tradnl"/>
        </w:rPr>
        <w:t>1.4</w:t>
      </w:r>
      <w:r w:rsidRPr="009A65F0">
        <w:rPr>
          <w:lang w:val="es-ES_tradnl"/>
        </w:rPr>
        <w:tab/>
        <w:t>En la Resolución 102 (Rev. Bucarest, 2022) de la Conferencia de Plenipotenciarios se encarga al Consejo:</w:t>
      </w:r>
    </w:p>
    <w:p w14:paraId="2CCE5AF0" w14:textId="77777777" w:rsidR="009E1ECE" w:rsidRPr="009A65F0" w:rsidRDefault="009E1ECE" w:rsidP="0019149E">
      <w:pPr>
        <w:pStyle w:val="enumlev1"/>
        <w:jc w:val="both"/>
        <w:rPr>
          <w:lang w:val="es-ES_tradnl"/>
        </w:rPr>
      </w:pPr>
      <w:r w:rsidRPr="009A65F0">
        <w:rPr>
          <w:lang w:val="es-ES_tradnl"/>
        </w:rPr>
        <w:t>–</w:t>
      </w:r>
      <w:r w:rsidRPr="009A65F0">
        <w:rPr>
          <w:lang w:val="es-ES_tradnl"/>
        </w:rPr>
        <w:tab/>
        <w:t xml:space="preserve">dirigir el </w:t>
      </w:r>
      <w:proofErr w:type="spellStart"/>
      <w:r w:rsidRPr="009A65F0">
        <w:rPr>
          <w:lang w:val="es-ES_tradnl"/>
        </w:rPr>
        <w:t>GTC</w:t>
      </w:r>
      <w:proofErr w:type="spellEnd"/>
      <w:r w:rsidRPr="009A65F0">
        <w:rPr>
          <w:lang w:val="es-ES_tradnl"/>
        </w:rPr>
        <w:t>-Internet, en el que sólo pueden participar los Estados Miembros, y llevar a cabo consultas abiertas con todas las partes interesadas con arreglo a las directrices mencionadas en la Resolución;</w:t>
      </w:r>
    </w:p>
    <w:p w14:paraId="03836B0E" w14:textId="2C3F9803" w:rsidR="009E1ECE" w:rsidRPr="009A65F0" w:rsidRDefault="009E1ECE" w:rsidP="0019149E">
      <w:pPr>
        <w:pStyle w:val="enumlev1"/>
        <w:jc w:val="both"/>
        <w:rPr>
          <w:lang w:val="es-ES_tradnl"/>
        </w:rPr>
      </w:pPr>
      <w:r w:rsidRPr="009A65F0">
        <w:rPr>
          <w:lang w:val="es-ES_tradnl"/>
        </w:rPr>
        <w:t>–</w:t>
      </w:r>
      <w:r w:rsidRPr="009A65F0">
        <w:rPr>
          <w:lang w:val="es-ES_tradnl"/>
        </w:rPr>
        <w:tab/>
        <w:t>teniendo en cuenta los informes anuales que presenten la Secretaria General y los Directores de las Oficinas, adoptar las medidas apropiadas para contribuir activamente a la aplicación de la Resolución y las iniciativas internacionales relacionadas con la misma que correspondan el mandato de la UIT;</w:t>
      </w:r>
    </w:p>
    <w:p w14:paraId="63AE9E99" w14:textId="1EB77E56" w:rsidR="009E1ECE" w:rsidRPr="009A65F0" w:rsidRDefault="009E1ECE" w:rsidP="0019149E">
      <w:pPr>
        <w:pStyle w:val="enumlev1"/>
        <w:jc w:val="both"/>
        <w:rPr>
          <w:lang w:val="es-ES_tradnl"/>
        </w:rPr>
      </w:pPr>
      <w:r w:rsidRPr="009A65F0">
        <w:rPr>
          <w:lang w:val="es-ES_tradnl"/>
        </w:rPr>
        <w:t>–</w:t>
      </w:r>
      <w:r w:rsidRPr="009A65F0">
        <w:rPr>
          <w:lang w:val="es-ES_tradnl"/>
        </w:rPr>
        <w:tab/>
        <w:t xml:space="preserve">examinar los informes del </w:t>
      </w:r>
      <w:proofErr w:type="spellStart"/>
      <w:r w:rsidRPr="009A65F0">
        <w:rPr>
          <w:lang w:val="es-ES_tradnl"/>
        </w:rPr>
        <w:t>GTC</w:t>
      </w:r>
      <w:proofErr w:type="spellEnd"/>
      <w:r w:rsidRPr="009A65F0">
        <w:rPr>
          <w:lang w:val="es-ES_tradnl"/>
        </w:rPr>
        <w:t>-Internet y tomar las medidas necesarias;</w:t>
      </w:r>
    </w:p>
    <w:p w14:paraId="3D073B5C" w14:textId="77777777" w:rsidR="009E1ECE" w:rsidRPr="009A65F0" w:rsidRDefault="009E1ECE" w:rsidP="0019149E">
      <w:pPr>
        <w:pStyle w:val="enumlev1"/>
        <w:jc w:val="both"/>
        <w:rPr>
          <w:lang w:val="es-ES_tradnl"/>
        </w:rPr>
      </w:pPr>
      <w:r w:rsidRPr="009A65F0">
        <w:rPr>
          <w:lang w:val="es-ES_tradnl"/>
        </w:rPr>
        <w:t>–</w:t>
      </w:r>
      <w:r w:rsidRPr="009A65F0">
        <w:rPr>
          <w:lang w:val="es-ES_tradnl"/>
        </w:rPr>
        <w:tab/>
        <w:t>informar a la Conferencia de Plenipotenciarios de 2026 sobre las actividades realizadas y los logros obtenidos, con respecto a la aplicación de la Resolución, incluidas cualesquiera propuestas para que se estudien ulteriormente.</w:t>
      </w:r>
    </w:p>
    <w:p w14:paraId="597D01DA" w14:textId="77777777" w:rsidR="009E1ECE" w:rsidRPr="009A65F0" w:rsidRDefault="009E1ECE" w:rsidP="009E1ECE">
      <w:pPr>
        <w:pStyle w:val="Heading1"/>
        <w:rPr>
          <w:lang w:val="es-ES_tradnl"/>
        </w:rPr>
      </w:pPr>
      <w:r w:rsidRPr="009A65F0">
        <w:rPr>
          <w:lang w:val="es-ES_tradnl"/>
        </w:rPr>
        <w:t>2</w:t>
      </w:r>
      <w:r w:rsidRPr="009A65F0">
        <w:rPr>
          <w:lang w:val="es-ES_tradnl"/>
        </w:rPr>
        <w:tab/>
        <w:t xml:space="preserve">Actividades del </w:t>
      </w:r>
      <w:proofErr w:type="spellStart"/>
      <w:r w:rsidRPr="009A65F0">
        <w:rPr>
          <w:lang w:val="es-ES_tradnl"/>
        </w:rPr>
        <w:t>GTC</w:t>
      </w:r>
      <w:proofErr w:type="spellEnd"/>
      <w:r w:rsidRPr="009A65F0">
        <w:rPr>
          <w:lang w:val="es-ES_tradnl"/>
        </w:rPr>
        <w:t>-Internet</w:t>
      </w:r>
    </w:p>
    <w:p w14:paraId="2BBCE256" w14:textId="5C6D3B5C" w:rsidR="009E1ECE" w:rsidRPr="009A65F0" w:rsidRDefault="009E1ECE" w:rsidP="0019149E">
      <w:pPr>
        <w:jc w:val="both"/>
        <w:rPr>
          <w:bCs/>
          <w:lang w:val="es-ES_tradnl"/>
        </w:rPr>
      </w:pPr>
      <w:bookmarkStart w:id="1" w:name="dbreak3"/>
      <w:r w:rsidRPr="009A65F0">
        <w:rPr>
          <w:lang w:val="es-ES_tradnl"/>
        </w:rPr>
        <w:t>2.1</w:t>
      </w:r>
      <w:r w:rsidRPr="009A65F0">
        <w:rPr>
          <w:lang w:val="es-ES_tradnl"/>
        </w:rPr>
        <w:tab/>
        <w:t xml:space="preserve">Los principales resultados de la </w:t>
      </w:r>
      <w:hyperlink r:id="rId12" w:history="1">
        <w:r w:rsidRPr="009A65F0">
          <w:rPr>
            <w:rStyle w:val="Hyperlink"/>
            <w:lang w:val="es-ES_tradnl"/>
          </w:rPr>
          <w:t>decimoctava reunión</w:t>
        </w:r>
      </w:hyperlink>
      <w:r w:rsidRPr="009A65F0">
        <w:rPr>
          <w:lang w:val="es-ES_tradnl"/>
        </w:rPr>
        <w:t xml:space="preserve"> del </w:t>
      </w:r>
      <w:proofErr w:type="spellStart"/>
      <w:r w:rsidRPr="009A65F0">
        <w:rPr>
          <w:lang w:val="es-ES_tradnl"/>
        </w:rPr>
        <w:t>GTC</w:t>
      </w:r>
      <w:proofErr w:type="spellEnd"/>
      <w:r w:rsidRPr="009A65F0">
        <w:rPr>
          <w:lang w:val="es-ES_tradnl"/>
        </w:rPr>
        <w:t>-Internet, celebrada el 18</w:t>
      </w:r>
      <w:r w:rsidR="0089455A" w:rsidRPr="009A65F0">
        <w:rPr>
          <w:lang w:val="es-ES_tradnl"/>
        </w:rPr>
        <w:t> </w:t>
      </w:r>
      <w:r w:rsidRPr="009A65F0">
        <w:rPr>
          <w:lang w:val="es-ES_tradnl"/>
        </w:rPr>
        <w:t>de octubre de 2023, fueron los siguientes:</w:t>
      </w:r>
      <w:hyperlink r:id="rId13" w:history="1"/>
    </w:p>
    <w:p w14:paraId="0843C46E" w14:textId="77777777" w:rsidR="009E1ECE" w:rsidRPr="009A65F0" w:rsidRDefault="009E1ECE" w:rsidP="0019149E">
      <w:pPr>
        <w:pStyle w:val="enumlev1"/>
        <w:jc w:val="both"/>
        <w:rPr>
          <w:bCs/>
          <w:lang w:val="es-ES_tradnl"/>
        </w:rPr>
      </w:pPr>
      <w:r w:rsidRPr="009A65F0">
        <w:rPr>
          <w:i/>
          <w:iCs/>
          <w:lang w:val="es-ES_tradnl"/>
        </w:rPr>
        <w:t>a)</w:t>
      </w:r>
      <w:r w:rsidRPr="009A65F0">
        <w:rPr>
          <w:lang w:val="es-ES_tradnl"/>
        </w:rPr>
        <w:tab/>
        <w:t>Se examinaron todas las contribuciones recibidas, incluidas las que presentaban temas para futuras consultas abiertas, pero no se llegó a un consenso.</w:t>
      </w:r>
    </w:p>
    <w:p w14:paraId="2AD35281" w14:textId="793599C9" w:rsidR="009E1ECE" w:rsidRPr="009A65F0" w:rsidRDefault="009E1ECE" w:rsidP="0019149E">
      <w:pPr>
        <w:jc w:val="both"/>
        <w:rPr>
          <w:bCs/>
          <w:lang w:val="es-ES_tradnl"/>
        </w:rPr>
      </w:pPr>
      <w:r w:rsidRPr="009A65F0">
        <w:rPr>
          <w:lang w:val="es-ES_tradnl"/>
        </w:rPr>
        <w:t>2.2</w:t>
      </w:r>
      <w:r w:rsidRPr="009A65F0">
        <w:rPr>
          <w:lang w:val="es-ES_tradnl"/>
        </w:rPr>
        <w:tab/>
        <w:t xml:space="preserve">Los principales resultados de la </w:t>
      </w:r>
      <w:hyperlink r:id="rId14" w:history="1">
        <w:r w:rsidRPr="009A65F0">
          <w:rPr>
            <w:rStyle w:val="Hyperlink"/>
            <w:lang w:val="es-ES_tradnl"/>
          </w:rPr>
          <w:t>decimonovena reunión</w:t>
        </w:r>
      </w:hyperlink>
      <w:r w:rsidRPr="009A65F0">
        <w:rPr>
          <w:lang w:val="es-ES_tradnl"/>
        </w:rPr>
        <w:t xml:space="preserve"> del </w:t>
      </w:r>
      <w:proofErr w:type="spellStart"/>
      <w:r w:rsidRPr="009A65F0">
        <w:rPr>
          <w:lang w:val="es-ES_tradnl"/>
        </w:rPr>
        <w:t>GTC</w:t>
      </w:r>
      <w:proofErr w:type="spellEnd"/>
      <w:r w:rsidRPr="009A65F0">
        <w:rPr>
          <w:lang w:val="es-ES_tradnl"/>
        </w:rPr>
        <w:t>-Internet, celebrada del 31</w:t>
      </w:r>
      <w:r w:rsidR="0089455A" w:rsidRPr="009A65F0">
        <w:rPr>
          <w:lang w:val="es-ES_tradnl"/>
        </w:rPr>
        <w:t> </w:t>
      </w:r>
      <w:r w:rsidRPr="009A65F0">
        <w:rPr>
          <w:lang w:val="es-ES_tradnl"/>
        </w:rPr>
        <w:t>de enero al 1 de febrero de 2024, fueron los siguientes:</w:t>
      </w:r>
      <w:hyperlink r:id="rId15" w:history="1"/>
    </w:p>
    <w:p w14:paraId="0810EE97" w14:textId="77777777" w:rsidR="009E1ECE" w:rsidRPr="009A65F0" w:rsidRDefault="009E1ECE" w:rsidP="0019149E">
      <w:pPr>
        <w:pStyle w:val="enumlev1"/>
        <w:jc w:val="both"/>
        <w:rPr>
          <w:lang w:val="es-ES_tradnl"/>
        </w:rPr>
      </w:pPr>
      <w:r w:rsidRPr="009A65F0">
        <w:rPr>
          <w:i/>
          <w:iCs/>
          <w:lang w:val="es-ES_tradnl"/>
        </w:rPr>
        <w:t>a)</w:t>
      </w:r>
      <w:r w:rsidRPr="009A65F0">
        <w:rPr>
          <w:lang w:val="es-ES_tradnl"/>
        </w:rPr>
        <w:tab/>
        <w:t>La Secretaría inició una consulta abierta (febrero de 2024 – septiembre de 2024) sobre los aspectos de desarrollo para fortalecer Internet.</w:t>
      </w:r>
    </w:p>
    <w:p w14:paraId="0C9DD486" w14:textId="301E0897" w:rsidR="009E1ECE" w:rsidRPr="009A65F0" w:rsidRDefault="009E1ECE" w:rsidP="0019149E">
      <w:pPr>
        <w:pStyle w:val="enumlev1"/>
        <w:jc w:val="both"/>
        <w:rPr>
          <w:bCs/>
          <w:lang w:val="es-ES_tradnl"/>
        </w:rPr>
      </w:pPr>
      <w:r w:rsidRPr="009A65F0">
        <w:rPr>
          <w:lang w:val="es-ES_tradnl"/>
        </w:rPr>
        <w:t>b)</w:t>
      </w:r>
      <w:r w:rsidRPr="009A65F0">
        <w:rPr>
          <w:lang w:val="es-ES_tradnl"/>
        </w:rPr>
        <w:tab/>
        <w:t>La Secretaría convocará la siguiente ronda de consultas abiertas (octubre</w:t>
      </w:r>
      <w:r w:rsidR="00AE4B37" w:rsidRPr="009A65F0">
        <w:rPr>
          <w:lang w:val="es-ES_tradnl"/>
        </w:rPr>
        <w:t> </w:t>
      </w:r>
      <w:r w:rsidRPr="009A65F0">
        <w:rPr>
          <w:lang w:val="es-ES_tradnl"/>
        </w:rPr>
        <w:t>de</w:t>
      </w:r>
      <w:r w:rsidR="00AE4B37" w:rsidRPr="009A65F0">
        <w:rPr>
          <w:lang w:val="es-ES_tradnl"/>
        </w:rPr>
        <w:t> </w:t>
      </w:r>
      <w:r w:rsidRPr="009A65F0">
        <w:rPr>
          <w:lang w:val="es-ES_tradnl"/>
        </w:rPr>
        <w:t>2024</w:t>
      </w:r>
      <w:r w:rsidR="00AE4B37" w:rsidRPr="009A65F0">
        <w:rPr>
          <w:lang w:val="es-ES_tradnl"/>
        </w:rPr>
        <w:t> </w:t>
      </w:r>
      <w:r w:rsidRPr="009A65F0">
        <w:rPr>
          <w:lang w:val="es-ES_tradnl"/>
        </w:rPr>
        <w:t>–</w:t>
      </w:r>
      <w:r w:rsidR="00AE4B37" w:rsidRPr="009A65F0">
        <w:rPr>
          <w:lang w:val="es-ES_tradnl"/>
        </w:rPr>
        <w:t> </w:t>
      </w:r>
      <w:r w:rsidRPr="009A65F0">
        <w:rPr>
          <w:lang w:val="es-ES_tradnl"/>
        </w:rPr>
        <w:t xml:space="preserve">enero de 2025) sobre el tema "Función de la política pública en la promoción del plurilingüismo de Internet" (después del próximo grupo de reuniones de los </w:t>
      </w:r>
      <w:proofErr w:type="spellStart"/>
      <w:r w:rsidRPr="009A65F0">
        <w:rPr>
          <w:lang w:val="es-ES_tradnl"/>
        </w:rPr>
        <w:t>GTC</w:t>
      </w:r>
      <w:proofErr w:type="spellEnd"/>
      <w:r w:rsidRPr="009A65F0">
        <w:rPr>
          <w:lang w:val="es-ES_tradnl"/>
        </w:rPr>
        <w:t>).</w:t>
      </w:r>
    </w:p>
    <w:p w14:paraId="1DEEDEF7" w14:textId="18599F2B" w:rsidR="009E1ECE" w:rsidRPr="009A65F0" w:rsidRDefault="009E1ECE" w:rsidP="0019149E">
      <w:pPr>
        <w:jc w:val="both"/>
        <w:rPr>
          <w:bCs/>
          <w:lang w:val="es-ES_tradnl"/>
        </w:rPr>
      </w:pPr>
      <w:r w:rsidRPr="009A65F0">
        <w:rPr>
          <w:lang w:val="es-ES_tradnl"/>
        </w:rPr>
        <w:lastRenderedPageBreak/>
        <w:t>2.3</w:t>
      </w:r>
      <w:r w:rsidRPr="009A65F0">
        <w:rPr>
          <w:lang w:val="es-ES_tradnl"/>
        </w:rPr>
        <w:tab/>
        <w:t xml:space="preserve">Los principales resultados de la </w:t>
      </w:r>
      <w:hyperlink r:id="rId16" w:history="1">
        <w:r w:rsidRPr="009A65F0">
          <w:rPr>
            <w:rStyle w:val="Hyperlink"/>
            <w:lang w:val="es-ES_tradnl"/>
          </w:rPr>
          <w:t>vigésima reunión</w:t>
        </w:r>
      </w:hyperlink>
      <w:r w:rsidRPr="009A65F0">
        <w:rPr>
          <w:lang w:val="es-ES_tradnl"/>
        </w:rPr>
        <w:t xml:space="preserve"> del </w:t>
      </w:r>
      <w:proofErr w:type="spellStart"/>
      <w:r w:rsidRPr="009A65F0">
        <w:rPr>
          <w:lang w:val="es-ES_tradnl"/>
        </w:rPr>
        <w:t>GTC</w:t>
      </w:r>
      <w:proofErr w:type="spellEnd"/>
      <w:r w:rsidRPr="009A65F0">
        <w:rPr>
          <w:lang w:val="es-ES_tradnl"/>
        </w:rPr>
        <w:t>-Internet, celebrada el 4 de octubre de 2024, fueron los siguientes:</w:t>
      </w:r>
      <w:hyperlink r:id="rId17" w:history="1"/>
    </w:p>
    <w:p w14:paraId="6FEC6BBD" w14:textId="77777777" w:rsidR="009E1ECE" w:rsidRPr="009A65F0" w:rsidRDefault="009E1ECE" w:rsidP="0019149E">
      <w:pPr>
        <w:pStyle w:val="enumlev1"/>
        <w:jc w:val="both"/>
        <w:rPr>
          <w:lang w:val="es-ES_tradnl"/>
        </w:rPr>
      </w:pPr>
      <w:r w:rsidRPr="009A65F0">
        <w:rPr>
          <w:i/>
          <w:iCs/>
          <w:lang w:val="es-ES_tradnl"/>
        </w:rPr>
        <w:t>a)</w:t>
      </w:r>
      <w:r w:rsidRPr="009A65F0">
        <w:rPr>
          <w:lang w:val="es-ES_tradnl"/>
        </w:rPr>
        <w:tab/>
        <w:t>La Secretaría puso en marcha la consulta abierta (octubre de 2024 – enero de 2025) sobre el papel de las políticas públicas en la promoción del plurilingüismo de Internet.</w:t>
      </w:r>
    </w:p>
    <w:p w14:paraId="5BEE32D6" w14:textId="77777777" w:rsidR="009E1ECE" w:rsidRPr="009A65F0" w:rsidRDefault="009E1ECE" w:rsidP="0019149E">
      <w:pPr>
        <w:pStyle w:val="enumlev1"/>
        <w:jc w:val="both"/>
        <w:rPr>
          <w:bCs/>
          <w:lang w:val="es-ES_tradnl"/>
        </w:rPr>
      </w:pPr>
      <w:r w:rsidRPr="009A65F0">
        <w:rPr>
          <w:lang w:val="es-ES_tradnl"/>
        </w:rPr>
        <w:t>b)</w:t>
      </w:r>
      <w:r w:rsidRPr="009A65F0">
        <w:rPr>
          <w:lang w:val="es-ES_tradnl"/>
        </w:rPr>
        <w:tab/>
        <w:t>El resumen de la consulta abierta sobre "Los aspectos de desarrollo para fortalecer Internet" se presentó como parte del informe del Presidente al Consejo de 2025.</w:t>
      </w:r>
    </w:p>
    <w:p w14:paraId="5C211B46" w14:textId="77777777" w:rsidR="009E1ECE" w:rsidRPr="009A65F0" w:rsidRDefault="009E1ECE" w:rsidP="0019149E">
      <w:pPr>
        <w:jc w:val="both"/>
        <w:rPr>
          <w:bCs/>
          <w:lang w:val="es-ES_tradnl"/>
        </w:rPr>
      </w:pPr>
      <w:r w:rsidRPr="009A65F0">
        <w:rPr>
          <w:lang w:val="es-ES_tradnl"/>
        </w:rPr>
        <w:t>2.4</w:t>
      </w:r>
      <w:r w:rsidRPr="009A65F0">
        <w:rPr>
          <w:lang w:val="es-ES_tradnl"/>
        </w:rPr>
        <w:tab/>
        <w:t xml:space="preserve">Los principales resultados de la </w:t>
      </w:r>
      <w:hyperlink r:id="rId18" w:history="1">
        <w:r w:rsidRPr="009A65F0">
          <w:rPr>
            <w:rStyle w:val="Hyperlink"/>
            <w:lang w:val="es-ES_tradnl"/>
          </w:rPr>
          <w:t>vigésima primera reunión</w:t>
        </w:r>
      </w:hyperlink>
      <w:r w:rsidRPr="009A65F0">
        <w:rPr>
          <w:lang w:val="es-ES_tradnl"/>
        </w:rPr>
        <w:t xml:space="preserve"> del </w:t>
      </w:r>
      <w:proofErr w:type="spellStart"/>
      <w:r w:rsidRPr="009A65F0">
        <w:rPr>
          <w:lang w:val="es-ES_tradnl"/>
        </w:rPr>
        <w:t>GTC</w:t>
      </w:r>
      <w:proofErr w:type="spellEnd"/>
      <w:r w:rsidRPr="009A65F0">
        <w:rPr>
          <w:lang w:val="es-ES_tradnl"/>
        </w:rPr>
        <w:t>-Internet, celebrada los días 19 y 20 de febrero de 2025, fueron los siguientes:</w:t>
      </w:r>
      <w:hyperlink r:id="rId19" w:history="1"/>
    </w:p>
    <w:p w14:paraId="7D203CF8" w14:textId="597E1384" w:rsidR="009E1ECE" w:rsidRPr="009A65F0" w:rsidRDefault="009E1ECE" w:rsidP="0019149E">
      <w:pPr>
        <w:pStyle w:val="enumlev1"/>
        <w:jc w:val="both"/>
        <w:rPr>
          <w:lang w:val="es-ES_tradnl"/>
        </w:rPr>
      </w:pPr>
      <w:r w:rsidRPr="009A65F0">
        <w:rPr>
          <w:i/>
          <w:iCs/>
          <w:lang w:val="es-ES_tradnl"/>
        </w:rPr>
        <w:t>a)</w:t>
      </w:r>
      <w:r w:rsidRPr="009A65F0">
        <w:rPr>
          <w:lang w:val="es-ES_tradnl"/>
        </w:rPr>
        <w:tab/>
        <w:t>La Secretaría de la UIT iniciaría la próxima ronda de consultas abiertas (febrero</w:t>
      </w:r>
      <w:r w:rsidR="0089455A" w:rsidRPr="009A65F0">
        <w:rPr>
          <w:lang w:val="es-ES_tradnl"/>
        </w:rPr>
        <w:noBreakHyphen/>
      </w:r>
      <w:r w:rsidRPr="009A65F0">
        <w:rPr>
          <w:lang w:val="es-ES_tradnl"/>
        </w:rPr>
        <w:t>septiembre de 2025) sobre el tema "Garantizar una conectividad significativa a Internet para los países en desarrollo sin litoral (</w:t>
      </w:r>
      <w:proofErr w:type="spellStart"/>
      <w:r w:rsidRPr="009A65F0">
        <w:rPr>
          <w:lang w:val="es-ES_tradnl"/>
        </w:rPr>
        <w:t>PDSL</w:t>
      </w:r>
      <w:proofErr w:type="spellEnd"/>
      <w:r w:rsidRPr="009A65F0">
        <w:rPr>
          <w:lang w:val="es-ES_tradnl"/>
        </w:rPr>
        <w:t>)".</w:t>
      </w:r>
    </w:p>
    <w:p w14:paraId="58CFEF8D" w14:textId="54BF99F3" w:rsidR="009E1ECE" w:rsidRPr="009A65F0" w:rsidRDefault="009E1ECE" w:rsidP="0019149E">
      <w:pPr>
        <w:pStyle w:val="enumlev1"/>
        <w:jc w:val="both"/>
        <w:rPr>
          <w:bCs/>
          <w:lang w:val="es-ES_tradnl"/>
        </w:rPr>
      </w:pPr>
      <w:r w:rsidRPr="009A65F0">
        <w:rPr>
          <w:lang w:val="es-ES_tradnl"/>
        </w:rPr>
        <w:t>b)</w:t>
      </w:r>
      <w:r w:rsidRPr="009A65F0">
        <w:rPr>
          <w:lang w:val="es-ES_tradnl"/>
        </w:rPr>
        <w:tab/>
        <w:t>El resumen de la consulta abierta sobre "El papel de las políticas públicas en la promoción del plurilingüismo de Internet" se presentó como parte del informe del Presidente al Consejo de 2025.</w:t>
      </w:r>
    </w:p>
    <w:p w14:paraId="3C25DEFF" w14:textId="77777777" w:rsidR="009E1ECE" w:rsidRPr="009A65F0" w:rsidRDefault="009E1ECE" w:rsidP="0019149E">
      <w:pPr>
        <w:jc w:val="both"/>
        <w:rPr>
          <w:bCs/>
          <w:lang w:val="es-ES_tradnl"/>
        </w:rPr>
      </w:pPr>
      <w:r w:rsidRPr="009A65F0">
        <w:rPr>
          <w:lang w:val="es-ES_tradnl"/>
        </w:rPr>
        <w:t>2.5</w:t>
      </w:r>
      <w:r w:rsidRPr="009A65F0">
        <w:rPr>
          <w:lang w:val="es-ES_tradnl"/>
        </w:rPr>
        <w:tab/>
        <w:t xml:space="preserve">Los principales resultados de la </w:t>
      </w:r>
      <w:hyperlink r:id="rId20" w:history="1">
        <w:r w:rsidRPr="009A65F0">
          <w:rPr>
            <w:rStyle w:val="Hyperlink"/>
            <w:lang w:val="es-ES_tradnl"/>
          </w:rPr>
          <w:t>vigésima segunda reunión</w:t>
        </w:r>
      </w:hyperlink>
      <w:r w:rsidRPr="009A65F0">
        <w:rPr>
          <w:lang w:val="es-ES_tradnl"/>
        </w:rPr>
        <w:t xml:space="preserve"> del </w:t>
      </w:r>
      <w:proofErr w:type="spellStart"/>
      <w:r w:rsidRPr="009A65F0">
        <w:rPr>
          <w:lang w:val="es-ES_tradnl"/>
        </w:rPr>
        <w:t>GTC</w:t>
      </w:r>
      <w:proofErr w:type="spellEnd"/>
      <w:r w:rsidRPr="009A65F0">
        <w:rPr>
          <w:lang w:val="es-ES_tradnl"/>
        </w:rPr>
        <w:t>-Internet, celebrada los días 15 y 16 de septiembre de 2025, fueron los siguientes:</w:t>
      </w:r>
      <w:hyperlink r:id="rId21" w:history="1"/>
    </w:p>
    <w:p w14:paraId="13E8B042" w14:textId="77777777" w:rsidR="009E1ECE" w:rsidRPr="009A65F0" w:rsidRDefault="009E1ECE" w:rsidP="0019149E">
      <w:pPr>
        <w:pStyle w:val="enumlev1"/>
        <w:jc w:val="both"/>
        <w:rPr>
          <w:lang w:val="es-ES_tradnl"/>
        </w:rPr>
      </w:pPr>
      <w:r w:rsidRPr="009A65F0">
        <w:rPr>
          <w:i/>
          <w:iCs/>
          <w:lang w:val="es-ES_tradnl"/>
        </w:rPr>
        <w:t>a)</w:t>
      </w:r>
      <w:r w:rsidRPr="009A65F0">
        <w:rPr>
          <w:lang w:val="es-ES_tradnl"/>
        </w:rPr>
        <w:tab/>
        <w:t>El resumen de la consulta abierta sobre "Garantizar una conectividad significativa a Internet para los países en desarrollo sin litoral (</w:t>
      </w:r>
      <w:proofErr w:type="spellStart"/>
      <w:r w:rsidRPr="009A65F0">
        <w:rPr>
          <w:lang w:val="es-ES_tradnl"/>
        </w:rPr>
        <w:t>PDSL</w:t>
      </w:r>
      <w:proofErr w:type="spellEnd"/>
      <w:r w:rsidRPr="009A65F0">
        <w:rPr>
          <w:lang w:val="es-ES_tradnl"/>
        </w:rPr>
        <w:t>)" se incluirá en el informe del Presidente al Consejo de 2026.</w:t>
      </w:r>
    </w:p>
    <w:p w14:paraId="60BEA2B9" w14:textId="77777777" w:rsidR="009E1ECE" w:rsidRPr="009A65F0" w:rsidRDefault="009E1ECE" w:rsidP="0019149E">
      <w:pPr>
        <w:pStyle w:val="enumlev1"/>
        <w:jc w:val="both"/>
        <w:rPr>
          <w:bCs/>
          <w:lang w:val="es-ES_tradnl"/>
        </w:rPr>
      </w:pPr>
      <w:r w:rsidRPr="009A65F0">
        <w:rPr>
          <w:lang w:val="es-ES_tradnl"/>
        </w:rPr>
        <w:t>b)</w:t>
      </w:r>
      <w:r w:rsidRPr="009A65F0">
        <w:rPr>
          <w:lang w:val="es-ES_tradnl"/>
        </w:rPr>
        <w:tab/>
        <w:t>Se examinaron todas las contribuciones recibidas, incluidas las que presentaban temas para futuras consultas abiertas, pero no se llegó a un consenso.</w:t>
      </w:r>
    </w:p>
    <w:p w14:paraId="0C758FBE" w14:textId="77777777" w:rsidR="009E1ECE" w:rsidRPr="009A65F0" w:rsidRDefault="009E1ECE" w:rsidP="0019149E">
      <w:pPr>
        <w:jc w:val="both"/>
        <w:rPr>
          <w:bCs/>
          <w:lang w:val="es-ES_tradnl"/>
        </w:rPr>
      </w:pPr>
      <w:r w:rsidRPr="009A65F0">
        <w:rPr>
          <w:lang w:val="es-ES_tradnl"/>
        </w:rPr>
        <w:t>2.6</w:t>
      </w:r>
      <w:r w:rsidRPr="009A65F0">
        <w:rPr>
          <w:lang w:val="es-ES_tradnl"/>
        </w:rPr>
        <w:tab/>
        <w:t xml:space="preserve">Los principales resultados de la </w:t>
      </w:r>
      <w:hyperlink r:id="rId22" w:history="1">
        <w:r w:rsidRPr="009A65F0">
          <w:rPr>
            <w:rStyle w:val="Hyperlink"/>
            <w:lang w:val="es-ES_tradnl"/>
          </w:rPr>
          <w:t>vigésima tercera reunión</w:t>
        </w:r>
      </w:hyperlink>
      <w:r w:rsidRPr="009A65F0">
        <w:rPr>
          <w:lang w:val="es-ES_tradnl"/>
        </w:rPr>
        <w:t xml:space="preserve"> del </w:t>
      </w:r>
      <w:proofErr w:type="spellStart"/>
      <w:r w:rsidRPr="009A65F0">
        <w:rPr>
          <w:lang w:val="es-ES_tradnl"/>
        </w:rPr>
        <w:t>GTC</w:t>
      </w:r>
      <w:proofErr w:type="spellEnd"/>
      <w:r w:rsidRPr="009A65F0">
        <w:rPr>
          <w:lang w:val="es-ES_tradnl"/>
        </w:rPr>
        <w:t>-Internet, celebrada el 20 de enero de 2026, fueron los siguientes:</w:t>
      </w:r>
      <w:hyperlink r:id="rId23" w:history="1"/>
    </w:p>
    <w:p w14:paraId="15181B28" w14:textId="73A68C38" w:rsidR="009E1ECE" w:rsidRPr="009A65F0" w:rsidRDefault="009E1ECE" w:rsidP="0019149E">
      <w:pPr>
        <w:pStyle w:val="enumlev1"/>
        <w:jc w:val="both"/>
        <w:rPr>
          <w:lang w:val="es-ES_tradnl"/>
        </w:rPr>
      </w:pPr>
      <w:r w:rsidRPr="009A65F0">
        <w:rPr>
          <w:i/>
          <w:iCs/>
          <w:lang w:val="es-ES_tradnl"/>
        </w:rPr>
        <w:t>a)</w:t>
      </w:r>
      <w:r w:rsidRPr="009A65F0">
        <w:rPr>
          <w:lang w:val="es-ES_tradnl"/>
        </w:rPr>
        <w:tab/>
        <w:t xml:space="preserve">Recordando la decisión adoptada por el </w:t>
      </w:r>
      <w:proofErr w:type="spellStart"/>
      <w:r w:rsidRPr="009A65F0">
        <w:rPr>
          <w:lang w:val="es-ES_tradnl"/>
        </w:rPr>
        <w:t>GTC-CMSI+ODS</w:t>
      </w:r>
      <w:proofErr w:type="spellEnd"/>
      <w:r w:rsidRPr="009A65F0">
        <w:rPr>
          <w:lang w:val="es-ES_tradnl"/>
        </w:rPr>
        <w:t xml:space="preserve"> de preparar un análisis de las carencias del Consejo sobre las repercusiones de la </w:t>
      </w:r>
      <w:proofErr w:type="spellStart"/>
      <w:r w:rsidRPr="009A65F0">
        <w:rPr>
          <w:lang w:val="es-ES_tradnl"/>
        </w:rPr>
        <w:t>CMSI+20</w:t>
      </w:r>
      <w:proofErr w:type="spellEnd"/>
      <w:r w:rsidRPr="009A65F0">
        <w:rPr>
          <w:lang w:val="es-ES_tradnl"/>
        </w:rPr>
        <w:t xml:space="preserve"> en los trabajos y mandatos en curso de la UIT, para su examen y consideración por el Consejo, el </w:t>
      </w:r>
      <w:proofErr w:type="spellStart"/>
      <w:r w:rsidRPr="009A65F0">
        <w:rPr>
          <w:lang w:val="es-ES_tradnl"/>
        </w:rPr>
        <w:t>GTC</w:t>
      </w:r>
      <w:proofErr w:type="spellEnd"/>
      <w:r w:rsidR="0089455A" w:rsidRPr="009A65F0">
        <w:rPr>
          <w:lang w:val="es-ES_tradnl"/>
        </w:rPr>
        <w:noBreakHyphen/>
      </w:r>
      <w:r w:rsidRPr="009A65F0">
        <w:rPr>
          <w:lang w:val="es-ES_tradnl"/>
        </w:rPr>
        <w:t xml:space="preserve">Internet solicitó a la Secretaría que contribuyera a este esfuerzo en lo que concierne al mandato del </w:t>
      </w:r>
      <w:proofErr w:type="spellStart"/>
      <w:r w:rsidRPr="009A65F0">
        <w:rPr>
          <w:lang w:val="es-ES_tradnl"/>
        </w:rPr>
        <w:t>GTC</w:t>
      </w:r>
      <w:proofErr w:type="spellEnd"/>
      <w:r w:rsidRPr="009A65F0">
        <w:rPr>
          <w:lang w:val="es-ES_tradnl"/>
        </w:rPr>
        <w:t>-Internet.</w:t>
      </w:r>
    </w:p>
    <w:p w14:paraId="58D68AAC" w14:textId="557D5101" w:rsidR="009E1ECE" w:rsidRPr="009A65F0" w:rsidRDefault="009E1ECE" w:rsidP="0019149E">
      <w:pPr>
        <w:pStyle w:val="enumlev1"/>
        <w:jc w:val="both"/>
        <w:rPr>
          <w:lang w:val="es-ES_tradnl"/>
        </w:rPr>
      </w:pPr>
      <w:r w:rsidRPr="009A65F0">
        <w:rPr>
          <w:lang w:val="es-ES_tradnl"/>
        </w:rPr>
        <w:t>b)</w:t>
      </w:r>
      <w:r w:rsidRPr="009A65F0">
        <w:rPr>
          <w:lang w:val="es-ES_tradnl"/>
        </w:rPr>
        <w:tab/>
        <w:t xml:space="preserve">El Grupo aplazó la cuestión de los temas para futuras consultas hasta la próxima reunión del </w:t>
      </w:r>
      <w:proofErr w:type="spellStart"/>
      <w:r w:rsidRPr="009A65F0">
        <w:rPr>
          <w:lang w:val="es-ES_tradnl"/>
        </w:rPr>
        <w:t>GTC</w:t>
      </w:r>
      <w:proofErr w:type="spellEnd"/>
      <w:r w:rsidRPr="009A65F0">
        <w:rPr>
          <w:lang w:val="es-ES_tradnl"/>
        </w:rPr>
        <w:t>-Internet, en caso de que la Conferencia de Plenipotenciarios de 2026 (PP</w:t>
      </w:r>
      <w:r w:rsidR="0089455A" w:rsidRPr="009A65F0">
        <w:rPr>
          <w:lang w:val="es-ES_tradnl"/>
        </w:rPr>
        <w:noBreakHyphen/>
      </w:r>
      <w:r w:rsidRPr="009A65F0">
        <w:rPr>
          <w:lang w:val="es-ES_tradnl"/>
        </w:rPr>
        <w:t xml:space="preserve">26) decidiera la continuación de las consultas abiertas. </w:t>
      </w:r>
    </w:p>
    <w:p w14:paraId="3992CAB7" w14:textId="77777777" w:rsidR="009E1ECE" w:rsidRPr="009A65F0" w:rsidRDefault="009E1ECE" w:rsidP="009E1ECE">
      <w:pPr>
        <w:pStyle w:val="Heading1"/>
        <w:rPr>
          <w:lang w:val="es-ES_tradnl"/>
        </w:rPr>
      </w:pPr>
      <w:r w:rsidRPr="009A65F0">
        <w:rPr>
          <w:lang w:val="es-ES_tradnl"/>
        </w:rPr>
        <w:t>3</w:t>
      </w:r>
      <w:r w:rsidRPr="009A65F0">
        <w:rPr>
          <w:lang w:val="es-ES_tradnl"/>
        </w:rPr>
        <w:tab/>
        <w:t>Recomendaciones a la PP-26</w:t>
      </w:r>
    </w:p>
    <w:p w14:paraId="4F77AD57" w14:textId="77777777" w:rsidR="009E1ECE" w:rsidRPr="009A65F0" w:rsidRDefault="009E1ECE" w:rsidP="0019149E">
      <w:pPr>
        <w:jc w:val="both"/>
        <w:rPr>
          <w:bCs/>
          <w:lang w:val="es-ES_tradnl"/>
        </w:rPr>
      </w:pPr>
      <w:r w:rsidRPr="009A65F0">
        <w:rPr>
          <w:lang w:val="es-ES_tradnl"/>
        </w:rPr>
        <w:t>3.1</w:t>
      </w:r>
      <w:r w:rsidRPr="009A65F0">
        <w:rPr>
          <w:lang w:val="es-ES_tradnl"/>
        </w:rPr>
        <w:tab/>
        <w:t xml:space="preserve">El Presidente expresó su agradecimiento por la </w:t>
      </w:r>
      <w:proofErr w:type="gramStart"/>
      <w:r w:rsidRPr="009A65F0">
        <w:rPr>
          <w:lang w:val="es-ES_tradnl"/>
        </w:rPr>
        <w:t>participación activa</w:t>
      </w:r>
      <w:proofErr w:type="gramEnd"/>
      <w:r w:rsidRPr="009A65F0">
        <w:rPr>
          <w:lang w:val="es-ES_tradnl"/>
        </w:rPr>
        <w:t xml:space="preserve"> y el compromiso de todos los miembros en las actividades del </w:t>
      </w:r>
      <w:proofErr w:type="spellStart"/>
      <w:r w:rsidRPr="009A65F0">
        <w:rPr>
          <w:lang w:val="es-ES_tradnl"/>
        </w:rPr>
        <w:t>GTC</w:t>
      </w:r>
      <w:proofErr w:type="spellEnd"/>
      <w:r w:rsidRPr="009A65F0">
        <w:rPr>
          <w:lang w:val="es-ES_tradnl"/>
        </w:rPr>
        <w:t xml:space="preserve">-Internet, y señaló la amplia labor realizada por el Grupo de 2023 a 2026 sobre una amplia gama de temas oportunos y pertinentes. Esto incluye los debates sustantivos y las constructivas consultas </w:t>
      </w:r>
      <w:proofErr w:type="spellStart"/>
      <w:r w:rsidRPr="009A65F0">
        <w:rPr>
          <w:lang w:val="es-ES_tradnl"/>
        </w:rPr>
        <w:t>multipartitas</w:t>
      </w:r>
      <w:proofErr w:type="spellEnd"/>
      <w:r w:rsidRPr="009A65F0">
        <w:rPr>
          <w:lang w:val="es-ES_tradnl"/>
        </w:rPr>
        <w:t xml:space="preserve"> que se celebraron, y que siguieron informando el rico y único repositorio de consultas mantenido por la Secretaría de la UIT. En cumplimiento de su mandato, el </w:t>
      </w:r>
      <w:proofErr w:type="spellStart"/>
      <w:r w:rsidRPr="009A65F0">
        <w:rPr>
          <w:lang w:val="es-ES_tradnl"/>
        </w:rPr>
        <w:t>GTC</w:t>
      </w:r>
      <w:proofErr w:type="spellEnd"/>
      <w:r w:rsidRPr="009A65F0">
        <w:rPr>
          <w:lang w:val="es-ES_tradnl"/>
        </w:rPr>
        <w:t xml:space="preserve">-Internet ha desempeñado un papel importante en el avance del diálogo mundial sobre cuestiones de política pública internacional relacionadas con Internet. El Presidente invita a la PP-26 a considerar la continuación de la labor y el mandato del </w:t>
      </w:r>
      <w:proofErr w:type="spellStart"/>
      <w:r w:rsidRPr="009A65F0">
        <w:rPr>
          <w:lang w:val="es-ES_tradnl"/>
        </w:rPr>
        <w:t>GTC</w:t>
      </w:r>
      <w:proofErr w:type="spellEnd"/>
      <w:r w:rsidRPr="009A65F0">
        <w:rPr>
          <w:lang w:val="es-ES_tradnl"/>
        </w:rPr>
        <w:t xml:space="preserve">-Internet e insta también a los Estados </w:t>
      </w:r>
      <w:r w:rsidRPr="009A65F0">
        <w:rPr>
          <w:lang w:val="es-ES_tradnl"/>
        </w:rPr>
        <w:lastRenderedPageBreak/>
        <w:t xml:space="preserve">Miembros a estudiar formas de reforzar la labor y la repercusión del </w:t>
      </w:r>
      <w:proofErr w:type="spellStart"/>
      <w:r w:rsidRPr="009A65F0">
        <w:rPr>
          <w:lang w:val="es-ES_tradnl"/>
        </w:rPr>
        <w:t>GTC</w:t>
      </w:r>
      <w:proofErr w:type="spellEnd"/>
      <w:r w:rsidRPr="009A65F0">
        <w:rPr>
          <w:lang w:val="es-ES_tradnl"/>
        </w:rPr>
        <w:t>-Internet y a presentar propuestas conexas a la PP-26 para su consideración.</w:t>
      </w:r>
    </w:p>
    <w:p w14:paraId="3D41BACC" w14:textId="77777777" w:rsidR="009E1ECE" w:rsidRPr="009A65F0" w:rsidRDefault="009E1ECE" w:rsidP="0019149E">
      <w:pPr>
        <w:jc w:val="both"/>
        <w:rPr>
          <w:lang w:val="es-ES_tradnl"/>
        </w:rPr>
      </w:pPr>
      <w:r w:rsidRPr="009A65F0">
        <w:rPr>
          <w:lang w:val="es-ES_tradnl"/>
        </w:rPr>
        <w:t>3.2</w:t>
      </w:r>
      <w:r w:rsidRPr="009A65F0">
        <w:rPr>
          <w:lang w:val="es-ES_tradnl"/>
        </w:rPr>
        <w:tab/>
        <w:t xml:space="preserve">En nombre del </w:t>
      </w:r>
      <w:proofErr w:type="spellStart"/>
      <w:r w:rsidRPr="009A65F0">
        <w:rPr>
          <w:lang w:val="es-ES_tradnl"/>
        </w:rPr>
        <w:t>GTC</w:t>
      </w:r>
      <w:proofErr w:type="spellEnd"/>
      <w:r w:rsidRPr="009A65F0">
        <w:rPr>
          <w:lang w:val="es-ES_tradnl"/>
        </w:rPr>
        <w:t xml:space="preserve">-Internet, el Presidente expresó su agradecimiento personal a todos los Estados Miembros de la UIT que habían aportado contribuciones y habían participado en los trabajos del Grupo, a los Vicepresidentes, a la Secretaria General, al Vicesecretario General, a los Directores de la TSB, la BR y la BDT, y a la Secretaría General por la eficaz asistencia prestada durante las reuniones del </w:t>
      </w:r>
      <w:proofErr w:type="spellStart"/>
      <w:r w:rsidRPr="009A65F0">
        <w:rPr>
          <w:lang w:val="es-ES_tradnl"/>
        </w:rPr>
        <w:t>GTC</w:t>
      </w:r>
      <w:proofErr w:type="spellEnd"/>
      <w:r w:rsidRPr="009A65F0">
        <w:rPr>
          <w:lang w:val="es-ES_tradnl"/>
        </w:rPr>
        <w:t>-Internet.</w:t>
      </w:r>
    </w:p>
    <w:p w14:paraId="35BE398B" w14:textId="003D5A06" w:rsidR="00F92BED" w:rsidRPr="009A65F0" w:rsidRDefault="0019149E" w:rsidP="0019149E">
      <w:pPr>
        <w:pStyle w:val="Signature"/>
        <w:tabs>
          <w:tab w:val="clear" w:pos="567"/>
          <w:tab w:val="clear" w:pos="1134"/>
          <w:tab w:val="clear" w:pos="1701"/>
          <w:tab w:val="clear" w:pos="2268"/>
          <w:tab w:val="clear" w:pos="2835"/>
          <w:tab w:val="center" w:pos="6804"/>
        </w:tabs>
        <w:spacing w:before="480"/>
        <w:ind w:left="0"/>
        <w:rPr>
          <w:lang w:val="es-ES_tradnl"/>
        </w:rPr>
      </w:pPr>
      <w:r>
        <w:rPr>
          <w:lang w:val="es-ES_tradnl"/>
        </w:rPr>
        <w:tab/>
      </w:r>
      <w:r w:rsidR="009E1ECE" w:rsidRPr="009A65F0">
        <w:rPr>
          <w:lang w:val="es-ES_tradnl"/>
        </w:rPr>
        <w:t>Sr. Wojciech Berezowski (Polonia)</w:t>
      </w:r>
      <w:r w:rsidR="009E1ECE" w:rsidRPr="009A65F0">
        <w:rPr>
          <w:lang w:val="es-ES_tradnl"/>
        </w:rPr>
        <w:br/>
      </w:r>
      <w:r>
        <w:rPr>
          <w:lang w:val="es-ES_tradnl"/>
        </w:rPr>
        <w:tab/>
      </w:r>
      <w:r w:rsidR="009E1ECE" w:rsidRPr="009A65F0">
        <w:rPr>
          <w:lang w:val="es-ES_tradnl"/>
        </w:rPr>
        <w:t xml:space="preserve">Presidente del </w:t>
      </w:r>
      <w:proofErr w:type="spellStart"/>
      <w:r w:rsidR="009E1ECE" w:rsidRPr="009A65F0">
        <w:rPr>
          <w:lang w:val="es-ES_tradnl"/>
        </w:rPr>
        <w:t>GTC</w:t>
      </w:r>
      <w:proofErr w:type="spellEnd"/>
      <w:r w:rsidR="009E1ECE" w:rsidRPr="009A65F0">
        <w:rPr>
          <w:lang w:val="es-ES_tradnl"/>
        </w:rPr>
        <w:t>-Internet</w:t>
      </w:r>
      <w:bookmarkEnd w:id="1"/>
    </w:p>
    <w:sectPr w:rsidR="00F92BED" w:rsidRPr="009A65F0" w:rsidSect="00C538FC">
      <w:footerReference w:type="default" r:id="rId24"/>
      <w:headerReference w:type="first" r:id="rId25"/>
      <w:footerReference w:type="first" r:id="rId2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5B8EA" w14:textId="77777777" w:rsidR="009E1ECE" w:rsidRDefault="009E1ECE">
      <w:r>
        <w:separator/>
      </w:r>
    </w:p>
  </w:endnote>
  <w:endnote w:type="continuationSeparator" w:id="0">
    <w:p w14:paraId="22675D70" w14:textId="77777777" w:rsidR="009E1ECE" w:rsidRDefault="009E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5A48F167" w14:textId="77777777" w:rsidTr="00E31DCE">
      <w:trPr>
        <w:jc w:val="center"/>
      </w:trPr>
      <w:tc>
        <w:tcPr>
          <w:tcW w:w="1803" w:type="dxa"/>
          <w:vAlign w:val="center"/>
        </w:tcPr>
        <w:p w14:paraId="0F3AFD4E" w14:textId="036DC105" w:rsidR="003273A4" w:rsidRDefault="002946E2" w:rsidP="003273A4">
          <w:pPr>
            <w:pStyle w:val="Header"/>
            <w:jc w:val="left"/>
            <w:rPr>
              <w:noProof/>
            </w:rPr>
          </w:pPr>
          <w:r>
            <w:rPr>
              <w:noProof/>
            </w:rPr>
            <w:t xml:space="preserve">gDoc </w:t>
          </w:r>
          <w:r w:rsidR="009E1ECE">
            <w:rPr>
              <w:noProof/>
            </w:rPr>
            <w:t>2600465</w:t>
          </w:r>
        </w:p>
      </w:tc>
      <w:tc>
        <w:tcPr>
          <w:tcW w:w="8261" w:type="dxa"/>
        </w:tcPr>
        <w:p w14:paraId="651463E3" w14:textId="6553E075"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9E1ECE">
            <w:rPr>
              <w:bCs/>
            </w:rPr>
            <w:t>52</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3B61D283"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54B5ECD6" w14:textId="77777777" w:rsidTr="00E31DCE">
      <w:trPr>
        <w:jc w:val="center"/>
      </w:trPr>
      <w:tc>
        <w:tcPr>
          <w:tcW w:w="1803" w:type="dxa"/>
          <w:vAlign w:val="center"/>
        </w:tcPr>
        <w:p w14:paraId="463EB821"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6F2AB6DB" w14:textId="13EB46FA"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9E1ECE">
            <w:rPr>
              <w:bCs/>
            </w:rPr>
            <w:t>52</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24BC28E"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A689" w14:textId="77777777" w:rsidR="009E1ECE" w:rsidRDefault="009E1ECE">
      <w:r>
        <w:t>____________________</w:t>
      </w:r>
    </w:p>
  </w:footnote>
  <w:footnote w:type="continuationSeparator" w:id="0">
    <w:p w14:paraId="02BBC857" w14:textId="77777777" w:rsidR="009E1ECE" w:rsidRDefault="009E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D229" w14:textId="77777777" w:rsidR="001559F5" w:rsidRPr="00B1560D" w:rsidRDefault="00B1560D" w:rsidP="00B1560D">
    <w:pPr>
      <w:pStyle w:val="Header"/>
    </w:pPr>
    <w:r>
      <w:rPr>
        <w:noProof/>
      </w:rPr>
      <w:drawing>
        <wp:inline distT="0" distB="0" distL="0" distR="0" wp14:anchorId="1BB3B282" wp14:editId="57D3EF2E">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CE"/>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149E"/>
    <w:rsid w:val="001958F5"/>
    <w:rsid w:val="001B6E2B"/>
    <w:rsid w:val="001F14A2"/>
    <w:rsid w:val="00210647"/>
    <w:rsid w:val="00277DEA"/>
    <w:rsid w:val="002801AA"/>
    <w:rsid w:val="002946E2"/>
    <w:rsid w:val="002C3F32"/>
    <w:rsid w:val="002C4676"/>
    <w:rsid w:val="002C70B0"/>
    <w:rsid w:val="002F3CC4"/>
    <w:rsid w:val="003032E2"/>
    <w:rsid w:val="0031300A"/>
    <w:rsid w:val="003273A4"/>
    <w:rsid w:val="0034796E"/>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11C21"/>
    <w:rsid w:val="00726872"/>
    <w:rsid w:val="00760F1C"/>
    <w:rsid w:val="007657F0"/>
    <w:rsid w:val="0077110E"/>
    <w:rsid w:val="0077252D"/>
    <w:rsid w:val="007955DA"/>
    <w:rsid w:val="007E5DD3"/>
    <w:rsid w:val="007F350B"/>
    <w:rsid w:val="00820BE4"/>
    <w:rsid w:val="008451E8"/>
    <w:rsid w:val="0084546D"/>
    <w:rsid w:val="0089455A"/>
    <w:rsid w:val="008A4EE8"/>
    <w:rsid w:val="008F6ABC"/>
    <w:rsid w:val="00913B9C"/>
    <w:rsid w:val="00927F93"/>
    <w:rsid w:val="00956E77"/>
    <w:rsid w:val="009A338E"/>
    <w:rsid w:val="009A65F0"/>
    <w:rsid w:val="009A76A8"/>
    <w:rsid w:val="009E1ECE"/>
    <w:rsid w:val="009F4811"/>
    <w:rsid w:val="00A01F4F"/>
    <w:rsid w:val="00A109AF"/>
    <w:rsid w:val="00A94438"/>
    <w:rsid w:val="00AA390C"/>
    <w:rsid w:val="00AD5A4D"/>
    <w:rsid w:val="00AE4B37"/>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6AD67"/>
  <w15:docId w15:val="{4E089F98-872C-4CD2-ABC0-875A389C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9A65F0"/>
    <w:pPr>
      <w:framePr w:hSpace="181" w:wrap="around" w:vAnchor="page" w:hAnchor="page" w:x="1589" w:y="2314"/>
      <w:spacing w:before="840"/>
    </w:pPr>
    <w:rPr>
      <w:rFonts w:cstheme="minorHAnsi"/>
      <w:b/>
      <w:sz w:val="34"/>
      <w:szCs w:val="34"/>
      <w:lang w:val="es-ES_tradnl"/>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ListParagraph">
    <w:name w:val="List Paragraph"/>
    <w:basedOn w:val="Normal"/>
    <w:uiPriority w:val="34"/>
    <w:qFormat/>
    <w:rsid w:val="009E1ECE"/>
    <w:pPr>
      <w:ind w:left="720"/>
      <w:contextualSpacing/>
    </w:pPr>
    <w:rPr>
      <w:lang w:val="en-GB"/>
    </w:rPr>
  </w:style>
  <w:style w:type="paragraph" w:styleId="Signature">
    <w:name w:val="Signature"/>
    <w:basedOn w:val="Normal"/>
    <w:link w:val="SignatureChar"/>
    <w:unhideWhenUsed/>
    <w:rsid w:val="0019149E"/>
    <w:pPr>
      <w:spacing w:before="0"/>
      <w:ind w:left="4252"/>
    </w:pPr>
  </w:style>
  <w:style w:type="character" w:customStyle="1" w:styleId="SignatureChar">
    <w:name w:val="Signature Char"/>
    <w:basedOn w:val="DefaultParagraphFont"/>
    <w:link w:val="Signature"/>
    <w:rsid w:val="0019149E"/>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9-CL-C-0136/es" TargetMode="External"/><Relationship Id="rId13" Type="http://schemas.openxmlformats.org/officeDocument/2006/relationships/hyperlink" Target="https://www.itu.int/md/S24-RCLINTPOL19-C-0003/en" TargetMode="External"/><Relationship Id="rId18" Type="http://schemas.openxmlformats.org/officeDocument/2006/relationships/hyperlink" Target="https://www.itu.int/md/S25-RCLINTPOL21-C-0010/es"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www.itu.int/md/S25-RCLINTPOL22-C-0006/en" TargetMode="External"/><Relationship Id="rId7" Type="http://schemas.openxmlformats.org/officeDocument/2006/relationships/hyperlink" Target="https://www.itu.int/en/council/Documents/basic-texts-2023/RES-140-S.pdf" TargetMode="External"/><Relationship Id="rId12" Type="http://schemas.openxmlformats.org/officeDocument/2006/relationships/hyperlink" Target="https://www.itu.int/md/S24-RCLINTPOL19-C-0003/es" TargetMode="External"/><Relationship Id="rId17" Type="http://schemas.openxmlformats.org/officeDocument/2006/relationships/hyperlink" Target="https://www.itu.int/md/S24-RCLINTPOL20-C-0006/en"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itu.int/md/S24-RCLINTPOL20-C-0006/es" TargetMode="External"/><Relationship Id="rId20" Type="http://schemas.openxmlformats.org/officeDocument/2006/relationships/hyperlink" Target="https://www.itu.int/md/S25-RCLINTPOL22-C-0006/es" TargetMode="External"/><Relationship Id="rId1" Type="http://schemas.openxmlformats.org/officeDocument/2006/relationships/styles" Target="styles.xml"/><Relationship Id="rId6" Type="http://schemas.openxmlformats.org/officeDocument/2006/relationships/hyperlink" Target="https://www.itu.int/en/council/Documents/basic-texts-2023/RES-102-S.pdf" TargetMode="External"/><Relationship Id="rId11" Type="http://schemas.openxmlformats.org/officeDocument/2006/relationships/hyperlink" Target="https://www.itu.int/en/council/cwg-internet/Pages/default.asp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itu.int/md/S24-RCLINTPOL19-C-0007/en" TargetMode="External"/><Relationship Id="rId23" Type="http://schemas.openxmlformats.org/officeDocument/2006/relationships/hyperlink" Target="https://www.itu.int/md/S26-RCLINTPOL23-C-0007/en" TargetMode="External"/><Relationship Id="rId28" Type="http://schemas.openxmlformats.org/officeDocument/2006/relationships/theme" Target="theme/theme1.xml"/><Relationship Id="rId10" Type="http://schemas.openxmlformats.org/officeDocument/2006/relationships/hyperlink" Target="https://www.itu.int/en/council/cwg-internet/Pages/default.aspx" TargetMode="External"/><Relationship Id="rId19" Type="http://schemas.openxmlformats.org/officeDocument/2006/relationships/hyperlink" Target="https://www.itu.int/md/S25-RCLINTPOL21-C-0010/en" TargetMode="External"/><Relationship Id="rId4" Type="http://schemas.openxmlformats.org/officeDocument/2006/relationships/footnotes" Target="footnotes.xml"/><Relationship Id="rId9" Type="http://schemas.openxmlformats.org/officeDocument/2006/relationships/hyperlink" Target="https://www.itu.int/md/S19-CL-C-0140/es" TargetMode="External"/><Relationship Id="rId14" Type="http://schemas.openxmlformats.org/officeDocument/2006/relationships/hyperlink" Target="https://www.itu.int/md/S24-RCLINTPOL19-C-0007/es" TargetMode="External"/><Relationship Id="rId22" Type="http://schemas.openxmlformats.org/officeDocument/2006/relationships/hyperlink" Target="https://www.itu.int/md/S26-RCLINTPOL23-C-0007/e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4</TotalTime>
  <Pages>4</Pages>
  <Words>1176</Words>
  <Characters>7673</Characters>
  <Application>Microsoft Office Word</Application>
  <DocSecurity>0</DocSecurity>
  <Lines>150</Lines>
  <Paragraphs>73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8776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cuatrienal del Grupo de Trabajo del Consejo sobre cuestiones de política pública internacional relacionadas con Internet</dc:title>
  <dc:subject>Consejo 2026 de la UIT</dc:subject>
  <cp:keywords>C26; C2026; Council 2026; PP26</cp:keywords>
  <dc:description/>
  <cp:lastPrinted>2006-03-24T09:51:00Z</cp:lastPrinted>
  <dcterms:created xsi:type="dcterms:W3CDTF">2026-04-02T08:42:00Z</dcterms:created>
  <dcterms:modified xsi:type="dcterms:W3CDTF">2026-04-02T08:45:00Z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