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31712726" w14:textId="77777777" w:rsidTr="00796BDB">
        <w:trPr>
          <w:cantSplit/>
          <w:trHeight w:val="23"/>
        </w:trPr>
        <w:tc>
          <w:tcPr>
            <w:tcW w:w="3969" w:type="dxa"/>
            <w:vMerge w:val="restart"/>
            <w:tcMar>
              <w:left w:w="0" w:type="dxa"/>
            </w:tcMar>
          </w:tcPr>
          <w:p w14:paraId="1AAF315A" w14:textId="5D66EAB3"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870809">
              <w:rPr>
                <w:b/>
              </w:rPr>
              <w:t xml:space="preserve"> PL 2</w:t>
            </w:r>
          </w:p>
        </w:tc>
        <w:tc>
          <w:tcPr>
            <w:tcW w:w="5245" w:type="dxa"/>
          </w:tcPr>
          <w:p w14:paraId="4E0503D7" w14:textId="05F3DADD" w:rsidR="00D72F49" w:rsidRPr="00E85629" w:rsidRDefault="00D72F49" w:rsidP="00796BDB">
            <w:pPr>
              <w:tabs>
                <w:tab w:val="left" w:pos="851"/>
              </w:tabs>
              <w:spacing w:before="0" w:line="240" w:lineRule="atLeast"/>
              <w:jc w:val="right"/>
              <w:rPr>
                <w:b/>
              </w:rPr>
            </w:pPr>
            <w:r>
              <w:rPr>
                <w:b/>
              </w:rPr>
              <w:t xml:space="preserve">Document </w:t>
            </w:r>
            <w:proofErr w:type="spellStart"/>
            <w:r>
              <w:rPr>
                <w:b/>
              </w:rPr>
              <w:t>C2</w:t>
            </w:r>
            <w:r w:rsidR="00E4448E">
              <w:rPr>
                <w:b/>
              </w:rPr>
              <w:t>6</w:t>
            </w:r>
            <w:proofErr w:type="spellEnd"/>
            <w:r>
              <w:rPr>
                <w:b/>
              </w:rPr>
              <w:t>/</w:t>
            </w:r>
            <w:r w:rsidR="00870809">
              <w:rPr>
                <w:b/>
              </w:rPr>
              <w:t>52</w:t>
            </w:r>
            <w:r>
              <w:rPr>
                <w:b/>
              </w:rPr>
              <w:t>-F</w:t>
            </w:r>
          </w:p>
        </w:tc>
      </w:tr>
      <w:tr w:rsidR="00D72F49" w:rsidRPr="00C049D7" w14:paraId="7DAE9375" w14:textId="77777777" w:rsidTr="00796BDB">
        <w:trPr>
          <w:cantSplit/>
        </w:trPr>
        <w:tc>
          <w:tcPr>
            <w:tcW w:w="3969" w:type="dxa"/>
            <w:vMerge/>
          </w:tcPr>
          <w:p w14:paraId="5CF7A0B0" w14:textId="77777777" w:rsidR="00D72F49" w:rsidRPr="00813E5E" w:rsidRDefault="00D72F49" w:rsidP="00796BDB">
            <w:pPr>
              <w:tabs>
                <w:tab w:val="left" w:pos="851"/>
              </w:tabs>
              <w:spacing w:line="240" w:lineRule="atLeast"/>
              <w:rPr>
                <w:b/>
              </w:rPr>
            </w:pPr>
          </w:p>
        </w:tc>
        <w:tc>
          <w:tcPr>
            <w:tcW w:w="5245" w:type="dxa"/>
          </w:tcPr>
          <w:p w14:paraId="22DC6F82" w14:textId="04FC2B30" w:rsidR="00D72F49" w:rsidRPr="00FC6D7D" w:rsidRDefault="00AD6E8C" w:rsidP="00796BDB">
            <w:pPr>
              <w:tabs>
                <w:tab w:val="left" w:pos="851"/>
              </w:tabs>
              <w:spacing w:before="0"/>
              <w:jc w:val="right"/>
              <w:rPr>
                <w:b/>
                <w:lang w:val="en-GB"/>
              </w:rPr>
            </w:pPr>
            <w:r>
              <w:rPr>
                <w:b/>
              </w:rPr>
              <w:t>27 mars</w:t>
            </w:r>
            <w:r w:rsidR="00870809">
              <w:rPr>
                <w:b/>
              </w:rPr>
              <w:t xml:space="preserve"> 2026</w:t>
            </w:r>
          </w:p>
        </w:tc>
      </w:tr>
      <w:tr w:rsidR="00D72F49" w:rsidRPr="00813E5E" w14:paraId="04EF840C" w14:textId="77777777" w:rsidTr="00796BDB">
        <w:trPr>
          <w:cantSplit/>
          <w:trHeight w:val="23"/>
        </w:trPr>
        <w:tc>
          <w:tcPr>
            <w:tcW w:w="3969" w:type="dxa"/>
            <w:vMerge/>
          </w:tcPr>
          <w:p w14:paraId="2D5BE96A" w14:textId="77777777" w:rsidR="00D72F49" w:rsidRPr="00FC6D7D" w:rsidRDefault="00D72F49" w:rsidP="00796BDB">
            <w:pPr>
              <w:tabs>
                <w:tab w:val="left" w:pos="851"/>
              </w:tabs>
              <w:spacing w:line="240" w:lineRule="atLeast"/>
              <w:rPr>
                <w:b/>
                <w:lang w:val="en-GB"/>
              </w:rPr>
            </w:pPr>
          </w:p>
        </w:tc>
        <w:tc>
          <w:tcPr>
            <w:tcW w:w="5245" w:type="dxa"/>
          </w:tcPr>
          <w:p w14:paraId="3A164F5D" w14:textId="77777777"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069AAECE" w14:textId="77777777" w:rsidTr="00796BDB">
        <w:trPr>
          <w:cantSplit/>
          <w:trHeight w:val="23"/>
        </w:trPr>
        <w:tc>
          <w:tcPr>
            <w:tcW w:w="3969" w:type="dxa"/>
          </w:tcPr>
          <w:p w14:paraId="73A96AFE" w14:textId="77777777" w:rsidR="00D72F49" w:rsidRPr="00813E5E" w:rsidRDefault="00D72F49" w:rsidP="00796BDB">
            <w:pPr>
              <w:tabs>
                <w:tab w:val="left" w:pos="851"/>
              </w:tabs>
              <w:spacing w:line="240" w:lineRule="atLeast"/>
              <w:rPr>
                <w:b/>
              </w:rPr>
            </w:pPr>
          </w:p>
        </w:tc>
        <w:tc>
          <w:tcPr>
            <w:tcW w:w="5245" w:type="dxa"/>
          </w:tcPr>
          <w:p w14:paraId="457A79AD" w14:textId="77777777" w:rsidR="00D72F49" w:rsidRDefault="00D72F49" w:rsidP="00796BDB">
            <w:pPr>
              <w:tabs>
                <w:tab w:val="left" w:pos="851"/>
              </w:tabs>
              <w:spacing w:before="0" w:line="240" w:lineRule="atLeast"/>
              <w:jc w:val="right"/>
              <w:rPr>
                <w:b/>
              </w:rPr>
            </w:pPr>
          </w:p>
        </w:tc>
      </w:tr>
      <w:tr w:rsidR="00D72F49" w:rsidRPr="00122CE1" w14:paraId="22E3B4DF" w14:textId="77777777" w:rsidTr="00796BDB">
        <w:trPr>
          <w:cantSplit/>
        </w:trPr>
        <w:tc>
          <w:tcPr>
            <w:tcW w:w="9214" w:type="dxa"/>
            <w:gridSpan w:val="2"/>
            <w:tcMar>
              <w:left w:w="0" w:type="dxa"/>
            </w:tcMar>
          </w:tcPr>
          <w:p w14:paraId="7730B6DA" w14:textId="0A4D7B68" w:rsidR="00D72F49" w:rsidRPr="00C42437" w:rsidRDefault="00D72F49" w:rsidP="006224E0">
            <w:pPr>
              <w:pStyle w:val="Source"/>
              <w:framePr w:hSpace="0" w:wrap="auto" w:vAnchor="margin" w:hAnchor="text" w:xAlign="left" w:yAlign="inline"/>
              <w:rPr>
                <w:lang w:val="fr-CH"/>
              </w:rPr>
            </w:pPr>
            <w:r w:rsidRPr="006224E0">
              <w:t>Rapport</w:t>
            </w:r>
            <w:r w:rsidRPr="00D72F49">
              <w:t xml:space="preserve"> </w:t>
            </w:r>
            <w:r w:rsidR="00812F52" w:rsidRPr="00812F52">
              <w:t xml:space="preserve">du Président du </w:t>
            </w:r>
            <w:proofErr w:type="spellStart"/>
            <w:r w:rsidR="00812F52" w:rsidRPr="00812F52">
              <w:t>GTC</w:t>
            </w:r>
            <w:proofErr w:type="spellEnd"/>
            <w:r w:rsidR="00812F52" w:rsidRPr="00812F52">
              <w:t>-Internet</w:t>
            </w:r>
          </w:p>
        </w:tc>
      </w:tr>
      <w:tr w:rsidR="00D72F49" w:rsidRPr="00813E5E" w14:paraId="201D85CA" w14:textId="77777777" w:rsidTr="00796BDB">
        <w:trPr>
          <w:cantSplit/>
        </w:trPr>
        <w:tc>
          <w:tcPr>
            <w:tcW w:w="9214" w:type="dxa"/>
            <w:gridSpan w:val="2"/>
            <w:tcMar>
              <w:left w:w="0" w:type="dxa"/>
            </w:tcMar>
          </w:tcPr>
          <w:p w14:paraId="149E833D" w14:textId="789281CF" w:rsidR="00D72F49" w:rsidRPr="00870809" w:rsidRDefault="003E25E7" w:rsidP="00796BDB">
            <w:pPr>
              <w:pStyle w:val="Subtitle"/>
              <w:framePr w:hSpace="0" w:wrap="auto" w:hAnchor="text" w:xAlign="left" w:yAlign="inline"/>
              <w:rPr>
                <w:sz w:val="32"/>
                <w:szCs w:val="32"/>
                <w:lang w:val="fr-FR"/>
              </w:rPr>
            </w:pPr>
            <w:r w:rsidRPr="00870809">
              <w:rPr>
                <w:rFonts w:cstheme="minorHAnsi"/>
                <w:sz w:val="32"/>
                <w:szCs w:val="32"/>
                <w:lang w:val="fr-FR"/>
              </w:rPr>
              <w:t>RAPPORT QUADRIENNAL DU GROUPE DE TRAVAIL DU CONSEIL SUR LES QUESTIONS DE POLITIQUES PUBLIQUES INTERNATIONALES RELATIVES À L'INTERNET</w:t>
            </w:r>
          </w:p>
        </w:tc>
      </w:tr>
      <w:tr w:rsidR="00D72F49" w:rsidRPr="00813E5E" w14:paraId="68D2BCB4" w14:textId="77777777" w:rsidTr="00796BDB">
        <w:trPr>
          <w:cantSplit/>
        </w:trPr>
        <w:tc>
          <w:tcPr>
            <w:tcW w:w="9214" w:type="dxa"/>
            <w:gridSpan w:val="2"/>
            <w:tcBorders>
              <w:top w:val="single" w:sz="4" w:space="0" w:color="auto"/>
              <w:bottom w:val="single" w:sz="4" w:space="0" w:color="auto"/>
            </w:tcBorders>
            <w:tcMar>
              <w:left w:w="0" w:type="dxa"/>
            </w:tcMar>
          </w:tcPr>
          <w:p w14:paraId="27A26CED" w14:textId="77777777" w:rsidR="00D72F49" w:rsidRPr="0099485B" w:rsidRDefault="00F37FE5" w:rsidP="00796BDB">
            <w:pPr>
              <w:spacing w:before="160"/>
              <w:rPr>
                <w:b/>
                <w:bCs/>
                <w:sz w:val="26"/>
                <w:szCs w:val="26"/>
                <w:lang w:val="fr-CH"/>
              </w:rPr>
            </w:pPr>
            <w:r>
              <w:rPr>
                <w:b/>
                <w:bCs/>
                <w:sz w:val="26"/>
                <w:szCs w:val="26"/>
                <w:lang w:val="fr-CH"/>
              </w:rPr>
              <w:t>Objet</w:t>
            </w:r>
          </w:p>
          <w:p w14:paraId="1D399212" w14:textId="3A7C38D5" w:rsidR="00D72F49" w:rsidRPr="0099485B" w:rsidRDefault="00870809" w:rsidP="003E25E7">
            <w:pPr>
              <w:jc w:val="both"/>
              <w:rPr>
                <w:lang w:val="fr-CH"/>
              </w:rPr>
            </w:pPr>
            <w:r w:rsidRPr="00870809">
              <w:rPr>
                <w:lang w:val="fr-CH"/>
              </w:rPr>
              <w:t xml:space="preserve">Le présent rapport récapitule les principaux résultats des réunions du </w:t>
            </w:r>
            <w:proofErr w:type="spellStart"/>
            <w:r w:rsidRPr="00870809">
              <w:rPr>
                <w:lang w:val="fr-CH"/>
              </w:rPr>
              <w:t>GTC</w:t>
            </w:r>
            <w:proofErr w:type="spellEnd"/>
            <w:r w:rsidRPr="00870809">
              <w:rPr>
                <w:lang w:val="fr-CH"/>
              </w:rPr>
              <w:t>-Internet, tenues entre octobre 2023 et janvier 2026, conformément aux Résolutions 102 (Rév.</w:t>
            </w:r>
            <w:r>
              <w:rPr>
                <w:lang w:val="fr-CH"/>
              </w:rPr>
              <w:t> </w:t>
            </w:r>
            <w:r w:rsidRPr="00870809">
              <w:rPr>
                <w:lang w:val="fr-CH"/>
              </w:rPr>
              <w:t>Bucarest,</w:t>
            </w:r>
            <w:r>
              <w:rPr>
                <w:lang w:val="fr-CH"/>
              </w:rPr>
              <w:t> </w:t>
            </w:r>
            <w:r w:rsidRPr="00870809">
              <w:rPr>
                <w:lang w:val="fr-CH"/>
              </w:rPr>
              <w:t>2022) et 140 (Rév. Bucarest, 2022) de la Conférence de plénipotentiaires, ainsi qu'aux Résolutions 1305 (Mod. 2019) et 1336 (Mod. 2019) du Conseil.</w:t>
            </w:r>
          </w:p>
          <w:p w14:paraId="44A58B70"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1DE32BCB" w14:textId="58B6BD4A" w:rsidR="00D72F49" w:rsidRPr="00122CE1" w:rsidRDefault="00870809" w:rsidP="00796BDB">
            <w:pPr>
              <w:rPr>
                <w:lang w:val="fr-CH"/>
              </w:rPr>
            </w:pPr>
            <w:r w:rsidRPr="00870809">
              <w:rPr>
                <w:lang w:val="fr-CH"/>
              </w:rPr>
              <w:t xml:space="preserve">Le Conseil est invité à </w:t>
            </w:r>
            <w:r w:rsidRPr="00870809">
              <w:rPr>
                <w:b/>
                <w:bCs/>
                <w:lang w:val="fr-CH"/>
              </w:rPr>
              <w:t>examiner</w:t>
            </w:r>
            <w:r w:rsidRPr="00870809">
              <w:rPr>
                <w:lang w:val="fr-CH"/>
              </w:rPr>
              <w:t xml:space="preserve"> le présent rapport et à </w:t>
            </w:r>
            <w:r w:rsidRPr="00870809">
              <w:rPr>
                <w:b/>
                <w:bCs/>
                <w:lang w:val="fr-CH"/>
              </w:rPr>
              <w:t>soumettre</w:t>
            </w:r>
            <w:r w:rsidRPr="00870809">
              <w:rPr>
                <w:lang w:val="fr-CH"/>
              </w:rPr>
              <w:t xml:space="preserve"> ses recommandations à la Conférence de plénipotentiaires selon qu'il convient.</w:t>
            </w:r>
          </w:p>
          <w:p w14:paraId="2F13D800" w14:textId="6EF6D19D" w:rsidR="00D72F49" w:rsidRPr="00122CE1" w:rsidRDefault="00D72F49" w:rsidP="00796BDB">
            <w:pPr>
              <w:spacing w:before="160"/>
              <w:rPr>
                <w:b/>
                <w:bCs/>
                <w:sz w:val="26"/>
                <w:szCs w:val="26"/>
                <w:lang w:val="fr-CH"/>
              </w:rPr>
            </w:pPr>
            <w:r w:rsidRPr="00122CE1">
              <w:rPr>
                <w:b/>
                <w:bCs/>
                <w:sz w:val="26"/>
                <w:szCs w:val="26"/>
                <w:lang w:val="fr-CH"/>
              </w:rPr>
              <w:t xml:space="preserve">Liens pertinents avec le </w:t>
            </w:r>
            <w:r w:rsidR="00F37FE5">
              <w:rPr>
                <w:b/>
                <w:bCs/>
                <w:sz w:val="26"/>
                <w:szCs w:val="26"/>
                <w:lang w:val="fr-CH"/>
              </w:rPr>
              <w:t>p</w:t>
            </w:r>
            <w:r w:rsidRPr="00122CE1">
              <w:rPr>
                <w:b/>
                <w:bCs/>
                <w:sz w:val="26"/>
                <w:szCs w:val="26"/>
                <w:lang w:val="fr-CH"/>
              </w:rPr>
              <w:t>lan stratégique</w:t>
            </w:r>
          </w:p>
          <w:p w14:paraId="275235E5" w14:textId="3039F7AE" w:rsidR="00D72F49" w:rsidRPr="00122CE1" w:rsidRDefault="00870809" w:rsidP="00796BDB">
            <w:pPr>
              <w:rPr>
                <w:lang w:val="fr-CH"/>
              </w:rPr>
            </w:pPr>
            <w:r w:rsidRPr="00870809">
              <w:rPr>
                <w:lang w:val="fr-CH"/>
              </w:rPr>
              <w:t>Travaux reposant sur les contributions des membres</w:t>
            </w:r>
            <w:r>
              <w:rPr>
                <w:lang w:val="fr-CH"/>
              </w:rPr>
              <w:t>.</w:t>
            </w:r>
          </w:p>
          <w:p w14:paraId="17EA4705"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11B34078" w14:textId="1F202BB8" w:rsidR="00D72F49" w:rsidRPr="00882919" w:rsidRDefault="00870809" w:rsidP="00796BDB">
            <w:pPr>
              <w:rPr>
                <w:szCs w:val="24"/>
              </w:rPr>
            </w:pPr>
            <w:r w:rsidRPr="00870809">
              <w:rPr>
                <w:szCs w:val="24"/>
              </w:rPr>
              <w:t>Dans les limites du budget alloué pour 2025-2026.</w:t>
            </w:r>
          </w:p>
          <w:p w14:paraId="24BCF12B" w14:textId="77777777" w:rsidR="00D72F49" w:rsidRPr="00813E5E" w:rsidRDefault="00D72F49" w:rsidP="00796BDB">
            <w:pPr>
              <w:spacing w:before="160"/>
              <w:rPr>
                <w:caps/>
                <w:sz w:val="22"/>
              </w:rPr>
            </w:pPr>
            <w:r w:rsidRPr="00813E5E">
              <w:rPr>
                <w:sz w:val="22"/>
              </w:rPr>
              <w:t>____________</w:t>
            </w:r>
            <w:r>
              <w:rPr>
                <w:sz w:val="22"/>
              </w:rPr>
              <w:t>______</w:t>
            </w:r>
          </w:p>
          <w:p w14:paraId="7F7CD396" w14:textId="77777777" w:rsidR="00D72F49" w:rsidRDefault="00D72F49" w:rsidP="00796BDB">
            <w:pPr>
              <w:spacing w:before="160"/>
              <w:rPr>
                <w:b/>
                <w:bCs/>
                <w:sz w:val="26"/>
                <w:szCs w:val="26"/>
              </w:rPr>
            </w:pPr>
            <w:r w:rsidRPr="00F16BAB">
              <w:rPr>
                <w:b/>
                <w:bCs/>
                <w:sz w:val="26"/>
                <w:szCs w:val="26"/>
              </w:rPr>
              <w:t>Références</w:t>
            </w:r>
          </w:p>
          <w:p w14:paraId="72CE20F1" w14:textId="40BC9B5C" w:rsidR="00D72F49" w:rsidRPr="003E25E7" w:rsidRDefault="00870809" w:rsidP="003E25E7">
            <w:pPr>
              <w:pStyle w:val="Referencetext"/>
              <w:framePr w:hSpace="0" w:wrap="auto" w:vAnchor="margin" w:hAnchor="text" w:xAlign="left" w:yAlign="inline"/>
              <w:jc w:val="both"/>
            </w:pPr>
            <w:r w:rsidRPr="003E25E7">
              <w:t xml:space="preserve">Résolutions </w:t>
            </w:r>
            <w:hyperlink r:id="rId7" w:history="1">
              <w:r w:rsidRPr="003E25E7">
                <w:rPr>
                  <w:rStyle w:val="Hyperlink"/>
                  <w:rFonts w:eastAsia="Times New Roman" w:cs="Times New Roman"/>
                </w:rPr>
                <w:t>102</w:t>
              </w:r>
            </w:hyperlink>
            <w:r w:rsidRPr="003E25E7">
              <w:t xml:space="preserve"> (Rév. Bucarest, 2022) et </w:t>
            </w:r>
            <w:hyperlink r:id="rId8" w:history="1">
              <w:r w:rsidRPr="003E25E7">
                <w:rPr>
                  <w:rStyle w:val="Hyperlink"/>
                  <w:rFonts w:eastAsia="Times New Roman" w:cs="Times New Roman"/>
                </w:rPr>
                <w:t>140</w:t>
              </w:r>
            </w:hyperlink>
            <w:r w:rsidRPr="003E25E7">
              <w:t xml:space="preserve"> (Rév. Bucarest, 2022) de la Conférence de </w:t>
            </w:r>
            <w:proofErr w:type="gramStart"/>
            <w:r w:rsidRPr="003E25E7">
              <w:t>plénipotentiaires;</w:t>
            </w:r>
            <w:proofErr w:type="gramEnd"/>
            <w:r w:rsidRPr="003E25E7">
              <w:t xml:space="preserve"> Résolutions </w:t>
            </w:r>
            <w:hyperlink r:id="rId9" w:history="1">
              <w:r w:rsidRPr="003E25E7">
                <w:rPr>
                  <w:rStyle w:val="Hyperlink"/>
                  <w:rFonts w:eastAsia="Times New Roman" w:cs="Times New Roman"/>
                </w:rPr>
                <w:t>1305</w:t>
              </w:r>
            </w:hyperlink>
            <w:r w:rsidRPr="003E25E7">
              <w:t xml:space="preserve"> (</w:t>
            </w:r>
            <w:r w:rsidR="00FB5A82" w:rsidRPr="003E25E7">
              <w:t xml:space="preserve">Mod. </w:t>
            </w:r>
            <w:r w:rsidRPr="003E25E7">
              <w:t xml:space="preserve">2019) et </w:t>
            </w:r>
            <w:hyperlink r:id="rId10" w:history="1">
              <w:r w:rsidRPr="003E25E7">
                <w:rPr>
                  <w:rStyle w:val="Hyperlink"/>
                  <w:rFonts w:eastAsia="Times New Roman" w:cs="Times New Roman"/>
                </w:rPr>
                <w:t>1336</w:t>
              </w:r>
            </w:hyperlink>
            <w:r w:rsidRPr="003E25E7">
              <w:t xml:space="preserve"> (</w:t>
            </w:r>
            <w:r w:rsidR="00FB5A82" w:rsidRPr="003E25E7">
              <w:t>Mod.</w:t>
            </w:r>
            <w:r w:rsidRPr="003E25E7">
              <w:t xml:space="preserve"> 2019) du Conseil</w:t>
            </w:r>
            <w:r w:rsidR="00154E30" w:rsidRPr="003E25E7">
              <w:t>.</w:t>
            </w:r>
          </w:p>
        </w:tc>
      </w:tr>
    </w:tbl>
    <w:p w14:paraId="779E28AB" w14:textId="77777777" w:rsidR="00A51849" w:rsidRPr="0019129B" w:rsidRDefault="00A51849" w:rsidP="00CF0534"/>
    <w:p w14:paraId="098B1BD0"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5EAA97D5" w14:textId="40EFE0E0" w:rsidR="00870809" w:rsidRDefault="00870809" w:rsidP="00870809">
      <w:pPr>
        <w:pStyle w:val="Heading1"/>
      </w:pPr>
      <w:r>
        <w:lastRenderedPageBreak/>
        <w:t>1</w:t>
      </w:r>
      <w:r>
        <w:tab/>
        <w:t>Introduction</w:t>
      </w:r>
    </w:p>
    <w:p w14:paraId="518FC1B6" w14:textId="18BC8F7E" w:rsidR="00870809" w:rsidRDefault="00870809" w:rsidP="003E25E7">
      <w:pPr>
        <w:jc w:val="both"/>
      </w:pPr>
      <w:r>
        <w:t>1.1</w:t>
      </w:r>
      <w:r>
        <w:tab/>
        <w:t xml:space="preserve">Le </w:t>
      </w:r>
      <w:hyperlink r:id="rId11" w:anchor="/fr" w:history="1">
        <w:r w:rsidRPr="004C78C5">
          <w:rPr>
            <w:rStyle w:val="Hyperlink"/>
            <w:rFonts w:eastAsia="Times New Roman" w:cs="Times New Roman"/>
            <w:szCs w:val="20"/>
          </w:rPr>
          <w:t>Groupe de travail du Conseil de l'UIT sur les questions de politiques publiques internationales relatives à l'Internet (</w:t>
        </w:r>
        <w:proofErr w:type="spellStart"/>
        <w:r w:rsidRPr="004C78C5">
          <w:rPr>
            <w:rStyle w:val="Hyperlink"/>
            <w:rFonts w:eastAsia="Times New Roman" w:cs="Times New Roman"/>
            <w:szCs w:val="20"/>
          </w:rPr>
          <w:t>GTC</w:t>
        </w:r>
        <w:proofErr w:type="spellEnd"/>
        <w:r w:rsidRPr="004C78C5">
          <w:rPr>
            <w:rStyle w:val="Hyperlink"/>
            <w:rFonts w:eastAsia="Times New Roman" w:cs="Times New Roman"/>
            <w:szCs w:val="20"/>
          </w:rPr>
          <w:t>-Internet)</w:t>
        </w:r>
      </w:hyperlink>
      <w:r>
        <w:t xml:space="preserve"> a été créé en vertu de la Résolution</w:t>
      </w:r>
      <w:r w:rsidR="004C78C5">
        <w:t> </w:t>
      </w:r>
      <w:r>
        <w:t>1336</w:t>
      </w:r>
      <w:r w:rsidR="004C78C5">
        <w:t> </w:t>
      </w:r>
      <w:r>
        <w:t>(Mod.</w:t>
      </w:r>
      <w:r w:rsidR="00C24201">
        <w:t> </w:t>
      </w:r>
      <w:r>
        <w:t>2019) du Conseil, conformément aux Résolutions</w:t>
      </w:r>
      <w:r w:rsidR="004C78C5">
        <w:t> </w:t>
      </w:r>
      <w:r>
        <w:t>102</w:t>
      </w:r>
      <w:r w:rsidR="004C78C5">
        <w:t> </w:t>
      </w:r>
      <w:r>
        <w:t>(Rév.</w:t>
      </w:r>
      <w:r w:rsidR="004C78C5">
        <w:t> </w:t>
      </w:r>
      <w:r>
        <w:t>Bucarest,</w:t>
      </w:r>
      <w:r w:rsidR="004C78C5">
        <w:t> </w:t>
      </w:r>
      <w:r>
        <w:t>2022) et 140 (Rév. Bucarest, 2022) de la Conférence de</w:t>
      </w:r>
      <w:r w:rsidR="004C78C5">
        <w:t> </w:t>
      </w:r>
      <w:r>
        <w:t>plénipotentiaires</w:t>
      </w:r>
      <w:r w:rsidR="004C78C5">
        <w:t> </w:t>
      </w:r>
      <w:r>
        <w:t xml:space="preserve">de l'UIT. Le </w:t>
      </w:r>
      <w:proofErr w:type="spellStart"/>
      <w:r>
        <w:t>GTC</w:t>
      </w:r>
      <w:proofErr w:type="spellEnd"/>
      <w:r>
        <w:t>-Internet est ouvert à la seule participation des États</w:t>
      </w:r>
      <w:r w:rsidR="004C78C5">
        <w:t> </w:t>
      </w:r>
      <w:r>
        <w:t>Membres et mène des consultations ouvertes avec toutes les parties prenantes. Le</w:t>
      </w:r>
      <w:r w:rsidR="004C78C5">
        <w:t> </w:t>
      </w:r>
      <w:r>
        <w:t>Groupe était présidé par M.</w:t>
      </w:r>
      <w:r w:rsidR="004C78C5">
        <w:t> </w:t>
      </w:r>
      <w:r>
        <w:t>Wojciech Berezowski (Pologne).</w:t>
      </w:r>
    </w:p>
    <w:p w14:paraId="13073C36" w14:textId="77777777" w:rsidR="00870809" w:rsidRDefault="00870809" w:rsidP="003E25E7">
      <w:pPr>
        <w:jc w:val="both"/>
      </w:pPr>
      <w:r>
        <w:t>1.2</w:t>
      </w:r>
      <w:r>
        <w:tab/>
        <w:t xml:space="preserve">Le mandat du </w:t>
      </w:r>
      <w:proofErr w:type="spellStart"/>
      <w:r>
        <w:t>GTC</w:t>
      </w:r>
      <w:proofErr w:type="spellEnd"/>
      <w:r>
        <w:t>-Internet et les modalités des consultations ouvertes sont définis dans la Résolution 1336 (Mod. 2019) du Conseil.</w:t>
      </w:r>
    </w:p>
    <w:p w14:paraId="179D95F9" w14:textId="0BC20BEF" w:rsidR="00870809" w:rsidRDefault="00870809" w:rsidP="003E25E7">
      <w:pPr>
        <w:jc w:val="both"/>
      </w:pPr>
      <w:r>
        <w:t>1.3</w:t>
      </w:r>
      <w:r>
        <w:tab/>
        <w:t>Par sa Résolution 1305 (Mod. 2019), le Conseil a défini une liste de sujets figurant dans l'Annexe</w:t>
      </w:r>
      <w:r w:rsidR="004C78C5">
        <w:t> </w:t>
      </w:r>
      <w:r>
        <w:t>1 de ladite Résolution, établie conformément aux décisions prises par les membres de l'UIT à la Conférence de plénipotentiaires, au Conseil et à des conférences mondiales, sujets qui correspondent au champ d'activités de l'UIT sur les questions de politiques publiques internationales relatives à l'Internet.</w:t>
      </w:r>
    </w:p>
    <w:p w14:paraId="138F2755" w14:textId="77777777" w:rsidR="00870809" w:rsidRDefault="00870809" w:rsidP="003E25E7">
      <w:pPr>
        <w:jc w:val="both"/>
      </w:pPr>
      <w:r>
        <w:t>1.4</w:t>
      </w:r>
      <w:r>
        <w:tab/>
        <w:t xml:space="preserve">Par sa Résolution 102 (Rév. Bucarest, 2022), la Conférence de plénipotentiaires a chargé le </w:t>
      </w:r>
      <w:proofErr w:type="gramStart"/>
      <w:r>
        <w:t>Conseil:</w:t>
      </w:r>
      <w:proofErr w:type="gramEnd"/>
    </w:p>
    <w:p w14:paraId="75E4B25B" w14:textId="77777777" w:rsidR="00870809" w:rsidRDefault="00870809" w:rsidP="003E25E7">
      <w:pPr>
        <w:pStyle w:val="enumlev1"/>
        <w:jc w:val="both"/>
      </w:pPr>
      <w:r>
        <w:t>–</w:t>
      </w:r>
      <w:r>
        <w:tab/>
        <w:t xml:space="preserve">de prier le </w:t>
      </w:r>
      <w:proofErr w:type="spellStart"/>
      <w:r>
        <w:t>GTC</w:t>
      </w:r>
      <w:proofErr w:type="spellEnd"/>
      <w:r>
        <w:t xml:space="preserve">-Internet, limité à la participation des États Membres, de mener des consultations ouvertes avec toutes les parties prenantes, selon les lignes directrices établies dans la </w:t>
      </w:r>
      <w:proofErr w:type="gramStart"/>
      <w:r>
        <w:t>Résolution;</w:t>
      </w:r>
      <w:proofErr w:type="gramEnd"/>
    </w:p>
    <w:p w14:paraId="619B3C07" w14:textId="63542939" w:rsidR="00870809" w:rsidRDefault="00870809" w:rsidP="003E25E7">
      <w:pPr>
        <w:pStyle w:val="enumlev1"/>
        <w:jc w:val="both"/>
      </w:pPr>
      <w:r>
        <w:t>–</w:t>
      </w:r>
      <w:r>
        <w:tab/>
        <w:t xml:space="preserve">compte tenu des rapports annuels présentés par le Secrétaire général et les Directeurs des Bureaux, de prendre des mesures appropriées pour contribuer activement à la mise en œuvre de la résolution et aux initiatives internationales se rapportant à la Résolution, dans le cadre du mandat de </w:t>
      </w:r>
      <w:proofErr w:type="gramStart"/>
      <w:r>
        <w:t>l'UIT;</w:t>
      </w:r>
      <w:proofErr w:type="gramEnd"/>
    </w:p>
    <w:p w14:paraId="1B5AB2D6" w14:textId="2EBE60ED" w:rsidR="00870809" w:rsidRDefault="00870809" w:rsidP="003E25E7">
      <w:pPr>
        <w:pStyle w:val="enumlev1"/>
        <w:jc w:val="both"/>
      </w:pPr>
      <w:r>
        <w:t>–</w:t>
      </w:r>
      <w:r>
        <w:tab/>
        <w:t xml:space="preserve">d'examiner les rapports du </w:t>
      </w:r>
      <w:proofErr w:type="spellStart"/>
      <w:r>
        <w:t>GTC</w:t>
      </w:r>
      <w:proofErr w:type="spellEnd"/>
      <w:r>
        <w:t xml:space="preserve">-Internet et de prendre les mesures </w:t>
      </w:r>
      <w:proofErr w:type="gramStart"/>
      <w:r>
        <w:t>nécessaires;</w:t>
      </w:r>
      <w:proofErr w:type="gramEnd"/>
    </w:p>
    <w:p w14:paraId="018B6A80" w14:textId="77777777" w:rsidR="00870809" w:rsidRDefault="00870809" w:rsidP="003E25E7">
      <w:pPr>
        <w:pStyle w:val="enumlev1"/>
        <w:jc w:val="both"/>
      </w:pPr>
      <w:r>
        <w:t>–</w:t>
      </w:r>
      <w:r>
        <w:tab/>
        <w:t>de faire rapport à la Conférence de plénipotentiaires de 2026 sur les activités menées et les résultats obtenus concernant la mise en œuvre de la Résolution, en soumettant des propositions devant éventuellement être étudiées plus avant.</w:t>
      </w:r>
    </w:p>
    <w:p w14:paraId="5C817129" w14:textId="5899292E" w:rsidR="00870809" w:rsidRDefault="00870809" w:rsidP="004C78C5">
      <w:pPr>
        <w:pStyle w:val="Heading1"/>
      </w:pPr>
      <w:r>
        <w:t>2</w:t>
      </w:r>
      <w:r>
        <w:tab/>
        <w:t xml:space="preserve">Activités du </w:t>
      </w:r>
      <w:proofErr w:type="spellStart"/>
      <w:r>
        <w:t>GTC</w:t>
      </w:r>
      <w:proofErr w:type="spellEnd"/>
      <w:r>
        <w:t>-Internet</w:t>
      </w:r>
    </w:p>
    <w:p w14:paraId="6CDF28BB" w14:textId="79CA99DF" w:rsidR="00870809" w:rsidRDefault="00870809" w:rsidP="003E25E7">
      <w:pPr>
        <w:jc w:val="both"/>
      </w:pPr>
      <w:r>
        <w:t>2.1</w:t>
      </w:r>
      <w:r>
        <w:tab/>
        <w:t xml:space="preserve">Les principaux résultats de la </w:t>
      </w:r>
      <w:hyperlink r:id="rId12" w:history="1">
        <w:r w:rsidRPr="004C78C5">
          <w:rPr>
            <w:rStyle w:val="Hyperlink"/>
            <w:rFonts w:eastAsia="Times New Roman" w:cs="Times New Roman"/>
            <w:szCs w:val="20"/>
          </w:rPr>
          <w:t>dix-huitième réunion</w:t>
        </w:r>
      </w:hyperlink>
      <w:r>
        <w:t xml:space="preserve"> du </w:t>
      </w:r>
      <w:proofErr w:type="spellStart"/>
      <w:r>
        <w:t>GTC</w:t>
      </w:r>
      <w:proofErr w:type="spellEnd"/>
      <w:r>
        <w:t>-Internet, qui s'est tenue le</w:t>
      </w:r>
      <w:r w:rsidR="004C78C5">
        <w:t> </w:t>
      </w:r>
      <w:r>
        <w:t>18</w:t>
      </w:r>
      <w:r w:rsidR="004C78C5">
        <w:t> </w:t>
      </w:r>
      <w:r>
        <w:t>octobre</w:t>
      </w:r>
      <w:r w:rsidR="004C78C5">
        <w:t> </w:t>
      </w:r>
      <w:r>
        <w:t xml:space="preserve">2023, sont les </w:t>
      </w:r>
      <w:proofErr w:type="gramStart"/>
      <w:r>
        <w:t>suivants:</w:t>
      </w:r>
      <w:proofErr w:type="gramEnd"/>
    </w:p>
    <w:p w14:paraId="482A7662" w14:textId="77777777" w:rsidR="00870809" w:rsidRDefault="00870809" w:rsidP="003E25E7">
      <w:pPr>
        <w:pStyle w:val="enumlev1"/>
        <w:jc w:val="both"/>
      </w:pPr>
      <w:r w:rsidRPr="004C78C5">
        <w:rPr>
          <w:i/>
          <w:iCs/>
        </w:rPr>
        <w:t>a)</w:t>
      </w:r>
      <w:r>
        <w:tab/>
        <w:t>Toutes les contributions reçues ont été examinées, y compris celles présentant les thèmes proposés pour la consultation ouverte suivante, mais aucun consensus n'a été trouvé.</w:t>
      </w:r>
    </w:p>
    <w:p w14:paraId="200C6F89" w14:textId="1E15415F" w:rsidR="00870809" w:rsidRDefault="00870809" w:rsidP="003E25E7">
      <w:pPr>
        <w:jc w:val="both"/>
      </w:pPr>
      <w:r>
        <w:t>2.2</w:t>
      </w:r>
      <w:r>
        <w:tab/>
        <w:t xml:space="preserve">Les principaux résultats de la </w:t>
      </w:r>
      <w:hyperlink r:id="rId13" w:history="1">
        <w:r w:rsidRPr="004C78C5">
          <w:rPr>
            <w:rStyle w:val="Hyperlink"/>
            <w:rFonts w:eastAsia="Times New Roman" w:cs="Times New Roman"/>
            <w:szCs w:val="20"/>
          </w:rPr>
          <w:t>dix-neuvième réunion</w:t>
        </w:r>
      </w:hyperlink>
      <w:r>
        <w:t xml:space="preserve"> du </w:t>
      </w:r>
      <w:proofErr w:type="spellStart"/>
      <w:r>
        <w:t>GTC</w:t>
      </w:r>
      <w:proofErr w:type="spellEnd"/>
      <w:r>
        <w:t>-Internet, qui s'est tenue du</w:t>
      </w:r>
      <w:r w:rsidR="004C78C5">
        <w:t> </w:t>
      </w:r>
      <w:r>
        <w:t xml:space="preserve">31 janvier au 1er février 2024, sont les </w:t>
      </w:r>
      <w:proofErr w:type="gramStart"/>
      <w:r>
        <w:t>suivants:</w:t>
      </w:r>
      <w:proofErr w:type="gramEnd"/>
    </w:p>
    <w:p w14:paraId="181F9DC2" w14:textId="77777777" w:rsidR="00870809" w:rsidRDefault="00870809" w:rsidP="003E25E7">
      <w:pPr>
        <w:pStyle w:val="enumlev1"/>
        <w:jc w:val="both"/>
      </w:pPr>
      <w:r w:rsidRPr="004C78C5">
        <w:rPr>
          <w:i/>
          <w:iCs/>
        </w:rPr>
        <w:t>a)</w:t>
      </w:r>
      <w:r>
        <w:tab/>
        <w:t>Le Secrétariat a lancé les consultations ouvertes (février 2024 – septembre 2024) sur le thème "Aspects liés au développement visant à renforcer l'Internet".</w:t>
      </w:r>
    </w:p>
    <w:p w14:paraId="0FF3DDCB" w14:textId="0DEB688E" w:rsidR="00870809" w:rsidRPr="003E25E7" w:rsidRDefault="00870809" w:rsidP="003E25E7">
      <w:pPr>
        <w:pStyle w:val="enumlev1"/>
        <w:jc w:val="both"/>
        <w:rPr>
          <w:spacing w:val="-2"/>
        </w:rPr>
      </w:pPr>
      <w:r w:rsidRPr="003E25E7">
        <w:rPr>
          <w:i/>
          <w:iCs/>
          <w:spacing w:val="-2"/>
        </w:rPr>
        <w:t>b)</w:t>
      </w:r>
      <w:r w:rsidRPr="003E25E7">
        <w:rPr>
          <w:spacing w:val="-2"/>
        </w:rPr>
        <w:tab/>
        <w:t>Le Secrétariat lancera les consultations ouvertes suivantes (octobre</w:t>
      </w:r>
      <w:r w:rsidR="004C78C5" w:rsidRPr="003E25E7">
        <w:rPr>
          <w:spacing w:val="-2"/>
        </w:rPr>
        <w:t> </w:t>
      </w:r>
      <w:r w:rsidRPr="003E25E7">
        <w:rPr>
          <w:spacing w:val="-2"/>
        </w:rPr>
        <w:t>2024</w:t>
      </w:r>
      <w:r w:rsidR="004C78C5" w:rsidRPr="003E25E7">
        <w:rPr>
          <w:spacing w:val="-2"/>
        </w:rPr>
        <w:t> </w:t>
      </w:r>
      <w:r w:rsidRPr="003E25E7">
        <w:rPr>
          <w:spacing w:val="-2"/>
        </w:rPr>
        <w:t>–</w:t>
      </w:r>
      <w:r w:rsidR="004C78C5" w:rsidRPr="003E25E7">
        <w:rPr>
          <w:spacing w:val="-2"/>
        </w:rPr>
        <w:t> </w:t>
      </w:r>
      <w:r w:rsidRPr="003E25E7">
        <w:rPr>
          <w:spacing w:val="-2"/>
        </w:rPr>
        <w:t>janvier</w:t>
      </w:r>
      <w:r w:rsidR="004C78C5" w:rsidRPr="003E25E7">
        <w:rPr>
          <w:spacing w:val="-2"/>
        </w:rPr>
        <w:t> </w:t>
      </w:r>
      <w:r w:rsidRPr="003E25E7">
        <w:rPr>
          <w:spacing w:val="-2"/>
        </w:rPr>
        <w:t xml:space="preserve">2025) sur le thème "Le rôle des politiques publiques dans la promotion du multilinguisme de l'Internet" (après la série de réunions des </w:t>
      </w:r>
      <w:proofErr w:type="spellStart"/>
      <w:r w:rsidRPr="003E25E7">
        <w:rPr>
          <w:spacing w:val="-2"/>
        </w:rPr>
        <w:t>GTC</w:t>
      </w:r>
      <w:proofErr w:type="spellEnd"/>
      <w:r w:rsidRPr="003E25E7">
        <w:rPr>
          <w:spacing w:val="-2"/>
        </w:rPr>
        <w:t xml:space="preserve"> suivantes).</w:t>
      </w:r>
    </w:p>
    <w:p w14:paraId="19905EB5" w14:textId="63BAAEAF" w:rsidR="00870809" w:rsidRDefault="00870809" w:rsidP="003E25E7">
      <w:pPr>
        <w:jc w:val="both"/>
      </w:pPr>
      <w:r>
        <w:lastRenderedPageBreak/>
        <w:t>2.3</w:t>
      </w:r>
      <w:r>
        <w:tab/>
        <w:t xml:space="preserve">Les principaux résultats de la </w:t>
      </w:r>
      <w:hyperlink r:id="rId14" w:history="1">
        <w:r w:rsidRPr="004C78C5">
          <w:rPr>
            <w:rStyle w:val="Hyperlink"/>
            <w:rFonts w:eastAsia="Times New Roman" w:cs="Times New Roman"/>
            <w:szCs w:val="20"/>
          </w:rPr>
          <w:t>vingtième réunion</w:t>
        </w:r>
      </w:hyperlink>
      <w:r>
        <w:t xml:space="preserve"> du </w:t>
      </w:r>
      <w:proofErr w:type="spellStart"/>
      <w:r>
        <w:t>GTC</w:t>
      </w:r>
      <w:proofErr w:type="spellEnd"/>
      <w:r>
        <w:t>-Internet, qui s'est tenue le</w:t>
      </w:r>
      <w:r w:rsidR="00657C89">
        <w:t> </w:t>
      </w:r>
      <w:r>
        <w:t>4</w:t>
      </w:r>
      <w:r w:rsidR="00657C89">
        <w:t> </w:t>
      </w:r>
      <w:r>
        <w:t xml:space="preserve">octobre 2024, sont les </w:t>
      </w:r>
      <w:proofErr w:type="gramStart"/>
      <w:r>
        <w:t>suivants:</w:t>
      </w:r>
      <w:proofErr w:type="gramEnd"/>
    </w:p>
    <w:p w14:paraId="528E14CD" w14:textId="77777777" w:rsidR="00870809" w:rsidRDefault="00870809" w:rsidP="003E25E7">
      <w:pPr>
        <w:pStyle w:val="enumlev1"/>
        <w:jc w:val="both"/>
      </w:pPr>
      <w:r w:rsidRPr="004C78C5">
        <w:rPr>
          <w:i/>
          <w:iCs/>
        </w:rPr>
        <w:t>a)</w:t>
      </w:r>
      <w:r>
        <w:tab/>
        <w:t>Le Secrétariat a lancé les consultations ouvertes (octobre 2024 – janvier 2025) sur le thème "Le rôle des politiques publiques dans la promotion du multilinguisme de l'Internet".</w:t>
      </w:r>
    </w:p>
    <w:p w14:paraId="2FC0EE84" w14:textId="77777777" w:rsidR="00870809" w:rsidRDefault="00870809" w:rsidP="003E25E7">
      <w:pPr>
        <w:pStyle w:val="enumlev1"/>
        <w:jc w:val="both"/>
      </w:pPr>
      <w:r w:rsidRPr="004C78C5">
        <w:rPr>
          <w:i/>
          <w:iCs/>
        </w:rPr>
        <w:t>b)</w:t>
      </w:r>
      <w:r>
        <w:tab/>
        <w:t>Le résumé des résultats des consultations ouvertes sur le thème "Aspects liés au développement visant à renforcer l'Internet" a été soumis dans le cadre du rapport du Président à la session de 2025 du Conseil.</w:t>
      </w:r>
    </w:p>
    <w:p w14:paraId="178B02F7" w14:textId="6FF32785" w:rsidR="00870809" w:rsidRDefault="00870809" w:rsidP="003E25E7">
      <w:pPr>
        <w:jc w:val="both"/>
      </w:pPr>
      <w:r>
        <w:t>2.4</w:t>
      </w:r>
      <w:r>
        <w:tab/>
        <w:t xml:space="preserve">Les principaux résultats de la </w:t>
      </w:r>
      <w:hyperlink r:id="rId15" w:history="1">
        <w:r w:rsidRPr="00657C89">
          <w:rPr>
            <w:rStyle w:val="Hyperlink"/>
            <w:rFonts w:eastAsia="Times New Roman" w:cs="Times New Roman"/>
            <w:szCs w:val="20"/>
          </w:rPr>
          <w:t>vingtième-et-unième réunion</w:t>
        </w:r>
      </w:hyperlink>
      <w:r>
        <w:t xml:space="preserve"> du </w:t>
      </w:r>
      <w:proofErr w:type="spellStart"/>
      <w:r>
        <w:t>GTC</w:t>
      </w:r>
      <w:proofErr w:type="spellEnd"/>
      <w:r>
        <w:t xml:space="preserve">-Internet, qui s'est tenue les 19 et 20 février 2025, sont les </w:t>
      </w:r>
      <w:proofErr w:type="gramStart"/>
      <w:r>
        <w:t>suivants:</w:t>
      </w:r>
      <w:proofErr w:type="gramEnd"/>
    </w:p>
    <w:p w14:paraId="4AFD7C5F" w14:textId="05A2DB56" w:rsidR="00870809" w:rsidRDefault="00870809" w:rsidP="003E25E7">
      <w:pPr>
        <w:pStyle w:val="enumlev1"/>
        <w:jc w:val="both"/>
      </w:pPr>
      <w:r w:rsidRPr="00640F6E">
        <w:rPr>
          <w:i/>
          <w:iCs/>
        </w:rPr>
        <w:t>a)</w:t>
      </w:r>
      <w:r>
        <w:tab/>
        <w:t xml:space="preserve">Le Secrétariat lancera les consultations ouvertes suivantes (février-septembre 2025) sur le thème </w:t>
      </w:r>
      <w:r w:rsidR="00640F6E">
        <w:t>"</w:t>
      </w:r>
      <w:r>
        <w:t>Assurer une connectivité efficace à l'Internet pour les pays en développement sans littoral (</w:t>
      </w:r>
      <w:proofErr w:type="spellStart"/>
      <w:r>
        <w:t>PDSL</w:t>
      </w:r>
      <w:proofErr w:type="spellEnd"/>
      <w:r>
        <w:t>)</w:t>
      </w:r>
      <w:r w:rsidR="00640F6E">
        <w:t>"</w:t>
      </w:r>
      <w:r>
        <w:t>.</w:t>
      </w:r>
    </w:p>
    <w:p w14:paraId="79991CA7" w14:textId="77777777" w:rsidR="00870809" w:rsidRDefault="00870809" w:rsidP="003E25E7">
      <w:pPr>
        <w:pStyle w:val="enumlev1"/>
        <w:jc w:val="both"/>
      </w:pPr>
      <w:r w:rsidRPr="00640F6E">
        <w:rPr>
          <w:i/>
          <w:iCs/>
        </w:rPr>
        <w:t>b)</w:t>
      </w:r>
      <w:r>
        <w:tab/>
        <w:t xml:space="preserve">Le résumé des résultats des consultations ouvertes sur le thème "Le rôle des politiques publiques dans la promotion du multilinguisme de l'Internet" a été soumis dans le cadre du rapport du Président à la session de 2025 du Conseil. </w:t>
      </w:r>
    </w:p>
    <w:p w14:paraId="01ED3233" w14:textId="684FDE3B" w:rsidR="00870809" w:rsidRDefault="00870809" w:rsidP="003E25E7">
      <w:pPr>
        <w:jc w:val="both"/>
      </w:pPr>
      <w:r>
        <w:t>2.5</w:t>
      </w:r>
      <w:r>
        <w:tab/>
        <w:t xml:space="preserve">Les principaux résultats de la </w:t>
      </w:r>
      <w:hyperlink r:id="rId16" w:history="1">
        <w:r w:rsidRPr="002D6A84">
          <w:rPr>
            <w:rStyle w:val="Hyperlink"/>
            <w:rFonts w:eastAsia="Times New Roman" w:cs="Times New Roman"/>
            <w:szCs w:val="20"/>
          </w:rPr>
          <w:t>vingt-deuxième réunion</w:t>
        </w:r>
      </w:hyperlink>
      <w:r>
        <w:t xml:space="preserve"> du </w:t>
      </w:r>
      <w:proofErr w:type="spellStart"/>
      <w:r>
        <w:t>GTC</w:t>
      </w:r>
      <w:proofErr w:type="spellEnd"/>
      <w:r>
        <w:t>-Internet, qui s'est tenue les</w:t>
      </w:r>
      <w:r w:rsidR="002D6A84">
        <w:t> </w:t>
      </w:r>
      <w:r>
        <w:t>15</w:t>
      </w:r>
      <w:r w:rsidR="002D6A84">
        <w:t> </w:t>
      </w:r>
      <w:r>
        <w:t>et</w:t>
      </w:r>
      <w:r w:rsidR="002D6A84">
        <w:t> </w:t>
      </w:r>
      <w:r>
        <w:t>16</w:t>
      </w:r>
      <w:r w:rsidR="002D6A84">
        <w:t> </w:t>
      </w:r>
      <w:r>
        <w:t>septembre</w:t>
      </w:r>
      <w:r w:rsidR="002D6A84">
        <w:t> </w:t>
      </w:r>
      <w:r>
        <w:t xml:space="preserve">2025, sont les </w:t>
      </w:r>
      <w:proofErr w:type="gramStart"/>
      <w:r>
        <w:t>suivants:</w:t>
      </w:r>
      <w:proofErr w:type="gramEnd"/>
    </w:p>
    <w:p w14:paraId="03AB8800" w14:textId="5CE5B34A" w:rsidR="00870809" w:rsidRDefault="00870809" w:rsidP="003E25E7">
      <w:pPr>
        <w:pStyle w:val="enumlev1"/>
        <w:jc w:val="both"/>
      </w:pPr>
      <w:r w:rsidRPr="00640F6E">
        <w:rPr>
          <w:i/>
          <w:iCs/>
        </w:rPr>
        <w:t>a)</w:t>
      </w:r>
      <w:r>
        <w:tab/>
        <w:t xml:space="preserve">Le résumé des résultats des consultations ouvertes sur le thème </w:t>
      </w:r>
      <w:r w:rsidR="00640F6E">
        <w:t>"</w:t>
      </w:r>
      <w:r>
        <w:t>Assurer une connectivité efficace à l'Internet pour les pays en développement sans littoral (</w:t>
      </w:r>
      <w:proofErr w:type="spellStart"/>
      <w:r>
        <w:t>PDSL</w:t>
      </w:r>
      <w:proofErr w:type="spellEnd"/>
      <w:r>
        <w:t>)</w:t>
      </w:r>
      <w:r w:rsidR="00640F6E">
        <w:t>"</w:t>
      </w:r>
      <w:r>
        <w:t xml:space="preserve"> seront soumis dans le cadre du rapport du Président à la session de 2026 du Conseil.</w:t>
      </w:r>
    </w:p>
    <w:p w14:paraId="668D27B0" w14:textId="77777777" w:rsidR="00870809" w:rsidRDefault="00870809" w:rsidP="003E25E7">
      <w:pPr>
        <w:pStyle w:val="enumlev1"/>
        <w:jc w:val="both"/>
      </w:pPr>
      <w:r w:rsidRPr="00640F6E">
        <w:rPr>
          <w:i/>
          <w:iCs/>
        </w:rPr>
        <w:t>b)</w:t>
      </w:r>
      <w:r>
        <w:tab/>
        <w:t>Toutes les contributions reçues ont été examinées, y compris celles présentant les thèmes proposés pour la consultation ouverte suivante, mais aucun consensus n'a été trouvé.</w:t>
      </w:r>
    </w:p>
    <w:p w14:paraId="50388AE8" w14:textId="2188A2D1" w:rsidR="00870809" w:rsidRDefault="00870809" w:rsidP="003E25E7">
      <w:pPr>
        <w:jc w:val="both"/>
      </w:pPr>
      <w:r>
        <w:t>2.6</w:t>
      </w:r>
      <w:r>
        <w:tab/>
        <w:t xml:space="preserve">Les principaux résultats de la </w:t>
      </w:r>
      <w:hyperlink r:id="rId17" w:history="1">
        <w:r w:rsidRPr="00640F6E">
          <w:rPr>
            <w:rStyle w:val="Hyperlink"/>
            <w:rFonts w:eastAsia="Times New Roman" w:cs="Times New Roman"/>
            <w:szCs w:val="20"/>
          </w:rPr>
          <w:t>vingt-troisième réunion</w:t>
        </w:r>
      </w:hyperlink>
      <w:r>
        <w:t xml:space="preserve"> du </w:t>
      </w:r>
      <w:proofErr w:type="spellStart"/>
      <w:r>
        <w:t>GTC</w:t>
      </w:r>
      <w:proofErr w:type="spellEnd"/>
      <w:r>
        <w:t>-Internet, qui s'est tenue le</w:t>
      </w:r>
      <w:r w:rsidR="002D6A84">
        <w:t> </w:t>
      </w:r>
      <w:r>
        <w:t>20</w:t>
      </w:r>
      <w:r w:rsidR="002D6A84">
        <w:t> </w:t>
      </w:r>
      <w:r>
        <w:t>janvier</w:t>
      </w:r>
      <w:r w:rsidR="002D6A84">
        <w:t> </w:t>
      </w:r>
      <w:r>
        <w:t xml:space="preserve">2026, sont les </w:t>
      </w:r>
      <w:proofErr w:type="gramStart"/>
      <w:r>
        <w:t>suivants:</w:t>
      </w:r>
      <w:proofErr w:type="gramEnd"/>
    </w:p>
    <w:p w14:paraId="2435BA21" w14:textId="75F1157A" w:rsidR="00870809" w:rsidRDefault="00870809" w:rsidP="003E25E7">
      <w:pPr>
        <w:pStyle w:val="enumlev1"/>
        <w:jc w:val="both"/>
      </w:pPr>
      <w:r w:rsidRPr="00640F6E">
        <w:rPr>
          <w:i/>
          <w:iCs/>
        </w:rPr>
        <w:t>a)</w:t>
      </w:r>
      <w:r>
        <w:tab/>
        <w:t xml:space="preserve">Rappelant la décision prise par le </w:t>
      </w:r>
      <w:proofErr w:type="spellStart"/>
      <w:r>
        <w:t>GTC</w:t>
      </w:r>
      <w:proofErr w:type="spellEnd"/>
      <w:r>
        <w:t xml:space="preserve">-SMSI/ODD de préparer une analyse des lacunes concernant les incidences du </w:t>
      </w:r>
      <w:proofErr w:type="spellStart"/>
      <w:r>
        <w:t>SMSI+20</w:t>
      </w:r>
      <w:proofErr w:type="spellEnd"/>
      <w:r>
        <w:t xml:space="preserve"> sur les travaux et les mandats actuels de l'UIT, qui sera soumise au Conseil pour étude et examen, le </w:t>
      </w:r>
      <w:proofErr w:type="spellStart"/>
      <w:r>
        <w:t>GTC</w:t>
      </w:r>
      <w:proofErr w:type="spellEnd"/>
      <w:r>
        <w:t>-Internet a demandé au Secrétariat de contribuer à cette analyse pour tout ce qui concerne le mandat du</w:t>
      </w:r>
      <w:r w:rsidR="00640F6E">
        <w:t> </w:t>
      </w:r>
      <w:proofErr w:type="spellStart"/>
      <w:r>
        <w:t>GTC</w:t>
      </w:r>
      <w:proofErr w:type="spellEnd"/>
      <w:r w:rsidR="00640F6E">
        <w:noBreakHyphen/>
      </w:r>
      <w:r>
        <w:t>Internet.</w:t>
      </w:r>
    </w:p>
    <w:p w14:paraId="3C324148" w14:textId="5DE4E2DB" w:rsidR="00870809" w:rsidRDefault="00870809" w:rsidP="003E25E7">
      <w:pPr>
        <w:pStyle w:val="enumlev1"/>
        <w:jc w:val="both"/>
      </w:pPr>
      <w:r w:rsidRPr="00640F6E">
        <w:rPr>
          <w:i/>
          <w:iCs/>
        </w:rPr>
        <w:t>b)</w:t>
      </w:r>
      <w:r>
        <w:tab/>
        <w:t xml:space="preserve">Le </w:t>
      </w:r>
      <w:r w:rsidR="00640F6E">
        <w:t>g</w:t>
      </w:r>
      <w:r>
        <w:t xml:space="preserve">roupe a reporté l'examen de la question des thèmes à retenir pour les consultations futures à la prochaine réunion du </w:t>
      </w:r>
      <w:proofErr w:type="spellStart"/>
      <w:r>
        <w:t>GTC</w:t>
      </w:r>
      <w:proofErr w:type="spellEnd"/>
      <w:r>
        <w:t>-Internet, au cas où la Conférence de plénipotentiaires de 2026 déciderait de poursuivre les consultations ouvertes.</w:t>
      </w:r>
    </w:p>
    <w:p w14:paraId="6EFF30F5" w14:textId="24108899" w:rsidR="00870809" w:rsidRDefault="00870809" w:rsidP="00640F6E">
      <w:pPr>
        <w:pStyle w:val="Heading1"/>
      </w:pPr>
      <w:r>
        <w:t>3</w:t>
      </w:r>
      <w:r>
        <w:tab/>
        <w:t>Recommandations à l'intention de la Conférence de plénipotentiaires de</w:t>
      </w:r>
      <w:r w:rsidR="00640F6E">
        <w:t> </w:t>
      </w:r>
      <w:r>
        <w:t>2026</w:t>
      </w:r>
    </w:p>
    <w:p w14:paraId="4F0623FC" w14:textId="7991D3B3" w:rsidR="00870809" w:rsidRDefault="00870809" w:rsidP="003E25E7">
      <w:pPr>
        <w:jc w:val="both"/>
      </w:pPr>
      <w:r>
        <w:t>3.1</w:t>
      </w:r>
      <w:r>
        <w:tab/>
        <w:t xml:space="preserve">Le Président a remercié l'ensemble des membres pour leur participation active et leur mobilisation dans le cadre des activités du </w:t>
      </w:r>
      <w:proofErr w:type="spellStart"/>
      <w:r>
        <w:t>GTC</w:t>
      </w:r>
      <w:proofErr w:type="spellEnd"/>
      <w:r>
        <w:t xml:space="preserve">-Internet et pris note des travaux considérables menés par le </w:t>
      </w:r>
      <w:r w:rsidR="00640F6E">
        <w:t>g</w:t>
      </w:r>
      <w:r>
        <w:t xml:space="preserve">roupe entre 2023 et 2026 concernant un large éventail de questions pertinentes et d'actualité, notamment les discussions de fond et les consultations </w:t>
      </w:r>
      <w:proofErr w:type="spellStart"/>
      <w:r>
        <w:t>multi</w:t>
      </w:r>
      <w:r w:rsidR="00AD6E8C">
        <w:noBreakHyphen/>
      </w:r>
      <w:r>
        <w:t>parties</w:t>
      </w:r>
      <w:proofErr w:type="spellEnd"/>
      <w:r>
        <w:t xml:space="preserve"> prenantes constructives qui ont eu lieu et qui ont continué d'alimenter le vaste répertoire, unique en son genre et tenu à jour par le Secrétariat de l'UIT, qui rassemble toutes les consultations. En </w:t>
      </w:r>
      <w:r>
        <w:lastRenderedPageBreak/>
        <w:t xml:space="preserve">s'acquittant de son mandat, le </w:t>
      </w:r>
      <w:proofErr w:type="spellStart"/>
      <w:r>
        <w:t>GTC</w:t>
      </w:r>
      <w:proofErr w:type="spellEnd"/>
      <w:r>
        <w:t xml:space="preserve">-Internet a grandement contribué à la promotion du dialogue mondial sur les questions de politique publique liées à l'Internet. Le Président invite la Conférence de plénipotentiaires de 2026 à maintenir les travaux et le mandat du </w:t>
      </w:r>
      <w:proofErr w:type="spellStart"/>
      <w:r>
        <w:t>GTC</w:t>
      </w:r>
      <w:proofErr w:type="spellEnd"/>
      <w:r w:rsidR="00C24201">
        <w:noBreakHyphen/>
      </w:r>
      <w:r>
        <w:t xml:space="preserve">Internet et, en outre, lance un appel aux États Membres afin qu'ils étudient des manières de renforcer les travaux du </w:t>
      </w:r>
      <w:r w:rsidR="00640F6E">
        <w:t>g</w:t>
      </w:r>
      <w:r>
        <w:t>roupe et leurs retombées et soumettent des propositions connexes à la Conférence de plénipotentiaires de 2026.</w:t>
      </w:r>
    </w:p>
    <w:p w14:paraId="399F537D" w14:textId="7B906EE6" w:rsidR="00870809" w:rsidRDefault="00870809" w:rsidP="003E25E7">
      <w:pPr>
        <w:jc w:val="both"/>
      </w:pPr>
      <w:r>
        <w:t>3.2</w:t>
      </w:r>
      <w:r>
        <w:tab/>
        <w:t xml:space="preserve">Au nom du </w:t>
      </w:r>
      <w:proofErr w:type="spellStart"/>
      <w:r>
        <w:t>GTC</w:t>
      </w:r>
      <w:proofErr w:type="spellEnd"/>
      <w:r>
        <w:t>-Internet, le Président remercie personnellement tous les États</w:t>
      </w:r>
      <w:r w:rsidR="00640F6E">
        <w:t> </w:t>
      </w:r>
      <w:r>
        <w:t xml:space="preserve">Membres de l'UIT ayant présenté des contributions et ayant participé aux travaux du </w:t>
      </w:r>
      <w:r w:rsidR="00640F6E">
        <w:t>g</w:t>
      </w:r>
      <w:r>
        <w:t xml:space="preserve">roupe, les </w:t>
      </w:r>
      <w:r w:rsidR="00AD6E8C">
        <w:t>V</w:t>
      </w:r>
      <w:r>
        <w:t>ice-</w:t>
      </w:r>
      <w:r w:rsidR="00AD6E8C">
        <w:t>P</w:t>
      </w:r>
      <w:r>
        <w:t xml:space="preserve">résidents, la Secrétaire générale, le Vice-Secrétaire général, les Directeurs du TSB, du BR et du BDT, et le Secrétariat général, pour leur aide efficace pendant les réunions du </w:t>
      </w:r>
      <w:proofErr w:type="spellStart"/>
      <w:r>
        <w:t>GTC</w:t>
      </w:r>
      <w:proofErr w:type="spellEnd"/>
      <w:r>
        <w:t>-Internet.</w:t>
      </w:r>
    </w:p>
    <w:p w14:paraId="58813702" w14:textId="61A636C8" w:rsidR="003E25E7" w:rsidRDefault="00870809" w:rsidP="003E25E7">
      <w:pPr>
        <w:pStyle w:val="Signature"/>
      </w:pPr>
      <w:r>
        <w:tab/>
      </w:r>
      <w:r w:rsidRPr="003E25E7">
        <w:t>Wojciech</w:t>
      </w:r>
      <w:r>
        <w:t xml:space="preserve"> Berezowski (Pologne)</w:t>
      </w:r>
      <w:r w:rsidR="003E25E7">
        <w:br/>
      </w:r>
      <w:r>
        <w:tab/>
        <w:t xml:space="preserve">Président du </w:t>
      </w:r>
      <w:proofErr w:type="spellStart"/>
      <w:r>
        <w:t>GTC</w:t>
      </w:r>
      <w:proofErr w:type="spellEnd"/>
      <w:r>
        <w:t>-Internet</w:t>
      </w:r>
    </w:p>
    <w:sectPr w:rsidR="003E25E7" w:rsidSect="00D72F49">
      <w:headerReference w:type="even" r:id="rId18"/>
      <w:footerReference w:type="even" r:id="rId19"/>
      <w:footerReference w:type="default" r:id="rId20"/>
      <w:headerReference w:type="first" r:id="rId21"/>
      <w:footerReference w:type="first" r:id="rId2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F7C0" w14:textId="77777777" w:rsidR="005C5AA6" w:rsidRDefault="005C5AA6">
      <w:r>
        <w:separator/>
      </w:r>
    </w:p>
  </w:endnote>
  <w:endnote w:type="continuationSeparator" w:id="0">
    <w:p w14:paraId="044CA1C7" w14:textId="77777777" w:rsidR="005C5AA6" w:rsidRDefault="005C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A941" w14:textId="77CB55D5" w:rsidR="00732045" w:rsidRDefault="005109B3">
    <w:pPr>
      <w:pStyle w:val="Footer"/>
    </w:pPr>
    <w:fldSimple w:instr=" FILENAME \p \* MERGEFORMAT ">
      <w:r>
        <w:t>P:\FRA\gDoc\SG\C26\2600465F.docx</w:t>
      </w:r>
    </w:fldSimple>
    <w:r w:rsidR="00732045">
      <w:tab/>
    </w:r>
    <w:r w:rsidR="002F1B76">
      <w:fldChar w:fldCharType="begin"/>
    </w:r>
    <w:r w:rsidR="00732045">
      <w:instrText xml:space="preserve"> savedate \@ dd.MM.yy </w:instrText>
    </w:r>
    <w:r w:rsidR="002F1B76">
      <w:fldChar w:fldCharType="separate"/>
    </w:r>
    <w:r w:rsidR="00E677DF">
      <w:t>27.03.26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7F5D629" w14:textId="77777777" w:rsidTr="00E31DCE">
      <w:trPr>
        <w:jc w:val="center"/>
      </w:trPr>
      <w:tc>
        <w:tcPr>
          <w:tcW w:w="1803" w:type="dxa"/>
          <w:vAlign w:val="center"/>
        </w:tcPr>
        <w:p w14:paraId="7B0A2244" w14:textId="06DA0C90" w:rsidR="00A51849" w:rsidRDefault="00870809" w:rsidP="00A51849">
          <w:pPr>
            <w:pStyle w:val="Header"/>
            <w:jc w:val="left"/>
            <w:rPr>
              <w:noProof/>
            </w:rPr>
          </w:pPr>
          <w:r>
            <w:rPr>
              <w:noProof/>
            </w:rPr>
            <w:t>2600465</w:t>
          </w:r>
        </w:p>
      </w:tc>
      <w:tc>
        <w:tcPr>
          <w:tcW w:w="8261" w:type="dxa"/>
        </w:tcPr>
        <w:p w14:paraId="4ED18C07" w14:textId="78A2C3F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70809">
            <w:rPr>
              <w:bCs/>
            </w:rPr>
            <w:t>52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D25D923"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94EF953" w14:textId="77777777" w:rsidTr="00E31DCE">
      <w:trPr>
        <w:jc w:val="center"/>
      </w:trPr>
      <w:tc>
        <w:tcPr>
          <w:tcW w:w="1803" w:type="dxa"/>
          <w:vAlign w:val="center"/>
        </w:tcPr>
        <w:p w14:paraId="70B1EEAA"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51DF50D" w14:textId="03A7C31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70809">
            <w:rPr>
              <w:bCs/>
            </w:rPr>
            <w:t>52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5BF938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E8E" w14:textId="77777777" w:rsidR="005C5AA6" w:rsidRDefault="005C5AA6">
      <w:r>
        <w:t>____________________</w:t>
      </w:r>
    </w:p>
  </w:footnote>
  <w:footnote w:type="continuationSeparator" w:id="0">
    <w:p w14:paraId="05D64077" w14:textId="77777777" w:rsidR="005C5AA6" w:rsidRDefault="005C5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F6C9"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CEC5681"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4D0B"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A6"/>
    <w:rsid w:val="00076A2C"/>
    <w:rsid w:val="000D0D0A"/>
    <w:rsid w:val="00103163"/>
    <w:rsid w:val="00106B19"/>
    <w:rsid w:val="001133EF"/>
    <w:rsid w:val="00115D93"/>
    <w:rsid w:val="001247A8"/>
    <w:rsid w:val="001342E0"/>
    <w:rsid w:val="001370B2"/>
    <w:rsid w:val="001378C0"/>
    <w:rsid w:val="00154E3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D6A84"/>
    <w:rsid w:val="002E0BC4"/>
    <w:rsid w:val="002F1B76"/>
    <w:rsid w:val="0033568E"/>
    <w:rsid w:val="00355FF5"/>
    <w:rsid w:val="00361350"/>
    <w:rsid w:val="003C3FAE"/>
    <w:rsid w:val="003E25E7"/>
    <w:rsid w:val="004038CB"/>
    <w:rsid w:val="0040546F"/>
    <w:rsid w:val="004177BD"/>
    <w:rsid w:val="0042404A"/>
    <w:rsid w:val="0044618F"/>
    <w:rsid w:val="00465C35"/>
    <w:rsid w:val="0046769A"/>
    <w:rsid w:val="00475FB3"/>
    <w:rsid w:val="004C37A9"/>
    <w:rsid w:val="004C78C5"/>
    <w:rsid w:val="004D1D50"/>
    <w:rsid w:val="004E2F25"/>
    <w:rsid w:val="004F259E"/>
    <w:rsid w:val="004F633A"/>
    <w:rsid w:val="00504C7F"/>
    <w:rsid w:val="005109B3"/>
    <w:rsid w:val="00511F1D"/>
    <w:rsid w:val="00520F36"/>
    <w:rsid w:val="00524E8D"/>
    <w:rsid w:val="00534E13"/>
    <w:rsid w:val="00540615"/>
    <w:rsid w:val="00540A6D"/>
    <w:rsid w:val="00553536"/>
    <w:rsid w:val="00566679"/>
    <w:rsid w:val="00571EEA"/>
    <w:rsid w:val="00575417"/>
    <w:rsid w:val="005768E1"/>
    <w:rsid w:val="0057707C"/>
    <w:rsid w:val="005B1938"/>
    <w:rsid w:val="005C3890"/>
    <w:rsid w:val="005C5AA6"/>
    <w:rsid w:val="005F7BFE"/>
    <w:rsid w:val="00600017"/>
    <w:rsid w:val="00602682"/>
    <w:rsid w:val="006224E0"/>
    <w:rsid w:val="006235CA"/>
    <w:rsid w:val="0062366E"/>
    <w:rsid w:val="00640F6E"/>
    <w:rsid w:val="00657C89"/>
    <w:rsid w:val="006643AB"/>
    <w:rsid w:val="006A11AE"/>
    <w:rsid w:val="006B224B"/>
    <w:rsid w:val="006F0A53"/>
    <w:rsid w:val="00711C21"/>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12F52"/>
    <w:rsid w:val="0082299A"/>
    <w:rsid w:val="0083391C"/>
    <w:rsid w:val="0084546D"/>
    <w:rsid w:val="00861D73"/>
    <w:rsid w:val="00870809"/>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AD6E8C"/>
    <w:rsid w:val="00B27B00"/>
    <w:rsid w:val="00B309F9"/>
    <w:rsid w:val="00B32B60"/>
    <w:rsid w:val="00B51005"/>
    <w:rsid w:val="00B61619"/>
    <w:rsid w:val="00BB38C1"/>
    <w:rsid w:val="00BB4545"/>
    <w:rsid w:val="00BD5873"/>
    <w:rsid w:val="00BF4B60"/>
    <w:rsid w:val="00C049D7"/>
    <w:rsid w:val="00C04BE3"/>
    <w:rsid w:val="00C24201"/>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677DF"/>
    <w:rsid w:val="00E931A5"/>
    <w:rsid w:val="00E93668"/>
    <w:rsid w:val="00E95647"/>
    <w:rsid w:val="00EB6350"/>
    <w:rsid w:val="00ED799B"/>
    <w:rsid w:val="00F15B57"/>
    <w:rsid w:val="00F35EF4"/>
    <w:rsid w:val="00F37FE5"/>
    <w:rsid w:val="00F427DB"/>
    <w:rsid w:val="00FA5EB1"/>
    <w:rsid w:val="00FA7439"/>
    <w:rsid w:val="00FB5A82"/>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DB577"/>
  <w15:docId w15:val="{ED45615E-F613-474E-A3A9-A8EB4CD6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6224E0"/>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Signature">
    <w:name w:val="Signature"/>
    <w:basedOn w:val="Normal"/>
    <w:link w:val="SignatureChar"/>
    <w:unhideWhenUsed/>
    <w:rsid w:val="003E25E7"/>
    <w:pPr>
      <w:tabs>
        <w:tab w:val="clear" w:pos="567"/>
        <w:tab w:val="clear" w:pos="1134"/>
        <w:tab w:val="clear" w:pos="1701"/>
        <w:tab w:val="clear" w:pos="2268"/>
        <w:tab w:val="clear" w:pos="2835"/>
        <w:tab w:val="center" w:pos="7088"/>
      </w:tabs>
      <w:spacing w:before="600"/>
    </w:pPr>
  </w:style>
  <w:style w:type="character" w:customStyle="1" w:styleId="SignatureChar">
    <w:name w:val="Signature Char"/>
    <w:basedOn w:val="DefaultParagraphFont"/>
    <w:link w:val="Signature"/>
    <w:rsid w:val="003E25E7"/>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40-F.pdf" TargetMode="External"/><Relationship Id="rId13" Type="http://schemas.openxmlformats.org/officeDocument/2006/relationships/hyperlink" Target="https://www.itu.int/md/S24-RCLINTPOL19-C-0007/e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itu.int/en/council/Documents/basic-texts-2023/RES-102-F.pdf" TargetMode="External"/><Relationship Id="rId12" Type="http://schemas.openxmlformats.org/officeDocument/2006/relationships/hyperlink" Target="https://www.itu.int/md/S24-RCLINTPOL19-C-0003/en" TargetMode="External"/><Relationship Id="rId17" Type="http://schemas.openxmlformats.org/officeDocument/2006/relationships/hyperlink" Target="https://www.itu.int/md/S26-RCLINTPOL23-C-0007/en" TargetMode="External"/><Relationship Id="rId2" Type="http://schemas.openxmlformats.org/officeDocument/2006/relationships/styles" Target="styles.xml"/><Relationship Id="rId16" Type="http://schemas.openxmlformats.org/officeDocument/2006/relationships/hyperlink" Target="https://www.itu.int/md/S25-RCLINTPOL22-C-0006/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cwg-internet/Pages/default.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25-RCLINTPOL21-C-0010/en" TargetMode="External"/><Relationship Id="rId23" Type="http://schemas.openxmlformats.org/officeDocument/2006/relationships/fontTable" Target="fontTable.xml"/><Relationship Id="rId10" Type="http://schemas.openxmlformats.org/officeDocument/2006/relationships/hyperlink" Target="https://www.itu.int/md/S19-CL-C-0140/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19-CL-C-0136/fr" TargetMode="External"/><Relationship Id="rId14" Type="http://schemas.openxmlformats.org/officeDocument/2006/relationships/hyperlink" Target="https://www.itu.int/md/S24-RCLINTPOL20-C-0006/en"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3</TotalTime>
  <Pages>4</Pages>
  <Words>1213</Words>
  <Characters>7552</Characters>
  <Application>Microsoft Office Word</Application>
  <DocSecurity>0</DocSecurity>
  <Lines>148</Lines>
  <Paragraphs>72</Paragraphs>
  <ScaleCrop>false</ScaleCrop>
  <HeadingPairs>
    <vt:vector size="2" baseType="variant">
      <vt:variant>
        <vt:lpstr>Title</vt:lpstr>
      </vt:variant>
      <vt:variant>
        <vt:i4>1</vt:i4>
      </vt:variant>
    </vt:vector>
  </HeadingPairs>
  <TitlesOfParts>
    <vt:vector size="1" baseType="lpstr">
      <vt:lpstr>Rapport quadriennal du Groupe de travail du Conseil sur les questions de politiques publiques internationales relatives à l'Internet</vt:lpstr>
    </vt:vector>
  </TitlesOfParts>
  <Manager>Secrétariat général - Pool</Manager>
  <Company>Union internationale des télécommunications (UIT)</Company>
  <LinksUpToDate>false</LinksUpToDate>
  <CharactersWithSpaces>8693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quadriennal du Groupe de travail du Conseil sur les questions de politiques publiques internationales relatives à l'Internet</dc:title>
  <dc:subject>Conseil 2026 de l'UIT</dc:subject>
  <cp:keywords>C26; C2026; Council 2026; PP26</cp:keywords>
  <dc:description/>
  <cp:lastPrinted>2000-07-18T08:55:00Z</cp:lastPrinted>
  <dcterms:created xsi:type="dcterms:W3CDTF">2026-04-02T08:46:00Z</dcterms:created>
  <dcterms:modified xsi:type="dcterms:W3CDTF">2026-04-02T08:49:00Z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