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31444ADF" w14:textId="77777777" w:rsidTr="00F363FE">
        <w:tc>
          <w:tcPr>
            <w:tcW w:w="6512" w:type="dxa"/>
          </w:tcPr>
          <w:p w14:paraId="64334DAB" w14:textId="14F00963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6B7E45">
              <w:rPr>
                <w:rFonts w:hint="cs"/>
                <w:b/>
                <w:bCs/>
                <w:rtl/>
              </w:rPr>
              <w:t xml:space="preserve"> </w:t>
            </w:r>
            <w:r w:rsidR="006B7E45" w:rsidRPr="00FB47DC">
              <w:rPr>
                <w:b/>
                <w:bCs/>
              </w:rPr>
              <w:t>PL-2</w:t>
            </w:r>
          </w:p>
        </w:tc>
        <w:tc>
          <w:tcPr>
            <w:tcW w:w="3117" w:type="dxa"/>
          </w:tcPr>
          <w:p w14:paraId="1F378DB6" w14:textId="69484AD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6B7E45">
              <w:rPr>
                <w:b/>
                <w:bCs/>
                <w:lang w:bidi="ar-EG"/>
              </w:rPr>
              <w:t>51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3E67A45" w14:textId="77777777" w:rsidTr="00F363FE">
        <w:tc>
          <w:tcPr>
            <w:tcW w:w="6512" w:type="dxa"/>
          </w:tcPr>
          <w:p w14:paraId="23F918FE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64082CB" w14:textId="70BD7C8F" w:rsidR="007B0AA0" w:rsidRPr="006B7E45" w:rsidRDefault="006B7E45" w:rsidP="00F363FE">
            <w:pPr>
              <w:spacing w:before="60" w:after="60" w:line="260" w:lineRule="exact"/>
              <w:rPr>
                <w:b/>
                <w:bCs/>
                <w:lang w:val="en-GB"/>
              </w:rPr>
            </w:pPr>
            <w:r>
              <w:rPr>
                <w:b/>
                <w:bCs/>
                <w:lang w:bidi="ar-EG"/>
              </w:rPr>
              <w:t>11</w:t>
            </w:r>
            <w:r>
              <w:rPr>
                <w:rFonts w:hint="cs"/>
                <w:b/>
                <w:bCs/>
                <w:rtl/>
              </w:rPr>
              <w:t xml:space="preserve"> مارس </w:t>
            </w:r>
            <w:r>
              <w:rPr>
                <w:b/>
                <w:bCs/>
                <w:lang w:val="en-GB"/>
              </w:rPr>
              <w:t>2026</w:t>
            </w:r>
          </w:p>
        </w:tc>
      </w:tr>
      <w:tr w:rsidR="007B0AA0" w14:paraId="13D2AB23" w14:textId="77777777" w:rsidTr="00F363FE">
        <w:tc>
          <w:tcPr>
            <w:tcW w:w="6512" w:type="dxa"/>
          </w:tcPr>
          <w:p w14:paraId="0BED585A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B631969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32C12EE" w14:textId="77777777" w:rsidTr="00F363FE">
        <w:tc>
          <w:tcPr>
            <w:tcW w:w="6512" w:type="dxa"/>
          </w:tcPr>
          <w:p w14:paraId="13FC16F7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4909AC84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3109D61E" w14:textId="77777777" w:rsidTr="00EE7446">
        <w:tc>
          <w:tcPr>
            <w:tcW w:w="9629" w:type="dxa"/>
            <w:gridSpan w:val="2"/>
          </w:tcPr>
          <w:p w14:paraId="1CDEF92C" w14:textId="1D0362FA" w:rsidR="007B0AA0" w:rsidRDefault="001D64C7" w:rsidP="007B0AA0">
            <w:pPr>
              <w:pStyle w:val="Source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تقرير </w:t>
            </w:r>
            <w:r w:rsidR="006B7E45" w:rsidRPr="00FB47DC">
              <w:rPr>
                <w:rtl/>
                <w:lang w:bidi="ar-EG"/>
              </w:rPr>
              <w:t>رئيس</w:t>
            </w:r>
            <w:r w:rsidR="006B7E45">
              <w:rPr>
                <w:rFonts w:hint="cs"/>
                <w:rtl/>
                <w:lang w:bidi="ar-EG"/>
              </w:rPr>
              <w:t>ة</w:t>
            </w:r>
            <w:r w:rsidR="006B7E45" w:rsidRPr="00FB47DC">
              <w:rPr>
                <w:rtl/>
                <w:lang w:bidi="ar-EG"/>
              </w:rPr>
              <w:t xml:space="preserve"> فريق العمل التابع للمجلس والمعني </w:t>
            </w:r>
            <w:r w:rsidR="006B7E45" w:rsidRPr="007A4872">
              <w:rPr>
                <w:rtl/>
                <w:lang w:val="fr-CH" w:bidi="ar-SY"/>
              </w:rPr>
              <w:t>بقضايا السياسات العامة الدولية المتعلقة بالإنترنت</w:t>
            </w:r>
          </w:p>
        </w:tc>
      </w:tr>
      <w:tr w:rsidR="007B0AA0" w14:paraId="6D1B51EC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6167FB2A" w14:textId="71554ED4" w:rsidR="007B0AA0" w:rsidRPr="005546CF" w:rsidRDefault="006B7E45" w:rsidP="007B0AA0">
            <w:pPr>
              <w:pStyle w:val="Subtitle0"/>
              <w:rPr>
                <w:sz w:val="32"/>
                <w:szCs w:val="32"/>
              </w:rPr>
            </w:pPr>
            <w:r w:rsidRPr="00FB47DC">
              <w:rPr>
                <w:spacing w:val="-4"/>
                <w:sz w:val="32"/>
                <w:szCs w:val="32"/>
                <w:rtl/>
              </w:rPr>
              <w:t xml:space="preserve">تقرير عن نتائج </w:t>
            </w:r>
            <w:r w:rsidRPr="00FB47DC">
              <w:rPr>
                <w:rFonts w:hint="cs"/>
                <w:spacing w:val="-4"/>
                <w:sz w:val="32"/>
                <w:szCs w:val="32"/>
                <w:rtl/>
                <w:lang w:val="fr-CH" w:bidi="ar-SY"/>
              </w:rPr>
              <w:t>الاجتماع</w:t>
            </w:r>
            <w:r>
              <w:rPr>
                <w:rFonts w:hint="cs"/>
                <w:spacing w:val="-4"/>
                <w:sz w:val="32"/>
                <w:szCs w:val="32"/>
                <w:rtl/>
                <w:lang w:val="fr-CH" w:bidi="ar-SY"/>
              </w:rPr>
              <w:t>ين الثاني والعشرين والثالث والعشرين لفريق العمل التابع للمجلس والمعني بقضايا السياسات العامة الدولية المتعلقة بالإنترنت</w:t>
            </w:r>
          </w:p>
        </w:tc>
      </w:tr>
      <w:tr w:rsidR="007B0AA0" w14:paraId="591C59EB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2B881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6B0D0ABF" w14:textId="44792796" w:rsidR="007B0AA0" w:rsidRPr="006B7E45" w:rsidRDefault="006B7E45" w:rsidP="006B7E45">
            <w:pPr>
              <w:rPr>
                <w:rtl/>
                <w:lang w:val="fr-CH" w:bidi="ar-SY"/>
              </w:rPr>
            </w:pPr>
            <w:r w:rsidRPr="00FB47DC">
              <w:rPr>
                <w:rtl/>
              </w:rPr>
              <w:t>يل</w:t>
            </w:r>
            <w:r>
              <w:rPr>
                <w:rFonts w:hint="cs"/>
                <w:rtl/>
              </w:rPr>
              <w:t>خّ</w:t>
            </w:r>
            <w:r w:rsidRPr="00FB47DC">
              <w:rPr>
                <w:rtl/>
              </w:rPr>
              <w:t xml:space="preserve">ص هذا التقرير </w:t>
            </w:r>
            <w:r w:rsidRPr="00BC1549">
              <w:rPr>
                <w:rtl/>
              </w:rPr>
              <w:t xml:space="preserve">النتائج الرئيسية للاجتماعين الثاني والعشرين والثالث والعشرين لفريق </w:t>
            </w:r>
            <w:r>
              <w:rPr>
                <w:rFonts w:hint="cs"/>
                <w:rtl/>
                <w:lang w:val="fr-CH" w:bidi="ar-SY"/>
              </w:rPr>
              <w:t>ال</w:t>
            </w:r>
            <w:r w:rsidRPr="00BC1549">
              <w:rPr>
                <w:rtl/>
              </w:rPr>
              <w:t>عمل</w:t>
            </w:r>
            <w:r>
              <w:rPr>
                <w:rFonts w:hint="cs"/>
                <w:rtl/>
              </w:rPr>
              <w:t xml:space="preserve"> التابع</w:t>
            </w:r>
            <w:r w:rsidRPr="00BC154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</w:t>
            </w:r>
            <w:r w:rsidRPr="00BC1549">
              <w:rPr>
                <w:rtl/>
              </w:rPr>
              <w:t xml:space="preserve">لمجلس </w:t>
            </w:r>
            <w:r>
              <w:rPr>
                <w:rFonts w:hint="cs"/>
                <w:rtl/>
              </w:rPr>
              <w:t>و</w:t>
            </w:r>
            <w:r w:rsidRPr="00BC1549">
              <w:rPr>
                <w:rtl/>
              </w:rPr>
              <w:t>المعني بقضايا السياس</w:t>
            </w:r>
            <w:r>
              <w:rPr>
                <w:rFonts w:hint="cs"/>
                <w:rtl/>
              </w:rPr>
              <w:t>ات</w:t>
            </w:r>
            <w:r w:rsidRPr="00BC1549">
              <w:rPr>
                <w:rtl/>
              </w:rPr>
              <w:t xml:space="preserve"> العامة الدولية المتعلقة بالإنترنت (</w:t>
            </w:r>
            <w:r w:rsidRPr="00BC1549">
              <w:t>CWG-Internet</w:t>
            </w:r>
            <w:r w:rsidRPr="00BC1549">
              <w:rPr>
                <w:rtl/>
              </w:rPr>
              <w:t xml:space="preserve">)، </w:t>
            </w:r>
            <w:r>
              <w:rPr>
                <w:rFonts w:hint="cs"/>
                <w:rtl/>
              </w:rPr>
              <w:t>و</w:t>
            </w:r>
            <w:r w:rsidRPr="00BC1549">
              <w:rPr>
                <w:rtl/>
              </w:rPr>
              <w:t>اللذين ع</w:t>
            </w:r>
            <w:r>
              <w:rPr>
                <w:rFonts w:hint="cs"/>
                <w:rtl/>
              </w:rPr>
              <w:t>ُ</w:t>
            </w:r>
            <w:r w:rsidRPr="00BC1549">
              <w:rPr>
                <w:rtl/>
              </w:rPr>
              <w:t xml:space="preserve">قدا في 15-16 سبتمبر 2025 و20 يناير 2026 على التوالي، </w:t>
            </w:r>
            <w:r>
              <w:rPr>
                <w:rFonts w:hint="cs"/>
                <w:rtl/>
              </w:rPr>
              <w:t>وفقاً للقرارين</w:t>
            </w:r>
            <w:r w:rsidRPr="00BC1549">
              <w:rPr>
                <w:rtl/>
              </w:rPr>
              <w:t xml:space="preserve"> 102 (</w:t>
            </w:r>
            <w:r>
              <w:rPr>
                <w:rFonts w:hint="cs"/>
                <w:rtl/>
              </w:rPr>
              <w:t>المراجَع في</w:t>
            </w:r>
            <w:r w:rsidRPr="00BC1549">
              <w:rPr>
                <w:rtl/>
              </w:rPr>
              <w:t xml:space="preserve"> بوخارست، 2022) و140 (</w:t>
            </w:r>
            <w:r>
              <w:rPr>
                <w:rFonts w:hint="cs"/>
                <w:rtl/>
              </w:rPr>
              <w:t>المراجَع في</w:t>
            </w:r>
            <w:r w:rsidRPr="00BC1549">
              <w:rPr>
                <w:rtl/>
              </w:rPr>
              <w:t xml:space="preserve"> بوخارست، 2022)</w:t>
            </w:r>
            <w:r>
              <w:rPr>
                <w:rFonts w:hint="cs"/>
                <w:rtl/>
              </w:rPr>
              <w:t xml:space="preserve"> لمؤتمر المندوبين المفوضين</w:t>
            </w:r>
            <w:r w:rsidRPr="00BC1549">
              <w:rPr>
                <w:rtl/>
              </w:rPr>
              <w:t xml:space="preserve">، </w:t>
            </w:r>
            <w:r>
              <w:rPr>
                <w:rFonts w:hint="cs"/>
                <w:rtl/>
              </w:rPr>
              <w:t>والقرارين</w:t>
            </w:r>
            <w:r w:rsidRPr="00BC1549">
              <w:rPr>
                <w:rtl/>
              </w:rPr>
              <w:t xml:space="preserve"> 1305 (</w:t>
            </w:r>
            <w:r>
              <w:rPr>
                <w:rFonts w:hint="cs"/>
                <w:rtl/>
              </w:rPr>
              <w:t>المعدّل في عام</w:t>
            </w:r>
            <w:r w:rsidRPr="00BC1549">
              <w:rPr>
                <w:rtl/>
              </w:rPr>
              <w:t xml:space="preserve"> 2019) و1336 (</w:t>
            </w:r>
            <w:r>
              <w:rPr>
                <w:rFonts w:hint="cs"/>
                <w:rtl/>
              </w:rPr>
              <w:t>المعدّل في عام</w:t>
            </w:r>
            <w:r w:rsidRPr="00BC1549">
              <w:rPr>
                <w:rtl/>
              </w:rPr>
              <w:t xml:space="preserve"> 2019)</w:t>
            </w:r>
            <w:r>
              <w:rPr>
                <w:rFonts w:hint="cs"/>
                <w:rtl/>
              </w:rPr>
              <w:t xml:space="preserve"> الصادرين عن المجلس</w:t>
            </w:r>
            <w:r>
              <w:rPr>
                <w:rFonts w:hint="cs"/>
                <w:rtl/>
                <w:lang w:val="fr-CH" w:bidi="ar-SY"/>
              </w:rPr>
              <w:t>.</w:t>
            </w:r>
          </w:p>
          <w:p w14:paraId="6E623214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48280A4C" w14:textId="1E675601" w:rsidR="007B0AA0" w:rsidRDefault="006B7E45" w:rsidP="006B7E45">
            <w:pPr>
              <w:rPr>
                <w:rtl/>
              </w:rPr>
            </w:pPr>
            <w:r w:rsidRPr="00FB47DC">
              <w:rPr>
                <w:rtl/>
              </w:rPr>
              <w:t xml:space="preserve">يُدعى المجلس إلى </w:t>
            </w:r>
            <w:r>
              <w:rPr>
                <w:rFonts w:hint="cs"/>
                <w:b/>
                <w:bCs/>
                <w:rtl/>
              </w:rPr>
              <w:t>الإحاطة علماً</w:t>
            </w:r>
            <w:r w:rsidRPr="00FB47D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</w:t>
            </w:r>
            <w:r w:rsidRPr="00FB47DC">
              <w:rPr>
                <w:rFonts w:hint="cs"/>
                <w:rtl/>
              </w:rPr>
              <w:t>هذا التقرير</w:t>
            </w:r>
            <w:r w:rsidRPr="00FB47DC">
              <w:rPr>
                <w:rtl/>
              </w:rPr>
              <w:t>.</w:t>
            </w:r>
          </w:p>
          <w:p w14:paraId="431FE824" w14:textId="77777777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3A198173" w14:textId="41CB755A" w:rsidR="007B0AA0" w:rsidRDefault="006B7E45" w:rsidP="006B7E45">
            <w:pPr>
              <w:rPr>
                <w:rtl/>
              </w:rPr>
            </w:pPr>
            <w:r>
              <w:rPr>
                <w:rFonts w:hint="cs"/>
                <w:rtl/>
              </w:rPr>
              <w:t>منظمة يقودها الأعضاء</w:t>
            </w:r>
          </w:p>
          <w:p w14:paraId="7F87E07B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1ABBC85F" w14:textId="3EFA8880" w:rsidR="006F363C" w:rsidRPr="005546CF" w:rsidRDefault="006B7E45" w:rsidP="006B7E45">
            <w:pPr>
              <w:rPr>
                <w:rtl/>
              </w:rPr>
            </w:pPr>
            <w:r w:rsidRPr="00FB47DC">
              <w:rPr>
                <w:rtl/>
              </w:rPr>
              <w:t xml:space="preserve">ضمن الميزانية المخصصة لفترة السنتين </w:t>
            </w:r>
            <w:r w:rsidRPr="00FB47DC">
              <w:t>2026-2025</w:t>
            </w:r>
            <w:r w:rsidRPr="00FB47DC">
              <w:rPr>
                <w:rtl/>
              </w:rPr>
              <w:t>.</w:t>
            </w:r>
          </w:p>
          <w:p w14:paraId="31029764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4B76979E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1FA35C65" w14:textId="44D4DAC6" w:rsidR="007B0AA0" w:rsidRPr="005546CF" w:rsidRDefault="006B7E45" w:rsidP="007B0AA0">
            <w:pPr>
              <w:rPr>
                <w:i/>
                <w:iCs/>
                <w:rtl/>
              </w:rPr>
            </w:pPr>
            <w:r w:rsidRPr="00BC1549">
              <w:rPr>
                <w:i/>
                <w:iCs/>
                <w:spacing w:val="-6"/>
                <w:rtl/>
              </w:rPr>
              <w:t xml:space="preserve">القراران </w:t>
            </w:r>
            <w:hyperlink r:id="rId8" w:history="1">
              <w:r w:rsidRPr="008217B2">
                <w:rPr>
                  <w:rStyle w:val="Hyperlink"/>
                  <w:i/>
                  <w:iCs/>
                  <w:noProof w:val="0"/>
                  <w:spacing w:val="-6"/>
                  <w:rtl/>
                  <w:lang w:val="en-US" w:eastAsia="zh-CN"/>
                </w:rPr>
                <w:t>102 (المراجَع في بوخارست، 2022)</w:t>
              </w:r>
            </w:hyperlink>
            <w:r w:rsidRPr="00BC1549">
              <w:rPr>
                <w:i/>
                <w:iCs/>
                <w:spacing w:val="-6"/>
                <w:rtl/>
              </w:rPr>
              <w:t xml:space="preserve"> و</w:t>
            </w:r>
            <w:hyperlink r:id="rId9" w:history="1">
              <w:r w:rsidRPr="008217B2">
                <w:rPr>
                  <w:rStyle w:val="Hyperlink"/>
                  <w:i/>
                  <w:iCs/>
                  <w:noProof w:val="0"/>
                  <w:spacing w:val="-6"/>
                  <w:rtl/>
                  <w:lang w:val="en-US" w:eastAsia="zh-CN"/>
                </w:rPr>
                <w:t>140 (المراجَع في بوخارست، 2022)</w:t>
              </w:r>
            </w:hyperlink>
            <w:r w:rsidRPr="00BC1549">
              <w:rPr>
                <w:i/>
                <w:iCs/>
                <w:spacing w:val="-6"/>
                <w:rtl/>
              </w:rPr>
              <w:t xml:space="preserve"> </w:t>
            </w:r>
            <w:r>
              <w:rPr>
                <w:rFonts w:hint="cs"/>
                <w:i/>
                <w:iCs/>
                <w:spacing w:val="-6"/>
                <w:rtl/>
              </w:rPr>
              <w:t>ل</w:t>
            </w:r>
            <w:r w:rsidRPr="00BC1549">
              <w:rPr>
                <w:i/>
                <w:iCs/>
                <w:spacing w:val="-6"/>
                <w:rtl/>
              </w:rPr>
              <w:t xml:space="preserve">مؤتمر المفوضين؛ </w:t>
            </w:r>
            <w:r>
              <w:rPr>
                <w:rFonts w:hint="cs"/>
                <w:i/>
                <w:iCs/>
                <w:spacing w:val="-6"/>
                <w:rtl/>
              </w:rPr>
              <w:t>والقراران</w:t>
            </w:r>
            <w:r w:rsidRPr="00BC1549">
              <w:rPr>
                <w:i/>
                <w:iCs/>
                <w:spacing w:val="-6"/>
                <w:rtl/>
              </w:rPr>
              <w:t xml:space="preserve"> </w:t>
            </w:r>
            <w:hyperlink r:id="rId10" w:history="1">
              <w:r w:rsidRPr="008217B2">
                <w:rPr>
                  <w:rStyle w:val="Hyperlink"/>
                  <w:i/>
                  <w:iCs/>
                  <w:noProof w:val="0"/>
                  <w:spacing w:val="-6"/>
                  <w:rtl/>
                  <w:lang w:val="en-US" w:eastAsia="zh-CN"/>
                </w:rPr>
                <w:t>1305 (</w:t>
              </w:r>
              <w:r w:rsidRPr="008217B2">
                <w:rPr>
                  <w:rStyle w:val="Hyperlink"/>
                  <w:rFonts w:hint="cs"/>
                  <w:i/>
                  <w:iCs/>
                  <w:noProof w:val="0"/>
                  <w:spacing w:val="-6"/>
                  <w:rtl/>
                  <w:lang w:val="en-US" w:eastAsia="zh-CN"/>
                </w:rPr>
                <w:t>المعدّل</w:t>
              </w:r>
              <w:r w:rsidRPr="008217B2">
                <w:rPr>
                  <w:rStyle w:val="Hyperlink"/>
                  <w:i/>
                  <w:iCs/>
                  <w:noProof w:val="0"/>
                  <w:spacing w:val="-6"/>
                  <w:rtl/>
                  <w:lang w:val="en-US" w:eastAsia="zh-CN"/>
                </w:rPr>
                <w:t xml:space="preserve"> في</w:t>
              </w:r>
              <w:r w:rsidRPr="008217B2">
                <w:rPr>
                  <w:rStyle w:val="Hyperlink"/>
                  <w:rFonts w:hint="cs"/>
                  <w:i/>
                  <w:iCs/>
                  <w:noProof w:val="0"/>
                  <w:spacing w:val="-6"/>
                  <w:rtl/>
                  <w:lang w:val="en-US" w:eastAsia="zh-CN"/>
                </w:rPr>
                <w:t xml:space="preserve"> عام</w:t>
              </w:r>
              <w:r w:rsidRPr="008217B2">
                <w:rPr>
                  <w:rStyle w:val="Hyperlink"/>
                  <w:i/>
                  <w:iCs/>
                  <w:noProof w:val="0"/>
                  <w:spacing w:val="-6"/>
                  <w:rtl/>
                  <w:lang w:val="en-US" w:eastAsia="zh-CN"/>
                </w:rPr>
                <w:t xml:space="preserve"> 2019)</w:t>
              </w:r>
            </w:hyperlink>
            <w:r w:rsidRPr="00BC1549">
              <w:rPr>
                <w:i/>
                <w:iCs/>
                <w:spacing w:val="-6"/>
                <w:rtl/>
              </w:rPr>
              <w:t xml:space="preserve"> و</w:t>
            </w:r>
            <w:hyperlink r:id="rId11" w:history="1">
              <w:r w:rsidRPr="008217B2">
                <w:rPr>
                  <w:rStyle w:val="Hyperlink"/>
                  <w:i/>
                  <w:iCs/>
                  <w:noProof w:val="0"/>
                  <w:spacing w:val="-6"/>
                  <w:rtl/>
                  <w:lang w:val="en-US" w:eastAsia="zh-CN"/>
                </w:rPr>
                <w:t>1336 (</w:t>
              </w:r>
              <w:r w:rsidRPr="008217B2">
                <w:rPr>
                  <w:rStyle w:val="Hyperlink"/>
                  <w:rFonts w:hint="cs"/>
                  <w:i/>
                  <w:iCs/>
                  <w:noProof w:val="0"/>
                  <w:spacing w:val="-6"/>
                  <w:rtl/>
                  <w:lang w:val="en-US" w:eastAsia="zh-CN"/>
                </w:rPr>
                <w:t>المعدّل</w:t>
              </w:r>
              <w:r w:rsidRPr="008217B2">
                <w:rPr>
                  <w:rStyle w:val="Hyperlink"/>
                  <w:i/>
                  <w:iCs/>
                  <w:noProof w:val="0"/>
                  <w:spacing w:val="-6"/>
                  <w:rtl/>
                  <w:lang w:val="en-US" w:eastAsia="zh-CN"/>
                </w:rPr>
                <w:t xml:space="preserve"> في</w:t>
              </w:r>
              <w:r w:rsidRPr="008217B2">
                <w:rPr>
                  <w:rStyle w:val="Hyperlink"/>
                  <w:rFonts w:hint="cs"/>
                  <w:i/>
                  <w:iCs/>
                  <w:noProof w:val="0"/>
                  <w:spacing w:val="-6"/>
                  <w:rtl/>
                  <w:lang w:val="en-US" w:eastAsia="zh-CN"/>
                </w:rPr>
                <w:t xml:space="preserve"> عام</w:t>
              </w:r>
              <w:r w:rsidRPr="008217B2">
                <w:rPr>
                  <w:rStyle w:val="Hyperlink"/>
                  <w:i/>
                  <w:iCs/>
                  <w:noProof w:val="0"/>
                  <w:spacing w:val="-6"/>
                  <w:rtl/>
                  <w:lang w:val="en-US" w:eastAsia="zh-CN"/>
                </w:rPr>
                <w:t xml:space="preserve"> 2019)</w:t>
              </w:r>
            </w:hyperlink>
            <w:r>
              <w:rPr>
                <w:rFonts w:hint="cs"/>
                <w:i/>
                <w:iCs/>
                <w:spacing w:val="-6"/>
                <w:rtl/>
              </w:rPr>
              <w:t xml:space="preserve"> للمجلس</w:t>
            </w:r>
          </w:p>
        </w:tc>
      </w:tr>
    </w:tbl>
    <w:p w14:paraId="2FB2744C" w14:textId="77777777" w:rsidR="00E61BE8" w:rsidRDefault="00E61BE8" w:rsidP="00E61BE8">
      <w:pPr>
        <w:rPr>
          <w:rtl/>
          <w:lang w:bidi="ar-EG"/>
        </w:rPr>
      </w:pPr>
    </w:p>
    <w:p w14:paraId="6C245EF9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75CD5B7C" w14:textId="77777777" w:rsidR="006B7E45" w:rsidRPr="00FB47DC" w:rsidRDefault="006B7E45" w:rsidP="006B7E45">
      <w:pPr>
        <w:pStyle w:val="Heading1"/>
        <w:rPr>
          <w:rtl/>
          <w:lang w:bidi="ar-EG"/>
        </w:rPr>
      </w:pPr>
      <w:r w:rsidRPr="00FB47DC">
        <w:rPr>
          <w:lang w:bidi="ar-EG"/>
        </w:rPr>
        <w:lastRenderedPageBreak/>
        <w:t>1</w:t>
      </w:r>
      <w:r w:rsidRPr="00FB47DC">
        <w:rPr>
          <w:lang w:bidi="ar-EG"/>
        </w:rPr>
        <w:tab/>
      </w:r>
      <w:r w:rsidRPr="00FB47DC">
        <w:rPr>
          <w:rtl/>
          <w:lang w:bidi="ar-EG"/>
        </w:rPr>
        <w:t>مقدمة</w:t>
      </w:r>
    </w:p>
    <w:p w14:paraId="623BA419" w14:textId="03A957B7" w:rsidR="006B7E45" w:rsidRDefault="006B7E45" w:rsidP="006B7E45">
      <w:pPr>
        <w:rPr>
          <w:rtl/>
        </w:rPr>
      </w:pPr>
      <w:r>
        <w:t>1.1</w:t>
      </w:r>
      <w:r>
        <w:rPr>
          <w:rtl/>
        </w:rPr>
        <w:tab/>
        <w:t xml:space="preserve">أُنشئ </w:t>
      </w:r>
      <w:hyperlink r:id="rId12" w:anchor="/ar" w:history="1">
        <w:r w:rsidRPr="009701CF">
          <w:rPr>
            <w:rStyle w:val="Hyperlink"/>
            <w:noProof w:val="0"/>
            <w:rtl/>
            <w:lang w:val="en-US" w:eastAsia="zh-CN"/>
          </w:rPr>
          <w:t xml:space="preserve">فريق </w:t>
        </w:r>
        <w:r w:rsidRPr="009701CF">
          <w:rPr>
            <w:rStyle w:val="Hyperlink"/>
            <w:rFonts w:hint="cs"/>
            <w:noProof w:val="0"/>
            <w:rtl/>
            <w:lang w:val="fr-FR" w:eastAsia="zh-CN" w:bidi="ar-SY"/>
          </w:rPr>
          <w:t>ال</w:t>
        </w:r>
        <w:r w:rsidRPr="009701CF">
          <w:rPr>
            <w:rStyle w:val="Hyperlink"/>
            <w:noProof w:val="0"/>
            <w:rtl/>
            <w:lang w:val="en-US" w:eastAsia="zh-CN"/>
          </w:rPr>
          <w:t xml:space="preserve">عمل </w:t>
        </w:r>
        <w:r w:rsidRPr="009701CF">
          <w:rPr>
            <w:rStyle w:val="Hyperlink"/>
            <w:rFonts w:hint="cs"/>
            <w:noProof w:val="0"/>
            <w:rtl/>
            <w:lang w:val="en-US" w:eastAsia="zh-CN"/>
          </w:rPr>
          <w:t>التابع لل</w:t>
        </w:r>
        <w:r w:rsidRPr="009701CF">
          <w:rPr>
            <w:rStyle w:val="Hyperlink"/>
            <w:noProof w:val="0"/>
            <w:rtl/>
            <w:lang w:val="en-US" w:eastAsia="zh-CN"/>
          </w:rPr>
          <w:t xml:space="preserve">مجلس </w:t>
        </w:r>
        <w:r w:rsidRPr="009701CF">
          <w:rPr>
            <w:rStyle w:val="Hyperlink"/>
            <w:rFonts w:hint="cs"/>
            <w:noProof w:val="0"/>
            <w:rtl/>
            <w:lang w:val="en-US" w:eastAsia="zh-CN"/>
          </w:rPr>
          <w:t>و</w:t>
        </w:r>
        <w:r w:rsidRPr="009701CF">
          <w:rPr>
            <w:rStyle w:val="Hyperlink"/>
            <w:noProof w:val="0"/>
            <w:rtl/>
            <w:lang w:val="en-US" w:eastAsia="zh-CN"/>
          </w:rPr>
          <w:t>المعني بقضايا السياس</w:t>
        </w:r>
        <w:r w:rsidRPr="009701CF">
          <w:rPr>
            <w:rStyle w:val="Hyperlink"/>
            <w:rFonts w:hint="cs"/>
            <w:noProof w:val="0"/>
            <w:rtl/>
            <w:lang w:val="en-US" w:eastAsia="zh-CN"/>
          </w:rPr>
          <w:t>ات</w:t>
        </w:r>
        <w:r w:rsidRPr="009701CF">
          <w:rPr>
            <w:rStyle w:val="Hyperlink"/>
            <w:noProof w:val="0"/>
            <w:rtl/>
            <w:lang w:val="en-US" w:eastAsia="zh-CN"/>
          </w:rPr>
          <w:t xml:space="preserve"> العامة الدولية المتعلقة بالإنترنت (</w:t>
        </w:r>
        <w:r w:rsidRPr="009701CF">
          <w:rPr>
            <w:rStyle w:val="Hyperlink"/>
            <w:noProof w:val="0"/>
            <w:lang w:val="en-US" w:eastAsia="zh-CN"/>
          </w:rPr>
          <w:t>CWG-Internet</w:t>
        </w:r>
        <w:r w:rsidRPr="009701CF">
          <w:rPr>
            <w:rStyle w:val="Hyperlink"/>
            <w:noProof w:val="0"/>
            <w:rtl/>
            <w:lang w:val="en-US" w:eastAsia="zh-CN"/>
          </w:rPr>
          <w:t>)</w:t>
        </w:r>
      </w:hyperlink>
      <w:r>
        <w:rPr>
          <w:rtl/>
        </w:rPr>
        <w:t xml:space="preserve"> بموجب </w:t>
      </w:r>
      <w:r>
        <w:rPr>
          <w:rFonts w:hint="cs"/>
          <w:rtl/>
        </w:rPr>
        <w:t>القرار</w:t>
      </w:r>
      <w:r>
        <w:rPr>
          <w:rtl/>
        </w:rPr>
        <w:t xml:space="preserve"> 1336 (المعد</w:t>
      </w:r>
      <w:r>
        <w:rPr>
          <w:rFonts w:hint="cs"/>
          <w:rtl/>
        </w:rPr>
        <w:t>ّ</w:t>
      </w:r>
      <w:r>
        <w:rPr>
          <w:rtl/>
        </w:rPr>
        <w:t xml:space="preserve">ل </w:t>
      </w:r>
      <w:r>
        <w:rPr>
          <w:rFonts w:hint="cs"/>
          <w:rtl/>
        </w:rPr>
        <w:t xml:space="preserve">في </w:t>
      </w:r>
      <w:r>
        <w:rPr>
          <w:rtl/>
        </w:rPr>
        <w:t>عام 2019)</w:t>
      </w:r>
      <w:r>
        <w:rPr>
          <w:rFonts w:hint="cs"/>
          <w:rtl/>
        </w:rPr>
        <w:t xml:space="preserve"> للمجلس</w:t>
      </w:r>
      <w:r>
        <w:rPr>
          <w:rtl/>
        </w:rPr>
        <w:t xml:space="preserve">، </w:t>
      </w:r>
      <w:r>
        <w:rPr>
          <w:rFonts w:hint="cs"/>
          <w:rtl/>
          <w:lang w:val="fr-CH" w:bidi="ar-SY"/>
        </w:rPr>
        <w:t>و</w:t>
      </w:r>
      <w:r>
        <w:rPr>
          <w:rtl/>
        </w:rPr>
        <w:t>وفق</w:t>
      </w:r>
      <w:r>
        <w:rPr>
          <w:rFonts w:hint="cs"/>
          <w:rtl/>
        </w:rPr>
        <w:t>اً</w:t>
      </w:r>
      <w:r>
        <w:rPr>
          <w:rtl/>
        </w:rPr>
        <w:t xml:space="preserve"> للقرارين 102 و140 (</w:t>
      </w:r>
      <w:r>
        <w:rPr>
          <w:rFonts w:hint="cs"/>
          <w:rtl/>
        </w:rPr>
        <w:t>المراج</w:t>
      </w:r>
      <w:r w:rsidR="007206F3">
        <w:rPr>
          <w:rFonts w:hint="cs"/>
          <w:rtl/>
        </w:rPr>
        <w:t>َ</w:t>
      </w:r>
      <w:r>
        <w:rPr>
          <w:rFonts w:hint="cs"/>
          <w:rtl/>
        </w:rPr>
        <w:t>عين</w:t>
      </w:r>
      <w:r>
        <w:rPr>
          <w:rtl/>
        </w:rPr>
        <w:t xml:space="preserve"> في</w:t>
      </w:r>
      <w:r w:rsidR="007206F3">
        <w:rPr>
          <w:rFonts w:hint="cs"/>
          <w:rtl/>
        </w:rPr>
        <w:t> </w:t>
      </w:r>
      <w:r>
        <w:rPr>
          <w:rtl/>
        </w:rPr>
        <w:t>بوخارست، 2022)</w:t>
      </w:r>
      <w:r>
        <w:rPr>
          <w:rFonts w:hint="cs"/>
          <w:rtl/>
        </w:rPr>
        <w:t xml:space="preserve"> ل</w:t>
      </w:r>
      <w:r>
        <w:rPr>
          <w:rtl/>
        </w:rPr>
        <w:t>مؤتمر المندوبين المفوضين</w:t>
      </w:r>
      <w:r>
        <w:rPr>
          <w:rFonts w:hint="cs"/>
          <w:rtl/>
        </w:rPr>
        <w:t>.</w:t>
      </w:r>
      <w:r>
        <w:rPr>
          <w:rtl/>
        </w:rPr>
        <w:t xml:space="preserve"> و</w:t>
      </w:r>
      <w:r>
        <w:rPr>
          <w:rFonts w:hint="cs"/>
          <w:rtl/>
        </w:rPr>
        <w:t xml:space="preserve">تقتصر عضوية </w:t>
      </w:r>
      <w:r>
        <w:rPr>
          <w:rtl/>
        </w:rPr>
        <w:t xml:space="preserve">فريق </w:t>
      </w:r>
      <w:r>
        <w:rPr>
          <w:rFonts w:hint="cs"/>
          <w:rtl/>
        </w:rPr>
        <w:t>ال</w:t>
      </w:r>
      <w:r>
        <w:rPr>
          <w:rtl/>
        </w:rPr>
        <w:t xml:space="preserve">عمل على الدول الأعضاء، </w:t>
      </w:r>
      <w:r>
        <w:rPr>
          <w:rFonts w:hint="cs"/>
          <w:rtl/>
        </w:rPr>
        <w:t>وتُعقد مشاورات</w:t>
      </w:r>
      <w:r>
        <w:rPr>
          <w:rtl/>
        </w:rPr>
        <w:t xml:space="preserve"> مفتوحة مع جميع الجهات المعنية.</w:t>
      </w:r>
    </w:p>
    <w:p w14:paraId="251348CC" w14:textId="38888EDC" w:rsidR="006B7E45" w:rsidRDefault="006B7E45" w:rsidP="006B7E45">
      <w:pPr>
        <w:rPr>
          <w:rtl/>
        </w:rPr>
      </w:pPr>
      <w:r>
        <w:rPr>
          <w:rFonts w:hint="cs"/>
          <w:rtl/>
        </w:rPr>
        <w:t>2.1</w:t>
      </w:r>
      <w:r>
        <w:rPr>
          <w:rtl/>
        </w:rPr>
        <w:tab/>
      </w:r>
      <w:r>
        <w:rPr>
          <w:rFonts w:hint="cs"/>
          <w:rtl/>
        </w:rPr>
        <w:t>و</w:t>
      </w:r>
      <w:r>
        <w:rPr>
          <w:rtl/>
        </w:rPr>
        <w:t xml:space="preserve">حُددت اختصاصات فريق </w:t>
      </w:r>
      <w:r>
        <w:rPr>
          <w:rFonts w:hint="cs"/>
          <w:rtl/>
        </w:rPr>
        <w:t>ال</w:t>
      </w:r>
      <w:r>
        <w:rPr>
          <w:rtl/>
        </w:rPr>
        <w:t xml:space="preserve">عمل </w:t>
      </w:r>
      <w:r>
        <w:rPr>
          <w:lang w:val="fr-FR" w:bidi="ar-SY"/>
        </w:rPr>
        <w:t>CWG-Internet</w:t>
      </w:r>
      <w:r>
        <w:rPr>
          <w:rFonts w:hint="cs"/>
          <w:rtl/>
          <w:lang w:val="fr-CH" w:bidi="ar-SY"/>
        </w:rPr>
        <w:t xml:space="preserve"> </w:t>
      </w:r>
      <w:r>
        <w:rPr>
          <w:rtl/>
        </w:rPr>
        <w:t xml:space="preserve">في </w:t>
      </w:r>
      <w:r>
        <w:rPr>
          <w:rFonts w:hint="cs"/>
          <w:rtl/>
        </w:rPr>
        <w:t>ال</w:t>
      </w:r>
      <w:r>
        <w:rPr>
          <w:rtl/>
        </w:rPr>
        <w:t>قرار 1336 (المعد</w:t>
      </w:r>
      <w:r>
        <w:rPr>
          <w:rFonts w:hint="cs"/>
          <w:rtl/>
        </w:rPr>
        <w:t>ّ</w:t>
      </w:r>
      <w:r>
        <w:rPr>
          <w:rtl/>
        </w:rPr>
        <w:t xml:space="preserve">ل </w:t>
      </w:r>
      <w:r>
        <w:rPr>
          <w:rFonts w:hint="cs"/>
          <w:rtl/>
        </w:rPr>
        <w:t xml:space="preserve">في </w:t>
      </w:r>
      <w:r>
        <w:rPr>
          <w:rtl/>
        </w:rPr>
        <w:t>عام 2019)</w:t>
      </w:r>
      <w:r>
        <w:rPr>
          <w:rFonts w:hint="cs"/>
          <w:rtl/>
        </w:rPr>
        <w:t xml:space="preserve"> الصادر عن المجلس</w:t>
      </w:r>
      <w:r>
        <w:rPr>
          <w:rtl/>
        </w:rPr>
        <w:t>.</w:t>
      </w:r>
    </w:p>
    <w:p w14:paraId="6FDC7B4B" w14:textId="69DD6057" w:rsidR="006B7E45" w:rsidRDefault="006B7E45" w:rsidP="006B7E45">
      <w:pPr>
        <w:rPr>
          <w:rtl/>
        </w:rPr>
      </w:pPr>
      <w:r>
        <w:rPr>
          <w:rFonts w:hint="cs"/>
          <w:rtl/>
        </w:rPr>
        <w:t>3.1</w:t>
      </w:r>
      <w:r>
        <w:rPr>
          <w:rtl/>
        </w:rPr>
        <w:tab/>
      </w:r>
      <w:r>
        <w:rPr>
          <w:rFonts w:hint="cs"/>
          <w:rtl/>
        </w:rPr>
        <w:t>وكُلّف</w:t>
      </w:r>
      <w:r>
        <w:rPr>
          <w:rtl/>
        </w:rPr>
        <w:t xml:space="preserve"> </w:t>
      </w:r>
      <w:r>
        <w:rPr>
          <w:rFonts w:hint="cs"/>
          <w:rtl/>
        </w:rPr>
        <w:t>المجلس، بموجب القرار</w:t>
      </w:r>
      <w:r>
        <w:rPr>
          <w:rtl/>
        </w:rPr>
        <w:t xml:space="preserve"> 102 (</w:t>
      </w:r>
      <w:r>
        <w:rPr>
          <w:rFonts w:hint="cs"/>
          <w:rtl/>
        </w:rPr>
        <w:t>المراجَع</w:t>
      </w:r>
      <w:r>
        <w:rPr>
          <w:rtl/>
        </w:rPr>
        <w:t xml:space="preserve"> في بوخارست، 2022) </w:t>
      </w:r>
      <w:r>
        <w:rPr>
          <w:rFonts w:hint="cs"/>
          <w:rtl/>
        </w:rPr>
        <w:t>ل</w:t>
      </w:r>
      <w:r>
        <w:rPr>
          <w:rtl/>
        </w:rPr>
        <w:t>مؤتمر المندوبين المفوضين</w:t>
      </w:r>
      <w:r>
        <w:rPr>
          <w:rFonts w:hint="cs"/>
          <w:rtl/>
        </w:rPr>
        <w:t xml:space="preserve">، </w:t>
      </w:r>
      <w:r>
        <w:rPr>
          <w:rtl/>
        </w:rPr>
        <w:t>بما يلي:</w:t>
      </w:r>
    </w:p>
    <w:p w14:paraId="7872ED7F" w14:textId="19A59E1E" w:rsidR="006B7E45" w:rsidRDefault="007206F3" w:rsidP="007206F3">
      <w:pPr>
        <w:pStyle w:val="enumlev1"/>
        <w:rPr>
          <w:rtl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="006B7E45">
        <w:rPr>
          <w:rFonts w:hint="cs"/>
          <w:rtl/>
        </w:rPr>
        <w:t>توجيه</w:t>
      </w:r>
      <w:r w:rsidR="006B7E45">
        <w:rPr>
          <w:rtl/>
        </w:rPr>
        <w:t xml:space="preserve"> فريق </w:t>
      </w:r>
      <w:r w:rsidR="006B7E45">
        <w:rPr>
          <w:rFonts w:hint="cs"/>
          <w:rtl/>
          <w:lang w:val="fr-CH"/>
        </w:rPr>
        <w:t>العمل</w:t>
      </w:r>
      <w:r w:rsidR="006B7E45">
        <w:rPr>
          <w:rFonts w:hint="cs"/>
          <w:rtl/>
        </w:rPr>
        <w:t xml:space="preserve"> </w:t>
      </w:r>
      <w:r w:rsidR="006B7E45">
        <w:t>CWG-Internet</w:t>
      </w:r>
      <w:r w:rsidR="006B7E45" w:rsidRPr="006348E3">
        <w:rPr>
          <w:rtl/>
        </w:rPr>
        <w:t xml:space="preserve">، والمقصور على الدول الأعضاء، إلى إجراء تشاور مفتوح مع جميع أصحاب المصلحة، وفقاً للمبادئ التوجيهية </w:t>
      </w:r>
      <w:r w:rsidR="006B7E45">
        <w:rPr>
          <w:rtl/>
        </w:rPr>
        <w:t>المذكورة في القرار؛</w:t>
      </w:r>
    </w:p>
    <w:p w14:paraId="6C0E07B6" w14:textId="4CA87C2E" w:rsidR="006B7E45" w:rsidRDefault="007206F3" w:rsidP="007206F3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6B7E45">
        <w:rPr>
          <w:rFonts w:hint="cs"/>
          <w:rtl/>
        </w:rPr>
        <w:t>مراعاة</w:t>
      </w:r>
      <w:r w:rsidR="006B7E45" w:rsidRPr="006348E3">
        <w:rPr>
          <w:rtl/>
        </w:rPr>
        <w:t xml:space="preserve"> التقارير السنوية التي يقدمها الأمين العام ومديرو المكاتب ويتخذ التدابير المناسبة لكي يسهم بشكل فعال في تنفيذ هذا القرار والمبادرات الدولية المتعلقة بهذا القرار، ضمن ولاية الاتحاد؛</w:t>
      </w:r>
    </w:p>
    <w:p w14:paraId="714AC494" w14:textId="3508139A" w:rsidR="006B7E45" w:rsidRPr="006348E3" w:rsidRDefault="007206F3" w:rsidP="007206F3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6B7E45">
        <w:rPr>
          <w:rFonts w:hint="cs"/>
          <w:rtl/>
        </w:rPr>
        <w:t>النظر</w:t>
      </w:r>
      <w:r w:rsidR="006B7E45" w:rsidRPr="006348E3">
        <w:rPr>
          <w:rtl/>
        </w:rPr>
        <w:t xml:space="preserve"> في تقارير فريق العمل</w:t>
      </w:r>
      <w:r>
        <w:rPr>
          <w:rFonts w:hint="cs"/>
          <w:rtl/>
        </w:rPr>
        <w:t xml:space="preserve"> </w:t>
      </w:r>
      <w:r w:rsidR="006B7E45" w:rsidRPr="006348E3">
        <w:t>CWG–Internet</w:t>
      </w:r>
      <w:r>
        <w:rPr>
          <w:rFonts w:hint="cs"/>
          <w:rtl/>
        </w:rPr>
        <w:t xml:space="preserve"> </w:t>
      </w:r>
      <w:r w:rsidR="006B7E45" w:rsidRPr="006348E3">
        <w:rPr>
          <w:rtl/>
        </w:rPr>
        <w:t>وأن يتخذ الإجراءات اللازمة حسب الاقتضاء</w:t>
      </w:r>
      <w:r w:rsidR="006B7E45">
        <w:rPr>
          <w:rtl/>
        </w:rPr>
        <w:t>؛</w:t>
      </w:r>
    </w:p>
    <w:p w14:paraId="5C645E85" w14:textId="794AC995" w:rsidR="006B7E45" w:rsidRPr="006348E3" w:rsidRDefault="007206F3" w:rsidP="007206F3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6B7E45">
        <w:rPr>
          <w:rFonts w:hint="cs"/>
          <w:rtl/>
        </w:rPr>
        <w:t>تقديم</w:t>
      </w:r>
      <w:r w:rsidR="006B7E45">
        <w:rPr>
          <w:rtl/>
        </w:rPr>
        <w:t xml:space="preserve"> تقرير إلى مؤتمر المندوبين المفوضين لعام 2026 حول الأنشطة المنفذة والإنجازات المحققة بشأن تنفيذ هذا القرار، بما في ذلك مقترحات للنظر فيها حسب الاقتضاء</w:t>
      </w:r>
      <w:r>
        <w:rPr>
          <w:rFonts w:hint="cs"/>
          <w:rtl/>
        </w:rPr>
        <w:t>.</w:t>
      </w:r>
    </w:p>
    <w:p w14:paraId="118AFECB" w14:textId="77777777" w:rsidR="006B7E45" w:rsidRPr="006348E3" w:rsidRDefault="006B7E45" w:rsidP="006B7E45">
      <w:pPr>
        <w:pStyle w:val="Heading1"/>
        <w:rPr>
          <w:lang w:val="fr-CH" w:bidi="ar-EG"/>
        </w:rPr>
      </w:pPr>
      <w:r w:rsidRPr="00FB47DC">
        <w:rPr>
          <w:rtl/>
          <w:lang w:bidi="ar-EG"/>
        </w:rPr>
        <w:t>2</w:t>
      </w:r>
      <w:r w:rsidRPr="00FB47DC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أنشطة فريق العمل </w:t>
      </w:r>
      <w:r>
        <w:rPr>
          <w:lang w:val="fr-CH" w:bidi="ar-EG"/>
        </w:rPr>
        <w:t>CWG-Internet</w:t>
      </w:r>
    </w:p>
    <w:p w14:paraId="1C5D697F" w14:textId="77777777" w:rsidR="006B7E45" w:rsidRDefault="006B7E45" w:rsidP="006B7E45">
      <w:pPr>
        <w:rPr>
          <w:rtl/>
          <w:lang w:bidi="ar-EG"/>
        </w:rPr>
      </w:pPr>
      <w:r>
        <w:rPr>
          <w:lang w:bidi="ar-EG"/>
        </w:rPr>
        <w:t>1.2</w:t>
      </w:r>
      <w:r>
        <w:rPr>
          <w:lang w:bidi="ar-EG"/>
        </w:rPr>
        <w:tab/>
      </w:r>
      <w:r>
        <w:rPr>
          <w:rtl/>
          <w:lang w:bidi="ar-EG"/>
        </w:rPr>
        <w:t>عقد</w:t>
      </w:r>
      <w:r>
        <w:rPr>
          <w:rFonts w:hint="cs"/>
          <w:rtl/>
          <w:lang w:bidi="ar-EG"/>
        </w:rPr>
        <w:t xml:space="preserve"> </w:t>
      </w:r>
      <w:r w:rsidRPr="006348E3">
        <w:rPr>
          <w:rtl/>
          <w:lang w:bidi="ar-EG"/>
        </w:rPr>
        <w:t xml:space="preserve">فريق العمل </w:t>
      </w:r>
      <w:r w:rsidRPr="006348E3">
        <w:rPr>
          <w:lang w:bidi="ar-EG"/>
        </w:rPr>
        <w:t>CWG-Internet</w:t>
      </w:r>
      <w:r w:rsidRPr="006348E3">
        <w:rPr>
          <w:rtl/>
          <w:lang w:bidi="ar-EG"/>
        </w:rPr>
        <w:t xml:space="preserve"> </w:t>
      </w:r>
      <w:r>
        <w:rPr>
          <w:rtl/>
          <w:lang w:bidi="ar-EG"/>
        </w:rPr>
        <w:t>اجتماعيه الثاني والعشرين والثالث والعشرين في 15-16 سبتمبر 2025 و20 يناير 2026</w:t>
      </w:r>
      <w:r>
        <w:rPr>
          <w:rFonts w:hint="cs"/>
          <w:rtl/>
          <w:lang w:bidi="ar-EG"/>
        </w:rPr>
        <w:t xml:space="preserve">، </w:t>
      </w:r>
      <w:r>
        <w:rPr>
          <w:rtl/>
          <w:lang w:bidi="ar-EG"/>
        </w:rPr>
        <w:t xml:space="preserve">على التوالي، في مقر الاتحاد </w:t>
      </w:r>
      <w:r>
        <w:rPr>
          <w:rFonts w:hint="cs"/>
          <w:rtl/>
          <w:lang w:bidi="ar-EG"/>
        </w:rPr>
        <w:t>ب</w:t>
      </w:r>
      <w:r>
        <w:rPr>
          <w:rtl/>
          <w:lang w:bidi="ar-EG"/>
        </w:rPr>
        <w:t>جنيف، سويسرا.</w:t>
      </w:r>
    </w:p>
    <w:p w14:paraId="46A4E602" w14:textId="77777777" w:rsidR="006B7E45" w:rsidRDefault="006B7E45" w:rsidP="006B7E45">
      <w:pPr>
        <w:rPr>
          <w:rtl/>
          <w:lang w:bidi="ar-EG"/>
        </w:rPr>
      </w:pPr>
      <w:r>
        <w:rPr>
          <w:rtl/>
          <w:lang w:bidi="ar-EG"/>
        </w:rPr>
        <w:t>2.2</w:t>
      </w:r>
      <w:r>
        <w:rPr>
          <w:lang w:bidi="ar-EG"/>
        </w:rPr>
        <w:tab/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أقر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الفريق</w:t>
      </w:r>
      <w:r>
        <w:rPr>
          <w:rtl/>
          <w:lang w:bidi="ar-EG"/>
        </w:rPr>
        <w:t xml:space="preserve"> تقريري الاجتماعين </w:t>
      </w:r>
      <w:hyperlink r:id="rId13" w:history="1">
        <w:r w:rsidRPr="006348E3">
          <w:rPr>
            <w:rStyle w:val="Hyperlink"/>
            <w:noProof w:val="0"/>
            <w:rtl/>
            <w:lang w:val="en-US" w:eastAsia="zh-CN" w:bidi="ar-EG"/>
          </w:rPr>
          <w:t>الثاني والعشرين</w:t>
        </w:r>
      </w:hyperlink>
      <w:r>
        <w:rPr>
          <w:rtl/>
          <w:lang w:bidi="ar-EG"/>
        </w:rPr>
        <w:t xml:space="preserve"> و</w:t>
      </w:r>
      <w:hyperlink r:id="rId14" w:history="1">
        <w:r w:rsidRPr="006348E3">
          <w:rPr>
            <w:rStyle w:val="Hyperlink"/>
            <w:noProof w:val="0"/>
            <w:rtl/>
            <w:lang w:val="en-US" w:eastAsia="zh-CN" w:bidi="ar-EG"/>
          </w:rPr>
          <w:t>الثالث والعشرين</w:t>
        </w:r>
      </w:hyperlink>
      <w:r>
        <w:rPr>
          <w:rtl/>
          <w:lang w:bidi="ar-EG"/>
        </w:rPr>
        <w:t>.</w:t>
      </w:r>
    </w:p>
    <w:p w14:paraId="3F18AF65" w14:textId="77777777" w:rsidR="006B7E45" w:rsidRDefault="006B7E45" w:rsidP="006B7E45">
      <w:pPr>
        <w:rPr>
          <w:rtl/>
          <w:lang w:bidi="ar-EG"/>
        </w:rPr>
      </w:pPr>
      <w:r>
        <w:rPr>
          <w:lang w:bidi="ar-EG"/>
        </w:rPr>
        <w:t>3.2</w:t>
      </w:r>
      <w:r>
        <w:rPr>
          <w:lang w:bidi="ar-EG"/>
        </w:rPr>
        <w:tab/>
      </w:r>
      <w:r>
        <w:rPr>
          <w:rFonts w:hint="cs"/>
          <w:rtl/>
          <w:lang w:bidi="ar-EG"/>
        </w:rPr>
        <w:t>وناقش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الفريق</w:t>
      </w:r>
      <w:r>
        <w:rPr>
          <w:rtl/>
          <w:lang w:bidi="ar-EG"/>
        </w:rPr>
        <w:t xml:space="preserve"> في اجتماعه الثاني والعشرين نتائج المشاورة المفتوحة والمساهمات الواردة من الأعضاء.</w:t>
      </w:r>
    </w:p>
    <w:p w14:paraId="310D9946" w14:textId="45244CAB" w:rsidR="006B7E45" w:rsidRDefault="006B7E45" w:rsidP="006B7E45">
      <w:pPr>
        <w:rPr>
          <w:rtl/>
          <w:lang w:bidi="ar-EG"/>
        </w:rPr>
      </w:pPr>
      <w:r>
        <w:rPr>
          <w:rFonts w:hint="cs"/>
          <w:rtl/>
          <w:lang w:bidi="ar-EG"/>
        </w:rPr>
        <w:t>4.2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ون</w:t>
      </w:r>
      <w:r>
        <w:rPr>
          <w:rtl/>
          <w:lang w:bidi="ar-EG"/>
        </w:rPr>
        <w:t xml:space="preserve">اقش </w:t>
      </w:r>
      <w:r>
        <w:rPr>
          <w:rFonts w:hint="cs"/>
          <w:rtl/>
          <w:lang w:bidi="ar-EG"/>
        </w:rPr>
        <w:t>الفريق</w:t>
      </w:r>
      <w:r>
        <w:rPr>
          <w:rtl/>
          <w:lang w:bidi="ar-EG"/>
        </w:rPr>
        <w:t xml:space="preserve"> في اجتماعه الثالث والعشرين المساهمات الواردة من الأعضاء، وأقر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 الإجراء التالي:</w:t>
      </w:r>
    </w:p>
    <w:p w14:paraId="71BDD543" w14:textId="1296B50A" w:rsidR="006B7E45" w:rsidRPr="00CC4E29" w:rsidRDefault="007206F3" w:rsidP="007206F3">
      <w:pPr>
        <w:pStyle w:val="enumlev1"/>
        <w:rPr>
          <w:rtl/>
        </w:rPr>
      </w:pPr>
      <w:r>
        <w:tab/>
      </w:r>
      <w:r w:rsidR="006B7E45">
        <w:rPr>
          <w:rtl/>
        </w:rPr>
        <w:t xml:space="preserve">أشار الأعضاء إلى أن وثيقة </w:t>
      </w:r>
      <w:r w:rsidR="006B7E45" w:rsidRPr="00955969">
        <w:rPr>
          <w:rtl/>
        </w:rPr>
        <w:t>القمة العالمية لمجتمع المعلومات بعد مضي عشرين عاماً على انعقادها (</w:t>
      </w:r>
      <w:r w:rsidR="006B7E45" w:rsidRPr="00955969">
        <w:t>WSIS+20</w:t>
      </w:r>
      <w:r w:rsidR="006B7E45" w:rsidRPr="00955969">
        <w:rPr>
          <w:rtl/>
        </w:rPr>
        <w:t xml:space="preserve">) </w:t>
      </w:r>
      <w:r w:rsidR="006B7E45">
        <w:rPr>
          <w:rtl/>
        </w:rPr>
        <w:t>تمثل إطار</w:t>
      </w:r>
      <w:r w:rsidR="006B7E45">
        <w:rPr>
          <w:rFonts w:hint="cs"/>
          <w:rtl/>
        </w:rPr>
        <w:t>اً</w:t>
      </w:r>
      <w:r w:rsidR="006B7E45">
        <w:rPr>
          <w:rtl/>
        </w:rPr>
        <w:t xml:space="preserve"> عام</w:t>
      </w:r>
      <w:r w:rsidR="006B7E45">
        <w:rPr>
          <w:rFonts w:hint="cs"/>
          <w:rtl/>
        </w:rPr>
        <w:t>اً</w:t>
      </w:r>
      <w:r w:rsidR="006B7E45">
        <w:rPr>
          <w:rtl/>
        </w:rPr>
        <w:t xml:space="preserve"> يتضمن مسائل </w:t>
      </w:r>
      <w:r w:rsidR="006B7E45">
        <w:rPr>
          <w:rFonts w:hint="cs"/>
          <w:rtl/>
        </w:rPr>
        <w:t>تندرج</w:t>
      </w:r>
      <w:r w:rsidR="006B7E45">
        <w:rPr>
          <w:rtl/>
        </w:rPr>
        <w:t xml:space="preserve"> ضمن اختصاص</w:t>
      </w:r>
      <w:r w:rsidR="006B7E45">
        <w:rPr>
          <w:rFonts w:hint="cs"/>
          <w:rtl/>
        </w:rPr>
        <w:t xml:space="preserve"> كل من</w:t>
      </w:r>
      <w:r w:rsidR="006B7E45">
        <w:rPr>
          <w:rtl/>
        </w:rPr>
        <w:t xml:space="preserve"> الاتحاد، </w:t>
      </w:r>
      <w:r w:rsidR="006B7E45">
        <w:rPr>
          <w:rFonts w:hint="cs"/>
          <w:rtl/>
        </w:rPr>
        <w:t>وال</w:t>
      </w:r>
      <w:r w:rsidR="006B7E45">
        <w:rPr>
          <w:rtl/>
        </w:rPr>
        <w:t xml:space="preserve">منظمات </w:t>
      </w:r>
      <w:r w:rsidR="006B7E45">
        <w:rPr>
          <w:rFonts w:hint="cs"/>
          <w:rtl/>
        </w:rPr>
        <w:t>ال</w:t>
      </w:r>
      <w:r w:rsidR="006B7E45">
        <w:rPr>
          <w:rtl/>
        </w:rPr>
        <w:t xml:space="preserve">أخرى. واستذكاراً للقرار الذي اتخذه </w:t>
      </w:r>
      <w:r w:rsidR="006B7E45">
        <w:rPr>
          <w:rFonts w:hint="cs"/>
          <w:rtl/>
        </w:rPr>
        <w:t>فريق ال</w:t>
      </w:r>
      <w:r w:rsidR="006B7E45">
        <w:rPr>
          <w:rtl/>
        </w:rPr>
        <w:t>عمل</w:t>
      </w:r>
      <w:r w:rsidR="006B7E45">
        <w:rPr>
          <w:rFonts w:hint="cs"/>
          <w:rtl/>
        </w:rPr>
        <w:t xml:space="preserve"> التابع للمجلس والمعني</w:t>
      </w:r>
      <w:r w:rsidR="006B7E45">
        <w:rPr>
          <w:rtl/>
        </w:rPr>
        <w:t xml:space="preserve"> </w:t>
      </w:r>
      <w:r w:rsidR="006B7E45">
        <w:rPr>
          <w:rFonts w:hint="cs"/>
          <w:rtl/>
        </w:rPr>
        <w:t>بالقمة</w:t>
      </w:r>
      <w:r w:rsidR="006B7E45">
        <w:rPr>
          <w:rtl/>
        </w:rPr>
        <w:t xml:space="preserve"> العالمي</w:t>
      </w:r>
      <w:r w:rsidR="006B7E45">
        <w:rPr>
          <w:rFonts w:hint="cs"/>
          <w:rtl/>
        </w:rPr>
        <w:t>ة</w:t>
      </w:r>
      <w:r w:rsidR="006B7E45">
        <w:rPr>
          <w:rtl/>
        </w:rPr>
        <w:t xml:space="preserve"> لمجتمع المعلومات وأهداف التنمية المستدامة </w:t>
      </w:r>
      <w:r w:rsidR="006B7E45">
        <w:rPr>
          <w:rFonts w:hint="cs"/>
          <w:rtl/>
        </w:rPr>
        <w:t>(</w:t>
      </w:r>
      <w:r w:rsidR="006B7E45">
        <w:rPr>
          <w:lang w:val="fr-FR"/>
        </w:rPr>
        <w:t>CWG-WSIS&amp;SDG</w:t>
      </w:r>
      <w:r w:rsidR="006B7E45">
        <w:rPr>
          <w:rFonts w:hint="cs"/>
          <w:rtl/>
        </w:rPr>
        <w:t>) ب</w:t>
      </w:r>
      <w:r w:rsidR="006B7E45">
        <w:rPr>
          <w:rtl/>
        </w:rPr>
        <w:t>إعداد تحليل للفجوات</w:t>
      </w:r>
      <w:r w:rsidR="006B7E45">
        <w:rPr>
          <w:rFonts w:hint="cs"/>
          <w:rtl/>
          <w:lang w:val="fr-CH"/>
        </w:rPr>
        <w:t xml:space="preserve"> فيما يتعلق </w:t>
      </w:r>
      <w:r w:rsidR="006B7E45">
        <w:rPr>
          <w:rFonts w:hint="cs"/>
          <w:rtl/>
        </w:rPr>
        <w:t>ب</w:t>
      </w:r>
      <w:r w:rsidR="006B7E45">
        <w:rPr>
          <w:rtl/>
        </w:rPr>
        <w:t xml:space="preserve">تأثير مؤتمر </w:t>
      </w:r>
      <w:r w:rsidR="006B7E45">
        <w:rPr>
          <w:rFonts w:hint="cs"/>
          <w:rtl/>
        </w:rPr>
        <w:t xml:space="preserve">القمة </w:t>
      </w:r>
      <w:r w:rsidR="006B7E45">
        <w:rPr>
          <w:lang w:val="fr-FR"/>
        </w:rPr>
        <w:t>WSIS+20</w:t>
      </w:r>
      <w:r w:rsidR="006B7E45">
        <w:rPr>
          <w:rtl/>
        </w:rPr>
        <w:t xml:space="preserve"> على عمل الاتحاد</w:t>
      </w:r>
      <w:r w:rsidR="006B7E45">
        <w:rPr>
          <w:rFonts w:hint="cs"/>
          <w:rtl/>
          <w:lang w:val="fr-CH"/>
        </w:rPr>
        <w:t xml:space="preserve"> </w:t>
      </w:r>
      <w:r w:rsidR="006B7E45">
        <w:rPr>
          <w:rtl/>
        </w:rPr>
        <w:t>وولاياته</w:t>
      </w:r>
      <w:r w:rsidR="006B7E45">
        <w:rPr>
          <w:rFonts w:hint="cs"/>
          <w:rtl/>
        </w:rPr>
        <w:t xml:space="preserve"> الجارية</w:t>
      </w:r>
      <w:r w:rsidR="006B7E45">
        <w:rPr>
          <w:rtl/>
        </w:rPr>
        <w:t xml:space="preserve">، </w:t>
      </w:r>
      <w:r w:rsidR="006B7E45">
        <w:rPr>
          <w:rFonts w:hint="cs"/>
          <w:rtl/>
          <w:lang w:val="fr-CH"/>
        </w:rPr>
        <w:t>وتقديمه إلى</w:t>
      </w:r>
      <w:r w:rsidR="006B7E45">
        <w:rPr>
          <w:rtl/>
        </w:rPr>
        <w:t xml:space="preserve"> للمجلس</w:t>
      </w:r>
      <w:r w:rsidR="006B7E45">
        <w:rPr>
          <w:rFonts w:hint="cs"/>
          <w:rtl/>
        </w:rPr>
        <w:t xml:space="preserve"> لاستعراضه</w:t>
      </w:r>
      <w:r w:rsidR="006B7E45">
        <w:rPr>
          <w:rtl/>
        </w:rPr>
        <w:t xml:space="preserve"> والنظر فيه، طلب </w:t>
      </w:r>
      <w:r w:rsidR="006B7E45">
        <w:rPr>
          <w:rFonts w:hint="cs"/>
          <w:rtl/>
        </w:rPr>
        <w:t>فريق العمل</w:t>
      </w:r>
      <w:r w:rsidR="006B7E45">
        <w:rPr>
          <w:rtl/>
        </w:rPr>
        <w:t xml:space="preserve"> </w:t>
      </w:r>
      <w:r w:rsidR="006B7E45" w:rsidRPr="006348E3">
        <w:t>CWG-Internet</w:t>
      </w:r>
      <w:r w:rsidR="006B7E45" w:rsidRPr="006348E3">
        <w:rPr>
          <w:rtl/>
        </w:rPr>
        <w:t xml:space="preserve"> </w:t>
      </w:r>
      <w:r w:rsidR="006B7E45">
        <w:rPr>
          <w:rtl/>
        </w:rPr>
        <w:t xml:space="preserve">من الأمانة المساهمة في هذا الجهد فيما يتعلق </w:t>
      </w:r>
      <w:r w:rsidR="006B7E45">
        <w:rPr>
          <w:rFonts w:hint="cs"/>
          <w:rtl/>
        </w:rPr>
        <w:t>باختصاصات فريق العمل</w:t>
      </w:r>
      <w:r w:rsidR="006B7E45">
        <w:rPr>
          <w:rtl/>
        </w:rPr>
        <w:t>.</w:t>
      </w:r>
    </w:p>
    <w:p w14:paraId="1AAB6C72" w14:textId="77777777" w:rsidR="006B7E45" w:rsidRDefault="006B7E45" w:rsidP="006B7E45">
      <w:pPr>
        <w:pStyle w:val="Heading1"/>
        <w:rPr>
          <w:spacing w:val="-4"/>
          <w:rtl/>
          <w:lang w:bidi="ar-EG"/>
        </w:rPr>
      </w:pPr>
      <w:r w:rsidRPr="00FB47DC">
        <w:rPr>
          <w:spacing w:val="-4"/>
          <w:rtl/>
          <w:lang w:bidi="ar-EG"/>
        </w:rPr>
        <w:t>3</w:t>
      </w:r>
      <w:r w:rsidRPr="00FB47DC">
        <w:rPr>
          <w:spacing w:val="-4"/>
          <w:rtl/>
          <w:lang w:bidi="ar-EG"/>
        </w:rPr>
        <w:tab/>
      </w:r>
      <w:r>
        <w:rPr>
          <w:rFonts w:hint="cs"/>
          <w:spacing w:val="-4"/>
          <w:rtl/>
          <w:lang w:bidi="ar-EG"/>
        </w:rPr>
        <w:t>الخاتمة</w:t>
      </w:r>
    </w:p>
    <w:p w14:paraId="3D6C03B1" w14:textId="772EB785" w:rsidR="006B7E45" w:rsidRDefault="007206F3" w:rsidP="006B7E45">
      <w:pPr>
        <w:rPr>
          <w:rtl/>
          <w:lang w:bidi="ar-EG"/>
        </w:rPr>
      </w:pPr>
      <w:r>
        <w:rPr>
          <w:lang w:bidi="ar-EG"/>
        </w:rPr>
        <w:t>1.3</w:t>
      </w:r>
      <w:r w:rsidR="006B7E45">
        <w:rPr>
          <w:rtl/>
          <w:lang w:bidi="ar-EG"/>
        </w:rPr>
        <w:tab/>
      </w:r>
      <w:r w:rsidR="006B7E45">
        <w:rPr>
          <w:rFonts w:hint="cs"/>
          <w:rtl/>
          <w:lang w:bidi="ar-EG"/>
        </w:rPr>
        <w:t>يُدعى</w:t>
      </w:r>
      <w:r w:rsidR="006B7E45">
        <w:rPr>
          <w:rtl/>
          <w:lang w:bidi="ar-EG"/>
        </w:rPr>
        <w:t xml:space="preserve"> المجلس</w:t>
      </w:r>
      <w:r w:rsidR="006B7E45">
        <w:rPr>
          <w:rFonts w:hint="cs"/>
          <w:rtl/>
          <w:lang w:bidi="ar-EG"/>
        </w:rPr>
        <w:t xml:space="preserve"> إلى</w:t>
      </w:r>
      <w:r w:rsidR="006B7E45">
        <w:rPr>
          <w:rtl/>
          <w:lang w:bidi="ar-EG"/>
        </w:rPr>
        <w:t xml:space="preserve"> الإحاطة علماً بهذا التقرير.</w:t>
      </w:r>
    </w:p>
    <w:p w14:paraId="73D67291" w14:textId="62898B7C" w:rsidR="006B7E45" w:rsidRDefault="007206F3" w:rsidP="006B7E45">
      <w:pPr>
        <w:rPr>
          <w:rtl/>
          <w:lang w:bidi="ar-EG"/>
        </w:rPr>
      </w:pPr>
      <w:r>
        <w:rPr>
          <w:lang w:bidi="ar-EG"/>
        </w:rPr>
        <w:t>2.3</w:t>
      </w:r>
      <w:r w:rsidR="006B7E45">
        <w:rPr>
          <w:rtl/>
          <w:lang w:bidi="ar-EG"/>
        </w:rPr>
        <w:tab/>
      </w:r>
      <w:r w:rsidR="006B7E45">
        <w:rPr>
          <w:rFonts w:hint="cs"/>
          <w:rtl/>
          <w:lang w:bidi="ar-EG"/>
        </w:rPr>
        <w:t>و</w:t>
      </w:r>
      <w:r w:rsidR="006B7E45">
        <w:rPr>
          <w:rtl/>
          <w:lang w:bidi="ar-EG"/>
        </w:rPr>
        <w:t xml:space="preserve">نيابةً عن فريق </w:t>
      </w:r>
      <w:r w:rsidR="006B7E45">
        <w:rPr>
          <w:rFonts w:hint="cs"/>
          <w:rtl/>
          <w:lang w:bidi="ar-EG"/>
        </w:rPr>
        <w:t>ال</w:t>
      </w:r>
      <w:r w:rsidR="006B7E45">
        <w:rPr>
          <w:rtl/>
          <w:lang w:bidi="ar-EG"/>
        </w:rPr>
        <w:t xml:space="preserve">عمل </w:t>
      </w:r>
      <w:r w:rsidR="006B7E45" w:rsidRPr="006348E3">
        <w:rPr>
          <w:lang w:bidi="ar-EG"/>
        </w:rPr>
        <w:t>CWG-Internet</w:t>
      </w:r>
      <w:r w:rsidR="006B7E45">
        <w:rPr>
          <w:rtl/>
          <w:lang w:bidi="ar-EG"/>
        </w:rPr>
        <w:t>، يتقدم الرئيس بالشكر الجزيل لجميع الدول الأعضاء في الاتحاد التي ساهمت وشاركت في أعمال الفريق، ولنواب الرئيس، والأمين</w:t>
      </w:r>
      <w:r w:rsidR="006B7E45">
        <w:rPr>
          <w:rFonts w:hint="cs"/>
          <w:rtl/>
          <w:lang w:bidi="ar-EG"/>
        </w:rPr>
        <w:t>ة</w:t>
      </w:r>
      <w:r w:rsidR="006B7E45">
        <w:rPr>
          <w:rtl/>
          <w:lang w:bidi="ar-EG"/>
        </w:rPr>
        <w:t xml:space="preserve"> العام</w:t>
      </w:r>
      <w:r w:rsidR="006B7E45">
        <w:rPr>
          <w:rFonts w:hint="cs"/>
          <w:rtl/>
          <w:lang w:bidi="ar-EG"/>
        </w:rPr>
        <w:t>ة</w:t>
      </w:r>
      <w:r w:rsidR="006B7E45">
        <w:rPr>
          <w:rtl/>
          <w:lang w:bidi="ar-EG"/>
        </w:rPr>
        <w:t>، ونائب الأمين</w:t>
      </w:r>
      <w:r w:rsidR="006B7E45">
        <w:rPr>
          <w:rFonts w:hint="cs"/>
          <w:rtl/>
          <w:lang w:bidi="ar-EG"/>
        </w:rPr>
        <w:t>ة</w:t>
      </w:r>
      <w:r w:rsidR="006B7E45">
        <w:rPr>
          <w:rtl/>
          <w:lang w:bidi="ar-EG"/>
        </w:rPr>
        <w:t xml:space="preserve"> العام</w:t>
      </w:r>
      <w:r w:rsidR="006B7E45">
        <w:rPr>
          <w:rFonts w:hint="cs"/>
          <w:rtl/>
          <w:lang w:bidi="ar-EG"/>
        </w:rPr>
        <w:t>ة</w:t>
      </w:r>
      <w:r w:rsidR="006B7E45">
        <w:rPr>
          <w:rtl/>
          <w:lang w:bidi="ar-EG"/>
        </w:rPr>
        <w:t xml:space="preserve">، ومديري </w:t>
      </w:r>
      <w:r w:rsidR="006B7E45">
        <w:rPr>
          <w:rFonts w:hint="cs"/>
          <w:rtl/>
          <w:lang w:bidi="ar-EG"/>
        </w:rPr>
        <w:t xml:space="preserve">المكاتب الثلاثة (مكتب تقييس الاتصالات ومكتب الاتصالات الراديوية ومكتب تنمية </w:t>
      </w:r>
      <w:proofErr w:type="gramStart"/>
      <w:r w:rsidR="001428DF">
        <w:rPr>
          <w:rFonts w:hint="cs"/>
          <w:rtl/>
          <w:lang w:bidi="ar-EG"/>
        </w:rPr>
        <w:t>الاتصالات)</w:t>
      </w:r>
      <w:r w:rsidR="001428DF">
        <w:rPr>
          <w:rtl/>
          <w:lang w:bidi="ar-EG"/>
        </w:rPr>
        <w:t>،</w:t>
      </w:r>
      <w:proofErr w:type="gramEnd"/>
      <w:r w:rsidR="006B7E45">
        <w:rPr>
          <w:rtl/>
          <w:lang w:bidi="ar-EG"/>
        </w:rPr>
        <w:t xml:space="preserve"> والأمانة العامة على مساعدتهم الفعّالة خلال الاجتماعين الثاني والعشرين والثالث والعشرين لفريق </w:t>
      </w:r>
      <w:r w:rsidR="006B7E45">
        <w:rPr>
          <w:rFonts w:hint="cs"/>
          <w:rtl/>
          <w:lang w:bidi="ar-EG"/>
        </w:rPr>
        <w:t>ال</w:t>
      </w:r>
      <w:r w:rsidR="006B7E45">
        <w:rPr>
          <w:rtl/>
          <w:lang w:bidi="ar-EG"/>
        </w:rPr>
        <w:t>عمل.</w:t>
      </w:r>
    </w:p>
    <w:p w14:paraId="67172BD1" w14:textId="38190DA4" w:rsidR="001428DF" w:rsidRDefault="00391C28" w:rsidP="00391C28">
      <w:pPr>
        <w:spacing w:before="720" w:after="0"/>
        <w:ind w:right="-3969"/>
        <w:jc w:val="center"/>
        <w:rPr>
          <w:rtl/>
          <w:lang w:bidi="ar-EG"/>
        </w:rPr>
      </w:pPr>
      <w:r w:rsidRPr="00520E10">
        <w:rPr>
          <w:rtl/>
        </w:rPr>
        <w:t>السيد فويسيش برزوفسكي (بولندا)</w:t>
      </w:r>
      <w:r>
        <w:rPr>
          <w:rtl/>
        </w:rPr>
        <w:br/>
      </w:r>
      <w:r>
        <w:rPr>
          <w:rFonts w:hint="cs"/>
          <w:rtl/>
        </w:rPr>
        <w:t xml:space="preserve">رئيس فريق العمل </w:t>
      </w:r>
      <w:r w:rsidRPr="006348E3">
        <w:rPr>
          <w:lang w:bidi="ar-EG"/>
        </w:rPr>
        <w:t>CWG-Internet</w:t>
      </w:r>
    </w:p>
    <w:sectPr w:rsidR="001428DF" w:rsidSect="006F36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DF97" w14:textId="77777777" w:rsidR="00C07C8F" w:rsidRDefault="00C07C8F" w:rsidP="006C3242">
      <w:pPr>
        <w:spacing w:before="0" w:line="240" w:lineRule="auto"/>
      </w:pPr>
      <w:r>
        <w:separator/>
      </w:r>
    </w:p>
  </w:endnote>
  <w:endnote w:type="continuationSeparator" w:id="0">
    <w:p w14:paraId="1E2E7022" w14:textId="77777777" w:rsidR="00C07C8F" w:rsidRDefault="00C07C8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D023" w14:textId="77777777" w:rsidR="003C1CF4" w:rsidRDefault="003C1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013B3293" w14:textId="77777777" w:rsidTr="00A67F05">
      <w:trPr>
        <w:jc w:val="center"/>
      </w:trPr>
      <w:tc>
        <w:tcPr>
          <w:tcW w:w="868" w:type="pct"/>
          <w:vAlign w:val="center"/>
        </w:tcPr>
        <w:p w14:paraId="47B20A22" w14:textId="20BA28B6" w:rsidR="00F50E3F" w:rsidRPr="007B0AA0" w:rsidRDefault="001428DF" w:rsidP="003C1CF4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>
            <w:rPr>
              <w:rFonts w:ascii="Calibri" w:hAnsi="Calibri" w:cs="Arial" w:hint="cs"/>
              <w:sz w:val="18"/>
              <w:szCs w:val="14"/>
              <w:rtl/>
            </w:rPr>
            <w:t>2600464</w:t>
          </w:r>
        </w:p>
      </w:tc>
      <w:tc>
        <w:tcPr>
          <w:tcW w:w="3912" w:type="pct"/>
        </w:tcPr>
        <w:p w14:paraId="143B9DA2" w14:textId="7B626769" w:rsidR="00F50E3F" w:rsidRPr="007B0AA0" w:rsidRDefault="00F50E3F" w:rsidP="003C1CF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7206F3">
            <w:rPr>
              <w:rFonts w:ascii="Calibri" w:hAnsi="Calibri" w:cs="Arial"/>
              <w:bCs/>
              <w:color w:val="7F7F7F"/>
              <w:sz w:val="18"/>
            </w:rPr>
            <w:t>51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E1B1D2D" w14:textId="77777777" w:rsidR="00F50E3F" w:rsidRPr="007B0AA0" w:rsidRDefault="00F50E3F" w:rsidP="003C1CF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70FE21B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4B396165" w14:textId="77777777" w:rsidTr="00A67F05">
      <w:trPr>
        <w:jc w:val="center"/>
      </w:trPr>
      <w:tc>
        <w:tcPr>
          <w:tcW w:w="1013" w:type="pct"/>
          <w:vAlign w:val="center"/>
        </w:tcPr>
        <w:p w14:paraId="30DADA02" w14:textId="77777777" w:rsidR="007B0AA0" w:rsidRPr="00DA75D0" w:rsidRDefault="000116AF" w:rsidP="003C1CF4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DA75D0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DA75D0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56EA58CA" w14:textId="44A8D380" w:rsidR="007B0AA0" w:rsidRPr="007B0AA0" w:rsidRDefault="007B0AA0" w:rsidP="003C1CF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6B7E45">
            <w:rPr>
              <w:rFonts w:ascii="Calibri" w:hAnsi="Calibri" w:cs="Arial"/>
              <w:bCs/>
              <w:color w:val="7F7F7F"/>
              <w:sz w:val="18"/>
            </w:rPr>
            <w:t>51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75D23F5" w14:textId="77777777" w:rsidR="007B0AA0" w:rsidRPr="007B0AA0" w:rsidRDefault="00F50E3F" w:rsidP="003C1CF4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35A2F0A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21B2" w14:textId="77777777" w:rsidR="00C07C8F" w:rsidRDefault="00C07C8F" w:rsidP="006C3242">
      <w:pPr>
        <w:spacing w:before="0" w:line="240" w:lineRule="auto"/>
      </w:pPr>
      <w:r>
        <w:separator/>
      </w:r>
    </w:p>
  </w:footnote>
  <w:footnote w:type="continuationSeparator" w:id="0">
    <w:p w14:paraId="69C7DFAD" w14:textId="77777777" w:rsidR="00C07C8F" w:rsidRDefault="00C07C8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E7E3" w14:textId="77777777" w:rsidR="003C1CF4" w:rsidRDefault="003C1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8D37" w14:textId="77777777" w:rsidR="003C1CF4" w:rsidRDefault="003C1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1C0C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11447E9D" wp14:editId="0BBA0ADB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8E0D60"/>
    <w:multiLevelType w:val="hybridMultilevel"/>
    <w:tmpl w:val="A31C0A5E"/>
    <w:lvl w:ilvl="0" w:tplc="A646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459134">
    <w:abstractNumId w:val="9"/>
  </w:num>
  <w:num w:numId="2" w16cid:durableId="1917283580">
    <w:abstractNumId w:val="7"/>
  </w:num>
  <w:num w:numId="3" w16cid:durableId="1276403757">
    <w:abstractNumId w:val="6"/>
  </w:num>
  <w:num w:numId="4" w16cid:durableId="1196501861">
    <w:abstractNumId w:val="5"/>
  </w:num>
  <w:num w:numId="5" w16cid:durableId="661467962">
    <w:abstractNumId w:val="4"/>
  </w:num>
  <w:num w:numId="6" w16cid:durableId="1714890537">
    <w:abstractNumId w:val="8"/>
  </w:num>
  <w:num w:numId="7" w16cid:durableId="717244301">
    <w:abstractNumId w:val="3"/>
  </w:num>
  <w:num w:numId="8" w16cid:durableId="506285237">
    <w:abstractNumId w:val="2"/>
  </w:num>
  <w:num w:numId="9" w16cid:durableId="2057117380">
    <w:abstractNumId w:val="1"/>
  </w:num>
  <w:num w:numId="10" w16cid:durableId="36587162">
    <w:abstractNumId w:val="0"/>
  </w:num>
  <w:num w:numId="11" w16cid:durableId="292518301">
    <w:abstractNumId w:val="10"/>
  </w:num>
  <w:num w:numId="12" w16cid:durableId="1987738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55"/>
    <w:rsid w:val="000116AF"/>
    <w:rsid w:val="00053955"/>
    <w:rsid w:val="0006468A"/>
    <w:rsid w:val="00077A58"/>
    <w:rsid w:val="00090574"/>
    <w:rsid w:val="000C1C0E"/>
    <w:rsid w:val="000C548A"/>
    <w:rsid w:val="001428DF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651B0"/>
    <w:rsid w:val="00271C43"/>
    <w:rsid w:val="00290728"/>
    <w:rsid w:val="002978F4"/>
    <w:rsid w:val="002B028D"/>
    <w:rsid w:val="002C3F32"/>
    <w:rsid w:val="002E6541"/>
    <w:rsid w:val="0031104E"/>
    <w:rsid w:val="00334924"/>
    <w:rsid w:val="003409BC"/>
    <w:rsid w:val="00357185"/>
    <w:rsid w:val="00383829"/>
    <w:rsid w:val="00391C28"/>
    <w:rsid w:val="003C1CF4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7011D"/>
    <w:rsid w:val="0058491B"/>
    <w:rsid w:val="00592EA5"/>
    <w:rsid w:val="005A3170"/>
    <w:rsid w:val="005E4F3F"/>
    <w:rsid w:val="0064342A"/>
    <w:rsid w:val="00657019"/>
    <w:rsid w:val="00660DEA"/>
    <w:rsid w:val="00677396"/>
    <w:rsid w:val="00683F16"/>
    <w:rsid w:val="0069200F"/>
    <w:rsid w:val="006A65CB"/>
    <w:rsid w:val="006B12E5"/>
    <w:rsid w:val="006B7E45"/>
    <w:rsid w:val="006C3242"/>
    <w:rsid w:val="006C7CC0"/>
    <w:rsid w:val="006F363C"/>
    <w:rsid w:val="006F63F7"/>
    <w:rsid w:val="007025C7"/>
    <w:rsid w:val="00706D7A"/>
    <w:rsid w:val="007206F3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07C8F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A6A30"/>
    <w:rsid w:val="00DA75D0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1BFA4"/>
  <w15:chartTrackingRefBased/>
  <w15:docId w15:val="{1D498769-7C1A-4D06-869C-64175CA7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428DF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02-A.pdf" TargetMode="External"/><Relationship Id="rId13" Type="http://schemas.openxmlformats.org/officeDocument/2006/relationships/hyperlink" Target="https://www.itu.int/md/S25-RCLINTPOL22-C-0006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en/council/cwg-internet/Pages/default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9-CL-C-0140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S19-CL-C-0136/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140-A.pdf" TargetMode="External"/><Relationship Id="rId14" Type="http://schemas.openxmlformats.org/officeDocument/2006/relationships/hyperlink" Target="https://www.itu.int/md/S26-RCLINTPOL23-C-0007/en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4</TotalTime>
  <Pages>2</Pages>
  <Words>548</Words>
  <Characters>3689</Characters>
  <Application>Microsoft Office Word</Application>
  <DocSecurity>0</DocSecurity>
  <Lines>111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outcomes of the 22nd and 23rd of the Council Working Group on international Internet-related public policy issues</dc:title>
  <dc:subject>ITU Council 2026</dc:subject>
  <cp:keywords>C26; C2026; Council 2026; PP26</cp:keywords>
  <dc:description/>
  <dcterms:created xsi:type="dcterms:W3CDTF">2026-04-08T14:53:00Z</dcterms:created>
  <dcterms:modified xsi:type="dcterms:W3CDTF">2026-04-08T14:54:00Z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