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A1365F" w14:paraId="7280C135" w14:textId="77777777" w:rsidTr="00D17718">
        <w:trPr>
          <w:cantSplit/>
          <w:trHeight w:val="23"/>
        </w:trPr>
        <w:tc>
          <w:tcPr>
            <w:tcW w:w="3969" w:type="dxa"/>
            <w:vMerge w:val="restart"/>
            <w:tcMar>
              <w:left w:w="0" w:type="dxa"/>
            </w:tcMar>
          </w:tcPr>
          <w:p w14:paraId="4334B806" w14:textId="06075C90" w:rsidR="00796BD3" w:rsidRPr="00A1365F"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A1365F">
              <w:rPr>
                <w:b/>
                <w:lang w:val="ru-RU"/>
              </w:rPr>
              <w:t>Пункт повестки дня:</w:t>
            </w:r>
            <w:r w:rsidR="00A61D19" w:rsidRPr="00A1365F">
              <w:rPr>
                <w:b/>
                <w:bCs/>
                <w:color w:val="000000"/>
                <w:lang w:val="ru-RU"/>
              </w:rPr>
              <w:t xml:space="preserve"> ADM 1</w:t>
            </w:r>
          </w:p>
        </w:tc>
        <w:tc>
          <w:tcPr>
            <w:tcW w:w="5245" w:type="dxa"/>
          </w:tcPr>
          <w:p w14:paraId="58849CD0" w14:textId="41CD588E" w:rsidR="00796BD3" w:rsidRPr="00A1365F" w:rsidRDefault="009860E5" w:rsidP="008A48FA">
            <w:pPr>
              <w:tabs>
                <w:tab w:val="left" w:pos="851"/>
              </w:tabs>
              <w:spacing w:before="0" w:line="240" w:lineRule="atLeast"/>
              <w:jc w:val="right"/>
              <w:rPr>
                <w:b/>
                <w:lang w:val="ru-RU"/>
              </w:rPr>
            </w:pPr>
            <w:r>
              <w:rPr>
                <w:b/>
                <w:lang w:val="ru-RU"/>
              </w:rPr>
              <w:t>Пересмотр 1</w:t>
            </w:r>
            <w:r w:rsidR="008A48FA">
              <w:rPr>
                <w:b/>
                <w:lang w:val="ru-RU"/>
              </w:rPr>
              <w:br/>
            </w:r>
            <w:r w:rsidR="0033025A" w:rsidRPr="00A1365F">
              <w:rPr>
                <w:b/>
                <w:lang w:val="ru-RU"/>
              </w:rPr>
              <w:t>Документ</w:t>
            </w:r>
            <w:r>
              <w:rPr>
                <w:b/>
                <w:lang w:val="ru-RU"/>
              </w:rPr>
              <w:t>а</w:t>
            </w:r>
            <w:r w:rsidR="0033025A" w:rsidRPr="00A1365F">
              <w:rPr>
                <w:b/>
                <w:lang w:val="ru-RU"/>
              </w:rPr>
              <w:t xml:space="preserve"> </w:t>
            </w:r>
            <w:r w:rsidR="00796BD3" w:rsidRPr="00A1365F">
              <w:rPr>
                <w:b/>
                <w:lang w:val="ru-RU"/>
              </w:rPr>
              <w:t>C2</w:t>
            </w:r>
            <w:r w:rsidR="00BE00DD" w:rsidRPr="00A1365F">
              <w:rPr>
                <w:b/>
                <w:lang w:val="ru-RU"/>
              </w:rPr>
              <w:t>6</w:t>
            </w:r>
            <w:r w:rsidR="00796BD3" w:rsidRPr="00A1365F">
              <w:rPr>
                <w:b/>
                <w:lang w:val="ru-RU"/>
              </w:rPr>
              <w:t>/</w:t>
            </w:r>
            <w:r w:rsidR="00A61D19" w:rsidRPr="00A1365F">
              <w:rPr>
                <w:b/>
                <w:lang w:val="ru-RU"/>
              </w:rPr>
              <w:t>50</w:t>
            </w:r>
            <w:r w:rsidR="00796BD3" w:rsidRPr="00A1365F">
              <w:rPr>
                <w:b/>
                <w:lang w:val="ru-RU"/>
              </w:rPr>
              <w:t>-R</w:t>
            </w:r>
          </w:p>
        </w:tc>
      </w:tr>
      <w:tr w:rsidR="00796BD3" w:rsidRPr="00A1365F" w14:paraId="61172544" w14:textId="77777777" w:rsidTr="00D17718">
        <w:trPr>
          <w:cantSplit/>
        </w:trPr>
        <w:tc>
          <w:tcPr>
            <w:tcW w:w="3969" w:type="dxa"/>
            <w:vMerge/>
          </w:tcPr>
          <w:p w14:paraId="508112CD" w14:textId="77777777" w:rsidR="00796BD3" w:rsidRPr="00A1365F"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02BB28C1" w14:textId="0CCBD36F" w:rsidR="00796BD3" w:rsidRPr="00A1365F" w:rsidRDefault="009860E5" w:rsidP="00D17718">
            <w:pPr>
              <w:tabs>
                <w:tab w:val="left" w:pos="851"/>
              </w:tabs>
              <w:spacing w:before="0"/>
              <w:jc w:val="right"/>
              <w:rPr>
                <w:b/>
                <w:lang w:val="ru-RU"/>
              </w:rPr>
            </w:pPr>
            <w:r>
              <w:rPr>
                <w:b/>
                <w:lang w:val="ru-RU"/>
              </w:rPr>
              <w:t>30</w:t>
            </w:r>
            <w:r w:rsidR="00A61D19" w:rsidRPr="00A1365F">
              <w:rPr>
                <w:b/>
                <w:lang w:val="ru-RU"/>
              </w:rPr>
              <w:t xml:space="preserve"> </w:t>
            </w:r>
            <w:r>
              <w:rPr>
                <w:b/>
                <w:lang w:val="ru-RU"/>
              </w:rPr>
              <w:t>апреля</w:t>
            </w:r>
            <w:r w:rsidR="00A61D19" w:rsidRPr="00A1365F">
              <w:rPr>
                <w:b/>
                <w:lang w:val="ru-RU"/>
              </w:rPr>
              <w:t xml:space="preserve"> 2026 года</w:t>
            </w:r>
          </w:p>
        </w:tc>
      </w:tr>
      <w:tr w:rsidR="00796BD3" w:rsidRPr="00A1365F" w14:paraId="2538BB90" w14:textId="77777777" w:rsidTr="00D17718">
        <w:trPr>
          <w:cantSplit/>
          <w:trHeight w:val="23"/>
        </w:trPr>
        <w:tc>
          <w:tcPr>
            <w:tcW w:w="3969" w:type="dxa"/>
            <w:vMerge/>
          </w:tcPr>
          <w:p w14:paraId="4FFD818A" w14:textId="77777777" w:rsidR="00796BD3" w:rsidRPr="00A1365F" w:rsidRDefault="00796BD3" w:rsidP="00D17718">
            <w:pPr>
              <w:tabs>
                <w:tab w:val="left" w:pos="851"/>
              </w:tabs>
              <w:spacing w:line="240" w:lineRule="atLeast"/>
              <w:rPr>
                <w:b/>
                <w:lang w:val="ru-RU"/>
              </w:rPr>
            </w:pPr>
            <w:bookmarkStart w:id="4" w:name="dorlang" w:colFirst="1" w:colLast="1"/>
            <w:bookmarkEnd w:id="3"/>
          </w:p>
        </w:tc>
        <w:tc>
          <w:tcPr>
            <w:tcW w:w="5245" w:type="dxa"/>
          </w:tcPr>
          <w:p w14:paraId="4B5F61D3" w14:textId="77777777" w:rsidR="00796BD3" w:rsidRPr="00A1365F" w:rsidRDefault="0033025A" w:rsidP="00D17718">
            <w:pPr>
              <w:tabs>
                <w:tab w:val="left" w:pos="851"/>
              </w:tabs>
              <w:spacing w:before="0" w:line="240" w:lineRule="atLeast"/>
              <w:jc w:val="right"/>
              <w:rPr>
                <w:b/>
                <w:lang w:val="ru-RU"/>
              </w:rPr>
            </w:pPr>
            <w:r w:rsidRPr="00A1365F">
              <w:rPr>
                <w:b/>
                <w:lang w:val="ru-RU"/>
              </w:rPr>
              <w:t>Оригинал: английский</w:t>
            </w:r>
          </w:p>
        </w:tc>
      </w:tr>
      <w:tr w:rsidR="00796BD3" w:rsidRPr="00A1365F" w14:paraId="6812977C" w14:textId="77777777" w:rsidTr="00D17718">
        <w:trPr>
          <w:cantSplit/>
          <w:trHeight w:val="23"/>
        </w:trPr>
        <w:tc>
          <w:tcPr>
            <w:tcW w:w="3969" w:type="dxa"/>
          </w:tcPr>
          <w:p w14:paraId="0C8049F9" w14:textId="77777777" w:rsidR="00796BD3" w:rsidRPr="00A1365F" w:rsidRDefault="00796BD3" w:rsidP="00D17718">
            <w:pPr>
              <w:tabs>
                <w:tab w:val="left" w:pos="851"/>
              </w:tabs>
              <w:spacing w:line="240" w:lineRule="atLeast"/>
              <w:rPr>
                <w:b/>
                <w:lang w:val="ru-RU"/>
              </w:rPr>
            </w:pPr>
          </w:p>
        </w:tc>
        <w:tc>
          <w:tcPr>
            <w:tcW w:w="5245" w:type="dxa"/>
          </w:tcPr>
          <w:p w14:paraId="30A293F3" w14:textId="77777777" w:rsidR="00796BD3" w:rsidRPr="00A1365F" w:rsidRDefault="00796BD3" w:rsidP="00D17718">
            <w:pPr>
              <w:tabs>
                <w:tab w:val="left" w:pos="851"/>
              </w:tabs>
              <w:spacing w:before="0" w:line="240" w:lineRule="atLeast"/>
              <w:jc w:val="right"/>
              <w:rPr>
                <w:b/>
                <w:lang w:val="ru-RU"/>
              </w:rPr>
            </w:pPr>
          </w:p>
        </w:tc>
      </w:tr>
      <w:tr w:rsidR="00796BD3" w:rsidRPr="005E4138" w14:paraId="3A23AE13" w14:textId="77777777" w:rsidTr="00D17718">
        <w:trPr>
          <w:cantSplit/>
        </w:trPr>
        <w:tc>
          <w:tcPr>
            <w:tcW w:w="9214" w:type="dxa"/>
            <w:gridSpan w:val="2"/>
            <w:tcMar>
              <w:left w:w="0" w:type="dxa"/>
            </w:tcMar>
          </w:tcPr>
          <w:p w14:paraId="2C4A5175" w14:textId="0901A596" w:rsidR="00796BD3" w:rsidRPr="00A1365F" w:rsidRDefault="00A61D19" w:rsidP="00A405F9">
            <w:pPr>
              <w:pStyle w:val="Source"/>
              <w:framePr w:hSpace="0" w:wrap="auto" w:vAnchor="margin" w:hAnchor="text" w:xAlign="left" w:yAlign="inline"/>
              <w:suppressOverlap w:val="0"/>
            </w:pPr>
            <w:bookmarkStart w:id="5" w:name="dsource" w:colFirst="0" w:colLast="0"/>
            <w:bookmarkEnd w:id="4"/>
            <w:r w:rsidRPr="00A1365F">
              <w:rPr>
                <w:bCs/>
                <w:color w:val="000000"/>
              </w:rPr>
              <w:t>Отчет Председателя Рабочей группы Совета по финансовым и людским ресурсам</w:t>
            </w:r>
          </w:p>
        </w:tc>
      </w:tr>
      <w:tr w:rsidR="00796BD3" w:rsidRPr="005E4138" w14:paraId="148EA984" w14:textId="77777777" w:rsidTr="00D17718">
        <w:trPr>
          <w:cantSplit/>
        </w:trPr>
        <w:tc>
          <w:tcPr>
            <w:tcW w:w="9214" w:type="dxa"/>
            <w:gridSpan w:val="2"/>
            <w:tcMar>
              <w:left w:w="0" w:type="dxa"/>
            </w:tcMar>
          </w:tcPr>
          <w:p w14:paraId="05D9EE11" w14:textId="71813C94" w:rsidR="00796BD3" w:rsidRPr="00A1365F" w:rsidRDefault="00A61D19" w:rsidP="00A405F9">
            <w:pPr>
              <w:pStyle w:val="Subtitle"/>
              <w:framePr w:hSpace="0" w:wrap="auto" w:xAlign="left" w:yAlign="inline"/>
              <w:suppressOverlap w:val="0"/>
            </w:pPr>
            <w:bookmarkStart w:id="6" w:name="dtitle1" w:colFirst="0" w:colLast="0"/>
            <w:bookmarkEnd w:id="5"/>
            <w:r w:rsidRPr="00A1365F">
              <w:rPr>
                <w:color w:val="000000"/>
                <w:sz w:val="32"/>
                <w:szCs w:val="28"/>
              </w:rPr>
              <w:t>ОТЧЕТ ОБ ИТОГАХ 21-ГО И 22-ГО СОБРАНИЙ РАБОЧЕЙ ГРУППЫ СОВЕТА ПО ФИНАНСОВЫМ И ЛЮДСКИМ РЕСУРСАМ</w:t>
            </w:r>
          </w:p>
        </w:tc>
      </w:tr>
      <w:tr w:rsidR="00796BD3" w:rsidRPr="00A1365F" w14:paraId="5B2670D0" w14:textId="77777777" w:rsidTr="00D17718">
        <w:trPr>
          <w:cantSplit/>
        </w:trPr>
        <w:tc>
          <w:tcPr>
            <w:tcW w:w="9214" w:type="dxa"/>
            <w:gridSpan w:val="2"/>
            <w:tcBorders>
              <w:top w:val="single" w:sz="4" w:space="0" w:color="auto"/>
              <w:bottom w:val="single" w:sz="4" w:space="0" w:color="auto"/>
            </w:tcBorders>
            <w:tcMar>
              <w:left w:w="0" w:type="dxa"/>
            </w:tcMar>
          </w:tcPr>
          <w:p w14:paraId="4009EE4A" w14:textId="77777777" w:rsidR="00796BD3" w:rsidRPr="00A1365F" w:rsidRDefault="0033025A" w:rsidP="00D17718">
            <w:pPr>
              <w:spacing w:before="160"/>
              <w:rPr>
                <w:b/>
                <w:bCs/>
                <w:sz w:val="24"/>
                <w:szCs w:val="24"/>
                <w:lang w:val="ru-RU"/>
              </w:rPr>
            </w:pPr>
            <w:r w:rsidRPr="00A1365F">
              <w:rPr>
                <w:b/>
                <w:bCs/>
                <w:sz w:val="24"/>
                <w:szCs w:val="24"/>
                <w:lang w:val="ru-RU"/>
              </w:rPr>
              <w:t>Назначение</w:t>
            </w:r>
          </w:p>
          <w:p w14:paraId="580775B5" w14:textId="79D30928" w:rsidR="00796BD3" w:rsidRDefault="00A61D19" w:rsidP="00D17718">
            <w:pPr>
              <w:rPr>
                <w:color w:val="000000"/>
                <w:lang w:val="ru-RU"/>
              </w:rPr>
            </w:pPr>
            <w:r w:rsidRPr="00A1365F">
              <w:rPr>
                <w:color w:val="000000"/>
                <w:lang w:val="ru-RU"/>
              </w:rPr>
              <w:t xml:space="preserve">В настоящем документе представлены рекомендации, сформулированные по результатам обсуждений в рамках собраний РГС-ФЛР, которые состоялись 10−12 сентября 2025 года и 14−16 января 2026 года, соответственно. Полные отчеты об этих собраниях представлены в Документах </w:t>
            </w:r>
            <w:hyperlink r:id="rId7" w:history="1">
              <w:r w:rsidRPr="00A1365F">
                <w:rPr>
                  <w:rStyle w:val="Hyperlink"/>
                  <w:lang w:val="ru-RU"/>
                </w:rPr>
                <w:t>CWG</w:t>
              </w:r>
              <w:r w:rsidRPr="00A1365F">
                <w:rPr>
                  <w:rStyle w:val="Hyperlink"/>
                  <w:lang w:val="ru-RU"/>
                </w:rPr>
                <w:noBreakHyphen/>
                <w:t>FHR-21/25</w:t>
              </w:r>
            </w:hyperlink>
            <w:r w:rsidR="00A1365F">
              <w:rPr>
                <w:lang w:val="ru-RU"/>
              </w:rPr>
              <w:t xml:space="preserve"> </w:t>
            </w:r>
            <w:r w:rsidRPr="00A1365F">
              <w:rPr>
                <w:color w:val="000000"/>
                <w:lang w:val="ru-RU"/>
              </w:rPr>
              <w:t xml:space="preserve">и </w:t>
            </w:r>
            <w:hyperlink r:id="rId8" w:history="1">
              <w:r w:rsidRPr="00A1365F">
                <w:rPr>
                  <w:rStyle w:val="Hyperlink"/>
                  <w:lang w:val="ru-RU"/>
                </w:rPr>
                <w:t>CWG-FHR-22/36</w:t>
              </w:r>
            </w:hyperlink>
            <w:r w:rsidRPr="00A1365F">
              <w:rPr>
                <w:color w:val="000000"/>
                <w:lang w:val="ru-RU"/>
              </w:rPr>
              <w:t>.</w:t>
            </w:r>
          </w:p>
          <w:p w14:paraId="2FC9A02F" w14:textId="6512F09B" w:rsidR="00BF4ED3" w:rsidRPr="00A1365F" w:rsidRDefault="00BF4ED3" w:rsidP="00D17718">
            <w:pPr>
              <w:rPr>
                <w:lang w:val="ru-RU"/>
              </w:rPr>
            </w:pPr>
            <w:r>
              <w:rPr>
                <w:color w:val="000000"/>
                <w:lang w:val="ru-RU"/>
              </w:rPr>
              <w:t>Для подробного ознакомления с различными мнениями, высказанными в ходе обсуждений, делегатам Совета следует обращаться к этим отчетам.</w:t>
            </w:r>
          </w:p>
          <w:p w14:paraId="313B7F04" w14:textId="77777777" w:rsidR="00796BD3" w:rsidRPr="00A1365F" w:rsidRDefault="0033025A" w:rsidP="00D17718">
            <w:pPr>
              <w:spacing w:before="160"/>
              <w:rPr>
                <w:b/>
                <w:bCs/>
                <w:sz w:val="24"/>
                <w:szCs w:val="24"/>
                <w:lang w:val="ru-RU"/>
              </w:rPr>
            </w:pPr>
            <w:r w:rsidRPr="00A1365F">
              <w:rPr>
                <w:b/>
                <w:bCs/>
                <w:sz w:val="24"/>
                <w:szCs w:val="24"/>
                <w:lang w:val="ru-RU"/>
              </w:rPr>
              <w:t>Необходимые действия Совета</w:t>
            </w:r>
          </w:p>
          <w:p w14:paraId="52848342" w14:textId="255A6FD4" w:rsidR="00796BD3" w:rsidRPr="00A1365F" w:rsidRDefault="00A61D19" w:rsidP="00D17718">
            <w:pPr>
              <w:rPr>
                <w:lang w:val="ru-RU"/>
              </w:rPr>
            </w:pPr>
            <w:r w:rsidRPr="00A1365F">
              <w:rPr>
                <w:color w:val="000000"/>
                <w:lang w:val="ru-RU"/>
              </w:rPr>
              <w:t xml:space="preserve">Совету предлагается </w:t>
            </w:r>
            <w:r w:rsidRPr="00A1365F">
              <w:rPr>
                <w:b/>
                <w:color w:val="000000"/>
                <w:lang w:val="ru-RU"/>
              </w:rPr>
              <w:t>принять к сведению</w:t>
            </w:r>
            <w:r w:rsidRPr="00A1365F">
              <w:rPr>
                <w:color w:val="000000"/>
                <w:lang w:val="ru-RU"/>
              </w:rPr>
              <w:t xml:space="preserve"> результаты работы РГС-ФЛР, а также </w:t>
            </w:r>
            <w:r w:rsidRPr="00A1365F">
              <w:rPr>
                <w:b/>
                <w:color w:val="000000"/>
                <w:lang w:val="ru-RU"/>
              </w:rPr>
              <w:t>рассмотреть</w:t>
            </w:r>
            <w:r w:rsidRPr="00A1365F">
              <w:rPr>
                <w:color w:val="000000"/>
                <w:lang w:val="ru-RU"/>
              </w:rPr>
              <w:t xml:space="preserve"> </w:t>
            </w:r>
            <w:r w:rsidR="009860E5">
              <w:rPr>
                <w:color w:val="000000"/>
                <w:lang w:val="ru-RU"/>
              </w:rPr>
              <w:t>содержащиеся</w:t>
            </w:r>
            <w:r w:rsidRPr="00A1365F">
              <w:rPr>
                <w:color w:val="000000"/>
                <w:lang w:val="ru-RU"/>
              </w:rPr>
              <w:t xml:space="preserve"> в настоящем отчет</w:t>
            </w:r>
            <w:r w:rsidR="009860E5">
              <w:rPr>
                <w:color w:val="000000"/>
                <w:lang w:val="ru-RU"/>
              </w:rPr>
              <w:t>е действия и представить мнения в их отношении, если это необходимо</w:t>
            </w:r>
            <w:r w:rsidRPr="00A1365F">
              <w:rPr>
                <w:color w:val="000000"/>
                <w:lang w:val="ru-RU"/>
              </w:rPr>
              <w:t>.</w:t>
            </w:r>
          </w:p>
          <w:p w14:paraId="40AC6DC4" w14:textId="77777777" w:rsidR="00796BD3" w:rsidRPr="00A1365F" w:rsidRDefault="0033025A" w:rsidP="00D17718">
            <w:pPr>
              <w:spacing w:before="160"/>
              <w:rPr>
                <w:b/>
                <w:bCs/>
                <w:sz w:val="24"/>
                <w:szCs w:val="24"/>
                <w:lang w:val="ru-RU"/>
              </w:rPr>
            </w:pPr>
            <w:r w:rsidRPr="00A1365F">
              <w:rPr>
                <w:b/>
                <w:bCs/>
                <w:sz w:val="24"/>
                <w:szCs w:val="24"/>
                <w:lang w:val="ru-RU"/>
              </w:rPr>
              <w:t>Соответствующая увязка со Стратегическим планом</w:t>
            </w:r>
          </w:p>
          <w:p w14:paraId="31FBDC89" w14:textId="12DF3174" w:rsidR="00796BD3" w:rsidRPr="00A1365F" w:rsidRDefault="00A61D19" w:rsidP="00D17718">
            <w:pPr>
              <w:rPr>
                <w:lang w:val="ru-RU"/>
              </w:rPr>
            </w:pPr>
            <w:r w:rsidRPr="00A1365F">
              <w:rPr>
                <w:color w:val="000000"/>
                <w:lang w:val="ru-RU"/>
              </w:rPr>
              <w:t>Платформы для созыва мероприятий; развитие людских ресурсов и организационные инновации.</w:t>
            </w:r>
          </w:p>
          <w:p w14:paraId="26482F90" w14:textId="77777777" w:rsidR="00796BD3" w:rsidRPr="00A1365F" w:rsidRDefault="0033025A" w:rsidP="00D17718">
            <w:pPr>
              <w:spacing w:before="160"/>
              <w:rPr>
                <w:b/>
                <w:bCs/>
                <w:sz w:val="24"/>
                <w:szCs w:val="24"/>
                <w:lang w:val="ru-RU"/>
              </w:rPr>
            </w:pPr>
            <w:r w:rsidRPr="00A1365F">
              <w:rPr>
                <w:b/>
                <w:bCs/>
                <w:sz w:val="24"/>
                <w:szCs w:val="24"/>
                <w:lang w:val="ru-RU"/>
              </w:rPr>
              <w:t>Финансовые последствия</w:t>
            </w:r>
          </w:p>
          <w:p w14:paraId="3A557F34" w14:textId="6CE18C89" w:rsidR="00345D2A" w:rsidRPr="00A1365F" w:rsidRDefault="00A61D19" w:rsidP="00D17718">
            <w:pPr>
              <w:spacing w:before="160"/>
              <w:rPr>
                <w:szCs w:val="22"/>
                <w:lang w:val="ru-RU"/>
              </w:rPr>
            </w:pPr>
            <w:r w:rsidRPr="00A1365F">
              <w:rPr>
                <w:color w:val="000000"/>
                <w:lang w:val="ru-RU"/>
              </w:rPr>
              <w:t>В рамках выделенного бюджета на 2025−2026 годы.</w:t>
            </w:r>
          </w:p>
          <w:p w14:paraId="7CFDCA33" w14:textId="77777777" w:rsidR="00796BD3" w:rsidRPr="00A1365F" w:rsidRDefault="00796BD3" w:rsidP="00D17718">
            <w:pPr>
              <w:spacing w:before="160"/>
              <w:rPr>
                <w:caps/>
                <w:sz w:val="20"/>
                <w:szCs w:val="18"/>
                <w:lang w:val="ru-RU"/>
              </w:rPr>
            </w:pPr>
            <w:r w:rsidRPr="00A1365F">
              <w:rPr>
                <w:sz w:val="20"/>
                <w:szCs w:val="18"/>
                <w:lang w:val="ru-RU"/>
              </w:rPr>
              <w:t>__________________</w:t>
            </w:r>
          </w:p>
          <w:p w14:paraId="2F42FE57" w14:textId="77777777" w:rsidR="00796BD3" w:rsidRPr="00A1365F" w:rsidRDefault="0033025A" w:rsidP="00D17718">
            <w:pPr>
              <w:spacing w:before="160"/>
              <w:rPr>
                <w:b/>
                <w:bCs/>
                <w:sz w:val="26"/>
                <w:szCs w:val="26"/>
                <w:lang w:val="ru-RU"/>
              </w:rPr>
            </w:pPr>
            <w:r w:rsidRPr="00A1365F">
              <w:rPr>
                <w:b/>
                <w:bCs/>
                <w:sz w:val="24"/>
                <w:szCs w:val="24"/>
                <w:lang w:val="ru-RU"/>
              </w:rPr>
              <w:t>Справочные материалы</w:t>
            </w:r>
          </w:p>
          <w:p w14:paraId="3824142A" w14:textId="55B7D99E" w:rsidR="00796BD3" w:rsidRPr="00A1365F" w:rsidRDefault="00A61D19" w:rsidP="00D17718">
            <w:pPr>
              <w:spacing w:after="160"/>
              <w:rPr>
                <w:i/>
                <w:iCs/>
                <w:lang w:val="ru-RU"/>
              </w:rPr>
            </w:pPr>
            <w:hyperlink r:id="rId9" w:history="1">
              <w:hyperlink r:id="rId10" w:history="1">
                <w:r w:rsidRPr="00A1365F">
                  <w:rPr>
                    <w:rStyle w:val="Hyperlink"/>
                    <w:i/>
                    <w:iCs/>
                    <w:szCs w:val="22"/>
                    <w:lang w:val="ru-RU"/>
                  </w:rPr>
                  <w:t>Решение 563 (Изм., 2023 г.) Совета</w:t>
                </w:r>
              </w:hyperlink>
            </w:hyperlink>
          </w:p>
        </w:tc>
      </w:tr>
      <w:bookmarkEnd w:id="2"/>
      <w:bookmarkEnd w:id="6"/>
    </w:tbl>
    <w:p w14:paraId="6CC2C86E" w14:textId="77777777" w:rsidR="00796BD3" w:rsidRPr="00A1365F" w:rsidRDefault="00796BD3" w:rsidP="00796BD3">
      <w:pPr>
        <w:rPr>
          <w:lang w:val="ru-RU"/>
        </w:rPr>
      </w:pPr>
    </w:p>
    <w:p w14:paraId="0790213F" w14:textId="77777777" w:rsidR="00D17718" w:rsidRPr="00A1365F" w:rsidRDefault="00D17718">
      <w:pPr>
        <w:tabs>
          <w:tab w:val="clear" w:pos="794"/>
          <w:tab w:val="clear" w:pos="1191"/>
          <w:tab w:val="clear" w:pos="1588"/>
          <w:tab w:val="clear" w:pos="1985"/>
        </w:tabs>
        <w:overflowPunct/>
        <w:autoSpaceDE/>
        <w:autoSpaceDN/>
        <w:adjustRightInd/>
        <w:spacing w:before="0"/>
        <w:textAlignment w:val="auto"/>
        <w:rPr>
          <w:lang w:val="ru-RU"/>
        </w:rPr>
      </w:pPr>
    </w:p>
    <w:p w14:paraId="3F5815F9" w14:textId="77777777" w:rsidR="00165D06" w:rsidRPr="00A1365F" w:rsidRDefault="00165D06">
      <w:pPr>
        <w:tabs>
          <w:tab w:val="clear" w:pos="794"/>
          <w:tab w:val="clear" w:pos="1191"/>
          <w:tab w:val="clear" w:pos="1588"/>
          <w:tab w:val="clear" w:pos="1985"/>
        </w:tabs>
        <w:overflowPunct/>
        <w:autoSpaceDE/>
        <w:autoSpaceDN/>
        <w:adjustRightInd/>
        <w:spacing w:before="0"/>
        <w:textAlignment w:val="auto"/>
        <w:rPr>
          <w:lang w:val="ru-RU"/>
        </w:rPr>
      </w:pPr>
      <w:r w:rsidRPr="00A1365F">
        <w:rPr>
          <w:lang w:val="ru-RU"/>
        </w:rPr>
        <w:br w:type="page"/>
      </w:r>
    </w:p>
    <w:p w14:paraId="46A2D7D8" w14:textId="628740EF" w:rsidR="00A61D19" w:rsidRPr="00A1365F" w:rsidRDefault="00A61D19" w:rsidP="00A61D19">
      <w:pPr>
        <w:rPr>
          <w:rFonts w:cs="Calibri"/>
          <w:lang w:val="ru-RU"/>
        </w:rPr>
      </w:pPr>
      <w:r w:rsidRPr="00A1365F">
        <w:rPr>
          <w:lang w:val="ru-RU"/>
        </w:rPr>
        <w:lastRenderedPageBreak/>
        <w:t>Рабочую группу Совета по финансовым и людским ресурсам (РГС-ФЛР) возглавляет г</w:t>
      </w:r>
      <w:r w:rsidR="00A1365F">
        <w:rPr>
          <w:lang w:val="ru-RU"/>
        </w:rPr>
        <w:noBreakHyphen/>
      </w:r>
      <w:r w:rsidRPr="00A1365F">
        <w:rPr>
          <w:lang w:val="ru-RU"/>
        </w:rPr>
        <w:t>жа</w:t>
      </w:r>
      <w:r w:rsidR="00A1365F">
        <w:rPr>
          <w:lang w:val="ru-RU"/>
        </w:rPr>
        <w:t> </w:t>
      </w:r>
      <w:r w:rsidRPr="00A1365F">
        <w:rPr>
          <w:lang w:val="ru-RU"/>
        </w:rPr>
        <w:t xml:space="preserve">Вернита Д. Харрис (Соединенные Штаты Америки), которой оказывают содействие следующие шесть заместителей Председателя: АФР – г-жа </w:t>
      </w:r>
      <w:proofErr w:type="spellStart"/>
      <w:r w:rsidRPr="00A1365F">
        <w:rPr>
          <w:lang w:val="ru-RU"/>
        </w:rPr>
        <w:t>Сейнабу</w:t>
      </w:r>
      <w:proofErr w:type="spellEnd"/>
      <w:r w:rsidRPr="00A1365F">
        <w:rPr>
          <w:lang w:val="ru-RU"/>
        </w:rPr>
        <w:t xml:space="preserve"> Сек </w:t>
      </w:r>
      <w:proofErr w:type="spellStart"/>
      <w:r w:rsidRPr="00A1365F">
        <w:rPr>
          <w:lang w:val="ru-RU"/>
        </w:rPr>
        <w:t>Сиссе</w:t>
      </w:r>
      <w:proofErr w:type="spellEnd"/>
      <w:r w:rsidRPr="00A1365F">
        <w:rPr>
          <w:lang w:val="ru-RU"/>
        </w:rPr>
        <w:t xml:space="preserve"> (Сенегал); АМР − г-н Роналду </w:t>
      </w:r>
      <w:proofErr w:type="spellStart"/>
      <w:r w:rsidRPr="00A1365F">
        <w:rPr>
          <w:lang w:val="ru-RU"/>
        </w:rPr>
        <w:t>Моура</w:t>
      </w:r>
      <w:proofErr w:type="spellEnd"/>
      <w:r w:rsidRPr="00A1365F">
        <w:rPr>
          <w:lang w:val="ru-RU"/>
        </w:rPr>
        <w:t xml:space="preserve"> (Бразилия); АРБ − г-жа </w:t>
      </w:r>
      <w:proofErr w:type="spellStart"/>
      <w:r w:rsidRPr="00A1365F">
        <w:rPr>
          <w:lang w:val="ru-RU"/>
        </w:rPr>
        <w:t>Ноха</w:t>
      </w:r>
      <w:proofErr w:type="spellEnd"/>
      <w:r w:rsidRPr="00A1365F">
        <w:rPr>
          <w:lang w:val="ru-RU"/>
        </w:rPr>
        <w:t xml:space="preserve"> </w:t>
      </w:r>
      <w:proofErr w:type="spellStart"/>
      <w:r w:rsidRPr="00A1365F">
        <w:rPr>
          <w:lang w:val="ru-RU"/>
        </w:rPr>
        <w:t>Гаафар</w:t>
      </w:r>
      <w:proofErr w:type="spellEnd"/>
      <w:r w:rsidRPr="00A1365F">
        <w:rPr>
          <w:lang w:val="ru-RU"/>
        </w:rPr>
        <w:t xml:space="preserve"> (Египет); АТР – г-жа Мин Чон Пак (Корея (Республика)); СНГ − г-н </w:t>
      </w:r>
      <w:proofErr w:type="spellStart"/>
      <w:r w:rsidRPr="00A1365F">
        <w:rPr>
          <w:lang w:val="ru-RU"/>
        </w:rPr>
        <w:t>Эржан</w:t>
      </w:r>
      <w:proofErr w:type="spellEnd"/>
      <w:r w:rsidRPr="00A1365F">
        <w:rPr>
          <w:lang w:val="ru-RU"/>
        </w:rPr>
        <w:t xml:space="preserve"> </w:t>
      </w:r>
      <w:proofErr w:type="spellStart"/>
      <w:r w:rsidRPr="00A1365F">
        <w:rPr>
          <w:lang w:val="ru-RU"/>
        </w:rPr>
        <w:t>Мейрамов</w:t>
      </w:r>
      <w:proofErr w:type="spellEnd"/>
      <w:r w:rsidRPr="00A1365F">
        <w:rPr>
          <w:lang w:val="ru-RU"/>
        </w:rPr>
        <w:t xml:space="preserve"> (Казахстан); ЕВР − г-н </w:t>
      </w:r>
      <w:proofErr w:type="spellStart"/>
      <w:r w:rsidRPr="00A1365F">
        <w:rPr>
          <w:lang w:val="ru-RU"/>
        </w:rPr>
        <w:t>Сабольч</w:t>
      </w:r>
      <w:proofErr w:type="spellEnd"/>
      <w:r w:rsidRPr="00A1365F">
        <w:rPr>
          <w:lang w:val="ru-RU"/>
        </w:rPr>
        <w:t xml:space="preserve"> </w:t>
      </w:r>
      <w:proofErr w:type="spellStart"/>
      <w:r w:rsidRPr="00A1365F">
        <w:rPr>
          <w:lang w:val="ru-RU"/>
        </w:rPr>
        <w:t>Сентлелеки</w:t>
      </w:r>
      <w:proofErr w:type="spellEnd"/>
      <w:r w:rsidRPr="00A1365F">
        <w:rPr>
          <w:lang w:val="ru-RU"/>
        </w:rPr>
        <w:t xml:space="preserve"> (Венгрия).</w:t>
      </w:r>
    </w:p>
    <w:p w14:paraId="703F4A50" w14:textId="77777777" w:rsidR="00A61D19" w:rsidRPr="00A1365F" w:rsidRDefault="00A61D19" w:rsidP="00A61D19">
      <w:pPr>
        <w:pStyle w:val="Heading1"/>
        <w:spacing w:before="240"/>
        <w:rPr>
          <w:lang w:val="ru-RU"/>
        </w:rPr>
      </w:pPr>
      <w:r w:rsidRPr="00A1365F">
        <w:rPr>
          <w:bCs/>
          <w:lang w:val="ru-RU"/>
        </w:rPr>
        <w:t>1</w:t>
      </w:r>
      <w:r w:rsidRPr="00A1365F">
        <w:rPr>
          <w:lang w:val="ru-RU"/>
        </w:rPr>
        <w:tab/>
      </w:r>
      <w:r w:rsidRPr="00A1365F">
        <w:rPr>
          <w:bCs/>
          <w:lang w:val="ru-RU"/>
        </w:rPr>
        <w:t>Заявление Совета персонала (устная презентация)</w:t>
      </w:r>
    </w:p>
    <w:p w14:paraId="4712DEE4" w14:textId="04BB641C" w:rsidR="00A61D19" w:rsidRPr="00A1365F" w:rsidRDefault="00A61D19" w:rsidP="00A61D19">
      <w:pPr>
        <w:rPr>
          <w:lang w:val="ru-RU"/>
        </w:rPr>
      </w:pPr>
      <w:r w:rsidRPr="00A1365F">
        <w:rPr>
          <w:lang w:val="ru-RU"/>
        </w:rPr>
        <w:t>1.1</w:t>
      </w:r>
      <w:r w:rsidRPr="00A1365F">
        <w:rPr>
          <w:lang w:val="ru-RU"/>
        </w:rPr>
        <w:tab/>
        <w:t>На 21-м собрании РГС-ФЛР в сентябре 2025 года председатель Совета персонала г</w:t>
      </w:r>
      <w:r w:rsidR="00A1365F">
        <w:rPr>
          <w:lang w:val="ru-RU"/>
        </w:rPr>
        <w:noBreakHyphen/>
      </w:r>
      <w:r w:rsidRPr="00A1365F">
        <w:rPr>
          <w:lang w:val="ru-RU"/>
        </w:rPr>
        <w:t>н</w:t>
      </w:r>
      <w:r w:rsidR="00A1365F">
        <w:rPr>
          <w:lang w:val="ru-RU"/>
        </w:rPr>
        <w:t> </w:t>
      </w:r>
      <w:proofErr w:type="spellStart"/>
      <w:r w:rsidRPr="00A1365F">
        <w:rPr>
          <w:lang w:val="ru-RU"/>
        </w:rPr>
        <w:t>Ондер</w:t>
      </w:r>
      <w:proofErr w:type="spellEnd"/>
      <w:r w:rsidRPr="00A1365F">
        <w:rPr>
          <w:lang w:val="ru-RU"/>
        </w:rPr>
        <w:t xml:space="preserve"> </w:t>
      </w:r>
      <w:proofErr w:type="spellStart"/>
      <w:r w:rsidRPr="00A1365F">
        <w:rPr>
          <w:lang w:val="ru-RU"/>
        </w:rPr>
        <w:t>Цетинкая</w:t>
      </w:r>
      <w:proofErr w:type="spellEnd"/>
      <w:r w:rsidRPr="00A1365F">
        <w:rPr>
          <w:lang w:val="ru-RU"/>
        </w:rPr>
        <w:t xml:space="preserve"> выступил с заявлением, которое представлено в Документе</w:t>
      </w:r>
      <w:r w:rsidR="00A1365F">
        <w:rPr>
          <w:lang w:val="ru-RU"/>
        </w:rPr>
        <w:t> </w:t>
      </w:r>
      <w:hyperlink r:id="rId11" w:history="1">
        <w:r w:rsidRPr="00A1365F">
          <w:rPr>
            <w:rStyle w:val="Hyperlink"/>
            <w:rFonts w:eastAsia="Aptos"/>
            <w:lang w:val="ru-RU"/>
          </w:rPr>
          <w:t>CWG</w:t>
        </w:r>
        <w:r w:rsidR="00A1365F">
          <w:rPr>
            <w:rStyle w:val="Hyperlink"/>
            <w:rFonts w:eastAsia="Aptos"/>
            <w:lang w:val="ru-RU"/>
          </w:rPr>
          <w:noBreakHyphen/>
        </w:r>
        <w:r w:rsidRPr="00A1365F">
          <w:rPr>
            <w:rStyle w:val="Hyperlink"/>
            <w:rFonts w:eastAsia="Aptos"/>
            <w:lang w:val="ru-RU"/>
          </w:rPr>
          <w:t>FHR</w:t>
        </w:r>
        <w:r w:rsidR="00A1365F">
          <w:rPr>
            <w:rStyle w:val="Hyperlink"/>
            <w:rFonts w:eastAsia="Aptos"/>
            <w:lang w:val="ru-RU"/>
          </w:rPr>
          <w:noBreakHyphen/>
        </w:r>
        <w:r w:rsidRPr="00A1365F">
          <w:rPr>
            <w:rStyle w:val="Hyperlink"/>
            <w:rFonts w:eastAsia="Aptos"/>
            <w:lang w:val="ru-RU"/>
          </w:rPr>
          <w:t>21/INF/3</w:t>
        </w:r>
      </w:hyperlink>
      <w:r w:rsidRPr="00A1365F">
        <w:rPr>
          <w:lang w:val="ru-RU"/>
        </w:rPr>
        <w:t>.</w:t>
      </w:r>
      <w:hyperlink r:id="rId12" w:history="1"/>
    </w:p>
    <w:p w14:paraId="78327F01" w14:textId="4A68ED98" w:rsidR="009F39BD" w:rsidRPr="00A1365F" w:rsidRDefault="00A61D19" w:rsidP="009F39BD">
      <w:pPr>
        <w:spacing w:after="120"/>
        <w:rPr>
          <w:lang w:val="ru-RU"/>
        </w:rPr>
      </w:pPr>
      <w:r w:rsidRPr="00A1365F">
        <w:rPr>
          <w:lang w:val="ru-RU"/>
        </w:rPr>
        <w:t>1.2</w:t>
      </w:r>
      <w:r w:rsidRPr="00A1365F">
        <w:rPr>
          <w:lang w:val="ru-RU"/>
        </w:rPr>
        <w:tab/>
        <w:t>На 22-м собрании РГС-ФЛР в январе 2026 года председатель Совета персонала г</w:t>
      </w:r>
      <w:r w:rsidR="00A1365F">
        <w:rPr>
          <w:lang w:val="ru-RU"/>
        </w:rPr>
        <w:noBreakHyphen/>
      </w:r>
      <w:r w:rsidRPr="00A1365F">
        <w:rPr>
          <w:lang w:val="ru-RU"/>
        </w:rPr>
        <w:t>н</w:t>
      </w:r>
      <w:r w:rsidR="00A1365F">
        <w:rPr>
          <w:lang w:val="ru-RU"/>
        </w:rPr>
        <w:t> </w:t>
      </w:r>
      <w:proofErr w:type="spellStart"/>
      <w:r w:rsidRPr="00A1365F">
        <w:rPr>
          <w:lang w:val="ru-RU"/>
        </w:rPr>
        <w:t>Ондер</w:t>
      </w:r>
      <w:proofErr w:type="spellEnd"/>
      <w:r w:rsidRPr="00A1365F">
        <w:rPr>
          <w:lang w:val="ru-RU"/>
        </w:rPr>
        <w:t xml:space="preserve"> </w:t>
      </w:r>
      <w:proofErr w:type="spellStart"/>
      <w:r w:rsidRPr="00A1365F">
        <w:rPr>
          <w:lang w:val="ru-RU"/>
        </w:rPr>
        <w:t>Цетинкая</w:t>
      </w:r>
      <w:proofErr w:type="spellEnd"/>
      <w:r w:rsidRPr="00A1365F">
        <w:rPr>
          <w:lang w:val="ru-RU"/>
        </w:rPr>
        <w:t xml:space="preserve"> выступил с заявлением, которое представлено в Документе</w:t>
      </w:r>
      <w:r w:rsidR="00A1365F">
        <w:rPr>
          <w:lang w:val="ru-RU"/>
        </w:rPr>
        <w:t> </w:t>
      </w:r>
      <w:hyperlink r:id="rId13" w:history="1">
        <w:r w:rsidRPr="00A1365F">
          <w:rPr>
            <w:rStyle w:val="Hyperlink"/>
            <w:rFonts w:eastAsia="Aptos"/>
            <w:lang w:val="ru-RU"/>
          </w:rPr>
          <w:t>CWG</w:t>
        </w:r>
        <w:r w:rsidR="00A1365F">
          <w:rPr>
            <w:rStyle w:val="Hyperlink"/>
            <w:rFonts w:eastAsia="Aptos"/>
            <w:lang w:val="ru-RU"/>
          </w:rPr>
          <w:noBreakHyphen/>
        </w:r>
        <w:r w:rsidRPr="00A1365F">
          <w:rPr>
            <w:rStyle w:val="Hyperlink"/>
            <w:rFonts w:eastAsia="Aptos"/>
            <w:lang w:val="ru-RU"/>
          </w:rPr>
          <w:t>FHR</w:t>
        </w:r>
        <w:r w:rsidR="00A1365F">
          <w:rPr>
            <w:rStyle w:val="Hyperlink"/>
            <w:rFonts w:eastAsia="Aptos"/>
            <w:lang w:val="ru-RU"/>
          </w:rPr>
          <w:noBreakHyphen/>
        </w:r>
        <w:r w:rsidRPr="00A1365F">
          <w:rPr>
            <w:rStyle w:val="Hyperlink"/>
            <w:rFonts w:eastAsia="Aptos"/>
            <w:lang w:val="ru-RU"/>
          </w:rPr>
          <w:t>22/INF/4</w:t>
        </w:r>
      </w:hyperlink>
      <w:r w:rsidRPr="00A1365F">
        <w:rPr>
          <w:lang w:val="ru-RU"/>
        </w:rPr>
        <w:t>.</w:t>
      </w:r>
    </w:p>
    <w:tbl>
      <w:tblPr>
        <w:tblStyle w:val="TableGrid"/>
        <w:tblW w:w="0" w:type="auto"/>
        <w:tblLook w:val="04A0" w:firstRow="1" w:lastRow="0" w:firstColumn="1" w:lastColumn="0" w:noHBand="0" w:noVBand="1"/>
      </w:tblPr>
      <w:tblGrid>
        <w:gridCol w:w="9061"/>
      </w:tblGrid>
      <w:tr w:rsidR="009F39BD" w:rsidRPr="005E4138" w14:paraId="4BEA373E" w14:textId="77777777" w:rsidTr="009F39BD">
        <w:tc>
          <w:tcPr>
            <w:tcW w:w="9061" w:type="dxa"/>
          </w:tcPr>
          <w:p w14:paraId="16656BEE" w14:textId="0B6964F7" w:rsidR="009F39BD" w:rsidRPr="00A1365F" w:rsidRDefault="009F39BD" w:rsidP="009F39BD">
            <w:pPr>
              <w:spacing w:after="120"/>
              <w:rPr>
                <w:lang w:val="ru-RU"/>
              </w:rPr>
            </w:pPr>
            <w:r w:rsidRPr="00A1365F">
              <w:rPr>
                <w:lang w:val="ru-RU"/>
              </w:rPr>
              <w:t>1.3</w:t>
            </w:r>
            <w:r w:rsidRPr="00A1365F">
              <w:rPr>
                <w:lang w:val="ru-RU"/>
              </w:rPr>
              <w:tab/>
              <w:t xml:space="preserve">РГС-ФЛР </w:t>
            </w:r>
            <w:r w:rsidRPr="00A1365F">
              <w:rPr>
                <w:b/>
                <w:lang w:val="ru-RU"/>
              </w:rPr>
              <w:t>рекомендовала</w:t>
            </w:r>
            <w:r w:rsidRPr="00A1365F">
              <w:rPr>
                <w:lang w:val="ru-RU"/>
              </w:rPr>
              <w:t xml:space="preserve"> секретариату включить в Отчет об управлении людскими ресурсами специальный раздел, посвященный вопросам, возникающим в региональных и зональных отделениях.</w:t>
            </w:r>
          </w:p>
        </w:tc>
      </w:tr>
    </w:tbl>
    <w:p w14:paraId="7913FAB1" w14:textId="77777777" w:rsidR="00A61D19" w:rsidRPr="00A1365F" w:rsidRDefault="00A61D19" w:rsidP="00A61D19">
      <w:pPr>
        <w:pStyle w:val="Heading1"/>
        <w:spacing w:before="240"/>
        <w:rPr>
          <w:lang w:val="ru-RU"/>
        </w:rPr>
      </w:pPr>
      <w:r w:rsidRPr="00A1365F">
        <w:rPr>
          <w:bCs/>
          <w:lang w:val="ru-RU"/>
        </w:rPr>
        <w:t>2</w:t>
      </w:r>
      <w:r w:rsidRPr="00A1365F">
        <w:rPr>
          <w:lang w:val="ru-RU"/>
        </w:rPr>
        <w:tab/>
        <w:t xml:space="preserve">Кодекс поведения на мероприятиях МСЭ (Документы </w:t>
      </w:r>
      <w:hyperlink r:id="rId14" w:history="1">
        <w:r w:rsidRPr="00A1365F">
          <w:rPr>
            <w:rStyle w:val="Hyperlink"/>
            <w:rFonts w:cs="Times New Roman Bold"/>
            <w:spacing w:val="-2"/>
            <w:lang w:val="ru-RU"/>
          </w:rPr>
          <w:t>CWG-FHR-21/2</w:t>
        </w:r>
      </w:hyperlink>
      <w:r w:rsidRPr="00A1365F">
        <w:rPr>
          <w:lang w:val="ru-RU"/>
        </w:rPr>
        <w:t xml:space="preserve">, </w:t>
      </w:r>
      <w:hyperlink r:id="rId15" w:history="1">
        <w:r w:rsidRPr="00A1365F">
          <w:rPr>
            <w:rStyle w:val="Hyperlink"/>
            <w:rFonts w:cs="Times New Roman Bold"/>
            <w:spacing w:val="-2"/>
            <w:lang w:val="ru-RU"/>
          </w:rPr>
          <w:t>CWG-FHR-21/INF/2</w:t>
        </w:r>
      </w:hyperlink>
      <w:r w:rsidRPr="00A1365F">
        <w:rPr>
          <w:lang w:val="ru-RU"/>
        </w:rPr>
        <w:t xml:space="preserve"> и устная презентация)</w:t>
      </w:r>
      <w:hyperlink r:id="rId16" w:history="1"/>
      <w:hyperlink r:id="rId17" w:history="1"/>
    </w:p>
    <w:p w14:paraId="0E855CC7" w14:textId="77777777" w:rsidR="00A61D19" w:rsidRPr="00A1365F" w:rsidRDefault="00A61D19" w:rsidP="00A61D19">
      <w:pPr>
        <w:rPr>
          <w:lang w:val="ru-RU"/>
        </w:rPr>
      </w:pPr>
      <w:r w:rsidRPr="00A1365F">
        <w:rPr>
          <w:lang w:val="ru-RU"/>
        </w:rPr>
        <w:t>2.1</w:t>
      </w:r>
      <w:r w:rsidRPr="00A1365F">
        <w:rPr>
          <w:lang w:val="ru-RU"/>
        </w:rPr>
        <w:tab/>
        <w:t>На 21-м собрании РГС-ФЛР в сентябре 2025 года Секретариат представил документ (</w:t>
      </w:r>
      <w:hyperlink r:id="rId18">
        <w:r w:rsidRPr="00A1365F">
          <w:rPr>
            <w:rStyle w:val="Hyperlink"/>
            <w:lang w:val="ru-RU"/>
          </w:rPr>
          <w:t>CWG-FHR-21/2</w:t>
        </w:r>
      </w:hyperlink>
      <w:r w:rsidRPr="00A1365F">
        <w:rPr>
          <w:lang w:val="ru-RU"/>
        </w:rPr>
        <w:t>), в котором излагалась процедура подачи и рассмотрения официальных жалоб. Это предложение вызвало обеспокоенность делегатов. Основные возражения касались предлагаемой роли Подразделения по надзору в рассмотрении жалоб, которая, по мнению делегатов, противоречит полномочиям Государств-Членов применять дисциплинарные меры в отношении своих делегатов. Кроме того, были высказаны опасения по поводу отсутствия надлежащей правовой процедуры в отношении лиц, подозреваемых в нарушениях, и возможности того, что план может стать юридически обязывающим документом. В ходе этого обсуждения несколько делегатов заявили, что существующий Кодекс поведения ООН является достаточным, и обратились с просьбой предоставить статистические данные по имевшим место в прошлом нарушениям.</w:t>
      </w:r>
      <w:hyperlink r:id="rId19"/>
    </w:p>
    <w:p w14:paraId="2D44F72A" w14:textId="77777777" w:rsidR="00A61D19" w:rsidRPr="00A1365F" w:rsidRDefault="00A61D19" w:rsidP="00A61D19">
      <w:pPr>
        <w:rPr>
          <w:lang w:val="ru-RU"/>
        </w:rPr>
      </w:pPr>
      <w:r w:rsidRPr="00A1365F">
        <w:rPr>
          <w:lang w:val="ru-RU"/>
        </w:rPr>
        <w:t>2.2</w:t>
      </w:r>
      <w:r w:rsidRPr="00A1365F">
        <w:rPr>
          <w:lang w:val="ru-RU"/>
        </w:rPr>
        <w:tab/>
        <w:t>Председатель приняла к сведению высказанные опасения и сделала вывод о том, что предложение требует пересмотра. Она обратилась к Секретариату с просьбой исключить Подразделение по надзору из процесса и подготовить пересмотренный план осуществления, который должен быть представлен на 22-м собрании РГС-ФЛР. Кроме того, Председатель подтвердила, что существующий Кодекс поведения ООН остается в силе.</w:t>
      </w:r>
    </w:p>
    <w:p w14:paraId="49CADAED" w14:textId="77777777" w:rsidR="00A61D19" w:rsidRPr="00A1365F" w:rsidRDefault="00A61D19" w:rsidP="00A61D19">
      <w:pPr>
        <w:rPr>
          <w:lang w:val="ru-RU"/>
        </w:rPr>
      </w:pPr>
      <w:r w:rsidRPr="00A1365F">
        <w:rPr>
          <w:lang w:val="ru-RU"/>
        </w:rPr>
        <w:t>2.3</w:t>
      </w:r>
      <w:r w:rsidRPr="00A1365F">
        <w:rPr>
          <w:lang w:val="ru-RU"/>
        </w:rPr>
        <w:tab/>
        <w:t>На 22-м собрании РГС-ФЛР секретариат представил в устной форме обновленную информацию о пересмотренном плане осуществления. В новом плане основное внимание уделяется упреждающим профилактическим мерам и четким каналам информирования; план предусматривает реализацию двух основных инициатив:</w:t>
      </w:r>
    </w:p>
    <w:p w14:paraId="063D99AE" w14:textId="1EBCC61D" w:rsidR="00A61D19" w:rsidRPr="00A1365F" w:rsidRDefault="00A61D19" w:rsidP="009F39BD">
      <w:pPr>
        <w:pStyle w:val="enumlev1"/>
        <w:rPr>
          <w:rFonts w:cs="Calibri"/>
          <w:lang w:val="ru-RU"/>
        </w:rPr>
      </w:pPr>
      <w:r w:rsidRPr="00A1365F">
        <w:rPr>
          <w:rFonts w:ascii="Symbol" w:eastAsia="Symbol" w:hAnsi="Symbol" w:cs="Symbol"/>
          <w:lang w:val="ru-RU"/>
        </w:rPr>
        <w:t></w:t>
      </w:r>
      <w:r w:rsidRPr="00A1365F">
        <w:rPr>
          <w:rFonts w:cs="Calibri"/>
          <w:lang w:val="ru-RU"/>
        </w:rPr>
        <w:tab/>
      </w:r>
      <w:r w:rsidR="00D02891">
        <w:rPr>
          <w:rFonts w:cs="Calibri"/>
          <w:lang w:val="ru-RU"/>
        </w:rPr>
        <w:t>о</w:t>
      </w:r>
      <w:r w:rsidRPr="00A1365F">
        <w:rPr>
          <w:rFonts w:cs="Calibri"/>
          <w:lang w:val="ru-RU"/>
        </w:rPr>
        <w:t>знакомительный в</w:t>
      </w:r>
      <w:r w:rsidRPr="00A1365F">
        <w:rPr>
          <w:lang w:val="ru-RU"/>
        </w:rPr>
        <w:t>идеоролик для повышения уровня осведомленности, который будет прилагаться к информации о мероприятии</w:t>
      </w:r>
      <w:r w:rsidR="00D02891">
        <w:rPr>
          <w:lang w:val="ru-RU"/>
        </w:rPr>
        <w:t>;</w:t>
      </w:r>
    </w:p>
    <w:p w14:paraId="043D6B0D" w14:textId="0E13BD09" w:rsidR="00A61D19" w:rsidRPr="00A1365F" w:rsidRDefault="00A61D19" w:rsidP="009F39BD">
      <w:pPr>
        <w:pStyle w:val="enumlev1"/>
        <w:rPr>
          <w:rFonts w:cs="Calibri"/>
          <w:lang w:val="ru-RU"/>
        </w:rPr>
      </w:pPr>
      <w:r w:rsidRPr="00A1365F">
        <w:rPr>
          <w:rFonts w:ascii="Symbol" w:eastAsia="Symbol" w:hAnsi="Symbol" w:cs="Symbol"/>
          <w:lang w:val="ru-RU"/>
        </w:rPr>
        <w:t></w:t>
      </w:r>
      <w:r w:rsidRPr="00A1365F">
        <w:rPr>
          <w:rFonts w:cs="Calibri"/>
          <w:lang w:val="ru-RU"/>
        </w:rPr>
        <w:tab/>
      </w:r>
      <w:r w:rsidR="00D02891">
        <w:rPr>
          <w:lang w:val="ru-RU"/>
        </w:rPr>
        <w:t>н</w:t>
      </w:r>
      <w:r w:rsidRPr="00A1365F">
        <w:rPr>
          <w:lang w:val="ru-RU"/>
        </w:rPr>
        <w:t>овая конфиденциальная линия связи, позволяющая участникам сообщать о</w:t>
      </w:r>
      <w:r w:rsidR="00D02891">
        <w:rPr>
          <w:lang w:val="ru-RU"/>
        </w:rPr>
        <w:t> </w:t>
      </w:r>
      <w:r w:rsidRPr="00A1365F">
        <w:rPr>
          <w:lang w:val="ru-RU"/>
        </w:rPr>
        <w:t>проблемах или обращаться за консультацией.</w:t>
      </w:r>
    </w:p>
    <w:p w14:paraId="1458A958" w14:textId="29EB9CDA" w:rsidR="009F39BD" w:rsidRPr="00A1365F" w:rsidRDefault="00A61D19" w:rsidP="009F39BD">
      <w:pPr>
        <w:spacing w:after="120"/>
        <w:rPr>
          <w:lang w:val="ru-RU"/>
        </w:rPr>
      </w:pPr>
      <w:r w:rsidRPr="00A1365F">
        <w:rPr>
          <w:lang w:val="ru-RU"/>
        </w:rPr>
        <w:t>2.4</w:t>
      </w:r>
      <w:r w:rsidRPr="00A1365F">
        <w:rPr>
          <w:lang w:val="ru-RU"/>
        </w:rPr>
        <w:tab/>
        <w:t xml:space="preserve">Секретариат проинформировал делегатов о том, что оба ресурса размещены на </w:t>
      </w:r>
      <w:hyperlink r:id="rId20" w:history="1">
        <w:r w:rsidRPr="00A1365F">
          <w:rPr>
            <w:rStyle w:val="Hyperlink"/>
            <w:lang w:val="ru-RU"/>
          </w:rPr>
          <w:t>веб</w:t>
        </w:r>
        <w:r w:rsidR="00D02891">
          <w:rPr>
            <w:rStyle w:val="Hyperlink"/>
            <w:lang w:val="ru-RU"/>
          </w:rPr>
          <w:noBreakHyphen/>
        </w:r>
        <w:r w:rsidRPr="00A1365F">
          <w:rPr>
            <w:rStyle w:val="Hyperlink"/>
            <w:lang w:val="ru-RU"/>
          </w:rPr>
          <w:t>сайте МСЭ, посвященном вопросам этики</w:t>
        </w:r>
      </w:hyperlink>
      <w:r w:rsidRPr="00A1365F">
        <w:rPr>
          <w:lang w:val="ru-RU"/>
        </w:rPr>
        <w:t xml:space="preserve">; кроме того, они также будут доступны по ссылкам на страницах с информацией о конкретных мероприятиях. Председатель РГС-ФЛР отметила, что на Всемирной конференции по развитию электросвязи (ВКРЭ-25) Кодекс </w:t>
      </w:r>
      <w:r w:rsidRPr="00A1365F">
        <w:rPr>
          <w:lang w:val="ru-RU"/>
        </w:rPr>
        <w:lastRenderedPageBreak/>
        <w:t>поведения был зачитан участникам вслух перед началом пленарного заседания. В ходе представления этой обновленной информации один из делегатов вновь выразил обеспокоенность по поводу того, что на это тратится время, отведенное для собрания, и отметил, что предыдущие запросы о предоставлении данных о нарушениях и ложных обвинениях остались без ответа.</w:t>
      </w:r>
    </w:p>
    <w:tbl>
      <w:tblPr>
        <w:tblStyle w:val="TableGrid"/>
        <w:tblW w:w="0" w:type="auto"/>
        <w:tblLook w:val="04A0" w:firstRow="1" w:lastRow="0" w:firstColumn="1" w:lastColumn="0" w:noHBand="0" w:noVBand="1"/>
      </w:tblPr>
      <w:tblGrid>
        <w:gridCol w:w="9061"/>
      </w:tblGrid>
      <w:tr w:rsidR="009F39BD" w:rsidRPr="005E4138" w14:paraId="5EA1E8DB" w14:textId="77777777" w:rsidTr="00567B8B">
        <w:tc>
          <w:tcPr>
            <w:tcW w:w="9061" w:type="dxa"/>
          </w:tcPr>
          <w:p w14:paraId="3DED960B" w14:textId="357C4DCD" w:rsidR="009F39BD" w:rsidRPr="00A1365F" w:rsidRDefault="009F39BD" w:rsidP="00567B8B">
            <w:pPr>
              <w:spacing w:after="120"/>
              <w:rPr>
                <w:lang w:val="ru-RU"/>
              </w:rPr>
            </w:pPr>
            <w:r w:rsidRPr="00A1365F">
              <w:rPr>
                <w:lang w:val="ru-RU"/>
              </w:rPr>
              <w:t>2.5</w:t>
            </w:r>
            <w:r w:rsidRPr="00A1365F">
              <w:rPr>
                <w:lang w:val="ru-RU"/>
              </w:rPr>
              <w:tab/>
              <w:t xml:space="preserve">РГС-ФЛР </w:t>
            </w:r>
            <w:r w:rsidRPr="00A1365F">
              <w:rPr>
                <w:b/>
                <w:lang w:val="ru-RU"/>
              </w:rPr>
              <w:t>рекомендует</w:t>
            </w:r>
            <w:r w:rsidRPr="00A1365F">
              <w:rPr>
                <w:lang w:val="ru-RU"/>
              </w:rPr>
              <w:t xml:space="preserve"> Совету поручить зачитывать Кодекс поведения ООН перед любым собранием, конференцией или ассамблеей Союза</w:t>
            </w:r>
            <w:r w:rsidR="009860E5">
              <w:rPr>
                <w:lang w:val="ru-RU"/>
              </w:rPr>
              <w:t xml:space="preserve">, </w:t>
            </w:r>
            <w:r w:rsidR="009860E5" w:rsidRPr="009860E5">
              <w:rPr>
                <w:lang w:val="ru-RU"/>
              </w:rPr>
              <w:t>а также включа</w:t>
            </w:r>
            <w:r w:rsidR="009860E5">
              <w:rPr>
                <w:lang w:val="ru-RU"/>
              </w:rPr>
              <w:t>ть его</w:t>
            </w:r>
            <w:r w:rsidR="009860E5" w:rsidRPr="009860E5">
              <w:rPr>
                <w:lang w:val="ru-RU"/>
              </w:rPr>
              <w:t xml:space="preserve"> в проце</w:t>
            </w:r>
            <w:r w:rsidR="009860E5">
              <w:rPr>
                <w:lang w:val="ru-RU"/>
              </w:rPr>
              <w:t>дуру</w:t>
            </w:r>
            <w:r w:rsidR="009860E5" w:rsidRPr="009860E5">
              <w:rPr>
                <w:lang w:val="ru-RU"/>
              </w:rPr>
              <w:t xml:space="preserve"> регистрации (т. е. в качестве </w:t>
            </w:r>
            <w:r w:rsidR="00580CA8">
              <w:rPr>
                <w:lang w:val="ru-RU"/>
              </w:rPr>
              <w:t>флажка</w:t>
            </w:r>
            <w:r w:rsidR="009860E5" w:rsidRPr="009860E5">
              <w:rPr>
                <w:lang w:val="ru-RU"/>
              </w:rPr>
              <w:t xml:space="preserve"> в форме регистраци</w:t>
            </w:r>
            <w:r w:rsidR="009860E5">
              <w:rPr>
                <w:lang w:val="ru-RU"/>
              </w:rPr>
              <w:t>и</w:t>
            </w:r>
            <w:r w:rsidR="009860E5" w:rsidRPr="009860E5">
              <w:rPr>
                <w:lang w:val="ru-RU"/>
              </w:rPr>
              <w:t xml:space="preserve"> </w:t>
            </w:r>
            <w:r w:rsidR="009860E5">
              <w:rPr>
                <w:lang w:val="ru-RU"/>
              </w:rPr>
              <w:t>на</w:t>
            </w:r>
            <w:r w:rsidR="009860E5" w:rsidRPr="009860E5">
              <w:rPr>
                <w:lang w:val="ru-RU"/>
              </w:rPr>
              <w:t xml:space="preserve"> мероприяти</w:t>
            </w:r>
            <w:r w:rsidR="009860E5">
              <w:rPr>
                <w:lang w:val="ru-RU"/>
              </w:rPr>
              <w:t>е</w:t>
            </w:r>
            <w:r w:rsidR="009860E5" w:rsidRPr="009860E5">
              <w:rPr>
                <w:lang w:val="ru-RU"/>
              </w:rPr>
              <w:t>)</w:t>
            </w:r>
            <w:r w:rsidRPr="00A1365F">
              <w:rPr>
                <w:lang w:val="ru-RU"/>
              </w:rPr>
              <w:t>.</w:t>
            </w:r>
          </w:p>
        </w:tc>
      </w:tr>
    </w:tbl>
    <w:p w14:paraId="512DBF9B" w14:textId="301338CC" w:rsidR="00A61D19" w:rsidRPr="00A1365F" w:rsidRDefault="00A61D19" w:rsidP="00A61D19">
      <w:pPr>
        <w:pStyle w:val="Heading1"/>
        <w:rPr>
          <w:lang w:val="ru-RU"/>
        </w:rPr>
      </w:pPr>
      <w:r w:rsidRPr="00A1365F">
        <w:rPr>
          <w:bCs/>
          <w:lang w:val="ru-RU"/>
        </w:rPr>
        <w:t>3</w:t>
      </w:r>
      <w:r w:rsidRPr="00A1365F">
        <w:rPr>
          <w:lang w:val="ru-RU"/>
        </w:rPr>
        <w:tab/>
        <w:t xml:space="preserve">Методика представления оценок финансовых последствий предлагаемых решений и резолюций на конференциях и ассамблеях МСЭ (Документы </w:t>
      </w:r>
      <w:hyperlink r:id="rId21" w:history="1">
        <w:r w:rsidRPr="00A1365F">
          <w:rPr>
            <w:rStyle w:val="Hyperlink"/>
            <w:lang w:val="ru-RU"/>
          </w:rPr>
          <w:t>CWG-FHR-21/3</w:t>
        </w:r>
      </w:hyperlink>
      <w:r w:rsidR="00A1365F">
        <w:rPr>
          <w:lang w:val="ru-RU"/>
        </w:rPr>
        <w:t xml:space="preserve"> </w:t>
      </w:r>
      <w:r w:rsidRPr="00A1365F">
        <w:rPr>
          <w:lang w:val="ru-RU"/>
        </w:rPr>
        <w:t xml:space="preserve">и </w:t>
      </w:r>
      <w:hyperlink r:id="rId22" w:history="1">
        <w:r w:rsidRPr="00A1365F">
          <w:rPr>
            <w:rStyle w:val="Hyperlink"/>
            <w:lang w:val="ru-RU"/>
          </w:rPr>
          <w:t>CWG-FHR-22/13</w:t>
        </w:r>
      </w:hyperlink>
      <w:r w:rsidRPr="00A1365F">
        <w:rPr>
          <w:lang w:val="ru-RU"/>
        </w:rPr>
        <w:t xml:space="preserve">) и ежегодные бюджетные последствия выполнения Резолюций ВКРЭ 2025 года (Документ </w:t>
      </w:r>
      <w:hyperlink r:id="rId23" w:history="1">
        <w:r w:rsidRPr="00A1365F">
          <w:rPr>
            <w:rStyle w:val="Hyperlink"/>
            <w:lang w:val="ru-RU"/>
          </w:rPr>
          <w:t>CWG-FHR-22/7</w:t>
        </w:r>
      </w:hyperlink>
      <w:r w:rsidRPr="00A1365F">
        <w:rPr>
          <w:lang w:val="ru-RU"/>
        </w:rPr>
        <w:t>)</w:t>
      </w:r>
      <w:hyperlink r:id="rId24" w:history="1"/>
      <w:hyperlink r:id="rId25" w:history="1"/>
      <w:hyperlink r:id="rId26" w:history="1"/>
    </w:p>
    <w:p w14:paraId="631C7007" w14:textId="5E23CD4C" w:rsidR="00A61D19" w:rsidRDefault="00A61D19" w:rsidP="00A61D19">
      <w:pPr>
        <w:rPr>
          <w:lang w:val="ru-RU"/>
        </w:rPr>
      </w:pPr>
      <w:r w:rsidRPr="00A1365F">
        <w:rPr>
          <w:lang w:val="ru-RU"/>
        </w:rPr>
        <w:t>3.1</w:t>
      </w:r>
      <w:r w:rsidRPr="00A1365F">
        <w:rPr>
          <w:lang w:val="ru-RU"/>
        </w:rPr>
        <w:tab/>
        <w:t>Делегаты 21-го и 22-го собраний РГС-ФЛР обсудили вопрос о разработке официальной методики оценки финансовых последствий предлагаемых на конференциях МСЭ решений и резолюций в соответствии со Статьей 34 Конвенции</w:t>
      </w:r>
      <w:r w:rsidR="00580CA8">
        <w:rPr>
          <w:lang w:val="ru-RU"/>
        </w:rPr>
        <w:t xml:space="preserve"> МСЭ</w:t>
      </w:r>
      <w:r w:rsidRPr="00A1365F">
        <w:rPr>
          <w:lang w:val="ru-RU"/>
        </w:rPr>
        <w:t>.</w:t>
      </w:r>
      <w:r w:rsidR="00580CA8">
        <w:rPr>
          <w:lang w:val="ru-RU"/>
        </w:rPr>
        <w:t xml:space="preserve"> </w:t>
      </w:r>
      <w:r w:rsidR="00580CA8" w:rsidRPr="00580CA8">
        <w:rPr>
          <w:lang w:val="ru-RU"/>
        </w:rPr>
        <w:t xml:space="preserve">В Статье 34 Конвенции требуется, </w:t>
      </w:r>
      <w:proofErr w:type="gramStart"/>
      <w:r w:rsidR="00580CA8" w:rsidRPr="00580CA8">
        <w:rPr>
          <w:lang w:val="ru-RU"/>
        </w:rPr>
        <w:t>чтобы</w:t>
      </w:r>
      <w:r w:rsidR="00580CA8">
        <w:rPr>
          <w:lang w:val="ru-RU"/>
        </w:rPr>
        <w:t xml:space="preserve"> прежде чем</w:t>
      </w:r>
      <w:proofErr w:type="gramEnd"/>
      <w:r w:rsidR="00580CA8">
        <w:rPr>
          <w:lang w:val="ru-RU"/>
        </w:rPr>
        <w:t xml:space="preserve"> принимать</w:t>
      </w:r>
      <w:r w:rsidR="00580CA8" w:rsidRPr="00580CA8">
        <w:rPr>
          <w:lang w:val="ru-RU"/>
        </w:rPr>
        <w:t xml:space="preserve"> предложени</w:t>
      </w:r>
      <w:r w:rsidR="00580CA8">
        <w:rPr>
          <w:lang w:val="ru-RU"/>
        </w:rPr>
        <w:t>я,</w:t>
      </w:r>
      <w:r w:rsidR="00580CA8" w:rsidRPr="00580CA8">
        <w:rPr>
          <w:lang w:val="ru-RU"/>
        </w:rPr>
        <w:t xml:space="preserve"> конференции Союза удостовер</w:t>
      </w:r>
      <w:r w:rsidR="00580CA8">
        <w:rPr>
          <w:lang w:val="ru-RU"/>
        </w:rPr>
        <w:t>я</w:t>
      </w:r>
      <w:r w:rsidR="00580CA8" w:rsidRPr="00580CA8">
        <w:rPr>
          <w:lang w:val="ru-RU"/>
        </w:rPr>
        <w:t>лись, что они</w:t>
      </w:r>
      <w:r w:rsidR="00580CA8">
        <w:rPr>
          <w:lang w:val="ru-RU"/>
        </w:rPr>
        <w:t xml:space="preserve"> не</w:t>
      </w:r>
      <w:r w:rsidR="00580CA8" w:rsidRPr="00580CA8">
        <w:rPr>
          <w:lang w:val="ru-RU"/>
        </w:rPr>
        <w:t xml:space="preserve"> </w:t>
      </w:r>
      <w:r w:rsidR="00604C79">
        <w:rPr>
          <w:lang w:val="ru-RU"/>
        </w:rPr>
        <w:t>имею</w:t>
      </w:r>
      <w:r w:rsidR="0009725A">
        <w:rPr>
          <w:lang w:val="ru-RU"/>
        </w:rPr>
        <w:t>т</w:t>
      </w:r>
      <w:r w:rsidR="00604C79">
        <w:rPr>
          <w:lang w:val="ru-RU"/>
        </w:rPr>
        <w:t xml:space="preserve"> финансовые последствия</w:t>
      </w:r>
      <w:r w:rsidR="00580CA8" w:rsidRPr="00580CA8">
        <w:rPr>
          <w:lang w:val="ru-RU"/>
        </w:rPr>
        <w:t>, превышающие кредиты, которые Совет вправе разрешить.</w:t>
      </w:r>
    </w:p>
    <w:p w14:paraId="5502AAC3" w14:textId="78E16195" w:rsidR="00A61D19" w:rsidRPr="00A1365F" w:rsidRDefault="00A61D19" w:rsidP="00A61D19">
      <w:pPr>
        <w:rPr>
          <w:lang w:val="ru-RU"/>
        </w:rPr>
      </w:pPr>
      <w:r w:rsidRPr="00A1365F">
        <w:rPr>
          <w:lang w:val="ru-RU"/>
        </w:rPr>
        <w:t>3.2</w:t>
      </w:r>
      <w:r w:rsidRPr="00A1365F">
        <w:rPr>
          <w:lang w:val="ru-RU"/>
        </w:rPr>
        <w:tab/>
        <w:t>На 21-м собрании секретариат представил делегатам модель расчета, в которой в качестве практических примеров использовались предложения Европейской конференции администраций почт и электросвязи (СЕПТ), представленные в ходе ВКРЭ-25. Это вызвало оживленную дискуссию среди делегатов, которые высказали множество опасений по поводу предлагаемого процесса. Ключевые вопросы касались сроков проведения и точности оценки затрат (особенно в тех случаях, когда предложения могут быть изменены), потенциального роста бюрократии, которая может затруднить процесс принятия решений, а также необходимости более четкого определения того, что именно подразумевается под "финансовыми последствиями". Предложенный Председателем порядок работы вызвал дополнительные опасения относительно полномочий комитета. Наиболее важным результатом стало решение о том, что предложенная методика не будет применяться на ВКРЭ</w:t>
      </w:r>
      <w:r w:rsidR="00D02891">
        <w:rPr>
          <w:lang w:val="ru-RU"/>
        </w:rPr>
        <w:noBreakHyphen/>
      </w:r>
      <w:r w:rsidRPr="00A1365F">
        <w:rPr>
          <w:lang w:val="ru-RU"/>
        </w:rPr>
        <w:t>25; при этом Председатель призвала Государства-Члены представлять новые предложения по этому вопросу.</w:t>
      </w:r>
    </w:p>
    <w:p w14:paraId="625DDC18" w14:textId="77777777" w:rsidR="00A61D19" w:rsidRPr="00A1365F" w:rsidRDefault="00A61D19" w:rsidP="00A61D19">
      <w:pPr>
        <w:rPr>
          <w:lang w:val="ru-RU"/>
        </w:rPr>
      </w:pPr>
      <w:r w:rsidRPr="00A1365F">
        <w:rPr>
          <w:lang w:val="ru-RU"/>
        </w:rPr>
        <w:t>3.3</w:t>
      </w:r>
      <w:r w:rsidRPr="00A1365F">
        <w:rPr>
          <w:lang w:val="ru-RU"/>
        </w:rPr>
        <w:tab/>
        <w:t xml:space="preserve">В ходе 22-го собрания обсуждение было продолжено, однако новых вкладов по методике проведения оценок представлено не было. Делегаты вновь продемонстрировали скептицизм, отметив, что предварительная оценка затрат будет неэффективной, поскольку окончательный текст редко соответствует первоначальным предложениям. Были предложены альтернативные варианты, такие как установление приоритетов и перераспределение имеющихся ресурсов вместо составления новых оценок затрат. Кроме того, Директор Бюро развития электросвязи (БРЭ) представил Документ </w:t>
      </w:r>
      <w:hyperlink r:id="rId27" w:history="1">
        <w:r w:rsidRPr="00A1365F">
          <w:rPr>
            <w:rStyle w:val="Hyperlink"/>
            <w:spacing w:val="-2"/>
            <w:lang w:val="ru-RU"/>
          </w:rPr>
          <w:t>CWG-FHR-22/7</w:t>
        </w:r>
      </w:hyperlink>
      <w:r w:rsidRPr="00A1365F">
        <w:rPr>
          <w:lang w:val="ru-RU"/>
        </w:rPr>
        <w:t xml:space="preserve"> в ответ на просьбу участников ВКРЭ-25 запросить руководящие указания РГС-ФЛР относительно наиболее эффективной методики/механизма финансирования новых предлагаемых видов деятельности, стоимость которых оценивается в 4,208 млн. швейцарских франков. </w:t>
      </w:r>
    </w:p>
    <w:p w14:paraId="45D17C14" w14:textId="77777777" w:rsidR="00A61D19" w:rsidRPr="00A1365F" w:rsidRDefault="00A61D19" w:rsidP="00B47ACB">
      <w:pPr>
        <w:spacing w:after="120"/>
        <w:rPr>
          <w:lang w:val="ru-RU"/>
        </w:rPr>
      </w:pPr>
      <w:r w:rsidRPr="00A1365F">
        <w:rPr>
          <w:lang w:val="ru-RU"/>
        </w:rPr>
        <w:t>3.4</w:t>
      </w:r>
      <w:r w:rsidRPr="00A1365F">
        <w:rPr>
          <w:lang w:val="ru-RU"/>
        </w:rPr>
        <w:tab/>
        <w:t xml:space="preserve">Выслушав обсуждение, Директор БРЭ взял слово и предложил секретариату представить Консультативной группе по развитию электросвязи (КГРЭ) всесторонний анализ того, какими ресурсами располагает БРЭ и какие ресурсы ему необходимы для выполнения своего мандата. Директор БРЭ обосновал это необходимостью упорядочения резолюций, определяющих мандат Бюро. Делегаты выразили обеспокоенность в отношении точности </w:t>
      </w:r>
      <w:r w:rsidRPr="00A1365F">
        <w:rPr>
          <w:lang w:val="ru-RU"/>
        </w:rPr>
        <w:lastRenderedPageBreak/>
        <w:t xml:space="preserve">оценок, поскольку Бюджетный комитет завершил свою работу до того, как была завершена работа над резолюциями других комитетов. </w:t>
      </w:r>
    </w:p>
    <w:tbl>
      <w:tblPr>
        <w:tblStyle w:val="TableGrid"/>
        <w:tblW w:w="0" w:type="auto"/>
        <w:tblLook w:val="04A0" w:firstRow="1" w:lastRow="0" w:firstColumn="1" w:lastColumn="0" w:noHBand="0" w:noVBand="1"/>
      </w:tblPr>
      <w:tblGrid>
        <w:gridCol w:w="9061"/>
      </w:tblGrid>
      <w:tr w:rsidR="009F39BD" w:rsidRPr="005E4138" w14:paraId="24B879E0" w14:textId="77777777" w:rsidTr="00567B8B">
        <w:tc>
          <w:tcPr>
            <w:tcW w:w="9061" w:type="dxa"/>
          </w:tcPr>
          <w:p w14:paraId="0AE7A457" w14:textId="77777777" w:rsidR="009F39BD" w:rsidRPr="00A1365F" w:rsidRDefault="009F39BD" w:rsidP="00567B8B">
            <w:pPr>
              <w:spacing w:after="120"/>
              <w:rPr>
                <w:lang w:val="ru-RU"/>
              </w:rPr>
            </w:pPr>
            <w:r w:rsidRPr="00A1365F">
              <w:rPr>
                <w:lang w:val="ru-RU"/>
              </w:rPr>
              <w:t>3.5</w:t>
            </w:r>
            <w:r w:rsidRPr="00A1365F">
              <w:rPr>
                <w:lang w:val="ru-RU"/>
              </w:rPr>
              <w:tab/>
              <w:t xml:space="preserve">Поддержав предложение Директора БРЭ, РГС-ФЛР </w:t>
            </w:r>
            <w:r w:rsidRPr="00A1365F">
              <w:rPr>
                <w:b/>
                <w:lang w:val="ru-RU"/>
              </w:rPr>
              <w:t>рекомендовала</w:t>
            </w:r>
            <w:r w:rsidRPr="00A1365F">
              <w:rPr>
                <w:lang w:val="ru-RU"/>
              </w:rPr>
              <w:t xml:space="preserve"> Директору БРЭ в сотрудничестве с Генеральным секретариатом, в том числе с руководителем Финансового департамента, оказать КГРЭ поддержку в этой деятельности и провести сравнительный анализ того, какими ресурсами располагает Сектор развития электросвязи (МСЭ-D), каких ресурсов ему не хватает, и в каких случаях новые резолюции могут быть включены в текущую работу. Секретариат также проведет 3 марта 2026 года информационную сессию, посвященную оценкам затрат с учетом финансовых последствий ВКРЭ-25.</w:t>
            </w:r>
          </w:p>
          <w:p w14:paraId="7F5C5E46" w14:textId="229DC623" w:rsidR="009F39BD" w:rsidRPr="00A1365F" w:rsidRDefault="009F39BD" w:rsidP="00567B8B">
            <w:pPr>
              <w:spacing w:after="120"/>
              <w:rPr>
                <w:lang w:val="ru-RU"/>
              </w:rPr>
            </w:pPr>
            <w:r w:rsidRPr="00A1365F">
              <w:rPr>
                <w:lang w:val="ru-RU"/>
              </w:rPr>
              <w:t>3.6</w:t>
            </w:r>
            <w:r w:rsidRPr="00A1365F">
              <w:rPr>
                <w:lang w:val="ru-RU"/>
              </w:rPr>
              <w:tab/>
              <w:t xml:space="preserve">Кроме того, РГС-ФЛР </w:t>
            </w:r>
            <w:r w:rsidRPr="00A1365F">
              <w:rPr>
                <w:b/>
                <w:lang w:val="ru-RU"/>
              </w:rPr>
              <w:t>рекомендует</w:t>
            </w:r>
            <w:r w:rsidRPr="00A1365F">
              <w:rPr>
                <w:lang w:val="ru-RU"/>
              </w:rPr>
              <w:t xml:space="preserve"> Совету 2026 года предложить Полномочной конференции 2026 года (ПК-26) дать Государствам-Членам указания относительно того, как следует трактовать</w:t>
            </w:r>
            <w:r w:rsidR="0009725A">
              <w:rPr>
                <w:lang w:val="ru-RU"/>
              </w:rPr>
              <w:t xml:space="preserve"> Статью 34 Конвенции при представлении предложений</w:t>
            </w:r>
            <w:r w:rsidRPr="00A1365F">
              <w:rPr>
                <w:lang w:val="ru-RU"/>
              </w:rPr>
              <w:t>.</w:t>
            </w:r>
          </w:p>
          <w:p w14:paraId="09F8B15A" w14:textId="18C65895" w:rsidR="009F39BD" w:rsidRPr="00A1365F" w:rsidRDefault="009F39BD" w:rsidP="00567B8B">
            <w:pPr>
              <w:spacing w:after="120"/>
              <w:rPr>
                <w:lang w:val="ru-RU"/>
              </w:rPr>
            </w:pPr>
            <w:r w:rsidRPr="00A1365F">
              <w:rPr>
                <w:lang w:val="ru-RU"/>
              </w:rPr>
              <w:t>3.7</w:t>
            </w:r>
            <w:r w:rsidRPr="00A1365F">
              <w:rPr>
                <w:lang w:val="ru-RU"/>
              </w:rPr>
              <w:tab/>
              <w:t xml:space="preserve">РГС-ФЛР </w:t>
            </w:r>
            <w:r w:rsidRPr="00A1365F">
              <w:rPr>
                <w:b/>
                <w:lang w:val="ru-RU"/>
              </w:rPr>
              <w:t>направила</w:t>
            </w:r>
            <w:r w:rsidRPr="00A1365F">
              <w:rPr>
                <w:lang w:val="ru-RU"/>
              </w:rPr>
              <w:t xml:space="preserve"> в адрес КГРЭ заявление о взаимодействии с предложением провести оценку предполагаемых финансовых последствий ВКРЭ ко времени проведения Совета 2026 года.</w:t>
            </w:r>
          </w:p>
        </w:tc>
      </w:tr>
    </w:tbl>
    <w:p w14:paraId="123981D5" w14:textId="6C76A7EC" w:rsidR="00A61D19" w:rsidRPr="00A1365F" w:rsidRDefault="00A61D19" w:rsidP="00A61D19">
      <w:pPr>
        <w:pStyle w:val="Heading1"/>
        <w:rPr>
          <w:lang w:val="ru-RU"/>
        </w:rPr>
      </w:pPr>
      <w:r w:rsidRPr="00A1365F">
        <w:rPr>
          <w:bCs/>
          <w:lang w:val="ru-RU"/>
        </w:rPr>
        <w:t>4</w:t>
      </w:r>
      <w:r w:rsidRPr="00A1365F">
        <w:rPr>
          <w:lang w:val="ru-RU"/>
        </w:rPr>
        <w:tab/>
        <w:t>Укрепление регионального присутствия МСЭ (Документы</w:t>
      </w:r>
      <w:r w:rsidR="009F39BD" w:rsidRPr="00A1365F">
        <w:rPr>
          <w:lang w:val="ru-RU"/>
        </w:rPr>
        <w:t> </w:t>
      </w:r>
      <w:hyperlink r:id="rId28" w:history="1">
        <w:r w:rsidRPr="00A1365F">
          <w:rPr>
            <w:rStyle w:val="Hyperlink"/>
            <w:lang w:val="ru-RU"/>
          </w:rPr>
          <w:t>CWG</w:t>
        </w:r>
        <w:r w:rsidR="009F39BD" w:rsidRPr="00A1365F">
          <w:rPr>
            <w:rStyle w:val="Hyperlink"/>
            <w:lang w:val="ru-RU"/>
          </w:rPr>
          <w:noBreakHyphen/>
        </w:r>
        <w:r w:rsidRPr="00A1365F">
          <w:rPr>
            <w:rStyle w:val="Hyperlink"/>
            <w:lang w:val="ru-RU"/>
          </w:rPr>
          <w:t>FHR</w:t>
        </w:r>
        <w:r w:rsidR="009F39BD" w:rsidRPr="00A1365F">
          <w:rPr>
            <w:rStyle w:val="Hyperlink"/>
            <w:lang w:val="ru-RU"/>
          </w:rPr>
          <w:noBreakHyphen/>
        </w:r>
        <w:r w:rsidRPr="00A1365F">
          <w:rPr>
            <w:rStyle w:val="Hyperlink"/>
            <w:lang w:val="ru-RU"/>
          </w:rPr>
          <w:t>21/4</w:t>
        </w:r>
      </w:hyperlink>
      <w:r w:rsidRPr="00A1365F">
        <w:rPr>
          <w:lang w:val="ru-RU"/>
        </w:rPr>
        <w:t xml:space="preserve">, </w:t>
      </w:r>
      <w:hyperlink r:id="rId29" w:history="1">
        <w:r w:rsidRPr="00A1365F">
          <w:rPr>
            <w:rStyle w:val="Hyperlink"/>
            <w:lang w:val="ru-RU"/>
          </w:rPr>
          <w:t>CWG</w:t>
        </w:r>
        <w:r w:rsidRPr="00A1365F">
          <w:rPr>
            <w:rStyle w:val="Hyperlink"/>
            <w:lang w:val="ru-RU"/>
          </w:rPr>
          <w:noBreakHyphen/>
          <w:t>FHR-22/4</w:t>
        </w:r>
      </w:hyperlink>
      <w:r w:rsidR="00A1365F">
        <w:rPr>
          <w:lang w:val="ru-RU"/>
        </w:rPr>
        <w:t xml:space="preserve"> </w:t>
      </w:r>
      <w:r w:rsidRPr="00A1365F">
        <w:rPr>
          <w:lang w:val="ru-RU"/>
        </w:rPr>
        <w:t xml:space="preserve">и </w:t>
      </w:r>
      <w:hyperlink r:id="rId30" w:history="1">
        <w:r w:rsidRPr="00A1365F">
          <w:rPr>
            <w:rStyle w:val="Hyperlink"/>
            <w:lang w:val="ru-RU"/>
          </w:rPr>
          <w:t>CWG-FHR-22/31</w:t>
        </w:r>
      </w:hyperlink>
      <w:r w:rsidRPr="00A1365F">
        <w:rPr>
          <w:lang w:val="ru-RU"/>
        </w:rPr>
        <w:t>)</w:t>
      </w:r>
      <w:hyperlink r:id="rId31" w:history="1"/>
      <w:hyperlink r:id="rId32" w:history="1"/>
      <w:hyperlink r:id="rId33" w:history="1"/>
    </w:p>
    <w:p w14:paraId="43367C9B" w14:textId="19BC183A" w:rsidR="00A61D19" w:rsidRPr="00A1365F" w:rsidRDefault="00A61D19" w:rsidP="00A61D19">
      <w:pPr>
        <w:rPr>
          <w:lang w:val="ru-RU"/>
        </w:rPr>
      </w:pPr>
      <w:r w:rsidRPr="00A1365F">
        <w:rPr>
          <w:lang w:val="ru-RU"/>
        </w:rPr>
        <w:t>4.1</w:t>
      </w:r>
      <w:r w:rsidRPr="00A1365F">
        <w:rPr>
          <w:lang w:val="ru-RU"/>
        </w:rPr>
        <w:tab/>
        <w:t>Была сформирована Межсекторальная целевая группа под руководством заместителя Генерального секретаря для проведения обзора регионального присутствия МСЭ за период 10</w:t>
      </w:r>
      <w:r w:rsidR="00D02891">
        <w:rPr>
          <w:lang w:val="ru-RU"/>
        </w:rPr>
        <w:t> </w:t>
      </w:r>
      <w:r w:rsidRPr="00A1365F">
        <w:rPr>
          <w:lang w:val="ru-RU"/>
        </w:rPr>
        <w:t>месяцев с июля 2025 года по апрель 2026 года. Этот обзор состоит из четырех этапов: 1)</w:t>
      </w:r>
      <w:r w:rsidR="00D02891">
        <w:rPr>
          <w:lang w:val="ru-RU"/>
        </w:rPr>
        <w:t> </w:t>
      </w:r>
      <w:r w:rsidRPr="00A1365F">
        <w:rPr>
          <w:lang w:val="ru-RU"/>
        </w:rPr>
        <w:t>предварительная оценка; 2) сбор и первичный анализ данных; 3) подробный анализ и подготовка проекта; и 4) проверка и отчетность.</w:t>
      </w:r>
    </w:p>
    <w:p w14:paraId="1C5710F1" w14:textId="77777777" w:rsidR="00A61D19" w:rsidRPr="00A1365F" w:rsidRDefault="00A61D19" w:rsidP="00A61D19">
      <w:pPr>
        <w:rPr>
          <w:lang w:val="ru-RU"/>
        </w:rPr>
      </w:pPr>
      <w:r w:rsidRPr="00A1365F">
        <w:rPr>
          <w:lang w:val="ru-RU"/>
        </w:rPr>
        <w:t>4.2</w:t>
      </w:r>
      <w:r w:rsidRPr="00A1365F">
        <w:rPr>
          <w:lang w:val="ru-RU"/>
        </w:rPr>
        <w:tab/>
        <w:t xml:space="preserve">БРЭ завершило первый этап, разработав отдельные вопросники для Членов МСЭ и персонала МСЭ. Ответы на вопросы можно было направлять в течение одного месяца, а его промежуточные результаты были представлены в ходе ВКРЭ-25 в Баку, Азербайджан. Кроме того, для 22-го собрания РГС-ФЛР был подготовлен отчет о промежуточных результатах (Документ </w:t>
      </w:r>
      <w:hyperlink r:id="rId34" w:history="1">
        <w:r w:rsidRPr="00A1365F">
          <w:rPr>
            <w:rStyle w:val="Hyperlink"/>
            <w:lang w:val="ru-RU"/>
          </w:rPr>
          <w:t>CWG-FHR-22/4</w:t>
        </w:r>
      </w:hyperlink>
      <w:r w:rsidRPr="00A1365F">
        <w:rPr>
          <w:lang w:val="ru-RU"/>
        </w:rPr>
        <w:t>).</w:t>
      </w:r>
      <w:hyperlink r:id="rId35" w:history="1"/>
    </w:p>
    <w:p w14:paraId="53319DBB" w14:textId="77777777" w:rsidR="00A61D19" w:rsidRPr="00A1365F" w:rsidRDefault="00A61D19" w:rsidP="00A61D19">
      <w:pPr>
        <w:rPr>
          <w:lang w:val="ru-RU"/>
        </w:rPr>
      </w:pPr>
      <w:r w:rsidRPr="00A1365F">
        <w:rPr>
          <w:lang w:val="ru-RU"/>
        </w:rPr>
        <w:t>4.3</w:t>
      </w:r>
      <w:r w:rsidRPr="00A1365F">
        <w:rPr>
          <w:lang w:val="ru-RU"/>
        </w:rPr>
        <w:tab/>
        <w:t>В ходе 22-го собрания РГС-ФЛР несколько делегатов выразили обеспокоенность по поводу сроков, оставшихся до завершения работы, в частности по поводу того, как все четыре этапа будут завершены ко времени проведения Совета 2026 года, и просили представить более подробную информацию о результатах опроса. Делегаты также просили представить результаты опроса персонала.</w:t>
      </w:r>
    </w:p>
    <w:p w14:paraId="627A2D66" w14:textId="77777777" w:rsidR="009F39BD" w:rsidRPr="00A1365F" w:rsidRDefault="00A61D19" w:rsidP="00B47ACB">
      <w:pPr>
        <w:spacing w:after="120"/>
        <w:rPr>
          <w:lang w:val="ru-RU"/>
        </w:rPr>
      </w:pPr>
      <w:r w:rsidRPr="00A1365F">
        <w:rPr>
          <w:lang w:val="ru-RU"/>
        </w:rPr>
        <w:t>4.4</w:t>
      </w:r>
      <w:r w:rsidRPr="00A1365F">
        <w:rPr>
          <w:lang w:val="ru-RU"/>
        </w:rPr>
        <w:tab/>
        <w:t xml:space="preserve">Исполнительный комитет Регионального содружества в области связи (РСС), Армения, Беларусь, Центр компетенций по глобальной ИТ-кооперации, Кыргызстан, Российская Федерация, Таджикистан и Узбекистан представили в ходе 22-го собрания РГС-ФЛР вклад (Документ </w:t>
      </w:r>
      <w:hyperlink r:id="rId36" w:history="1">
        <w:r w:rsidRPr="00A1365F">
          <w:rPr>
            <w:rStyle w:val="Hyperlink"/>
            <w:lang w:val="ru-RU"/>
          </w:rPr>
          <w:t>CWG-FHR-22/31</w:t>
        </w:r>
      </w:hyperlink>
      <w:r w:rsidRPr="00A1365F">
        <w:rPr>
          <w:lang w:val="ru-RU"/>
        </w:rPr>
        <w:t>), в котором содержится сводная оценка эффективности работы Регионального отделения МСЭ для региона СНГ и основные выводы по ряду аспектов его деятельности. В этом вкладе РГС-ФЛР также предлагается рассмотреть шесть отдельных предложений по укреплению регионального присутствия МСЭ и сотрудничества в регионе СНГ. Председатель обратилась с просьбой включить предложения РСС в заключительный отчет о региональном присутствии МСЭ.</w:t>
      </w:r>
    </w:p>
    <w:tbl>
      <w:tblPr>
        <w:tblStyle w:val="TableGrid"/>
        <w:tblW w:w="0" w:type="auto"/>
        <w:tblLook w:val="04A0" w:firstRow="1" w:lastRow="0" w:firstColumn="1" w:lastColumn="0" w:noHBand="0" w:noVBand="1"/>
      </w:tblPr>
      <w:tblGrid>
        <w:gridCol w:w="9061"/>
      </w:tblGrid>
      <w:tr w:rsidR="009F39BD" w:rsidRPr="005E4138" w14:paraId="15BDEEA6" w14:textId="77777777" w:rsidTr="00567B8B">
        <w:tc>
          <w:tcPr>
            <w:tcW w:w="9061" w:type="dxa"/>
          </w:tcPr>
          <w:p w14:paraId="6E4431A1" w14:textId="77777777" w:rsidR="009F39BD" w:rsidRPr="00A1365F" w:rsidRDefault="009F39BD" w:rsidP="00567B8B">
            <w:pPr>
              <w:spacing w:after="120"/>
              <w:rPr>
                <w:lang w:val="ru-RU"/>
              </w:rPr>
            </w:pPr>
            <w:r w:rsidRPr="00A1365F">
              <w:rPr>
                <w:lang w:val="ru-RU"/>
              </w:rPr>
              <w:t>4.5</w:t>
            </w:r>
            <w:r w:rsidRPr="00A1365F">
              <w:rPr>
                <w:lang w:val="ru-RU"/>
              </w:rPr>
              <w:tab/>
              <w:t xml:space="preserve">РГС-ФЛР </w:t>
            </w:r>
            <w:r w:rsidRPr="00A1365F">
              <w:rPr>
                <w:b/>
                <w:lang w:val="ru-RU"/>
              </w:rPr>
              <w:t>рекомендовала</w:t>
            </w:r>
            <w:r w:rsidRPr="00A1365F">
              <w:rPr>
                <w:lang w:val="ru-RU"/>
              </w:rPr>
              <w:t xml:space="preserve"> секретариату разместить результаты опроса персонала на веб-сайте РГС-ФЛР.</w:t>
            </w:r>
          </w:p>
          <w:p w14:paraId="70D425E0" w14:textId="18E8FF35" w:rsidR="009F39BD" w:rsidRPr="00A1365F" w:rsidRDefault="009F39BD" w:rsidP="00567B8B">
            <w:pPr>
              <w:spacing w:after="120"/>
              <w:rPr>
                <w:lang w:val="ru-RU"/>
              </w:rPr>
            </w:pPr>
            <w:r w:rsidRPr="00A1365F">
              <w:rPr>
                <w:lang w:val="ru-RU"/>
              </w:rPr>
              <w:lastRenderedPageBreak/>
              <w:t>4.6</w:t>
            </w:r>
            <w:r w:rsidRPr="00A1365F">
              <w:rPr>
                <w:lang w:val="ru-RU"/>
              </w:rPr>
              <w:tab/>
              <w:t xml:space="preserve">РГС-ФЛР </w:t>
            </w:r>
            <w:r w:rsidRPr="00A1365F">
              <w:rPr>
                <w:b/>
                <w:lang w:val="ru-RU"/>
              </w:rPr>
              <w:t>рекомендовала</w:t>
            </w:r>
            <w:r w:rsidRPr="00A1365F">
              <w:rPr>
                <w:lang w:val="ru-RU"/>
              </w:rPr>
              <w:t xml:space="preserve"> секретариату провести информационную сессию перед Советом 2026 года, чтобы представить Государствам-Членам обновленную информацию об инициативе по обзору регионального присутствия и включить замечания Государств-Членов в заключительный отчет секретариата Совету 2026 года.</w:t>
            </w:r>
          </w:p>
        </w:tc>
      </w:tr>
    </w:tbl>
    <w:p w14:paraId="2C5D922E" w14:textId="3050259E" w:rsidR="00A61D19" w:rsidRPr="00A1365F" w:rsidRDefault="00A61D19" w:rsidP="00A61D19">
      <w:pPr>
        <w:pStyle w:val="Heading1"/>
        <w:ind w:right="-113"/>
        <w:rPr>
          <w:rFonts w:cs="Times New Roman Bold"/>
          <w:spacing w:val="-2"/>
          <w:lang w:val="ru-RU"/>
        </w:rPr>
      </w:pPr>
      <w:r w:rsidRPr="00A1365F">
        <w:rPr>
          <w:bCs/>
          <w:lang w:val="ru-RU"/>
        </w:rPr>
        <w:lastRenderedPageBreak/>
        <w:t>5</w:t>
      </w:r>
      <w:r w:rsidRPr="00A1365F">
        <w:rPr>
          <w:lang w:val="ru-RU"/>
        </w:rPr>
        <w:tab/>
        <w:t>Проект, касающийся помещений штаб-квартиры Союза, и Стратегический план в отношении комплекса зданий (Документы</w:t>
      </w:r>
      <w:r w:rsidR="009F39BD" w:rsidRPr="00A1365F">
        <w:rPr>
          <w:lang w:val="ru-RU"/>
        </w:rPr>
        <w:t> </w:t>
      </w:r>
      <w:hyperlink r:id="rId37" w:history="1">
        <w:r w:rsidRPr="00A1365F">
          <w:rPr>
            <w:rStyle w:val="Hyperlink"/>
            <w:rFonts w:cs="Times New Roman Bold"/>
            <w:spacing w:val="-2"/>
            <w:lang w:val="ru-RU"/>
          </w:rPr>
          <w:t>CWG</w:t>
        </w:r>
        <w:r w:rsidR="009F39BD" w:rsidRPr="00A1365F">
          <w:rPr>
            <w:rStyle w:val="Hyperlink"/>
            <w:rFonts w:cs="Times New Roman Bold"/>
            <w:spacing w:val="-2"/>
            <w:lang w:val="ru-RU"/>
          </w:rPr>
          <w:noBreakHyphen/>
        </w:r>
        <w:r w:rsidRPr="00A1365F">
          <w:rPr>
            <w:rStyle w:val="Hyperlink"/>
            <w:rFonts w:cs="Times New Roman Bold"/>
            <w:spacing w:val="-2"/>
            <w:lang w:val="ru-RU"/>
          </w:rPr>
          <w:t>FHR-21/5(Rev.1)</w:t>
        </w:r>
      </w:hyperlink>
      <w:r w:rsidRPr="00A1365F">
        <w:rPr>
          <w:rFonts w:cs="Times New Roman Bold"/>
          <w:spacing w:val="-2"/>
          <w:lang w:val="ru-RU"/>
        </w:rPr>
        <w:t xml:space="preserve">, </w:t>
      </w:r>
      <w:hyperlink r:id="rId38" w:history="1">
        <w:r w:rsidRPr="00A1365F">
          <w:rPr>
            <w:rStyle w:val="Hyperlink"/>
            <w:rFonts w:cs="Times New Roman Bold"/>
            <w:spacing w:val="-2"/>
            <w:lang w:val="ru-RU"/>
          </w:rPr>
          <w:t>CWG-FHR-21/6</w:t>
        </w:r>
      </w:hyperlink>
      <w:r w:rsidRPr="00A1365F">
        <w:rPr>
          <w:rFonts w:cs="Times New Roman Bold"/>
          <w:spacing w:val="-2"/>
          <w:lang w:val="ru-RU"/>
        </w:rPr>
        <w:t xml:space="preserve">, </w:t>
      </w:r>
      <w:hyperlink r:id="rId39" w:history="1">
        <w:r w:rsidRPr="00A1365F">
          <w:rPr>
            <w:rStyle w:val="Hyperlink"/>
            <w:rFonts w:cs="Times New Roman Bold"/>
            <w:spacing w:val="-2"/>
            <w:lang w:val="ru-RU"/>
          </w:rPr>
          <w:t>CWG-FHR-22/8(Rev.1)</w:t>
        </w:r>
      </w:hyperlink>
      <w:r w:rsidRPr="00A1365F">
        <w:rPr>
          <w:rFonts w:cs="Times New Roman Bold"/>
          <w:spacing w:val="-2"/>
          <w:lang w:val="ru-RU"/>
        </w:rPr>
        <w:t xml:space="preserve"> и</w:t>
      </w:r>
      <w:r w:rsidR="009F39BD" w:rsidRPr="00A1365F">
        <w:rPr>
          <w:rFonts w:cs="Times New Roman Bold"/>
          <w:spacing w:val="-2"/>
          <w:lang w:val="ru-RU"/>
        </w:rPr>
        <w:t> </w:t>
      </w:r>
      <w:hyperlink r:id="rId40" w:history="1">
        <w:r w:rsidRPr="00A1365F">
          <w:rPr>
            <w:rStyle w:val="Hyperlink"/>
            <w:rFonts w:cs="Times New Roman Bold"/>
            <w:spacing w:val="-2"/>
            <w:lang w:val="ru-RU"/>
          </w:rPr>
          <w:t>CWG-FHR-22-5(Rev.1)</w:t>
        </w:r>
      </w:hyperlink>
      <w:r w:rsidRPr="00A1365F">
        <w:rPr>
          <w:lang w:val="ru-RU"/>
        </w:rPr>
        <w:t>)</w:t>
      </w:r>
      <w:hyperlink r:id="rId41" w:history="1"/>
      <w:hyperlink r:id="rId42" w:history="1"/>
      <w:hyperlink r:id="rId43" w:history="1">
        <w:bookmarkStart w:id="7" w:name="_Hlt222310251"/>
        <w:bookmarkStart w:id="8" w:name="_Hlt222310252"/>
        <w:bookmarkEnd w:id="7"/>
        <w:bookmarkEnd w:id="8"/>
      </w:hyperlink>
      <w:hyperlink r:id="rId44" w:history="1"/>
    </w:p>
    <w:p w14:paraId="1CBDAC9B" w14:textId="77777777" w:rsidR="00A61D19" w:rsidRPr="00A1365F" w:rsidRDefault="00A61D19" w:rsidP="00A61D19">
      <w:pPr>
        <w:rPr>
          <w:lang w:val="ru-RU"/>
        </w:rPr>
      </w:pPr>
      <w:r w:rsidRPr="00A1365F">
        <w:rPr>
          <w:lang w:val="ru-RU"/>
        </w:rPr>
        <w:t>5.1</w:t>
      </w:r>
      <w:r w:rsidRPr="00A1365F">
        <w:rPr>
          <w:lang w:val="ru-RU"/>
        </w:rPr>
        <w:tab/>
        <w:t xml:space="preserve">Обновленная информация секретариата, представленная на 21-м собрании РГС-ФЛР, касалась стратегического плана в отношении комплекса зданий и вспомогательной деятельности по обеспечению соответствия комплекса зданий МСЭ своему назначению и будущим потребностям. В рамках подготовки к рассмотрению Резолюции 212 (Пересм. Бухарест, 2022 г.) на ПК-26 секретариат проинформировал делегатов о результатах проведенного МСЭ исследования в отношении комплекса зданий в Женеве, а также о трех возможных вариантах будущего комплекса зданий. Подчеркнув необходимость строительства всего комплекса зданий до 2032 года, секретариат отметил отсутствие необходимости выбирать какой-либо вариант до ПК-26. Вместе с тем секретариату необходимо, чтобы делегаты пересмотрели Резолюцию 212 (Пересм. Бухарест, 2022 г.), с тем чтобы обеспечить непрерывность процесса разработки стратегического плана в отношении комплекса зданий. </w:t>
      </w:r>
    </w:p>
    <w:p w14:paraId="33936B22" w14:textId="77777777" w:rsidR="00A61D19" w:rsidRPr="00A1365F" w:rsidRDefault="00A61D19" w:rsidP="00A61D19">
      <w:pPr>
        <w:rPr>
          <w:lang w:val="ru-RU"/>
        </w:rPr>
      </w:pPr>
      <w:r w:rsidRPr="00A1365F">
        <w:rPr>
          <w:lang w:val="ru-RU"/>
        </w:rPr>
        <w:t>5.2</w:t>
      </w:r>
      <w:r w:rsidRPr="00A1365F">
        <w:rPr>
          <w:lang w:val="ru-RU"/>
        </w:rPr>
        <w:tab/>
        <w:t>В ответ на это делегат от Швейцарии напомнил Рабочей группе Совета, что если международная организация пользуется льготными условиями, предоставляемыми принимающим государством, такими как беспроцентная ссуда, то арендуемая площадь здания, финансируемого за счет такой ссуды, ограничена в целях обеспечения добросовестной конкуренции. Другие делегаты просили разъяснить связь между проектами по строительству комплекса зданий и инициативой по созданию центров проведения собраний. Один из делегатов предложил сбалансировать инвестиции в строительство комплекса зданий с обсуждением регионального присутствия МСЭ, с тем чтобы укрепление позиций Женевы не достигалось за счет регионов.</w:t>
      </w:r>
    </w:p>
    <w:p w14:paraId="3981D35D" w14:textId="7FE54275" w:rsidR="00A61D19" w:rsidRPr="00A1365F" w:rsidRDefault="00A61D19" w:rsidP="00A61D19">
      <w:pPr>
        <w:rPr>
          <w:lang w:val="ru-RU"/>
        </w:rPr>
      </w:pPr>
      <w:r w:rsidRPr="00A1365F">
        <w:rPr>
          <w:lang w:val="ru-RU"/>
        </w:rPr>
        <w:t>5.3</w:t>
      </w:r>
      <w:r w:rsidRPr="00A1365F">
        <w:rPr>
          <w:lang w:val="ru-RU"/>
        </w:rPr>
        <w:tab/>
        <w:t>Кроме того, на 21-м собрании были представлены два вклада от Государств-Членов. Во</w:t>
      </w:r>
      <w:r w:rsidR="00D02891">
        <w:rPr>
          <w:lang w:val="ru-RU"/>
        </w:rPr>
        <w:t> </w:t>
      </w:r>
      <w:r w:rsidRPr="00A1365F">
        <w:rPr>
          <w:lang w:val="ru-RU"/>
        </w:rPr>
        <w:t xml:space="preserve">вкладе Южно-Африканской Республики (Документ </w:t>
      </w:r>
      <w:hyperlink r:id="rId45" w:history="1">
        <w:r w:rsidRPr="00A1365F">
          <w:rPr>
            <w:rStyle w:val="Hyperlink"/>
            <w:rFonts w:eastAsia="Aptos" w:cs="Arial"/>
            <w:kern w:val="2"/>
            <w:szCs w:val="22"/>
            <w:lang w:val="ru-RU"/>
            <w14:ligatures w14:val="standardContextual"/>
          </w:rPr>
          <w:t>CWG-FHR-21/18</w:t>
        </w:r>
      </w:hyperlink>
      <w:r w:rsidRPr="00A1365F">
        <w:rPr>
          <w:lang w:val="ru-RU"/>
        </w:rPr>
        <w:t xml:space="preserve">) содержится официальная просьба представить на следующем собрании РГС-ФЛР реестр рисков в целях обеспечения комплексной системы контроля в области стратегий управления рисками и мер по их смягчению. Председатель приняла к сведению эту просьбу и просила председателя Консультативной группы Государств-Членов (КГГЧ) сообщать о стратегических рисках на будущих собраниях Совета и РГС-ФЛР. Другой вклад (Документ </w:t>
      </w:r>
      <w:hyperlink r:id="rId46" w:history="1">
        <w:r w:rsidRPr="00A1365F">
          <w:rPr>
            <w:rStyle w:val="Hyperlink"/>
            <w:rFonts w:eastAsia="Aptos" w:cs="Arial"/>
            <w:kern w:val="2"/>
            <w:szCs w:val="22"/>
            <w:lang w:val="ru-RU"/>
            <w14:ligatures w14:val="standardContextual"/>
          </w:rPr>
          <w:t>CWG-FHR-21/21</w:t>
        </w:r>
      </w:hyperlink>
      <w:r w:rsidRPr="00A1365F">
        <w:rPr>
          <w:lang w:val="ru-RU"/>
        </w:rPr>
        <w:t>) поступил от РСС и Таджикистана. Во вкладе предлагается упорядочить предыдущие резолюции Совета и Полномочной конференции, пересмотреть соответствующие резолюции и решения с целью сохранить здание "Башня", основные залы заседаний и исторические объекты, а также поручить Генеральному секретарю представить концептуальный проект, который в большей степени отвечал бы потребностям Членов и персонала.</w:t>
      </w:r>
      <w:hyperlink r:id="rId47" w:history="1"/>
      <w:hyperlink r:id="rId48" w:history="1"/>
    </w:p>
    <w:p w14:paraId="449672B9" w14:textId="73DC5D8C" w:rsidR="00A61D19" w:rsidRPr="00A1365F" w:rsidRDefault="00A61D19" w:rsidP="00A61D19">
      <w:pPr>
        <w:rPr>
          <w:lang w:val="ru-RU"/>
        </w:rPr>
      </w:pPr>
      <w:r w:rsidRPr="00A1365F">
        <w:rPr>
          <w:lang w:val="ru-RU"/>
        </w:rPr>
        <w:t>5.4</w:t>
      </w:r>
      <w:r w:rsidRPr="00A1365F">
        <w:rPr>
          <w:lang w:val="ru-RU"/>
        </w:rPr>
        <w:tab/>
        <w:t xml:space="preserve">На 22-м собрании, после неофициальных консультаций с РСС и Кыргызской Республикой, Председатель представила Документ </w:t>
      </w:r>
      <w:hyperlink r:id="rId49" w:history="1">
        <w:r w:rsidRPr="00A1365F">
          <w:rPr>
            <w:rStyle w:val="Hyperlink"/>
            <w:lang w:val="ru-RU"/>
          </w:rPr>
          <w:t>CWG-FHR-22/22</w:t>
        </w:r>
      </w:hyperlink>
      <w:r w:rsidRPr="00A1365F">
        <w:rPr>
          <w:lang w:val="ru-RU"/>
        </w:rPr>
        <w:t xml:space="preserve">, в котором делегатам разъясняется, что в обсуждении больше нет необходимости, поскольку секретариат пересмотрел Документы </w:t>
      </w:r>
      <w:hyperlink r:id="rId50" w:history="1">
        <w:r w:rsidRPr="00A1365F">
          <w:rPr>
            <w:rStyle w:val="Hyperlink"/>
            <w:lang w:val="ru-RU"/>
          </w:rPr>
          <w:t>CWG-FHR-22/8</w:t>
        </w:r>
      </w:hyperlink>
      <w:r w:rsidRPr="00A1365F">
        <w:rPr>
          <w:lang w:val="ru-RU"/>
        </w:rPr>
        <w:t xml:space="preserve"> и </w:t>
      </w:r>
      <w:hyperlink r:id="rId51" w:history="1">
        <w:r w:rsidRPr="00A1365F">
          <w:rPr>
            <w:rStyle w:val="Hyperlink"/>
            <w:lang w:val="ru-RU"/>
          </w:rPr>
          <w:t>CWG-FHR-22/5</w:t>
        </w:r>
      </w:hyperlink>
      <w:r w:rsidRPr="00A1365F">
        <w:rPr>
          <w:lang w:val="ru-RU"/>
        </w:rPr>
        <w:t xml:space="preserve"> и включил в них отсутствующую информацию с 21-го собрания РГС-ФЛР. Затем секретариат проинформировал РГС-ФЛР о том, что реализация проекта, связанного с помещениями штаб-квартиры Союза, в целом проходит в соответствии с графиком и что в настоящее время, после завершения технико-экономического </w:t>
      </w:r>
      <w:r w:rsidRPr="00A1365F">
        <w:rPr>
          <w:lang w:val="ru-RU"/>
        </w:rPr>
        <w:lastRenderedPageBreak/>
        <w:t xml:space="preserve">обоснования, проект находится на стадии разработки концептуального проекта. Было также отмечено, что секретариат заказал услуги по управлению проектом у консорциума </w:t>
      </w:r>
      <w:proofErr w:type="spellStart"/>
      <w:r w:rsidRPr="00A1365F">
        <w:rPr>
          <w:lang w:val="ru-RU"/>
        </w:rPr>
        <w:t>Cumming</w:t>
      </w:r>
      <w:proofErr w:type="spellEnd"/>
      <w:r w:rsidRPr="00A1365F">
        <w:rPr>
          <w:lang w:val="ru-RU"/>
        </w:rPr>
        <w:t xml:space="preserve"> Group &amp; JAM Management. Секретариат также рассказал о тесном партнерстве с принимающей страной – Швейцарией, и о более широких усилиях, направленных на обеспечение того, чтобы комплекс зданий МСЭ гармонично сочетался с соседними объектами и при этом отвечал требованиям безопасности ООН. Возвращаясь к ключевой обновленной информации 21</w:t>
      </w:r>
      <w:r w:rsidR="00D02891">
        <w:rPr>
          <w:lang w:val="ru-RU"/>
        </w:rPr>
        <w:noBreakHyphen/>
      </w:r>
      <w:r w:rsidRPr="00A1365F">
        <w:rPr>
          <w:lang w:val="ru-RU"/>
        </w:rPr>
        <w:t>го</w:t>
      </w:r>
      <w:r w:rsidR="00D02891">
        <w:rPr>
          <w:lang w:val="ru-RU"/>
        </w:rPr>
        <w:t> </w:t>
      </w:r>
      <w:r w:rsidRPr="00A1365F">
        <w:rPr>
          <w:lang w:val="ru-RU"/>
        </w:rPr>
        <w:t>собрания, секретариат рассказал о стратегии развития в отношении будущего финансирования и планирования капиталовложений, подтвердив, что комплекс зданий МСЭ соответствует своему назначению. В заключение секретариат заявил, что продолжит работу с экспертами по недвижимости, которые ранее работали с Всемирной организацией интеллектуальной собственности (ВОИС), и представит более содержательный отчет Совету 2026 года перед повторным рассмотрением Резолюции 212 (Пересм. Бухарест, 2022 г.) на ПК</w:t>
      </w:r>
      <w:r w:rsidR="00D02891">
        <w:rPr>
          <w:lang w:val="ru-RU"/>
        </w:rPr>
        <w:noBreakHyphen/>
      </w:r>
      <w:r w:rsidRPr="00A1365F">
        <w:rPr>
          <w:lang w:val="ru-RU"/>
        </w:rPr>
        <w:t>26.</w:t>
      </w:r>
      <w:hyperlink r:id="rId52" w:history="1"/>
      <w:hyperlink r:id="rId53" w:history="1"/>
      <w:hyperlink r:id="rId54" w:history="1"/>
    </w:p>
    <w:p w14:paraId="5ABBF82D" w14:textId="67FDC509" w:rsidR="00A61D19" w:rsidRPr="00A1365F" w:rsidRDefault="00A61D19" w:rsidP="00A61D19">
      <w:pPr>
        <w:rPr>
          <w:lang w:val="ru-RU"/>
        </w:rPr>
      </w:pPr>
      <w:r w:rsidRPr="00A1365F">
        <w:rPr>
          <w:lang w:val="ru-RU"/>
        </w:rPr>
        <w:t>5.5</w:t>
      </w:r>
      <w:r w:rsidRPr="00A1365F">
        <w:rPr>
          <w:lang w:val="ru-RU"/>
        </w:rPr>
        <w:tab/>
        <w:t xml:space="preserve">Затем с отчетом выступил председатель КГГЧ (Документ </w:t>
      </w:r>
      <w:hyperlink r:id="rId55" w:history="1">
        <w:r w:rsidRPr="00A1365F">
          <w:rPr>
            <w:rStyle w:val="Hyperlink"/>
            <w:lang w:val="ru-RU"/>
          </w:rPr>
          <w:t>CWG-FHR-22/24</w:t>
        </w:r>
      </w:hyperlink>
      <w:r w:rsidRPr="00A1365F">
        <w:rPr>
          <w:lang w:val="ru-RU"/>
        </w:rPr>
        <w:t>), который подтвердил, что все риски, связанные с проектом, активно анализируются на регулярной основе и что имеющихся резервных фондов (на данный момент) достаточно. Кроме того, Председатель КГГЧ проинформировал делегатов о том, что реестр рисков останется постоянным пунктом повестки дня, а в ходе текущего обзора реестра, проводимого КГГЧ, будут учтены мнения недавно нанятой команды по управлению проектом и опыт работы на рынке Женевы.</w:t>
      </w:r>
      <w:hyperlink r:id="rId56" w:history="1"/>
    </w:p>
    <w:p w14:paraId="782CAF6F" w14:textId="0D7CC9CE" w:rsidR="00A61D19" w:rsidRPr="00A1365F" w:rsidRDefault="00A61D19" w:rsidP="00A61D19">
      <w:pPr>
        <w:rPr>
          <w:lang w:val="ru-RU"/>
        </w:rPr>
      </w:pPr>
      <w:r w:rsidRPr="00A1365F">
        <w:rPr>
          <w:lang w:val="ru-RU"/>
        </w:rPr>
        <w:t>5.6</w:t>
      </w:r>
      <w:r w:rsidRPr="00A1365F">
        <w:rPr>
          <w:lang w:val="ru-RU"/>
        </w:rPr>
        <w:tab/>
        <w:t>Делегаты задали целый ряд уточняющих вопросов относительно концепции Генерального плана района, а также плана строительства зданий и многолетнего плана расходов. Возникли и другие вопросы, касающиеся недавно предложенной правительственной концепции строительства здания штаб-квартиры и того, как секретариат планирует устранять пробелы в финансировании, в частности дефицит, возникший в результате отказа Объединенных Арабских Эмиратов от оказания спонсорской поддержки.</w:t>
      </w:r>
    </w:p>
    <w:p w14:paraId="65533467" w14:textId="008EBF90" w:rsidR="00A61D19" w:rsidRPr="00A1365F" w:rsidRDefault="00A61D19" w:rsidP="00B47ACB">
      <w:pPr>
        <w:spacing w:after="120"/>
        <w:rPr>
          <w:lang w:val="ru-RU"/>
        </w:rPr>
      </w:pPr>
      <w:r w:rsidRPr="00A1365F">
        <w:rPr>
          <w:lang w:val="ru-RU"/>
        </w:rPr>
        <w:t>5.7</w:t>
      </w:r>
      <w:r w:rsidRPr="00A1365F">
        <w:rPr>
          <w:lang w:val="ru-RU"/>
        </w:rPr>
        <w:tab/>
        <w:t>Один из делегатов просил провести сценарный анализ возможных бюджетных вариантов размещения служебных помещений. Секретариат в ответ подтвердил, что уже начата работа с привлечением Департамента управления людскими ресурсами, а также административной и финансовой службы по оценке всех должностей в МСЭ и необходимости их присутствия в конкретном месте службы, регионе или зональном отделении. Цель МСЭ заключается в сокращении расходов и содействии укреплению регионального присутствия, а</w:t>
      </w:r>
      <w:r w:rsidR="00D02891">
        <w:rPr>
          <w:lang w:val="ru-RU"/>
        </w:rPr>
        <w:t> </w:t>
      </w:r>
      <w:r w:rsidRPr="00A1365F">
        <w:rPr>
          <w:lang w:val="ru-RU"/>
        </w:rPr>
        <w:t>также общего положения МСЭ на глобальном уровне.</w:t>
      </w:r>
    </w:p>
    <w:tbl>
      <w:tblPr>
        <w:tblStyle w:val="TableGrid"/>
        <w:tblW w:w="0" w:type="auto"/>
        <w:tblLook w:val="04A0" w:firstRow="1" w:lastRow="0" w:firstColumn="1" w:lastColumn="0" w:noHBand="0" w:noVBand="1"/>
      </w:tblPr>
      <w:tblGrid>
        <w:gridCol w:w="9061"/>
      </w:tblGrid>
      <w:tr w:rsidR="009F39BD" w:rsidRPr="005E4138" w14:paraId="181BE2F8" w14:textId="77777777" w:rsidTr="00567B8B">
        <w:tc>
          <w:tcPr>
            <w:tcW w:w="9061" w:type="dxa"/>
          </w:tcPr>
          <w:p w14:paraId="55898764" w14:textId="5B676419" w:rsidR="009F39BD" w:rsidRPr="00A1365F" w:rsidRDefault="009F39BD" w:rsidP="00567B8B">
            <w:pPr>
              <w:spacing w:after="120"/>
              <w:rPr>
                <w:lang w:val="ru-RU"/>
              </w:rPr>
            </w:pPr>
            <w:r w:rsidRPr="00A1365F">
              <w:rPr>
                <w:lang w:val="ru-RU"/>
              </w:rPr>
              <w:t>5.8</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обновленный отчет. Отчет должен включать план района, более подробную информацию о плане технического обслуживания комплекса зданий МСЭ и дополнительную информацию о стратегии смягчения последствий сокращения финансирования в размере 5 </w:t>
            </w:r>
            <w:proofErr w:type="gramStart"/>
            <w:r w:rsidRPr="00A1365F">
              <w:rPr>
                <w:lang w:val="ru-RU"/>
              </w:rPr>
              <w:t>млн.</w:t>
            </w:r>
            <w:proofErr w:type="gramEnd"/>
            <w:r w:rsidRPr="00A1365F">
              <w:rPr>
                <w:lang w:val="ru-RU"/>
              </w:rPr>
              <w:t xml:space="preserve"> швейцарских франков.</w:t>
            </w:r>
          </w:p>
        </w:tc>
      </w:tr>
    </w:tbl>
    <w:p w14:paraId="6F470A82" w14:textId="4A12E9F1" w:rsidR="00A61D19" w:rsidRPr="00A1365F" w:rsidRDefault="00A61D19" w:rsidP="00A61D19">
      <w:pPr>
        <w:pStyle w:val="Heading1"/>
        <w:rPr>
          <w:lang w:val="ru-RU"/>
        </w:rPr>
      </w:pPr>
      <w:r w:rsidRPr="00A1365F">
        <w:rPr>
          <w:bCs/>
          <w:lang w:val="ru-RU"/>
        </w:rPr>
        <w:t>6</w:t>
      </w:r>
      <w:r w:rsidRPr="00A1365F">
        <w:rPr>
          <w:lang w:val="ru-RU"/>
        </w:rPr>
        <w:tab/>
        <w:t>Анализ Решений 588 (C16), 619 (C19, последнее изменение C21) и</w:t>
      </w:r>
      <w:r w:rsidR="00D02891">
        <w:rPr>
          <w:lang w:val="ru-RU"/>
        </w:rPr>
        <w:t> </w:t>
      </w:r>
      <w:r w:rsidRPr="00A1365F">
        <w:rPr>
          <w:lang w:val="ru-RU"/>
        </w:rPr>
        <w:t>640</w:t>
      </w:r>
      <w:r w:rsidR="00D02891">
        <w:rPr>
          <w:lang w:val="ru-RU"/>
        </w:rPr>
        <w:t> </w:t>
      </w:r>
      <w:r w:rsidRPr="00A1365F">
        <w:rPr>
          <w:lang w:val="ru-RU"/>
        </w:rPr>
        <w:t xml:space="preserve">(C24) Совета (Документ </w:t>
      </w:r>
      <w:hyperlink r:id="rId57" w:history="1">
        <w:r w:rsidRPr="00A1365F">
          <w:rPr>
            <w:rStyle w:val="Hyperlink"/>
            <w:lang w:val="ru-RU"/>
          </w:rPr>
          <w:t>CWG-FHR-22/18(Rev.1)</w:t>
        </w:r>
      </w:hyperlink>
      <w:r w:rsidRPr="00A1365F">
        <w:rPr>
          <w:lang w:val="ru-RU"/>
        </w:rPr>
        <w:t>)</w:t>
      </w:r>
      <w:hyperlink r:id="rId58" w:history="1"/>
    </w:p>
    <w:p w14:paraId="136B0C33" w14:textId="6796499C" w:rsidR="00A61D19" w:rsidRPr="00A1365F" w:rsidRDefault="00A61D19" w:rsidP="00A61D19">
      <w:pPr>
        <w:rPr>
          <w:lang w:val="ru-RU"/>
        </w:rPr>
      </w:pPr>
      <w:r w:rsidRPr="00A1365F">
        <w:rPr>
          <w:lang w:val="ru-RU"/>
        </w:rPr>
        <w:t>6.1</w:t>
      </w:r>
      <w:r w:rsidRPr="00A1365F">
        <w:rPr>
          <w:lang w:val="ru-RU"/>
        </w:rPr>
        <w:tab/>
        <w:t>На 22-м собрании РГС-ФЛР секретариат представил анализ Решений 588 (C16), 619 (C19, последнее изменение C21) и 640 (C24) Совета, а также предлагаемый пересмотр Решения</w:t>
      </w:r>
      <w:r w:rsidR="00D02891">
        <w:rPr>
          <w:lang w:val="ru-RU"/>
        </w:rPr>
        <w:t> </w:t>
      </w:r>
      <w:r w:rsidRPr="00A1365F">
        <w:rPr>
          <w:lang w:val="ru-RU"/>
        </w:rPr>
        <w:t>640. Этот анализ был подготовлен в ответ на просьбу 21-го собрания РГС-ФЛР.</w:t>
      </w:r>
    </w:p>
    <w:p w14:paraId="0CBFB475" w14:textId="51D41BCB" w:rsidR="00A61D19" w:rsidRPr="00A1365F" w:rsidRDefault="00A61D19" w:rsidP="00A61D19">
      <w:pPr>
        <w:rPr>
          <w:lang w:val="ru-RU"/>
        </w:rPr>
      </w:pPr>
      <w:r w:rsidRPr="00A1365F">
        <w:rPr>
          <w:lang w:val="ru-RU"/>
        </w:rPr>
        <w:t>6.2</w:t>
      </w:r>
      <w:r w:rsidRPr="00A1365F">
        <w:rPr>
          <w:lang w:val="ru-RU"/>
        </w:rPr>
        <w:tab/>
        <w:t xml:space="preserve">Многие делегаты просили секретариат представить Совету 2026 года версию проекта пересмотра Решения 640 с отображением исправлений. Один из делегатов напомнил Рабочей группе, что по итогам Совета 2025 года секретариату было поручено провести всестороннее исследование, однако информация, представленная в </w:t>
      </w:r>
      <w:r w:rsidR="00D02891" w:rsidRPr="00A1365F">
        <w:rPr>
          <w:lang w:val="ru-RU"/>
        </w:rPr>
        <w:t xml:space="preserve">Документе </w:t>
      </w:r>
      <w:hyperlink r:id="rId59" w:history="1">
        <w:r w:rsidRPr="00A1365F">
          <w:rPr>
            <w:rStyle w:val="Hyperlink"/>
            <w:lang w:val="ru-RU"/>
          </w:rPr>
          <w:t>CWG-FHR-22/18(Rev.1)</w:t>
        </w:r>
      </w:hyperlink>
      <w:r w:rsidRPr="00A1365F">
        <w:rPr>
          <w:lang w:val="ru-RU"/>
        </w:rPr>
        <w:t>, является недостаточной. В связи с этим делегат заявил, что секретариату необходимо представить Совету 2026 года постатейный анализ трех решений, отметив, какие положения остаются актуальными, а какие устарели. В заключение делегат отметил, что анализ все еще может быть полезен, поскольку делегатам предстоит рассмотреть Резолюцию 212 (Пересм. Бухарест, 2022 г.) на Полномочной конференции.</w:t>
      </w:r>
      <w:hyperlink r:id="rId60" w:history="1"/>
    </w:p>
    <w:p w14:paraId="317A9B43" w14:textId="77777777" w:rsidR="00A61D19" w:rsidRPr="00A1365F" w:rsidRDefault="00A61D19" w:rsidP="00B47ACB">
      <w:pPr>
        <w:spacing w:after="120"/>
        <w:rPr>
          <w:lang w:val="ru-RU"/>
        </w:rPr>
      </w:pPr>
      <w:r w:rsidRPr="00A1365F">
        <w:rPr>
          <w:lang w:val="ru-RU"/>
        </w:rPr>
        <w:t>6.3</w:t>
      </w:r>
      <w:r w:rsidRPr="00A1365F">
        <w:rPr>
          <w:lang w:val="ru-RU"/>
        </w:rPr>
        <w:tab/>
        <w:t xml:space="preserve">Несколько делегатов высказались по поводу терминологии, предложенной в проекте пересмотра Решения 640, в частности термина "комплекс зданий". Один из делегатов предположил, что этот термин не подходит для многонационального контекста, и предложил использовать более нейтральный и хорошо известный термин. Еще один делегат призвал секретариат использовать терминологию, указанную в Конвенции МСЭ. </w:t>
      </w:r>
    </w:p>
    <w:tbl>
      <w:tblPr>
        <w:tblStyle w:val="TableGrid"/>
        <w:tblW w:w="0" w:type="auto"/>
        <w:tblLook w:val="04A0" w:firstRow="1" w:lastRow="0" w:firstColumn="1" w:lastColumn="0" w:noHBand="0" w:noVBand="1"/>
      </w:tblPr>
      <w:tblGrid>
        <w:gridCol w:w="9061"/>
      </w:tblGrid>
      <w:tr w:rsidR="009F39BD" w:rsidRPr="005E4138" w14:paraId="3AA49C9F" w14:textId="77777777" w:rsidTr="00567B8B">
        <w:tc>
          <w:tcPr>
            <w:tcW w:w="9061" w:type="dxa"/>
          </w:tcPr>
          <w:p w14:paraId="0716EA95" w14:textId="433DA311" w:rsidR="009F39BD" w:rsidRPr="00A1365F" w:rsidRDefault="009F39BD" w:rsidP="00567B8B">
            <w:pPr>
              <w:spacing w:after="120"/>
              <w:rPr>
                <w:lang w:val="ru-RU"/>
              </w:rPr>
            </w:pPr>
            <w:r w:rsidRPr="00A1365F">
              <w:rPr>
                <w:lang w:val="ru-RU"/>
              </w:rPr>
              <w:t>6.4</w:t>
            </w:r>
            <w:r w:rsidRPr="00A1365F">
              <w:rPr>
                <w:lang w:val="ru-RU"/>
              </w:rPr>
              <w:tab/>
              <w:t xml:space="preserve">РГС-ФЛР </w:t>
            </w:r>
            <w:r w:rsidRPr="00A1365F">
              <w:rPr>
                <w:b/>
                <w:lang w:val="ru-RU"/>
              </w:rPr>
              <w:t>рекомендует</w:t>
            </w:r>
            <w:r w:rsidRPr="00A1365F">
              <w:rPr>
                <w:lang w:val="ru-RU"/>
              </w:rPr>
              <w:t xml:space="preserve"> секретариату представить Совету 2026 года постатейный сопоставительный анализ Решения 588, Решения 619 и Решения 640 в преддверии Полномочной конференции 2026 года.</w:t>
            </w:r>
          </w:p>
          <w:p w14:paraId="153202DD" w14:textId="2F1C0389" w:rsidR="009F39BD" w:rsidRPr="00A1365F" w:rsidRDefault="009F39BD" w:rsidP="00567B8B">
            <w:pPr>
              <w:spacing w:after="120"/>
              <w:rPr>
                <w:lang w:val="ru-RU"/>
              </w:rPr>
            </w:pPr>
            <w:r w:rsidRPr="00A1365F">
              <w:rPr>
                <w:lang w:val="ru-RU"/>
              </w:rPr>
              <w:t>6.5</w:t>
            </w:r>
            <w:r w:rsidRPr="00A1365F">
              <w:rPr>
                <w:lang w:val="ru-RU"/>
              </w:rPr>
              <w:tab/>
              <w:t xml:space="preserve">РГС-ФЛР также </w:t>
            </w:r>
            <w:r w:rsidRPr="00A1365F">
              <w:rPr>
                <w:b/>
                <w:lang w:val="ru-RU"/>
              </w:rPr>
              <w:t>рекомендовала</w:t>
            </w:r>
            <w:r w:rsidRPr="00A1365F">
              <w:rPr>
                <w:lang w:val="ru-RU"/>
              </w:rPr>
              <w:t xml:space="preserve"> секретариату пересмотреть принятый в МСЭ порядок именования штаб-квартиры.</w:t>
            </w:r>
          </w:p>
        </w:tc>
      </w:tr>
    </w:tbl>
    <w:p w14:paraId="6AA7B6BA" w14:textId="07310577" w:rsidR="00A61D19" w:rsidRPr="00A1365F" w:rsidRDefault="00A61D19" w:rsidP="00A61D19">
      <w:pPr>
        <w:pStyle w:val="Heading1"/>
        <w:rPr>
          <w:lang w:val="ru-RU"/>
        </w:rPr>
      </w:pPr>
      <w:r w:rsidRPr="00A1365F">
        <w:rPr>
          <w:bCs/>
          <w:lang w:val="ru-RU"/>
        </w:rPr>
        <w:t>7</w:t>
      </w:r>
      <w:r w:rsidRPr="00A1365F">
        <w:rPr>
          <w:lang w:val="ru-RU"/>
        </w:rPr>
        <w:tab/>
        <w:t>Обеспечение непрерывности деятельности собраний МСЭ (2028−2029</w:t>
      </w:r>
      <w:r w:rsidR="00D02891">
        <w:rPr>
          <w:lang w:val="ru-RU"/>
        </w:rPr>
        <w:t> </w:t>
      </w:r>
      <w:r w:rsidRPr="00A1365F">
        <w:rPr>
          <w:lang w:val="ru-RU"/>
        </w:rPr>
        <w:t xml:space="preserve">гг.) (Документы </w:t>
      </w:r>
      <w:hyperlink r:id="rId61" w:history="1">
        <w:r w:rsidRPr="00A1365F">
          <w:rPr>
            <w:rStyle w:val="Hyperlink"/>
            <w:lang w:val="ru-RU"/>
          </w:rPr>
          <w:t>CWG-FHR-21/10</w:t>
        </w:r>
      </w:hyperlink>
      <w:r w:rsidRPr="00A1365F">
        <w:rPr>
          <w:lang w:val="ru-RU"/>
        </w:rPr>
        <w:t xml:space="preserve">, </w:t>
      </w:r>
      <w:hyperlink r:id="rId62" w:history="1">
        <w:r w:rsidRPr="00A1365F">
          <w:rPr>
            <w:rStyle w:val="Hyperlink"/>
            <w:lang w:val="ru-RU"/>
          </w:rPr>
          <w:t>CWG-FHR-22/13</w:t>
        </w:r>
      </w:hyperlink>
      <w:r w:rsidRPr="00A1365F">
        <w:rPr>
          <w:lang w:val="ru-RU"/>
        </w:rPr>
        <w:t xml:space="preserve">, </w:t>
      </w:r>
      <w:hyperlink r:id="rId63" w:history="1">
        <w:r w:rsidRPr="00A1365F">
          <w:rPr>
            <w:rStyle w:val="Hyperlink"/>
            <w:lang w:val="ru-RU"/>
          </w:rPr>
          <w:t>CWG</w:t>
        </w:r>
        <w:r w:rsidR="00D02891">
          <w:rPr>
            <w:rStyle w:val="Hyperlink"/>
            <w:lang w:val="ru-RU"/>
          </w:rPr>
          <w:noBreakHyphen/>
        </w:r>
        <w:r w:rsidRPr="00A1365F">
          <w:rPr>
            <w:rStyle w:val="Hyperlink"/>
            <w:lang w:val="ru-RU"/>
          </w:rPr>
          <w:t>FHR</w:t>
        </w:r>
        <w:r w:rsidR="00D02891">
          <w:rPr>
            <w:rStyle w:val="Hyperlink"/>
            <w:lang w:val="ru-RU"/>
          </w:rPr>
          <w:noBreakHyphen/>
        </w:r>
        <w:r w:rsidRPr="00A1365F">
          <w:rPr>
            <w:rStyle w:val="Hyperlink"/>
            <w:lang w:val="ru-RU"/>
          </w:rPr>
          <w:t>22/23</w:t>
        </w:r>
      </w:hyperlink>
      <w:r w:rsidRPr="00A1365F">
        <w:rPr>
          <w:lang w:val="ru-RU"/>
        </w:rPr>
        <w:t xml:space="preserve"> и </w:t>
      </w:r>
      <w:hyperlink r:id="rId64" w:history="1">
        <w:r w:rsidRPr="00A1365F">
          <w:rPr>
            <w:rStyle w:val="Hyperlink"/>
            <w:lang w:val="ru-RU"/>
          </w:rPr>
          <w:t>CWG-FHR-22/28</w:t>
        </w:r>
      </w:hyperlink>
      <w:r w:rsidRPr="00A1365F">
        <w:rPr>
          <w:lang w:val="ru-RU"/>
        </w:rPr>
        <w:t>)</w:t>
      </w:r>
      <w:hyperlink r:id="rId65" w:history="1"/>
      <w:hyperlink r:id="rId66" w:history="1"/>
      <w:hyperlink r:id="rId67" w:history="1"/>
      <w:hyperlink r:id="rId68" w:history="1"/>
    </w:p>
    <w:p w14:paraId="3F19E75F" w14:textId="7EAB567B" w:rsidR="00A61D19" w:rsidRPr="00A1365F" w:rsidRDefault="00A61D19" w:rsidP="00A61D19">
      <w:pPr>
        <w:rPr>
          <w:lang w:val="ru-RU"/>
        </w:rPr>
      </w:pPr>
      <w:r w:rsidRPr="00A1365F">
        <w:rPr>
          <w:lang w:val="ru-RU"/>
        </w:rPr>
        <w:t>7.1</w:t>
      </w:r>
      <w:r w:rsidRPr="00A1365F">
        <w:rPr>
          <w:lang w:val="ru-RU"/>
        </w:rPr>
        <w:tab/>
        <w:t>На основе предыдущих отчетов, представленных РГС-ФЛР, секретариат представил обновленную информацию о плане МСЭ по проведению в штаб-квартире в период строительства порядка 60 предусмотренных уставными документами собраний МСЭ ежегодно. В связи с тем, что начало строительства запланировано на 2028 год, а в Международном центре конференций в Женеве (МЦКЖ) практически в это же время будут проводиться ремонтные работы, секретариат предложил рассмотреть возможность аренды помещений у различных учреждений системы ООН или международных организаций в Женеве. Секретариат также проинформировал делегатов о том, что согласно текущим бюджетным оценкам, проведение технических собраний в 2028−2029 годах в Palexpo будет невозможным с финансовой точки зрения. Завершая представление обновленной информации, секретариат предложил рассмотреть возможность проведения собраний в виртуальном формате, а также подтвердил свое намерение использовать центры проведения собраний МСЭ.</w:t>
      </w:r>
    </w:p>
    <w:p w14:paraId="5FCDED45" w14:textId="77777777" w:rsidR="00A61D19" w:rsidRPr="00A1365F" w:rsidRDefault="00A61D19" w:rsidP="00A61D19">
      <w:pPr>
        <w:rPr>
          <w:lang w:val="ru-RU"/>
        </w:rPr>
      </w:pPr>
      <w:r w:rsidRPr="00A1365F">
        <w:rPr>
          <w:lang w:val="ru-RU"/>
        </w:rPr>
        <w:t>7.2</w:t>
      </w:r>
      <w:r w:rsidRPr="00A1365F">
        <w:rPr>
          <w:lang w:val="ru-RU"/>
        </w:rPr>
        <w:tab/>
        <w:t>Многие делегаты на 21-м собрании РГС-ФЛР брали слово для того, чтобы задать вопросы относительно финансовой стратегии, осуществимости и долгосрочного планирования. Делегаты поинтересовались, почему Palexpo, который ранее представлялся как наиболее реалистичный вариант, теперь считается неприемлемым. Также многие делегаты выразили свое скептическое отношение к идее использования помещений других учреждений системы ООН или международных организаций для проведения собраний ввиду различных ограничений, связанных с доступностью и действующими правилами МСЭ. Некоторые делегаты выразили заинтересованность в наличии "центров проведения собраний" и попросили представить дополнительные разъяснения относительно того, как предполагается организовать такой процесс. Делегаты просили предоставить полный перечень всех собраний, которые должны быть организованы в период проведения строительных работ, а также установить приоритетность основных собраний, чтобы можно было понять, какие из них потенциально могут быть проведены в виртуальном или смешанном формате.</w:t>
      </w:r>
    </w:p>
    <w:p w14:paraId="7A144E06" w14:textId="77777777" w:rsidR="00A61D19" w:rsidRPr="00A1365F" w:rsidRDefault="00A61D19" w:rsidP="00A61D19">
      <w:pPr>
        <w:rPr>
          <w:lang w:val="ru-RU"/>
        </w:rPr>
      </w:pPr>
      <w:r w:rsidRPr="00A1365F">
        <w:rPr>
          <w:lang w:val="ru-RU"/>
        </w:rPr>
        <w:t>7.3</w:t>
      </w:r>
      <w:r w:rsidRPr="00A1365F">
        <w:rPr>
          <w:lang w:val="ru-RU"/>
        </w:rPr>
        <w:tab/>
        <w:t>Делегат от Швейцарии вновь заявил о готовности Швейцарии содействовать обеспечению непрерывности деятельности Союза в течение этого переходного периода. Делегат от Швейцарии отметил, что соответствующие положения Резолюции 5 Полномочной конференции (Киото, 1994 г.) остаются в силе, и спросил, будет ли в период строительства применяться пункт 51 Конвенции: "Совет МСЭ проводит ежегодно обычную сессию в месте пребывания Союза ".</w:t>
      </w:r>
    </w:p>
    <w:p w14:paraId="780233D6" w14:textId="77777777" w:rsidR="00A61D19" w:rsidRPr="00A1365F" w:rsidRDefault="00A61D19" w:rsidP="00A61D19">
      <w:pPr>
        <w:rPr>
          <w:lang w:val="ru-RU"/>
        </w:rPr>
      </w:pPr>
      <w:r w:rsidRPr="00A1365F">
        <w:rPr>
          <w:lang w:val="ru-RU"/>
        </w:rPr>
        <w:t>7.4</w:t>
      </w:r>
      <w:r w:rsidRPr="00A1365F">
        <w:rPr>
          <w:lang w:val="ru-RU"/>
        </w:rPr>
        <w:tab/>
        <w:t>В ходе 22-го собрания Рабочей группы Совета по финансовым и людским ресурсам секретариат представил вторую обновленную информацию о методах обеспечения непрерывности деятельности на период 2028−2029 годов. Секретариат подтвердил, что сессии Совета 2028 и 2029 годов должны пройти в Женеве в зале имени Попова, но на случай, если здание "Башня" будет недоступно, МСЭ зарезервировал помещения в МЦКЖ. Кроме того, секретариат отметил, что Объединенные Арабские Эмираты и Кения выразили заинтересованность в проведении у себя собраний МСЭ в период строительства, и призвал этих Членов представить официальные предложения Совету 2026 года.</w:t>
      </w:r>
    </w:p>
    <w:p w14:paraId="078B9C18" w14:textId="77777777" w:rsidR="00A61D19" w:rsidRPr="00A1365F" w:rsidRDefault="00A61D19" w:rsidP="00A61D19">
      <w:pPr>
        <w:rPr>
          <w:lang w:val="ru-RU"/>
        </w:rPr>
      </w:pPr>
      <w:r w:rsidRPr="00A1365F">
        <w:rPr>
          <w:lang w:val="ru-RU"/>
        </w:rPr>
        <w:t>7.5</w:t>
      </w:r>
      <w:r w:rsidRPr="00A1365F">
        <w:rPr>
          <w:lang w:val="ru-RU"/>
        </w:rPr>
        <w:tab/>
        <w:t xml:space="preserve">Швейцария представила вклад (Документ </w:t>
      </w:r>
      <w:hyperlink r:id="rId69" w:history="1">
        <w:r w:rsidRPr="00A1365F">
          <w:rPr>
            <w:rStyle w:val="Hyperlink"/>
            <w:lang w:val="ru-RU"/>
          </w:rPr>
          <w:t>CWG-FHR-22/23</w:t>
        </w:r>
      </w:hyperlink>
      <w:r w:rsidRPr="00A1365F">
        <w:rPr>
          <w:lang w:val="ru-RU"/>
        </w:rPr>
        <w:t>), в котором отмечается, что МСЭ сможет воспользоваться освобождением сроком на два года от выплат по соответствующим ссудам на приобретение недвижимости, ранее предоставленным Швейцарской Конфедерацией (на общую сумму 2 782 600 швейцарских франков). Было подчеркнуто, что цель этого вклада состоит в том, чтобы зарезервировать сэкономленные средства в размере 2 782 600 швейцарских франков на покрытие затрат, связанных с проведением собраний в Швейцарии в период, когда здания штаб-квартиры МСЭ и МЦКЖ будут частично или полностью недоступны.</w:t>
      </w:r>
      <w:hyperlink r:id="rId70" w:history="1"/>
    </w:p>
    <w:p w14:paraId="11F0083B" w14:textId="77777777" w:rsidR="00A61D19" w:rsidRPr="00A1365F" w:rsidRDefault="00A61D19" w:rsidP="00A61D19">
      <w:pPr>
        <w:rPr>
          <w:lang w:val="ru-RU"/>
        </w:rPr>
      </w:pPr>
      <w:r w:rsidRPr="00A1365F">
        <w:rPr>
          <w:lang w:val="ru-RU"/>
        </w:rPr>
        <w:t>7.6</w:t>
      </w:r>
      <w:r w:rsidRPr="00A1365F">
        <w:rPr>
          <w:lang w:val="ru-RU"/>
        </w:rPr>
        <w:tab/>
        <w:t xml:space="preserve">Российская Федерация представила замечания по обновленной информации об обеспечении непрерывности деятельности (Документ </w:t>
      </w:r>
      <w:hyperlink r:id="rId71" w:history="1">
        <w:r w:rsidRPr="00A1365F">
          <w:rPr>
            <w:rStyle w:val="Hyperlink"/>
            <w:lang w:val="ru-RU"/>
          </w:rPr>
          <w:t>CWG-FHR-22/28</w:t>
        </w:r>
      </w:hyperlink>
      <w:r w:rsidRPr="00A1365F">
        <w:rPr>
          <w:lang w:val="ru-RU"/>
        </w:rPr>
        <w:t>). В этих замечаниях отмечается высокая степень неопределенности в отношении 2028 года и рекомендуется продолжить рассмотрение различных вариантов во избежание ситуации, при которой решение будет приниматься в последний момент непосредственно перед закрытием помещений МСЭ.</w:t>
      </w:r>
      <w:hyperlink r:id="rId72" w:history="1"/>
    </w:p>
    <w:p w14:paraId="40788C29" w14:textId="77777777" w:rsidR="00A61D19" w:rsidRPr="00A1365F" w:rsidRDefault="00A61D19" w:rsidP="00B47ACB">
      <w:pPr>
        <w:spacing w:after="120"/>
        <w:rPr>
          <w:lang w:val="ru-RU"/>
        </w:rPr>
      </w:pPr>
      <w:r w:rsidRPr="00A1365F">
        <w:rPr>
          <w:lang w:val="ru-RU"/>
        </w:rPr>
        <w:t>7.7</w:t>
      </w:r>
      <w:r w:rsidRPr="00A1365F">
        <w:rPr>
          <w:lang w:val="ru-RU"/>
        </w:rPr>
        <w:tab/>
        <w:t>У делегатов по-прежнему оставались вопросы по процедурным вопросам и долгосрочному планированию, однако они неоднократно выражали свою благодарность правительству Швейцарии за его щедрый взнос.</w:t>
      </w:r>
    </w:p>
    <w:tbl>
      <w:tblPr>
        <w:tblStyle w:val="TableGrid"/>
        <w:tblW w:w="0" w:type="auto"/>
        <w:tblLook w:val="04A0" w:firstRow="1" w:lastRow="0" w:firstColumn="1" w:lastColumn="0" w:noHBand="0" w:noVBand="1"/>
      </w:tblPr>
      <w:tblGrid>
        <w:gridCol w:w="9061"/>
      </w:tblGrid>
      <w:tr w:rsidR="009F39BD" w:rsidRPr="005E4138" w14:paraId="0E77FE3D" w14:textId="77777777" w:rsidTr="00567B8B">
        <w:tc>
          <w:tcPr>
            <w:tcW w:w="9061" w:type="dxa"/>
          </w:tcPr>
          <w:p w14:paraId="5B7C9FD3" w14:textId="4B92F653" w:rsidR="009F39BD" w:rsidRPr="00A1365F" w:rsidRDefault="009F39BD" w:rsidP="00567B8B">
            <w:pPr>
              <w:spacing w:after="120"/>
              <w:rPr>
                <w:lang w:val="ru-RU"/>
              </w:rPr>
            </w:pPr>
            <w:r w:rsidRPr="00A1365F">
              <w:rPr>
                <w:lang w:val="ru-RU"/>
              </w:rPr>
              <w:t>7.8</w:t>
            </w:r>
            <w:r w:rsidRPr="00A1365F">
              <w:rPr>
                <w:lang w:val="ru-RU"/>
              </w:rPr>
              <w:tab/>
              <w:t xml:space="preserve">РГС-ФЛР </w:t>
            </w:r>
            <w:r w:rsidRPr="00A1365F">
              <w:rPr>
                <w:b/>
                <w:lang w:val="ru-RU"/>
              </w:rPr>
              <w:t>рекомендует</w:t>
            </w:r>
            <w:r w:rsidRPr="00A1365F">
              <w:rPr>
                <w:lang w:val="ru-RU"/>
              </w:rPr>
              <w:t xml:space="preserve"> Совету 2026 года направить 2 782 600 швейцарских франков в Фонд обеспечения непрерывности деятельности и использовать их исключительно для компенсации расходов на проведение собраний в Женеве.</w:t>
            </w:r>
          </w:p>
          <w:p w14:paraId="570C5078" w14:textId="6E6F3A1D" w:rsidR="009F39BD" w:rsidRPr="00A1365F" w:rsidRDefault="009F39BD" w:rsidP="00567B8B">
            <w:pPr>
              <w:spacing w:after="120"/>
              <w:rPr>
                <w:lang w:val="ru-RU"/>
              </w:rPr>
            </w:pPr>
            <w:r w:rsidRPr="00A1365F">
              <w:rPr>
                <w:lang w:val="ru-RU"/>
              </w:rPr>
              <w:t>7.9</w:t>
            </w:r>
            <w:r w:rsidRPr="00A1365F">
              <w:rPr>
                <w:lang w:val="ru-RU"/>
              </w:rPr>
              <w:tab/>
              <w:t xml:space="preserve">РГС-ФЛР также </w:t>
            </w:r>
            <w:r w:rsidRPr="00A1365F">
              <w:rPr>
                <w:b/>
                <w:lang w:val="ru-RU"/>
              </w:rPr>
              <w:t>рекомендовала</w:t>
            </w:r>
            <w:r w:rsidRPr="00A1365F">
              <w:rPr>
                <w:lang w:val="ru-RU"/>
              </w:rPr>
              <w:t xml:space="preserve"> секретариату обновить отчет об обеспечении непрерывности деятельности перед Советом 2026 года с учетом замечаний и вопросов делегатов.</w:t>
            </w:r>
          </w:p>
        </w:tc>
      </w:tr>
    </w:tbl>
    <w:p w14:paraId="2BCE16A2" w14:textId="77777777" w:rsidR="00A61D19" w:rsidRPr="00A1365F" w:rsidRDefault="00A61D19" w:rsidP="00A61D19">
      <w:pPr>
        <w:pStyle w:val="Heading1"/>
        <w:rPr>
          <w:lang w:val="ru-RU"/>
        </w:rPr>
      </w:pPr>
      <w:r w:rsidRPr="00A1365F">
        <w:rPr>
          <w:bCs/>
          <w:lang w:val="ru-RU"/>
        </w:rPr>
        <w:t>8</w:t>
      </w:r>
      <w:r w:rsidRPr="00A1365F">
        <w:rPr>
          <w:lang w:val="ru-RU"/>
        </w:rPr>
        <w:tab/>
        <w:t xml:space="preserve">Процесс подачи и отбора заявок на проведение конференций МСЭ (Документы </w:t>
      </w:r>
      <w:hyperlink r:id="rId73" w:history="1">
        <w:r w:rsidRPr="00A1365F">
          <w:rPr>
            <w:rStyle w:val="Hyperlink"/>
            <w:lang w:val="ru-RU"/>
          </w:rPr>
          <w:t>CWG-FHR-21/7</w:t>
        </w:r>
      </w:hyperlink>
      <w:r w:rsidRPr="00A1365F">
        <w:rPr>
          <w:lang w:val="ru-RU"/>
        </w:rPr>
        <w:t xml:space="preserve"> и </w:t>
      </w:r>
      <w:hyperlink r:id="rId74" w:history="1">
        <w:r w:rsidRPr="00A1365F">
          <w:rPr>
            <w:rStyle w:val="Hyperlink"/>
            <w:lang w:val="ru-RU"/>
          </w:rPr>
          <w:t>CWG-FHR-22/9</w:t>
        </w:r>
      </w:hyperlink>
      <w:r w:rsidRPr="00A1365F">
        <w:rPr>
          <w:lang w:val="ru-RU"/>
        </w:rPr>
        <w:t>)</w:t>
      </w:r>
      <w:hyperlink r:id="rId75" w:history="1"/>
      <w:hyperlink r:id="rId76" w:history="1"/>
    </w:p>
    <w:p w14:paraId="1C472104" w14:textId="5F62EDD3" w:rsidR="00A61D19" w:rsidRPr="00A1365F" w:rsidRDefault="00A61D19" w:rsidP="00A61D19">
      <w:pPr>
        <w:rPr>
          <w:lang w:val="ru-RU"/>
        </w:rPr>
      </w:pPr>
      <w:r w:rsidRPr="00A1365F">
        <w:rPr>
          <w:lang w:val="ru-RU"/>
        </w:rPr>
        <w:t>8.1</w:t>
      </w:r>
      <w:r w:rsidRPr="00A1365F">
        <w:rPr>
          <w:lang w:val="ru-RU"/>
        </w:rPr>
        <w:tab/>
        <w:t>Совет 2025 года поручил секретариату разработать официальный, основанный на совместной работе и прозрачный процесс подачи заявок на проведение будущих конференций МСЭ. В ответ на это секретариат представил документ, в котором описывается существующая практика выбора сроков проведения и принимающих стран для предусмотренных Уставом конференций и ассамблей, проводимых вне штаб-квартиры МСЭ в Женеве, а также отмечается, что в настоящее время не существует систематизированной официальной процедуры выбора принимающей стороны из числа нескольких претендентов. В отчете также представлены результаты первоначального сопоставительного анализа, проведенного с целью понять, каким образом процесс выбора Государств-Членов для проведения конференций осуществляется в рамках более широкой системы ООН.</w:t>
      </w:r>
    </w:p>
    <w:p w14:paraId="6FCA59F6" w14:textId="75F98D10" w:rsidR="00A61D19" w:rsidRPr="00A1365F" w:rsidRDefault="00A61D19" w:rsidP="00A61D19">
      <w:pPr>
        <w:pStyle w:val="Headingb"/>
        <w:rPr>
          <w:lang w:val="ru-RU"/>
        </w:rPr>
      </w:pPr>
      <w:r w:rsidRPr="00A1365F">
        <w:rPr>
          <w:lang w:val="ru-RU"/>
        </w:rPr>
        <w:t>Вклад Индии – Процесс подачи заявок на проведение конференций МСЭ (Документ</w:t>
      </w:r>
      <w:r w:rsidR="004A5295">
        <w:rPr>
          <w:lang w:val="ru-RU"/>
        </w:rPr>
        <w:t> </w:t>
      </w:r>
      <w:hyperlink r:id="rId77" w:history="1">
        <w:r w:rsidRPr="00A1365F">
          <w:rPr>
            <w:rStyle w:val="Hyperlink"/>
            <w:lang w:val="ru-RU"/>
          </w:rPr>
          <w:t>CWG</w:t>
        </w:r>
        <w:r w:rsidR="004A5295">
          <w:rPr>
            <w:rStyle w:val="Hyperlink"/>
            <w:lang w:val="ru-RU"/>
          </w:rPr>
          <w:noBreakHyphen/>
        </w:r>
        <w:r w:rsidRPr="00A1365F">
          <w:rPr>
            <w:rStyle w:val="Hyperlink"/>
            <w:lang w:val="ru-RU"/>
          </w:rPr>
          <w:t>FHR-21/15</w:t>
        </w:r>
      </w:hyperlink>
      <w:r w:rsidRPr="00A1365F">
        <w:rPr>
          <w:lang w:val="ru-RU"/>
        </w:rPr>
        <w:t>)</w:t>
      </w:r>
      <w:hyperlink r:id="rId78" w:history="1"/>
    </w:p>
    <w:p w14:paraId="40EA2575" w14:textId="2B474C6D" w:rsidR="00A61D19" w:rsidRPr="00A1365F" w:rsidRDefault="00A61D19" w:rsidP="00A61D19">
      <w:pPr>
        <w:rPr>
          <w:lang w:val="ru-RU"/>
        </w:rPr>
      </w:pPr>
      <w:r w:rsidRPr="00A1365F">
        <w:rPr>
          <w:lang w:val="ru-RU"/>
        </w:rPr>
        <w:t>8.2</w:t>
      </w:r>
      <w:r w:rsidRPr="00A1365F">
        <w:rPr>
          <w:lang w:val="ru-RU"/>
        </w:rPr>
        <w:tab/>
        <w:t>Во вкладе Индии предлагается несколько контрольных показателей для отбора кандидатов, включая наличие площадки, инфраструктуры, возможностей для размещения участников, возможности установления соединений/интернета и готовности систем ИКТ. В</w:t>
      </w:r>
      <w:r w:rsidR="004A5295">
        <w:rPr>
          <w:lang w:val="ru-RU"/>
        </w:rPr>
        <w:t> </w:t>
      </w:r>
      <w:r w:rsidRPr="00A1365F">
        <w:rPr>
          <w:lang w:val="ru-RU"/>
        </w:rPr>
        <w:t>предложении также подчеркивается, что в случае поступления в Совет нескольких отвечающих требованиям заявок, может применяться принцип "первым пришел – первым утвержден" и что в соответствии со Статьей 1 Конвенции дата и место проведения конференции должны определяться не менее чем за пять лет до ее проведения.</w:t>
      </w:r>
    </w:p>
    <w:p w14:paraId="71ABD357" w14:textId="7A3BFE08" w:rsidR="00A61D19" w:rsidRPr="00A1365F" w:rsidRDefault="00A61D19" w:rsidP="00A61D19">
      <w:pPr>
        <w:pStyle w:val="Headingb"/>
        <w:rPr>
          <w:lang w:val="ru-RU"/>
        </w:rPr>
      </w:pPr>
      <w:r w:rsidRPr="00A1365F">
        <w:rPr>
          <w:lang w:val="ru-RU"/>
        </w:rPr>
        <w:t>Вклад Китайской Народной Республики – Рекомендации по совершенствованию процедуры подачи заявок на проведение будущих конференций и ассамблей МСЭ (Документ</w:t>
      </w:r>
      <w:r w:rsidR="004A5295">
        <w:rPr>
          <w:lang w:val="ru-RU"/>
        </w:rPr>
        <w:t> </w:t>
      </w:r>
      <w:hyperlink r:id="rId79" w:history="1">
        <w:r w:rsidRPr="00A1365F">
          <w:rPr>
            <w:rStyle w:val="Hyperlink"/>
            <w:lang w:val="ru-RU"/>
          </w:rPr>
          <w:t>CWG</w:t>
        </w:r>
        <w:r w:rsidR="004A5295">
          <w:rPr>
            <w:rStyle w:val="Hyperlink"/>
            <w:lang w:val="ru-RU"/>
          </w:rPr>
          <w:noBreakHyphen/>
        </w:r>
        <w:r w:rsidRPr="00A1365F">
          <w:rPr>
            <w:rStyle w:val="Hyperlink"/>
            <w:lang w:val="ru-RU"/>
          </w:rPr>
          <w:t>FHR</w:t>
        </w:r>
        <w:r w:rsidR="004A5295">
          <w:rPr>
            <w:rStyle w:val="Hyperlink"/>
            <w:lang w:val="ru-RU"/>
          </w:rPr>
          <w:noBreakHyphen/>
        </w:r>
        <w:r w:rsidRPr="00A1365F">
          <w:rPr>
            <w:rStyle w:val="Hyperlink"/>
            <w:lang w:val="ru-RU"/>
          </w:rPr>
          <w:t>21/17</w:t>
        </w:r>
      </w:hyperlink>
      <w:r w:rsidRPr="00A1365F">
        <w:rPr>
          <w:lang w:val="ru-RU"/>
        </w:rPr>
        <w:t>)</w:t>
      </w:r>
      <w:hyperlink r:id="rId80" w:history="1"/>
    </w:p>
    <w:p w14:paraId="67D7A8A3" w14:textId="4F6C2481" w:rsidR="00A61D19" w:rsidRPr="00A1365F" w:rsidRDefault="00A61D19" w:rsidP="00A61D19">
      <w:pPr>
        <w:rPr>
          <w:lang w:val="ru-RU"/>
        </w:rPr>
      </w:pPr>
      <w:r w:rsidRPr="00A1365F">
        <w:rPr>
          <w:lang w:val="ru-RU"/>
        </w:rPr>
        <w:t>8.3</w:t>
      </w:r>
      <w:r w:rsidRPr="00A1365F">
        <w:rPr>
          <w:lang w:val="ru-RU"/>
        </w:rPr>
        <w:tab/>
        <w:t>Во вкладе Китайской Народной Республики предложено шесть направлений совершенствования существующих методов работы МСЭ при выборе принимающей страны: 1)</w:t>
      </w:r>
      <w:r w:rsidR="004A5295">
        <w:rPr>
          <w:lang w:val="ru-RU"/>
        </w:rPr>
        <w:t> </w:t>
      </w:r>
      <w:r w:rsidRPr="00A1365F">
        <w:rPr>
          <w:lang w:val="ru-RU"/>
        </w:rPr>
        <w:t xml:space="preserve">совершенствование стандартизации и прозрачности, 2) установление предельных сроков представления предложений о проведении мероприятия, 3) представление предложений о проведении мероприятия в письменном виде, 4) направление уведомления всем Государствам-Членам о выборе конкретной заявки, 5) установление минимальных требований к проведению мероприятия, и 6) организация выездов на площадки до начала официального рассмотрения предложений о проведении мероприятия. </w:t>
      </w:r>
    </w:p>
    <w:p w14:paraId="576D751E" w14:textId="13BC3321" w:rsidR="00A61D19" w:rsidRPr="00A1365F" w:rsidRDefault="00A61D19" w:rsidP="00A61D19">
      <w:pPr>
        <w:pStyle w:val="Headingb"/>
        <w:rPr>
          <w:lang w:val="ru-RU"/>
        </w:rPr>
      </w:pPr>
      <w:r w:rsidRPr="00A1365F">
        <w:rPr>
          <w:lang w:val="ru-RU"/>
        </w:rPr>
        <w:t>Вклад Соединенных Штатов Америки – Соображения относительно разработки официальных процессов и процедур для подачи заявок на проведение конференций и</w:t>
      </w:r>
      <w:r w:rsidR="004A5295">
        <w:rPr>
          <w:lang w:val="ru-RU"/>
        </w:rPr>
        <w:t> </w:t>
      </w:r>
      <w:r w:rsidRPr="00A1365F">
        <w:rPr>
          <w:lang w:val="ru-RU"/>
        </w:rPr>
        <w:t xml:space="preserve">ассамблей МСЭ (Документ </w:t>
      </w:r>
      <w:hyperlink r:id="rId81" w:history="1">
        <w:r w:rsidRPr="00A1365F">
          <w:rPr>
            <w:rStyle w:val="Hyperlink"/>
            <w:lang w:val="ru-RU"/>
          </w:rPr>
          <w:t>CWG-FHR-21/23</w:t>
        </w:r>
      </w:hyperlink>
      <w:r w:rsidRPr="00A1365F">
        <w:rPr>
          <w:lang w:val="ru-RU"/>
        </w:rPr>
        <w:t>)</w:t>
      </w:r>
      <w:hyperlink r:id="rId82" w:history="1"/>
    </w:p>
    <w:p w14:paraId="1D32DC10" w14:textId="77777777" w:rsidR="00A61D19" w:rsidRPr="00A1365F" w:rsidRDefault="00A61D19" w:rsidP="00A61D19">
      <w:pPr>
        <w:rPr>
          <w:b/>
          <w:lang w:val="ru-RU"/>
        </w:rPr>
      </w:pPr>
      <w:r w:rsidRPr="00A1365F">
        <w:rPr>
          <w:lang w:val="ru-RU"/>
        </w:rPr>
        <w:t>8.4</w:t>
      </w:r>
      <w:r w:rsidRPr="00A1365F">
        <w:rPr>
          <w:lang w:val="ru-RU"/>
        </w:rPr>
        <w:tab/>
        <w:t>Во вкладе Соединенных Штатов Америки МСЭ предлагается разработать процедуру подачи заявок на проведение конференций и ассамблей МСЭ на основе запроса предложений, охватывающего такие ключевые элементы, как результаты и спецификации, условия оплаты и финансовые обязательства. Кроме того, во вкладе предлагается создать группу, работающую по переписке, для содействия окончательной доработке новой процедуры подачи заявок к следующей сессии Совета в апреле 2026 года.</w:t>
      </w:r>
    </w:p>
    <w:p w14:paraId="43311553" w14:textId="77777777" w:rsidR="00A61D19" w:rsidRPr="00A1365F" w:rsidRDefault="00A61D19" w:rsidP="00A61D19">
      <w:pPr>
        <w:rPr>
          <w:lang w:val="ru-RU"/>
        </w:rPr>
      </w:pPr>
      <w:r w:rsidRPr="00A1365F">
        <w:rPr>
          <w:lang w:val="ru-RU"/>
        </w:rPr>
        <w:t>8.5</w:t>
      </w:r>
      <w:r w:rsidRPr="00A1365F">
        <w:rPr>
          <w:lang w:val="ru-RU"/>
        </w:rPr>
        <w:tab/>
        <w:t>Мнения делегатов на 21-м собрании распределились между тремя предложениями. Некоторые отдали предпочтение подходу Китая, предполагающему совершенствование процедуры подачи заявок с использованием существующих механизмов в рамках МСЭ, и высказали опасения относительно чрезмерной формализации процесса или того, что развивающиеся страны могут потерять заинтересованность в подаче заявок на проведение у себя мероприятий. Другие поддержали предложения Индии и Соединенных Штатов о создании более систематизированной структуры с четким набором критериев. Мнения делегатов разделились также по вопросу о целесообразности создания группы, работающей по переписке. Тем не менее все делегаты согласились с тем, что существует необходимость в совершенствовании процесса стандартизации и обеспечении прозрачности, а также в установлении четких временных рамок процесса подачи заявок.</w:t>
      </w:r>
    </w:p>
    <w:p w14:paraId="4D0BDDE1" w14:textId="268112EA" w:rsidR="00A61D19" w:rsidRPr="00A1365F" w:rsidRDefault="00A61D19" w:rsidP="00A61D19">
      <w:pPr>
        <w:rPr>
          <w:lang w:val="ru-RU"/>
        </w:rPr>
      </w:pPr>
      <w:r w:rsidRPr="00A1365F">
        <w:rPr>
          <w:lang w:val="ru-RU"/>
        </w:rPr>
        <w:t>8.6</w:t>
      </w:r>
      <w:r w:rsidRPr="00A1365F">
        <w:rPr>
          <w:lang w:val="ru-RU"/>
        </w:rPr>
        <w:tab/>
        <w:t>Ввиду отсутствия консенсуса Председатель обратилась к секретариату с просьбой пересмотреть первоначальный анализ с учетом обсуждений в ходе собрания и представленных предложений, а также провести информационную сессию. Эта информационная сессия была проведена в виртуальном формате 30 октября 2025 года, и</w:t>
      </w:r>
      <w:r w:rsidR="004A5295">
        <w:rPr>
          <w:lang w:val="ru-RU"/>
        </w:rPr>
        <w:t> </w:t>
      </w:r>
      <w:r w:rsidRPr="00A1365F">
        <w:rPr>
          <w:lang w:val="ru-RU"/>
        </w:rPr>
        <w:t>на</w:t>
      </w:r>
      <w:r w:rsidR="004A5295">
        <w:rPr>
          <w:lang w:val="ru-RU"/>
        </w:rPr>
        <w:t> </w:t>
      </w:r>
      <w:r w:rsidRPr="00A1365F">
        <w:rPr>
          <w:lang w:val="ru-RU"/>
        </w:rPr>
        <w:t>ней делегатам был представлен новый веб-портал МСЭ для принимающих стран.</w:t>
      </w:r>
    </w:p>
    <w:p w14:paraId="5B4BDA93" w14:textId="40BF6F01" w:rsidR="00A61D19" w:rsidRPr="00A1365F" w:rsidRDefault="00A61D19" w:rsidP="00A61D19">
      <w:pPr>
        <w:rPr>
          <w:lang w:val="ru-RU"/>
        </w:rPr>
      </w:pPr>
      <w:r w:rsidRPr="00A1365F">
        <w:rPr>
          <w:lang w:val="ru-RU"/>
        </w:rPr>
        <w:t>8.7</w:t>
      </w:r>
      <w:r w:rsidRPr="00A1365F">
        <w:rPr>
          <w:lang w:val="ru-RU"/>
        </w:rPr>
        <w:tab/>
        <w:t>На 22-м собрании секретариат представил предлагаемый порядок отбора принимающих стран для проведения конференций и ассамблей МСЭ и обновленную информацию об изменениях на веб-портале МСЭ для принимающих стран, внесенных с учетом обсуждений, состоявшихся в ходе информационной сессии.</w:t>
      </w:r>
    </w:p>
    <w:p w14:paraId="080D3171" w14:textId="26CE9C06" w:rsidR="00A61D19" w:rsidRPr="00A1365F" w:rsidRDefault="00A61D19" w:rsidP="00A61D19">
      <w:pPr>
        <w:rPr>
          <w:lang w:val="ru-RU"/>
        </w:rPr>
      </w:pPr>
      <w:r w:rsidRPr="00A1365F">
        <w:rPr>
          <w:lang w:val="ru-RU"/>
        </w:rPr>
        <w:t>8.8</w:t>
      </w:r>
      <w:r w:rsidRPr="00A1365F">
        <w:rPr>
          <w:lang w:val="ru-RU"/>
        </w:rPr>
        <w:tab/>
        <w:t>Хотя делегаты высоко оценили созданный секретариатом веб-портал, использование которого позволяет обеспечить большую прозрачность, они также отметили, что предложенный секретариатом процесс не в полной мере учитывает требования Совета 2025</w:t>
      </w:r>
      <w:r w:rsidR="004A5295">
        <w:rPr>
          <w:lang w:val="ru-RU"/>
        </w:rPr>
        <w:t> </w:t>
      </w:r>
      <w:r w:rsidRPr="00A1365F">
        <w:rPr>
          <w:lang w:val="ru-RU"/>
        </w:rPr>
        <w:t>года в отношении процедуры отбора из нескольких кандидатов. В результате несколько делегатов обратились к секретариату с просьбой пересмотреть предложенный им процесс, включив в него график или сроки подачи заявок на проведение мероприятий от стран-кандидатов, информацию о затратах и механизм обратной связи для Государств-Членов, чьи заявки не были одобрены.</w:t>
      </w:r>
    </w:p>
    <w:p w14:paraId="7D2E6F13" w14:textId="77777777" w:rsidR="00A61D19" w:rsidRPr="00A1365F" w:rsidRDefault="00A61D19" w:rsidP="00B47ACB">
      <w:pPr>
        <w:spacing w:after="120"/>
        <w:rPr>
          <w:lang w:val="ru-RU"/>
        </w:rPr>
      </w:pPr>
      <w:r w:rsidRPr="00A1365F">
        <w:rPr>
          <w:lang w:val="ru-RU"/>
        </w:rPr>
        <w:t>8.9</w:t>
      </w:r>
      <w:r w:rsidRPr="00A1365F">
        <w:rPr>
          <w:lang w:val="ru-RU"/>
        </w:rPr>
        <w:tab/>
        <w:t>Индия вновь заявила о своей поддержке дальнейшего обсуждения этих вопросов и поблагодарила РГС-ФЛР за то, что она приняла к сведению предложение Индии о проведении Полномочной конференции 2030 года.</w:t>
      </w:r>
    </w:p>
    <w:tbl>
      <w:tblPr>
        <w:tblStyle w:val="TableGrid"/>
        <w:tblW w:w="0" w:type="auto"/>
        <w:tblLook w:val="04A0" w:firstRow="1" w:lastRow="0" w:firstColumn="1" w:lastColumn="0" w:noHBand="0" w:noVBand="1"/>
      </w:tblPr>
      <w:tblGrid>
        <w:gridCol w:w="9061"/>
      </w:tblGrid>
      <w:tr w:rsidR="009F39BD" w:rsidRPr="005E4138" w14:paraId="6750B4DC" w14:textId="77777777" w:rsidTr="00567B8B">
        <w:tc>
          <w:tcPr>
            <w:tcW w:w="9061" w:type="dxa"/>
          </w:tcPr>
          <w:p w14:paraId="6DDB9100" w14:textId="470B5F32" w:rsidR="009F39BD" w:rsidRPr="00A1365F" w:rsidRDefault="009F39BD" w:rsidP="00567B8B">
            <w:pPr>
              <w:spacing w:after="120"/>
              <w:rPr>
                <w:lang w:val="ru-RU"/>
              </w:rPr>
            </w:pPr>
            <w:r w:rsidRPr="00A1365F">
              <w:rPr>
                <w:lang w:val="ru-RU"/>
              </w:rPr>
              <w:t>8.10</w:t>
            </w:r>
            <w:r w:rsidRPr="00A1365F">
              <w:rPr>
                <w:lang w:val="ru-RU"/>
              </w:rPr>
              <w:tab/>
              <w:t xml:space="preserve">РГС-ФЛР </w:t>
            </w:r>
            <w:r w:rsidRPr="00A1365F">
              <w:rPr>
                <w:b/>
                <w:lang w:val="ru-RU"/>
              </w:rPr>
              <w:t>рекомендовала</w:t>
            </w:r>
            <w:r w:rsidRPr="00A1365F">
              <w:rPr>
                <w:lang w:val="ru-RU"/>
              </w:rPr>
              <w:t xml:space="preserve"> секретариату изучить стенограммы, отчеты о собраниях и вклады Совета 2025 года, а также собраний РГС-ФЛР, состоявшихся в сентябре 2025 года и январе 2026 года, и представить Совету 2026 года документ, описывающий процедуру отбора с указанием графика и ориентировочной стоимости.</w:t>
            </w:r>
          </w:p>
          <w:p w14:paraId="1B56ADA8" w14:textId="398F9870" w:rsidR="009F39BD" w:rsidRPr="00A1365F" w:rsidRDefault="009F39BD" w:rsidP="00567B8B">
            <w:pPr>
              <w:spacing w:after="120"/>
              <w:rPr>
                <w:lang w:val="ru-RU"/>
              </w:rPr>
            </w:pPr>
            <w:r w:rsidRPr="00A1365F">
              <w:rPr>
                <w:lang w:val="ru-RU"/>
              </w:rPr>
              <w:t>8.11</w:t>
            </w:r>
            <w:r w:rsidRPr="00A1365F">
              <w:rPr>
                <w:lang w:val="ru-RU"/>
              </w:rPr>
              <w:tab/>
              <w:t xml:space="preserve">РГС-ФЛР </w:t>
            </w:r>
            <w:r w:rsidRPr="00A1365F">
              <w:rPr>
                <w:b/>
                <w:lang w:val="ru-RU"/>
              </w:rPr>
              <w:t>предлагает</w:t>
            </w:r>
            <w:r w:rsidRPr="00A1365F">
              <w:rPr>
                <w:lang w:val="ru-RU"/>
              </w:rPr>
              <w:t xml:space="preserve"> Совету принять к сведению предложение Индии о проведении Полномочной конференции в 2030 году.</w:t>
            </w:r>
          </w:p>
        </w:tc>
      </w:tr>
    </w:tbl>
    <w:p w14:paraId="3BB20019" w14:textId="77777777" w:rsidR="00A61D19" w:rsidRPr="00A1365F" w:rsidRDefault="00A61D19" w:rsidP="00A61D19">
      <w:pPr>
        <w:pStyle w:val="Heading1"/>
        <w:rPr>
          <w:lang w:val="ru-RU"/>
        </w:rPr>
      </w:pPr>
      <w:r w:rsidRPr="00A1365F">
        <w:rPr>
          <w:bCs/>
          <w:lang w:val="ru-RU"/>
        </w:rPr>
        <w:t>9</w:t>
      </w:r>
      <w:r w:rsidRPr="00A1365F">
        <w:rPr>
          <w:lang w:val="ru-RU"/>
        </w:rPr>
        <w:tab/>
        <w:t xml:space="preserve">Уменьшение финансового бремени для принимающих стран (Документы </w:t>
      </w:r>
      <w:hyperlink r:id="rId83" w:history="1">
        <w:r w:rsidRPr="00A1365F">
          <w:rPr>
            <w:rStyle w:val="Hyperlink"/>
            <w:lang w:val="ru-RU"/>
          </w:rPr>
          <w:t>CWG-FHR-21/8</w:t>
        </w:r>
      </w:hyperlink>
      <w:r w:rsidRPr="00A1365F">
        <w:rPr>
          <w:lang w:val="ru-RU"/>
        </w:rPr>
        <w:t xml:space="preserve"> и </w:t>
      </w:r>
      <w:hyperlink r:id="rId84" w:history="1">
        <w:r w:rsidRPr="00A1365F">
          <w:rPr>
            <w:rStyle w:val="Hyperlink"/>
            <w:lang w:val="ru-RU"/>
          </w:rPr>
          <w:t>CWG-FHR-22/19</w:t>
        </w:r>
      </w:hyperlink>
      <w:r w:rsidRPr="00A1365F">
        <w:rPr>
          <w:lang w:val="ru-RU"/>
        </w:rPr>
        <w:t>)</w:t>
      </w:r>
      <w:hyperlink r:id="rId85" w:history="1"/>
      <w:hyperlink r:id="rId86" w:history="1"/>
    </w:p>
    <w:p w14:paraId="36BA8092" w14:textId="77777777" w:rsidR="00A61D19" w:rsidRPr="00A1365F" w:rsidRDefault="00A61D19" w:rsidP="00A61D19">
      <w:pPr>
        <w:rPr>
          <w:lang w:val="ru-RU"/>
        </w:rPr>
      </w:pPr>
      <w:r w:rsidRPr="00A1365F">
        <w:rPr>
          <w:lang w:val="ru-RU"/>
        </w:rPr>
        <w:t>9.1</w:t>
      </w:r>
      <w:r w:rsidRPr="00A1365F">
        <w:rPr>
          <w:lang w:val="ru-RU"/>
        </w:rPr>
        <w:tab/>
        <w:t xml:space="preserve">На 21-м собрании секретариат представил свою оценку осуществимости трех предложений по сокращению затрат принимающих стран на проведение мероприятий МСЭ и содействию более широкому участию, которые были впервые представлены Совету в июне 2025 года во вкладе группы стран (Документ </w:t>
      </w:r>
      <w:hyperlink r:id="rId87" w:history="1">
        <w:r w:rsidRPr="00A1365F">
          <w:rPr>
            <w:rFonts w:eastAsia="Aptos"/>
            <w:color w:val="0070C0"/>
            <w:u w:val="single"/>
            <w:lang w:val="ru-RU"/>
          </w:rPr>
          <w:t>C25/95</w:t>
        </w:r>
      </w:hyperlink>
      <w:r w:rsidRPr="00A1365F">
        <w:rPr>
          <w:lang w:val="ru-RU"/>
        </w:rPr>
        <w:t>). Предложения включали: 1) привлечение местных и/или национальных компаний для обеспечения устного перевода; 2) привлечение местных поставщиков ИТ-оборудования и устройств; и 3) переход к цифровому формату процессов регистрации и аккредитации участников конференций.</w:t>
      </w:r>
      <w:hyperlink r:id="rId88" w:history="1"/>
    </w:p>
    <w:p w14:paraId="2BE33170" w14:textId="77777777" w:rsidR="00A61D19" w:rsidRPr="00A1365F" w:rsidRDefault="00A61D19" w:rsidP="00A61D19">
      <w:pPr>
        <w:rPr>
          <w:lang w:val="ru-RU"/>
        </w:rPr>
      </w:pPr>
      <w:r w:rsidRPr="00A1365F">
        <w:rPr>
          <w:lang w:val="ru-RU"/>
        </w:rPr>
        <w:t>9.2</w:t>
      </w:r>
      <w:r w:rsidRPr="00A1365F">
        <w:rPr>
          <w:lang w:val="ru-RU"/>
        </w:rPr>
        <w:tab/>
        <w:t>Делегаты в значительной степени поддержали эти меры по сокращению затрат, подчеркнув, что они откроют возможности для большего числа стран, особенно развивающихся, принимать у себя мероприятия МСЭ. Делегаты поднимали вопросы о конкретной экономии финансовых средств и технических критериях для закупок на местном уровне. МСЭ было настоятельно рекомендовано сотрудничать с академическими учреждениями в целях расширения резерва квалифицированных устных переводчиков, при этом делегаты подчеркнули, что приоритетом должно оставаться качество устного перевода. В ответ секретариат подтвердил свою приверженность обеспечению качественного устного перевода и пообещал предоставить более подробную информацию о цифровизации и безопасности, а также о технических руководящих указаниях на следующем собрании. В рамках подготовки к собранию РГС-ФЛР в январе 2026 года Председатель поручила секретариату пересмотреть типовое соглашение с принимающей страной на основе этого обсуждения и с учетом вклада Румынии Совету 2023 года.</w:t>
      </w:r>
    </w:p>
    <w:p w14:paraId="45EC6BB5" w14:textId="77777777" w:rsidR="00A61D19" w:rsidRPr="00A1365F" w:rsidRDefault="00A61D19" w:rsidP="00A61D19">
      <w:pPr>
        <w:rPr>
          <w:spacing w:val="-2"/>
          <w:lang w:val="ru-RU"/>
        </w:rPr>
      </w:pPr>
      <w:r w:rsidRPr="00A1365F">
        <w:rPr>
          <w:lang w:val="ru-RU"/>
        </w:rPr>
        <w:t>9.3</w:t>
      </w:r>
      <w:r w:rsidRPr="00A1365F">
        <w:rPr>
          <w:lang w:val="ru-RU"/>
        </w:rPr>
        <w:tab/>
        <w:t xml:space="preserve">На 22-м собрании Секретариат представил Документ </w:t>
      </w:r>
      <w:hyperlink r:id="rId89" w:history="1">
        <w:r w:rsidRPr="00A1365F">
          <w:rPr>
            <w:rStyle w:val="Hyperlink"/>
            <w:spacing w:val="-2"/>
            <w:lang w:val="ru-RU"/>
          </w:rPr>
          <w:t>CWG-FHR-22/19</w:t>
        </w:r>
      </w:hyperlink>
      <w:r w:rsidRPr="00A1365F">
        <w:rPr>
          <w:lang w:val="ru-RU"/>
        </w:rPr>
        <w:t>, в котором содержится дополнительная обновленная информация о предложениях по сокращению расходов для стран, принимающих мероприятия МСЭ. Было подготовлено и представлено на рассмотрение Рабочей группе Совета по использованию шести официальных языков Союза (РГС-Яз) официальное предложение для Государств-Членов о сотрудничестве в создании резерва местных и национальных устных переводчиков конференций. Формирование резерва должно быть завершено к началу 2027 года, однако могут возникнуть некоторые трудности с поиском устных переводчиков, обладающих достаточной квалификацией, для всех шести официальных языков. Кроме того, рассматривается возможность дистанционного синхронного перевода, а также перевода и ввода субтитров на основе искусственного интеллекта. Что касается обеспечения местным ИТ-оборудованием и устройствами, МСЭ в сотрудничестве с принимающими странами проводит анализ целесообразности определения минимальных технических требований и формирования перечня поставщиков, прошедших предварительную квалификацию. МСЭ также планирует к 2027 году начать пилотное внедрение гибридных моделей поддержки, чтобы снизить зависимость от частной облачной инфраструктуры МСЭ. Наконец, МСЭ изучает возможность перехода к полностью цифровой аккредитации на конференциях.</w:t>
      </w:r>
      <w:hyperlink r:id="rId90" w:history="1"/>
    </w:p>
    <w:p w14:paraId="19ECC650" w14:textId="77777777" w:rsidR="00A61D19" w:rsidRPr="00A1365F" w:rsidRDefault="00A61D19" w:rsidP="00B47ACB">
      <w:pPr>
        <w:spacing w:after="120"/>
        <w:rPr>
          <w:lang w:val="ru-RU"/>
        </w:rPr>
      </w:pPr>
      <w:r w:rsidRPr="00A1365F">
        <w:rPr>
          <w:lang w:val="ru-RU"/>
        </w:rPr>
        <w:t>9.4</w:t>
      </w:r>
      <w:r w:rsidRPr="00A1365F">
        <w:rPr>
          <w:lang w:val="ru-RU"/>
        </w:rPr>
        <w:tab/>
        <w:t>Делегаты высоко оценили расширенные предложения по снижению финансового бремени для принимающих стран, хотя один из делегатов подчеркнул, что эти меры должны носить нейтральный характер и отвечать интересам любого Государства-Члена. Делегаты выразили серьезные опасения относительно использования устного перевода на основе ИИ и рекомендовали внедрять эту технологию постепенно, начиная с небольших собраний, чтобы оценить ее точность, прежде чем применять ее в более широком масштабе. Секретариат согласился с этим осторожным подходом, подтвердив, что ИИ еще не готов для использования на собраниях технических или руководящих органов, однако его тестирование будет продолжено. Делегаты также отметили важность использования устных переводчиков, которые разбираются в сугубо технических аспектах работы и терминологии МСЭ. Секретариат подтвердил, что МСЭ возьмет на себя организацию подготовки, проверки уровня квалификации и отбора устных переводчиков с целью обеспечения высокого качества их работы.</w:t>
      </w:r>
    </w:p>
    <w:tbl>
      <w:tblPr>
        <w:tblStyle w:val="TableGrid"/>
        <w:tblW w:w="0" w:type="auto"/>
        <w:tblLook w:val="04A0" w:firstRow="1" w:lastRow="0" w:firstColumn="1" w:lastColumn="0" w:noHBand="0" w:noVBand="1"/>
      </w:tblPr>
      <w:tblGrid>
        <w:gridCol w:w="9061"/>
      </w:tblGrid>
      <w:tr w:rsidR="009F39BD" w:rsidRPr="005E4138" w14:paraId="016235D5" w14:textId="77777777" w:rsidTr="00567B8B">
        <w:tc>
          <w:tcPr>
            <w:tcW w:w="9061" w:type="dxa"/>
          </w:tcPr>
          <w:p w14:paraId="1443A01D" w14:textId="1F2A31BD" w:rsidR="009F39BD" w:rsidRPr="00A1365F" w:rsidRDefault="009F39BD" w:rsidP="00567B8B">
            <w:pPr>
              <w:spacing w:after="120"/>
              <w:rPr>
                <w:lang w:val="ru-RU"/>
              </w:rPr>
            </w:pPr>
            <w:r w:rsidRPr="00A1365F">
              <w:rPr>
                <w:lang w:val="ru-RU"/>
              </w:rPr>
              <w:t>9.5</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2026 года обновленную информацию об обсуждениях в рамках РГС-ФЛР, касающихся уменьшения финансового бремени для принимающих стран.</w:t>
            </w:r>
          </w:p>
        </w:tc>
      </w:tr>
    </w:tbl>
    <w:p w14:paraId="02FDE6E6" w14:textId="5F446413" w:rsidR="00A61D19" w:rsidRPr="00A1365F" w:rsidRDefault="00A61D19" w:rsidP="00A61D19">
      <w:pPr>
        <w:pStyle w:val="Heading1"/>
        <w:rPr>
          <w:lang w:val="ru-RU"/>
        </w:rPr>
      </w:pPr>
      <w:r w:rsidRPr="00A1365F">
        <w:rPr>
          <w:bCs/>
          <w:lang w:val="ru-RU"/>
        </w:rPr>
        <w:t>10</w:t>
      </w:r>
      <w:r w:rsidRPr="00A1365F">
        <w:rPr>
          <w:lang w:val="ru-RU"/>
        </w:rPr>
        <w:tab/>
        <w:t xml:space="preserve">Совершенствование процесса управления людскими ресурсами (Документы </w:t>
      </w:r>
      <w:hyperlink r:id="rId91" w:history="1">
        <w:r w:rsidRPr="00A1365F">
          <w:rPr>
            <w:rStyle w:val="Hyperlink"/>
            <w:lang w:val="ru-RU"/>
          </w:rPr>
          <w:t>C25/85(Rev.1)</w:t>
        </w:r>
      </w:hyperlink>
      <w:r w:rsidRPr="00A1365F">
        <w:rPr>
          <w:lang w:val="ru-RU"/>
        </w:rPr>
        <w:t xml:space="preserve">, </w:t>
      </w:r>
      <w:hyperlink r:id="rId92" w:history="1">
        <w:r w:rsidRPr="00A1365F">
          <w:rPr>
            <w:rStyle w:val="Hyperlink"/>
            <w:lang w:val="ru-RU"/>
          </w:rPr>
          <w:t>CWG-FHR-22/10</w:t>
        </w:r>
      </w:hyperlink>
      <w:r w:rsidRPr="00A1365F">
        <w:rPr>
          <w:lang w:val="ru-RU"/>
        </w:rPr>
        <w:t xml:space="preserve"> и </w:t>
      </w:r>
      <w:hyperlink r:id="rId93" w:history="1">
        <w:r w:rsidRPr="00A1365F">
          <w:rPr>
            <w:rStyle w:val="Hyperlink"/>
            <w:lang w:val="ru-RU"/>
          </w:rPr>
          <w:t>CWG-FHR-22/12</w:t>
        </w:r>
      </w:hyperlink>
      <w:r w:rsidRPr="00A1365F">
        <w:rPr>
          <w:lang w:val="ru-RU"/>
        </w:rPr>
        <w:t>)</w:t>
      </w:r>
      <w:hyperlink r:id="rId94" w:history="1"/>
      <w:hyperlink r:id="rId95" w:history="1"/>
      <w:hyperlink r:id="rId96" w:history="1"/>
    </w:p>
    <w:p w14:paraId="618FC518" w14:textId="2B2D54AB" w:rsidR="00A61D19" w:rsidRPr="00A1365F" w:rsidRDefault="00A61D19" w:rsidP="00A61D19">
      <w:pPr>
        <w:rPr>
          <w:lang w:val="ru-RU"/>
        </w:rPr>
      </w:pPr>
      <w:r w:rsidRPr="00A1365F">
        <w:rPr>
          <w:lang w:val="ru-RU"/>
        </w:rPr>
        <w:t>10.1</w:t>
      </w:r>
      <w:r w:rsidRPr="00A1365F">
        <w:rPr>
          <w:lang w:val="ru-RU"/>
        </w:rPr>
        <w:tab/>
        <w:t>На 21-м собрании делегат от Китайской Народной Республики представил Документ</w:t>
      </w:r>
      <w:r w:rsidR="004A5295">
        <w:rPr>
          <w:lang w:val="ru-RU"/>
        </w:rPr>
        <w:t> </w:t>
      </w:r>
      <w:hyperlink r:id="rId97" w:history="1">
        <w:r w:rsidRPr="00A1365F">
          <w:rPr>
            <w:rStyle w:val="Hyperlink"/>
            <w:lang w:val="ru-RU"/>
          </w:rPr>
          <w:t>C25/85(Rev.1)</w:t>
        </w:r>
      </w:hyperlink>
      <w:r w:rsidRPr="00A1365F">
        <w:rPr>
          <w:lang w:val="ru-RU"/>
        </w:rPr>
        <w:t>, первоначально являвшийся вкладом для Совета 2025 года, в котором рассматриваются подходы МСЭ к управлению людскими ресурсами и предлагаются изменения к двум резолюциям Совета. Совет 2025 года передал документ РГС-ФЛР для дальнейшего обсуждения. Поскольку никто из делегатов не взял слово для выступления, Председатель приняла решение вновь обратиться к рассмотрению этого вклада на 22-м собрании в январе после представления обновленного отчета секретариата по людским ресурсам.</w:t>
      </w:r>
      <w:hyperlink r:id="rId98" w:history="1"/>
    </w:p>
    <w:p w14:paraId="638904C2" w14:textId="0D6D0A35" w:rsidR="00A61D19" w:rsidRPr="00A1365F" w:rsidRDefault="00A61D19" w:rsidP="00A61D19">
      <w:pPr>
        <w:rPr>
          <w:spacing w:val="-2"/>
          <w:lang w:val="ru-RU"/>
        </w:rPr>
      </w:pPr>
      <w:r w:rsidRPr="00A1365F">
        <w:rPr>
          <w:lang w:val="ru-RU"/>
        </w:rPr>
        <w:t>10.2</w:t>
      </w:r>
      <w:r w:rsidRPr="00A1365F">
        <w:rPr>
          <w:lang w:val="ru-RU"/>
        </w:rPr>
        <w:tab/>
        <w:t xml:space="preserve">В январе 2026 года секретариат представил свой ответ на рекомендации, содержащиеся в Документе C25/85(Rev.1). В Документе </w:t>
      </w:r>
      <w:hyperlink r:id="rId99" w:history="1">
        <w:r w:rsidRPr="00A1365F">
          <w:rPr>
            <w:rStyle w:val="Hyperlink"/>
            <w:spacing w:val="-2"/>
            <w:lang w:val="ru-RU"/>
          </w:rPr>
          <w:t>CWG-FHR-22/10</w:t>
        </w:r>
      </w:hyperlink>
      <w:r w:rsidRPr="00A1365F">
        <w:rPr>
          <w:lang w:val="ru-RU"/>
        </w:rPr>
        <w:t xml:space="preserve"> секретариат подтвердил реализацию мер по реструктуризации и заверил делегатов в продолжении взаимодействия с руководством департаментов и Координационным комитетом. Кроме того, секретариат подтвердил, что любые значительные организационные изменения, требующие утверждения Советом, будут должным образом представлены на рассмотрение. Департамент управления людскими ресурсами (HRMD) также подтвердил, что Государствам-Членам предоставляется информация о любых внешних объявлениях о вакансиях, финансируемых из регулярного бюджета.</w:t>
      </w:r>
      <w:hyperlink r:id="rId100" w:history="1"/>
    </w:p>
    <w:p w14:paraId="1A886B8F" w14:textId="77777777" w:rsidR="00A61D19" w:rsidRPr="00A1365F" w:rsidRDefault="00A61D19" w:rsidP="00A61D19">
      <w:pPr>
        <w:rPr>
          <w:spacing w:val="2"/>
          <w:lang w:val="ru-RU"/>
        </w:rPr>
      </w:pPr>
      <w:r w:rsidRPr="00A1365F">
        <w:rPr>
          <w:lang w:val="ru-RU"/>
        </w:rPr>
        <w:t>10.3</w:t>
      </w:r>
      <w:r w:rsidRPr="00A1365F">
        <w:rPr>
          <w:lang w:val="ru-RU"/>
        </w:rPr>
        <w:tab/>
        <w:t xml:space="preserve">Вместе с ответом секретариат представил также Документ </w:t>
      </w:r>
      <w:hyperlink r:id="rId101" w:history="1">
        <w:r w:rsidRPr="00A1365F">
          <w:rPr>
            <w:rStyle w:val="Hyperlink"/>
            <w:spacing w:val="2"/>
            <w:lang w:val="ru-RU"/>
          </w:rPr>
          <w:t>CWG</w:t>
        </w:r>
        <w:r w:rsidRPr="00A1365F">
          <w:rPr>
            <w:rStyle w:val="Hyperlink"/>
            <w:spacing w:val="2"/>
            <w:lang w:val="ru-RU"/>
          </w:rPr>
          <w:noBreakHyphen/>
          <w:t>FHR-22/12</w:t>
        </w:r>
      </w:hyperlink>
      <w:r w:rsidRPr="00A1365F">
        <w:rPr>
          <w:lang w:val="ru-RU"/>
        </w:rPr>
        <w:t>, в котором содержится обновленная информация об инициативах МСЭ "Люди и культура" в разбивке по четырем ключевым направлениям: лидерство, благополучие, вознаграждения и признание, вовлеченность сотрудников.</w:t>
      </w:r>
      <w:hyperlink r:id="rId102" w:history="1"/>
    </w:p>
    <w:p w14:paraId="7E9301B2" w14:textId="0515ED8E" w:rsidR="00A61D19" w:rsidRPr="00A1365F" w:rsidRDefault="00A61D19" w:rsidP="00B47ACB">
      <w:pPr>
        <w:spacing w:after="120"/>
        <w:rPr>
          <w:lang w:val="ru-RU"/>
        </w:rPr>
      </w:pPr>
      <w:r w:rsidRPr="00A1365F">
        <w:rPr>
          <w:lang w:val="ru-RU"/>
        </w:rPr>
        <w:t>10.4</w:t>
      </w:r>
      <w:r w:rsidRPr="00A1365F">
        <w:rPr>
          <w:lang w:val="ru-RU"/>
        </w:rPr>
        <w:tab/>
        <w:t>Несколько делегатов поддержали предложение запросить у Совета дополнительные разъяснения относительно конкретных планов по реструктуризации Генерального секретариата. Кроме того, один из делегатов поинтересовался, кто определяет, считается ли то или иное организационное изменение "значительным". Делегаты также просили представить им информацию о результатах опроса о вовлеченности сотрудников и предложили альтернативные механизмы, связанные с децентрализацией комплекса зданий и оптимизацией трудовых ресурсов. Один из делегатов также поинтересовался, будет ли омбудсмен представлять Совету ежегодный отчет.</w:t>
      </w:r>
    </w:p>
    <w:tbl>
      <w:tblPr>
        <w:tblStyle w:val="TableGrid"/>
        <w:tblW w:w="0" w:type="auto"/>
        <w:tblLook w:val="04A0" w:firstRow="1" w:lastRow="0" w:firstColumn="1" w:lastColumn="0" w:noHBand="0" w:noVBand="1"/>
      </w:tblPr>
      <w:tblGrid>
        <w:gridCol w:w="9061"/>
      </w:tblGrid>
      <w:tr w:rsidR="009F39BD" w:rsidRPr="005E4138" w14:paraId="49807B39" w14:textId="77777777" w:rsidTr="00567B8B">
        <w:tc>
          <w:tcPr>
            <w:tcW w:w="9061" w:type="dxa"/>
          </w:tcPr>
          <w:p w14:paraId="598791D9" w14:textId="798E6F50" w:rsidR="009F39BD" w:rsidRPr="00A1365F" w:rsidRDefault="009F39BD" w:rsidP="00567B8B">
            <w:pPr>
              <w:spacing w:after="120"/>
              <w:rPr>
                <w:lang w:val="ru-RU"/>
              </w:rPr>
            </w:pPr>
            <w:r w:rsidRPr="00A1365F">
              <w:rPr>
                <w:lang w:val="ru-RU"/>
              </w:rPr>
              <w:t>10.5</w:t>
            </w:r>
            <w:r w:rsidRPr="00A1365F">
              <w:rPr>
                <w:lang w:val="ru-RU"/>
              </w:rPr>
              <w:tab/>
              <w:t xml:space="preserve">РГС-ФЛР </w:t>
            </w:r>
            <w:r w:rsidRPr="00A1365F">
              <w:rPr>
                <w:b/>
                <w:lang w:val="ru-RU"/>
              </w:rPr>
              <w:t>рекомендовала</w:t>
            </w:r>
            <w:r w:rsidRPr="00A1365F">
              <w:rPr>
                <w:lang w:val="ru-RU"/>
              </w:rPr>
              <w:t xml:space="preserve"> секретариату опубликовать результаты опроса о вовлеченности сотрудников в качестве информационного документа и представить отчет о плане реструктуризации Генерального секретариата с учетом рекомендаций компании </w:t>
            </w:r>
            <w:proofErr w:type="spellStart"/>
            <w:r w:rsidRPr="00A1365F">
              <w:rPr>
                <w:lang w:val="ru-RU"/>
              </w:rPr>
              <w:t>Dalberg</w:t>
            </w:r>
            <w:proofErr w:type="spellEnd"/>
            <w:r w:rsidRPr="00A1365F">
              <w:rPr>
                <w:lang w:val="ru-RU"/>
              </w:rPr>
              <w:t>.</w:t>
            </w:r>
          </w:p>
          <w:p w14:paraId="33FC5510" w14:textId="77777777" w:rsidR="009F39BD" w:rsidRPr="00A1365F" w:rsidRDefault="009F39BD" w:rsidP="00567B8B">
            <w:pPr>
              <w:spacing w:after="120"/>
              <w:rPr>
                <w:lang w:val="ru-RU"/>
              </w:rPr>
            </w:pPr>
            <w:r w:rsidRPr="00A1365F">
              <w:rPr>
                <w:lang w:val="ru-RU"/>
              </w:rPr>
              <w:t>10.6</w:t>
            </w:r>
            <w:r w:rsidRPr="00A1365F">
              <w:rPr>
                <w:lang w:val="ru-RU"/>
              </w:rPr>
              <w:tab/>
              <w:t xml:space="preserve">РГС-ФЛР </w:t>
            </w:r>
            <w:r w:rsidRPr="00A1365F">
              <w:rPr>
                <w:b/>
                <w:lang w:val="ru-RU"/>
              </w:rPr>
              <w:t>предлагает</w:t>
            </w:r>
            <w:r w:rsidRPr="00A1365F">
              <w:rPr>
                <w:lang w:val="ru-RU"/>
              </w:rPr>
              <w:t xml:space="preserve"> Совету поручить секретариату подготовить отчет с разъяснением того, какие организационные изменения считаются "значительными", для дальнейшего обсуждения этого вопроса на Полномочной конференции 2026 года.</w:t>
            </w:r>
          </w:p>
          <w:p w14:paraId="40F31BDB" w14:textId="4EA8B5AD" w:rsidR="009F39BD" w:rsidRPr="00A1365F" w:rsidRDefault="009F39BD" w:rsidP="00567B8B">
            <w:pPr>
              <w:spacing w:after="120"/>
              <w:rPr>
                <w:lang w:val="ru-RU"/>
              </w:rPr>
            </w:pPr>
            <w:r w:rsidRPr="00A1365F">
              <w:rPr>
                <w:lang w:val="ru-RU"/>
              </w:rPr>
              <w:t>10.7</w:t>
            </w:r>
            <w:r w:rsidRPr="00A1365F">
              <w:rPr>
                <w:lang w:val="ru-RU"/>
              </w:rPr>
              <w:tab/>
              <w:t xml:space="preserve">РГС-ФЛР </w:t>
            </w:r>
            <w:r w:rsidRPr="00A1365F">
              <w:rPr>
                <w:b/>
                <w:lang w:val="ru-RU"/>
              </w:rPr>
              <w:t>предлагает</w:t>
            </w:r>
            <w:r w:rsidRPr="00A1365F">
              <w:rPr>
                <w:lang w:val="ru-RU"/>
              </w:rPr>
              <w:t xml:space="preserve"> Совету просить секретариат подготовить оценку воздействия инициатив "Люди и культура", с тем чтобы лучше понять, как они повлияли на уровень удовлетворенности персонала МСЭ.</w:t>
            </w:r>
          </w:p>
        </w:tc>
      </w:tr>
    </w:tbl>
    <w:p w14:paraId="769839D9" w14:textId="77777777" w:rsidR="00A61D19" w:rsidRPr="00A1365F" w:rsidRDefault="00A61D19" w:rsidP="00A61D19">
      <w:pPr>
        <w:pStyle w:val="Heading1"/>
        <w:rPr>
          <w:lang w:val="ru-RU"/>
        </w:rPr>
      </w:pPr>
      <w:r w:rsidRPr="00A1365F">
        <w:rPr>
          <w:bCs/>
          <w:lang w:val="ru-RU"/>
        </w:rPr>
        <w:t>11</w:t>
      </w:r>
      <w:r w:rsidRPr="00A1365F">
        <w:rPr>
          <w:lang w:val="ru-RU"/>
        </w:rPr>
        <w:tab/>
        <w:t xml:space="preserve">Веб-сайт МСЭ и процесс трансформации (Документы </w:t>
      </w:r>
      <w:hyperlink r:id="rId103" w:history="1">
        <w:r w:rsidRPr="00A1365F">
          <w:rPr>
            <w:rStyle w:val="Hyperlink"/>
            <w:lang w:val="ru-RU"/>
          </w:rPr>
          <w:t>CWG-FHR-21/11</w:t>
        </w:r>
      </w:hyperlink>
      <w:r w:rsidRPr="00A1365F">
        <w:rPr>
          <w:lang w:val="ru-RU"/>
        </w:rPr>
        <w:t xml:space="preserve">, </w:t>
      </w:r>
      <w:hyperlink r:id="rId104" w:history="1">
        <w:r w:rsidRPr="00A1365F">
          <w:rPr>
            <w:rStyle w:val="Hyperlink"/>
            <w:lang w:val="ru-RU"/>
          </w:rPr>
          <w:t>CWG-FHR-22/15</w:t>
        </w:r>
      </w:hyperlink>
      <w:r w:rsidRPr="00A1365F">
        <w:rPr>
          <w:lang w:val="ru-RU"/>
        </w:rPr>
        <w:t xml:space="preserve">, </w:t>
      </w:r>
      <w:hyperlink r:id="rId105" w:history="1">
        <w:r w:rsidRPr="00A1365F">
          <w:rPr>
            <w:rStyle w:val="Hyperlink"/>
            <w:lang w:val="ru-RU"/>
          </w:rPr>
          <w:t>CWG-FHR-22/17</w:t>
        </w:r>
      </w:hyperlink>
      <w:r w:rsidRPr="00A1365F">
        <w:rPr>
          <w:lang w:val="ru-RU"/>
        </w:rPr>
        <w:t xml:space="preserve">) </w:t>
      </w:r>
      <w:hyperlink r:id="rId106" w:history="1"/>
      <w:hyperlink r:id="rId107" w:history="1"/>
      <w:hyperlink r:id="rId108" w:history="1"/>
    </w:p>
    <w:p w14:paraId="48F02787" w14:textId="3547145D" w:rsidR="00A61D19" w:rsidRPr="00A1365F" w:rsidRDefault="00A61D19" w:rsidP="00A61D19">
      <w:pPr>
        <w:rPr>
          <w:lang w:val="ru-RU"/>
        </w:rPr>
      </w:pPr>
      <w:r w:rsidRPr="00A1365F">
        <w:rPr>
          <w:lang w:val="ru-RU"/>
        </w:rPr>
        <w:t>11.1</w:t>
      </w:r>
      <w:r w:rsidRPr="00A1365F">
        <w:rPr>
          <w:lang w:val="ru-RU"/>
        </w:rPr>
        <w:tab/>
        <w:t>Секретариат представил делегатам обновленную информацию о результатах работы Группы по трансформации на 21-м собрании, отметив, что этап очистки контента продвигается успешно, а анализ контента Сектора стандартизации электросвязи (МСЭ-Т) полностью завершен. Кроме того, секретариат подтвердил выбор поставщика услуг по информационной архитектуре и таксономии.</w:t>
      </w:r>
    </w:p>
    <w:p w14:paraId="40293CE3" w14:textId="02E4FAF9" w:rsidR="00A61D19" w:rsidRPr="00A1365F" w:rsidRDefault="00A61D19" w:rsidP="00A61D19">
      <w:pPr>
        <w:rPr>
          <w:lang w:val="ru-RU"/>
        </w:rPr>
      </w:pPr>
      <w:r w:rsidRPr="00A1365F">
        <w:rPr>
          <w:lang w:val="ru-RU"/>
        </w:rPr>
        <w:t>11.2</w:t>
      </w:r>
      <w:r w:rsidRPr="00A1365F">
        <w:rPr>
          <w:lang w:val="ru-RU"/>
        </w:rPr>
        <w:tab/>
        <w:t>Председатель РГС-ФЛР поблагодарила секретариат за обновленную информацию и рекомендовала приостановить работу по запросу предложений (RFP) на втором этапе до тех пор, пока не будут определены информационная архитектура и таксономия МСЭ.</w:t>
      </w:r>
    </w:p>
    <w:p w14:paraId="091197F3" w14:textId="77777777" w:rsidR="00A61D19" w:rsidRPr="00A1365F" w:rsidRDefault="00A61D19" w:rsidP="00A61D19">
      <w:pPr>
        <w:rPr>
          <w:lang w:val="ru-RU"/>
        </w:rPr>
      </w:pPr>
      <w:r w:rsidRPr="00A1365F">
        <w:rPr>
          <w:lang w:val="ru-RU"/>
        </w:rPr>
        <w:t>11.3</w:t>
      </w:r>
      <w:r w:rsidRPr="00A1365F">
        <w:rPr>
          <w:lang w:val="ru-RU"/>
        </w:rPr>
        <w:tab/>
        <w:t xml:space="preserve">Делегаты затронули вопросы, касающиеся графика и финансирования работ, в частности того, как неудачный тендерный процесс скажется на предложенном графике. Кроме того, делегаты сообщили секретариату, что не все репозитории контента МСЭ переведены на шесть языков и что навигация по веб-сайту МСЭ по-прежнему затруднена, в связи с чем Группе по трансформации следует уделить первоочередное внимание совершенствованию функции поиска. </w:t>
      </w:r>
    </w:p>
    <w:p w14:paraId="02FF03B2" w14:textId="3E9E60BA" w:rsidR="00A61D19" w:rsidRPr="00A1365F" w:rsidRDefault="00A61D19" w:rsidP="00A61D19">
      <w:pPr>
        <w:rPr>
          <w:lang w:val="ru-RU"/>
        </w:rPr>
      </w:pPr>
      <w:r w:rsidRPr="00A1365F">
        <w:rPr>
          <w:lang w:val="ru-RU"/>
        </w:rPr>
        <w:t>11.4</w:t>
      </w:r>
      <w:r w:rsidRPr="00A1365F">
        <w:rPr>
          <w:lang w:val="ru-RU"/>
        </w:rPr>
        <w:tab/>
        <w:t>На 22-м собрании секретариат представил обновленную информацию как о процессе трансформации МСЭ, так и о проекте по созданию нового веб-сайта МСЭ. Что касается трансформации МСЭ, секретариат особо отметил информационную панель для отслеживания процесса трансформации и создание Целевой группы по вопросам трансформации для продвижения приоритетов, мониторинга прогресса и устранения препятствий на пути к достижению результатов к Совету 2026 года и ПК-26. В отношении веб-сайта секретариат отметил, что работа ведется по графику, и минимально жизнеспособный продукт планируется выпустить до ПК-26. Кроме того, секретариат отметил после 22-го собрания ФЛР, что веб-сайт Межсекторальной координационной группы по вопросам, представляющим взаимный интерес (МСКГ)</w:t>
      </w:r>
      <w:r w:rsidR="004A5295">
        <w:rPr>
          <w:lang w:val="ru-RU"/>
        </w:rPr>
        <w:t>,</w:t>
      </w:r>
      <w:r w:rsidRPr="00A1365F">
        <w:rPr>
          <w:lang w:val="ru-RU"/>
        </w:rPr>
        <w:t xml:space="preserve"> был обновлен с учетом изменений в формате и процедурах публикации документов.</w:t>
      </w:r>
    </w:p>
    <w:p w14:paraId="0C3D82E8" w14:textId="77777777" w:rsidR="00A61D19" w:rsidRPr="00A1365F" w:rsidRDefault="00A61D19" w:rsidP="00A61D19">
      <w:pPr>
        <w:pStyle w:val="Headingb"/>
        <w:rPr>
          <w:lang w:val="ru-RU"/>
        </w:rPr>
      </w:pPr>
      <w:r w:rsidRPr="00A1365F">
        <w:rPr>
          <w:lang w:val="ru-RU"/>
        </w:rPr>
        <w:t xml:space="preserve">Вклад Китайской Народной Республики – Комментарии и рекомендации по вопросам трансформации (Документ </w:t>
      </w:r>
      <w:hyperlink r:id="rId109" w:history="1">
        <w:r w:rsidRPr="00A1365F">
          <w:rPr>
            <w:rStyle w:val="Hyperlink"/>
            <w:lang w:val="ru-RU"/>
          </w:rPr>
          <w:t>CWG-FHR-22/30</w:t>
        </w:r>
      </w:hyperlink>
      <w:r w:rsidRPr="00A1365F">
        <w:rPr>
          <w:lang w:val="ru-RU"/>
        </w:rPr>
        <w:t>)</w:t>
      </w:r>
      <w:hyperlink r:id="rId110" w:history="1"/>
    </w:p>
    <w:p w14:paraId="2ED3BD73" w14:textId="2691C009" w:rsidR="00A61D19" w:rsidRPr="00A1365F" w:rsidRDefault="00A61D19" w:rsidP="00A61D19">
      <w:pPr>
        <w:rPr>
          <w:lang w:val="ru-RU"/>
        </w:rPr>
      </w:pPr>
      <w:r w:rsidRPr="00A1365F">
        <w:rPr>
          <w:lang w:val="ru-RU"/>
        </w:rPr>
        <w:t>11.5</w:t>
      </w:r>
      <w:r w:rsidRPr="00A1365F">
        <w:rPr>
          <w:lang w:val="ru-RU"/>
        </w:rPr>
        <w:tab/>
        <w:t xml:space="preserve">В своем вкладе (Документ </w:t>
      </w:r>
      <w:hyperlink r:id="rId111" w:history="1">
        <w:r w:rsidRPr="00A1365F">
          <w:rPr>
            <w:rStyle w:val="Hyperlink"/>
            <w:lang w:val="ru-RU"/>
          </w:rPr>
          <w:t>CWG-FHR-22/30</w:t>
        </w:r>
      </w:hyperlink>
      <w:r w:rsidRPr="00A1365F">
        <w:rPr>
          <w:lang w:val="ru-RU"/>
        </w:rPr>
        <w:t>) Китайская Народная Республика подробно изложила свое понимание усилий МСЭ по трансформации и представила четыре рекомендации: 1) повысить предсказуемость; 2) детализировать бюджетное планирование; 3)</w:t>
      </w:r>
      <w:r w:rsidR="004A5295">
        <w:rPr>
          <w:lang w:val="ru-RU"/>
        </w:rPr>
        <w:t> </w:t>
      </w:r>
      <w:r w:rsidRPr="00A1365F">
        <w:rPr>
          <w:lang w:val="ru-RU"/>
        </w:rPr>
        <w:t>упорядочить список инициатив для определения 1–2 наиболее приоритетных задач; 4)</w:t>
      </w:r>
      <w:r w:rsidR="004A5295">
        <w:rPr>
          <w:lang w:val="ru-RU"/>
        </w:rPr>
        <w:t> </w:t>
      </w:r>
      <w:r w:rsidRPr="00A1365F">
        <w:rPr>
          <w:lang w:val="ru-RU"/>
        </w:rPr>
        <w:t>упростить формат отчетности, уделяя больше внимания практическим результатам и нерешенным задачам, а не описательному содержанию.</w:t>
      </w:r>
      <w:hyperlink r:id="rId112" w:history="1"/>
    </w:p>
    <w:p w14:paraId="0C17B3F8" w14:textId="77777777" w:rsidR="00A61D19" w:rsidRPr="00A1365F" w:rsidRDefault="00A61D19" w:rsidP="00B47ACB">
      <w:pPr>
        <w:spacing w:after="120"/>
        <w:rPr>
          <w:lang w:val="ru-RU"/>
        </w:rPr>
      </w:pPr>
      <w:r w:rsidRPr="00A1365F">
        <w:rPr>
          <w:lang w:val="ru-RU"/>
        </w:rPr>
        <w:t>11.6</w:t>
      </w:r>
      <w:r w:rsidRPr="00A1365F">
        <w:rPr>
          <w:lang w:val="ru-RU"/>
        </w:rPr>
        <w:tab/>
        <w:t xml:space="preserve">Делегаты в целом поддержали Документ CWG-FHR-22/30, однако выразили обеспокоенность относительно предлагаемого определения приоритетов. Делегаты также приветствовали представление дополнительных отчетов, в частности о бюджетных потребностях в преддверии сессии Совета 2026 года. </w:t>
      </w:r>
    </w:p>
    <w:tbl>
      <w:tblPr>
        <w:tblStyle w:val="TableGrid"/>
        <w:tblW w:w="0" w:type="auto"/>
        <w:tblLook w:val="04A0" w:firstRow="1" w:lastRow="0" w:firstColumn="1" w:lastColumn="0" w:noHBand="0" w:noVBand="1"/>
      </w:tblPr>
      <w:tblGrid>
        <w:gridCol w:w="9061"/>
      </w:tblGrid>
      <w:tr w:rsidR="009F39BD" w:rsidRPr="005E4138" w14:paraId="4D3B3F9D" w14:textId="77777777" w:rsidTr="00567B8B">
        <w:tc>
          <w:tcPr>
            <w:tcW w:w="9061" w:type="dxa"/>
          </w:tcPr>
          <w:p w14:paraId="1FF9CD07" w14:textId="16CD8E65" w:rsidR="009F39BD" w:rsidRPr="00A1365F" w:rsidRDefault="009F39BD" w:rsidP="00567B8B">
            <w:pPr>
              <w:spacing w:after="120"/>
              <w:rPr>
                <w:lang w:val="ru-RU"/>
              </w:rPr>
            </w:pPr>
            <w:r w:rsidRPr="00A1365F">
              <w:rPr>
                <w:lang w:val="ru-RU"/>
              </w:rPr>
              <w:t>11.7</w:t>
            </w:r>
            <w:r w:rsidRPr="00A1365F">
              <w:rPr>
                <w:lang w:val="ru-RU"/>
              </w:rPr>
              <w:tab/>
              <w:t xml:space="preserve">РГС-ФЛР </w:t>
            </w:r>
            <w:r w:rsidRPr="00A1365F">
              <w:rPr>
                <w:b/>
                <w:lang w:val="ru-RU"/>
              </w:rPr>
              <w:t>рекомендовала</w:t>
            </w:r>
            <w:r w:rsidRPr="00A1365F">
              <w:rPr>
                <w:lang w:val="ru-RU"/>
              </w:rPr>
              <w:t xml:space="preserve"> секретариату пересмотреть отчет перед Советом 2026 года с учетом всех вопросов, поступивших по Документам </w:t>
            </w:r>
            <w:hyperlink r:id="rId113" w:history="1">
              <w:r w:rsidRPr="00A1365F">
                <w:rPr>
                  <w:rStyle w:val="Hyperlink"/>
                  <w:lang w:val="ru-RU"/>
                </w:rPr>
                <w:t>CWG-FHR-22/15</w:t>
              </w:r>
            </w:hyperlink>
            <w:r w:rsidRPr="00A1365F">
              <w:rPr>
                <w:lang w:val="ru-RU"/>
              </w:rPr>
              <w:t xml:space="preserve"> и </w:t>
            </w:r>
            <w:hyperlink r:id="rId114" w:history="1">
              <w:r w:rsidRPr="00A1365F">
                <w:rPr>
                  <w:rStyle w:val="Hyperlink"/>
                  <w:lang w:val="ru-RU"/>
                </w:rPr>
                <w:t>CWG-FHR-22/17</w:t>
              </w:r>
            </w:hyperlink>
            <w:r w:rsidRPr="00A1365F">
              <w:rPr>
                <w:lang w:val="ru-RU"/>
              </w:rPr>
              <w:t>. РГС</w:t>
            </w:r>
            <w:r w:rsidR="004A5295">
              <w:rPr>
                <w:lang w:val="ru-RU"/>
              </w:rPr>
              <w:noBreakHyphen/>
            </w:r>
            <w:r w:rsidRPr="00A1365F">
              <w:rPr>
                <w:lang w:val="ru-RU"/>
              </w:rPr>
              <w:t>ФЛР также отметила общую поддержку пунктов, изложенных в Документе</w:t>
            </w:r>
            <w:r w:rsidR="004A5295">
              <w:rPr>
                <w:lang w:val="ru-RU"/>
              </w:rPr>
              <w:t> </w:t>
            </w:r>
            <w:hyperlink r:id="rId115" w:history="1">
              <w:r w:rsidRPr="00A1365F">
                <w:rPr>
                  <w:rStyle w:val="Hyperlink"/>
                  <w:lang w:val="ru-RU"/>
                </w:rPr>
                <w:t>CWG</w:t>
              </w:r>
              <w:r w:rsidR="004A5295">
                <w:rPr>
                  <w:rStyle w:val="Hyperlink"/>
                  <w:lang w:val="ru-RU"/>
                </w:rPr>
                <w:noBreakHyphen/>
              </w:r>
              <w:r w:rsidRPr="00A1365F">
                <w:rPr>
                  <w:rStyle w:val="Hyperlink"/>
                  <w:lang w:val="ru-RU"/>
                </w:rPr>
                <w:t>FHR</w:t>
              </w:r>
              <w:r w:rsidR="004A5295">
                <w:rPr>
                  <w:rStyle w:val="Hyperlink"/>
                  <w:lang w:val="ru-RU"/>
                </w:rPr>
                <w:noBreakHyphen/>
              </w:r>
              <w:r w:rsidRPr="00A1365F">
                <w:rPr>
                  <w:rStyle w:val="Hyperlink"/>
                  <w:lang w:val="ru-RU"/>
                </w:rPr>
                <w:t>22/30</w:t>
              </w:r>
            </w:hyperlink>
            <w:r w:rsidRPr="00A1365F">
              <w:rPr>
                <w:lang w:val="ru-RU"/>
              </w:rPr>
              <w:t>, за исключением вопросов, касающихся определения приоритетов.</w:t>
            </w:r>
          </w:p>
        </w:tc>
      </w:tr>
    </w:tbl>
    <w:p w14:paraId="713EAF33" w14:textId="66DC875D" w:rsidR="00A61D19" w:rsidRPr="00A1365F" w:rsidRDefault="00A61D19" w:rsidP="00A61D19">
      <w:pPr>
        <w:pStyle w:val="Heading1"/>
        <w:rPr>
          <w:lang w:val="ru-RU"/>
        </w:rPr>
      </w:pPr>
      <w:r w:rsidRPr="00A1365F">
        <w:rPr>
          <w:bCs/>
          <w:lang w:val="ru-RU"/>
        </w:rPr>
        <w:t>12</w:t>
      </w:r>
      <w:r w:rsidRPr="00A1365F">
        <w:rPr>
          <w:lang w:val="ru-RU"/>
        </w:rPr>
        <w:tab/>
        <w:t xml:space="preserve">Укрепление внутренних цифровых основ МСЭ для трансформации – стратегия, архитектура организации, управление ИКТ и операционная модель ИТ (Документ </w:t>
      </w:r>
      <w:hyperlink r:id="rId116" w:history="1">
        <w:r w:rsidRPr="00A1365F">
          <w:rPr>
            <w:rStyle w:val="Hyperlink"/>
            <w:lang w:val="ru-RU"/>
          </w:rPr>
          <w:t>CWG-FHR-22/14</w:t>
        </w:r>
      </w:hyperlink>
      <w:r w:rsidRPr="00A1365F">
        <w:rPr>
          <w:lang w:val="ru-RU"/>
        </w:rPr>
        <w:t>)</w:t>
      </w:r>
      <w:hyperlink r:id="rId117" w:history="1"/>
    </w:p>
    <w:p w14:paraId="0CD42B1C" w14:textId="77777777" w:rsidR="00A61D19" w:rsidRPr="00A1365F" w:rsidRDefault="00A61D19" w:rsidP="00A61D19">
      <w:pPr>
        <w:rPr>
          <w:lang w:val="ru-RU"/>
        </w:rPr>
      </w:pPr>
      <w:r w:rsidRPr="00A1365F">
        <w:rPr>
          <w:lang w:val="ru-RU"/>
        </w:rPr>
        <w:t>12.1</w:t>
      </w:r>
      <w:r w:rsidRPr="00A1365F">
        <w:rPr>
          <w:lang w:val="ru-RU"/>
        </w:rPr>
        <w:tab/>
        <w:t xml:space="preserve">На 22-м собрании секретариат представил обновленную информацию о создании в рамках Генерального секретариата четырех взаимосвязанных и основополагающих цифровых элементов. Эти элементы представляют собой внутренние цифровые основы, необходимые для содействия организационной трансформации МСЭ, повышения прозрачности и подотчетности при инвестировании в ИКТ, а также для обеспечения соответствия ожиданиям, выраженным Государствами-Членами, в частности во вкладе Швейцарии (Документ </w:t>
      </w:r>
      <w:hyperlink r:id="rId118" w:history="1">
        <w:r w:rsidRPr="00A1365F">
          <w:rPr>
            <w:rStyle w:val="Hyperlink"/>
            <w:rFonts w:cs="Calibri"/>
            <w:lang w:val="ru-RU"/>
          </w:rPr>
          <w:t>C25/84</w:t>
        </w:r>
      </w:hyperlink>
      <w:r w:rsidRPr="00A1365F">
        <w:rPr>
          <w:lang w:val="ru-RU"/>
        </w:rPr>
        <w:t>), и рекомендациям Независимого консультативного комитета по управлению (IMAC) и других надзорных механизмов.</w:t>
      </w:r>
      <w:hyperlink r:id="rId119" w:history="1"/>
    </w:p>
    <w:p w14:paraId="42867882" w14:textId="77777777" w:rsidR="00A61D19" w:rsidRPr="00A1365F" w:rsidRDefault="00A61D19" w:rsidP="00B47ACB">
      <w:pPr>
        <w:spacing w:after="120"/>
        <w:rPr>
          <w:lang w:val="ru-RU"/>
        </w:rPr>
      </w:pPr>
      <w:r w:rsidRPr="00A1365F">
        <w:rPr>
          <w:lang w:val="ru-RU"/>
        </w:rPr>
        <w:t>12.2</w:t>
      </w:r>
      <w:r w:rsidRPr="00A1365F">
        <w:rPr>
          <w:lang w:val="ru-RU"/>
        </w:rPr>
        <w:tab/>
        <w:t xml:space="preserve">Делегаты в ответ призвали секретариат более тесно взаимодействовать с Государствами-Членами, и выразили свою обеспокоенность относительно финансовых последствий столь масштабной трансформации. Другие делегаты рекомендовали секретариату избегать разрозненных усилий по трансформации в рамках Сектора, а также уделить приоритетное внимание обновлению программного обеспечения Сектора радиосвязи (МСЭ-R). Один из делегатов отметил, что РГС должна соблюдать баланс между делегированием указаний и предоставлением секретариату автономии. </w:t>
      </w:r>
    </w:p>
    <w:tbl>
      <w:tblPr>
        <w:tblStyle w:val="TableGrid"/>
        <w:tblW w:w="0" w:type="auto"/>
        <w:tblLook w:val="04A0" w:firstRow="1" w:lastRow="0" w:firstColumn="1" w:lastColumn="0" w:noHBand="0" w:noVBand="1"/>
      </w:tblPr>
      <w:tblGrid>
        <w:gridCol w:w="9061"/>
      </w:tblGrid>
      <w:tr w:rsidR="009F39BD" w:rsidRPr="005E4138" w14:paraId="43DFDB57" w14:textId="77777777" w:rsidTr="00567B8B">
        <w:tc>
          <w:tcPr>
            <w:tcW w:w="9061" w:type="dxa"/>
          </w:tcPr>
          <w:p w14:paraId="640A6325" w14:textId="6DF914A3" w:rsidR="009F39BD" w:rsidRPr="00A1365F" w:rsidRDefault="009F39BD" w:rsidP="00567B8B">
            <w:pPr>
              <w:spacing w:after="120"/>
              <w:rPr>
                <w:lang w:val="ru-RU"/>
              </w:rPr>
            </w:pPr>
            <w:r w:rsidRPr="00A1365F">
              <w:rPr>
                <w:lang w:val="ru-RU"/>
              </w:rPr>
              <w:t>12.3</w:t>
            </w:r>
            <w:r w:rsidRPr="00A1365F">
              <w:rPr>
                <w:lang w:val="ru-RU"/>
              </w:rPr>
              <w:tab/>
              <w:t xml:space="preserve">Председатель РГС-ФЛР </w:t>
            </w:r>
            <w:r w:rsidRPr="00A1365F">
              <w:rPr>
                <w:b/>
                <w:lang w:val="ru-RU"/>
              </w:rPr>
              <w:t>предложила</w:t>
            </w:r>
            <w:r w:rsidRPr="00A1365F">
              <w:rPr>
                <w:lang w:val="ru-RU"/>
              </w:rPr>
              <w:t xml:space="preserve"> заинтересованным Государствам-Членам представить Совету 2026 года вклады с описанием того, что они хотели бы узнать о внедрении управления ИТ, данными и информацией.</w:t>
            </w:r>
          </w:p>
          <w:p w14:paraId="7D8A760D" w14:textId="3304CF95" w:rsidR="009F39BD" w:rsidRPr="00A1365F" w:rsidRDefault="009F39BD" w:rsidP="00567B8B">
            <w:pPr>
              <w:spacing w:after="120"/>
              <w:rPr>
                <w:lang w:val="ru-RU"/>
              </w:rPr>
            </w:pPr>
            <w:r w:rsidRPr="00A1365F">
              <w:rPr>
                <w:lang w:val="ru-RU"/>
              </w:rPr>
              <w:t>12.4</w:t>
            </w:r>
            <w:r w:rsidRPr="00A1365F">
              <w:rPr>
                <w:lang w:val="ru-RU"/>
              </w:rPr>
              <w:tab/>
              <w:t xml:space="preserve">РГС-ФЛР </w:t>
            </w:r>
            <w:r w:rsidRPr="00A1365F">
              <w:rPr>
                <w:b/>
                <w:lang w:val="ru-RU"/>
              </w:rPr>
              <w:t>рекомендует</w:t>
            </w:r>
            <w:r w:rsidRPr="00A1365F">
              <w:rPr>
                <w:lang w:val="ru-RU"/>
              </w:rPr>
              <w:t xml:space="preserve"> Совету поручить секретариату представить Совету отчет о структурах управления, советах корпоративного управления в рамках МСЭ и связанных с ними финансовых последствиях.</w:t>
            </w:r>
          </w:p>
        </w:tc>
      </w:tr>
    </w:tbl>
    <w:p w14:paraId="40F6C1FF" w14:textId="77777777" w:rsidR="00A61D19" w:rsidRPr="00A1365F" w:rsidRDefault="00A61D19" w:rsidP="00A61D19">
      <w:pPr>
        <w:pStyle w:val="Heading1"/>
        <w:rPr>
          <w:lang w:val="ru-RU"/>
        </w:rPr>
      </w:pPr>
      <w:r w:rsidRPr="00A1365F">
        <w:rPr>
          <w:bCs/>
          <w:lang w:val="ru-RU"/>
        </w:rPr>
        <w:t>13</w:t>
      </w:r>
      <w:r w:rsidRPr="00A1365F">
        <w:rPr>
          <w:lang w:val="ru-RU"/>
        </w:rPr>
        <w:tab/>
        <w:t xml:space="preserve">Заявки на регистрацию спутниковых сетей (Документы </w:t>
      </w:r>
      <w:hyperlink r:id="rId120" w:history="1">
        <w:r w:rsidRPr="00A1365F">
          <w:rPr>
            <w:rStyle w:val="Hyperlink"/>
            <w:lang w:val="ru-RU"/>
          </w:rPr>
          <w:t>CWG-FHR-21/20</w:t>
        </w:r>
      </w:hyperlink>
      <w:r w:rsidRPr="00A1365F">
        <w:rPr>
          <w:lang w:val="ru-RU"/>
        </w:rPr>
        <w:t xml:space="preserve"> и </w:t>
      </w:r>
      <w:hyperlink r:id="rId121" w:history="1">
        <w:r w:rsidRPr="00A1365F">
          <w:rPr>
            <w:rStyle w:val="Hyperlink"/>
            <w:lang w:val="ru-RU"/>
          </w:rPr>
          <w:t>CWG-FHR-22/2</w:t>
        </w:r>
      </w:hyperlink>
      <w:r w:rsidRPr="00A1365F">
        <w:rPr>
          <w:lang w:val="ru-RU"/>
        </w:rPr>
        <w:t>)</w:t>
      </w:r>
      <w:hyperlink r:id="rId122" w:history="1"/>
      <w:hyperlink r:id="rId123" w:history="1"/>
    </w:p>
    <w:p w14:paraId="557D1A71" w14:textId="10168BDB" w:rsidR="00A61D19" w:rsidRPr="00A1365F" w:rsidRDefault="00A61D19" w:rsidP="00A61D19">
      <w:pPr>
        <w:rPr>
          <w:lang w:val="ru-RU"/>
        </w:rPr>
      </w:pPr>
      <w:r w:rsidRPr="00A1365F">
        <w:rPr>
          <w:lang w:val="ru-RU"/>
        </w:rPr>
        <w:t>13.1</w:t>
      </w:r>
      <w:r w:rsidRPr="00A1365F">
        <w:rPr>
          <w:lang w:val="ru-RU"/>
        </w:rPr>
        <w:tab/>
        <w:t>На 21-м собрании секретариат заявил, что для выполнения поручений Совета 2025</w:t>
      </w:r>
      <w:r w:rsidR="004A5295">
        <w:rPr>
          <w:lang w:val="ru-RU"/>
        </w:rPr>
        <w:t> </w:t>
      </w:r>
      <w:r w:rsidRPr="00A1365F">
        <w:rPr>
          <w:lang w:val="ru-RU"/>
        </w:rPr>
        <w:t>года необходимо дополнительное время, и пообещал подготовить документ для обсуждения к собранию в январе 2026 года. Председатель приняла к сведению заявление секретариата и предоставила слово Соединенным Штатам Америки для представления их вклада, напомнив делегатам, что обсуждения по существу вопроса состоятся в январе. Во</w:t>
      </w:r>
      <w:r w:rsidR="004A5295">
        <w:rPr>
          <w:lang w:val="ru-RU"/>
        </w:rPr>
        <w:t> </w:t>
      </w:r>
      <w:r w:rsidRPr="00A1365F">
        <w:rPr>
          <w:lang w:val="ru-RU"/>
        </w:rPr>
        <w:t xml:space="preserve">вкладе Соединенных Штатов Америки (Документ </w:t>
      </w:r>
      <w:hyperlink r:id="rId124" w:history="1">
        <w:r w:rsidRPr="00A1365F">
          <w:rPr>
            <w:rStyle w:val="Hyperlink"/>
            <w:lang w:val="ru-RU"/>
          </w:rPr>
          <w:t>CWG-FHR-21/20</w:t>
        </w:r>
      </w:hyperlink>
      <w:r w:rsidRPr="00A1365F">
        <w:rPr>
          <w:lang w:val="ru-RU"/>
        </w:rPr>
        <w:t>) содержится дополнительная информация для рассмотрения секретариатом, поэтому представлявший его делегат счел приемлемым отсутствие окончательного решения по этому вопросу в ходе текущего собрания. Несколько делегатов поддержали вклад Соединенных Штатов.</w:t>
      </w:r>
      <w:hyperlink r:id="rId125" w:history="1"/>
    </w:p>
    <w:p w14:paraId="3B6C53D7" w14:textId="51502FA8" w:rsidR="00A61D19" w:rsidRPr="00A1365F" w:rsidRDefault="00A61D19" w:rsidP="00A61D19">
      <w:pPr>
        <w:rPr>
          <w:lang w:val="ru-RU"/>
        </w:rPr>
      </w:pPr>
      <w:r w:rsidRPr="00A1365F">
        <w:rPr>
          <w:lang w:val="ru-RU"/>
        </w:rPr>
        <w:t>13.2</w:t>
      </w:r>
      <w:r w:rsidRPr="00A1365F">
        <w:rPr>
          <w:lang w:val="ru-RU"/>
        </w:rPr>
        <w:tab/>
        <w:t xml:space="preserve">Кроме того, один из делегатов напомнил Группе о поручении Совета 2025 года, в частности о том, что РГС-ФЛР должна подготовить четкое определение прямых и косвенных затрат. Другие делегаты предложили также рекомендации, касающиеся сохранения возможности бесплатной подачи заявок и проведения анализа рабочей нагрузки для более точного расчета косвенных затрат. Председатель призвала секретариат принять к сведению результаты обсуждения и сообщила, что секретариат проведет информационную сессию в декабре 2025 года. Такая </w:t>
      </w:r>
      <w:hyperlink r:id="rId126" w:history="1">
        <w:r w:rsidRPr="00A1365F">
          <w:rPr>
            <w:rStyle w:val="Hyperlink"/>
            <w:lang w:val="ru-RU"/>
          </w:rPr>
          <w:t xml:space="preserve">информационная сессия </w:t>
        </w:r>
      </w:hyperlink>
      <w:r w:rsidRPr="00A1365F">
        <w:rPr>
          <w:lang w:val="ru-RU"/>
        </w:rPr>
        <w:t>состоялась 16 декабря 2025 года.</w:t>
      </w:r>
      <w:hyperlink r:id="rId127" w:history="1"/>
    </w:p>
    <w:p w14:paraId="45D9436F" w14:textId="77777777" w:rsidR="00A61D19" w:rsidRPr="00A1365F" w:rsidRDefault="00A61D19" w:rsidP="00A61D19">
      <w:pPr>
        <w:rPr>
          <w:spacing w:val="-2"/>
          <w:lang w:val="ru-RU"/>
        </w:rPr>
      </w:pPr>
      <w:r w:rsidRPr="00A1365F">
        <w:rPr>
          <w:lang w:val="ru-RU"/>
        </w:rPr>
        <w:t>13.3</w:t>
      </w:r>
      <w:r w:rsidRPr="00A1365F">
        <w:rPr>
          <w:lang w:val="ru-RU"/>
        </w:rPr>
        <w:tab/>
        <w:t xml:space="preserve">В январе секретариат представил в Документе </w:t>
      </w:r>
      <w:hyperlink r:id="rId128" w:history="1">
        <w:r w:rsidRPr="00A1365F">
          <w:rPr>
            <w:rStyle w:val="Hyperlink"/>
            <w:spacing w:val="-2"/>
            <w:lang w:val="ru-RU"/>
          </w:rPr>
          <w:t>CWG-FHR-22/2</w:t>
        </w:r>
      </w:hyperlink>
      <w:r w:rsidRPr="00A1365F">
        <w:rPr>
          <w:lang w:val="ru-RU"/>
        </w:rPr>
        <w:t xml:space="preserve"> предлагаемую модель возмещения затрат на обработку заявок на регистрацию спутниковых сетей (SNF). Новая методика согласуется с Резолюцией 91 (Пересм. Гвадалахара, 2010 г.) и призвана помочь в расчете общих годовых расходов на SNF путем оценки прямых и косвенных затрат. При расчете косвенных затрат учитываются такие расходы, как расходы на набор новых сотрудников, но при этом исключаются общие накладные расходы, например на Microsoft 365. Секретариат подтвердил свою позицию, согласно которой он стремится обеспечить, чтобы единицы взносов Членов не использовались для покрытия расходов, которые должны финансироваться за счет возмещения затрат. Он признал сложность прогнозирования затрат на SNF, но подчеркнул свою приверженность точным расчетам по линии возмещения затрат. В заключение секретариат проинформировал делегатов о том, что рассмотрение вопроса о возмещении затрат будет продолжаться в течение 2026 и 2027 годов, с тем чтобы Совет 2027 года мог утвердить план дальнейших действий, который начнет осуществляться 1 января 2028 года.</w:t>
      </w:r>
      <w:hyperlink r:id="rId129" w:history="1"/>
    </w:p>
    <w:p w14:paraId="3AFCDB7B" w14:textId="77777777" w:rsidR="00A61D19" w:rsidRPr="00A1365F" w:rsidRDefault="00A61D19" w:rsidP="00A61D19">
      <w:pPr>
        <w:pStyle w:val="Headingb"/>
        <w:rPr>
          <w:lang w:val="ru-RU"/>
        </w:rPr>
      </w:pPr>
      <w:r w:rsidRPr="00A1365F">
        <w:rPr>
          <w:lang w:val="ru-RU"/>
        </w:rPr>
        <w:t xml:space="preserve">Вклад Российской Федерации – Замечания по заявкам на регистрацию спутниковых сетей – Обновление методики (Документ </w:t>
      </w:r>
      <w:hyperlink r:id="rId130" w:history="1">
        <w:r w:rsidRPr="00A1365F">
          <w:rPr>
            <w:rStyle w:val="Hyperlink"/>
            <w:lang w:val="ru-RU"/>
          </w:rPr>
          <w:t>CWG-FHR-22/27</w:t>
        </w:r>
      </w:hyperlink>
      <w:r w:rsidRPr="00A1365F">
        <w:rPr>
          <w:lang w:val="ru-RU"/>
        </w:rPr>
        <w:t>)</w:t>
      </w:r>
      <w:hyperlink r:id="rId131" w:history="1"/>
    </w:p>
    <w:p w14:paraId="117CD594" w14:textId="77777777" w:rsidR="00A61D19" w:rsidRPr="00A1365F" w:rsidRDefault="00A61D19" w:rsidP="00A61D19">
      <w:pPr>
        <w:rPr>
          <w:lang w:val="ru-RU"/>
        </w:rPr>
      </w:pPr>
      <w:r w:rsidRPr="00A1365F">
        <w:rPr>
          <w:lang w:val="ru-RU"/>
        </w:rPr>
        <w:t>13.4</w:t>
      </w:r>
      <w:r w:rsidRPr="00A1365F">
        <w:rPr>
          <w:lang w:val="ru-RU"/>
        </w:rPr>
        <w:tab/>
        <w:t>Во вкладе Российской Федерации отмечается отсутствие четких формул в представленной секретариатом методике и содержится просьба к секретариату представить четкую и подробную информацию, включая конкретные формулы, исходные данные и допущения, для расчета прямых, косвенных и капитальных затрат, которые должны покрываться за счет регулярного бюджета МСЭ. Кроме того, во вкладе содержится просьба о составлении бюджета МСЭ без увеличения сборов за SNF и подчеркивается убежденность в том, что затраты на бесплатную регистрацию должны покрываться за счет единиц взносов Членов, поскольку это является одним из основных мандатов Союза.</w:t>
      </w:r>
    </w:p>
    <w:p w14:paraId="7D1A44B6" w14:textId="77777777" w:rsidR="00A61D19" w:rsidRPr="00A1365F" w:rsidRDefault="00A61D19" w:rsidP="00A61D19">
      <w:pPr>
        <w:pStyle w:val="Headingb"/>
        <w:rPr>
          <w:lang w:val="ru-RU"/>
        </w:rPr>
      </w:pPr>
      <w:r w:rsidRPr="00A1365F">
        <w:rPr>
          <w:lang w:val="ru-RU"/>
        </w:rPr>
        <w:t xml:space="preserve">Вклад Всемирной ассоциации спутниковых операторов – Заявки на регистрацию спутниковых сетей (Документ </w:t>
      </w:r>
      <w:hyperlink r:id="rId132" w:history="1">
        <w:r w:rsidRPr="00A1365F">
          <w:rPr>
            <w:rStyle w:val="Hyperlink"/>
            <w:lang w:val="ru-RU"/>
          </w:rPr>
          <w:t>CWG-FHR-22/29</w:t>
        </w:r>
      </w:hyperlink>
      <w:r w:rsidRPr="00A1365F">
        <w:rPr>
          <w:lang w:val="ru-RU"/>
        </w:rPr>
        <w:t>)</w:t>
      </w:r>
      <w:hyperlink r:id="rId133" w:history="1"/>
    </w:p>
    <w:p w14:paraId="73CAF1ED" w14:textId="327FE60D" w:rsidR="00A61D19" w:rsidRPr="00A1365F" w:rsidRDefault="00A61D19" w:rsidP="00A61D19">
      <w:pPr>
        <w:rPr>
          <w:lang w:val="ru-RU"/>
        </w:rPr>
      </w:pPr>
      <w:r w:rsidRPr="00A1365F">
        <w:rPr>
          <w:lang w:val="ru-RU"/>
        </w:rPr>
        <w:t>13.5</w:t>
      </w:r>
      <w:r w:rsidRPr="00A1365F">
        <w:rPr>
          <w:lang w:val="ru-RU"/>
        </w:rPr>
        <w:tab/>
        <w:t>Во вкладе Всемирной ассоциации спутниковых операторов (GSOA) ставится под сомнение подход к учету косвенных затрат и отмечается, что представленный секретариатом вспомогательный анализ не является уместным с учетом особого мандата МСЭ и специфики его оперативных процессов. Кроме того, GSOA проанализировала три предложенных варианта, касающихся права на бесплатную публикацию, и подчеркнула, что деятельность, связанная с SNF, инициируемая отдельными администрациями, способствует глобальному управлению использованием спектра и орбитальных ресурсов, а это означает, что выгоды от такой деятельности выходят далеко за пределы одной администрации. Во вкладе также рассматривается предложенный секретариатом механизм "корректировки в большую или меньшую сторону", и отмечается, что хотя такой механизм представлен в качестве одной из форм выверки, он влечет за собой значительные риски для операторов спутниковой связи и их администраций. Делегат также подтвердил, что возмещение затрат на SNF не является возмещением предусмотренных в бюджете расходов.</w:t>
      </w:r>
    </w:p>
    <w:p w14:paraId="4BAFFC05" w14:textId="4C8034F4" w:rsidR="00A61D19" w:rsidRPr="00A1365F" w:rsidRDefault="00A61D19" w:rsidP="00A61D19">
      <w:pPr>
        <w:pStyle w:val="Headingb"/>
        <w:rPr>
          <w:lang w:val="ru-RU"/>
        </w:rPr>
      </w:pPr>
      <w:r w:rsidRPr="00A1365F">
        <w:rPr>
          <w:lang w:val="ru-RU"/>
        </w:rPr>
        <w:t>Вклад Соединенных Штатов Америки – Замечания и предложения относительно заявок на</w:t>
      </w:r>
      <w:r w:rsidR="00EF3443">
        <w:rPr>
          <w:lang w:val="ru-RU"/>
        </w:rPr>
        <w:t> </w:t>
      </w:r>
      <w:r w:rsidRPr="00A1365F">
        <w:rPr>
          <w:lang w:val="ru-RU"/>
        </w:rPr>
        <w:t xml:space="preserve">регистрацию спутниковых сетей и возмещения затрат (Документ </w:t>
      </w:r>
      <w:hyperlink r:id="rId134" w:history="1">
        <w:r w:rsidRPr="00A1365F">
          <w:rPr>
            <w:rStyle w:val="Hyperlink"/>
            <w:lang w:val="ru-RU"/>
          </w:rPr>
          <w:t>CWG-FHR-22/32</w:t>
        </w:r>
      </w:hyperlink>
      <w:r w:rsidRPr="00A1365F">
        <w:rPr>
          <w:lang w:val="ru-RU"/>
        </w:rPr>
        <w:t>)</w:t>
      </w:r>
      <w:hyperlink r:id="rId135" w:history="1"/>
    </w:p>
    <w:p w14:paraId="39642D73" w14:textId="6D7C5093" w:rsidR="00A61D19" w:rsidRPr="00A1365F" w:rsidRDefault="00A61D19" w:rsidP="00A61D19">
      <w:pPr>
        <w:rPr>
          <w:lang w:val="ru-RU"/>
        </w:rPr>
      </w:pPr>
      <w:r w:rsidRPr="00A1365F">
        <w:rPr>
          <w:lang w:val="ru-RU"/>
        </w:rPr>
        <w:t>13.6</w:t>
      </w:r>
      <w:r w:rsidRPr="00A1365F">
        <w:rPr>
          <w:lang w:val="ru-RU"/>
        </w:rPr>
        <w:tab/>
        <w:t>Во вкладе Соединенных Штатов отмечается, что прямые и косвенные затраты на обработку заявок на бесплатную регистрацию должны финансироваться из регулярного бюджета МСЭ в соответствии с Резолюцией 91 (Пересм. Гвадалахара, 2010 г.). Во вкладе выражается благодарность секретариату за предпринимаемые им усилия по разработке методики, но также содержится призыв предоставить более подробную информацию о компонентах затрат, подлежащих возмещению в рамках данной методики, в частности о том, как будут определяться и распределяться эти затраты. Делегат подчеркнул важность пропорционального распределения затрат между ожидаемой базой пользователей и необходимость возмещения затрат на программное обеспечение в течение всего срока его использования. Кроме того, во вкладе содержится просьба предоставить информацию о том, каким образом повышение эффективности будет измеряться и учитываться в отчетности.</w:t>
      </w:r>
    </w:p>
    <w:p w14:paraId="53306241" w14:textId="66AA616B" w:rsidR="00A61D19" w:rsidRPr="00A1365F" w:rsidRDefault="00A61D19" w:rsidP="00A61D19">
      <w:pPr>
        <w:pStyle w:val="Headingb"/>
        <w:rPr>
          <w:lang w:val="ru-RU"/>
        </w:rPr>
      </w:pPr>
      <w:r w:rsidRPr="00A1365F">
        <w:rPr>
          <w:lang w:val="ru-RU"/>
        </w:rPr>
        <w:t>Вклад Танзании, Кении и Нигерии – Вклад к отчету Генерального секретаря о заявках на</w:t>
      </w:r>
      <w:r w:rsidR="00EF3443">
        <w:rPr>
          <w:lang w:val="ru-RU"/>
        </w:rPr>
        <w:t> </w:t>
      </w:r>
      <w:r w:rsidRPr="00A1365F">
        <w:rPr>
          <w:lang w:val="ru-RU"/>
        </w:rPr>
        <w:t xml:space="preserve">регистрацию спутниковых сетей – Обновление методики (Документ </w:t>
      </w:r>
      <w:hyperlink r:id="rId136" w:history="1">
        <w:r w:rsidRPr="00A1365F">
          <w:rPr>
            <w:rStyle w:val="Hyperlink"/>
            <w:lang w:val="ru-RU"/>
          </w:rPr>
          <w:t>CWG-FHR-22/33</w:t>
        </w:r>
      </w:hyperlink>
      <w:r w:rsidRPr="00A1365F">
        <w:rPr>
          <w:lang w:val="ru-RU"/>
        </w:rPr>
        <w:t>)</w:t>
      </w:r>
      <w:hyperlink r:id="rId137" w:history="1"/>
    </w:p>
    <w:p w14:paraId="02362A6A" w14:textId="3168403B" w:rsidR="00A61D19" w:rsidRPr="00A1365F" w:rsidRDefault="00A61D19" w:rsidP="00A61D19">
      <w:pPr>
        <w:rPr>
          <w:lang w:val="ru-RU"/>
        </w:rPr>
      </w:pPr>
      <w:r w:rsidRPr="00A1365F">
        <w:rPr>
          <w:lang w:val="ru-RU"/>
        </w:rPr>
        <w:t>13.7</w:t>
      </w:r>
      <w:r w:rsidRPr="00A1365F">
        <w:rPr>
          <w:lang w:val="ru-RU"/>
        </w:rPr>
        <w:tab/>
        <w:t>Во вкладе группы стран, представленном Танзанией, Кенией и Нигерией, отмечается, что положения о подаче заявок на бесплатную регистрацию не учитывают особенности развивающихся стран, и предлагается предоставлять право на бесплатную регистрацию региональным спутниковым инициативам в целях содействия обеспечению справедливого доступа. Кроме того, в предложении подчеркивается, что право на бесплатную публикацию должно применяться к полным спутниковым системам и не должно распространяться на заявки на внесение изменений.</w:t>
      </w:r>
    </w:p>
    <w:p w14:paraId="7305CCF7" w14:textId="77777777" w:rsidR="00A61D19" w:rsidRPr="00A1365F" w:rsidRDefault="00A61D19" w:rsidP="00A61D19">
      <w:pPr>
        <w:pStyle w:val="Headingb"/>
        <w:rPr>
          <w:lang w:val="ru-RU"/>
        </w:rPr>
      </w:pPr>
      <w:r w:rsidRPr="00A1365F">
        <w:rPr>
          <w:bCs/>
          <w:lang w:val="ru-RU"/>
        </w:rPr>
        <w:t>Обсуждение</w:t>
      </w:r>
    </w:p>
    <w:p w14:paraId="4095233B" w14:textId="0774E2AA" w:rsidR="00A61D19" w:rsidRPr="00A1365F" w:rsidRDefault="00A61D19" w:rsidP="00A61D19">
      <w:pPr>
        <w:rPr>
          <w:lang w:val="ru-RU"/>
        </w:rPr>
      </w:pPr>
      <w:r w:rsidRPr="00A1365F">
        <w:rPr>
          <w:lang w:val="ru-RU"/>
        </w:rPr>
        <w:t>13.8</w:t>
      </w:r>
      <w:r w:rsidRPr="00A1365F">
        <w:rPr>
          <w:lang w:val="ru-RU"/>
        </w:rPr>
        <w:tab/>
        <w:t>В ходе 22-го собрания РГС-ФЛР делегаты обсудили три предложения, касающиеся модели возмещения затрат на SNF. Один из делегатов поддержал вклады GSOA и Соединенных Штатов Америки, согласившись с тем, что показатели эффективности, предложенные секретариатом, необходимо доработать. Другой делегат выразил сомнение по поводу целесообразности возобновления работы Группы экспертов по Решению 482 и просил уточнить определение понятия "заявки на бесплатную регистрацию" и имеющиеся ограничения. Еще один делегат подчеркнул безотлагательность принятия решения, отметив, что рост числа заявок на регистрацию спутниковых сетей делает сложившуюся ситуацию неустойчивой.</w:t>
      </w:r>
    </w:p>
    <w:p w14:paraId="347576CF" w14:textId="2A285552" w:rsidR="00A61D19" w:rsidRPr="00A1365F" w:rsidRDefault="00A61D19" w:rsidP="00A61D19">
      <w:pPr>
        <w:rPr>
          <w:lang w:val="ru-RU"/>
        </w:rPr>
      </w:pPr>
      <w:r w:rsidRPr="00A1365F">
        <w:rPr>
          <w:lang w:val="ru-RU"/>
        </w:rPr>
        <w:t>13.9</w:t>
      </w:r>
      <w:r w:rsidRPr="00A1365F">
        <w:rPr>
          <w:lang w:val="ru-RU"/>
        </w:rPr>
        <w:tab/>
        <w:t>Одним из ключевых спорных моментов стало определение прямых и косвенных затрат и их прозрачность; один из делегатов просил представить четкую разбивку и использовать образец заявки в качестве примера. Секретариату также было предложено ежегодно рассылать напоминания о праве на бесплатные публикации, чтобы стимулировать их использование развивающимися странами. Еще один делегат поинтересовался, кто в настоящее время оплачивает бесплатные публикации и какова их общая стоимость для Союза за последние годы.</w:t>
      </w:r>
    </w:p>
    <w:p w14:paraId="195BBE04" w14:textId="685E0227" w:rsidR="00A61D19" w:rsidRPr="00A1365F" w:rsidRDefault="00A61D19" w:rsidP="00A61D19">
      <w:pPr>
        <w:rPr>
          <w:lang w:val="ru-RU"/>
        </w:rPr>
      </w:pPr>
      <w:r w:rsidRPr="00A1365F">
        <w:rPr>
          <w:lang w:val="ru-RU"/>
        </w:rPr>
        <w:t>13.10</w:t>
      </w:r>
      <w:r w:rsidRPr="00A1365F">
        <w:rPr>
          <w:lang w:val="ru-RU"/>
        </w:rPr>
        <w:tab/>
        <w:t>Один из делегатов поддержал реформу, но призвал представить более подробную информацию о базовой методике. Другой делегат выразил обеспокоенность по поводу капитальных затрат и предложил рассмотреть возможность введения в отношении прав на бесплатную публикацию предела стоимости, однако при этом признал, что такие правы действительно важны для обеспечения справедливого доступа. Один из делегатов поддержал методику секретариата и проведение периодических обзоров, но выступил против отмены права на бесплатные публикации для развивающихся стран, наименее развитых стран (НРС), развивающихся стран, не имеющих выхода к морю (ЛЛДС), и малых островных развивающихся государств (СИДС).</w:t>
      </w:r>
    </w:p>
    <w:p w14:paraId="6F95589F" w14:textId="77777777" w:rsidR="00A61D19" w:rsidRPr="00A1365F" w:rsidRDefault="00A61D19" w:rsidP="00A61D19">
      <w:pPr>
        <w:rPr>
          <w:lang w:val="ru-RU"/>
        </w:rPr>
      </w:pPr>
      <w:r w:rsidRPr="00A1365F">
        <w:rPr>
          <w:lang w:val="ru-RU"/>
        </w:rPr>
        <w:t>13.11</w:t>
      </w:r>
      <w:r w:rsidRPr="00A1365F">
        <w:rPr>
          <w:lang w:val="ru-RU"/>
        </w:rPr>
        <w:tab/>
        <w:t xml:space="preserve">Еще один делегат поддержал вклад США, подчеркнув, что право на бесплатные публикации является одним из основных принципов МСЭ и расходы на них должны покрываться за счет единиц взносов, а не за счет возмещения затрат. Он также подчеркнул необходимость стабильности и прозрачности сборов во избежание их неожиданного повышения для Государств-Членов. Один из делегатов обратил внимание на доклад Объединенной инспекционной группы (ОИГ) и поинтересовался, имеется ли у секретариата план действий на случай непредвиденных ситуаций в отношении доходов будущих периодов от SNF в размере 5,5 </w:t>
      </w:r>
      <w:proofErr w:type="gramStart"/>
      <w:r w:rsidRPr="00A1365F">
        <w:rPr>
          <w:lang w:val="ru-RU"/>
        </w:rPr>
        <w:t>млн.</w:t>
      </w:r>
      <w:proofErr w:type="gramEnd"/>
      <w:r w:rsidRPr="00A1365F">
        <w:rPr>
          <w:lang w:val="ru-RU"/>
        </w:rPr>
        <w:t xml:space="preserve"> швейцарских франков. Еще один делегат решительно заявил, что обсуждение касается возмещения затрат, а не получения доходов, и поставил под сомнение необходимость возобновления работы Группы экспертов по Решению 482. Один из делегатов также обратился к секретариату с просьбой провести анализ затрат и выгод для предлагаемой модели возмещения затрат.</w:t>
      </w:r>
    </w:p>
    <w:p w14:paraId="4F75BC4E" w14:textId="131C65E5" w:rsidR="00A61D19" w:rsidRPr="00A1365F" w:rsidRDefault="00A61D19" w:rsidP="00B47ACB">
      <w:pPr>
        <w:spacing w:after="120"/>
        <w:rPr>
          <w:lang w:val="ru-RU"/>
        </w:rPr>
      </w:pPr>
      <w:r w:rsidRPr="00A1365F">
        <w:rPr>
          <w:lang w:val="ru-RU"/>
        </w:rPr>
        <w:t>13.12</w:t>
      </w:r>
      <w:r w:rsidRPr="00A1365F">
        <w:rPr>
          <w:lang w:val="ru-RU"/>
        </w:rPr>
        <w:tab/>
        <w:t xml:space="preserve">Секретариат ответил делегатам, что процесс продолжается и что дополнительная информация будет представлена Совету 2026 года. Секретариат сообщил, что бесплатные публикации обходятся регулярному бюджету МСЭ примерно в 1,2–1,5 </w:t>
      </w:r>
      <w:proofErr w:type="gramStart"/>
      <w:r w:rsidRPr="00A1365F">
        <w:rPr>
          <w:lang w:val="ru-RU"/>
        </w:rPr>
        <w:t>млн.</w:t>
      </w:r>
      <w:proofErr w:type="gramEnd"/>
      <w:r w:rsidRPr="00A1365F">
        <w:rPr>
          <w:lang w:val="ru-RU"/>
        </w:rPr>
        <w:t xml:space="preserve"> швейцарских франков в год. Директор Бюро радиосвязи (БР) предупредил, что без модернизации программного обеспечения и увеличения штата сотрудников накопившийся в БР объем невыполненной работы будет увеличиваться в связи с увеличением количества и сложности заявок. В качестве примера он привел недавнюю заявку на регистрацию свыше 200 000</w:t>
      </w:r>
      <w:r w:rsidR="00EF3443">
        <w:rPr>
          <w:lang w:val="ru-RU"/>
        </w:rPr>
        <w:t> </w:t>
      </w:r>
      <w:r w:rsidRPr="00A1365F">
        <w:rPr>
          <w:lang w:val="ru-RU"/>
        </w:rPr>
        <w:t xml:space="preserve">спутников. </w:t>
      </w:r>
    </w:p>
    <w:tbl>
      <w:tblPr>
        <w:tblStyle w:val="TableGrid"/>
        <w:tblW w:w="0" w:type="auto"/>
        <w:tblLook w:val="04A0" w:firstRow="1" w:lastRow="0" w:firstColumn="1" w:lastColumn="0" w:noHBand="0" w:noVBand="1"/>
      </w:tblPr>
      <w:tblGrid>
        <w:gridCol w:w="9061"/>
      </w:tblGrid>
      <w:tr w:rsidR="009F39BD" w:rsidRPr="005E4138" w14:paraId="4DBFF3A5" w14:textId="77777777" w:rsidTr="00567B8B">
        <w:tc>
          <w:tcPr>
            <w:tcW w:w="9061" w:type="dxa"/>
          </w:tcPr>
          <w:p w14:paraId="4B8BD039" w14:textId="4AD719F6" w:rsidR="009F39BD" w:rsidRPr="00A1365F" w:rsidRDefault="009F39BD" w:rsidP="00567B8B">
            <w:pPr>
              <w:spacing w:after="120"/>
              <w:rPr>
                <w:lang w:val="ru-RU"/>
              </w:rPr>
            </w:pPr>
            <w:r w:rsidRPr="00A1365F">
              <w:rPr>
                <w:lang w:val="ru-RU"/>
              </w:rPr>
              <w:t>13.13</w:t>
            </w:r>
            <w:r w:rsidRPr="00A1365F">
              <w:rPr>
                <w:lang w:val="ru-RU"/>
              </w:rPr>
              <w:tab/>
              <w:t>Председатель РГС-ФЛР подвела итоги обсуждений и признала, что, несмотря на самоотверженные усилия, РГС-ФЛР не удалось выполнить поручения Совета 2025 года. Председатель заявила, что без согласия относительно Резолюции 91 (Пересм. Гвадалахара, 2010 г.) продвижение вперед в разработке методики затруднительно и что в данный момент она не готова поддержать методику, предложенную секретариатом. Председатель также озвучила мнение рабочей группы о том, что повторный созыв Группы экспертов по Решению</w:t>
            </w:r>
            <w:r w:rsidR="00EF3443">
              <w:rPr>
                <w:lang w:val="ru-RU"/>
              </w:rPr>
              <w:t> </w:t>
            </w:r>
            <w:r w:rsidRPr="00A1365F">
              <w:rPr>
                <w:lang w:val="ru-RU"/>
              </w:rPr>
              <w:t xml:space="preserve">482 представляется нецелесообразным. В заключение она </w:t>
            </w:r>
            <w:r w:rsidRPr="00A1365F">
              <w:rPr>
                <w:b/>
                <w:lang w:val="ru-RU"/>
              </w:rPr>
              <w:t>взяла на себя обязательство</w:t>
            </w:r>
            <w:r w:rsidRPr="00A1365F">
              <w:rPr>
                <w:lang w:val="ru-RU"/>
              </w:rPr>
              <w:t xml:space="preserve"> представить секретариату, Совету 2026 года и Полномочной конференции 2026 года подробную таблицу с указанием всех имеющихся вопросов и проблем (см. ниже).</w:t>
            </w:r>
          </w:p>
        </w:tc>
      </w:tr>
    </w:tbl>
    <w:p w14:paraId="29B95967" w14:textId="77777777" w:rsidR="00A61D19" w:rsidRPr="00A1365F" w:rsidRDefault="00A61D19" w:rsidP="00A61D19">
      <w:pPr>
        <w:pStyle w:val="Headingb"/>
        <w:rPr>
          <w:lang w:val="ru-RU"/>
        </w:rPr>
      </w:pPr>
      <w:r w:rsidRPr="00A1365F">
        <w:rPr>
          <w:bCs/>
          <w:lang w:val="ru-RU"/>
        </w:rPr>
        <w:t>Тематическое распределение замечаний/вопросов делегатов, касающихся заявок на регистрацию спутниковых сетей</w:t>
      </w:r>
    </w:p>
    <w:p w14:paraId="243EC061" w14:textId="564D3964" w:rsidR="00A61D19" w:rsidRPr="00A1365F" w:rsidRDefault="00A61D19" w:rsidP="00B47ACB">
      <w:pPr>
        <w:spacing w:after="120"/>
        <w:rPr>
          <w:lang w:val="ru-RU"/>
        </w:rPr>
      </w:pPr>
      <w:r w:rsidRPr="00A1365F">
        <w:rPr>
          <w:lang w:val="ru-RU"/>
        </w:rPr>
        <w:t xml:space="preserve">В приведенной ниже таблице представлены замечания и вопросы, озвученные делегатами в ходе 22-го собрания РГС-ФЛР. Эта таблица была направлена по электронной почте Председателем РГС-ФЛР 15 января 2026 года всем заинтересованным делегатам для получения отзывов. </w:t>
      </w:r>
    </w:p>
    <w:tbl>
      <w:tblPr>
        <w:tblStyle w:val="TableGrid"/>
        <w:tblW w:w="5000" w:type="pct"/>
        <w:jc w:val="center"/>
        <w:tblCellMar>
          <w:left w:w="57" w:type="dxa"/>
          <w:right w:w="57" w:type="dxa"/>
        </w:tblCellMar>
        <w:tblLook w:val="04A0" w:firstRow="1" w:lastRow="0" w:firstColumn="1" w:lastColumn="0" w:noHBand="0" w:noVBand="1"/>
      </w:tblPr>
      <w:tblGrid>
        <w:gridCol w:w="846"/>
        <w:gridCol w:w="4110"/>
        <w:gridCol w:w="4105"/>
      </w:tblGrid>
      <w:tr w:rsidR="00B47ACB" w:rsidRPr="00A1365F" w14:paraId="602BB6AD" w14:textId="77777777" w:rsidTr="00B47ACB">
        <w:trPr>
          <w:cantSplit/>
          <w:tblHeader/>
          <w:jc w:val="center"/>
        </w:trPr>
        <w:tc>
          <w:tcPr>
            <w:tcW w:w="467" w:type="pct"/>
            <w:shd w:val="clear" w:color="auto" w:fill="DBE5F1" w:themeFill="accent1" w:themeFillTint="33"/>
          </w:tcPr>
          <w:p w14:paraId="16670FC0" w14:textId="77777777" w:rsidR="00A61D19" w:rsidRPr="00A1365F" w:rsidRDefault="00A61D19" w:rsidP="00567B8B">
            <w:pPr>
              <w:pStyle w:val="Tablehead"/>
              <w:rPr>
                <w:lang w:val="ru-RU"/>
              </w:rPr>
            </w:pPr>
            <w:r w:rsidRPr="00A1365F">
              <w:rPr>
                <w:bCs/>
                <w:color w:val="000000"/>
                <w:lang w:val="ru-RU"/>
              </w:rPr>
              <w:t>Тема</w:t>
            </w:r>
          </w:p>
        </w:tc>
        <w:tc>
          <w:tcPr>
            <w:tcW w:w="2268" w:type="pct"/>
            <w:shd w:val="clear" w:color="auto" w:fill="DBE5F1" w:themeFill="accent1" w:themeFillTint="33"/>
          </w:tcPr>
          <w:p w14:paraId="0AD3E94F" w14:textId="77777777" w:rsidR="00A61D19" w:rsidRPr="00A1365F" w:rsidRDefault="00A61D19" w:rsidP="00567B8B">
            <w:pPr>
              <w:pStyle w:val="Tablehead"/>
              <w:rPr>
                <w:lang w:val="ru-RU"/>
              </w:rPr>
            </w:pPr>
            <w:r w:rsidRPr="00A1365F">
              <w:rPr>
                <w:bCs/>
                <w:color w:val="000000"/>
                <w:lang w:val="ru-RU"/>
              </w:rPr>
              <w:t>Высказанные мнения/вопросы</w:t>
            </w:r>
          </w:p>
        </w:tc>
        <w:tc>
          <w:tcPr>
            <w:tcW w:w="2265" w:type="pct"/>
            <w:shd w:val="clear" w:color="auto" w:fill="DBE5F1" w:themeFill="accent1" w:themeFillTint="33"/>
          </w:tcPr>
          <w:p w14:paraId="7EAA23C8" w14:textId="77777777" w:rsidR="00A61D19" w:rsidRPr="00A1365F" w:rsidRDefault="00A61D19" w:rsidP="00567B8B">
            <w:pPr>
              <w:pStyle w:val="Tablehead"/>
              <w:rPr>
                <w:lang w:val="ru-RU"/>
              </w:rPr>
            </w:pPr>
            <w:r w:rsidRPr="00A1365F">
              <w:rPr>
                <w:bCs/>
                <w:color w:val="000000"/>
                <w:lang w:val="ru-RU"/>
              </w:rPr>
              <w:t>Нерешенные вопросы/проблемы</w:t>
            </w:r>
          </w:p>
        </w:tc>
      </w:tr>
      <w:tr w:rsidR="00A61D19" w:rsidRPr="005E4138" w14:paraId="4D287066" w14:textId="77777777" w:rsidTr="00A61D19">
        <w:trPr>
          <w:cantSplit/>
          <w:jc w:val="center"/>
        </w:trPr>
        <w:tc>
          <w:tcPr>
            <w:tcW w:w="5000" w:type="pct"/>
            <w:gridSpan w:val="3"/>
            <w:shd w:val="clear" w:color="auto" w:fill="EEECE1" w:themeFill="background2"/>
          </w:tcPr>
          <w:p w14:paraId="080BF0FB" w14:textId="77777777" w:rsidR="00A61D19" w:rsidRPr="00A1365F" w:rsidRDefault="00A61D19" w:rsidP="009F39BD">
            <w:pPr>
              <w:pStyle w:val="Tabletext"/>
              <w:keepNext/>
              <w:rPr>
                <w:b/>
                <w:bCs/>
                <w:lang w:val="ru-RU"/>
              </w:rPr>
            </w:pPr>
            <w:r w:rsidRPr="00A1365F">
              <w:rPr>
                <w:b/>
                <w:bCs/>
                <w:color w:val="000000"/>
                <w:lang w:val="ru-RU"/>
              </w:rPr>
              <w:t>В каком направлении должен развиваться МСЭ?</w:t>
            </w:r>
          </w:p>
        </w:tc>
      </w:tr>
      <w:tr w:rsidR="00B47ACB" w:rsidRPr="005E4138" w14:paraId="0D72C89A" w14:textId="77777777" w:rsidTr="00B47ACB">
        <w:trPr>
          <w:cantSplit/>
          <w:jc w:val="center"/>
        </w:trPr>
        <w:tc>
          <w:tcPr>
            <w:tcW w:w="467" w:type="pct"/>
          </w:tcPr>
          <w:p w14:paraId="236CE122" w14:textId="77777777" w:rsidR="00A61D19" w:rsidRPr="00A1365F" w:rsidRDefault="00A61D19" w:rsidP="00567B8B">
            <w:pPr>
              <w:pStyle w:val="Tabletext"/>
              <w:rPr>
                <w:lang w:val="ru-RU"/>
              </w:rPr>
            </w:pPr>
          </w:p>
        </w:tc>
        <w:tc>
          <w:tcPr>
            <w:tcW w:w="2268" w:type="pct"/>
          </w:tcPr>
          <w:p w14:paraId="2305944B" w14:textId="77777777" w:rsidR="00A61D19" w:rsidRPr="00A1365F" w:rsidRDefault="00A61D19" w:rsidP="00567B8B">
            <w:pPr>
              <w:pStyle w:val="Tabletext"/>
              <w:rPr>
                <w:lang w:val="ru-RU"/>
              </w:rPr>
            </w:pPr>
            <w:r w:rsidRPr="00A1365F">
              <w:rPr>
                <w:color w:val="000000"/>
                <w:lang w:val="ru-RU"/>
              </w:rPr>
              <w:t>Общее мнение членов заключается в том, что сборы по линии возмещения затрат (например, сборы за SNF) должны направляться непосредственно на поддержку работы Бюро, к которой относятся такие сборы, а не в общий фонд. Это не должно быть механизмом возмещения бюджетных расходов.</w:t>
            </w:r>
          </w:p>
        </w:tc>
        <w:tc>
          <w:tcPr>
            <w:tcW w:w="2265" w:type="pct"/>
          </w:tcPr>
          <w:p w14:paraId="2816CAE7" w14:textId="77777777" w:rsidR="00A61D19" w:rsidRPr="00A1365F" w:rsidRDefault="00A61D19" w:rsidP="00567B8B">
            <w:pPr>
              <w:pStyle w:val="Tabletext"/>
              <w:rPr>
                <w:lang w:val="ru-RU"/>
              </w:rPr>
            </w:pPr>
            <w:r w:rsidRPr="00A1365F">
              <w:rPr>
                <w:color w:val="000000"/>
                <w:lang w:val="ru-RU"/>
              </w:rPr>
              <w:t>К какой деятельности МСЭ в настоящее время относит эти сборы?</w:t>
            </w:r>
          </w:p>
        </w:tc>
      </w:tr>
      <w:tr w:rsidR="00A61D19" w:rsidRPr="00A1365F" w14:paraId="4C87073B" w14:textId="77777777" w:rsidTr="00A61D19">
        <w:trPr>
          <w:cantSplit/>
          <w:jc w:val="center"/>
        </w:trPr>
        <w:tc>
          <w:tcPr>
            <w:tcW w:w="5000" w:type="pct"/>
            <w:gridSpan w:val="3"/>
            <w:shd w:val="clear" w:color="auto" w:fill="EEECE1" w:themeFill="background2"/>
          </w:tcPr>
          <w:p w14:paraId="078676C5" w14:textId="77777777" w:rsidR="00A61D19" w:rsidRPr="00A1365F" w:rsidRDefault="00A61D19" w:rsidP="00567B8B">
            <w:pPr>
              <w:pStyle w:val="Tabletext"/>
              <w:rPr>
                <w:b/>
                <w:bCs/>
                <w:lang w:val="ru-RU"/>
              </w:rPr>
            </w:pPr>
            <w:r w:rsidRPr="00A1365F">
              <w:rPr>
                <w:b/>
                <w:bCs/>
                <w:color w:val="000000"/>
                <w:lang w:val="ru-RU"/>
              </w:rPr>
              <w:t>Заявки на бесплатную регистрацию</w:t>
            </w:r>
          </w:p>
        </w:tc>
      </w:tr>
      <w:tr w:rsidR="00B47ACB" w:rsidRPr="005E4138" w14:paraId="6D37C88F" w14:textId="77777777" w:rsidTr="00B47ACB">
        <w:trPr>
          <w:cantSplit/>
          <w:jc w:val="center"/>
        </w:trPr>
        <w:tc>
          <w:tcPr>
            <w:tcW w:w="467" w:type="pct"/>
            <w:vMerge w:val="restart"/>
          </w:tcPr>
          <w:p w14:paraId="732D4DF4" w14:textId="77777777" w:rsidR="00A61D19" w:rsidRPr="00A1365F" w:rsidRDefault="00A61D19" w:rsidP="00567B8B">
            <w:pPr>
              <w:pStyle w:val="Tabletext"/>
              <w:rPr>
                <w:lang w:val="ru-RU"/>
              </w:rPr>
            </w:pPr>
          </w:p>
        </w:tc>
        <w:tc>
          <w:tcPr>
            <w:tcW w:w="2268" w:type="pct"/>
          </w:tcPr>
          <w:p w14:paraId="2C147C95" w14:textId="77777777" w:rsidR="00A61D19" w:rsidRPr="00A1365F" w:rsidRDefault="00A61D19" w:rsidP="00567B8B">
            <w:pPr>
              <w:pStyle w:val="Tabletext"/>
              <w:rPr>
                <w:lang w:val="ru-RU"/>
              </w:rPr>
            </w:pPr>
            <w:r w:rsidRPr="00A1365F">
              <w:rPr>
                <w:color w:val="000000"/>
                <w:lang w:val="ru-RU"/>
              </w:rPr>
              <w:t xml:space="preserve">Стоимость подачи заявок на бесплатную регистрацию должна покрываться за счет взносов Государств-Членов. (Целый ряд стран). Другие считают, что заявки на бесплатную регистрацию должны финансироваться за счет возмещения затрат, а не из регулярного бюджета МСЭ. (В соответствии с Рез. 91) </w:t>
            </w:r>
          </w:p>
        </w:tc>
        <w:tc>
          <w:tcPr>
            <w:tcW w:w="2265" w:type="pct"/>
          </w:tcPr>
          <w:p w14:paraId="28FC2C2F" w14:textId="77777777" w:rsidR="00A61D19" w:rsidRPr="00A1365F" w:rsidRDefault="00A61D19" w:rsidP="00567B8B">
            <w:pPr>
              <w:pStyle w:val="Tabletext"/>
              <w:rPr>
                <w:lang w:val="ru-RU"/>
              </w:rPr>
            </w:pPr>
            <w:r w:rsidRPr="00A1365F">
              <w:rPr>
                <w:color w:val="000000"/>
                <w:lang w:val="ru-RU"/>
              </w:rPr>
              <w:t>Что представляет собой подача заявок на бесплатную регистрацию и какова их стоимость? Кто в настоящее время оплачивает подачу заявок на бесплатную регистрацию? Должны ли бесплатные заявки иметь предел стоимости и кто его определяет?</w:t>
            </w:r>
          </w:p>
        </w:tc>
      </w:tr>
      <w:tr w:rsidR="00B47ACB" w:rsidRPr="005E4138" w14:paraId="4CC612B4" w14:textId="77777777" w:rsidTr="00B47ACB">
        <w:trPr>
          <w:cantSplit/>
          <w:jc w:val="center"/>
        </w:trPr>
        <w:tc>
          <w:tcPr>
            <w:tcW w:w="467" w:type="pct"/>
            <w:vMerge/>
          </w:tcPr>
          <w:p w14:paraId="10160CB7" w14:textId="77777777" w:rsidR="00A61D19" w:rsidRPr="00A1365F" w:rsidRDefault="00A61D19" w:rsidP="00567B8B">
            <w:pPr>
              <w:pStyle w:val="Tabletext"/>
              <w:rPr>
                <w:lang w:val="ru-RU"/>
              </w:rPr>
            </w:pPr>
          </w:p>
        </w:tc>
        <w:tc>
          <w:tcPr>
            <w:tcW w:w="2268" w:type="pct"/>
          </w:tcPr>
          <w:p w14:paraId="38F27836" w14:textId="77777777" w:rsidR="00A61D19" w:rsidRPr="00A1365F" w:rsidRDefault="00A61D19" w:rsidP="00567B8B">
            <w:pPr>
              <w:pStyle w:val="Tabletext"/>
              <w:rPr>
                <w:lang w:val="ru-RU"/>
              </w:rPr>
            </w:pPr>
            <w:r w:rsidRPr="00A1365F">
              <w:rPr>
                <w:color w:val="000000"/>
                <w:lang w:val="ru-RU"/>
              </w:rPr>
              <w:t>Подача заявок на бесплатную регистрацию является одной из основных функций мандата МСЭ. (Целый ряд стран).</w:t>
            </w:r>
          </w:p>
        </w:tc>
        <w:tc>
          <w:tcPr>
            <w:tcW w:w="2265" w:type="pct"/>
          </w:tcPr>
          <w:p w14:paraId="48FA7E24" w14:textId="77777777" w:rsidR="00A61D19" w:rsidRPr="00A1365F" w:rsidRDefault="00A61D19" w:rsidP="00567B8B">
            <w:pPr>
              <w:pStyle w:val="Tabletext"/>
              <w:rPr>
                <w:lang w:val="ru-RU"/>
              </w:rPr>
            </w:pPr>
            <w:r w:rsidRPr="00A1365F">
              <w:rPr>
                <w:color w:val="000000"/>
                <w:lang w:val="ru-RU"/>
              </w:rPr>
              <w:t xml:space="preserve">Является ли по-прежнему актуальной цель, ради которой первоначально была предусмотрена возможность подачи заявок на бесплатную регистрацию? </w:t>
            </w:r>
          </w:p>
        </w:tc>
      </w:tr>
      <w:tr w:rsidR="00B47ACB" w:rsidRPr="005E4138" w14:paraId="5873AB73" w14:textId="77777777" w:rsidTr="00B47ACB">
        <w:trPr>
          <w:cantSplit/>
          <w:jc w:val="center"/>
        </w:trPr>
        <w:tc>
          <w:tcPr>
            <w:tcW w:w="467" w:type="pct"/>
            <w:vMerge/>
          </w:tcPr>
          <w:p w14:paraId="65C8653F" w14:textId="77777777" w:rsidR="00A61D19" w:rsidRPr="00A1365F" w:rsidRDefault="00A61D19" w:rsidP="00567B8B">
            <w:pPr>
              <w:pStyle w:val="Tabletext"/>
              <w:rPr>
                <w:lang w:val="ru-RU"/>
              </w:rPr>
            </w:pPr>
          </w:p>
        </w:tc>
        <w:tc>
          <w:tcPr>
            <w:tcW w:w="2268" w:type="pct"/>
          </w:tcPr>
          <w:p w14:paraId="53E10444" w14:textId="77777777" w:rsidR="00A61D19" w:rsidRPr="00A1365F" w:rsidRDefault="00A61D19" w:rsidP="00567B8B">
            <w:pPr>
              <w:pStyle w:val="Tabletext"/>
              <w:rPr>
                <w:lang w:val="ru-RU"/>
              </w:rPr>
            </w:pPr>
            <w:r w:rsidRPr="00A1365F">
              <w:rPr>
                <w:color w:val="000000"/>
                <w:lang w:val="ru-RU"/>
              </w:rPr>
              <w:t>В настоящее время при подаче заявок на бесплатную регистрацию не учитываются интересы развивающихся стран, но такая возможность должна сохраняться, по крайней мере, для оказания поддержки развивающимся странам.</w:t>
            </w:r>
          </w:p>
        </w:tc>
        <w:tc>
          <w:tcPr>
            <w:tcW w:w="2265" w:type="pct"/>
          </w:tcPr>
          <w:p w14:paraId="7A6D917F" w14:textId="77777777" w:rsidR="00A61D19" w:rsidRPr="00A1365F" w:rsidRDefault="00A61D19" w:rsidP="00567B8B">
            <w:pPr>
              <w:pStyle w:val="Tabletext"/>
              <w:rPr>
                <w:lang w:val="ru-RU"/>
              </w:rPr>
            </w:pPr>
          </w:p>
        </w:tc>
      </w:tr>
      <w:tr w:rsidR="00B47ACB" w:rsidRPr="005E4138" w14:paraId="7B7E9F38" w14:textId="77777777" w:rsidTr="00B47ACB">
        <w:trPr>
          <w:cantSplit/>
          <w:jc w:val="center"/>
        </w:trPr>
        <w:tc>
          <w:tcPr>
            <w:tcW w:w="467" w:type="pct"/>
            <w:vMerge/>
          </w:tcPr>
          <w:p w14:paraId="68852D6C" w14:textId="77777777" w:rsidR="00A61D19" w:rsidRPr="00A1365F" w:rsidRDefault="00A61D19" w:rsidP="00567B8B">
            <w:pPr>
              <w:pStyle w:val="Tabletext"/>
              <w:rPr>
                <w:lang w:val="ru-RU"/>
              </w:rPr>
            </w:pPr>
          </w:p>
        </w:tc>
        <w:tc>
          <w:tcPr>
            <w:tcW w:w="2268" w:type="pct"/>
          </w:tcPr>
          <w:p w14:paraId="582C6F7C" w14:textId="16BC86E0" w:rsidR="00A61D19" w:rsidRPr="00A1365F" w:rsidRDefault="00A61D19" w:rsidP="00567B8B">
            <w:pPr>
              <w:pStyle w:val="Tabletext"/>
              <w:rPr>
                <w:lang w:val="ru-RU"/>
              </w:rPr>
            </w:pPr>
            <w:r w:rsidRPr="00A1365F">
              <w:rPr>
                <w:color w:val="000000"/>
                <w:lang w:val="ru-RU"/>
              </w:rPr>
              <w:t>Предлагается предоставить право на подачу заявок на бесплатную регистрацию в рамках региональных спутниковых инициатив в целях обеспечения справедливого доступа.</w:t>
            </w:r>
          </w:p>
        </w:tc>
        <w:tc>
          <w:tcPr>
            <w:tcW w:w="2265" w:type="pct"/>
          </w:tcPr>
          <w:p w14:paraId="3BBDCD6D" w14:textId="77777777" w:rsidR="00A61D19" w:rsidRPr="00A1365F" w:rsidRDefault="00A61D19" w:rsidP="00567B8B">
            <w:pPr>
              <w:pStyle w:val="Tabletext"/>
              <w:rPr>
                <w:lang w:val="ru-RU"/>
              </w:rPr>
            </w:pPr>
            <w:r w:rsidRPr="00A1365F">
              <w:rPr>
                <w:color w:val="000000"/>
                <w:lang w:val="ru-RU"/>
              </w:rPr>
              <w:t>Следует ли проводить различие между развитыми и развивающимися странами?</w:t>
            </w:r>
          </w:p>
        </w:tc>
      </w:tr>
      <w:tr w:rsidR="00B47ACB" w:rsidRPr="00A1365F" w14:paraId="6D7FD1A3" w14:textId="77777777" w:rsidTr="00B47ACB">
        <w:trPr>
          <w:cantSplit/>
          <w:jc w:val="center"/>
        </w:trPr>
        <w:tc>
          <w:tcPr>
            <w:tcW w:w="467" w:type="pct"/>
            <w:vMerge/>
          </w:tcPr>
          <w:p w14:paraId="43AF1244" w14:textId="77777777" w:rsidR="00A61D19" w:rsidRPr="00A1365F" w:rsidRDefault="00A61D19" w:rsidP="00567B8B">
            <w:pPr>
              <w:pStyle w:val="Tabletext"/>
              <w:rPr>
                <w:lang w:val="ru-RU"/>
              </w:rPr>
            </w:pPr>
          </w:p>
        </w:tc>
        <w:tc>
          <w:tcPr>
            <w:tcW w:w="2268" w:type="pct"/>
          </w:tcPr>
          <w:p w14:paraId="2E5C9C56" w14:textId="390BDA25" w:rsidR="00A61D19" w:rsidRPr="00A1365F" w:rsidRDefault="00A61D19" w:rsidP="00567B8B">
            <w:pPr>
              <w:pStyle w:val="Tabletext"/>
              <w:rPr>
                <w:lang w:val="ru-RU"/>
              </w:rPr>
            </w:pPr>
            <w:r w:rsidRPr="00A1365F">
              <w:rPr>
                <w:color w:val="000000"/>
                <w:lang w:val="ru-RU"/>
              </w:rPr>
              <w:t>Право на подачу заявок на бесплатную регистрацию должно распространяться на спутниковые системы целиком. Исключить возможность бесплатной регистрации в случае внесения изменений.</w:t>
            </w:r>
          </w:p>
        </w:tc>
        <w:tc>
          <w:tcPr>
            <w:tcW w:w="2265" w:type="pct"/>
          </w:tcPr>
          <w:p w14:paraId="31E65CB8" w14:textId="77777777" w:rsidR="00A61D19" w:rsidRPr="00A1365F" w:rsidRDefault="00A61D19" w:rsidP="00567B8B">
            <w:pPr>
              <w:pStyle w:val="Tabletext"/>
              <w:rPr>
                <w:lang w:val="ru-RU"/>
              </w:rPr>
            </w:pPr>
          </w:p>
        </w:tc>
      </w:tr>
      <w:tr w:rsidR="00B47ACB" w:rsidRPr="00A1365F" w14:paraId="5C3389E2" w14:textId="77777777" w:rsidTr="00B47ACB">
        <w:trPr>
          <w:cantSplit/>
          <w:jc w:val="center"/>
        </w:trPr>
        <w:tc>
          <w:tcPr>
            <w:tcW w:w="467" w:type="pct"/>
            <w:vMerge/>
          </w:tcPr>
          <w:p w14:paraId="5B9A4F67" w14:textId="77777777" w:rsidR="00A61D19" w:rsidRPr="00A1365F" w:rsidRDefault="00A61D19" w:rsidP="00567B8B">
            <w:pPr>
              <w:pStyle w:val="Tabletext"/>
              <w:rPr>
                <w:lang w:val="ru-RU"/>
              </w:rPr>
            </w:pPr>
          </w:p>
        </w:tc>
        <w:tc>
          <w:tcPr>
            <w:tcW w:w="2268" w:type="pct"/>
          </w:tcPr>
          <w:p w14:paraId="49E4FF8E" w14:textId="77777777" w:rsidR="00A61D19" w:rsidRPr="00A1365F" w:rsidRDefault="00A61D19" w:rsidP="00567B8B">
            <w:pPr>
              <w:pStyle w:val="Tabletext"/>
              <w:rPr>
                <w:lang w:val="ru-RU"/>
              </w:rPr>
            </w:pPr>
            <w:r w:rsidRPr="00A1365F">
              <w:rPr>
                <w:color w:val="000000"/>
                <w:lang w:val="ru-RU"/>
              </w:rPr>
              <w:t>Продолжить обсуждение вопроса о бесплатной регистрации в ходе консультаций с Группой экспертов по Решению 482.</w:t>
            </w:r>
          </w:p>
        </w:tc>
        <w:tc>
          <w:tcPr>
            <w:tcW w:w="2265" w:type="pct"/>
          </w:tcPr>
          <w:p w14:paraId="712CBBF5" w14:textId="77777777" w:rsidR="00A61D19" w:rsidRPr="00A1365F" w:rsidRDefault="00A61D19" w:rsidP="00567B8B">
            <w:pPr>
              <w:pStyle w:val="Tabletext"/>
              <w:rPr>
                <w:lang w:val="ru-RU"/>
              </w:rPr>
            </w:pPr>
          </w:p>
        </w:tc>
      </w:tr>
      <w:tr w:rsidR="00B47ACB" w:rsidRPr="005E4138" w14:paraId="414CA1B1" w14:textId="77777777" w:rsidTr="00B47ACB">
        <w:trPr>
          <w:cantSplit/>
          <w:jc w:val="center"/>
        </w:trPr>
        <w:tc>
          <w:tcPr>
            <w:tcW w:w="467" w:type="pct"/>
            <w:vMerge/>
          </w:tcPr>
          <w:p w14:paraId="403D81E3" w14:textId="77777777" w:rsidR="00A61D19" w:rsidRPr="00A1365F" w:rsidRDefault="00A61D19" w:rsidP="00567B8B">
            <w:pPr>
              <w:pStyle w:val="Tabletext"/>
              <w:rPr>
                <w:lang w:val="ru-RU"/>
              </w:rPr>
            </w:pPr>
          </w:p>
        </w:tc>
        <w:tc>
          <w:tcPr>
            <w:tcW w:w="2268" w:type="pct"/>
          </w:tcPr>
          <w:p w14:paraId="12ACB2B1" w14:textId="77777777" w:rsidR="00A61D19" w:rsidRPr="00A1365F" w:rsidRDefault="00A61D19" w:rsidP="00567B8B">
            <w:pPr>
              <w:pStyle w:val="Tabletext"/>
              <w:rPr>
                <w:lang w:val="ru-RU"/>
              </w:rPr>
            </w:pPr>
            <w:r w:rsidRPr="00A1365F">
              <w:rPr>
                <w:color w:val="000000"/>
                <w:lang w:val="ru-RU"/>
              </w:rPr>
              <w:t>Предложить МСЭ ежегодно направлять напоминания странам, в особенности развивающимся, о предоставляемой им возможности бесплатной регистрации.</w:t>
            </w:r>
          </w:p>
        </w:tc>
        <w:tc>
          <w:tcPr>
            <w:tcW w:w="2265" w:type="pct"/>
          </w:tcPr>
          <w:p w14:paraId="064FDFE2" w14:textId="77777777" w:rsidR="00A61D19" w:rsidRPr="00A1365F" w:rsidRDefault="00A61D19" w:rsidP="00567B8B">
            <w:pPr>
              <w:pStyle w:val="Tabletext"/>
              <w:rPr>
                <w:lang w:val="ru-RU"/>
              </w:rPr>
            </w:pPr>
          </w:p>
        </w:tc>
      </w:tr>
      <w:tr w:rsidR="00B47ACB" w:rsidRPr="005E4138" w14:paraId="0414611B" w14:textId="77777777" w:rsidTr="00B47ACB">
        <w:trPr>
          <w:cantSplit/>
          <w:jc w:val="center"/>
        </w:trPr>
        <w:tc>
          <w:tcPr>
            <w:tcW w:w="467" w:type="pct"/>
            <w:vMerge/>
          </w:tcPr>
          <w:p w14:paraId="33E3CCCE" w14:textId="77777777" w:rsidR="00A61D19" w:rsidRPr="00A1365F" w:rsidRDefault="00A61D19" w:rsidP="00567B8B">
            <w:pPr>
              <w:pStyle w:val="Tabletext"/>
              <w:rPr>
                <w:lang w:val="ru-RU"/>
              </w:rPr>
            </w:pPr>
          </w:p>
        </w:tc>
        <w:tc>
          <w:tcPr>
            <w:tcW w:w="2268" w:type="pct"/>
          </w:tcPr>
          <w:p w14:paraId="4534DBF1" w14:textId="598EF326" w:rsidR="00A61D19" w:rsidRPr="00A1365F" w:rsidRDefault="00A61D19" w:rsidP="00567B8B">
            <w:pPr>
              <w:pStyle w:val="Tabletext"/>
              <w:rPr>
                <w:lang w:val="ru-RU"/>
              </w:rPr>
            </w:pPr>
            <w:r w:rsidRPr="00A1365F">
              <w:rPr>
                <w:color w:val="000000"/>
                <w:lang w:val="ru-RU"/>
              </w:rPr>
              <w:t>Некоторые Члены поддержали содержащееся во вкладе группы стран предложение о недопущении злоупотребления возможностями бесплатной регистрации.</w:t>
            </w:r>
          </w:p>
        </w:tc>
        <w:tc>
          <w:tcPr>
            <w:tcW w:w="2265" w:type="pct"/>
          </w:tcPr>
          <w:p w14:paraId="17E695FA" w14:textId="77777777" w:rsidR="00A61D19" w:rsidRPr="00A1365F" w:rsidRDefault="00A61D19" w:rsidP="00567B8B">
            <w:pPr>
              <w:pStyle w:val="Tabletext"/>
              <w:rPr>
                <w:lang w:val="ru-RU"/>
              </w:rPr>
            </w:pPr>
          </w:p>
        </w:tc>
      </w:tr>
      <w:tr w:rsidR="00A61D19" w:rsidRPr="00A1365F" w14:paraId="091925BB" w14:textId="77777777" w:rsidTr="00A61D19">
        <w:trPr>
          <w:cantSplit/>
          <w:jc w:val="center"/>
        </w:trPr>
        <w:tc>
          <w:tcPr>
            <w:tcW w:w="5000" w:type="pct"/>
            <w:gridSpan w:val="3"/>
            <w:shd w:val="clear" w:color="auto" w:fill="EEECE1" w:themeFill="background2"/>
          </w:tcPr>
          <w:p w14:paraId="1CDDEEA6" w14:textId="77777777" w:rsidR="00A61D19" w:rsidRPr="00A1365F" w:rsidRDefault="00A61D19" w:rsidP="00567B8B">
            <w:pPr>
              <w:pStyle w:val="Tabletext"/>
              <w:keepNext/>
              <w:rPr>
                <w:b/>
                <w:bCs/>
                <w:lang w:val="ru-RU"/>
              </w:rPr>
            </w:pPr>
            <w:r w:rsidRPr="00A1365F">
              <w:rPr>
                <w:b/>
                <w:bCs/>
                <w:color w:val="000000"/>
                <w:lang w:val="ru-RU"/>
              </w:rPr>
              <w:t>Прозрачность</w:t>
            </w:r>
          </w:p>
        </w:tc>
      </w:tr>
      <w:tr w:rsidR="00B47ACB" w:rsidRPr="005E4138" w14:paraId="260E8F9E" w14:textId="77777777" w:rsidTr="00B47ACB">
        <w:trPr>
          <w:cantSplit/>
          <w:jc w:val="center"/>
        </w:trPr>
        <w:tc>
          <w:tcPr>
            <w:tcW w:w="467" w:type="pct"/>
            <w:vMerge w:val="restart"/>
          </w:tcPr>
          <w:p w14:paraId="24C93F17" w14:textId="77777777" w:rsidR="00A61D19" w:rsidRPr="00A1365F" w:rsidRDefault="00A61D19" w:rsidP="00567B8B">
            <w:pPr>
              <w:pStyle w:val="Tabletext"/>
              <w:rPr>
                <w:lang w:val="ru-RU"/>
              </w:rPr>
            </w:pPr>
          </w:p>
        </w:tc>
        <w:tc>
          <w:tcPr>
            <w:tcW w:w="2268" w:type="pct"/>
          </w:tcPr>
          <w:p w14:paraId="57862C1F" w14:textId="77777777" w:rsidR="00A61D19" w:rsidRPr="00A1365F" w:rsidRDefault="00A61D19" w:rsidP="00567B8B">
            <w:pPr>
              <w:pStyle w:val="Tabletext"/>
              <w:rPr>
                <w:lang w:val="ru-RU"/>
              </w:rPr>
            </w:pPr>
            <w:r w:rsidRPr="00A1365F">
              <w:rPr>
                <w:color w:val="000000"/>
                <w:lang w:val="ru-RU"/>
              </w:rPr>
              <w:t>В предложении Секретариата отсутствуют конкретные меры. Необходимо обосновать предлагаемую методику проверенными данными, полученными в рамках деятельности БР.</w:t>
            </w:r>
          </w:p>
        </w:tc>
        <w:tc>
          <w:tcPr>
            <w:tcW w:w="2265" w:type="pct"/>
          </w:tcPr>
          <w:p w14:paraId="51578823" w14:textId="32918AAC" w:rsidR="00A61D19" w:rsidRPr="00A1365F" w:rsidRDefault="00A61D19" w:rsidP="00567B8B">
            <w:pPr>
              <w:pStyle w:val="Tabletext"/>
              <w:rPr>
                <w:lang w:val="ru-RU"/>
              </w:rPr>
            </w:pPr>
            <w:r w:rsidRPr="00A1365F">
              <w:rPr>
                <w:color w:val="000000"/>
                <w:lang w:val="ru-RU"/>
              </w:rPr>
              <w:t>Требуются разъяснения относительно компонентов затрат, подлежащих возмещению в рамках данной методики. В</w:t>
            </w:r>
            <w:r w:rsidR="00EF3443">
              <w:rPr>
                <w:color w:val="000000"/>
                <w:lang w:val="ru-RU"/>
              </w:rPr>
              <w:t> </w:t>
            </w:r>
            <w:r w:rsidRPr="00A1365F">
              <w:rPr>
                <w:color w:val="000000"/>
                <w:lang w:val="ru-RU"/>
              </w:rPr>
              <w:t>частности, каким образом секретариат будет определять понятия прямых и косвенных затрат, осуществлять их расчет и распределение.</w:t>
            </w:r>
          </w:p>
        </w:tc>
      </w:tr>
      <w:tr w:rsidR="00B47ACB" w:rsidRPr="005E4138" w14:paraId="64ED7DCB" w14:textId="77777777" w:rsidTr="00B47ACB">
        <w:trPr>
          <w:cantSplit/>
          <w:jc w:val="center"/>
        </w:trPr>
        <w:tc>
          <w:tcPr>
            <w:tcW w:w="467" w:type="pct"/>
            <w:vMerge/>
          </w:tcPr>
          <w:p w14:paraId="17A85F44" w14:textId="77777777" w:rsidR="00A61D19" w:rsidRPr="00A1365F" w:rsidRDefault="00A61D19" w:rsidP="00567B8B">
            <w:pPr>
              <w:pStyle w:val="Tabletext"/>
              <w:rPr>
                <w:lang w:val="ru-RU"/>
              </w:rPr>
            </w:pPr>
          </w:p>
        </w:tc>
        <w:tc>
          <w:tcPr>
            <w:tcW w:w="2268" w:type="pct"/>
          </w:tcPr>
          <w:p w14:paraId="315B7664" w14:textId="77777777" w:rsidR="00A61D19" w:rsidRPr="00A1365F" w:rsidRDefault="00A61D19" w:rsidP="00567B8B">
            <w:pPr>
              <w:pStyle w:val="Tabletext"/>
              <w:rPr>
                <w:lang w:val="ru-RU"/>
              </w:rPr>
            </w:pPr>
            <w:r w:rsidRPr="00A1365F">
              <w:rPr>
                <w:color w:val="000000"/>
                <w:lang w:val="ru-RU"/>
              </w:rPr>
              <w:t>Некоторые страны полагают, что любые прямые или косвенные затраты должны возмещаться путем возмещения затрат, и для учета этих затрат секретариат должен продемонстрировать связь между накладными расходами и затратами на SNF.</w:t>
            </w:r>
          </w:p>
        </w:tc>
        <w:tc>
          <w:tcPr>
            <w:tcW w:w="2265" w:type="pct"/>
          </w:tcPr>
          <w:p w14:paraId="1CD9A722" w14:textId="77777777" w:rsidR="00A61D19" w:rsidRPr="00A1365F" w:rsidRDefault="00A61D19" w:rsidP="00567B8B">
            <w:pPr>
              <w:pStyle w:val="Tabletext"/>
              <w:rPr>
                <w:lang w:val="ru-RU"/>
              </w:rPr>
            </w:pPr>
            <w:r w:rsidRPr="00A1365F">
              <w:rPr>
                <w:color w:val="000000"/>
                <w:lang w:val="ru-RU"/>
              </w:rPr>
              <w:t>Каким образом секретариат намерен измерять и отражать в отчетности повышение эффективности, достигнутое за счет предлагаемых изменений SNF?</w:t>
            </w:r>
          </w:p>
        </w:tc>
      </w:tr>
      <w:tr w:rsidR="00B47ACB" w:rsidRPr="005E4138" w14:paraId="1DEFDB18" w14:textId="77777777" w:rsidTr="00B47ACB">
        <w:trPr>
          <w:cantSplit/>
          <w:jc w:val="center"/>
        </w:trPr>
        <w:tc>
          <w:tcPr>
            <w:tcW w:w="467" w:type="pct"/>
            <w:vMerge/>
          </w:tcPr>
          <w:p w14:paraId="05FFC8AA" w14:textId="77777777" w:rsidR="00A61D19" w:rsidRPr="00A1365F" w:rsidRDefault="00A61D19" w:rsidP="00567B8B">
            <w:pPr>
              <w:pStyle w:val="Tabletext"/>
              <w:rPr>
                <w:lang w:val="ru-RU"/>
              </w:rPr>
            </w:pPr>
          </w:p>
        </w:tc>
        <w:tc>
          <w:tcPr>
            <w:tcW w:w="2268" w:type="pct"/>
          </w:tcPr>
          <w:p w14:paraId="40C1D529" w14:textId="77777777" w:rsidR="00A61D19" w:rsidRPr="00A1365F" w:rsidRDefault="00A61D19" w:rsidP="00567B8B">
            <w:pPr>
              <w:pStyle w:val="Tabletext"/>
              <w:rPr>
                <w:lang w:val="ru-RU"/>
              </w:rPr>
            </w:pPr>
            <w:r w:rsidRPr="00A1365F">
              <w:rPr>
                <w:color w:val="000000"/>
                <w:lang w:val="ru-RU"/>
              </w:rPr>
              <w:t xml:space="preserve">В Рез. 91 не упоминаются капитальные затраты, такие как амортизация. </w:t>
            </w:r>
          </w:p>
        </w:tc>
        <w:tc>
          <w:tcPr>
            <w:tcW w:w="2265" w:type="pct"/>
          </w:tcPr>
          <w:p w14:paraId="671B5099" w14:textId="77777777" w:rsidR="00A61D19" w:rsidRPr="00A1365F" w:rsidRDefault="00A61D19" w:rsidP="00567B8B">
            <w:pPr>
              <w:pStyle w:val="Tabletext"/>
              <w:rPr>
                <w:lang w:val="ru-RU"/>
              </w:rPr>
            </w:pPr>
            <w:r w:rsidRPr="00A1365F">
              <w:rPr>
                <w:color w:val="000000"/>
                <w:lang w:val="ru-RU"/>
              </w:rPr>
              <w:t>Являются ли капитальные затраты прямыми или косвенными? Почему они должны быть включены?</w:t>
            </w:r>
          </w:p>
        </w:tc>
      </w:tr>
      <w:tr w:rsidR="00B47ACB" w:rsidRPr="005E4138" w14:paraId="1918DAF4" w14:textId="77777777" w:rsidTr="00B47ACB">
        <w:trPr>
          <w:cantSplit/>
          <w:jc w:val="center"/>
        </w:trPr>
        <w:tc>
          <w:tcPr>
            <w:tcW w:w="467" w:type="pct"/>
          </w:tcPr>
          <w:p w14:paraId="15B4F592" w14:textId="77777777" w:rsidR="00A61D19" w:rsidRPr="00A1365F" w:rsidRDefault="00A61D19" w:rsidP="00567B8B">
            <w:pPr>
              <w:pStyle w:val="Tabletext"/>
              <w:rPr>
                <w:lang w:val="ru-RU"/>
              </w:rPr>
            </w:pPr>
          </w:p>
        </w:tc>
        <w:tc>
          <w:tcPr>
            <w:tcW w:w="2268" w:type="pct"/>
          </w:tcPr>
          <w:p w14:paraId="5A3DB150" w14:textId="1481A627" w:rsidR="00A61D19" w:rsidRPr="00A1365F" w:rsidRDefault="00A61D19" w:rsidP="00567B8B">
            <w:pPr>
              <w:pStyle w:val="Tabletext"/>
              <w:rPr>
                <w:lang w:val="ru-RU"/>
              </w:rPr>
            </w:pPr>
            <w:r w:rsidRPr="00A1365F">
              <w:rPr>
                <w:color w:val="000000"/>
                <w:lang w:val="ru-RU"/>
              </w:rPr>
              <w:t>Некоторые Члены выразили обеспокоенность в связи с тем, что воспользоваться преимуществами бесплатной регистрации может лишь ограниченное число многонациональных объединений.</w:t>
            </w:r>
          </w:p>
        </w:tc>
        <w:tc>
          <w:tcPr>
            <w:tcW w:w="2265" w:type="pct"/>
          </w:tcPr>
          <w:p w14:paraId="0BC82AA6" w14:textId="77777777" w:rsidR="00A61D19" w:rsidRPr="00A1365F" w:rsidRDefault="00A61D19" w:rsidP="00567B8B">
            <w:pPr>
              <w:pStyle w:val="Tabletext"/>
              <w:rPr>
                <w:lang w:val="ru-RU"/>
              </w:rPr>
            </w:pPr>
            <w:r w:rsidRPr="00A1365F">
              <w:rPr>
                <w:color w:val="000000"/>
                <w:lang w:val="ru-RU"/>
              </w:rPr>
              <w:t>Каковы финансовые последствия подачи заявок на бесплатную регистрацию спутников, которые являются частью одной и той же спутниковой группировки?</w:t>
            </w:r>
          </w:p>
        </w:tc>
      </w:tr>
      <w:tr w:rsidR="00A61D19" w:rsidRPr="00A1365F" w14:paraId="015B995D" w14:textId="77777777" w:rsidTr="00A61D19">
        <w:trPr>
          <w:cantSplit/>
          <w:jc w:val="center"/>
        </w:trPr>
        <w:tc>
          <w:tcPr>
            <w:tcW w:w="5000" w:type="pct"/>
            <w:gridSpan w:val="3"/>
            <w:shd w:val="clear" w:color="auto" w:fill="EEECE1" w:themeFill="background2"/>
          </w:tcPr>
          <w:p w14:paraId="69948267" w14:textId="77777777" w:rsidR="00A61D19" w:rsidRPr="00A1365F" w:rsidRDefault="00A61D19" w:rsidP="00567B8B">
            <w:pPr>
              <w:pStyle w:val="Tabletext"/>
              <w:rPr>
                <w:b/>
                <w:bCs/>
                <w:lang w:val="ru-RU"/>
              </w:rPr>
            </w:pPr>
            <w:r w:rsidRPr="00A1365F">
              <w:rPr>
                <w:b/>
                <w:bCs/>
                <w:color w:val="000000"/>
                <w:lang w:val="ru-RU"/>
              </w:rPr>
              <w:t>Предсказуемая система сборов</w:t>
            </w:r>
          </w:p>
        </w:tc>
      </w:tr>
      <w:tr w:rsidR="00B47ACB" w:rsidRPr="005E4138" w14:paraId="6C2B6F9E" w14:textId="77777777" w:rsidTr="00B47ACB">
        <w:trPr>
          <w:cantSplit/>
          <w:jc w:val="center"/>
        </w:trPr>
        <w:tc>
          <w:tcPr>
            <w:tcW w:w="467" w:type="pct"/>
          </w:tcPr>
          <w:p w14:paraId="32174680" w14:textId="77777777" w:rsidR="00A61D19" w:rsidRPr="00A1365F" w:rsidRDefault="00A61D19" w:rsidP="00567B8B">
            <w:pPr>
              <w:pStyle w:val="Tabletext"/>
              <w:rPr>
                <w:lang w:val="ru-RU"/>
              </w:rPr>
            </w:pPr>
          </w:p>
        </w:tc>
        <w:tc>
          <w:tcPr>
            <w:tcW w:w="2268" w:type="pct"/>
          </w:tcPr>
          <w:p w14:paraId="41F85B71" w14:textId="4CCFEC73" w:rsidR="00A61D19" w:rsidRPr="00A1365F" w:rsidRDefault="00A61D19" w:rsidP="00567B8B">
            <w:pPr>
              <w:pStyle w:val="Tabletext"/>
              <w:rPr>
                <w:lang w:val="ru-RU"/>
              </w:rPr>
            </w:pPr>
            <w:r w:rsidRPr="00A1365F">
              <w:rPr>
                <w:color w:val="000000"/>
                <w:lang w:val="ru-RU"/>
              </w:rPr>
              <w:t>Государства-Члены в целом согласны с тем, что значительные колебания препятствуют планированию спутниковых сетей.</w:t>
            </w:r>
          </w:p>
        </w:tc>
        <w:tc>
          <w:tcPr>
            <w:tcW w:w="2265" w:type="pct"/>
          </w:tcPr>
          <w:p w14:paraId="6FD8D334" w14:textId="77777777" w:rsidR="00A61D19" w:rsidRPr="00A1365F" w:rsidRDefault="00A61D19" w:rsidP="00567B8B">
            <w:pPr>
              <w:pStyle w:val="Tabletext"/>
              <w:rPr>
                <w:lang w:val="ru-RU"/>
              </w:rPr>
            </w:pPr>
            <w:r w:rsidRPr="00A1365F">
              <w:rPr>
                <w:color w:val="000000"/>
                <w:lang w:val="ru-RU"/>
              </w:rPr>
              <w:t>Может ли МСЭ предложить что-то иное, помимо ежегодной корректировки для целей долгосрочного планирования?</w:t>
            </w:r>
          </w:p>
        </w:tc>
      </w:tr>
      <w:tr w:rsidR="00A61D19" w:rsidRPr="00A1365F" w14:paraId="3806F325" w14:textId="77777777" w:rsidTr="00A61D19">
        <w:trPr>
          <w:cantSplit/>
          <w:jc w:val="center"/>
        </w:trPr>
        <w:tc>
          <w:tcPr>
            <w:tcW w:w="5000" w:type="pct"/>
            <w:gridSpan w:val="3"/>
            <w:shd w:val="clear" w:color="auto" w:fill="EEECE1" w:themeFill="background2"/>
          </w:tcPr>
          <w:p w14:paraId="5965F8CF" w14:textId="77777777" w:rsidR="00A61D19" w:rsidRPr="00A1365F" w:rsidRDefault="00A61D19" w:rsidP="00567B8B">
            <w:pPr>
              <w:pStyle w:val="Tabletext"/>
              <w:rPr>
                <w:b/>
                <w:bCs/>
                <w:lang w:val="ru-RU"/>
              </w:rPr>
            </w:pPr>
            <w:r w:rsidRPr="00A1365F">
              <w:rPr>
                <w:b/>
                <w:color w:val="000000"/>
                <w:lang w:val="ru-RU"/>
              </w:rPr>
              <w:t>Прочие вопросы</w:t>
            </w:r>
          </w:p>
        </w:tc>
      </w:tr>
      <w:tr w:rsidR="00B47ACB" w:rsidRPr="005E4138" w14:paraId="2900248C" w14:textId="77777777" w:rsidTr="00B47ACB">
        <w:trPr>
          <w:cantSplit/>
          <w:jc w:val="center"/>
        </w:trPr>
        <w:tc>
          <w:tcPr>
            <w:tcW w:w="467" w:type="pct"/>
            <w:vMerge w:val="restart"/>
          </w:tcPr>
          <w:p w14:paraId="7DAA9307" w14:textId="77777777" w:rsidR="00A61D19" w:rsidRPr="00A1365F" w:rsidRDefault="00A61D19" w:rsidP="00567B8B">
            <w:pPr>
              <w:pStyle w:val="Tabletext"/>
              <w:rPr>
                <w:lang w:val="ru-RU"/>
              </w:rPr>
            </w:pPr>
          </w:p>
        </w:tc>
        <w:tc>
          <w:tcPr>
            <w:tcW w:w="2268" w:type="pct"/>
          </w:tcPr>
          <w:p w14:paraId="13D7636A" w14:textId="5FAEE027" w:rsidR="00A61D19" w:rsidRPr="00A1365F" w:rsidRDefault="00A61D19" w:rsidP="00567B8B">
            <w:pPr>
              <w:pStyle w:val="Tabletext"/>
              <w:rPr>
                <w:lang w:val="ru-RU"/>
              </w:rPr>
            </w:pPr>
            <w:r w:rsidRPr="00A1365F">
              <w:rPr>
                <w:color w:val="000000"/>
                <w:lang w:val="ru-RU"/>
              </w:rPr>
              <w:t>Некоторые вопросы, поднятые Членами, могут выходить за рамки мандата/полномочий ФЛР и должны рассматриваться на ПК.</w:t>
            </w:r>
          </w:p>
        </w:tc>
        <w:tc>
          <w:tcPr>
            <w:tcW w:w="2265" w:type="pct"/>
          </w:tcPr>
          <w:p w14:paraId="490D9454" w14:textId="77777777" w:rsidR="00A61D19" w:rsidRPr="00A1365F" w:rsidRDefault="00A61D19" w:rsidP="00567B8B">
            <w:pPr>
              <w:pStyle w:val="Tabletext"/>
              <w:rPr>
                <w:lang w:val="ru-RU"/>
              </w:rPr>
            </w:pPr>
            <w:r w:rsidRPr="00A1365F">
              <w:rPr>
                <w:color w:val="000000"/>
                <w:lang w:val="ru-RU"/>
              </w:rPr>
              <w:t xml:space="preserve">Какие рекомендации будут направлены Совету? </w:t>
            </w:r>
          </w:p>
        </w:tc>
      </w:tr>
      <w:tr w:rsidR="00B47ACB" w:rsidRPr="005E4138" w14:paraId="78DE2721" w14:textId="77777777" w:rsidTr="00B47ACB">
        <w:trPr>
          <w:cantSplit/>
          <w:jc w:val="center"/>
        </w:trPr>
        <w:tc>
          <w:tcPr>
            <w:tcW w:w="467" w:type="pct"/>
            <w:vMerge/>
          </w:tcPr>
          <w:p w14:paraId="0586D406" w14:textId="77777777" w:rsidR="00A61D19" w:rsidRPr="00A1365F" w:rsidRDefault="00A61D19" w:rsidP="00567B8B">
            <w:pPr>
              <w:pStyle w:val="Tabletext"/>
              <w:rPr>
                <w:lang w:val="ru-RU"/>
              </w:rPr>
            </w:pPr>
          </w:p>
        </w:tc>
        <w:tc>
          <w:tcPr>
            <w:tcW w:w="2268" w:type="pct"/>
          </w:tcPr>
          <w:p w14:paraId="20809065" w14:textId="52DA12FB" w:rsidR="00A61D19" w:rsidRPr="00A1365F" w:rsidRDefault="00A61D19" w:rsidP="00567B8B">
            <w:pPr>
              <w:pStyle w:val="Tabletext"/>
              <w:rPr>
                <w:lang w:val="ru-RU"/>
              </w:rPr>
            </w:pPr>
            <w:r w:rsidRPr="00A1365F">
              <w:rPr>
                <w:color w:val="000000"/>
                <w:lang w:val="ru-RU"/>
              </w:rPr>
              <w:t>Была высказаны различные мнения относительно возобновления работы Группы экспертов по Решению 482.</w:t>
            </w:r>
          </w:p>
        </w:tc>
        <w:tc>
          <w:tcPr>
            <w:tcW w:w="2265" w:type="pct"/>
          </w:tcPr>
          <w:p w14:paraId="7F303E97" w14:textId="77777777" w:rsidR="00A61D19" w:rsidRPr="00A1365F" w:rsidRDefault="00A61D19" w:rsidP="00567B8B">
            <w:pPr>
              <w:pStyle w:val="Tabletext"/>
              <w:rPr>
                <w:lang w:val="ru-RU"/>
              </w:rPr>
            </w:pPr>
            <w:r w:rsidRPr="00A1365F">
              <w:rPr>
                <w:color w:val="000000"/>
                <w:lang w:val="ru-RU"/>
              </w:rPr>
              <w:t>Существует ли план действий на случай непредвиденных ситуаций, позволяющий разблокировать доход будущих периодов от SNF в размере 5,5 млн.?</w:t>
            </w:r>
          </w:p>
        </w:tc>
      </w:tr>
      <w:tr w:rsidR="00B47ACB" w:rsidRPr="005E4138" w14:paraId="75B35C12" w14:textId="77777777" w:rsidTr="00B47ACB">
        <w:trPr>
          <w:cantSplit/>
          <w:jc w:val="center"/>
        </w:trPr>
        <w:tc>
          <w:tcPr>
            <w:tcW w:w="467" w:type="pct"/>
            <w:vMerge/>
          </w:tcPr>
          <w:p w14:paraId="7D901BFD" w14:textId="77777777" w:rsidR="00A61D19" w:rsidRPr="00A1365F" w:rsidRDefault="00A61D19" w:rsidP="00567B8B">
            <w:pPr>
              <w:pStyle w:val="Tabletext"/>
              <w:rPr>
                <w:lang w:val="ru-RU"/>
              </w:rPr>
            </w:pPr>
          </w:p>
        </w:tc>
        <w:tc>
          <w:tcPr>
            <w:tcW w:w="2268" w:type="pct"/>
          </w:tcPr>
          <w:p w14:paraId="1C8EB49F" w14:textId="77777777" w:rsidR="00A61D19" w:rsidRPr="00A1365F" w:rsidRDefault="00A61D19" w:rsidP="00567B8B">
            <w:pPr>
              <w:pStyle w:val="Tabletext"/>
              <w:rPr>
                <w:lang w:val="ru-RU"/>
              </w:rPr>
            </w:pPr>
            <w:r w:rsidRPr="00A1365F">
              <w:rPr>
                <w:color w:val="000000"/>
                <w:lang w:val="ru-RU"/>
              </w:rPr>
              <w:t>Не поддерживается включение вкладов по вопросам управления от конференций и ассамблей МСЭ-Т и МСЭ-D. Предлагается ограничить рассмотрение этих вопросов ПК, Советом и МСЭ-R.</w:t>
            </w:r>
          </w:p>
        </w:tc>
        <w:tc>
          <w:tcPr>
            <w:tcW w:w="2265" w:type="pct"/>
          </w:tcPr>
          <w:p w14:paraId="29B3E70B" w14:textId="77777777" w:rsidR="00A61D19" w:rsidRPr="00A1365F" w:rsidRDefault="00A61D19" w:rsidP="00567B8B">
            <w:pPr>
              <w:pStyle w:val="Tabletext"/>
              <w:rPr>
                <w:lang w:val="ru-RU"/>
              </w:rPr>
            </w:pPr>
          </w:p>
        </w:tc>
      </w:tr>
      <w:tr w:rsidR="00B47ACB" w:rsidRPr="005E4138" w14:paraId="120E2F7B" w14:textId="77777777" w:rsidTr="00B47ACB">
        <w:trPr>
          <w:cantSplit/>
          <w:jc w:val="center"/>
        </w:trPr>
        <w:tc>
          <w:tcPr>
            <w:tcW w:w="467" w:type="pct"/>
            <w:vMerge/>
          </w:tcPr>
          <w:p w14:paraId="7CE01EE3" w14:textId="77777777" w:rsidR="00A61D19" w:rsidRPr="00A1365F" w:rsidRDefault="00A61D19" w:rsidP="00567B8B">
            <w:pPr>
              <w:pStyle w:val="Tabletext"/>
              <w:rPr>
                <w:lang w:val="ru-RU"/>
              </w:rPr>
            </w:pPr>
          </w:p>
        </w:tc>
        <w:tc>
          <w:tcPr>
            <w:tcW w:w="2268" w:type="pct"/>
          </w:tcPr>
          <w:p w14:paraId="3D0DF083" w14:textId="6D073846" w:rsidR="00A61D19" w:rsidRPr="00A1365F" w:rsidRDefault="00A61D19" w:rsidP="00567B8B">
            <w:pPr>
              <w:pStyle w:val="Tabletext"/>
              <w:rPr>
                <w:lang w:val="ru-RU"/>
              </w:rPr>
            </w:pPr>
            <w:r w:rsidRPr="00A1365F">
              <w:rPr>
                <w:color w:val="000000"/>
                <w:lang w:val="ru-RU"/>
              </w:rPr>
              <w:t>Рекомендуется доработать документ секретариата в преддверии Совета-26 путем включения в него элементов отчета ОИГ 2025</w:t>
            </w:r>
            <w:r w:rsidR="00EF3443">
              <w:rPr>
                <w:color w:val="000000"/>
                <w:lang w:val="ru-RU"/>
              </w:rPr>
              <w:t> </w:t>
            </w:r>
            <w:r w:rsidRPr="00A1365F">
              <w:rPr>
                <w:color w:val="000000"/>
                <w:lang w:val="ru-RU"/>
              </w:rPr>
              <w:t>года.</w:t>
            </w:r>
          </w:p>
        </w:tc>
        <w:tc>
          <w:tcPr>
            <w:tcW w:w="2265" w:type="pct"/>
          </w:tcPr>
          <w:p w14:paraId="5AD0A9C7" w14:textId="77777777" w:rsidR="00A61D19" w:rsidRPr="00A1365F" w:rsidRDefault="00A61D19" w:rsidP="00567B8B">
            <w:pPr>
              <w:pStyle w:val="Tabletext"/>
              <w:rPr>
                <w:lang w:val="ru-RU"/>
              </w:rPr>
            </w:pPr>
          </w:p>
        </w:tc>
      </w:tr>
      <w:tr w:rsidR="00B47ACB" w:rsidRPr="005E4138" w14:paraId="6869B1E6" w14:textId="77777777" w:rsidTr="00B47ACB">
        <w:trPr>
          <w:cantSplit/>
          <w:jc w:val="center"/>
        </w:trPr>
        <w:tc>
          <w:tcPr>
            <w:tcW w:w="467" w:type="pct"/>
            <w:vMerge/>
          </w:tcPr>
          <w:p w14:paraId="454042A5" w14:textId="77777777" w:rsidR="00A61D19" w:rsidRPr="00A1365F" w:rsidRDefault="00A61D19" w:rsidP="00567B8B">
            <w:pPr>
              <w:pStyle w:val="Tabletext"/>
              <w:rPr>
                <w:lang w:val="ru-RU"/>
              </w:rPr>
            </w:pPr>
          </w:p>
        </w:tc>
        <w:tc>
          <w:tcPr>
            <w:tcW w:w="2268" w:type="pct"/>
          </w:tcPr>
          <w:p w14:paraId="4D49A04A" w14:textId="4906C034" w:rsidR="00A61D19" w:rsidRPr="00A1365F" w:rsidRDefault="00A61D19" w:rsidP="00567B8B">
            <w:pPr>
              <w:pStyle w:val="Tabletext"/>
              <w:rPr>
                <w:lang w:val="ru-RU"/>
              </w:rPr>
            </w:pPr>
            <w:r w:rsidRPr="00A1365F">
              <w:rPr>
                <w:color w:val="000000"/>
                <w:lang w:val="ru-RU"/>
              </w:rPr>
              <w:t>Сравнение подхода национальных регуляторных органов к косвенным затратам с подходом МСЭ не представляется корректным.</w:t>
            </w:r>
          </w:p>
        </w:tc>
        <w:tc>
          <w:tcPr>
            <w:tcW w:w="2265" w:type="pct"/>
          </w:tcPr>
          <w:p w14:paraId="1C970363" w14:textId="77777777" w:rsidR="00A61D19" w:rsidRPr="00A1365F" w:rsidRDefault="00A61D19" w:rsidP="00567B8B">
            <w:pPr>
              <w:pStyle w:val="Tabletext"/>
              <w:rPr>
                <w:lang w:val="ru-RU"/>
              </w:rPr>
            </w:pPr>
          </w:p>
        </w:tc>
      </w:tr>
      <w:tr w:rsidR="00A61D19" w:rsidRPr="005E4138" w14:paraId="139C5320" w14:textId="77777777" w:rsidTr="00A61D19">
        <w:trPr>
          <w:cantSplit/>
          <w:jc w:val="center"/>
        </w:trPr>
        <w:tc>
          <w:tcPr>
            <w:tcW w:w="5000" w:type="pct"/>
            <w:gridSpan w:val="3"/>
            <w:shd w:val="clear" w:color="auto" w:fill="EEECE1" w:themeFill="background2"/>
          </w:tcPr>
          <w:p w14:paraId="39DAA297" w14:textId="16D2E17E" w:rsidR="00A61D19" w:rsidRPr="00A1365F" w:rsidRDefault="00A61D19" w:rsidP="00567B8B">
            <w:pPr>
              <w:pStyle w:val="Tabletext"/>
              <w:rPr>
                <w:b/>
                <w:bCs/>
                <w:lang w:val="ru-RU"/>
              </w:rPr>
            </w:pPr>
            <w:r w:rsidRPr="00A1365F">
              <w:rPr>
                <w:b/>
                <w:bCs/>
                <w:color w:val="000000"/>
                <w:lang w:val="ru-RU"/>
              </w:rPr>
              <w:t>Куда следует направлять CR?</w:t>
            </w:r>
            <w:r w:rsidRPr="00A1365F">
              <w:rPr>
                <w:color w:val="000000"/>
                <w:lang w:val="ru-RU"/>
              </w:rPr>
              <w:t xml:space="preserve"> </w:t>
            </w:r>
            <w:r w:rsidRPr="00A1365F">
              <w:rPr>
                <w:b/>
                <w:bCs/>
                <w:color w:val="000000"/>
                <w:lang w:val="ru-RU"/>
              </w:rPr>
              <w:t>Их следует направлять в БР</w:t>
            </w:r>
            <w:r w:rsidRPr="00A1365F">
              <w:rPr>
                <w:color w:val="000000"/>
                <w:lang w:val="ru-RU"/>
              </w:rPr>
              <w:t>.</w:t>
            </w:r>
          </w:p>
        </w:tc>
      </w:tr>
    </w:tbl>
    <w:p w14:paraId="4521C6ED" w14:textId="4FB89AA0" w:rsidR="00A61D19" w:rsidRPr="00A1365F" w:rsidRDefault="00A61D19" w:rsidP="00A61D19">
      <w:pPr>
        <w:pStyle w:val="Heading1"/>
        <w:rPr>
          <w:lang w:val="ru-RU"/>
        </w:rPr>
      </w:pPr>
      <w:r w:rsidRPr="00A1365F">
        <w:rPr>
          <w:bCs/>
          <w:lang w:val="ru-RU"/>
        </w:rPr>
        <w:t>14</w:t>
      </w:r>
      <w:r w:rsidRPr="00A1365F">
        <w:rPr>
          <w:lang w:val="ru-RU"/>
        </w:rPr>
        <w:tab/>
        <w:t>Методика анализа и пересмотра единицы взносов (Документы</w:t>
      </w:r>
      <w:r w:rsidR="00EF3443">
        <w:rPr>
          <w:lang w:val="ru-RU"/>
        </w:rPr>
        <w:t> </w:t>
      </w:r>
      <w:hyperlink r:id="rId138" w:history="1">
        <w:r w:rsidRPr="00A1365F">
          <w:rPr>
            <w:rStyle w:val="Hyperlink"/>
            <w:lang w:val="ru-RU"/>
          </w:rPr>
          <w:t>CWG</w:t>
        </w:r>
        <w:r w:rsidR="00EF3443">
          <w:rPr>
            <w:rStyle w:val="Hyperlink"/>
            <w:lang w:val="ru-RU"/>
          </w:rPr>
          <w:noBreakHyphen/>
        </w:r>
        <w:r w:rsidRPr="00A1365F">
          <w:rPr>
            <w:rStyle w:val="Hyperlink"/>
            <w:lang w:val="ru-RU"/>
          </w:rPr>
          <w:t>FHR-21/13</w:t>
        </w:r>
      </w:hyperlink>
      <w:r w:rsidRPr="00A1365F">
        <w:rPr>
          <w:lang w:val="ru-RU"/>
        </w:rPr>
        <w:t xml:space="preserve"> и </w:t>
      </w:r>
      <w:hyperlink r:id="rId139" w:history="1">
        <w:r w:rsidRPr="00A1365F">
          <w:rPr>
            <w:rStyle w:val="Hyperlink"/>
            <w:lang w:val="ru-RU"/>
          </w:rPr>
          <w:t>CWG-FHR-22/6</w:t>
        </w:r>
      </w:hyperlink>
      <w:r w:rsidRPr="00A1365F">
        <w:rPr>
          <w:lang w:val="ru-RU"/>
        </w:rPr>
        <w:t>)</w:t>
      </w:r>
      <w:hyperlink r:id="rId140" w:history="1"/>
      <w:hyperlink r:id="rId141" w:history="1"/>
    </w:p>
    <w:p w14:paraId="3BD95ED2" w14:textId="77777777" w:rsidR="00A61D19" w:rsidRPr="00A1365F" w:rsidRDefault="00A61D19" w:rsidP="00A61D19">
      <w:pPr>
        <w:rPr>
          <w:lang w:val="ru-RU"/>
        </w:rPr>
      </w:pPr>
      <w:r w:rsidRPr="00A1365F">
        <w:rPr>
          <w:lang w:val="ru-RU"/>
        </w:rPr>
        <w:t>14.1</w:t>
      </w:r>
      <w:r w:rsidRPr="00A1365F">
        <w:rPr>
          <w:lang w:val="ru-RU"/>
        </w:rPr>
        <w:tab/>
        <w:t>Совет 2025 года принял решение не увеличивать размер единицы взносов. Принимая во внимание финансовые ограничения, с которыми сталкивается МСЭ, Совет 2025 года поручил секретариату разработать и представить на рассмотрение Членов возможные подходы к пересмотру единицы взносов в будущем. На 21-м собрании секретариат представил три подхода: 1) корректировка единицы взносов с учетом инфляции; 2) увязка увеличения размера единицы взносов с повышением показателей эффективности деятельности; и 3) приведение единицы взносов в соответствие с возможностями МСЭ покрывать расходы, связанные с новыми мандатами.</w:t>
      </w:r>
    </w:p>
    <w:p w14:paraId="1D176746" w14:textId="55FE41D7" w:rsidR="00A61D19" w:rsidRPr="00A1365F" w:rsidRDefault="00A61D19" w:rsidP="00A61D19">
      <w:pPr>
        <w:rPr>
          <w:lang w:val="ru-RU"/>
        </w:rPr>
      </w:pPr>
      <w:r w:rsidRPr="00A1365F">
        <w:rPr>
          <w:lang w:val="ru-RU"/>
        </w:rPr>
        <w:t>14.2</w:t>
      </w:r>
      <w:r w:rsidRPr="00A1365F">
        <w:rPr>
          <w:lang w:val="ru-RU"/>
        </w:rPr>
        <w:tab/>
        <w:t>Несмотря на расхождения во мнениях относительно предлагаемых мер, делегаты сохранили консенсус в отношении того, что величина единицы взносов должна остаться без изменений. Большинство делегатов предложили вернуться к основному мандату МСЭ, более четко определять приоритетность программ/видов деятельности в соответствии с инициативой "ООН-80", повысить эффективность и в большей степени использовать управление, ориентированное на результаты. Другие делегаты рекомендовали изменить методику, чтобы обеспечить учет трех факторов (инфляция, показатели эффективности деятельности и покрытие затрат) одновременно, поскольку, несмотря на то что величина единицы взносов не изменилась, объем работы, стоящей перед МСЭ, увеличился.</w:t>
      </w:r>
    </w:p>
    <w:p w14:paraId="25E198C3" w14:textId="37731BCC" w:rsidR="00A61D19" w:rsidRPr="00A1365F" w:rsidRDefault="00A61D19" w:rsidP="00A61D19">
      <w:pPr>
        <w:rPr>
          <w:lang w:val="ru-RU"/>
        </w:rPr>
      </w:pPr>
      <w:r w:rsidRPr="00A1365F">
        <w:rPr>
          <w:lang w:val="ru-RU"/>
        </w:rPr>
        <w:t>14.3</w:t>
      </w:r>
      <w:r w:rsidRPr="00A1365F">
        <w:rPr>
          <w:lang w:val="ru-RU"/>
        </w:rPr>
        <w:tab/>
        <w:t>Представитель секретариата взял слово, поблагодарил делегатов за их отзывы и напомнил, что на финансовый период 2028−2031 годов размер единицы взносов останется на уровне 318 000 швейцарских франков. Признавая необходимость дальнейшего обсуждения, Председатель обратилась к секретариату с просьбой представить пересмотренную методику следующему собранию РГС-ФЛР для продолжения обсуждения.</w:t>
      </w:r>
    </w:p>
    <w:p w14:paraId="5AAE2A62" w14:textId="1630C20E" w:rsidR="00A61D19" w:rsidRPr="00A1365F" w:rsidRDefault="00A61D19" w:rsidP="00A61D19">
      <w:pPr>
        <w:rPr>
          <w:lang w:val="ru-RU"/>
        </w:rPr>
      </w:pPr>
      <w:r w:rsidRPr="00A1365F">
        <w:rPr>
          <w:lang w:val="ru-RU"/>
        </w:rPr>
        <w:t>14.4</w:t>
      </w:r>
      <w:r w:rsidRPr="00A1365F">
        <w:rPr>
          <w:lang w:val="ru-RU"/>
        </w:rPr>
        <w:tab/>
        <w:t xml:space="preserve">На 22-м собрании секретариат представил Документ </w:t>
      </w:r>
      <w:hyperlink r:id="rId142" w:history="1">
        <w:r w:rsidRPr="00A1365F">
          <w:rPr>
            <w:rStyle w:val="Hyperlink"/>
            <w:rFonts w:cs="Calibri"/>
            <w:lang w:val="ru-RU"/>
          </w:rPr>
          <w:t>CWG-FHR-22/INF/2</w:t>
        </w:r>
      </w:hyperlink>
      <w:r w:rsidRPr="00A1365F">
        <w:rPr>
          <w:lang w:val="ru-RU"/>
        </w:rPr>
        <w:t>, в котором подробно описаны ответы Государств-Членов на Циркулярное письмо с просьбой сообщить о своем предварительном выборе класса взносов в соответствии с Решением 5 (Пересм. Бухарест, 2022 г.). На данный момент получено 38 ответов, причем только два Государства-Члена обратились с просьбой об изменении. На основании этой информации секретариат подготовит проект Финансового плана на 2028−2031 годы для представления на совместном собрании РГС-ФЛР и Рабочей группы Совета по разработке Стратегического и Финансового планов на 2028−2031 годы (РГС-СФП) перед Советом 2026 года. Секретариат также представил пересмотренную методику с учетом трех факторов: поправки на инфляцию, увязки с повышением показателей эффективности деятельности и согласования с затратами по новым мандатам, утвержденным Государствами-Членами. Секретариат подтвердил, что он не предлагает изменить величину единицы взносов прямо сейчас, а скорее стремится обеспечить структурированную основу для содействия проведению обсуждений и принятию решений в будущем в рамках Полномочной конференции 2030 года.</w:t>
      </w:r>
      <w:hyperlink r:id="rId143" w:history="1"/>
    </w:p>
    <w:p w14:paraId="669CDE9F" w14:textId="67914A9B" w:rsidR="00A61D19" w:rsidRPr="00A1365F" w:rsidRDefault="00A61D19" w:rsidP="00A61D19">
      <w:pPr>
        <w:rPr>
          <w:rFonts w:cs="Calibri"/>
          <w:lang w:val="ru-RU"/>
        </w:rPr>
      </w:pPr>
      <w:r w:rsidRPr="00A1365F">
        <w:rPr>
          <w:lang w:val="ru-RU"/>
        </w:rPr>
        <w:t>14.5</w:t>
      </w:r>
      <w:r w:rsidRPr="00A1365F">
        <w:rPr>
          <w:lang w:val="ru-RU"/>
        </w:rPr>
        <w:tab/>
        <w:t>Делегаты подтвердили, что три предложенных фактора являются хорошей отправной точкой для обсуждения, и просили внимательно рассмотреть вопрос о том, как увеличение размера единицы взносов может повлиять на Государства-Члены. Несколько делегатов предложили также дополнительно учитывать внешние факторы, такие как текущие колебания валютных курсов и показатели Индекса развития человеческого потенциала Государств-Членов. Делегаты также призвали МСЭ уделять больше внимания работе в рамках имеющихся ресурсов и изучить воздействие возмещения затрат. Прежде чем Председатель завершила обсуждение этого пункта повестки дня, Генеральный секретарь озвучил пожелание МСЭ, чтобы Государства-Члены рассмотрели возможность увеличения числа единиц взносов или, по крайней мере, сохранили его на нынешнем уровне.</w:t>
      </w:r>
    </w:p>
    <w:p w14:paraId="2B155E9E" w14:textId="77777777" w:rsidR="00A61D19" w:rsidRPr="00A1365F" w:rsidRDefault="00A61D19" w:rsidP="00A61D19">
      <w:pPr>
        <w:pStyle w:val="Heading1"/>
        <w:rPr>
          <w:lang w:val="ru-RU"/>
        </w:rPr>
      </w:pPr>
      <w:r w:rsidRPr="00A1365F">
        <w:rPr>
          <w:bCs/>
          <w:lang w:val="ru-RU"/>
        </w:rPr>
        <w:t>15</w:t>
      </w:r>
      <w:r w:rsidRPr="00A1365F">
        <w:rPr>
          <w:lang w:val="ru-RU"/>
        </w:rPr>
        <w:tab/>
        <w:t xml:space="preserve">Участие Объединенной инспекционной группы в сессиях Совета МСЭ (Документы </w:t>
      </w:r>
      <w:hyperlink r:id="rId144" w:history="1">
        <w:r w:rsidRPr="00A1365F">
          <w:rPr>
            <w:rStyle w:val="Hyperlink"/>
            <w:lang w:val="ru-RU"/>
          </w:rPr>
          <w:t>CWG-FHR-21/19</w:t>
        </w:r>
      </w:hyperlink>
      <w:r w:rsidRPr="00A1365F">
        <w:rPr>
          <w:lang w:val="ru-RU"/>
        </w:rPr>
        <w:t xml:space="preserve"> и </w:t>
      </w:r>
      <w:hyperlink r:id="rId145" w:history="1">
        <w:r w:rsidRPr="00A1365F">
          <w:rPr>
            <w:rStyle w:val="Hyperlink"/>
            <w:lang w:val="ru-RU"/>
          </w:rPr>
          <w:t>CWG-FHR-22/11</w:t>
        </w:r>
      </w:hyperlink>
      <w:r w:rsidRPr="00A1365F">
        <w:rPr>
          <w:lang w:val="ru-RU"/>
        </w:rPr>
        <w:t>)</w:t>
      </w:r>
      <w:hyperlink r:id="rId146" w:history="1"/>
      <w:hyperlink r:id="rId147" w:history="1"/>
    </w:p>
    <w:p w14:paraId="6DDB999B" w14:textId="77777777" w:rsidR="00A61D19" w:rsidRPr="00A1365F" w:rsidRDefault="00A61D19" w:rsidP="00A61D19">
      <w:pPr>
        <w:rPr>
          <w:rFonts w:cs="Calibri"/>
          <w:lang w:val="ru-RU"/>
        </w:rPr>
      </w:pPr>
      <w:r w:rsidRPr="00A1365F">
        <w:rPr>
          <w:lang w:val="ru-RU"/>
        </w:rPr>
        <w:t>15.1</w:t>
      </w:r>
      <w:r w:rsidRPr="00A1365F">
        <w:rPr>
          <w:lang w:val="ru-RU"/>
        </w:rPr>
        <w:tab/>
        <w:t>На 21-м собрании Российская Федерация представила вклад, в котором выразила заинтересованность в том, чтобы пригласить представителей ОИГ для участия в заседаниях Совета, на которых обсуждаются доклады Группы. Во вкладе отмечается, что такая практика широко используется специализированными учреждениями системы ООН, базирующимися в Женеве.</w:t>
      </w:r>
    </w:p>
    <w:p w14:paraId="1CA0B0B8" w14:textId="4BE80D00" w:rsidR="00A61D19" w:rsidRPr="00A1365F" w:rsidRDefault="00A61D19" w:rsidP="00A61D19">
      <w:pPr>
        <w:rPr>
          <w:rFonts w:cs="Calibri"/>
          <w:lang w:val="ru-RU"/>
        </w:rPr>
      </w:pPr>
      <w:r w:rsidRPr="00A1365F">
        <w:rPr>
          <w:lang w:val="ru-RU"/>
        </w:rPr>
        <w:t>15.2</w:t>
      </w:r>
      <w:r w:rsidRPr="00A1365F">
        <w:rPr>
          <w:lang w:val="ru-RU"/>
        </w:rPr>
        <w:tab/>
        <w:t>Делегаты в целом поддержали предложение Российской Федерации пригласить ОИГ участвовать в заседаниях Совета, отметив, что участие представителей Группы могло бы повысить прозрачность, подотчетность и усовершенствовать процесс принятия решений в рамках МСЭ. Несколько делегатов обратились за разъяснениями относительно степени предполагаемого вовлечения ОИГ и наличия у ее представителей возможности выступать на заседаниях.</w:t>
      </w:r>
    </w:p>
    <w:p w14:paraId="5BA83B6A" w14:textId="20479A09" w:rsidR="00A61D19" w:rsidRPr="00A1365F" w:rsidRDefault="00A61D19" w:rsidP="00A61D19">
      <w:pPr>
        <w:rPr>
          <w:rFonts w:cs="Calibri"/>
          <w:lang w:val="ru-RU"/>
        </w:rPr>
      </w:pPr>
      <w:r w:rsidRPr="00A1365F">
        <w:rPr>
          <w:lang w:val="ru-RU"/>
        </w:rPr>
        <w:t>15.3</w:t>
      </w:r>
      <w:r w:rsidRPr="00A1365F">
        <w:rPr>
          <w:lang w:val="ru-RU"/>
        </w:rPr>
        <w:tab/>
        <w:t>Председатель РГС-ФЛР отметила, что большинство делегатов поддерживают предложение о приглашении ОИГ участвовать в сессиях Совета; однако, прежде чем принять решение, Председатель предложила секретариату ответить на вопросы делегатов.</w:t>
      </w:r>
    </w:p>
    <w:p w14:paraId="5FFC30AA" w14:textId="75ED075C" w:rsidR="00A61D19" w:rsidRPr="00A1365F" w:rsidRDefault="00A61D19" w:rsidP="00B47ACB">
      <w:pPr>
        <w:spacing w:after="120"/>
        <w:rPr>
          <w:lang w:val="ru-RU"/>
        </w:rPr>
      </w:pPr>
      <w:r w:rsidRPr="00A1365F">
        <w:rPr>
          <w:lang w:val="ru-RU"/>
        </w:rPr>
        <w:t>15.4</w:t>
      </w:r>
      <w:r w:rsidRPr="00A1365F">
        <w:rPr>
          <w:lang w:val="ru-RU"/>
        </w:rPr>
        <w:tab/>
        <w:t>На 22-м собрании секретариат рекомендовал Совету поручить Генеральному секретарю пригласить ОИГ для участия в будущих сессиях Совета МСЭ в качестве наблюдателя с правом совещательного голоса, ограничив ее участие обсуждением только пунктов повестки дня, имеющих к ней непосредственное отношение, и исключив любую финансовую поддержку со стороны МСЭ.</w:t>
      </w:r>
    </w:p>
    <w:tbl>
      <w:tblPr>
        <w:tblStyle w:val="TableGrid"/>
        <w:tblW w:w="0" w:type="auto"/>
        <w:tblLook w:val="04A0" w:firstRow="1" w:lastRow="0" w:firstColumn="1" w:lastColumn="0" w:noHBand="0" w:noVBand="1"/>
      </w:tblPr>
      <w:tblGrid>
        <w:gridCol w:w="9061"/>
      </w:tblGrid>
      <w:tr w:rsidR="00B47ACB" w:rsidRPr="005E4138" w14:paraId="7A7B10CC" w14:textId="77777777" w:rsidTr="00567B8B">
        <w:tc>
          <w:tcPr>
            <w:tcW w:w="9061" w:type="dxa"/>
          </w:tcPr>
          <w:p w14:paraId="0D07ACC1" w14:textId="57B82E1C" w:rsidR="00B47ACB" w:rsidRPr="00A1365F" w:rsidRDefault="00B47ACB" w:rsidP="00567B8B">
            <w:pPr>
              <w:spacing w:after="120"/>
              <w:rPr>
                <w:lang w:val="ru-RU"/>
              </w:rPr>
            </w:pPr>
            <w:r w:rsidRPr="00A1365F">
              <w:rPr>
                <w:lang w:val="ru-RU"/>
              </w:rPr>
              <w:t>15.5</w:t>
            </w:r>
            <w:r w:rsidRPr="00A1365F">
              <w:rPr>
                <w:lang w:val="ru-RU"/>
              </w:rPr>
              <w:tab/>
              <w:t xml:space="preserve">РГС-ФЛР </w:t>
            </w:r>
            <w:r w:rsidRPr="00A1365F">
              <w:rPr>
                <w:b/>
                <w:lang w:val="ru-RU"/>
              </w:rPr>
              <w:t>представит</w:t>
            </w:r>
            <w:r w:rsidRPr="00A1365F">
              <w:rPr>
                <w:lang w:val="ru-RU"/>
              </w:rPr>
              <w:t xml:space="preserve"> Совету 2026 года отчет о том, что приглашение ОИГ на заседания Совета, как представляется, не повлечет за собой каких-либо отрицательных последствий.</w:t>
            </w:r>
          </w:p>
        </w:tc>
      </w:tr>
    </w:tbl>
    <w:p w14:paraId="08C1A8FE" w14:textId="77777777" w:rsidR="00A61D19" w:rsidRPr="00A1365F" w:rsidRDefault="00A61D19" w:rsidP="00A61D19">
      <w:pPr>
        <w:pStyle w:val="Heading1"/>
        <w:rPr>
          <w:lang w:val="ru-RU"/>
        </w:rPr>
      </w:pPr>
      <w:r w:rsidRPr="00A1365F">
        <w:rPr>
          <w:bCs/>
          <w:lang w:val="ru-RU"/>
        </w:rPr>
        <w:t>16</w:t>
      </w:r>
      <w:r w:rsidRPr="00A1365F">
        <w:rPr>
          <w:lang w:val="ru-RU"/>
        </w:rPr>
        <w:tab/>
      </w:r>
      <w:r w:rsidRPr="00A1365F">
        <w:rPr>
          <w:bCs/>
          <w:lang w:val="ru-RU"/>
        </w:rPr>
        <w:t>Исполнение бюджета и выделение средств</w:t>
      </w:r>
    </w:p>
    <w:p w14:paraId="087CDABD" w14:textId="77777777" w:rsidR="00A61D19" w:rsidRPr="00A1365F" w:rsidRDefault="00A61D19" w:rsidP="00A61D19">
      <w:pPr>
        <w:pStyle w:val="Headingb"/>
        <w:rPr>
          <w:lang w:val="ru-RU"/>
        </w:rPr>
      </w:pPr>
      <w:r w:rsidRPr="00A1365F">
        <w:rPr>
          <w:lang w:val="ru-RU"/>
        </w:rPr>
        <w:t xml:space="preserve">Вклад Китайской Народной Республики − Рекомендации по повышению эффективности исполнения бюджета Союза и рационализации расходов (Документ </w:t>
      </w:r>
      <w:hyperlink r:id="rId148" w:history="1">
        <w:r w:rsidRPr="00A1365F">
          <w:rPr>
            <w:rStyle w:val="Hyperlink"/>
            <w:lang w:val="ru-RU"/>
          </w:rPr>
          <w:t>CWG-FHR-21/16</w:t>
        </w:r>
      </w:hyperlink>
      <w:r w:rsidRPr="00A1365F">
        <w:rPr>
          <w:lang w:val="ru-RU"/>
        </w:rPr>
        <w:t>)</w:t>
      </w:r>
      <w:hyperlink r:id="rId149" w:history="1"/>
    </w:p>
    <w:p w14:paraId="38E03C8F" w14:textId="77777777" w:rsidR="00A61D19" w:rsidRPr="00A1365F" w:rsidRDefault="00A61D19" w:rsidP="00A61D19">
      <w:pPr>
        <w:rPr>
          <w:lang w:val="ru-RU"/>
        </w:rPr>
      </w:pPr>
      <w:r w:rsidRPr="00A1365F">
        <w:rPr>
          <w:lang w:val="ru-RU"/>
        </w:rPr>
        <w:t>16.1</w:t>
      </w:r>
      <w:r w:rsidRPr="00A1365F">
        <w:rPr>
          <w:lang w:val="ru-RU"/>
        </w:rPr>
        <w:tab/>
        <w:t xml:space="preserve">На 21-м собрании РГС-ФЛР Китай представил свой вклад (Документ </w:t>
      </w:r>
      <w:hyperlink r:id="rId150" w:history="1">
        <w:r w:rsidRPr="00A1365F">
          <w:rPr>
            <w:rStyle w:val="Hyperlink"/>
            <w:lang w:val="ru-RU"/>
          </w:rPr>
          <w:t>CWG-FHR-21/16</w:t>
        </w:r>
      </w:hyperlink>
      <w:r w:rsidRPr="00A1365F">
        <w:rPr>
          <w:lang w:val="ru-RU"/>
        </w:rPr>
        <w:t xml:space="preserve">), в котором содержатся рекомендации по повышению эффективности исполнения бюджета МСЭ. Эти рекомендации включают составление списка приоритетов, основанного на основных обязанностях, стратегических целях и бюджетных потребностях; а также создание объединенной группы по оценке, состоящей из представителей IMAC и МСКГ, для разработки механизма оценки эффективности и действенности мер и проведения всеобъемлющего анализа необходимости и обоснованности соответствующих расходов в рамках Союза. Несколько делегатов поддержали предложение Китая, но выразили обеспокоенность в связи с тем, что эти предложения могут привести к появлению дополнительных бюрократических процедур, процессов и затрат при отсутствии очевидной выгоды. Председатель поручила секретариату в преддверии собрания РГС-ФЛР, которое состоится в январе 2026 года, проанализировать ход выполнения Стратегического и Оперативного планов, содержащихся в Документе </w:t>
      </w:r>
      <w:hyperlink r:id="rId151" w:history="1">
        <w:r w:rsidRPr="00A1365F">
          <w:rPr>
            <w:rStyle w:val="Hyperlink"/>
            <w:lang w:val="ru-RU"/>
          </w:rPr>
          <w:t>C25/35</w:t>
        </w:r>
      </w:hyperlink>
      <w:r w:rsidRPr="00A1365F">
        <w:rPr>
          <w:lang w:val="ru-RU"/>
        </w:rPr>
        <w:t xml:space="preserve"> Совета, для реализации предложения 1 и провести сопоставление существующих отчетов для реализации предложения 2.</w:t>
      </w:r>
      <w:hyperlink r:id="rId152" w:history="1"/>
      <w:hyperlink r:id="rId153" w:history="1"/>
    </w:p>
    <w:p w14:paraId="0D8000C3" w14:textId="77777777" w:rsidR="00A61D19" w:rsidRPr="00A1365F" w:rsidRDefault="00A61D19" w:rsidP="00A61D19">
      <w:pPr>
        <w:pStyle w:val="Headingb"/>
        <w:rPr>
          <w:lang w:val="ru-RU"/>
        </w:rPr>
      </w:pPr>
      <w:r w:rsidRPr="00A1365F">
        <w:rPr>
          <w:lang w:val="ru-RU"/>
        </w:rPr>
        <w:t xml:space="preserve">Вклад Соединенных Штатов Америки – Укрепление финансового управления МСЭ, ориентированного на результаты (Документ </w:t>
      </w:r>
      <w:hyperlink r:id="rId154" w:history="1">
        <w:r w:rsidRPr="00A1365F">
          <w:rPr>
            <w:rStyle w:val="Hyperlink"/>
            <w:lang w:val="ru-RU"/>
          </w:rPr>
          <w:t>CWG-FHR-21/22</w:t>
        </w:r>
      </w:hyperlink>
      <w:r w:rsidRPr="00A1365F">
        <w:rPr>
          <w:lang w:val="ru-RU"/>
        </w:rPr>
        <w:t>)</w:t>
      </w:r>
      <w:hyperlink r:id="rId155" w:history="1"/>
    </w:p>
    <w:p w14:paraId="02A9DEE8" w14:textId="1D214208" w:rsidR="00A61D19" w:rsidRPr="00A1365F" w:rsidRDefault="00A61D19" w:rsidP="00A61D19">
      <w:pPr>
        <w:rPr>
          <w:lang w:val="ru-RU"/>
        </w:rPr>
      </w:pPr>
      <w:r w:rsidRPr="00A1365F">
        <w:rPr>
          <w:lang w:val="ru-RU"/>
        </w:rPr>
        <w:t>16.2</w:t>
      </w:r>
      <w:r w:rsidRPr="00A1365F">
        <w:rPr>
          <w:lang w:val="ru-RU"/>
        </w:rPr>
        <w:tab/>
        <w:t xml:space="preserve">Соединенные Штаты Америки представили Документ </w:t>
      </w:r>
      <w:hyperlink r:id="rId156" w:history="1">
        <w:r w:rsidRPr="00A1365F">
          <w:rPr>
            <w:rStyle w:val="Hyperlink"/>
            <w:lang w:val="ru-RU"/>
          </w:rPr>
          <w:t>CWG-FHR-21/22</w:t>
        </w:r>
      </w:hyperlink>
      <w:r w:rsidRPr="00A1365F">
        <w:rPr>
          <w:lang w:val="ru-RU"/>
        </w:rPr>
        <w:t>, посвященный вопросам совершенствования инструментов управления, ориентированного на результаты, в рамках МСЭ, в котором РГС-ФЛР предлагается разработать процессы, способствующие обеспечению того, чтобы все предлагаемые виды деятельности МСЭ в поддержку Стратегического плана МСЭ содействовали повышению прозрачности и подотчетности и соответствовали целям управления, ориентированного на результаты, содержащимся в Резолюции 151 (Пересм. Бухарест, 2022 г.). Делегаты поддержали необходимость обеспечения прозрачности и согласования деятельности в рамках управления, ориентированного на результаты, и рекомендовали рассмотреть это предложение таким же образом, как и представленное ранее предложение Китайской Народной Республики (Документ</w:t>
      </w:r>
      <w:r w:rsidR="00EF3443">
        <w:rPr>
          <w:lang w:val="ru-RU"/>
        </w:rPr>
        <w:t> </w:t>
      </w:r>
      <w:hyperlink r:id="rId157" w:history="1">
        <w:r w:rsidRPr="00A1365F">
          <w:rPr>
            <w:rStyle w:val="Hyperlink"/>
            <w:lang w:val="ru-RU"/>
          </w:rPr>
          <w:t>CWG</w:t>
        </w:r>
        <w:r w:rsidR="00EF3443">
          <w:rPr>
            <w:rStyle w:val="Hyperlink"/>
            <w:lang w:val="ru-RU"/>
          </w:rPr>
          <w:noBreakHyphen/>
        </w:r>
        <w:r w:rsidRPr="00A1365F">
          <w:rPr>
            <w:rStyle w:val="Hyperlink"/>
            <w:lang w:val="ru-RU"/>
          </w:rPr>
          <w:t>FHR</w:t>
        </w:r>
        <w:r w:rsidR="00EF3443">
          <w:rPr>
            <w:rStyle w:val="Hyperlink"/>
            <w:lang w:val="ru-RU"/>
          </w:rPr>
          <w:noBreakHyphen/>
        </w:r>
        <w:r w:rsidRPr="00A1365F">
          <w:rPr>
            <w:rStyle w:val="Hyperlink"/>
            <w:lang w:val="ru-RU"/>
          </w:rPr>
          <w:t>21/16</w:t>
        </w:r>
      </w:hyperlink>
      <w:r w:rsidRPr="00A1365F">
        <w:rPr>
          <w:lang w:val="ru-RU"/>
        </w:rPr>
        <w:t xml:space="preserve">). Председатель согласилась с этим и поручила секретариату рассмотреть это предложение с учетом Документа </w:t>
      </w:r>
      <w:hyperlink r:id="rId158" w:history="1">
        <w:r w:rsidRPr="00A1365F">
          <w:rPr>
            <w:rStyle w:val="Hyperlink"/>
            <w:lang w:val="ru-RU"/>
          </w:rPr>
          <w:t>C25/35</w:t>
        </w:r>
      </w:hyperlink>
      <w:r w:rsidRPr="00A1365F">
        <w:rPr>
          <w:lang w:val="ru-RU"/>
        </w:rPr>
        <w:t xml:space="preserve"> Совета и провести сопоставление существующих отчетов.</w:t>
      </w:r>
      <w:hyperlink r:id="rId159" w:history="1"/>
      <w:hyperlink r:id="rId160" w:history="1"/>
      <w:hyperlink r:id="rId161" w:history="1"/>
    </w:p>
    <w:p w14:paraId="49D9283F" w14:textId="77777777" w:rsidR="00A61D19" w:rsidRPr="00A1365F" w:rsidRDefault="00A61D19" w:rsidP="00A61D19">
      <w:pPr>
        <w:pStyle w:val="Headingb"/>
        <w:rPr>
          <w:lang w:val="ru-RU"/>
        </w:rPr>
      </w:pPr>
      <w:r w:rsidRPr="00A1365F">
        <w:rPr>
          <w:lang w:val="ru-RU"/>
        </w:rPr>
        <w:t xml:space="preserve">Бюджетные вопросы: распределение сэкономленных средств в 2025 году, Отчет об общем сокращении бюджета на 2026−2027 годы (Документ </w:t>
      </w:r>
      <w:hyperlink r:id="rId162" w:history="1">
        <w:r w:rsidRPr="00A1365F">
          <w:rPr>
            <w:rStyle w:val="Hyperlink"/>
            <w:lang w:val="ru-RU"/>
          </w:rPr>
          <w:t>CWG-FHR-22/21</w:t>
        </w:r>
      </w:hyperlink>
      <w:r w:rsidRPr="00A1365F">
        <w:rPr>
          <w:lang w:val="ru-RU"/>
        </w:rPr>
        <w:t>)</w:t>
      </w:r>
      <w:hyperlink r:id="rId163" w:history="1"/>
    </w:p>
    <w:p w14:paraId="2AE9DB0C" w14:textId="77777777" w:rsidR="00A61D19" w:rsidRPr="00A1365F" w:rsidRDefault="00A61D19" w:rsidP="00A61D19">
      <w:pPr>
        <w:rPr>
          <w:lang w:val="ru-RU"/>
        </w:rPr>
      </w:pPr>
      <w:r w:rsidRPr="00A1365F">
        <w:rPr>
          <w:lang w:val="ru-RU"/>
        </w:rPr>
        <w:t>16.3</w:t>
      </w:r>
      <w:r w:rsidRPr="00A1365F">
        <w:rPr>
          <w:lang w:val="ru-RU"/>
        </w:rPr>
        <w:tab/>
        <w:t xml:space="preserve">На 22-м собрании РГС-ФЛР секретариат представил Документ </w:t>
      </w:r>
      <w:hyperlink r:id="rId164">
        <w:r w:rsidRPr="00A1365F">
          <w:rPr>
            <w:rStyle w:val="Hyperlink"/>
            <w:lang w:val="ru-RU"/>
          </w:rPr>
          <w:t>CWG-FHR-22/21</w:t>
        </w:r>
      </w:hyperlink>
      <w:r w:rsidRPr="00A1365F">
        <w:rPr>
          <w:lang w:val="ru-RU"/>
        </w:rPr>
        <w:t>, в котором содержится обновленная информация о трех основных стратегиях, применяемых секретариатом для компенсации общего сокращения расходов на 6,008 млн. швейцарских франков в бюджете на 2026−2027 годы. Экономия будет достигнута за счет: 1) сокращения числа проводимых МСЭ мероприятий, консолидации общих услуг и более эффективной координации рабочих процессов; 2) сокращения расходов на поездки сотрудников и привлечение консультантов на краткосрочной основе; и 3) повышения эффективности за счет автоматизации и использования цифровых инструментов. Исполнение этого сокращенного бюджета будет тщательно контролироваться посредством обеспечения более эффективного процесса планирования, проведения ежемесячных обзоров бюджета и представления регулярных отчетов Совету.</w:t>
      </w:r>
      <w:hyperlink r:id="rId165"/>
    </w:p>
    <w:p w14:paraId="688523E3" w14:textId="77777777" w:rsidR="00A61D19" w:rsidRPr="00A1365F" w:rsidRDefault="00A61D19" w:rsidP="00A61D19">
      <w:pPr>
        <w:rPr>
          <w:lang w:val="ru-RU"/>
        </w:rPr>
      </w:pPr>
      <w:r w:rsidRPr="00A1365F">
        <w:rPr>
          <w:lang w:val="ru-RU"/>
        </w:rPr>
        <w:t>16.4</w:t>
      </w:r>
      <w:r w:rsidRPr="00A1365F">
        <w:rPr>
          <w:lang w:val="ru-RU"/>
        </w:rPr>
        <w:tab/>
        <w:t>Делегаты выразили обеспокоенность по поводу того, как МСЭ сможет сохранить результативность своей деятельности, особенно в Секторе радиосвязи, в условиях таких сокращений. Секретариат пояснил, что постоянный процесс мониторинга на протяжении двух лет с регулярной отчетностью позволит обеспечить надлежащее выполнение работы в основных областях, предусмотренных мандатом. Делегаты также выразили недовольство в связи с предлагаемым использованием ИИ и его возможным отрицательным влиянием на качество перевода. Секретариат заверил, что обеспечение качества документов на всех шести официальных языках является одним из основных приоритетов, который не будет ставиться под угрозу, и что любые новые инструменты ИИ перед внедрением будут тщательно проверяться с учетом мнений Членов.</w:t>
      </w:r>
    </w:p>
    <w:p w14:paraId="56BEB513" w14:textId="77777777" w:rsidR="00A61D19" w:rsidRPr="00A1365F" w:rsidRDefault="00A61D19" w:rsidP="00B47ACB">
      <w:pPr>
        <w:spacing w:after="120"/>
        <w:rPr>
          <w:lang w:val="ru-RU"/>
        </w:rPr>
      </w:pPr>
      <w:r w:rsidRPr="00A1365F">
        <w:rPr>
          <w:lang w:val="ru-RU"/>
        </w:rPr>
        <w:t>16.5</w:t>
      </w:r>
      <w:r w:rsidRPr="00A1365F">
        <w:rPr>
          <w:lang w:val="ru-RU"/>
        </w:rPr>
        <w:tab/>
        <w:t>Делегаты просили разъяснить, каким образом секретариат добивается сокращения расходов на поездки сотрудников. Секретариат заявил, что он совершенствует процессы планирования поездок, чтобы заблаговременно уведомлять о необходимости поездок, а также планирует меньшее число поездок, ограничиваясь лишь случаями, когда поездки необходимы для обеспечения выполнения основных функций МСЭ.</w:t>
      </w:r>
    </w:p>
    <w:tbl>
      <w:tblPr>
        <w:tblStyle w:val="TableGrid"/>
        <w:tblW w:w="0" w:type="auto"/>
        <w:tblLook w:val="04A0" w:firstRow="1" w:lastRow="0" w:firstColumn="1" w:lastColumn="0" w:noHBand="0" w:noVBand="1"/>
      </w:tblPr>
      <w:tblGrid>
        <w:gridCol w:w="9061"/>
      </w:tblGrid>
      <w:tr w:rsidR="00B47ACB" w:rsidRPr="005E4138" w14:paraId="7EFDE8E2" w14:textId="77777777" w:rsidTr="00567B8B">
        <w:tc>
          <w:tcPr>
            <w:tcW w:w="9061" w:type="dxa"/>
          </w:tcPr>
          <w:p w14:paraId="209493FC" w14:textId="5B70B9C7" w:rsidR="00B47ACB" w:rsidRPr="00A1365F" w:rsidRDefault="00B47ACB" w:rsidP="00567B8B">
            <w:pPr>
              <w:spacing w:after="120"/>
              <w:rPr>
                <w:lang w:val="ru-RU"/>
              </w:rPr>
            </w:pPr>
            <w:r w:rsidRPr="00A1365F">
              <w:rPr>
                <w:lang w:val="ru-RU"/>
              </w:rPr>
              <w:t>16.6</w:t>
            </w:r>
            <w:r w:rsidRPr="00A1365F">
              <w:rPr>
                <w:lang w:val="ru-RU"/>
              </w:rPr>
              <w:tab/>
              <w:t xml:space="preserve">РГС-ФЛР </w:t>
            </w:r>
            <w:r w:rsidRPr="00A1365F">
              <w:rPr>
                <w:b/>
                <w:lang w:val="ru-RU"/>
              </w:rPr>
              <w:t>рекомендовала</w:t>
            </w:r>
            <w:r w:rsidRPr="00A1365F">
              <w:rPr>
                <w:lang w:val="ru-RU"/>
              </w:rPr>
              <w:t xml:space="preserve"> секретариату рассмотреть вопросы, поднятые в ходе обсуждения общего сокращения расходов в бюджете на 2026−2027 годы, и представить более подробный отчет Совету 2026 года.</w:t>
            </w:r>
          </w:p>
        </w:tc>
      </w:tr>
    </w:tbl>
    <w:p w14:paraId="3583BEC2" w14:textId="77777777" w:rsidR="00A61D19" w:rsidRPr="00A1365F" w:rsidRDefault="00A61D19" w:rsidP="00A61D19">
      <w:pPr>
        <w:pStyle w:val="Headingb"/>
        <w:rPr>
          <w:lang w:val="ru-RU"/>
        </w:rPr>
      </w:pPr>
      <w:r w:rsidRPr="00A1365F">
        <w:rPr>
          <w:lang w:val="ru-RU"/>
        </w:rPr>
        <w:t xml:space="preserve">Вклад Российской Федерации – Меры по обеспечению соответствия распределения ресурсов основному мандату (Документ </w:t>
      </w:r>
      <w:hyperlink r:id="rId166" w:history="1">
        <w:r w:rsidRPr="00A1365F">
          <w:rPr>
            <w:rStyle w:val="Hyperlink"/>
            <w:lang w:val="ru-RU"/>
          </w:rPr>
          <w:t>CWG-FHR-22/25</w:t>
        </w:r>
      </w:hyperlink>
      <w:r w:rsidRPr="00A1365F">
        <w:rPr>
          <w:lang w:val="ru-RU"/>
        </w:rPr>
        <w:t>)</w:t>
      </w:r>
      <w:hyperlink r:id="rId167" w:history="1"/>
    </w:p>
    <w:p w14:paraId="1A39EC2D" w14:textId="0BE7D3AC" w:rsidR="00A61D19" w:rsidRPr="00A1365F" w:rsidRDefault="00A61D19" w:rsidP="00A61D19">
      <w:pPr>
        <w:rPr>
          <w:lang w:val="ru-RU"/>
        </w:rPr>
      </w:pPr>
      <w:r w:rsidRPr="00A1365F">
        <w:rPr>
          <w:lang w:val="ru-RU"/>
        </w:rPr>
        <w:t>16.7</w:t>
      </w:r>
      <w:r w:rsidRPr="00A1365F">
        <w:rPr>
          <w:lang w:val="ru-RU"/>
        </w:rPr>
        <w:tab/>
        <w:t xml:space="preserve">Российская Федерация представила свой вклад (Документ </w:t>
      </w:r>
      <w:hyperlink r:id="rId168" w:history="1">
        <w:r w:rsidRPr="00A1365F">
          <w:rPr>
            <w:rStyle w:val="Hyperlink"/>
            <w:lang w:val="ru-RU"/>
          </w:rPr>
          <w:t>CWG-FHR-22/25</w:t>
        </w:r>
      </w:hyperlink>
      <w:r w:rsidRPr="00A1365F">
        <w:rPr>
          <w:lang w:val="ru-RU"/>
        </w:rPr>
        <w:t>), в котором изложен ряд предложений для принятия Советом и Полномочной конференцией, направленных на обеспечение более эффективного согласования деятельности МСЭ с его основным мандатом. Вступительное заявление было представлено в Документе</w:t>
      </w:r>
      <w:r w:rsidR="00B47ACB" w:rsidRPr="00A1365F">
        <w:rPr>
          <w:lang w:val="ru-RU"/>
        </w:rPr>
        <w:t> </w:t>
      </w:r>
      <w:hyperlink r:id="rId169" w:history="1">
        <w:r w:rsidRPr="00A1365F">
          <w:rPr>
            <w:rStyle w:val="Hyperlink"/>
            <w:lang w:val="ru-RU"/>
          </w:rPr>
          <w:t>CWG</w:t>
        </w:r>
        <w:r w:rsidR="00B47ACB" w:rsidRPr="00A1365F">
          <w:rPr>
            <w:rStyle w:val="Hyperlink"/>
            <w:lang w:val="ru-RU"/>
          </w:rPr>
          <w:noBreakHyphen/>
        </w:r>
        <w:r w:rsidRPr="00A1365F">
          <w:rPr>
            <w:rStyle w:val="Hyperlink"/>
            <w:lang w:val="ru-RU"/>
          </w:rPr>
          <w:t>FHR</w:t>
        </w:r>
        <w:r w:rsidR="00B47ACB" w:rsidRPr="00A1365F">
          <w:rPr>
            <w:rStyle w:val="Hyperlink"/>
            <w:lang w:val="ru-RU"/>
          </w:rPr>
          <w:noBreakHyphen/>
        </w:r>
        <w:r w:rsidRPr="00A1365F">
          <w:rPr>
            <w:rStyle w:val="Hyperlink"/>
            <w:lang w:val="ru-RU"/>
          </w:rPr>
          <w:t>22/INF/7</w:t>
        </w:r>
      </w:hyperlink>
      <w:r w:rsidRPr="00A1365F">
        <w:rPr>
          <w:lang w:val="ru-RU"/>
        </w:rPr>
        <w:t>.</w:t>
      </w:r>
      <w:hyperlink r:id="rId170" w:history="1"/>
      <w:hyperlink r:id="rId171" w:history="1"/>
    </w:p>
    <w:p w14:paraId="3B2629B4" w14:textId="77777777" w:rsidR="00A61D19" w:rsidRPr="00A1365F" w:rsidRDefault="00A61D19" w:rsidP="00B47ACB">
      <w:pPr>
        <w:spacing w:after="120"/>
        <w:rPr>
          <w:lang w:val="ru-RU"/>
        </w:rPr>
      </w:pPr>
      <w:r w:rsidRPr="00A1365F">
        <w:rPr>
          <w:lang w:val="ru-RU"/>
        </w:rPr>
        <w:t>16.8</w:t>
      </w:r>
      <w:r w:rsidRPr="00A1365F">
        <w:rPr>
          <w:lang w:val="ru-RU"/>
        </w:rPr>
        <w:tab/>
        <w:t>В ходе обсуждения между делегатами возникли разногласия по ряду вопросов, включая вопрос о приоритизации видов деятельности МСЭ вместо их приостановки, определении "основных" мандатов, ограничении сроков действия резолюций и расширении сферы деятельности.</w:t>
      </w:r>
    </w:p>
    <w:tbl>
      <w:tblPr>
        <w:tblStyle w:val="TableGrid"/>
        <w:tblW w:w="0" w:type="auto"/>
        <w:tblLook w:val="04A0" w:firstRow="1" w:lastRow="0" w:firstColumn="1" w:lastColumn="0" w:noHBand="0" w:noVBand="1"/>
      </w:tblPr>
      <w:tblGrid>
        <w:gridCol w:w="9061"/>
      </w:tblGrid>
      <w:tr w:rsidR="00B47ACB" w:rsidRPr="005E4138" w14:paraId="61C735C5" w14:textId="77777777" w:rsidTr="00567B8B">
        <w:tc>
          <w:tcPr>
            <w:tcW w:w="9061" w:type="dxa"/>
          </w:tcPr>
          <w:p w14:paraId="6A3DD953" w14:textId="23A61B21" w:rsidR="00B47ACB" w:rsidRPr="00A1365F" w:rsidRDefault="00B47ACB" w:rsidP="00567B8B">
            <w:pPr>
              <w:spacing w:after="120"/>
              <w:rPr>
                <w:lang w:val="ru-RU"/>
              </w:rPr>
            </w:pPr>
            <w:r w:rsidRPr="00A1365F">
              <w:rPr>
                <w:lang w:val="ru-RU"/>
              </w:rPr>
              <w:t>16.9</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отчет обо всех видах деятельности Союза со времени проведения последней Полномочной конференции, включая полный перечень мер по выполнению принятых резолюций.</w:t>
            </w:r>
          </w:p>
        </w:tc>
      </w:tr>
    </w:tbl>
    <w:p w14:paraId="14EF8E8F" w14:textId="77777777" w:rsidR="00A61D19" w:rsidRPr="00A1365F" w:rsidRDefault="00A61D19" w:rsidP="00A61D19">
      <w:pPr>
        <w:pStyle w:val="Heading1"/>
        <w:rPr>
          <w:lang w:val="ru-RU"/>
        </w:rPr>
      </w:pPr>
      <w:r w:rsidRPr="00A1365F">
        <w:rPr>
          <w:bCs/>
          <w:lang w:val="ru-RU"/>
        </w:rPr>
        <w:t>17</w:t>
      </w:r>
      <w:r w:rsidRPr="00A1365F">
        <w:rPr>
          <w:lang w:val="ru-RU"/>
        </w:rPr>
        <w:tab/>
        <w:t xml:space="preserve">Укрепление системы управления рисками и внутреннего контроля (Документ </w:t>
      </w:r>
      <w:hyperlink r:id="rId172" w:history="1">
        <w:r w:rsidRPr="00A1365F">
          <w:rPr>
            <w:rStyle w:val="Hyperlink"/>
            <w:lang w:val="ru-RU"/>
          </w:rPr>
          <w:t>CWG-FHR-22/20</w:t>
        </w:r>
      </w:hyperlink>
      <w:r w:rsidRPr="00A1365F">
        <w:rPr>
          <w:lang w:val="ru-RU"/>
        </w:rPr>
        <w:t>)</w:t>
      </w:r>
      <w:hyperlink r:id="rId173" w:history="1"/>
    </w:p>
    <w:p w14:paraId="453CBD92" w14:textId="1FEEF524" w:rsidR="00A61D19" w:rsidRPr="00A1365F" w:rsidRDefault="00A61D19" w:rsidP="00A61D19">
      <w:pPr>
        <w:rPr>
          <w:lang w:val="ru-RU"/>
        </w:rPr>
      </w:pPr>
      <w:r w:rsidRPr="00A1365F">
        <w:rPr>
          <w:lang w:val="ru-RU"/>
        </w:rPr>
        <w:t>17.1</w:t>
      </w:r>
      <w:r w:rsidRPr="00A1365F">
        <w:rPr>
          <w:lang w:val="ru-RU"/>
        </w:rPr>
        <w:tab/>
        <w:t>На 22-м собрании секретариат проинформировал делегатов о недавно созданной Целевой группе по управлению рисками и внутреннему контролю под председательством заместителя Генерального секретаря. Основные задачи Целевой группы заключаются в следующем: 1) усилить ответственность и подотчетность руководства за деятельность по управлению рисками и внутреннему контролю в рамках всей организации, с тем чтобы обеспечить большую уверенность в достижении целей; и 2) своевременно и эффективно устранять недостатки в системе контроля, указанные в рекомендациях по результатам надзора, в целях снижения связанных с ними рисков. Кроме того, в обновленной информации секретариата сообщается о привлечении внешнего консультанта для анализа системы управления рисками МСЭ и приводится обзор Реестра корпоративных рисков.</w:t>
      </w:r>
    </w:p>
    <w:p w14:paraId="464157AA" w14:textId="2D3F1D74" w:rsidR="00A61D19" w:rsidRPr="00A1365F" w:rsidRDefault="00A61D19" w:rsidP="00A61D19">
      <w:pPr>
        <w:spacing w:after="120"/>
        <w:rPr>
          <w:lang w:val="ru-RU"/>
        </w:rPr>
      </w:pPr>
      <w:r w:rsidRPr="00A1365F">
        <w:rPr>
          <w:lang w:val="ru-RU"/>
        </w:rPr>
        <w:t>17.2</w:t>
      </w:r>
      <w:r w:rsidRPr="00A1365F">
        <w:rPr>
          <w:lang w:val="ru-RU"/>
        </w:rPr>
        <w:tab/>
        <w:t>Один из делегатов выразил желание более подробно ознакомиться с системой делегирования полномочий и ее ролью во второй линии защиты МСЭ, в частности применительно к информационной безопасности. Другой делегат обратился к секретариату с просьбой разъяснить, каковы функции двух консультантов. Секретариат сообщил, что одна компания была нанята для разработки системы делегирования полномочий, а другая – для проведения анализа системы управления рисками МСЭ. Другие делегаты поинтересовались, могут ли Государства-Члены получить доступ к информационной панели по вопросам соблюдения, а также призвали секретариат найти баланс между предсказуемостью и сохранением открытости и решимости Союза.</w:t>
      </w:r>
    </w:p>
    <w:tbl>
      <w:tblPr>
        <w:tblStyle w:val="TableGrid"/>
        <w:tblW w:w="0" w:type="auto"/>
        <w:tblLook w:val="04A0" w:firstRow="1" w:lastRow="0" w:firstColumn="1" w:lastColumn="0" w:noHBand="0" w:noVBand="1"/>
      </w:tblPr>
      <w:tblGrid>
        <w:gridCol w:w="9061"/>
      </w:tblGrid>
      <w:tr w:rsidR="00B47ACB" w:rsidRPr="005E4138" w14:paraId="521D3FF3" w14:textId="77777777" w:rsidTr="00567B8B">
        <w:tc>
          <w:tcPr>
            <w:tcW w:w="9061" w:type="dxa"/>
          </w:tcPr>
          <w:p w14:paraId="10A62A55" w14:textId="0A350013" w:rsidR="00B47ACB" w:rsidRPr="00A1365F" w:rsidRDefault="00B47ACB" w:rsidP="00567B8B">
            <w:pPr>
              <w:spacing w:after="120"/>
              <w:rPr>
                <w:lang w:val="ru-RU"/>
              </w:rPr>
            </w:pPr>
            <w:r w:rsidRPr="00A1365F">
              <w:rPr>
                <w:lang w:val="ru-RU"/>
              </w:rPr>
              <w:t>17.3</w:t>
            </w:r>
            <w:r w:rsidRPr="00A1365F">
              <w:rPr>
                <w:lang w:val="ru-RU"/>
              </w:rPr>
              <w:tab/>
              <w:t xml:space="preserve">РГС-ФЛР </w:t>
            </w:r>
            <w:r w:rsidRPr="00A1365F">
              <w:rPr>
                <w:b/>
                <w:lang w:val="ru-RU"/>
              </w:rPr>
              <w:t>рекомендовала</w:t>
            </w:r>
            <w:r w:rsidRPr="00A1365F">
              <w:rPr>
                <w:lang w:val="ru-RU"/>
              </w:rPr>
              <w:t xml:space="preserve"> секретариату принять к сведению отчеты о предыдущих собраниях Совета и РГС-ФЛР при подготовке своего следующего отчета Совету.</w:t>
            </w:r>
          </w:p>
          <w:p w14:paraId="51B2C430" w14:textId="19517C66" w:rsidR="00B47ACB" w:rsidRPr="00A1365F" w:rsidRDefault="00B47ACB" w:rsidP="00567B8B">
            <w:pPr>
              <w:spacing w:after="120"/>
              <w:rPr>
                <w:lang w:val="ru-RU"/>
              </w:rPr>
            </w:pPr>
            <w:r w:rsidRPr="00A1365F">
              <w:rPr>
                <w:lang w:val="ru-RU"/>
              </w:rPr>
              <w:t>17.4</w:t>
            </w:r>
            <w:r w:rsidRPr="00A1365F">
              <w:rPr>
                <w:lang w:val="ru-RU"/>
              </w:rPr>
              <w:tab/>
              <w:t xml:space="preserve">Кроме того, РГС-ФЛР </w:t>
            </w:r>
            <w:r w:rsidRPr="00A1365F">
              <w:rPr>
                <w:b/>
                <w:lang w:val="ru-RU"/>
              </w:rPr>
              <w:t>рекомендует</w:t>
            </w:r>
            <w:r w:rsidRPr="00A1365F">
              <w:rPr>
                <w:lang w:val="ru-RU"/>
              </w:rPr>
              <w:t xml:space="preserve"> Совету обратиться к секретариату с просьбой предоставить Советникам результаты работы, рекомендации и описание работ недавно нанятых консультантов.</w:t>
            </w:r>
          </w:p>
        </w:tc>
      </w:tr>
    </w:tbl>
    <w:p w14:paraId="1057E5F2" w14:textId="77777777" w:rsidR="00A61D19" w:rsidRPr="00A1365F" w:rsidRDefault="00A61D19" w:rsidP="00A61D19">
      <w:pPr>
        <w:pStyle w:val="Heading1"/>
        <w:rPr>
          <w:lang w:val="ru-RU"/>
        </w:rPr>
      </w:pPr>
      <w:r w:rsidRPr="00A1365F">
        <w:rPr>
          <w:bCs/>
          <w:lang w:val="ru-RU"/>
        </w:rPr>
        <w:t>18</w:t>
      </w:r>
      <w:r w:rsidRPr="00A1365F">
        <w:rPr>
          <w:lang w:val="ru-RU"/>
        </w:rPr>
        <w:tab/>
      </w:r>
      <w:r w:rsidRPr="00A1365F">
        <w:rPr>
          <w:bCs/>
          <w:lang w:val="ru-RU"/>
        </w:rPr>
        <w:t>Рассмотрение стратегического, финансового и оперативного планов МСЭ (устная презентация)</w:t>
      </w:r>
    </w:p>
    <w:p w14:paraId="171D3F52" w14:textId="67E9F5EA" w:rsidR="00A61D19" w:rsidRPr="00A1365F" w:rsidRDefault="00A61D19" w:rsidP="00A61D19">
      <w:pPr>
        <w:rPr>
          <w:lang w:val="ru-RU"/>
        </w:rPr>
      </w:pPr>
      <w:r w:rsidRPr="00A1365F">
        <w:rPr>
          <w:lang w:val="ru-RU"/>
        </w:rPr>
        <w:t>18.1</w:t>
      </w:r>
      <w:r w:rsidRPr="00A1365F">
        <w:rPr>
          <w:lang w:val="ru-RU"/>
        </w:rPr>
        <w:tab/>
        <w:t>На 22-м собрании секретариат объявил, что совместное собрание РГС-СФП и РГС-ФЛР запланировано на понедельник, 27 апреля 2026 года, за день до начала сессии Совета 2026</w:t>
      </w:r>
      <w:r w:rsidR="00EF3443">
        <w:rPr>
          <w:lang w:val="ru-RU"/>
        </w:rPr>
        <w:t> </w:t>
      </w:r>
      <w:r w:rsidRPr="00A1365F">
        <w:rPr>
          <w:lang w:val="ru-RU"/>
        </w:rPr>
        <w:t>года. Кроме того, секретариат сообщил о том, что от 42 Государств-Членов были получены ответы, подтверждающие их готовность сохранить свои единицы взносов, а также о том, каким образом эта информация будет использоваться для разработки финансового плана на основе проекта стратегического плана.</w:t>
      </w:r>
    </w:p>
    <w:p w14:paraId="5812EE6D" w14:textId="77777777" w:rsidR="00A61D19" w:rsidRPr="00A1365F" w:rsidRDefault="00A61D19" w:rsidP="00A61D19">
      <w:pPr>
        <w:pStyle w:val="Heading1"/>
        <w:rPr>
          <w:lang w:val="ru-RU"/>
        </w:rPr>
      </w:pPr>
      <w:r w:rsidRPr="00A1365F">
        <w:rPr>
          <w:bCs/>
          <w:lang w:val="ru-RU"/>
        </w:rPr>
        <w:t>19</w:t>
      </w:r>
      <w:r w:rsidRPr="00A1365F">
        <w:rPr>
          <w:lang w:val="ru-RU"/>
        </w:rPr>
        <w:tab/>
        <w:t xml:space="preserve">Вклад Российской Федерации – Предложения по пересмотру Резолюции 191 (Пересм. Бухарест, 2022 г.) ПК – Стратегия координации усилий трех Секторов Союза (Документ </w:t>
      </w:r>
      <w:hyperlink r:id="rId174" w:history="1">
        <w:r w:rsidRPr="00A1365F">
          <w:rPr>
            <w:rStyle w:val="Hyperlink"/>
            <w:bCs/>
            <w:lang w:val="ru-RU"/>
          </w:rPr>
          <w:t>CWG-FHR-22/26</w:t>
        </w:r>
      </w:hyperlink>
      <w:r w:rsidRPr="00A1365F">
        <w:rPr>
          <w:lang w:val="ru-RU"/>
        </w:rPr>
        <w:t>)</w:t>
      </w:r>
      <w:hyperlink r:id="rId175" w:history="1"/>
    </w:p>
    <w:p w14:paraId="6951A9EE" w14:textId="158C0CD1" w:rsidR="00A61D19" w:rsidRPr="00A1365F" w:rsidRDefault="00A61D19" w:rsidP="00A61D19">
      <w:pPr>
        <w:rPr>
          <w:lang w:val="ru-RU"/>
        </w:rPr>
      </w:pPr>
      <w:r w:rsidRPr="00A1365F">
        <w:rPr>
          <w:lang w:val="ru-RU"/>
        </w:rPr>
        <w:t>19.1</w:t>
      </w:r>
      <w:r w:rsidRPr="00A1365F">
        <w:rPr>
          <w:lang w:val="ru-RU"/>
        </w:rPr>
        <w:tab/>
        <w:t>В целях получения обратной связи относительно усилий по согласованию резолюций Полномочной конференции, Российская Федерация представила на 22-м собрании вклад, в котором предложила внести изменения в Резолюцию 191 (Пересм. Бухарест, 2022 г.), учитывающие итоги обсуждений в рамках Совета МСЭ, МСКГ, Ассамблеи радиосвязи 2023 года (АР-23), Всемирной ассамблеи по стандартизации электросвязи 2024 года (ВАСЭ-24) и ВКРЭ-25.</w:t>
      </w:r>
    </w:p>
    <w:p w14:paraId="7CF10399" w14:textId="38D47C9A" w:rsidR="00A61D19" w:rsidRPr="00A1365F" w:rsidRDefault="00A61D19" w:rsidP="00B47ACB">
      <w:pPr>
        <w:spacing w:after="120"/>
        <w:rPr>
          <w:lang w:val="ru-RU"/>
        </w:rPr>
      </w:pPr>
      <w:r w:rsidRPr="00A1365F">
        <w:rPr>
          <w:lang w:val="ru-RU"/>
        </w:rPr>
        <w:t>19.2</w:t>
      </w:r>
      <w:r w:rsidRPr="00A1365F">
        <w:rPr>
          <w:lang w:val="ru-RU"/>
        </w:rPr>
        <w:tab/>
        <w:t>Делегаты согласились с мнением Председателя о том, что аналогичные предложения вносились на ПК-14, ПК-18 и ПК-22, и хотя делегаты, как представляется, в принципе их поддерживают, выполнить и реализовать такое согласование на практике по-прежнему затруднительно. Один из делегатов рекомендовал уделить больше внимания вопросу о том, как Союз может повысить эффективность работы этих групп, поскольку, по его мнению, создание дополнительных межсекторальных или объединенных групп будет сопряжено со сложностями. В результате активного обсуждения при содействии Председателя был достигнут консенсус относительно того, что всем координационным группам МСЭ (как на уровне Членов, так и на уровне секретариата) следует предложить рассмотреть Резолюцию 191 (Пересм. Бухарест, 2022 г.) и представить свои замечания Совету 2026 года.</w:t>
      </w:r>
    </w:p>
    <w:tbl>
      <w:tblPr>
        <w:tblStyle w:val="TableGrid"/>
        <w:tblW w:w="0" w:type="auto"/>
        <w:tblLook w:val="04A0" w:firstRow="1" w:lastRow="0" w:firstColumn="1" w:lastColumn="0" w:noHBand="0" w:noVBand="1"/>
      </w:tblPr>
      <w:tblGrid>
        <w:gridCol w:w="9061"/>
      </w:tblGrid>
      <w:tr w:rsidR="00B47ACB" w:rsidRPr="00A1365F" w14:paraId="1063D8D8" w14:textId="77777777" w:rsidTr="00567B8B">
        <w:tc>
          <w:tcPr>
            <w:tcW w:w="9061" w:type="dxa"/>
          </w:tcPr>
          <w:p w14:paraId="286045D6" w14:textId="25846663" w:rsidR="00B47ACB" w:rsidRPr="00A1365F" w:rsidRDefault="00B47ACB" w:rsidP="00567B8B">
            <w:pPr>
              <w:spacing w:after="120"/>
              <w:rPr>
                <w:lang w:val="ru-RU"/>
              </w:rPr>
            </w:pPr>
            <w:r w:rsidRPr="00A1365F">
              <w:rPr>
                <w:lang w:val="ru-RU"/>
              </w:rPr>
              <w:t>19.3</w:t>
            </w:r>
            <w:r w:rsidRPr="00A1365F">
              <w:rPr>
                <w:lang w:val="ru-RU"/>
              </w:rPr>
              <w:tab/>
              <w:t xml:space="preserve">РГС-ФЛР </w:t>
            </w:r>
            <w:r w:rsidRPr="00A1365F">
              <w:rPr>
                <w:b/>
                <w:lang w:val="ru-RU"/>
              </w:rPr>
              <w:t>направила</w:t>
            </w:r>
            <w:r w:rsidRPr="00A1365F">
              <w:rPr>
                <w:lang w:val="ru-RU"/>
              </w:rPr>
              <w:t xml:space="preserve"> заявление о взаимодействии с просьбой к консультативным группам Секторов, МСКГ, Координационному комитету и КГГЧ представить Совету 2026 года рекомендации по совершенствованию процесса выполнения Резолюции 191 (Пересм. Бухарест, 2022 г.).</w:t>
            </w:r>
          </w:p>
        </w:tc>
      </w:tr>
    </w:tbl>
    <w:p w14:paraId="0F37C308" w14:textId="5D268433" w:rsidR="00A61D19" w:rsidRPr="00A1365F" w:rsidRDefault="00A61D19" w:rsidP="00A61D19">
      <w:pPr>
        <w:pStyle w:val="Heading1"/>
        <w:rPr>
          <w:lang w:val="ru-RU"/>
        </w:rPr>
      </w:pPr>
      <w:r w:rsidRPr="00A1365F">
        <w:rPr>
          <w:bCs/>
          <w:lang w:val="ru-RU"/>
        </w:rPr>
        <w:t>20</w:t>
      </w:r>
      <w:r w:rsidRPr="00A1365F">
        <w:rPr>
          <w:lang w:val="ru-RU"/>
        </w:rPr>
        <w:tab/>
        <w:t>Аннулирование Решения 601 Совета о регистрации IIN (Документ</w:t>
      </w:r>
      <w:r w:rsidR="00B47ACB" w:rsidRPr="00A1365F">
        <w:rPr>
          <w:lang w:val="ru-RU"/>
        </w:rPr>
        <w:t> </w:t>
      </w:r>
      <w:hyperlink r:id="rId176" w:history="1">
        <w:r w:rsidRPr="00A1365F">
          <w:rPr>
            <w:rStyle w:val="Hyperlink"/>
            <w:lang w:val="ru-RU"/>
          </w:rPr>
          <w:t>CWG</w:t>
        </w:r>
        <w:r w:rsidR="00B47ACB" w:rsidRPr="00A1365F">
          <w:rPr>
            <w:rStyle w:val="Hyperlink"/>
            <w:lang w:val="ru-RU"/>
          </w:rPr>
          <w:noBreakHyphen/>
        </w:r>
        <w:r w:rsidRPr="00A1365F">
          <w:rPr>
            <w:rStyle w:val="Hyperlink"/>
            <w:lang w:val="ru-RU"/>
          </w:rPr>
          <w:t>FHR-22/3</w:t>
        </w:r>
      </w:hyperlink>
      <w:r w:rsidRPr="00A1365F">
        <w:rPr>
          <w:lang w:val="ru-RU"/>
        </w:rPr>
        <w:t>)</w:t>
      </w:r>
      <w:hyperlink r:id="rId177" w:history="1"/>
    </w:p>
    <w:p w14:paraId="6941C925" w14:textId="0AE1129A" w:rsidR="00A61D19" w:rsidRPr="00A1365F" w:rsidRDefault="00A61D19" w:rsidP="00A61D19">
      <w:pPr>
        <w:rPr>
          <w:lang w:val="ru-RU"/>
        </w:rPr>
      </w:pPr>
      <w:r w:rsidRPr="00A1365F">
        <w:rPr>
          <w:lang w:val="ru-RU"/>
        </w:rPr>
        <w:t>20.1</w:t>
      </w:r>
      <w:r w:rsidRPr="00A1365F">
        <w:rPr>
          <w:lang w:val="ru-RU"/>
        </w:rPr>
        <w:tab/>
        <w:t>На 22-м собрании секретариат представил обновленную информацию об утверждении пересмотренной Рекомендации МСЭ-Т E.118 и аннулировании Решения 601 Совета по результатам собрания 2-й Исследовательской комиссии МСЭ-Т, состоявшегося 5 сентября 2025</w:t>
      </w:r>
      <w:r w:rsidR="00B47ACB" w:rsidRPr="00A1365F">
        <w:rPr>
          <w:lang w:val="ru-RU"/>
        </w:rPr>
        <w:t> </w:t>
      </w:r>
      <w:r w:rsidRPr="00A1365F">
        <w:rPr>
          <w:lang w:val="ru-RU"/>
        </w:rPr>
        <w:t>года, на котором члены пришли к выводу, что оснований для продолжения применения Решения 601 больше нет.</w:t>
      </w:r>
    </w:p>
    <w:p w14:paraId="678B0638" w14:textId="4ABCEF25" w:rsidR="00B47ACB" w:rsidRPr="00A1365F" w:rsidRDefault="00A61D19" w:rsidP="00B47ACB">
      <w:pPr>
        <w:spacing w:after="120"/>
        <w:rPr>
          <w:lang w:val="ru-RU"/>
        </w:rPr>
      </w:pPr>
      <w:r w:rsidRPr="00A1365F">
        <w:rPr>
          <w:lang w:val="ru-RU"/>
        </w:rPr>
        <w:t>20.2</w:t>
      </w:r>
      <w:r w:rsidRPr="00A1365F">
        <w:rPr>
          <w:lang w:val="ru-RU"/>
        </w:rPr>
        <w:tab/>
        <w:t xml:space="preserve">Делегаты поставили под сомнение рекомендацию Исследовательской комиссии, в частности последствия отказа от источника получения доходов с учетом текущего финансового положения МСЭ (согласно Документу </w:t>
      </w:r>
      <w:hyperlink r:id="rId178" w:history="1">
        <w:r w:rsidRPr="00A1365F">
          <w:rPr>
            <w:rStyle w:val="Hyperlink"/>
            <w:lang w:val="ru-RU"/>
          </w:rPr>
          <w:t>C25/38</w:t>
        </w:r>
      </w:hyperlink>
      <w:r w:rsidRPr="00A1365F">
        <w:rPr>
          <w:lang w:val="ru-RU"/>
        </w:rPr>
        <w:t>). Председатель 2-й Исследовательской комиссии ответил, что ИК тщательно рассмотрела последствия потери источника доходов, но пришла к выводу, что если Совет не аннулирует Решение, то могут возникнуть проблемы правового характера.</w:t>
      </w:r>
    </w:p>
    <w:tbl>
      <w:tblPr>
        <w:tblStyle w:val="TableGrid"/>
        <w:tblW w:w="0" w:type="auto"/>
        <w:tblLook w:val="04A0" w:firstRow="1" w:lastRow="0" w:firstColumn="1" w:lastColumn="0" w:noHBand="0" w:noVBand="1"/>
      </w:tblPr>
      <w:tblGrid>
        <w:gridCol w:w="9061"/>
      </w:tblGrid>
      <w:tr w:rsidR="00B47ACB" w:rsidRPr="005E4138" w14:paraId="074AE649" w14:textId="77777777" w:rsidTr="00567B8B">
        <w:tc>
          <w:tcPr>
            <w:tcW w:w="9061" w:type="dxa"/>
          </w:tcPr>
          <w:p w14:paraId="03A90C56" w14:textId="28618FFC" w:rsidR="00B47ACB" w:rsidRPr="00A1365F" w:rsidRDefault="00B47ACB" w:rsidP="00567B8B">
            <w:pPr>
              <w:spacing w:after="120"/>
              <w:rPr>
                <w:lang w:val="ru-RU"/>
              </w:rPr>
            </w:pPr>
            <w:r w:rsidRPr="00A1365F">
              <w:rPr>
                <w:lang w:val="ru-RU"/>
              </w:rPr>
              <w:t>20.3</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обновленный отчет, с тем чтобы Советники могли принять решение относительно целесообразности аннулирования Решения 601 Совета.</w:t>
            </w:r>
          </w:p>
        </w:tc>
      </w:tr>
    </w:tbl>
    <w:p w14:paraId="75FDAE58" w14:textId="77777777" w:rsidR="00A61D19" w:rsidRPr="00A1365F" w:rsidRDefault="00A61D19" w:rsidP="00A61D19">
      <w:pPr>
        <w:pStyle w:val="Heading1"/>
        <w:rPr>
          <w:lang w:val="ru-RU"/>
        </w:rPr>
      </w:pPr>
      <w:r w:rsidRPr="00A1365F">
        <w:rPr>
          <w:bCs/>
          <w:lang w:val="ru-RU"/>
        </w:rPr>
        <w:t>21</w:t>
      </w:r>
      <w:r w:rsidRPr="00A1365F">
        <w:rPr>
          <w:lang w:val="ru-RU"/>
        </w:rPr>
        <w:tab/>
        <w:t xml:space="preserve">Заявление о взаимодействии по итогам третьего собрания РГС-СФП (Документ </w:t>
      </w:r>
      <w:hyperlink r:id="rId179" w:history="1">
        <w:r w:rsidRPr="00A1365F">
          <w:rPr>
            <w:rStyle w:val="Hyperlink"/>
            <w:lang w:val="ru-RU"/>
          </w:rPr>
          <w:t>CWG-FHR-21/24</w:t>
        </w:r>
      </w:hyperlink>
      <w:r w:rsidRPr="00A1365F">
        <w:rPr>
          <w:lang w:val="ru-RU"/>
        </w:rPr>
        <w:t>)</w:t>
      </w:r>
      <w:hyperlink r:id="rId180" w:history="1"/>
    </w:p>
    <w:p w14:paraId="20166EA4" w14:textId="27865438" w:rsidR="00A61D19" w:rsidRPr="00A1365F" w:rsidRDefault="00A61D19" w:rsidP="00B47ACB">
      <w:pPr>
        <w:spacing w:after="120"/>
        <w:rPr>
          <w:lang w:val="ru-RU"/>
        </w:rPr>
      </w:pPr>
      <w:r w:rsidRPr="00A1365F">
        <w:rPr>
          <w:lang w:val="ru-RU"/>
        </w:rPr>
        <w:t>21.1</w:t>
      </w:r>
      <w:r w:rsidRPr="00A1365F">
        <w:rPr>
          <w:lang w:val="ru-RU"/>
        </w:rPr>
        <w:tab/>
        <w:t xml:space="preserve">В заявлении о взаимодействии, представленном 21-му собранию, изложены основные итоги третьего собрания РГС-СФП, представлен отчет о ходе </w:t>
      </w:r>
      <w:proofErr w:type="gramStart"/>
      <w:r w:rsidRPr="00A1365F">
        <w:rPr>
          <w:lang w:val="ru-RU"/>
        </w:rPr>
        <w:t>работы по подготовке</w:t>
      </w:r>
      <w:proofErr w:type="gramEnd"/>
      <w:r w:rsidRPr="00A1365F">
        <w:rPr>
          <w:lang w:val="ru-RU"/>
        </w:rPr>
        <w:t xml:space="preserve"> Стратегического и Финансового планов, а также просьба представлять свои замечания. В</w:t>
      </w:r>
      <w:r w:rsidR="00EF3443">
        <w:rPr>
          <w:lang w:val="ru-RU"/>
        </w:rPr>
        <w:t> </w:t>
      </w:r>
      <w:r w:rsidRPr="00A1365F">
        <w:rPr>
          <w:lang w:val="ru-RU"/>
        </w:rPr>
        <w:t>частности, РГС-СФП предлагает РГС-ФЛР рассмотреть предлагаемые показатели эффективности деятельности в отношении уровня воздействия и конечных результатов, а также проекты заявлений о миссии и концепции до 1 декабря 2025 года.</w:t>
      </w:r>
    </w:p>
    <w:tbl>
      <w:tblPr>
        <w:tblStyle w:val="TableGrid"/>
        <w:tblW w:w="0" w:type="auto"/>
        <w:tblLook w:val="04A0" w:firstRow="1" w:lastRow="0" w:firstColumn="1" w:lastColumn="0" w:noHBand="0" w:noVBand="1"/>
      </w:tblPr>
      <w:tblGrid>
        <w:gridCol w:w="9061"/>
      </w:tblGrid>
      <w:tr w:rsidR="00B47ACB" w:rsidRPr="005E4138" w14:paraId="131B137F" w14:textId="77777777" w:rsidTr="00567B8B">
        <w:tc>
          <w:tcPr>
            <w:tcW w:w="9061" w:type="dxa"/>
          </w:tcPr>
          <w:p w14:paraId="2420A307" w14:textId="48D60A12" w:rsidR="00B47ACB" w:rsidRPr="00A1365F" w:rsidRDefault="00B47ACB" w:rsidP="00567B8B">
            <w:pPr>
              <w:spacing w:after="120"/>
              <w:rPr>
                <w:lang w:val="ru-RU"/>
              </w:rPr>
            </w:pPr>
            <w:r w:rsidRPr="00A1365F">
              <w:rPr>
                <w:lang w:val="ru-RU"/>
              </w:rPr>
              <w:t>21.2</w:t>
            </w:r>
            <w:r w:rsidRPr="00A1365F">
              <w:rPr>
                <w:lang w:val="ru-RU"/>
              </w:rPr>
              <w:tab/>
              <w:t>РГС-ФЛР приняла документ к сведению и выразила готовность координировать свои дальнейшие шаги с РГС-СФП.</w:t>
            </w:r>
          </w:p>
        </w:tc>
      </w:tr>
    </w:tbl>
    <w:p w14:paraId="534DEB98" w14:textId="77777777" w:rsidR="00796BD3" w:rsidRPr="0009725A" w:rsidRDefault="00C462C5" w:rsidP="00A61D19">
      <w:pPr>
        <w:spacing w:before="480"/>
        <w:jc w:val="center"/>
        <w:rPr>
          <w:lang w:val="en-US"/>
        </w:rPr>
      </w:pPr>
      <w:r w:rsidRPr="00A1365F">
        <w:rPr>
          <w:lang w:val="ru-RU"/>
        </w:rPr>
        <w:t>______________</w:t>
      </w:r>
    </w:p>
    <w:sectPr w:rsidR="00796BD3" w:rsidRPr="0009725A" w:rsidSect="00796BD3">
      <w:footerReference w:type="default" r:id="rId181"/>
      <w:headerReference w:type="first" r:id="rId182"/>
      <w:footerReference w:type="first" r:id="rId18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35A9" w14:textId="77777777" w:rsidR="007C7F48" w:rsidRDefault="007C7F48">
      <w:r>
        <w:separator/>
      </w:r>
    </w:p>
  </w:endnote>
  <w:endnote w:type="continuationSeparator" w:id="0">
    <w:p w14:paraId="4DDE0BD6" w14:textId="77777777" w:rsidR="007C7F48" w:rsidRDefault="007C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423B65D" w14:textId="77777777" w:rsidTr="00E31DCE">
      <w:trPr>
        <w:jc w:val="center"/>
      </w:trPr>
      <w:tc>
        <w:tcPr>
          <w:tcW w:w="1803" w:type="dxa"/>
          <w:vAlign w:val="center"/>
        </w:tcPr>
        <w:p w14:paraId="05DCD549" w14:textId="00434266" w:rsidR="00672F8A" w:rsidRPr="00250B05" w:rsidRDefault="00345D2A" w:rsidP="00672F8A">
          <w:pPr>
            <w:pStyle w:val="Header"/>
            <w:jc w:val="left"/>
            <w:rPr>
              <w:noProof/>
              <w:lang w:val="en-GB"/>
            </w:rPr>
          </w:pPr>
          <w:r>
            <w:rPr>
              <w:noProof/>
            </w:rPr>
            <w:t>gDoc #</w:t>
          </w:r>
          <w:r w:rsidR="00A61D19">
            <w:rPr>
              <w:noProof/>
              <w:lang w:val="ru-RU"/>
            </w:rPr>
            <w:t xml:space="preserve"> </w:t>
          </w:r>
          <w:r w:rsidR="00250B05">
            <w:rPr>
              <w:noProof/>
              <w:lang w:val="en-GB"/>
            </w:rPr>
            <w:t>2601136</w:t>
          </w:r>
        </w:p>
      </w:tc>
      <w:tc>
        <w:tcPr>
          <w:tcW w:w="8261" w:type="dxa"/>
        </w:tcPr>
        <w:p w14:paraId="03EF0872" w14:textId="2310972B"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A61D19">
            <w:rPr>
              <w:bCs/>
              <w:lang w:val="ru-RU"/>
            </w:rPr>
            <w:t>50</w:t>
          </w:r>
          <w:r w:rsidR="0009725A">
            <w:rPr>
              <w:bCs/>
              <w:lang w:val="ru-RU"/>
            </w:rPr>
            <w:t>(</w:t>
          </w:r>
          <w:r w:rsidR="0009725A">
            <w:rPr>
              <w:bCs/>
              <w:lang w:val="en-US"/>
            </w:rPr>
            <w:t>Rev.1</w:t>
          </w:r>
          <w:r w:rsidR="0009725A">
            <w:rPr>
              <w:bCs/>
              <w:lang w:val="ru-RU"/>
            </w:rPr>
            <w:t>)</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917C30F"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11EC5B80" w14:textId="77777777" w:rsidTr="00E31DCE">
      <w:trPr>
        <w:jc w:val="center"/>
      </w:trPr>
      <w:tc>
        <w:tcPr>
          <w:tcW w:w="1803" w:type="dxa"/>
          <w:vAlign w:val="center"/>
        </w:tcPr>
        <w:p w14:paraId="2C6F3C41"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426759C9" w14:textId="2D7128CC"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A61D19">
            <w:rPr>
              <w:bCs/>
              <w:lang w:val="ru-RU"/>
            </w:rPr>
            <w:t>50</w:t>
          </w:r>
          <w:r w:rsidR="00250B05">
            <w:rPr>
              <w:bCs/>
              <w:lang w:val="ru-RU"/>
            </w:rPr>
            <w:t>(</w:t>
          </w:r>
          <w:r w:rsidR="00250B05">
            <w:rPr>
              <w:bCs/>
              <w:lang w:val="fr-CH"/>
            </w:rPr>
            <w:t>Rev.1</w:t>
          </w:r>
          <w:r w:rsidR="00250B05">
            <w:rPr>
              <w:bCs/>
              <w:lang w:val="en-GB"/>
            </w:rPr>
            <w:t>)</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37EEB0F"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24C1" w14:textId="77777777" w:rsidR="007C7F48" w:rsidRDefault="007C7F48">
      <w:r>
        <w:t>____________________</w:t>
      </w:r>
    </w:p>
  </w:footnote>
  <w:footnote w:type="continuationSeparator" w:id="0">
    <w:p w14:paraId="3117FC3A" w14:textId="77777777" w:rsidR="007C7F48" w:rsidRDefault="007C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AEDB"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810EB"/>
    <w:multiLevelType w:val="hybridMultilevel"/>
    <w:tmpl w:val="49F00602"/>
    <w:lvl w:ilvl="0" w:tplc="9A6A392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784"/>
    <w:multiLevelType w:val="hybridMultilevel"/>
    <w:tmpl w:val="CDF4B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D66ED"/>
    <w:multiLevelType w:val="hybridMultilevel"/>
    <w:tmpl w:val="B86450CC"/>
    <w:lvl w:ilvl="0" w:tplc="018235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6162"/>
    <w:multiLevelType w:val="hybridMultilevel"/>
    <w:tmpl w:val="A8B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7887"/>
    <w:multiLevelType w:val="hybridMultilevel"/>
    <w:tmpl w:val="F99A3CA4"/>
    <w:lvl w:ilvl="0" w:tplc="599AEFB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B4D"/>
    <w:multiLevelType w:val="hybridMultilevel"/>
    <w:tmpl w:val="16CAB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0527B"/>
    <w:multiLevelType w:val="hybridMultilevel"/>
    <w:tmpl w:val="E34C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7012E"/>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2F9F22AC"/>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CA30BDB"/>
    <w:multiLevelType w:val="hybridMultilevel"/>
    <w:tmpl w:val="1E84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EB6954"/>
    <w:multiLevelType w:val="hybridMultilevel"/>
    <w:tmpl w:val="FE5E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B5F0E"/>
    <w:multiLevelType w:val="multilevel"/>
    <w:tmpl w:val="6C36AFC6"/>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3" w15:restartNumberingAfterBreak="0">
    <w:nsid w:val="59375CFB"/>
    <w:multiLevelType w:val="multilevel"/>
    <w:tmpl w:val="861C4CAC"/>
    <w:lvl w:ilvl="0">
      <w:start w:val="1"/>
      <w:numFmt w:val="decimal"/>
      <w:lvlText w:val="%1"/>
      <w:lvlJc w:val="left"/>
      <w:pPr>
        <w:ind w:left="720" w:firstLine="0"/>
      </w:pPr>
      <w:rPr>
        <w:rFonts w:ascii="Calibri" w:hAnsi="Calibri" w:hint="default"/>
        <w:b/>
        <w:bCs/>
      </w:rPr>
    </w:lvl>
    <w:lvl w:ilvl="1">
      <w:start w:val="1"/>
      <w:numFmt w:val="decimal"/>
      <w:lvlText w:val="%1.%2"/>
      <w:lvlJc w:val="left"/>
      <w:pPr>
        <w:ind w:left="720" w:firstLine="0"/>
      </w:pPr>
      <w:rPr>
        <w:rFonts w:ascii="Calibri" w:hAnsi="Calibri" w:hint="default"/>
        <w:b w:val="0"/>
        <w:bCs/>
      </w:rPr>
    </w:lvl>
    <w:lvl w:ilvl="2">
      <w:start w:val="1"/>
      <w:numFmt w:val="decimal"/>
      <w:lvlText w:val="%1.%2.%3"/>
      <w:lvlJc w:val="left"/>
      <w:pPr>
        <w:ind w:left="720" w:firstLine="0"/>
      </w:pPr>
      <w:rPr>
        <w:rFonts w:ascii="Calibri" w:hAnsi="Calibri" w:hint="default"/>
      </w:rPr>
    </w:lvl>
    <w:lvl w:ilvl="3">
      <w:start w:val="1"/>
      <w:numFmt w:val="decimal"/>
      <w:lvlText w:val="%1.%2.%3.%4"/>
      <w:lvlJc w:val="left"/>
      <w:pPr>
        <w:ind w:left="720" w:firstLine="0"/>
      </w:pPr>
      <w:rPr>
        <w:rFonts w:ascii="Calibri" w:hAnsi="Calibri" w:hint="default"/>
      </w:rPr>
    </w:lvl>
    <w:lvl w:ilvl="4">
      <w:start w:val="1"/>
      <w:numFmt w:val="decimal"/>
      <w:lvlText w:val="%1.%2.%3.%4.%5"/>
      <w:lvlJc w:val="left"/>
      <w:pPr>
        <w:ind w:left="720" w:firstLine="0"/>
      </w:pPr>
      <w:rPr>
        <w:rFonts w:ascii="Calibri" w:hAnsi="Calibri" w:hint="default"/>
      </w:rPr>
    </w:lvl>
    <w:lvl w:ilvl="5">
      <w:start w:val="1"/>
      <w:numFmt w:val="decimal"/>
      <w:lvlText w:val="%1.%2.%3.%4.%5.%6"/>
      <w:lvlJc w:val="left"/>
      <w:pPr>
        <w:ind w:left="720" w:firstLine="0"/>
      </w:pPr>
      <w:rPr>
        <w:rFonts w:ascii="Calibri" w:hAnsi="Calibri" w:hint="default"/>
      </w:rPr>
    </w:lvl>
    <w:lvl w:ilvl="6">
      <w:start w:val="1"/>
      <w:numFmt w:val="decimal"/>
      <w:lvlText w:val="%1.%2.%3.%4.%5.%6.%7"/>
      <w:lvlJc w:val="left"/>
      <w:pPr>
        <w:ind w:left="720" w:firstLine="0"/>
      </w:pPr>
      <w:rPr>
        <w:rFonts w:ascii="Calibri" w:hAnsi="Calibri" w:hint="default"/>
      </w:rPr>
    </w:lvl>
    <w:lvl w:ilvl="7">
      <w:start w:val="1"/>
      <w:numFmt w:val="decimal"/>
      <w:lvlText w:val="%1.%2.%3.%4.%5.%6.%7.%8"/>
      <w:lvlJc w:val="left"/>
      <w:pPr>
        <w:ind w:left="720" w:firstLine="0"/>
      </w:pPr>
      <w:rPr>
        <w:rFonts w:ascii="Calibri" w:hAnsi="Calibri" w:hint="default"/>
      </w:rPr>
    </w:lvl>
    <w:lvl w:ilvl="8">
      <w:start w:val="1"/>
      <w:numFmt w:val="decimal"/>
      <w:lvlText w:val="%1.%2.%3.%4.%5.%6.%7.%8.%9"/>
      <w:lvlJc w:val="left"/>
      <w:pPr>
        <w:ind w:left="720" w:firstLine="0"/>
      </w:pPr>
      <w:rPr>
        <w:rFonts w:ascii="Calibri" w:hAnsi="Calibri" w:hint="default"/>
      </w:rPr>
    </w:lvl>
  </w:abstractNum>
  <w:abstractNum w:abstractNumId="14" w15:restartNumberingAfterBreak="0">
    <w:nsid w:val="5FF46786"/>
    <w:multiLevelType w:val="hybridMultilevel"/>
    <w:tmpl w:val="935490AC"/>
    <w:lvl w:ilvl="0" w:tplc="4ECA2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C21B4"/>
    <w:multiLevelType w:val="multilevel"/>
    <w:tmpl w:val="97807A02"/>
    <w:lvl w:ilvl="0">
      <w:start w:val="1"/>
      <w:numFmt w:val="decimal"/>
      <w:lvlText w:val="%1"/>
      <w:lvlJc w:val="left"/>
      <w:pPr>
        <w:ind w:left="360" w:hanging="360"/>
      </w:pPr>
      <w:rPr>
        <w:rFonts w:ascii="Calibri" w:hAnsi="Calibri" w:hint="default"/>
      </w:rPr>
    </w:lvl>
    <w:lvl w:ilvl="1">
      <w:start w:val="2"/>
      <w:numFmt w:val="bullet"/>
      <w:lvlText w:val="-"/>
      <w:lvlJc w:val="left"/>
      <w:pPr>
        <w:ind w:left="720" w:hanging="360"/>
      </w:pPr>
      <w:rPr>
        <w:rFonts w:ascii="Calibri" w:eastAsia="Times New Roman" w:hAnsi="Calibri" w:cs="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6" w15:restartNumberingAfterBreak="0">
    <w:nsid w:val="67963AEA"/>
    <w:multiLevelType w:val="multilevel"/>
    <w:tmpl w:val="D000207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C1F0F"/>
    <w:multiLevelType w:val="hybridMultilevel"/>
    <w:tmpl w:val="985A3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F777CB"/>
    <w:multiLevelType w:val="hybridMultilevel"/>
    <w:tmpl w:val="E68A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4835"/>
    <w:multiLevelType w:val="multilevel"/>
    <w:tmpl w:val="B71A17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4693786">
    <w:abstractNumId w:val="0"/>
  </w:num>
  <w:num w:numId="2" w16cid:durableId="1311980282">
    <w:abstractNumId w:val="13"/>
  </w:num>
  <w:num w:numId="3" w16cid:durableId="1704135793">
    <w:abstractNumId w:val="12"/>
  </w:num>
  <w:num w:numId="4" w16cid:durableId="872616958">
    <w:abstractNumId w:val="2"/>
  </w:num>
  <w:num w:numId="5" w16cid:durableId="714473748">
    <w:abstractNumId w:val="8"/>
  </w:num>
  <w:num w:numId="6" w16cid:durableId="874004865">
    <w:abstractNumId w:val="9"/>
  </w:num>
  <w:num w:numId="7" w16cid:durableId="2098405829">
    <w:abstractNumId w:val="15"/>
  </w:num>
  <w:num w:numId="8" w16cid:durableId="1580560413">
    <w:abstractNumId w:val="14"/>
  </w:num>
  <w:num w:numId="9" w16cid:durableId="1235969096">
    <w:abstractNumId w:val="4"/>
  </w:num>
  <w:num w:numId="10" w16cid:durableId="508448534">
    <w:abstractNumId w:val="19"/>
  </w:num>
  <w:num w:numId="11" w16cid:durableId="197016103">
    <w:abstractNumId w:val="16"/>
  </w:num>
  <w:num w:numId="12" w16cid:durableId="362944826">
    <w:abstractNumId w:val="5"/>
  </w:num>
  <w:num w:numId="13" w16cid:durableId="1450273814">
    <w:abstractNumId w:val="1"/>
  </w:num>
  <w:num w:numId="14" w16cid:durableId="899943362">
    <w:abstractNumId w:val="6"/>
  </w:num>
  <w:num w:numId="15" w16cid:durableId="1403485813">
    <w:abstractNumId w:val="17"/>
  </w:num>
  <w:num w:numId="16" w16cid:durableId="1967806788">
    <w:abstractNumId w:val="10"/>
  </w:num>
  <w:num w:numId="17" w16cid:durableId="553545854">
    <w:abstractNumId w:val="7"/>
  </w:num>
  <w:num w:numId="18" w16cid:durableId="1880698752">
    <w:abstractNumId w:val="3"/>
  </w:num>
  <w:num w:numId="19" w16cid:durableId="265818833">
    <w:abstractNumId w:val="11"/>
  </w:num>
  <w:num w:numId="20" w16cid:durableId="9782690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19"/>
    <w:rsid w:val="00005BE0"/>
    <w:rsid w:val="0002183E"/>
    <w:rsid w:val="000569B4"/>
    <w:rsid w:val="0006007D"/>
    <w:rsid w:val="00080E82"/>
    <w:rsid w:val="000934DD"/>
    <w:rsid w:val="0009725A"/>
    <w:rsid w:val="000A10CA"/>
    <w:rsid w:val="000B2DE7"/>
    <w:rsid w:val="000B4E93"/>
    <w:rsid w:val="000E568E"/>
    <w:rsid w:val="0014229E"/>
    <w:rsid w:val="0014734F"/>
    <w:rsid w:val="00150BFC"/>
    <w:rsid w:val="00156890"/>
    <w:rsid w:val="0015710D"/>
    <w:rsid w:val="00163A32"/>
    <w:rsid w:val="00165D06"/>
    <w:rsid w:val="00192B41"/>
    <w:rsid w:val="001B7B09"/>
    <w:rsid w:val="001E6719"/>
    <w:rsid w:val="001E7F50"/>
    <w:rsid w:val="00225368"/>
    <w:rsid w:val="00227FF0"/>
    <w:rsid w:val="00244C39"/>
    <w:rsid w:val="00250B05"/>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A5295"/>
    <w:rsid w:val="004A6623"/>
    <w:rsid w:val="004D0129"/>
    <w:rsid w:val="00515795"/>
    <w:rsid w:val="00580CA8"/>
    <w:rsid w:val="005A64D5"/>
    <w:rsid w:val="005B3DEC"/>
    <w:rsid w:val="005E4138"/>
    <w:rsid w:val="00601994"/>
    <w:rsid w:val="00604C79"/>
    <w:rsid w:val="00660449"/>
    <w:rsid w:val="00672F8A"/>
    <w:rsid w:val="006E2D42"/>
    <w:rsid w:val="00703676"/>
    <w:rsid w:val="00707304"/>
    <w:rsid w:val="00732269"/>
    <w:rsid w:val="00762555"/>
    <w:rsid w:val="0077110E"/>
    <w:rsid w:val="00784980"/>
    <w:rsid w:val="00785ABD"/>
    <w:rsid w:val="00796BD3"/>
    <w:rsid w:val="007A2DD4"/>
    <w:rsid w:val="007C7F48"/>
    <w:rsid w:val="007D38B5"/>
    <w:rsid w:val="007E5FC4"/>
    <w:rsid w:val="007E7EA0"/>
    <w:rsid w:val="00807255"/>
    <w:rsid w:val="0081023E"/>
    <w:rsid w:val="008173AA"/>
    <w:rsid w:val="00840A14"/>
    <w:rsid w:val="0084546D"/>
    <w:rsid w:val="00864F9B"/>
    <w:rsid w:val="008A48FA"/>
    <w:rsid w:val="008B62B4"/>
    <w:rsid w:val="008D2D7B"/>
    <w:rsid w:val="008E0737"/>
    <w:rsid w:val="008F7958"/>
    <w:rsid w:val="008F7C2C"/>
    <w:rsid w:val="00940E96"/>
    <w:rsid w:val="00950A82"/>
    <w:rsid w:val="009860E5"/>
    <w:rsid w:val="009A76A8"/>
    <w:rsid w:val="009B0BAE"/>
    <w:rsid w:val="009C1C89"/>
    <w:rsid w:val="009F3448"/>
    <w:rsid w:val="009F39BD"/>
    <w:rsid w:val="00A01CF9"/>
    <w:rsid w:val="00A01F4F"/>
    <w:rsid w:val="00A109AF"/>
    <w:rsid w:val="00A1365F"/>
    <w:rsid w:val="00A20B63"/>
    <w:rsid w:val="00A3481C"/>
    <w:rsid w:val="00A405F9"/>
    <w:rsid w:val="00A61D19"/>
    <w:rsid w:val="00A71773"/>
    <w:rsid w:val="00A74304"/>
    <w:rsid w:val="00AE2C85"/>
    <w:rsid w:val="00B0107F"/>
    <w:rsid w:val="00B12A37"/>
    <w:rsid w:val="00B41837"/>
    <w:rsid w:val="00B47ACB"/>
    <w:rsid w:val="00B63EF2"/>
    <w:rsid w:val="00BA7D89"/>
    <w:rsid w:val="00BC0D39"/>
    <w:rsid w:val="00BC7BC0"/>
    <w:rsid w:val="00BD57B7"/>
    <w:rsid w:val="00BE00DD"/>
    <w:rsid w:val="00BE63E2"/>
    <w:rsid w:val="00BF4ED3"/>
    <w:rsid w:val="00C43460"/>
    <w:rsid w:val="00C462C5"/>
    <w:rsid w:val="00CD2009"/>
    <w:rsid w:val="00CF629C"/>
    <w:rsid w:val="00D02891"/>
    <w:rsid w:val="00D17718"/>
    <w:rsid w:val="00D631AA"/>
    <w:rsid w:val="00D92EEA"/>
    <w:rsid w:val="00DA5D4E"/>
    <w:rsid w:val="00DA770A"/>
    <w:rsid w:val="00DE1940"/>
    <w:rsid w:val="00E05752"/>
    <w:rsid w:val="00E176BA"/>
    <w:rsid w:val="00E423EC"/>
    <w:rsid w:val="00E55121"/>
    <w:rsid w:val="00EB4FCB"/>
    <w:rsid w:val="00EC6BC5"/>
    <w:rsid w:val="00EF3443"/>
    <w:rsid w:val="00F138E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2AA6"/>
  <w15:docId w15:val="{801DA210-7FC5-4580-8244-7AB4FA0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uiPriority w:val="9"/>
    <w:qFormat/>
    <w:rsid w:val="00227FF0"/>
    <w:pPr>
      <w:keepNext/>
      <w:keepLines/>
      <w:spacing w:before="480"/>
      <w:ind w:left="794" w:hanging="794"/>
      <w:outlineLvl w:val="0"/>
    </w:pPr>
    <w:rPr>
      <w:b/>
      <w:sz w:val="26"/>
    </w:rPr>
  </w:style>
  <w:style w:type="paragraph" w:styleId="Heading2">
    <w:name w:val="heading 2"/>
    <w:basedOn w:val="Heading1"/>
    <w:next w:val="Normal"/>
    <w:link w:val="Heading2Char"/>
    <w:uiPriority w:val="9"/>
    <w:qFormat/>
    <w:rsid w:val="00227FF0"/>
    <w:pPr>
      <w:spacing w:before="320"/>
      <w:outlineLvl w:val="1"/>
    </w:pPr>
    <w:rPr>
      <w:sz w:val="22"/>
    </w:rPr>
  </w:style>
  <w:style w:type="paragraph" w:styleId="Heading3">
    <w:name w:val="heading 3"/>
    <w:basedOn w:val="Heading1"/>
    <w:next w:val="Normal"/>
    <w:link w:val="Heading3Char"/>
    <w:uiPriority w:val="9"/>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link w:val="Heading4Char"/>
    <w:uiPriority w:val="9"/>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227FF0"/>
    <w:pPr>
      <w:outlineLvl w:val="4"/>
    </w:pPr>
  </w:style>
  <w:style w:type="paragraph" w:styleId="Heading6">
    <w:name w:val="heading 6"/>
    <w:basedOn w:val="Heading4"/>
    <w:next w:val="Normal"/>
    <w:link w:val="Heading6Char"/>
    <w:uiPriority w:val="9"/>
    <w:qFormat/>
    <w:rsid w:val="00227FF0"/>
    <w:pPr>
      <w:outlineLvl w:val="5"/>
    </w:pPr>
  </w:style>
  <w:style w:type="paragraph" w:styleId="Heading7">
    <w:name w:val="heading 7"/>
    <w:basedOn w:val="Heading6"/>
    <w:next w:val="Normal"/>
    <w:link w:val="Heading7Char"/>
    <w:uiPriority w:val="9"/>
    <w:qFormat/>
    <w:rsid w:val="00227FF0"/>
    <w:pPr>
      <w:outlineLvl w:val="6"/>
    </w:pPr>
  </w:style>
  <w:style w:type="paragraph" w:styleId="Heading8">
    <w:name w:val="heading 8"/>
    <w:basedOn w:val="Heading6"/>
    <w:next w:val="Normal"/>
    <w:link w:val="Heading8Char"/>
    <w:uiPriority w:val="9"/>
    <w:qFormat/>
    <w:rsid w:val="00227FF0"/>
    <w:pPr>
      <w:outlineLvl w:val="7"/>
    </w:pPr>
  </w:style>
  <w:style w:type="paragraph" w:styleId="Heading9">
    <w:name w:val="heading 9"/>
    <w:basedOn w:val="Heading6"/>
    <w:next w:val="Normal"/>
    <w:link w:val="Heading9Char"/>
    <w:uiPriority w:val="9"/>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link w:val="FooterChar"/>
    <w:uiPriority w:val="99"/>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qFormat/>
    <w:rsid w:val="00227FF0"/>
    <w:pPr>
      <w:ind w:left="1191" w:hanging="397"/>
    </w:pPr>
  </w:style>
  <w:style w:type="paragraph" w:customStyle="1" w:styleId="enumlev3">
    <w:name w:val="enumlev3"/>
    <w:basedOn w:val="enumlev2"/>
    <w:qFormat/>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uiPriority w:val="99"/>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qFormat/>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A405F9"/>
    <w:pPr>
      <w:spacing w:after="240"/>
      <w:jc w:val="center"/>
    </w:pPr>
  </w:style>
  <w:style w:type="paragraph" w:customStyle="1" w:styleId="Figuretitle">
    <w:name w:val="Figure_title"/>
    <w:basedOn w:val="Tabletitle"/>
    <w:next w:val="Figure"/>
    <w:qFormat/>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qFormat/>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qFormat/>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qFormat/>
    <w:rsid w:val="00227FF0"/>
    <w:pPr>
      <w:spacing w:before="480"/>
      <w:jc w:val="center"/>
    </w:pPr>
    <w:rPr>
      <w:rFonts w:ascii="Times New Roman Bold" w:hAnsi="Times New Roman Bold"/>
      <w:b/>
      <w:sz w:val="26"/>
    </w:rPr>
  </w:style>
  <w:style w:type="paragraph" w:customStyle="1" w:styleId="ArtNo">
    <w:name w:val="Art_No"/>
    <w:basedOn w:val="Normal"/>
    <w:next w:val="Normal"/>
    <w:qFormat/>
    <w:rsid w:val="00227FF0"/>
    <w:pPr>
      <w:keepNext/>
      <w:keepLines/>
      <w:spacing w:before="480"/>
      <w:jc w:val="center"/>
    </w:pPr>
    <w:rPr>
      <w:caps/>
      <w:sz w:val="26"/>
    </w:rPr>
  </w:style>
  <w:style w:type="paragraph" w:customStyle="1" w:styleId="Arttitle">
    <w:name w:val="Art_title"/>
    <w:basedOn w:val="Normal"/>
    <w:next w:val="Normalaftertitle"/>
    <w:qFormat/>
    <w:rsid w:val="00227FF0"/>
    <w:pPr>
      <w:keepNext/>
      <w:keepLines/>
      <w:spacing w:before="240"/>
      <w:jc w:val="center"/>
    </w:pPr>
    <w:rPr>
      <w:b/>
      <w:sz w:val="26"/>
    </w:rPr>
  </w:style>
  <w:style w:type="paragraph" w:customStyle="1" w:styleId="ChapNo">
    <w:name w:val="Chap_No"/>
    <w:basedOn w:val="ArtNo"/>
    <w:next w:val="Chaptitle"/>
    <w:qFormat/>
    <w:rsid w:val="001E6719"/>
    <w:rPr>
      <w:b/>
    </w:rPr>
  </w:style>
  <w:style w:type="paragraph" w:customStyle="1" w:styleId="Chaptitle">
    <w:name w:val="Chap_title"/>
    <w:basedOn w:val="Arttitle"/>
    <w:next w:val="Normalaftertitle"/>
    <w:qFormat/>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UnresolvedMention1">
    <w:name w:val="Unresolved Mention1"/>
    <w:basedOn w:val="DefaultParagraphFont"/>
    <w:uiPriority w:val="99"/>
    <w:semiHidden/>
    <w:unhideWhenUsed/>
    <w:rsid w:val="00A61D19"/>
    <w:rPr>
      <w:color w:val="605E5C"/>
      <w:shd w:val="clear" w:color="auto" w:fill="E1DFDD"/>
    </w:rPr>
  </w:style>
  <w:style w:type="paragraph" w:styleId="Revision">
    <w:name w:val="Revision"/>
    <w:hidden/>
    <w:uiPriority w:val="99"/>
    <w:semiHidden/>
    <w:rsid w:val="00A61D19"/>
    <w:rPr>
      <w:rFonts w:ascii="Calibri" w:hAnsi="Calibri"/>
      <w:sz w:val="24"/>
      <w:lang w:val="en-GB" w:eastAsia="en-US"/>
    </w:rPr>
  </w:style>
  <w:style w:type="character" w:customStyle="1" w:styleId="Heading1Char">
    <w:name w:val="Heading 1 Char"/>
    <w:basedOn w:val="DefaultParagraphFont"/>
    <w:link w:val="Heading1"/>
    <w:uiPriority w:val="9"/>
    <w:rsid w:val="00A61D19"/>
    <w:rPr>
      <w:rFonts w:ascii="Calibri" w:hAnsi="Calibri"/>
      <w:b/>
      <w:sz w:val="26"/>
      <w:lang w:val="en-GB" w:eastAsia="en-US"/>
    </w:rPr>
  </w:style>
  <w:style w:type="character" w:customStyle="1" w:styleId="Heading2Char">
    <w:name w:val="Heading 2 Char"/>
    <w:basedOn w:val="DefaultParagraphFont"/>
    <w:link w:val="Heading2"/>
    <w:uiPriority w:val="9"/>
    <w:rsid w:val="00A61D19"/>
    <w:rPr>
      <w:rFonts w:ascii="Calibri" w:hAnsi="Calibri"/>
      <w:b/>
      <w:sz w:val="22"/>
      <w:lang w:val="en-GB" w:eastAsia="en-US"/>
    </w:rPr>
  </w:style>
  <w:style w:type="character" w:customStyle="1" w:styleId="Heading3Char">
    <w:name w:val="Heading 3 Char"/>
    <w:basedOn w:val="DefaultParagraphFont"/>
    <w:link w:val="Heading3"/>
    <w:uiPriority w:val="9"/>
    <w:rsid w:val="00A61D19"/>
    <w:rPr>
      <w:rFonts w:asciiTheme="minorHAnsi" w:hAnsiTheme="minorHAnsi"/>
      <w:b/>
      <w:sz w:val="22"/>
      <w:lang w:val="en-GB" w:eastAsia="en-US"/>
    </w:rPr>
  </w:style>
  <w:style w:type="character" w:customStyle="1" w:styleId="Heading4Char">
    <w:name w:val="Heading 4 Char"/>
    <w:basedOn w:val="DefaultParagraphFont"/>
    <w:link w:val="Heading4"/>
    <w:uiPriority w:val="9"/>
    <w:rsid w:val="00A61D19"/>
    <w:rPr>
      <w:rFonts w:asciiTheme="minorHAnsi" w:hAnsiTheme="minorHAnsi"/>
      <w:sz w:val="22"/>
      <w:lang w:val="en-GB" w:eastAsia="en-US"/>
    </w:rPr>
  </w:style>
  <w:style w:type="character" w:customStyle="1" w:styleId="Heading5Char">
    <w:name w:val="Heading 5 Char"/>
    <w:basedOn w:val="DefaultParagraphFont"/>
    <w:link w:val="Heading5"/>
    <w:uiPriority w:val="9"/>
    <w:rsid w:val="00A61D19"/>
    <w:rPr>
      <w:rFonts w:asciiTheme="minorHAnsi" w:hAnsiTheme="minorHAnsi"/>
      <w:sz w:val="22"/>
      <w:lang w:val="en-GB" w:eastAsia="en-US"/>
    </w:rPr>
  </w:style>
  <w:style w:type="character" w:customStyle="1" w:styleId="Heading6Char">
    <w:name w:val="Heading 6 Char"/>
    <w:basedOn w:val="DefaultParagraphFont"/>
    <w:link w:val="Heading6"/>
    <w:uiPriority w:val="9"/>
    <w:rsid w:val="00A61D19"/>
    <w:rPr>
      <w:rFonts w:asciiTheme="minorHAnsi" w:hAnsiTheme="minorHAnsi"/>
      <w:sz w:val="22"/>
      <w:lang w:val="en-GB" w:eastAsia="en-US"/>
    </w:rPr>
  </w:style>
  <w:style w:type="character" w:customStyle="1" w:styleId="Heading7Char">
    <w:name w:val="Heading 7 Char"/>
    <w:basedOn w:val="DefaultParagraphFont"/>
    <w:link w:val="Heading7"/>
    <w:uiPriority w:val="9"/>
    <w:rsid w:val="00A61D19"/>
    <w:rPr>
      <w:rFonts w:asciiTheme="minorHAnsi" w:hAnsiTheme="minorHAnsi"/>
      <w:sz w:val="22"/>
      <w:lang w:val="en-GB" w:eastAsia="en-US"/>
    </w:rPr>
  </w:style>
  <w:style w:type="character" w:customStyle="1" w:styleId="Heading8Char">
    <w:name w:val="Heading 8 Char"/>
    <w:basedOn w:val="DefaultParagraphFont"/>
    <w:link w:val="Heading8"/>
    <w:uiPriority w:val="9"/>
    <w:rsid w:val="00A61D19"/>
    <w:rPr>
      <w:rFonts w:asciiTheme="minorHAnsi" w:hAnsiTheme="minorHAnsi"/>
      <w:sz w:val="22"/>
      <w:lang w:val="en-GB" w:eastAsia="en-US"/>
    </w:rPr>
  </w:style>
  <w:style w:type="character" w:customStyle="1" w:styleId="Heading9Char">
    <w:name w:val="Heading 9 Char"/>
    <w:basedOn w:val="DefaultParagraphFont"/>
    <w:link w:val="Heading9"/>
    <w:uiPriority w:val="9"/>
    <w:rsid w:val="00A61D19"/>
    <w:rPr>
      <w:rFonts w:asciiTheme="minorHAnsi" w:hAnsiTheme="minorHAnsi"/>
      <w:sz w:val="22"/>
      <w:lang w:val="en-GB" w:eastAsia="en-US"/>
    </w:rPr>
  </w:style>
  <w:style w:type="paragraph" w:styleId="Title">
    <w:name w:val="Title"/>
    <w:basedOn w:val="Normal"/>
    <w:next w:val="Normal"/>
    <w:link w:val="TitleChar"/>
    <w:uiPriority w:val="10"/>
    <w:qFormat/>
    <w:rsid w:val="00A61D19"/>
    <w:pPr>
      <w:tabs>
        <w:tab w:val="clear" w:pos="794"/>
        <w:tab w:val="clear" w:pos="1191"/>
        <w:tab w:val="clear" w:pos="1588"/>
        <w:tab w:val="clear" w:pos="1985"/>
      </w:tabs>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19"/>
    <w:rPr>
      <w:rFonts w:asciiTheme="majorHAnsi" w:eastAsiaTheme="majorEastAsia" w:hAnsiTheme="majorHAnsi" w:cstheme="majorBidi"/>
      <w:spacing w:val="-10"/>
      <w:kern w:val="28"/>
      <w:sz w:val="56"/>
      <w:szCs w:val="56"/>
      <w:lang w:val="en-GB" w:eastAsia="en-US"/>
    </w:rPr>
  </w:style>
  <w:style w:type="paragraph" w:styleId="Subtitle0">
    <w:name w:val="Subtitle"/>
    <w:basedOn w:val="Normal"/>
    <w:next w:val="Normal"/>
    <w:link w:val="SubtitleChar"/>
    <w:uiPriority w:val="11"/>
    <w:qFormat/>
    <w:rsid w:val="00A61D19"/>
    <w:pPr>
      <w:numPr>
        <w:ilvl w:val="1"/>
      </w:numPr>
      <w:tabs>
        <w:tab w:val="clear" w:pos="794"/>
        <w:tab w:val="clear" w:pos="1191"/>
        <w:tab w:val="clear" w:pos="1588"/>
        <w:tab w:val="clear" w:pos="1985"/>
      </w:tabs>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0"/>
    <w:uiPriority w:val="11"/>
    <w:rsid w:val="00A61D19"/>
    <w:rPr>
      <w:rFonts w:ascii="Calibri" w:eastAsiaTheme="majorEastAsia" w:hAnsi="Calibri" w:cstheme="majorBidi"/>
      <w:color w:val="595959" w:themeColor="text1" w:themeTint="A6"/>
      <w:spacing w:val="15"/>
      <w:sz w:val="28"/>
      <w:szCs w:val="28"/>
      <w:lang w:val="en-GB" w:eastAsia="en-US"/>
    </w:rPr>
  </w:style>
  <w:style w:type="paragraph" w:styleId="Quote">
    <w:name w:val="Quote"/>
    <w:basedOn w:val="Normal"/>
    <w:next w:val="Normal"/>
    <w:link w:val="QuoteChar"/>
    <w:uiPriority w:val="29"/>
    <w:qFormat/>
    <w:rsid w:val="00A61D19"/>
    <w:pPr>
      <w:tabs>
        <w:tab w:val="clear" w:pos="794"/>
        <w:tab w:val="clear" w:pos="1191"/>
        <w:tab w:val="clear" w:pos="1588"/>
        <w:tab w:val="clear" w:pos="1985"/>
      </w:tabs>
      <w:spacing w:before="160"/>
      <w:jc w:val="center"/>
    </w:pPr>
    <w:rPr>
      <w:i/>
      <w:iCs/>
      <w:color w:val="404040" w:themeColor="text1" w:themeTint="BF"/>
      <w:sz w:val="24"/>
    </w:rPr>
  </w:style>
  <w:style w:type="character" w:customStyle="1" w:styleId="QuoteChar">
    <w:name w:val="Quote Char"/>
    <w:basedOn w:val="DefaultParagraphFont"/>
    <w:link w:val="Quote"/>
    <w:uiPriority w:val="29"/>
    <w:rsid w:val="00A61D19"/>
    <w:rPr>
      <w:rFonts w:ascii="Calibri" w:hAnsi="Calibri"/>
      <w:i/>
      <w:iCs/>
      <w:color w:val="404040" w:themeColor="text1" w:themeTint="BF"/>
      <w:sz w:val="24"/>
      <w:lang w:val="en-GB" w:eastAsia="en-US"/>
    </w:rPr>
  </w:style>
  <w:style w:type="paragraph" w:styleId="ListParagraph">
    <w:name w:val="List Paragraph"/>
    <w:basedOn w:val="Normal"/>
    <w:link w:val="ListParagraphChar"/>
    <w:uiPriority w:val="34"/>
    <w:qFormat/>
    <w:rsid w:val="00A61D19"/>
    <w:pPr>
      <w:tabs>
        <w:tab w:val="clear" w:pos="794"/>
        <w:tab w:val="clear" w:pos="1191"/>
        <w:tab w:val="clear" w:pos="1588"/>
        <w:tab w:val="clear" w:pos="1985"/>
      </w:tabs>
      <w:ind w:left="720"/>
      <w:contextualSpacing/>
      <w:jc w:val="both"/>
    </w:pPr>
    <w:rPr>
      <w:sz w:val="24"/>
    </w:rPr>
  </w:style>
  <w:style w:type="character" w:styleId="IntenseEmphasis">
    <w:name w:val="Intense Emphasis"/>
    <w:basedOn w:val="DefaultParagraphFont"/>
    <w:uiPriority w:val="21"/>
    <w:qFormat/>
    <w:rsid w:val="00A61D19"/>
    <w:rPr>
      <w:i/>
      <w:iCs/>
      <w:color w:val="365F91" w:themeColor="accent1" w:themeShade="BF"/>
    </w:rPr>
  </w:style>
  <w:style w:type="paragraph" w:styleId="IntenseQuote">
    <w:name w:val="Intense Quote"/>
    <w:basedOn w:val="Normal"/>
    <w:next w:val="Normal"/>
    <w:link w:val="IntenseQuoteChar"/>
    <w:uiPriority w:val="30"/>
    <w:qFormat/>
    <w:rsid w:val="00A61D19"/>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spacing w:before="360" w:after="360"/>
      <w:ind w:left="864" w:right="864"/>
      <w:jc w:val="center"/>
    </w:pPr>
    <w:rPr>
      <w:i/>
      <w:iCs/>
      <w:color w:val="365F91" w:themeColor="accent1" w:themeShade="BF"/>
      <w:sz w:val="24"/>
    </w:rPr>
  </w:style>
  <w:style w:type="character" w:customStyle="1" w:styleId="IntenseQuoteChar">
    <w:name w:val="Intense Quote Char"/>
    <w:basedOn w:val="DefaultParagraphFont"/>
    <w:link w:val="IntenseQuote"/>
    <w:uiPriority w:val="30"/>
    <w:rsid w:val="00A61D19"/>
    <w:rPr>
      <w:rFonts w:ascii="Calibri" w:hAnsi="Calibri"/>
      <w:i/>
      <w:iCs/>
      <w:color w:val="365F91" w:themeColor="accent1" w:themeShade="BF"/>
      <w:sz w:val="24"/>
      <w:lang w:val="en-GB" w:eastAsia="en-US"/>
    </w:rPr>
  </w:style>
  <w:style w:type="character" w:styleId="IntenseReference">
    <w:name w:val="Intense Reference"/>
    <w:basedOn w:val="DefaultParagraphFont"/>
    <w:uiPriority w:val="32"/>
    <w:qFormat/>
    <w:rsid w:val="00A61D19"/>
    <w:rPr>
      <w:b/>
      <w:bCs/>
      <w:smallCaps/>
      <w:color w:val="365F91" w:themeColor="accent1" w:themeShade="BF"/>
      <w:spacing w:val="5"/>
    </w:rPr>
  </w:style>
  <w:style w:type="character" w:styleId="CommentReference">
    <w:name w:val="annotation reference"/>
    <w:basedOn w:val="DefaultParagraphFont"/>
    <w:uiPriority w:val="99"/>
    <w:semiHidden/>
    <w:unhideWhenUsed/>
    <w:rsid w:val="00A61D19"/>
    <w:rPr>
      <w:sz w:val="16"/>
      <w:szCs w:val="16"/>
    </w:rPr>
  </w:style>
  <w:style w:type="paragraph" w:styleId="CommentText">
    <w:name w:val="annotation text"/>
    <w:basedOn w:val="Normal"/>
    <w:link w:val="CommentTextChar"/>
    <w:uiPriority w:val="99"/>
    <w:unhideWhenUsed/>
    <w:rsid w:val="00A61D19"/>
    <w:pPr>
      <w:tabs>
        <w:tab w:val="clear" w:pos="794"/>
        <w:tab w:val="clear" w:pos="1191"/>
        <w:tab w:val="clear" w:pos="1588"/>
        <w:tab w:val="clear" w:pos="1985"/>
      </w:tabs>
      <w:jc w:val="both"/>
    </w:pPr>
    <w:rPr>
      <w:sz w:val="20"/>
    </w:rPr>
  </w:style>
  <w:style w:type="character" w:customStyle="1" w:styleId="CommentTextChar">
    <w:name w:val="Comment Text Char"/>
    <w:basedOn w:val="DefaultParagraphFont"/>
    <w:link w:val="CommentText"/>
    <w:uiPriority w:val="99"/>
    <w:rsid w:val="00A61D19"/>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A61D19"/>
    <w:rPr>
      <w:b/>
      <w:bCs/>
    </w:rPr>
  </w:style>
  <w:style w:type="character" w:customStyle="1" w:styleId="CommentSubjectChar">
    <w:name w:val="Comment Subject Char"/>
    <w:basedOn w:val="CommentTextChar"/>
    <w:link w:val="CommentSubject"/>
    <w:uiPriority w:val="99"/>
    <w:semiHidden/>
    <w:rsid w:val="00A61D19"/>
    <w:rPr>
      <w:rFonts w:ascii="Calibri" w:hAnsi="Calibri"/>
      <w:b/>
      <w:bCs/>
      <w:lang w:val="en-GB" w:eastAsia="en-US"/>
    </w:rPr>
  </w:style>
  <w:style w:type="paragraph" w:customStyle="1" w:styleId="NumberedParagraph">
    <w:name w:val="Numbered Paragraph"/>
    <w:basedOn w:val="ListParagraph"/>
    <w:link w:val="NumberedParagraphChar"/>
    <w:rsid w:val="00A61D19"/>
    <w:pPr>
      <w:spacing w:after="120"/>
      <w:ind w:left="0"/>
      <w:contextualSpacing w:val="0"/>
    </w:pPr>
    <w:rPr>
      <w:rFonts w:cs="Calibri"/>
    </w:rPr>
  </w:style>
  <w:style w:type="character" w:customStyle="1" w:styleId="ListParagraphChar">
    <w:name w:val="List Paragraph Char"/>
    <w:basedOn w:val="DefaultParagraphFont"/>
    <w:link w:val="ListParagraph"/>
    <w:uiPriority w:val="34"/>
    <w:rsid w:val="00A61D19"/>
    <w:rPr>
      <w:rFonts w:ascii="Calibri" w:hAnsi="Calibri"/>
      <w:sz w:val="24"/>
      <w:lang w:val="en-GB" w:eastAsia="en-US"/>
    </w:rPr>
  </w:style>
  <w:style w:type="character" w:customStyle="1" w:styleId="NumberedParagraphChar">
    <w:name w:val="Numbered Paragraph Char"/>
    <w:basedOn w:val="ListParagraphChar"/>
    <w:link w:val="NumberedParagraph"/>
    <w:rsid w:val="00A61D19"/>
    <w:rPr>
      <w:rFonts w:ascii="Calibri" w:hAnsi="Calibri" w:cs="Calibri"/>
      <w:sz w:val="24"/>
      <w:lang w:val="en-GB" w:eastAsia="en-US"/>
    </w:rPr>
  </w:style>
  <w:style w:type="paragraph" w:customStyle="1" w:styleId="ChairAction">
    <w:name w:val="Chair Action"/>
    <w:basedOn w:val="NumberedParagraph"/>
    <w:link w:val="ChairActionChar"/>
    <w:rsid w:val="00A61D19"/>
    <w:pPr>
      <w:pBdr>
        <w:top w:val="single" w:sz="4" w:space="1" w:color="auto"/>
        <w:left w:val="single" w:sz="4" w:space="4" w:color="auto"/>
        <w:bottom w:val="single" w:sz="4" w:space="1" w:color="auto"/>
        <w:right w:val="single" w:sz="4" w:space="4" w:color="auto"/>
      </w:pBdr>
    </w:pPr>
  </w:style>
  <w:style w:type="character" w:customStyle="1" w:styleId="ChairActionChar">
    <w:name w:val="Chair Action Char"/>
    <w:basedOn w:val="ListParagraphChar"/>
    <w:link w:val="ChairAction"/>
    <w:rsid w:val="00A61D19"/>
    <w:rPr>
      <w:rFonts w:ascii="Calibri" w:hAnsi="Calibri" w:cs="Calibri"/>
      <w:sz w:val="24"/>
      <w:lang w:val="en-GB" w:eastAsia="en-US"/>
    </w:rPr>
  </w:style>
  <w:style w:type="paragraph" w:customStyle="1" w:styleId="Summary">
    <w:name w:val="Summary"/>
    <w:basedOn w:val="Normal"/>
    <w:link w:val="SummaryChar"/>
    <w:rsid w:val="00A61D19"/>
    <w:pPr>
      <w:keepLines/>
      <w:tabs>
        <w:tab w:val="clear" w:pos="794"/>
        <w:tab w:val="clear" w:pos="1191"/>
        <w:tab w:val="clear" w:pos="1588"/>
        <w:tab w:val="clear" w:pos="1985"/>
      </w:tabs>
      <w:overflowPunct/>
      <w:autoSpaceDE/>
      <w:autoSpaceDN/>
      <w:adjustRightInd/>
      <w:spacing w:after="120"/>
      <w:jc w:val="both"/>
      <w:textAlignment w:val="auto"/>
    </w:pPr>
    <w:rPr>
      <w:rFonts w:eastAsiaTheme="minorHAnsi" w:cstheme="minorBidi"/>
      <w:kern w:val="2"/>
      <w:sz w:val="24"/>
      <w:szCs w:val="22"/>
      <w:lang w:val="en-US"/>
      <w14:ligatures w14:val="standardContextual"/>
    </w:rPr>
  </w:style>
  <w:style w:type="character" w:customStyle="1" w:styleId="SummaryChar">
    <w:name w:val="Summary Char"/>
    <w:basedOn w:val="DefaultParagraphFont"/>
    <w:link w:val="Summary"/>
    <w:rsid w:val="00A61D19"/>
    <w:rPr>
      <w:rFonts w:ascii="Calibri" w:eastAsiaTheme="minorHAnsi" w:hAnsi="Calibri" w:cstheme="minorBidi"/>
      <w:kern w:val="2"/>
      <w:sz w:val="24"/>
      <w:szCs w:val="22"/>
      <w:lang w:eastAsia="en-US"/>
      <w14:ligatures w14:val="standardContextual"/>
    </w:rPr>
  </w:style>
  <w:style w:type="character" w:customStyle="1" w:styleId="Mention1">
    <w:name w:val="Mention1"/>
    <w:basedOn w:val="DefaultParagraphFont"/>
    <w:uiPriority w:val="99"/>
    <w:unhideWhenUsed/>
    <w:rsid w:val="00A61D19"/>
    <w:rPr>
      <w:color w:val="2B579A"/>
      <w:shd w:val="clear" w:color="auto" w:fill="E1DFDD"/>
    </w:rPr>
  </w:style>
  <w:style w:type="character" w:customStyle="1" w:styleId="FooterChar">
    <w:name w:val="Footer Char"/>
    <w:basedOn w:val="DefaultParagraphFont"/>
    <w:link w:val="Footer"/>
    <w:uiPriority w:val="99"/>
    <w:rsid w:val="00A61D19"/>
    <w:rPr>
      <w:rFonts w:ascii="Calibri" w:hAnsi="Calibri"/>
      <w:caps/>
      <w:noProof/>
      <w:sz w:val="16"/>
      <w:lang w:val="fr-FR" w:eastAsia="en-US"/>
    </w:rPr>
  </w:style>
  <w:style w:type="paragraph" w:customStyle="1" w:styleId="Tablefin">
    <w:name w:val="Table_fin"/>
    <w:basedOn w:val="Tabletext"/>
    <w:rsid w:val="00A61D1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sz w:val="22"/>
    </w:rPr>
  </w:style>
  <w:style w:type="paragraph" w:styleId="BalloonText">
    <w:name w:val="Balloon Text"/>
    <w:basedOn w:val="Normal"/>
    <w:link w:val="BalloonTextChar"/>
    <w:semiHidden/>
    <w:unhideWhenUsed/>
    <w:rsid w:val="00A61D19"/>
    <w:pPr>
      <w:tabs>
        <w:tab w:val="clear" w:pos="794"/>
        <w:tab w:val="clear" w:pos="1191"/>
        <w:tab w:val="clear" w:pos="1588"/>
        <w:tab w:val="clear" w:pos="1985"/>
        <w:tab w:val="left" w:pos="567"/>
        <w:tab w:val="left" w:pos="1134"/>
        <w:tab w:val="left" w:pos="1701"/>
        <w:tab w:val="left" w:pos="2268"/>
        <w:tab w:val="left" w:pos="2835"/>
      </w:tabs>
      <w:spacing w:before="0"/>
    </w:pPr>
    <w:rPr>
      <w:rFonts w:ascii="Tahoma" w:hAnsi="Tahoma" w:cs="Tahoma"/>
      <w:sz w:val="16"/>
      <w:szCs w:val="16"/>
    </w:rPr>
  </w:style>
  <w:style w:type="character" w:customStyle="1" w:styleId="BalloonTextChar">
    <w:name w:val="Balloon Text Char"/>
    <w:basedOn w:val="DefaultParagraphFont"/>
    <w:link w:val="BalloonText"/>
    <w:semiHidden/>
    <w:rsid w:val="00A61D1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14/en" TargetMode="External"/><Relationship Id="rId21" Type="http://schemas.openxmlformats.org/officeDocument/2006/relationships/hyperlink" Target="https://www.itu.int/md/S25-CWGFHR21-C-0003/en" TargetMode="External"/><Relationship Id="rId42" Type="http://schemas.openxmlformats.org/officeDocument/2006/relationships/hyperlink" Target="https://www.itu.int/md/S25-CWGFHR21-C-0006/en" TargetMode="External"/><Relationship Id="rId63" Type="http://schemas.openxmlformats.org/officeDocument/2006/relationships/hyperlink" Target="https://www.itu.int/md/S26-CWGFHR22-C-0023/en" TargetMode="External"/><Relationship Id="rId84" Type="http://schemas.openxmlformats.org/officeDocument/2006/relationships/hyperlink" Target="https://www.itu.int/md/S26-CWGFHR22-C-0019/en" TargetMode="External"/><Relationship Id="rId138" Type="http://schemas.openxmlformats.org/officeDocument/2006/relationships/hyperlink" Target="https://www.itu.int/md/S25-CWGFHR21-C-0013/en" TargetMode="External"/><Relationship Id="rId159" Type="http://schemas.openxmlformats.org/officeDocument/2006/relationships/hyperlink" Target="https://www.itu.int/md/S25-CWGFHR21-C-0022/en" TargetMode="External"/><Relationship Id="rId170" Type="http://schemas.openxmlformats.org/officeDocument/2006/relationships/hyperlink" Target="https://www.itu.int/md/S26-CWGFHR22-C-0025/en" TargetMode="External"/><Relationship Id="rId107" Type="http://schemas.openxmlformats.org/officeDocument/2006/relationships/hyperlink" Target="https://www.itu.int/md/S26-CWGFHR22-C-0015/en" TargetMode="External"/><Relationship Id="rId11" Type="http://schemas.openxmlformats.org/officeDocument/2006/relationships/hyperlink" Target="https://www.itu.int/md/S25-CWGFHR21-INF-0003/en" TargetMode="External"/><Relationship Id="rId32" Type="http://schemas.openxmlformats.org/officeDocument/2006/relationships/hyperlink" Target="https://www.itu.int/md/S26-CWGFHR22-C-0004/en" TargetMode="External"/><Relationship Id="rId53" Type="http://schemas.openxmlformats.org/officeDocument/2006/relationships/hyperlink" Target="https://www.itu.int/md/S26-CWGFHR22-C-0008/en" TargetMode="External"/><Relationship Id="rId74" Type="http://schemas.openxmlformats.org/officeDocument/2006/relationships/hyperlink" Target="https://www.itu.int/md/S26-CWGFHR22-C-0009/en" TargetMode="External"/><Relationship Id="rId128" Type="http://schemas.openxmlformats.org/officeDocument/2006/relationships/hyperlink" Target="https://www.itu.int/md/S26-CWGFHR22-C-0002/en" TargetMode="External"/><Relationship Id="rId149" Type="http://schemas.openxmlformats.org/officeDocument/2006/relationships/hyperlink" Target="https://www.itu.int/md/S25-CWGFHR21-C-0016/en" TargetMode="External"/><Relationship Id="rId5" Type="http://schemas.openxmlformats.org/officeDocument/2006/relationships/footnotes" Target="footnotes.xml"/><Relationship Id="rId95" Type="http://schemas.openxmlformats.org/officeDocument/2006/relationships/hyperlink" Target="https://www.itu.int/md/S26-CWGFHR22-C-0010/en" TargetMode="External"/><Relationship Id="rId160" Type="http://schemas.openxmlformats.org/officeDocument/2006/relationships/hyperlink" Target="https://www.itu.int/md/S25-CWGFHR21-C-0016/en" TargetMode="External"/><Relationship Id="rId181" Type="http://schemas.openxmlformats.org/officeDocument/2006/relationships/footer" Target="footer1.xml"/><Relationship Id="rId22" Type="http://schemas.openxmlformats.org/officeDocument/2006/relationships/hyperlink" Target="https://www.itu.int/md/S26-CWGFHR22-C-0013/en" TargetMode="External"/><Relationship Id="rId43" Type="http://schemas.openxmlformats.org/officeDocument/2006/relationships/hyperlink" Target="https://www.itu.int/md/S26-CWGFHR22-C-0008/en" TargetMode="External"/><Relationship Id="rId64" Type="http://schemas.openxmlformats.org/officeDocument/2006/relationships/hyperlink" Target="https://www.itu.int/md/S26-CWGFHR22-C-0028/en" TargetMode="External"/><Relationship Id="rId118" Type="http://schemas.openxmlformats.org/officeDocument/2006/relationships/hyperlink" Target="https://www.itu.int/md/S25-CL-C-0084/en" TargetMode="External"/><Relationship Id="rId139" Type="http://schemas.openxmlformats.org/officeDocument/2006/relationships/hyperlink" Target="https://www.itu.int/md/S26-CWGFHR22-C-0006/en" TargetMode="External"/><Relationship Id="rId85" Type="http://schemas.openxmlformats.org/officeDocument/2006/relationships/hyperlink" Target="https://www.itu.int/md/S25-CWGFHR21-C-0008/en" TargetMode="External"/><Relationship Id="rId150" Type="http://schemas.openxmlformats.org/officeDocument/2006/relationships/hyperlink" Target="https://www.itu.int/md/S25-CWGFHR21-C-0016/en" TargetMode="External"/><Relationship Id="rId171" Type="http://schemas.openxmlformats.org/officeDocument/2006/relationships/hyperlink" Target="https://www.itu.int/md/S26-CWGFHR22-INF-0007/en" TargetMode="External"/><Relationship Id="rId12" Type="http://schemas.openxmlformats.org/officeDocument/2006/relationships/hyperlink" Target="https://www.itu.int/md/S25-CWGFHR21-INF-0003/en" TargetMode="External"/><Relationship Id="rId33" Type="http://schemas.openxmlformats.org/officeDocument/2006/relationships/hyperlink" Target="https://www.itu.int/md/S26-CWGFHR22-C-0031/en" TargetMode="External"/><Relationship Id="rId108" Type="http://schemas.openxmlformats.org/officeDocument/2006/relationships/hyperlink" Target="https://www.itu.int/md/S26-CWGFHR22-C-0017/en" TargetMode="External"/><Relationship Id="rId129" Type="http://schemas.openxmlformats.org/officeDocument/2006/relationships/hyperlink" Target="https://www.itu.int/md/S26-CWGFHR22-C-0002/en" TargetMode="External"/><Relationship Id="rId54" Type="http://schemas.openxmlformats.org/officeDocument/2006/relationships/hyperlink" Target="https://www.itu.int/md/S26-CWGFHR22-C-0005/en" TargetMode="External"/><Relationship Id="rId75" Type="http://schemas.openxmlformats.org/officeDocument/2006/relationships/hyperlink" Target="https://www.itu.int/md/S25-CWGFHR21-C-0007/en" TargetMode="External"/><Relationship Id="rId96" Type="http://schemas.openxmlformats.org/officeDocument/2006/relationships/hyperlink" Target="https://www.itu.int/md/S26-CWGFHR22-C-0012/en" TargetMode="External"/><Relationship Id="rId140" Type="http://schemas.openxmlformats.org/officeDocument/2006/relationships/hyperlink" Target="https://www.itu.int/md/S25-CWGFHR21-C-0013/en" TargetMode="External"/><Relationship Id="rId161" Type="http://schemas.openxmlformats.org/officeDocument/2006/relationships/hyperlink" Target="https://www.itu.int/md/S25-CL-C-0035/en" TargetMode="External"/><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https://www.itu.int/md/S26-CWGFHR22-C-0007/en" TargetMode="External"/><Relationship Id="rId119" Type="http://schemas.openxmlformats.org/officeDocument/2006/relationships/hyperlink" Target="https://www.itu.int/md/S25-CL-C-0084/en" TargetMode="External"/><Relationship Id="rId44" Type="http://schemas.openxmlformats.org/officeDocument/2006/relationships/hyperlink" Target="https://www.itu.int/md/S26-CWGFHR22-C-0005/en" TargetMode="External"/><Relationship Id="rId65" Type="http://schemas.openxmlformats.org/officeDocument/2006/relationships/hyperlink" Target="https://www.itu.int/md/S25-CWGFHR21-C-0010/en" TargetMode="External"/><Relationship Id="rId86" Type="http://schemas.openxmlformats.org/officeDocument/2006/relationships/hyperlink" Target="https://www.itu.int/md/S26-CWGFHR22-C-0019/en" TargetMode="External"/><Relationship Id="rId130" Type="http://schemas.openxmlformats.org/officeDocument/2006/relationships/hyperlink" Target="https://www.itu.int/md/S26-CWGFHR22-C-0027/en" TargetMode="External"/><Relationship Id="rId151" Type="http://schemas.openxmlformats.org/officeDocument/2006/relationships/hyperlink" Target="https://www.itu.int/md/S25-CL-C-0035/en" TargetMode="External"/><Relationship Id="rId172" Type="http://schemas.openxmlformats.org/officeDocument/2006/relationships/hyperlink" Target="https://www.itu.int/md/S26-CWGFHR22-C-0020/en" TargetMode="External"/><Relationship Id="rId13" Type="http://schemas.openxmlformats.org/officeDocument/2006/relationships/hyperlink" Target="https://www.itu.int/md/S26-CWGFHR22-INF-0004/en" TargetMode="External"/><Relationship Id="rId18" Type="http://schemas.openxmlformats.org/officeDocument/2006/relationships/hyperlink" Target="https://www.itu.int/md/S25-CWGFHR21-C-0002/en" TargetMode="External"/><Relationship Id="rId39" Type="http://schemas.openxmlformats.org/officeDocument/2006/relationships/hyperlink" Target="https://www.itu.int/md/S26-CWGFHR22-C-0008/en" TargetMode="External"/><Relationship Id="rId109" Type="http://schemas.openxmlformats.org/officeDocument/2006/relationships/hyperlink" Target="https://www.itu.int/md/S26-CWGFHR22-C-0030/en" TargetMode="External"/><Relationship Id="rId34" Type="http://schemas.openxmlformats.org/officeDocument/2006/relationships/hyperlink" Target="https://www.itu.int/md/S26-CWGFHR22-C-0004/en" TargetMode="External"/><Relationship Id="rId50" Type="http://schemas.openxmlformats.org/officeDocument/2006/relationships/hyperlink" Target="https://www.itu.int/md/S26-CWGFHR22-C-0008/en" TargetMode="External"/><Relationship Id="rId55" Type="http://schemas.openxmlformats.org/officeDocument/2006/relationships/hyperlink" Target="https://www.itu.int/md/S26-CWGFHR22-C-0024/en" TargetMode="External"/><Relationship Id="rId76" Type="http://schemas.openxmlformats.org/officeDocument/2006/relationships/hyperlink" Target="https://www.itu.int/md/S26-CWGFHR22-C-0009/en" TargetMode="External"/><Relationship Id="rId97" Type="http://schemas.openxmlformats.org/officeDocument/2006/relationships/hyperlink" Target="https://www.itu.int/md/S25-CL-C-0085/en" TargetMode="External"/><Relationship Id="rId104" Type="http://schemas.openxmlformats.org/officeDocument/2006/relationships/hyperlink" Target="https://www.itu.int/md/S26-CWGFHR22-C-0015/en" TargetMode="External"/><Relationship Id="rId120" Type="http://schemas.openxmlformats.org/officeDocument/2006/relationships/hyperlink" Target="https://www.itu.int/md/S25-CWGFHR21-C-0020/en" TargetMode="External"/><Relationship Id="rId125" Type="http://schemas.openxmlformats.org/officeDocument/2006/relationships/hyperlink" Target="https://www.itu.int/md/S25-CWGFHR21-C-0020/en" TargetMode="External"/><Relationship Id="rId141" Type="http://schemas.openxmlformats.org/officeDocument/2006/relationships/hyperlink" Target="https://www.itu.int/md/S26-CWGFHR22-C-0006/en" TargetMode="External"/><Relationship Id="rId146" Type="http://schemas.openxmlformats.org/officeDocument/2006/relationships/hyperlink" Target="https://www.itu.int/md/S25-CWGFHR21-C-0019/en" TargetMode="External"/><Relationship Id="rId167" Type="http://schemas.openxmlformats.org/officeDocument/2006/relationships/hyperlink" Target="https://www.itu.int/md/S26-CWGFHR22-C-0025/en" TargetMode="External"/><Relationship Id="rId7" Type="http://schemas.openxmlformats.org/officeDocument/2006/relationships/hyperlink" Target="https://www.itu.int/md/S25-CWGFHR21-C-0025/en" TargetMode="External"/><Relationship Id="rId71" Type="http://schemas.openxmlformats.org/officeDocument/2006/relationships/hyperlink" Target="https://www.itu.int/md/S26-CWGFHR22-C-0028/en" TargetMode="External"/><Relationship Id="rId92" Type="http://schemas.openxmlformats.org/officeDocument/2006/relationships/hyperlink" Target="https://www.itu.int/md/S26-CWGFHR22-C-0010/en" TargetMode="External"/><Relationship Id="rId162" Type="http://schemas.openxmlformats.org/officeDocument/2006/relationships/hyperlink" Target="https://www.itu.int/md/S26-CWGFHR22-C-0021/en" TargetMode="External"/><Relationship Id="rId183"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itu.int/md/S26-CWGFHR22-C-0004/en" TargetMode="External"/><Relationship Id="rId24" Type="http://schemas.openxmlformats.org/officeDocument/2006/relationships/hyperlink" Target="https://www.itu.int/md/S25-CWGFHR21-C-0003/en" TargetMode="External"/><Relationship Id="rId40" Type="http://schemas.openxmlformats.org/officeDocument/2006/relationships/hyperlink" Target="https://www.itu.int/md/S26-CWGFHR22-C-0005/en" TargetMode="External"/><Relationship Id="rId45" Type="http://schemas.openxmlformats.org/officeDocument/2006/relationships/hyperlink" Target="https://www.itu.int/md/S25-CWGFHR21-C-0018/en" TargetMode="External"/><Relationship Id="rId66" Type="http://schemas.openxmlformats.org/officeDocument/2006/relationships/hyperlink" Target="https://www.itu.int/md/S26-CWGFHR22-C-0013/en" TargetMode="External"/><Relationship Id="rId87" Type="http://schemas.openxmlformats.org/officeDocument/2006/relationships/hyperlink" Target="https://www.itu.int/md/S25-CL-C-0095/en" TargetMode="External"/><Relationship Id="rId110" Type="http://schemas.openxmlformats.org/officeDocument/2006/relationships/hyperlink" Target="https://www.itu.int/md/S26-CWGFHR22-C-0030/en" TargetMode="External"/><Relationship Id="rId115" Type="http://schemas.openxmlformats.org/officeDocument/2006/relationships/hyperlink" Target="https://www.itu.int/md/S26-CWGFHR22-C-0030/en" TargetMode="External"/><Relationship Id="rId131" Type="http://schemas.openxmlformats.org/officeDocument/2006/relationships/hyperlink" Target="https://www.itu.int/md/S26-CWGFHR22-C-0027/en" TargetMode="External"/><Relationship Id="rId136" Type="http://schemas.openxmlformats.org/officeDocument/2006/relationships/hyperlink" Target="https://www.itu.int/md/S26-CWGFHR22-C-0033/en" TargetMode="External"/><Relationship Id="rId157" Type="http://schemas.openxmlformats.org/officeDocument/2006/relationships/hyperlink" Target="https://www.itu.int/md/S25-CWGFHR21-C-0016/en" TargetMode="External"/><Relationship Id="rId178" Type="http://schemas.openxmlformats.org/officeDocument/2006/relationships/hyperlink" Target="https://www.itu.int/md/S25-CL-C-0038/en" TargetMode="External"/><Relationship Id="rId61" Type="http://schemas.openxmlformats.org/officeDocument/2006/relationships/hyperlink" Target="https://www.itu.int/md/S25-CWGFHR21-C-0010/en" TargetMode="External"/><Relationship Id="rId82" Type="http://schemas.openxmlformats.org/officeDocument/2006/relationships/hyperlink" Target="https://www.itu.int/md/S25-CWGFHR21-C-0023/en" TargetMode="External"/><Relationship Id="rId152" Type="http://schemas.openxmlformats.org/officeDocument/2006/relationships/hyperlink" Target="https://www.itu.int/md/S25-CWGFHR21-C-0016/en" TargetMode="External"/><Relationship Id="rId173" Type="http://schemas.openxmlformats.org/officeDocument/2006/relationships/hyperlink" Target="https://www.itu.int/md/S26-CWGFHR22-C-0020/en" TargetMode="External"/><Relationship Id="rId19" Type="http://schemas.openxmlformats.org/officeDocument/2006/relationships/hyperlink" Target="https://www.itu.int/md/S25-CWGFHR21-C-0002/en" TargetMode="External"/><Relationship Id="rId14" Type="http://schemas.openxmlformats.org/officeDocument/2006/relationships/hyperlink" Target="https://www.itu.int/md/S25-CWGFHR21-C-0002/en" TargetMode="External"/><Relationship Id="rId30" Type="http://schemas.openxmlformats.org/officeDocument/2006/relationships/hyperlink" Target="https://www.itu.int/md/S26-CWGFHR22-C-0031/en" TargetMode="External"/><Relationship Id="rId35" Type="http://schemas.openxmlformats.org/officeDocument/2006/relationships/hyperlink" Target="https://www.itu.int/md/S26-CWGFHR22-C-0004/en" TargetMode="External"/><Relationship Id="rId56" Type="http://schemas.openxmlformats.org/officeDocument/2006/relationships/hyperlink" Target="https://www.itu.int/md/S26-CWGFHR22-C-0024/en" TargetMode="External"/><Relationship Id="rId77" Type="http://schemas.openxmlformats.org/officeDocument/2006/relationships/hyperlink" Target="https://www.itu.int/md/S25-CWGFHR21-C-0015/en" TargetMode="External"/><Relationship Id="rId100" Type="http://schemas.openxmlformats.org/officeDocument/2006/relationships/hyperlink" Target="https://www.itu.int/md/S26-CWGFHR22-C-0010/en" TargetMode="External"/><Relationship Id="rId105" Type="http://schemas.openxmlformats.org/officeDocument/2006/relationships/hyperlink" Target="https://www.itu.int/md/S26-CWGFHR22-C-0017/en" TargetMode="External"/><Relationship Id="rId126" Type="http://schemas.openxmlformats.org/officeDocument/2006/relationships/hyperlink" Target="http://council.itu.int/2026/wp-content/uploads/sites/6/2025/12/Satellite-Network-Filings-cwg-fhr-16-December-2025.pptx" TargetMode="External"/><Relationship Id="rId147" Type="http://schemas.openxmlformats.org/officeDocument/2006/relationships/hyperlink" Target="https://www.itu.int/md/S26-CWGFHR22-C-0011/en" TargetMode="External"/><Relationship Id="rId168" Type="http://schemas.openxmlformats.org/officeDocument/2006/relationships/hyperlink" Target="https://www.itu.int/md/S26-CWGFHR22-C-0025/en" TargetMode="External"/><Relationship Id="rId8" Type="http://schemas.openxmlformats.org/officeDocument/2006/relationships/hyperlink" Target="https://www.itu.int/md/S26-CWGFHR22-C-0036/en" TargetMode="External"/><Relationship Id="rId51" Type="http://schemas.openxmlformats.org/officeDocument/2006/relationships/hyperlink" Target="https://www.itu.int/md/S26-CWGFHR22-C-0005/en" TargetMode="External"/><Relationship Id="rId72" Type="http://schemas.openxmlformats.org/officeDocument/2006/relationships/hyperlink" Target="https://www.itu.int/md/S26-CWGFHR22-C-0028/en" TargetMode="External"/><Relationship Id="rId93" Type="http://schemas.openxmlformats.org/officeDocument/2006/relationships/hyperlink" Target="https://www.itu.int/md/S26-CWGFHR22-C-0012/en" TargetMode="External"/><Relationship Id="rId98" Type="http://schemas.openxmlformats.org/officeDocument/2006/relationships/hyperlink" Target="https://www.itu.int/md/S25-CL-C-0085/en" TargetMode="External"/><Relationship Id="rId121" Type="http://schemas.openxmlformats.org/officeDocument/2006/relationships/hyperlink" Target="https://www.itu.int/md/S26-CWGFHR22-C-0002/en" TargetMode="External"/><Relationship Id="rId142" Type="http://schemas.openxmlformats.org/officeDocument/2006/relationships/hyperlink" Target="https://www.itu.int/md/S26-CWGFHR22-INF-0002/en" TargetMode="External"/><Relationship Id="rId163" Type="http://schemas.openxmlformats.org/officeDocument/2006/relationships/hyperlink" Target="https://www.itu.int/md/S26-CWGFHR22-C-0021/en"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itu.int/md/S26-CWGFHR22-C-0013/en" TargetMode="External"/><Relationship Id="rId46" Type="http://schemas.openxmlformats.org/officeDocument/2006/relationships/hyperlink" Target="https://www.itu.int/md/S25-CWGFHR21-C-0021/en" TargetMode="External"/><Relationship Id="rId67" Type="http://schemas.openxmlformats.org/officeDocument/2006/relationships/hyperlink" Target="https://www.itu.int/md/S26-CWGFHR22-C-0023/en" TargetMode="External"/><Relationship Id="rId116" Type="http://schemas.openxmlformats.org/officeDocument/2006/relationships/hyperlink" Target="https://www.itu.int/md/S26-CWGFHR22-C-0014/en" TargetMode="External"/><Relationship Id="rId137" Type="http://schemas.openxmlformats.org/officeDocument/2006/relationships/hyperlink" Target="https://www.itu.int/md/S26-CWGFHR22-C-0033/en" TargetMode="External"/><Relationship Id="rId158" Type="http://schemas.openxmlformats.org/officeDocument/2006/relationships/hyperlink" Target="https://www.itu.int/md/S25-CL-C-0035/en" TargetMode="External"/><Relationship Id="rId20" Type="http://schemas.openxmlformats.org/officeDocument/2006/relationships/hyperlink" Target="https://www.itu.int/en/ethics/pages/default.aspx" TargetMode="External"/><Relationship Id="rId41" Type="http://schemas.openxmlformats.org/officeDocument/2006/relationships/hyperlink" Target="https://www.itu.int/md/S25-CWGFHR21-C-0005/en" TargetMode="External"/><Relationship Id="rId62" Type="http://schemas.openxmlformats.org/officeDocument/2006/relationships/hyperlink" Target="https://www.itu.int/md/S26-CWGFHR22-C-0013/en" TargetMode="External"/><Relationship Id="rId83" Type="http://schemas.openxmlformats.org/officeDocument/2006/relationships/hyperlink" Target="https://www.itu.int/md/S25-CWGFHR21-C-0008/en" TargetMode="External"/><Relationship Id="rId88" Type="http://schemas.openxmlformats.org/officeDocument/2006/relationships/hyperlink" Target="https://www.itu.int/md/S25-CL-C-0095/en" TargetMode="External"/><Relationship Id="rId111" Type="http://schemas.openxmlformats.org/officeDocument/2006/relationships/hyperlink" Target="https://www.itu.int/md/S26-CWGFHR22-C-0030/en" TargetMode="External"/><Relationship Id="rId132" Type="http://schemas.openxmlformats.org/officeDocument/2006/relationships/hyperlink" Target="https://www.itu.int/md/S26-CWGFHR22-C-0029/en" TargetMode="External"/><Relationship Id="rId153" Type="http://schemas.openxmlformats.org/officeDocument/2006/relationships/hyperlink" Target="https://www.itu.int/md/S25-CL-C-0035/en" TargetMode="External"/><Relationship Id="rId174" Type="http://schemas.openxmlformats.org/officeDocument/2006/relationships/hyperlink" Target="https://www.itu.int/md/S26-CWGFHR22-C-0026/en" TargetMode="External"/><Relationship Id="rId179" Type="http://schemas.openxmlformats.org/officeDocument/2006/relationships/hyperlink" Target="https://www.itu.int/md/S25-CWGFHR21-C-0024/en" TargetMode="External"/><Relationship Id="rId15" Type="http://schemas.openxmlformats.org/officeDocument/2006/relationships/hyperlink" Target="https://www.itu.int/md/S25-CWGFHR21-INF-0002/en" TargetMode="External"/><Relationship Id="rId36" Type="http://schemas.openxmlformats.org/officeDocument/2006/relationships/hyperlink" Target="https://www.itu.int/md/S26-CWGFHR22-C-0031/en" TargetMode="External"/><Relationship Id="rId57" Type="http://schemas.openxmlformats.org/officeDocument/2006/relationships/hyperlink" Target="https://www.itu.int/md/S26-CWGFHR22-C-0008/en" TargetMode="External"/><Relationship Id="rId106" Type="http://schemas.openxmlformats.org/officeDocument/2006/relationships/hyperlink" Target="https://www.itu.int/md/S25-CWGFHR21-C-0011/en" TargetMode="External"/><Relationship Id="rId127" Type="http://schemas.openxmlformats.org/officeDocument/2006/relationships/hyperlink" Target="http://council.itu.int/2026/wp-content/uploads/sites/6/2025/12/Satellite-Network-Filings-cwg-fhr-16-December-2025.pptx" TargetMode="External"/><Relationship Id="rId10" Type="http://schemas.openxmlformats.org/officeDocument/2006/relationships/hyperlink" Target="https://www.itu.int/md/S23-CL-C-0129/en" TargetMode="External"/><Relationship Id="rId31" Type="http://schemas.openxmlformats.org/officeDocument/2006/relationships/hyperlink" Target="https://www.itu.int/md/S25-CWGFHR21-C-0004/en" TargetMode="External"/><Relationship Id="rId52" Type="http://schemas.openxmlformats.org/officeDocument/2006/relationships/hyperlink" Target="https://www.itu.int/md/S26-CWGFHR22-C-0022/en" TargetMode="External"/><Relationship Id="rId73" Type="http://schemas.openxmlformats.org/officeDocument/2006/relationships/hyperlink" Target="https://www.itu.int/md/S25-CWGFHR21-C-0007/en" TargetMode="External"/><Relationship Id="rId78" Type="http://schemas.openxmlformats.org/officeDocument/2006/relationships/hyperlink" Target="https://www.itu.int/md/S25-CWGFHR21-C-0015/en" TargetMode="External"/><Relationship Id="rId94" Type="http://schemas.openxmlformats.org/officeDocument/2006/relationships/hyperlink" Target="https://www.itu.int/md/S25-CL-C-0085/en" TargetMode="External"/><Relationship Id="rId99" Type="http://schemas.openxmlformats.org/officeDocument/2006/relationships/hyperlink" Target="https://www.itu.int/md/S26-CWGFHR22-C-0010/en" TargetMode="External"/><Relationship Id="rId101" Type="http://schemas.openxmlformats.org/officeDocument/2006/relationships/hyperlink" Target="https://www.itu.int/md/S26-CWGFHR22-C-0012/en" TargetMode="External"/><Relationship Id="rId122" Type="http://schemas.openxmlformats.org/officeDocument/2006/relationships/hyperlink" Target="https://www.itu.int/md/S25-CWGFHR21-C-0020/en" TargetMode="External"/><Relationship Id="rId143" Type="http://schemas.openxmlformats.org/officeDocument/2006/relationships/hyperlink" Target="https://www.itu.int/md/S26-CWGFHR22-INF-0002/en" TargetMode="External"/><Relationship Id="rId148" Type="http://schemas.openxmlformats.org/officeDocument/2006/relationships/hyperlink" Target="https://www.itu.int/md/S25-CWGFHR21-C-0016/en" TargetMode="External"/><Relationship Id="rId164" Type="http://schemas.openxmlformats.org/officeDocument/2006/relationships/hyperlink" Target="https://www.itu.int/md/S26-CWGFHR22-C-0021/en" TargetMode="External"/><Relationship Id="rId169" Type="http://schemas.openxmlformats.org/officeDocument/2006/relationships/hyperlink" Target="https://www.itu.int/md/S26-CWGFHR22-INF-0007/en"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C-0129/en" TargetMode="External"/><Relationship Id="rId180" Type="http://schemas.openxmlformats.org/officeDocument/2006/relationships/hyperlink" Target="https://www.itu.int/md/S25-CWGFHR21-C-0024/en" TargetMode="External"/><Relationship Id="rId26" Type="http://schemas.openxmlformats.org/officeDocument/2006/relationships/hyperlink" Target="https://www.itu.int/md/S26-CWGFHR22-C-0007/en" TargetMode="External"/><Relationship Id="rId47" Type="http://schemas.openxmlformats.org/officeDocument/2006/relationships/hyperlink" Target="https://www.itu.int/md/S25-CWGFHR21-C-0018/en" TargetMode="External"/><Relationship Id="rId68" Type="http://schemas.openxmlformats.org/officeDocument/2006/relationships/hyperlink" Target="https://www.itu.int/md/S26-CWGFHR22-C-0028/en" TargetMode="External"/><Relationship Id="rId89" Type="http://schemas.openxmlformats.org/officeDocument/2006/relationships/hyperlink" Target="https://www.itu.int/md/S26-CWGFHR22-C-0019/en" TargetMode="External"/><Relationship Id="rId112" Type="http://schemas.openxmlformats.org/officeDocument/2006/relationships/hyperlink" Target="https://www.itu.int/md/S26-CWGFHR22-C-0030/en" TargetMode="External"/><Relationship Id="rId133" Type="http://schemas.openxmlformats.org/officeDocument/2006/relationships/hyperlink" Target="https://www.itu.int/md/S26-CWGFHR22-C-0029/en" TargetMode="External"/><Relationship Id="rId154" Type="http://schemas.openxmlformats.org/officeDocument/2006/relationships/hyperlink" Target="https://www.itu.int/md/S25-CWGFHR21-C-0022/en" TargetMode="External"/><Relationship Id="rId175" Type="http://schemas.openxmlformats.org/officeDocument/2006/relationships/hyperlink" Target="https://www.itu.int/md/S26-CWGFHR22-C-0026/en" TargetMode="External"/><Relationship Id="rId16" Type="http://schemas.openxmlformats.org/officeDocument/2006/relationships/hyperlink" Target="https://www.itu.int/md/S25-CWGFHR21-C-0002/en" TargetMode="External"/><Relationship Id="rId37" Type="http://schemas.openxmlformats.org/officeDocument/2006/relationships/hyperlink" Target="https://www.itu.int/md/S25-CWGFHR21-C-0005/en" TargetMode="External"/><Relationship Id="rId58" Type="http://schemas.openxmlformats.org/officeDocument/2006/relationships/hyperlink" Target="https://www.itu.int/md/S26-CWGFHR22-C-0008/en" TargetMode="External"/><Relationship Id="rId79" Type="http://schemas.openxmlformats.org/officeDocument/2006/relationships/hyperlink" Target="https://www.itu.int/md/S25-CWGFHR21-C-0017/en" TargetMode="External"/><Relationship Id="rId102" Type="http://schemas.openxmlformats.org/officeDocument/2006/relationships/hyperlink" Target="https://www.itu.int/md/S26-CWGFHR22-C-0012/en" TargetMode="External"/><Relationship Id="rId123" Type="http://schemas.openxmlformats.org/officeDocument/2006/relationships/hyperlink" Target="https://www.itu.int/md/S26-CWGFHR22-C-0002/en" TargetMode="External"/><Relationship Id="rId144" Type="http://schemas.openxmlformats.org/officeDocument/2006/relationships/hyperlink" Target="https://www.itu.int/md/S25-CWGFHR21-C-0019/en" TargetMode="External"/><Relationship Id="rId90" Type="http://schemas.openxmlformats.org/officeDocument/2006/relationships/hyperlink" Target="https://www.itu.int/md/S26-CWGFHR22-C-0019/en" TargetMode="External"/><Relationship Id="rId165" Type="http://schemas.openxmlformats.org/officeDocument/2006/relationships/hyperlink" Target="https://www.itu.int/md/S26-CWGFHR22-C-0021/en" TargetMode="External"/><Relationship Id="rId27" Type="http://schemas.openxmlformats.org/officeDocument/2006/relationships/hyperlink" Target="https://www.itu.int/md/S26-CWGFHR22-C-0007/en" TargetMode="External"/><Relationship Id="rId48" Type="http://schemas.openxmlformats.org/officeDocument/2006/relationships/hyperlink" Target="https://www.itu.int/md/S25-CWGFHR21-C-0021/en" TargetMode="External"/><Relationship Id="rId69" Type="http://schemas.openxmlformats.org/officeDocument/2006/relationships/hyperlink" Target="https://www.itu.int/md/S26-CWGFHR22-C-0023/en" TargetMode="External"/><Relationship Id="rId113" Type="http://schemas.openxmlformats.org/officeDocument/2006/relationships/hyperlink" Target="https://www.itu.int/md/S26-CWGFHR22-C-0015/en" TargetMode="External"/><Relationship Id="rId134" Type="http://schemas.openxmlformats.org/officeDocument/2006/relationships/hyperlink" Target="https://www.itu.int/md/S26-CWGFHR22-C-0032/en" TargetMode="External"/><Relationship Id="rId80" Type="http://schemas.openxmlformats.org/officeDocument/2006/relationships/hyperlink" Target="https://www.itu.int/md/S25-CWGFHR21-C-0017/en" TargetMode="External"/><Relationship Id="rId155" Type="http://schemas.openxmlformats.org/officeDocument/2006/relationships/hyperlink" Target="https://www.itu.int/md/S25-CWGFHR21-C-0022/en" TargetMode="External"/><Relationship Id="rId176" Type="http://schemas.openxmlformats.org/officeDocument/2006/relationships/hyperlink" Target="https://www.itu.int/md/S26-CWGFHR22-C-0003/en" TargetMode="External"/><Relationship Id="rId17" Type="http://schemas.openxmlformats.org/officeDocument/2006/relationships/hyperlink" Target="https://www.itu.int/md/S25-CWGFHR21-INF-0002/en" TargetMode="External"/><Relationship Id="rId38" Type="http://schemas.openxmlformats.org/officeDocument/2006/relationships/hyperlink" Target="https://www.itu.int/md/S25-CWGFHR21-C-0006/en" TargetMode="External"/><Relationship Id="rId59" Type="http://schemas.openxmlformats.org/officeDocument/2006/relationships/hyperlink" Target="https://www.itu.int/md/S26-CWGFHR22-C-0008/en" TargetMode="External"/><Relationship Id="rId103" Type="http://schemas.openxmlformats.org/officeDocument/2006/relationships/hyperlink" Target="https://www.itu.int/md/S25-CWGFHR21-C-0011/en" TargetMode="External"/><Relationship Id="rId124" Type="http://schemas.openxmlformats.org/officeDocument/2006/relationships/hyperlink" Target="https://www.itu.int/md/S25-CWGFHR21-C-0020/en" TargetMode="External"/><Relationship Id="rId70" Type="http://schemas.openxmlformats.org/officeDocument/2006/relationships/hyperlink" Target="https://www.itu.int/md/S26-CWGFHR22-C-0023/en" TargetMode="External"/><Relationship Id="rId91" Type="http://schemas.openxmlformats.org/officeDocument/2006/relationships/hyperlink" Target="https://www.itu.int/md/S25-CL-C-0085/en" TargetMode="External"/><Relationship Id="rId145" Type="http://schemas.openxmlformats.org/officeDocument/2006/relationships/hyperlink" Target="https://www.itu.int/md/S26-CWGFHR22-C-0011/en" TargetMode="External"/><Relationship Id="rId166" Type="http://schemas.openxmlformats.org/officeDocument/2006/relationships/hyperlink" Target="https://www.itu.int/md/S26-CWGFHR22-C-0025/en" TargetMode="External"/><Relationship Id="rId1" Type="http://schemas.openxmlformats.org/officeDocument/2006/relationships/numbering" Target="numbering.xml"/><Relationship Id="rId28" Type="http://schemas.openxmlformats.org/officeDocument/2006/relationships/hyperlink" Target="https://www.itu.int/md/S25-CWGFHR21-C-0004/en" TargetMode="External"/><Relationship Id="rId49" Type="http://schemas.openxmlformats.org/officeDocument/2006/relationships/hyperlink" Target="https://www.itu.int/md/S26-CWGFHR22-C-0022/en" TargetMode="External"/><Relationship Id="rId114" Type="http://schemas.openxmlformats.org/officeDocument/2006/relationships/hyperlink" Target="https://www.itu.int/md/S26-CWGFHR22-C-0017/en" TargetMode="External"/><Relationship Id="rId60" Type="http://schemas.openxmlformats.org/officeDocument/2006/relationships/hyperlink" Target="https://www.itu.int/md/S26-CWGFHR22-C-0008/en" TargetMode="External"/><Relationship Id="rId81" Type="http://schemas.openxmlformats.org/officeDocument/2006/relationships/hyperlink" Target="https://www.itu.int/md/S25-CWGFHR21-C-0023/en" TargetMode="External"/><Relationship Id="rId135" Type="http://schemas.openxmlformats.org/officeDocument/2006/relationships/hyperlink" Target="https://www.itu.int/md/S26-CWGFHR22-C-0032/en" TargetMode="External"/><Relationship Id="rId156" Type="http://schemas.openxmlformats.org/officeDocument/2006/relationships/hyperlink" Target="https://www.itu.int/md/S25-CWGFHR21-C-0022/en" TargetMode="External"/><Relationship Id="rId177" Type="http://schemas.openxmlformats.org/officeDocument/2006/relationships/hyperlink" Target="https://www.itu.int/md/S26-CWGFHR22-C-000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1</TotalTime>
  <Pages>24</Pages>
  <Words>10631</Words>
  <Characters>74633</Characters>
  <Application>Microsoft Office Word</Application>
  <DocSecurity>0</DocSecurity>
  <Lines>1286</Lines>
  <Paragraphs>286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84978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dc:creator>GBS</dc:creator>
  <cp:keywords>C26; C2026; Council 2026; PP26</cp:keywords>
  <dc:description/>
  <cp:lastModifiedBy>GBS</cp:lastModifiedBy>
  <cp:revision>2</cp:revision>
  <cp:lastPrinted>2006-03-28T16:12:00Z</cp:lastPrinted>
  <dcterms:created xsi:type="dcterms:W3CDTF">2026-05-01T10:18:00Z</dcterms:created>
  <dcterms:modified xsi:type="dcterms:W3CDTF">2026-05-01T10:18:00Z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