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A1381B" w14:paraId="7FEC4CD6" w14:textId="77777777" w:rsidTr="00796BDB">
        <w:trPr>
          <w:cantSplit/>
          <w:trHeight w:val="23"/>
        </w:trPr>
        <w:tc>
          <w:tcPr>
            <w:tcW w:w="3969" w:type="dxa"/>
            <w:vMerge w:val="restart"/>
            <w:tcMar>
              <w:left w:w="0" w:type="dxa"/>
            </w:tcMar>
          </w:tcPr>
          <w:p w14:paraId="21389C81" w14:textId="605E715C" w:rsidR="00D72F49" w:rsidRPr="00A1381B" w:rsidRDefault="00D72F49" w:rsidP="00796BDB">
            <w:pPr>
              <w:tabs>
                <w:tab w:val="left" w:pos="851"/>
              </w:tabs>
              <w:spacing w:before="0" w:line="240" w:lineRule="atLeast"/>
              <w:rPr>
                <w:b/>
              </w:rPr>
            </w:pPr>
            <w:r w:rsidRPr="00A1381B">
              <w:rPr>
                <w:b/>
              </w:rPr>
              <w:t>Point de l'ordre du jour:</w:t>
            </w:r>
            <w:r w:rsidR="00835C3D" w:rsidRPr="00A1381B">
              <w:rPr>
                <w:b/>
              </w:rPr>
              <w:t xml:space="preserve"> ADM 1</w:t>
            </w:r>
          </w:p>
        </w:tc>
        <w:tc>
          <w:tcPr>
            <w:tcW w:w="5245" w:type="dxa"/>
          </w:tcPr>
          <w:p w14:paraId="13D8D190" w14:textId="6C3A5DBE" w:rsidR="00D72F49" w:rsidRPr="00A1381B" w:rsidRDefault="00DC3704" w:rsidP="00003C5A">
            <w:pPr>
              <w:tabs>
                <w:tab w:val="left" w:pos="851"/>
              </w:tabs>
              <w:spacing w:before="0" w:line="240" w:lineRule="atLeast"/>
              <w:jc w:val="right"/>
              <w:rPr>
                <w:b/>
              </w:rPr>
            </w:pPr>
            <w:r w:rsidRPr="00A1381B">
              <w:rPr>
                <w:b/>
              </w:rPr>
              <w:t>Révision 1 du</w:t>
            </w:r>
            <w:r w:rsidR="00003C5A" w:rsidRPr="00A1381B">
              <w:rPr>
                <w:b/>
              </w:rPr>
              <w:br/>
            </w:r>
            <w:r w:rsidR="00D72F49" w:rsidRPr="00A1381B">
              <w:rPr>
                <w:b/>
              </w:rPr>
              <w:t>Document C2</w:t>
            </w:r>
            <w:r w:rsidR="00E4448E" w:rsidRPr="00A1381B">
              <w:rPr>
                <w:b/>
              </w:rPr>
              <w:t>6</w:t>
            </w:r>
            <w:r w:rsidR="00D72F49" w:rsidRPr="00A1381B">
              <w:rPr>
                <w:b/>
              </w:rPr>
              <w:t>/</w:t>
            </w:r>
            <w:r w:rsidR="00835C3D" w:rsidRPr="00A1381B">
              <w:rPr>
                <w:b/>
              </w:rPr>
              <w:t>50</w:t>
            </w:r>
            <w:r w:rsidR="00D72F49" w:rsidRPr="00A1381B">
              <w:rPr>
                <w:b/>
              </w:rPr>
              <w:t>-F</w:t>
            </w:r>
          </w:p>
        </w:tc>
      </w:tr>
      <w:tr w:rsidR="00D72F49" w:rsidRPr="00A1381B" w14:paraId="7C398480" w14:textId="77777777" w:rsidTr="00796BDB">
        <w:trPr>
          <w:cantSplit/>
        </w:trPr>
        <w:tc>
          <w:tcPr>
            <w:tcW w:w="3969" w:type="dxa"/>
            <w:vMerge/>
          </w:tcPr>
          <w:p w14:paraId="274CB18B" w14:textId="77777777" w:rsidR="00D72F49" w:rsidRPr="00A1381B" w:rsidRDefault="00D72F49" w:rsidP="00796BDB">
            <w:pPr>
              <w:tabs>
                <w:tab w:val="left" w:pos="851"/>
              </w:tabs>
              <w:spacing w:line="240" w:lineRule="atLeast"/>
              <w:rPr>
                <w:b/>
              </w:rPr>
            </w:pPr>
          </w:p>
        </w:tc>
        <w:tc>
          <w:tcPr>
            <w:tcW w:w="5245" w:type="dxa"/>
          </w:tcPr>
          <w:p w14:paraId="4443E874" w14:textId="15FC288D" w:rsidR="00D72F49" w:rsidRPr="00A1381B" w:rsidRDefault="00DC3704" w:rsidP="00796BDB">
            <w:pPr>
              <w:tabs>
                <w:tab w:val="left" w:pos="851"/>
              </w:tabs>
              <w:spacing w:before="0"/>
              <w:jc w:val="right"/>
              <w:rPr>
                <w:b/>
              </w:rPr>
            </w:pPr>
            <w:r w:rsidRPr="00A1381B">
              <w:rPr>
                <w:b/>
              </w:rPr>
              <w:t xml:space="preserve">30 </w:t>
            </w:r>
            <w:r w:rsidR="00835C3D" w:rsidRPr="00A1381B">
              <w:rPr>
                <w:b/>
              </w:rPr>
              <w:t>mars 2026</w:t>
            </w:r>
          </w:p>
        </w:tc>
      </w:tr>
      <w:tr w:rsidR="00D72F49" w:rsidRPr="00A1381B" w14:paraId="5562F8CB" w14:textId="77777777" w:rsidTr="00796BDB">
        <w:trPr>
          <w:cantSplit/>
          <w:trHeight w:val="23"/>
        </w:trPr>
        <w:tc>
          <w:tcPr>
            <w:tcW w:w="3969" w:type="dxa"/>
            <w:vMerge/>
          </w:tcPr>
          <w:p w14:paraId="459D24F3" w14:textId="77777777" w:rsidR="00D72F49" w:rsidRPr="00A1381B" w:rsidRDefault="00D72F49" w:rsidP="00796BDB">
            <w:pPr>
              <w:tabs>
                <w:tab w:val="left" w:pos="851"/>
              </w:tabs>
              <w:spacing w:line="240" w:lineRule="atLeast"/>
              <w:rPr>
                <w:b/>
              </w:rPr>
            </w:pPr>
          </w:p>
        </w:tc>
        <w:tc>
          <w:tcPr>
            <w:tcW w:w="5245" w:type="dxa"/>
          </w:tcPr>
          <w:p w14:paraId="389F6142" w14:textId="77777777" w:rsidR="00D72F49" w:rsidRPr="00A1381B" w:rsidRDefault="00D72F49" w:rsidP="00796BDB">
            <w:pPr>
              <w:tabs>
                <w:tab w:val="left" w:pos="851"/>
              </w:tabs>
              <w:spacing w:before="0" w:line="240" w:lineRule="atLeast"/>
              <w:jc w:val="right"/>
              <w:rPr>
                <w:b/>
              </w:rPr>
            </w:pPr>
            <w:r w:rsidRPr="00A1381B">
              <w:rPr>
                <w:b/>
              </w:rPr>
              <w:t>Original: anglais</w:t>
            </w:r>
          </w:p>
        </w:tc>
      </w:tr>
      <w:tr w:rsidR="00D72F49" w:rsidRPr="00A1381B" w14:paraId="0245F436" w14:textId="77777777" w:rsidTr="00796BDB">
        <w:trPr>
          <w:cantSplit/>
          <w:trHeight w:val="23"/>
        </w:trPr>
        <w:tc>
          <w:tcPr>
            <w:tcW w:w="3969" w:type="dxa"/>
          </w:tcPr>
          <w:p w14:paraId="50EF5917" w14:textId="77777777" w:rsidR="00D72F49" w:rsidRPr="00A1381B" w:rsidRDefault="00D72F49" w:rsidP="00796BDB">
            <w:pPr>
              <w:tabs>
                <w:tab w:val="left" w:pos="851"/>
              </w:tabs>
              <w:spacing w:line="240" w:lineRule="atLeast"/>
              <w:rPr>
                <w:b/>
              </w:rPr>
            </w:pPr>
          </w:p>
        </w:tc>
        <w:tc>
          <w:tcPr>
            <w:tcW w:w="5245" w:type="dxa"/>
          </w:tcPr>
          <w:p w14:paraId="09399CED" w14:textId="77777777" w:rsidR="00D72F49" w:rsidRPr="00A1381B" w:rsidRDefault="00D72F49" w:rsidP="00796BDB">
            <w:pPr>
              <w:tabs>
                <w:tab w:val="left" w:pos="851"/>
              </w:tabs>
              <w:spacing w:before="0" w:line="240" w:lineRule="atLeast"/>
              <w:jc w:val="right"/>
              <w:rPr>
                <w:b/>
              </w:rPr>
            </w:pPr>
          </w:p>
        </w:tc>
      </w:tr>
      <w:tr w:rsidR="00D72F49" w:rsidRPr="00A1381B" w14:paraId="02749607" w14:textId="77777777" w:rsidTr="00796BDB">
        <w:trPr>
          <w:cantSplit/>
        </w:trPr>
        <w:tc>
          <w:tcPr>
            <w:tcW w:w="9214" w:type="dxa"/>
            <w:gridSpan w:val="2"/>
            <w:tcMar>
              <w:left w:w="0" w:type="dxa"/>
            </w:tcMar>
          </w:tcPr>
          <w:p w14:paraId="50B6735D" w14:textId="1698BFE4" w:rsidR="00D72F49" w:rsidRPr="00A1381B" w:rsidRDefault="00835C3D" w:rsidP="00796BDB">
            <w:pPr>
              <w:pStyle w:val="Source"/>
              <w:jc w:val="left"/>
              <w:rPr>
                <w:sz w:val="34"/>
                <w:szCs w:val="34"/>
              </w:rPr>
            </w:pPr>
            <w:r w:rsidRPr="00A1381B">
              <w:rPr>
                <w:rFonts w:cstheme="minorHAnsi"/>
                <w:color w:val="000000"/>
                <w:sz w:val="34"/>
                <w:szCs w:val="34"/>
              </w:rPr>
              <w:t>Rapport de la Présidente du Groupe de travail du Conseil sur les ressources financières et les ressources humaines</w:t>
            </w:r>
          </w:p>
        </w:tc>
      </w:tr>
      <w:tr w:rsidR="00D72F49" w:rsidRPr="00A1381B" w14:paraId="60C07AED" w14:textId="77777777" w:rsidTr="00796BDB">
        <w:trPr>
          <w:cantSplit/>
        </w:trPr>
        <w:tc>
          <w:tcPr>
            <w:tcW w:w="9214" w:type="dxa"/>
            <w:gridSpan w:val="2"/>
            <w:tcMar>
              <w:left w:w="0" w:type="dxa"/>
            </w:tcMar>
          </w:tcPr>
          <w:p w14:paraId="4DAC297D" w14:textId="103B1125" w:rsidR="00D72F49" w:rsidRPr="00A1381B" w:rsidRDefault="00835C3D" w:rsidP="00796BDB">
            <w:pPr>
              <w:pStyle w:val="Subtitle"/>
              <w:framePr w:hSpace="0" w:wrap="auto" w:hAnchor="text" w:xAlign="left" w:yAlign="inline"/>
              <w:rPr>
                <w:sz w:val="32"/>
                <w:szCs w:val="32"/>
                <w:lang w:val="fr-FR"/>
              </w:rPr>
            </w:pPr>
            <w:r w:rsidRPr="00A1381B">
              <w:rPr>
                <w:rFonts w:cstheme="minorHAnsi"/>
                <w:sz w:val="32"/>
                <w:szCs w:val="32"/>
                <w:lang w:val="fr-FR"/>
              </w:rPr>
              <w:t>RAPPORT SUR LES RÉSULTATS DES 21</w:t>
            </w:r>
            <w:r w:rsidR="00831FDC" w:rsidRPr="00A1381B">
              <w:rPr>
                <w:rFonts w:cs="Calibri"/>
                <w:sz w:val="32"/>
                <w:szCs w:val="32"/>
                <w:lang w:val="fr-FR"/>
              </w:rPr>
              <w:t>è</w:t>
            </w:r>
            <w:r w:rsidR="00831FDC" w:rsidRPr="00A1381B">
              <w:rPr>
                <w:rFonts w:cstheme="minorHAnsi"/>
                <w:sz w:val="32"/>
                <w:szCs w:val="32"/>
                <w:lang w:val="fr-FR"/>
              </w:rPr>
              <w:t>me</w:t>
            </w:r>
            <w:r w:rsidRPr="00A1381B">
              <w:rPr>
                <w:rFonts w:cstheme="minorHAnsi"/>
                <w:sz w:val="32"/>
                <w:szCs w:val="32"/>
                <w:lang w:val="fr-FR"/>
              </w:rPr>
              <w:t xml:space="preserve"> ET 22</w:t>
            </w:r>
            <w:r w:rsidR="00831FDC" w:rsidRPr="00A1381B">
              <w:rPr>
                <w:rFonts w:cs="Calibri"/>
                <w:sz w:val="32"/>
                <w:szCs w:val="32"/>
                <w:lang w:val="fr-FR"/>
              </w:rPr>
              <w:t>è</w:t>
            </w:r>
            <w:r w:rsidR="00831FDC" w:rsidRPr="00A1381B">
              <w:rPr>
                <w:rFonts w:cstheme="minorHAnsi"/>
                <w:sz w:val="32"/>
                <w:szCs w:val="32"/>
                <w:lang w:val="fr-FR"/>
              </w:rPr>
              <w:t>me</w:t>
            </w:r>
            <w:r w:rsidRPr="00A1381B">
              <w:rPr>
                <w:rFonts w:cstheme="minorHAnsi"/>
                <w:sz w:val="32"/>
                <w:szCs w:val="32"/>
                <w:lang w:val="fr-FR"/>
              </w:rPr>
              <w:t xml:space="preserve"> RÉUNIONS DU GROUPE DE TRAVAIL DU CONSEIL SUR LES RESSOURCES FINANCIÈRES ET LES RESSOURCES HUMAINES</w:t>
            </w:r>
          </w:p>
        </w:tc>
      </w:tr>
      <w:tr w:rsidR="00D72F49" w:rsidRPr="00A1381B" w14:paraId="23214F88" w14:textId="77777777" w:rsidTr="00796BDB">
        <w:trPr>
          <w:cantSplit/>
        </w:trPr>
        <w:tc>
          <w:tcPr>
            <w:tcW w:w="9214" w:type="dxa"/>
            <w:gridSpan w:val="2"/>
            <w:tcBorders>
              <w:top w:val="single" w:sz="4" w:space="0" w:color="auto"/>
              <w:bottom w:val="single" w:sz="4" w:space="0" w:color="auto"/>
            </w:tcBorders>
            <w:tcMar>
              <w:left w:w="0" w:type="dxa"/>
            </w:tcMar>
          </w:tcPr>
          <w:p w14:paraId="5338B0C3" w14:textId="77777777" w:rsidR="00D72F49" w:rsidRPr="00A1381B" w:rsidRDefault="00F37FE5" w:rsidP="00796BDB">
            <w:pPr>
              <w:spacing w:before="160"/>
              <w:rPr>
                <w:b/>
                <w:bCs/>
                <w:sz w:val="26"/>
                <w:szCs w:val="26"/>
              </w:rPr>
            </w:pPr>
            <w:r w:rsidRPr="00A1381B">
              <w:rPr>
                <w:b/>
                <w:bCs/>
                <w:sz w:val="26"/>
                <w:szCs w:val="26"/>
              </w:rPr>
              <w:t>Objet</w:t>
            </w:r>
          </w:p>
          <w:p w14:paraId="40E1FA70" w14:textId="5B9CACF8" w:rsidR="00D72F49" w:rsidRPr="00A1381B" w:rsidRDefault="00835C3D" w:rsidP="00796BDB">
            <w:r w:rsidRPr="00A1381B">
              <w:t>On trouvera dans le présent document les recommandations tirées des discussions tenues par le GTC-FHR lors de ses réunions, qui ont eu lieu du 10 au 12 septembre 2025 et du 14 au 16 janvier 2026. Les rapports complets de ces réunions sont reproduits dans les Documents </w:t>
            </w:r>
            <w:hyperlink r:id="rId7" w:history="1">
              <w:r w:rsidRPr="00A1381B">
                <w:rPr>
                  <w:rStyle w:val="Hyperlink"/>
                  <w:rFonts w:eastAsia="Times New Roman" w:cs="Times New Roman"/>
                  <w:szCs w:val="20"/>
                </w:rPr>
                <w:t>CWG-FHR-21/25</w:t>
              </w:r>
            </w:hyperlink>
            <w:r w:rsidRPr="00A1381B">
              <w:t xml:space="preserve"> et </w:t>
            </w:r>
            <w:hyperlink r:id="rId8" w:history="1">
              <w:r w:rsidRPr="00A1381B">
                <w:rPr>
                  <w:rStyle w:val="Hyperlink"/>
                  <w:rFonts w:eastAsia="Times New Roman" w:cs="Times New Roman"/>
                  <w:szCs w:val="20"/>
                </w:rPr>
                <w:t>CWG-FHR-22/36</w:t>
              </w:r>
            </w:hyperlink>
            <w:r w:rsidRPr="00A1381B">
              <w:t>.</w:t>
            </w:r>
          </w:p>
          <w:p w14:paraId="216606B3" w14:textId="0BD3CF83" w:rsidR="00835C3D" w:rsidRPr="00A1381B" w:rsidRDefault="00835C3D" w:rsidP="00796BDB">
            <w:r w:rsidRPr="00A1381B">
              <w:t>Les délégués au Conseil sont invités à se reporter à ces rapports pour obtenir plus de précisions sur les différents points de vue exprimés pendant les débats.</w:t>
            </w:r>
          </w:p>
          <w:p w14:paraId="38516D1C" w14:textId="77777777" w:rsidR="00D72F49" w:rsidRPr="00A1381B" w:rsidRDefault="00D72F49" w:rsidP="00796BDB">
            <w:pPr>
              <w:spacing w:before="160"/>
              <w:rPr>
                <w:b/>
                <w:bCs/>
                <w:sz w:val="26"/>
                <w:szCs w:val="26"/>
              </w:rPr>
            </w:pPr>
            <w:proofErr w:type="gramStart"/>
            <w:r w:rsidRPr="00A1381B">
              <w:rPr>
                <w:b/>
                <w:bCs/>
                <w:sz w:val="26"/>
                <w:szCs w:val="26"/>
              </w:rPr>
              <w:t>Suite à</w:t>
            </w:r>
            <w:proofErr w:type="gramEnd"/>
            <w:r w:rsidRPr="00A1381B">
              <w:rPr>
                <w:b/>
                <w:bCs/>
                <w:sz w:val="26"/>
                <w:szCs w:val="26"/>
              </w:rPr>
              <w:t xml:space="preserve"> donner par le Conseil</w:t>
            </w:r>
          </w:p>
          <w:p w14:paraId="26D39D85" w14:textId="4C5ED3C5" w:rsidR="00D72F49" w:rsidRPr="00A1381B" w:rsidRDefault="00835C3D" w:rsidP="00796BDB">
            <w:r w:rsidRPr="00A1381B">
              <w:t xml:space="preserve">Le Conseil est invité à </w:t>
            </w:r>
            <w:r w:rsidRPr="00A1381B">
              <w:rPr>
                <w:b/>
                <w:bCs/>
              </w:rPr>
              <w:t>prendre note</w:t>
            </w:r>
            <w:r w:rsidRPr="00A1381B">
              <w:t xml:space="preserve"> des travaux du GTC-FHR </w:t>
            </w:r>
            <w:r w:rsidR="00FC4C4C" w:rsidRPr="00A1381B">
              <w:t>ainsi qu</w:t>
            </w:r>
            <w:r w:rsidR="00003C5A" w:rsidRPr="00A1381B">
              <w:t>'</w:t>
            </w:r>
            <w:r w:rsidRPr="00A1381B">
              <w:t xml:space="preserve">à </w:t>
            </w:r>
            <w:r w:rsidRPr="00A1381B">
              <w:rPr>
                <w:b/>
                <w:bCs/>
              </w:rPr>
              <w:t>examiner</w:t>
            </w:r>
            <w:r w:rsidRPr="00A1381B">
              <w:t xml:space="preserve"> les </w:t>
            </w:r>
            <w:r w:rsidR="00FC4C4C" w:rsidRPr="00A1381B">
              <w:t xml:space="preserve">mesures décrites </w:t>
            </w:r>
            <w:r w:rsidRPr="00A1381B">
              <w:t xml:space="preserve">dans </w:t>
            </w:r>
            <w:r w:rsidR="00FC4C4C" w:rsidRPr="00A1381B">
              <w:t xml:space="preserve">le </w:t>
            </w:r>
            <w:r w:rsidRPr="00A1381B">
              <w:t>présent rapport</w:t>
            </w:r>
            <w:r w:rsidR="00FC4C4C" w:rsidRPr="00A1381B">
              <w:t xml:space="preserve"> et, le cas échéant, à faire part de ses observations à leur sujet</w:t>
            </w:r>
            <w:r w:rsidRPr="00A1381B">
              <w:t>.</w:t>
            </w:r>
          </w:p>
          <w:p w14:paraId="1F4EC2B2" w14:textId="43EF7FDA" w:rsidR="00D72F49" w:rsidRPr="00A1381B" w:rsidRDefault="00D72F49" w:rsidP="00796BDB">
            <w:pPr>
              <w:spacing w:before="160"/>
              <w:rPr>
                <w:b/>
                <w:bCs/>
                <w:sz w:val="26"/>
                <w:szCs w:val="26"/>
              </w:rPr>
            </w:pPr>
            <w:r w:rsidRPr="00A1381B">
              <w:rPr>
                <w:b/>
                <w:bCs/>
                <w:sz w:val="26"/>
                <w:szCs w:val="26"/>
              </w:rPr>
              <w:t xml:space="preserve">Liens pertinents avec le </w:t>
            </w:r>
            <w:r w:rsidR="00F37FE5" w:rsidRPr="00A1381B">
              <w:rPr>
                <w:b/>
                <w:bCs/>
                <w:sz w:val="26"/>
                <w:szCs w:val="26"/>
              </w:rPr>
              <w:t>p</w:t>
            </w:r>
            <w:r w:rsidRPr="00A1381B">
              <w:rPr>
                <w:b/>
                <w:bCs/>
                <w:sz w:val="26"/>
                <w:szCs w:val="26"/>
              </w:rPr>
              <w:t>lan stratégique</w:t>
            </w:r>
          </w:p>
          <w:p w14:paraId="2B8FF62A" w14:textId="16532956" w:rsidR="00D72F49" w:rsidRPr="00A1381B" w:rsidRDefault="00835C3D" w:rsidP="00796BDB">
            <w:r w:rsidRPr="00A1381B">
              <w:t>Plates-formes fédératrices; excellence en matière de ressources humaines et d'innovation institutionnelle.</w:t>
            </w:r>
          </w:p>
          <w:p w14:paraId="4CE37862" w14:textId="77777777" w:rsidR="00E95647" w:rsidRPr="00A1381B" w:rsidRDefault="00D72F49" w:rsidP="00796BDB">
            <w:pPr>
              <w:spacing w:before="160"/>
              <w:rPr>
                <w:b/>
                <w:bCs/>
                <w:sz w:val="26"/>
                <w:szCs w:val="26"/>
              </w:rPr>
            </w:pPr>
            <w:r w:rsidRPr="00A1381B">
              <w:rPr>
                <w:b/>
                <w:bCs/>
                <w:sz w:val="26"/>
                <w:szCs w:val="26"/>
              </w:rPr>
              <w:t>Incidences financières</w:t>
            </w:r>
          </w:p>
          <w:p w14:paraId="4D8E1A3F" w14:textId="6FDA4E5B" w:rsidR="00D72F49" w:rsidRPr="00A1381B" w:rsidRDefault="00835C3D" w:rsidP="00796BDB">
            <w:pPr>
              <w:rPr>
                <w:szCs w:val="24"/>
              </w:rPr>
            </w:pPr>
            <w:r w:rsidRPr="00A1381B">
              <w:rPr>
                <w:szCs w:val="24"/>
              </w:rPr>
              <w:t>Dans les limites du budget alloué pour 2025-2026.</w:t>
            </w:r>
          </w:p>
          <w:p w14:paraId="5F91CA23" w14:textId="77777777" w:rsidR="00D72F49" w:rsidRPr="00A1381B" w:rsidRDefault="00D72F49" w:rsidP="00796BDB">
            <w:pPr>
              <w:spacing w:before="160"/>
              <w:rPr>
                <w:caps/>
                <w:sz w:val="22"/>
              </w:rPr>
            </w:pPr>
            <w:r w:rsidRPr="00A1381B">
              <w:rPr>
                <w:sz w:val="22"/>
              </w:rPr>
              <w:t>__________________</w:t>
            </w:r>
          </w:p>
          <w:p w14:paraId="77048617" w14:textId="77777777" w:rsidR="00D72F49" w:rsidRPr="00A1381B" w:rsidRDefault="00D72F49" w:rsidP="00796BDB">
            <w:pPr>
              <w:spacing w:before="160"/>
              <w:rPr>
                <w:b/>
                <w:bCs/>
                <w:sz w:val="26"/>
                <w:szCs w:val="26"/>
              </w:rPr>
            </w:pPr>
            <w:r w:rsidRPr="00A1381B">
              <w:rPr>
                <w:b/>
                <w:bCs/>
                <w:sz w:val="26"/>
                <w:szCs w:val="26"/>
              </w:rPr>
              <w:t>Références</w:t>
            </w:r>
          </w:p>
          <w:p w14:paraId="03991758" w14:textId="51FD80AD" w:rsidR="00D72F49" w:rsidRPr="00A1381B" w:rsidRDefault="00835C3D" w:rsidP="00CE5172">
            <w:pPr>
              <w:pStyle w:val="Referencetext"/>
              <w:framePr w:hSpace="0" w:wrap="auto" w:vAnchor="margin" w:hAnchor="text" w:xAlign="left" w:yAlign="inline"/>
              <w:rPr>
                <w:sz w:val="24"/>
                <w:szCs w:val="24"/>
              </w:rPr>
            </w:pPr>
            <w:hyperlink r:id="rId9" w:history="1">
              <w:r w:rsidRPr="00A1381B">
                <w:rPr>
                  <w:rStyle w:val="Hyperlink"/>
                  <w:rFonts w:eastAsia="Times New Roman" w:cs="Times New Roman"/>
                  <w:sz w:val="24"/>
                  <w:szCs w:val="24"/>
                </w:rPr>
                <w:t>Décision 563</w:t>
              </w:r>
            </w:hyperlink>
            <w:r w:rsidRPr="00A1381B">
              <w:rPr>
                <w:sz w:val="24"/>
                <w:szCs w:val="24"/>
              </w:rPr>
              <w:t xml:space="preserve"> du Conseil (Mod. 2023)</w:t>
            </w:r>
          </w:p>
        </w:tc>
      </w:tr>
    </w:tbl>
    <w:p w14:paraId="7DCD0D73" w14:textId="77777777" w:rsidR="00A51849" w:rsidRPr="00A1381B" w:rsidRDefault="00A51849">
      <w:pPr>
        <w:tabs>
          <w:tab w:val="clear" w:pos="567"/>
          <w:tab w:val="clear" w:pos="1134"/>
          <w:tab w:val="clear" w:pos="1701"/>
          <w:tab w:val="clear" w:pos="2268"/>
          <w:tab w:val="clear" w:pos="2835"/>
        </w:tabs>
        <w:overflowPunct/>
        <w:autoSpaceDE/>
        <w:autoSpaceDN/>
        <w:adjustRightInd/>
        <w:spacing w:before="0"/>
        <w:textAlignment w:val="auto"/>
      </w:pPr>
      <w:r w:rsidRPr="00A1381B">
        <w:br w:type="page"/>
      </w:r>
    </w:p>
    <w:p w14:paraId="59C33E84" w14:textId="1A2A29DD" w:rsidR="00462C65" w:rsidRPr="00A1381B" w:rsidRDefault="00462C65" w:rsidP="00462C65">
      <w:r w:rsidRPr="00A1381B">
        <w:lastRenderedPageBreak/>
        <w:t>Le Groupe de travail du Conseil sur les ressources financières et les ressources humaines (GTC-FHR) est présidé par Mme Vernita D. Harris (États-Unis d</w:t>
      </w:r>
      <w:r w:rsidR="004E25D8" w:rsidRPr="00A1381B">
        <w:t>'</w:t>
      </w:r>
      <w:r w:rsidRPr="00A1381B">
        <w:t>Amérique), assistée de six</w:t>
      </w:r>
      <w:r w:rsidR="00DA2888" w:rsidRPr="00A1381B">
        <w:t> </w:t>
      </w:r>
      <w:r w:rsidRPr="00A1381B">
        <w:t>Vice-Présidents, à savoir Mme Seynabou Cisse Seck (Sénégal) pour la région Afrique; M.</w:t>
      </w:r>
      <w:r w:rsidR="00DA2888" w:rsidRPr="00A1381B">
        <w:t> </w:t>
      </w:r>
      <w:r w:rsidRPr="00A1381B">
        <w:t xml:space="preserve">Ronaldo Moura (Brésil) pour les Amériques; Mme Noha Gaafar (Égypte) pour la région des </w:t>
      </w:r>
      <w:r w:rsidR="004E25D8" w:rsidRPr="00A1381B">
        <w:t>États</w:t>
      </w:r>
      <w:r w:rsidRPr="00A1381B">
        <w:t xml:space="preserve"> arabes; Mme Min Jung Park (Corée (République de)) pour l'Asie-Pacifique; M.</w:t>
      </w:r>
      <w:r w:rsidR="00DA2888" w:rsidRPr="00A1381B">
        <w:t> </w:t>
      </w:r>
      <w:r w:rsidRPr="00A1381B">
        <w:t xml:space="preserve">Erzhan Meiramov (Kazakhstan) pour la CEI; M. Szabolcs </w:t>
      </w:r>
      <w:proofErr w:type="spellStart"/>
      <w:r w:rsidRPr="00A1381B">
        <w:t>Szentleleky</w:t>
      </w:r>
      <w:proofErr w:type="spellEnd"/>
      <w:r w:rsidRPr="00A1381B">
        <w:t xml:space="preserve"> (Hongrie) pour l'Europe;</w:t>
      </w:r>
    </w:p>
    <w:p w14:paraId="32423009" w14:textId="77777777" w:rsidR="00462C65" w:rsidRPr="00A1381B" w:rsidRDefault="00462C65" w:rsidP="00AD06F1">
      <w:pPr>
        <w:pStyle w:val="Heading1"/>
        <w:tabs>
          <w:tab w:val="clear" w:pos="567"/>
          <w:tab w:val="left" w:pos="709"/>
        </w:tabs>
        <w:ind w:left="709" w:hanging="709"/>
      </w:pPr>
      <w:r w:rsidRPr="00A1381B">
        <w:t>1</w:t>
      </w:r>
      <w:r w:rsidRPr="00A1381B">
        <w:tab/>
        <w:t>Déclaration du Conseil du personnel (Présentation verbale)</w:t>
      </w:r>
    </w:p>
    <w:p w14:paraId="30399A32" w14:textId="49A714FB" w:rsidR="00462C65" w:rsidRPr="00A1381B" w:rsidRDefault="00462C65" w:rsidP="00AD06F1">
      <w:pPr>
        <w:tabs>
          <w:tab w:val="clear" w:pos="567"/>
          <w:tab w:val="left" w:pos="709"/>
        </w:tabs>
      </w:pPr>
      <w:r w:rsidRPr="00A1381B">
        <w:t>1.1</w:t>
      </w:r>
      <w:r w:rsidRPr="00A1381B">
        <w:tab/>
        <w:t xml:space="preserve">À la 21ème réunion du GTC-FHR, tenue en septembre 2025, le Président du Conseil du personnel, M. Onder Cetinkaya, a fait une déclaration. Cette déclaration est reproduite dans le Document </w:t>
      </w:r>
      <w:hyperlink r:id="rId10" w:history="1">
        <w:r w:rsidRPr="00A1381B">
          <w:rPr>
            <w:rStyle w:val="Hyperlink"/>
            <w:rFonts w:eastAsia="Times New Roman" w:cs="Times New Roman"/>
            <w:szCs w:val="20"/>
          </w:rPr>
          <w:t>CWG-FHR-21/INF/3</w:t>
        </w:r>
      </w:hyperlink>
      <w:r w:rsidRPr="00A1381B">
        <w:t>.</w:t>
      </w:r>
    </w:p>
    <w:p w14:paraId="2CDD2A3C" w14:textId="3A1455AC" w:rsidR="00462C65" w:rsidRPr="00A1381B" w:rsidRDefault="00462C65" w:rsidP="00AD06F1">
      <w:pPr>
        <w:tabs>
          <w:tab w:val="clear" w:pos="567"/>
          <w:tab w:val="left" w:pos="709"/>
        </w:tabs>
      </w:pPr>
      <w:r w:rsidRPr="00A1381B">
        <w:t>1.2</w:t>
      </w:r>
      <w:r w:rsidRPr="00A1381B">
        <w:tab/>
        <w:t xml:space="preserve">À la 22 réunion du GTC-FHR, tenue en janvier 2026, le Président du Conseil du personnel, M. Onder Cetinkaya, a fait une déclaration. Cette déclaration est reproduite dans le Document </w:t>
      </w:r>
      <w:hyperlink r:id="rId11" w:history="1">
        <w:r w:rsidRPr="00A1381B">
          <w:rPr>
            <w:rStyle w:val="Hyperlink"/>
            <w:rFonts w:eastAsia="Times New Roman" w:cs="Times New Roman"/>
            <w:szCs w:val="20"/>
          </w:rPr>
          <w:t>CWG-FHR-22/INF/4</w:t>
        </w:r>
      </w:hyperlink>
      <w:r w:rsidRPr="00A1381B">
        <w:t>.</w:t>
      </w:r>
    </w:p>
    <w:p w14:paraId="3BAA10DF" w14:textId="47FE3F8C" w:rsidR="00462C65"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1.3</w:t>
      </w:r>
      <w:r w:rsidRPr="00A1381B">
        <w:tab/>
        <w:t xml:space="preserve">Le GTC-FHR a </w:t>
      </w:r>
      <w:r w:rsidRPr="00A1381B">
        <w:rPr>
          <w:b/>
          <w:bCs/>
        </w:rPr>
        <w:t>recommandé</w:t>
      </w:r>
      <w:r w:rsidRPr="00A1381B">
        <w:t xml:space="preserve"> au secrétariat d</w:t>
      </w:r>
      <w:r w:rsidR="004E25D8" w:rsidRPr="00A1381B">
        <w:t>'</w:t>
      </w:r>
      <w:r w:rsidRPr="00A1381B">
        <w:t>intégrer, dans le Rapport sur la gestion des ressources humaines, une section consacrée aux questions relatives aux bureaux régionaux et aux bureaux de zone.</w:t>
      </w:r>
    </w:p>
    <w:p w14:paraId="06560306" w14:textId="337E40AC" w:rsidR="00462C65" w:rsidRPr="00A1381B" w:rsidRDefault="00462C65" w:rsidP="006A52AF">
      <w:pPr>
        <w:pStyle w:val="Heading1"/>
      </w:pPr>
      <w:r w:rsidRPr="00A1381B">
        <w:t>2</w:t>
      </w:r>
      <w:r w:rsidRPr="00A1381B">
        <w:tab/>
        <w:t>Code de conduite pour les manifestations de l</w:t>
      </w:r>
      <w:r w:rsidR="004E25D8" w:rsidRPr="00A1381B">
        <w:t>'</w:t>
      </w:r>
      <w:r w:rsidRPr="00A1381B">
        <w:t>UIT (Documents</w:t>
      </w:r>
      <w:r w:rsidR="006A52AF" w:rsidRPr="00A1381B">
        <w:t> </w:t>
      </w:r>
      <w:hyperlink r:id="rId12" w:history="1">
        <w:r w:rsidRPr="00A1381B">
          <w:rPr>
            <w:rStyle w:val="Hyperlink"/>
            <w:rFonts w:eastAsia="Times New Roman" w:cs="Times New Roman"/>
            <w:szCs w:val="20"/>
          </w:rPr>
          <w:t>CWG</w:t>
        </w:r>
        <w:r w:rsidR="006A52AF" w:rsidRPr="00A1381B">
          <w:rPr>
            <w:rStyle w:val="Hyperlink"/>
            <w:rFonts w:eastAsia="Times New Roman" w:cs="Times New Roman"/>
            <w:szCs w:val="20"/>
          </w:rPr>
          <w:noBreakHyphen/>
        </w:r>
        <w:r w:rsidRPr="00A1381B">
          <w:rPr>
            <w:rStyle w:val="Hyperlink"/>
            <w:rFonts w:eastAsia="Times New Roman" w:cs="Times New Roman"/>
            <w:szCs w:val="20"/>
          </w:rPr>
          <w:t>FHR-21/2</w:t>
        </w:r>
      </w:hyperlink>
      <w:r w:rsidRPr="00A1381B">
        <w:t xml:space="preserve">, </w:t>
      </w:r>
      <w:hyperlink r:id="rId13" w:history="1">
        <w:r w:rsidRPr="00A1381B">
          <w:rPr>
            <w:rStyle w:val="Hyperlink"/>
            <w:rFonts w:eastAsia="Times New Roman" w:cs="Times New Roman"/>
            <w:szCs w:val="20"/>
          </w:rPr>
          <w:t>CWG</w:t>
        </w:r>
        <w:r w:rsidRPr="00A1381B">
          <w:rPr>
            <w:rStyle w:val="Hyperlink"/>
            <w:rFonts w:eastAsia="Times New Roman" w:cs="Times New Roman"/>
            <w:szCs w:val="20"/>
          </w:rPr>
          <w:noBreakHyphen/>
          <w:t>FHR-21/INF/2</w:t>
        </w:r>
      </w:hyperlink>
      <w:r w:rsidRPr="00A1381B">
        <w:t xml:space="preserve"> et présentation verbale)</w:t>
      </w:r>
    </w:p>
    <w:p w14:paraId="2CBE9FA6" w14:textId="068A6D39" w:rsidR="00462C65" w:rsidRPr="00A1381B" w:rsidRDefault="00462C65" w:rsidP="00AD06F1">
      <w:pPr>
        <w:tabs>
          <w:tab w:val="clear" w:pos="567"/>
          <w:tab w:val="left" w:pos="709"/>
        </w:tabs>
      </w:pPr>
      <w:r w:rsidRPr="00A1381B">
        <w:t>2.1</w:t>
      </w:r>
      <w:r w:rsidRPr="00A1381B">
        <w:tab/>
        <w:t xml:space="preserve">À la 21ème réunion du GTC-FHR en septembre 2025, le secrétariat a présenté un document (Document </w:t>
      </w:r>
      <w:hyperlink r:id="rId14" w:history="1">
        <w:r w:rsidRPr="00A1381B">
          <w:rPr>
            <w:rStyle w:val="Hyperlink"/>
            <w:rFonts w:eastAsia="Times New Roman" w:cs="Times New Roman"/>
            <w:szCs w:val="20"/>
          </w:rPr>
          <w:t>CWG-FHR-21/2</w:t>
        </w:r>
      </w:hyperlink>
      <w:r w:rsidRPr="00A1381B">
        <w:t>) décrivant un processus formel de réclamation et de résolution. Cette proposition a suscité des préoccupations de la part des délégués. Les principales objections ont porté sur une proposition de rôle pour l</w:t>
      </w:r>
      <w:r w:rsidR="004E25D8" w:rsidRPr="00A1381B">
        <w:t>'</w:t>
      </w:r>
      <w:r w:rsidRPr="00A1381B">
        <w:t>Unité du contrôle interne dans le traitement des plaintes, qui, selon les délégués, entre en conflit avec le pouvoir dont disposent les États Membres de prendre des mesures disciplinaires à l</w:t>
      </w:r>
      <w:r w:rsidR="004E25D8" w:rsidRPr="00A1381B">
        <w:t>'</w:t>
      </w:r>
      <w:r w:rsidRPr="00A1381B">
        <w:t>égard de leurs propres délégués. D</w:t>
      </w:r>
      <w:r w:rsidR="004E25D8" w:rsidRPr="00A1381B">
        <w:t>'</w:t>
      </w:r>
      <w:r w:rsidRPr="00A1381B">
        <w:t>autres préoccupations ont été soulevées concernant l</w:t>
      </w:r>
      <w:r w:rsidR="004E25D8" w:rsidRPr="00A1381B">
        <w:t>'</w:t>
      </w:r>
      <w:r w:rsidRPr="00A1381B">
        <w:t>absence de procédure régulière pour les auteurs présumés et la possibilité que le plan devienne un document juridiquement contraignant. Tout au long de cette discussion, plusieurs délégués ont affirmé que le Code de conduite des Nations Unies existant était suffisant et ont demandé des mesures sur les infractions passées.</w:t>
      </w:r>
    </w:p>
    <w:p w14:paraId="27FF6C10" w14:textId="74F7A41F" w:rsidR="00462C65" w:rsidRPr="00A1381B" w:rsidRDefault="00462C65" w:rsidP="00AD06F1">
      <w:pPr>
        <w:tabs>
          <w:tab w:val="clear" w:pos="567"/>
          <w:tab w:val="left" w:pos="709"/>
        </w:tabs>
      </w:pPr>
      <w:r w:rsidRPr="00A1381B">
        <w:t>2.2</w:t>
      </w:r>
      <w:r w:rsidRPr="00A1381B">
        <w:tab/>
        <w:t>La Présidente a pris acte de ces préoccupations et a conclu que la proposition devait être révisée. Elle a demandé au secrétariat de retirer l</w:t>
      </w:r>
      <w:r w:rsidR="004E25D8" w:rsidRPr="00A1381B">
        <w:t>'</w:t>
      </w:r>
      <w:r w:rsidRPr="00A1381B">
        <w:t>Unité du contrôle interne du processus et de travailler à l</w:t>
      </w:r>
      <w:r w:rsidR="004E25D8" w:rsidRPr="00A1381B">
        <w:t>'</w:t>
      </w:r>
      <w:r w:rsidRPr="00A1381B">
        <w:t>élaboration d</w:t>
      </w:r>
      <w:r w:rsidR="004E25D8" w:rsidRPr="00A1381B">
        <w:t>'</w:t>
      </w:r>
      <w:r w:rsidRPr="00A1381B">
        <w:t>un plan de mise en œuvre révisé, destiné à être présenté à la 22ème réunion du GTC-FHR. En outre, la Présidente a réaffirmé que le</w:t>
      </w:r>
      <w:r w:rsidR="002C008E" w:rsidRPr="00A1381B">
        <w:t> </w:t>
      </w:r>
      <w:r w:rsidRPr="00A1381B">
        <w:t>Code</w:t>
      </w:r>
      <w:r w:rsidR="002C008E" w:rsidRPr="00A1381B">
        <w:t> </w:t>
      </w:r>
      <w:r w:rsidRPr="00A1381B">
        <w:t>de</w:t>
      </w:r>
      <w:r w:rsidR="002C008E" w:rsidRPr="00A1381B">
        <w:t> </w:t>
      </w:r>
      <w:r w:rsidRPr="00A1381B">
        <w:t>conduite des Nations Unies existant restait applicable.</w:t>
      </w:r>
    </w:p>
    <w:p w14:paraId="0CE1639A" w14:textId="28CDDD2F" w:rsidR="00462C65" w:rsidRPr="00A1381B" w:rsidRDefault="00462C65" w:rsidP="00AD06F1">
      <w:pPr>
        <w:tabs>
          <w:tab w:val="clear" w:pos="567"/>
          <w:tab w:val="left" w:pos="709"/>
        </w:tabs>
      </w:pPr>
      <w:r w:rsidRPr="00A1381B">
        <w:t>2.3</w:t>
      </w:r>
      <w:r w:rsidRPr="00A1381B">
        <w:tab/>
        <w:t>À la 22ème réunion du GTC-FHR, le secrétariat a fait le point sur la mise en œuvre révisée par le biais d</w:t>
      </w:r>
      <w:r w:rsidR="004E25D8" w:rsidRPr="00A1381B">
        <w:t>'</w:t>
      </w:r>
      <w:r w:rsidRPr="00A1381B">
        <w:t>un exposé oral. Le nouveau plan met l</w:t>
      </w:r>
      <w:r w:rsidR="004E25D8" w:rsidRPr="00A1381B">
        <w:t>'</w:t>
      </w:r>
      <w:r w:rsidRPr="00A1381B">
        <w:t>accent sur la prévention proactive et le signalement clair, avec deux initiatives principales:</w:t>
      </w:r>
    </w:p>
    <w:p w14:paraId="3DB6D0DB" w14:textId="20761E3C" w:rsidR="00462C65" w:rsidRPr="00A1381B" w:rsidRDefault="00462C65" w:rsidP="00AD06F1">
      <w:pPr>
        <w:pStyle w:val="enumlev1"/>
        <w:tabs>
          <w:tab w:val="clear" w:pos="567"/>
          <w:tab w:val="left" w:pos="709"/>
        </w:tabs>
      </w:pPr>
      <w:r w:rsidRPr="00A1381B">
        <w:t>–</w:t>
      </w:r>
      <w:r w:rsidRPr="00A1381B">
        <w:tab/>
        <w:t>Une vidéo de sensibilisation, qui sera jointe aux informations relatives à la manifestation.</w:t>
      </w:r>
    </w:p>
    <w:p w14:paraId="29772718" w14:textId="3CF9EBEA" w:rsidR="00462C65" w:rsidRPr="00A1381B" w:rsidRDefault="00462C65" w:rsidP="00AD06F1">
      <w:pPr>
        <w:pStyle w:val="enumlev1"/>
        <w:tabs>
          <w:tab w:val="clear" w:pos="567"/>
          <w:tab w:val="left" w:pos="709"/>
        </w:tabs>
      </w:pPr>
      <w:r w:rsidRPr="00A1381B">
        <w:lastRenderedPageBreak/>
        <w:t>–</w:t>
      </w:r>
      <w:r w:rsidRPr="00A1381B">
        <w:tab/>
        <w:t>Une nouvelle ligne de signalement confidentielle permettant aux participants de faire part de leurs préoccupations ou de demander conseil.</w:t>
      </w:r>
    </w:p>
    <w:p w14:paraId="5B238CC6" w14:textId="129ADD31" w:rsidR="00462C65" w:rsidRPr="00A1381B" w:rsidRDefault="00462C65" w:rsidP="00AD06F1">
      <w:pPr>
        <w:tabs>
          <w:tab w:val="clear" w:pos="567"/>
          <w:tab w:val="left" w:pos="709"/>
        </w:tabs>
      </w:pPr>
      <w:r w:rsidRPr="00A1381B">
        <w:t>2.4</w:t>
      </w:r>
      <w:r w:rsidRPr="00A1381B">
        <w:tab/>
        <w:t xml:space="preserve">Le secrétariat a informé les délégués que ces deux ressources avaient été ajoutées au </w:t>
      </w:r>
      <w:hyperlink r:id="rId15" w:history="1">
        <w:r w:rsidRPr="00A1381B">
          <w:rPr>
            <w:rStyle w:val="Hyperlink"/>
            <w:rFonts w:eastAsia="Times New Roman" w:cs="Times New Roman"/>
            <w:szCs w:val="20"/>
          </w:rPr>
          <w:t>site web de l</w:t>
        </w:r>
        <w:r w:rsidR="004E25D8" w:rsidRPr="00A1381B">
          <w:rPr>
            <w:rStyle w:val="Hyperlink"/>
            <w:rFonts w:eastAsia="Times New Roman" w:cs="Times New Roman"/>
            <w:szCs w:val="20"/>
          </w:rPr>
          <w:t>'</w:t>
        </w:r>
        <w:r w:rsidRPr="00A1381B">
          <w:rPr>
            <w:rStyle w:val="Hyperlink"/>
            <w:rFonts w:eastAsia="Times New Roman" w:cs="Times New Roman"/>
            <w:szCs w:val="20"/>
          </w:rPr>
          <w:t>UIT consacré à l'éthique</w:t>
        </w:r>
      </w:hyperlink>
      <w:r w:rsidRPr="00A1381B">
        <w:t xml:space="preserve"> et que des liens seraient également disponibles sur les pages des différentes manifestations. La Présidente du GTC-FHR a noté qu</w:t>
      </w:r>
      <w:r w:rsidR="004E25D8" w:rsidRPr="00A1381B">
        <w:t>'</w:t>
      </w:r>
      <w:r w:rsidRPr="00A1381B">
        <w:t>à la Conférence</w:t>
      </w:r>
      <w:r w:rsidR="002C008E" w:rsidRPr="00A1381B">
        <w:t> </w:t>
      </w:r>
      <w:r w:rsidRPr="00A1381B">
        <w:t>mondiale de développement des télécommunications (CMDT-25), le Code</w:t>
      </w:r>
      <w:r w:rsidR="002C008E" w:rsidRPr="00A1381B">
        <w:t> </w:t>
      </w:r>
      <w:r w:rsidRPr="00A1381B">
        <w:t>de</w:t>
      </w:r>
      <w:r w:rsidR="002C008E" w:rsidRPr="00A1381B">
        <w:t> </w:t>
      </w:r>
      <w:r w:rsidRPr="00A1381B">
        <w:t>conduite avait été lu à haute voix aux participants avant la plénière. À cette occasion, un délégué a réitéré sa préoccupation quant au fait de prendre du temps de réunion pour cette question et a de nouveau fait observer que les demandes précédentes de données sur les infractions et les fausses accusations étaient restées sans réponse.</w:t>
      </w:r>
    </w:p>
    <w:p w14:paraId="7DDC6596" w14:textId="38679942" w:rsidR="00462C65"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2.5</w:t>
      </w:r>
      <w:r w:rsidRPr="00A1381B">
        <w:tab/>
        <w:t xml:space="preserve">Le GTC-FHR </w:t>
      </w:r>
      <w:r w:rsidRPr="00A1381B">
        <w:rPr>
          <w:b/>
          <w:bCs/>
        </w:rPr>
        <w:t>recommande</w:t>
      </w:r>
      <w:r w:rsidRPr="00A1381B">
        <w:t xml:space="preserve"> </w:t>
      </w:r>
      <w:r w:rsidR="00EC09DC" w:rsidRPr="00A1381B">
        <w:t xml:space="preserve">que </w:t>
      </w:r>
      <w:r w:rsidR="000A49DF" w:rsidRPr="00A1381B">
        <w:t xml:space="preserve">le </w:t>
      </w:r>
      <w:r w:rsidRPr="00A1381B">
        <w:t xml:space="preserve">Conseil </w:t>
      </w:r>
      <w:r w:rsidR="00EC09DC" w:rsidRPr="00A1381B">
        <w:t xml:space="preserve">donne </w:t>
      </w:r>
      <w:r w:rsidRPr="00A1381B">
        <w:t>l'instruction que le Code de conduite des Nations Unies soit lu avant toute réunion, conférence ou assemblée de l</w:t>
      </w:r>
      <w:r w:rsidR="004E25D8" w:rsidRPr="00A1381B">
        <w:t>'</w:t>
      </w:r>
      <w:r w:rsidRPr="00A1381B">
        <w:t>Union</w:t>
      </w:r>
      <w:r w:rsidR="00EC09DC" w:rsidRPr="00A1381B">
        <w:t>, et qu</w:t>
      </w:r>
      <w:r w:rsidR="00003C5A" w:rsidRPr="00A1381B">
        <w:t>'</w:t>
      </w:r>
      <w:r w:rsidR="00EC09DC" w:rsidRPr="00A1381B">
        <w:t xml:space="preserve">il soit </w:t>
      </w:r>
      <w:r w:rsidR="003D2295" w:rsidRPr="00A1381B">
        <w:t xml:space="preserve">intégré au </w:t>
      </w:r>
      <w:r w:rsidR="00EC09DC" w:rsidRPr="00A1381B">
        <w:t>processus d</w:t>
      </w:r>
      <w:r w:rsidR="00003C5A" w:rsidRPr="00A1381B">
        <w:t>'</w:t>
      </w:r>
      <w:r w:rsidR="00EC09DC" w:rsidRPr="00A1381B">
        <w:t>inscription (par le biais d</w:t>
      </w:r>
      <w:r w:rsidR="00003C5A" w:rsidRPr="00A1381B">
        <w:t>'</w:t>
      </w:r>
      <w:r w:rsidR="00EC09DC" w:rsidRPr="00A1381B">
        <w:t xml:space="preserve">une case à cocher figurant sur </w:t>
      </w:r>
      <w:r w:rsidR="000A49DF" w:rsidRPr="00A1381B">
        <w:t>le formulaire d</w:t>
      </w:r>
      <w:r w:rsidR="00003C5A" w:rsidRPr="00A1381B">
        <w:t>'</w:t>
      </w:r>
      <w:r w:rsidR="000A49DF" w:rsidRPr="00A1381B">
        <w:t>inscription</w:t>
      </w:r>
      <w:r w:rsidR="003D2295" w:rsidRPr="00A1381B">
        <w:t xml:space="preserve"> aux manifestations</w:t>
      </w:r>
      <w:r w:rsidR="000A49DF" w:rsidRPr="00A1381B">
        <w:t>)</w:t>
      </w:r>
      <w:r w:rsidRPr="00A1381B">
        <w:t>.</w:t>
      </w:r>
    </w:p>
    <w:p w14:paraId="0B322DA5" w14:textId="094E44FF" w:rsidR="00462C65" w:rsidRPr="00A1381B" w:rsidRDefault="00462C65" w:rsidP="00AD06F1">
      <w:pPr>
        <w:pStyle w:val="Heading1"/>
        <w:tabs>
          <w:tab w:val="clear" w:pos="567"/>
          <w:tab w:val="left" w:pos="709"/>
        </w:tabs>
        <w:ind w:left="709" w:hanging="709"/>
      </w:pPr>
      <w:r w:rsidRPr="00A1381B">
        <w:t>3</w:t>
      </w:r>
      <w:r w:rsidRPr="00A1381B">
        <w:tab/>
        <w:t>Méthode d</w:t>
      </w:r>
      <w:r w:rsidR="004E25D8" w:rsidRPr="00A1381B">
        <w:t>'</w:t>
      </w:r>
      <w:r w:rsidRPr="00A1381B">
        <w:t>estimation des incidences financières des propositions de décision et de résolution lors des conférences et assemblées de l</w:t>
      </w:r>
      <w:r w:rsidR="004E25D8" w:rsidRPr="00A1381B">
        <w:t>'</w:t>
      </w:r>
      <w:r w:rsidRPr="00A1381B">
        <w:t xml:space="preserve">UIT (Documents </w:t>
      </w:r>
      <w:hyperlink r:id="rId16" w:history="1">
        <w:r w:rsidRPr="00A1381B">
          <w:rPr>
            <w:rStyle w:val="Hyperlink"/>
            <w:rFonts w:eastAsia="Times New Roman" w:cs="Times New Roman"/>
            <w:szCs w:val="20"/>
          </w:rPr>
          <w:t>CWG-FHR-21/3</w:t>
        </w:r>
      </w:hyperlink>
      <w:r w:rsidRPr="00A1381B">
        <w:t xml:space="preserve"> et </w:t>
      </w:r>
      <w:hyperlink r:id="rId17" w:history="1">
        <w:r w:rsidRPr="00A1381B">
          <w:rPr>
            <w:rStyle w:val="Hyperlink"/>
            <w:rFonts w:eastAsia="Times New Roman" w:cs="Times New Roman"/>
            <w:szCs w:val="20"/>
          </w:rPr>
          <w:t>CWG-FHR-22/13</w:t>
        </w:r>
      </w:hyperlink>
      <w:r w:rsidRPr="00A1381B">
        <w:t>) et incidences budgétaires annuelles de la suite donnée aux Résolutions de la CMDT</w:t>
      </w:r>
      <w:r w:rsidR="00EA17B9" w:rsidRPr="00A1381B">
        <w:noBreakHyphen/>
      </w:r>
      <w:r w:rsidRPr="00A1381B">
        <w:t xml:space="preserve">25 (Document </w:t>
      </w:r>
      <w:hyperlink r:id="rId18" w:history="1">
        <w:r w:rsidRPr="00A1381B">
          <w:rPr>
            <w:rStyle w:val="Hyperlink"/>
            <w:rFonts w:eastAsia="Times New Roman" w:cs="Times New Roman"/>
            <w:szCs w:val="20"/>
          </w:rPr>
          <w:t>CWG-FHR-22/7</w:t>
        </w:r>
      </w:hyperlink>
      <w:r w:rsidRPr="00A1381B">
        <w:t>)</w:t>
      </w:r>
    </w:p>
    <w:p w14:paraId="1F0DDA0D" w14:textId="71B4670C" w:rsidR="00462C65" w:rsidRPr="00A1381B" w:rsidRDefault="00462C65" w:rsidP="00232432">
      <w:pPr>
        <w:tabs>
          <w:tab w:val="clear" w:pos="567"/>
          <w:tab w:val="left" w:pos="709"/>
        </w:tabs>
      </w:pPr>
      <w:r w:rsidRPr="00A1381B">
        <w:t>3.1</w:t>
      </w:r>
      <w:r w:rsidRPr="00A1381B">
        <w:tab/>
        <w:t>Les délégués aux 21ème et 22ème réunions du GTC-FHR ont discuté de la création d</w:t>
      </w:r>
      <w:r w:rsidR="004E25D8" w:rsidRPr="00A1381B">
        <w:t>'</w:t>
      </w:r>
      <w:r w:rsidRPr="00A1381B">
        <w:t>une méthode officielle pour l'évaluation des incidences financières des propositions de décisions et de résolutions lors des conférences de l</w:t>
      </w:r>
      <w:r w:rsidR="004E25D8" w:rsidRPr="00A1381B">
        <w:t>'</w:t>
      </w:r>
      <w:r w:rsidRPr="00A1381B">
        <w:t>UIT, conformément à l</w:t>
      </w:r>
      <w:r w:rsidR="004E25D8" w:rsidRPr="00A1381B">
        <w:t>'</w:t>
      </w:r>
      <w:r w:rsidRPr="00A1381B">
        <w:t>article 34 de la Convention</w:t>
      </w:r>
      <w:r w:rsidR="00232432" w:rsidRPr="00A1381B">
        <w:t xml:space="preserve"> de l</w:t>
      </w:r>
      <w:r w:rsidR="00003C5A" w:rsidRPr="00A1381B">
        <w:t>'</w:t>
      </w:r>
      <w:r w:rsidR="00232432" w:rsidRPr="00A1381B">
        <w:t>UIT</w:t>
      </w:r>
      <w:r w:rsidRPr="00A1381B">
        <w:t>.</w:t>
      </w:r>
      <w:r w:rsidR="00232432" w:rsidRPr="00A1381B">
        <w:t xml:space="preserve"> Aux termes de cet article, avant d</w:t>
      </w:r>
      <w:r w:rsidR="00003C5A" w:rsidRPr="00A1381B">
        <w:t>'</w:t>
      </w:r>
      <w:r w:rsidR="00232432" w:rsidRPr="00A1381B">
        <w:t>adopter des propositions, les conférences de l'Union doivent s'assurer qu'elles n'entraînent pas de dépenses supérieures aux crédits que le Conseil est habilité à autoriser.</w:t>
      </w:r>
    </w:p>
    <w:p w14:paraId="7172E6A8" w14:textId="4DFF36D0" w:rsidR="00462C65" w:rsidRPr="00A1381B" w:rsidRDefault="00462C65" w:rsidP="00AD06F1">
      <w:pPr>
        <w:tabs>
          <w:tab w:val="clear" w:pos="567"/>
          <w:tab w:val="left" w:pos="709"/>
        </w:tabs>
      </w:pPr>
      <w:r w:rsidRPr="00A1381B">
        <w:t>3.2</w:t>
      </w:r>
      <w:r w:rsidRPr="00A1381B">
        <w:tab/>
        <w:t>À la 21ème réunion, le secrétariat a présenté aux délégués un modèle de calcul fondé sur les propositions présentées par la Conférence européenne des administrations des postes et des télécommunications (CEPT) à la CMDT-25, à titre d'exemples pratiques. Il s'en est suivi un débat important entre les délégués, qui ont soulevé de nombreuses préoccupations concernant le processus proposé. Les principales questions portaient sur le calendrier et l</w:t>
      </w:r>
      <w:r w:rsidR="004E25D8" w:rsidRPr="00A1381B">
        <w:t>'</w:t>
      </w:r>
      <w:r w:rsidRPr="00A1381B">
        <w:t>exactitude des estimations de coûts (en particulier lorsque les propositions sont sujettes à changement), la possibilité d</w:t>
      </w:r>
      <w:r w:rsidR="004E25D8" w:rsidRPr="00A1381B">
        <w:t>'</w:t>
      </w:r>
      <w:r w:rsidRPr="00A1381B">
        <w:t>une bureaucratie accrue qui pourrait entraver la prise de décisions et la nécessité d</w:t>
      </w:r>
      <w:r w:rsidR="004E25D8" w:rsidRPr="00A1381B">
        <w:t>'</w:t>
      </w:r>
      <w:r w:rsidRPr="00A1381B">
        <w:t>une définition plus claire de ce qui constitue une "incidence financière". Une proposition de flux de travail de la Présidente a suscité d</w:t>
      </w:r>
      <w:r w:rsidR="004E25D8" w:rsidRPr="00A1381B">
        <w:t>'</w:t>
      </w:r>
      <w:r w:rsidRPr="00A1381B">
        <w:t>autres préoccupations concernant l</w:t>
      </w:r>
      <w:r w:rsidR="004E25D8" w:rsidRPr="00A1381B">
        <w:t>'</w:t>
      </w:r>
      <w:r w:rsidRPr="00A1381B">
        <w:t>autorité de la commission. Le résultat le plus important a été la décision selon laquelle la méthode proposée ne serait pas mise en œuvre pour la CMDT-25, et la Présidente a invité les États</w:t>
      </w:r>
      <w:r w:rsidR="002C008E" w:rsidRPr="00A1381B">
        <w:t> </w:t>
      </w:r>
      <w:r w:rsidRPr="00A1381B">
        <w:t>Membres à soumettre de nouvelles propositions sur la question.</w:t>
      </w:r>
    </w:p>
    <w:p w14:paraId="6007B53D" w14:textId="5E7870B8" w:rsidR="00462C65" w:rsidRPr="00A1381B" w:rsidRDefault="00462C65" w:rsidP="00AD06F1">
      <w:pPr>
        <w:tabs>
          <w:tab w:val="clear" w:pos="567"/>
          <w:tab w:val="left" w:pos="709"/>
        </w:tabs>
      </w:pPr>
      <w:r w:rsidRPr="00A1381B">
        <w:t>3.3</w:t>
      </w:r>
      <w:r w:rsidRPr="00A1381B">
        <w:tab/>
        <w:t>Les participants à la 22ème réunion ont poursuivi le dialogue; Aucune nouvelle contribution n</w:t>
      </w:r>
      <w:r w:rsidR="004E25D8" w:rsidRPr="00A1381B">
        <w:t>'</w:t>
      </w:r>
      <w:r w:rsidRPr="00A1381B">
        <w:t>a été soumise sur la méthode utilisée pour fournir des estimations. Les délégués ont réitéré leur scepticisme, arguant qu'il serait inefficace de procéder à des évaluations de coûts avant la conférence, car le texte final des résolutions reflète rarement les propositions initiales. D</w:t>
      </w:r>
      <w:r w:rsidR="004E25D8" w:rsidRPr="00A1381B">
        <w:t>'</w:t>
      </w:r>
      <w:r w:rsidRPr="00A1381B">
        <w:t xml:space="preserve">autres approches ont été suggérées, par exemple la </w:t>
      </w:r>
      <w:r w:rsidRPr="00A1381B">
        <w:lastRenderedPageBreak/>
        <w:t xml:space="preserve">hiérarchisation et la réaffectation des ressources existantes plutôt que l'élaboration de nouvelles estimations de coûts. En outre, le Directeur du Bureau de développement des télécommunications (BDT) a présenté le Document </w:t>
      </w:r>
      <w:hyperlink r:id="rId19" w:history="1">
        <w:r w:rsidRPr="00A1381B">
          <w:rPr>
            <w:rStyle w:val="Hyperlink"/>
            <w:rFonts w:eastAsia="Times New Roman" w:cs="Times New Roman"/>
            <w:szCs w:val="20"/>
          </w:rPr>
          <w:t>CWG-FHR-22/7</w:t>
        </w:r>
      </w:hyperlink>
      <w:r w:rsidRPr="00A1381B">
        <w:t xml:space="preserve"> en réponse à une demande des participants à la CMDT-25 qui souhaitaient obtenir des orientations de la part du GTC-FHR sur la méthode/le mécanisme le plus efficace pour financer les activités nouvellement identifiées, estimées à 4 208 millions CHF.</w:t>
      </w:r>
    </w:p>
    <w:p w14:paraId="22C0C8E4" w14:textId="252E9CEC" w:rsidR="00462C65" w:rsidRPr="00A1381B" w:rsidRDefault="00462C65" w:rsidP="00AD06F1">
      <w:pPr>
        <w:tabs>
          <w:tab w:val="clear" w:pos="567"/>
          <w:tab w:val="left" w:pos="709"/>
        </w:tabs>
      </w:pPr>
      <w:r w:rsidRPr="00A1381B">
        <w:t>3.4</w:t>
      </w:r>
      <w:r w:rsidRPr="00A1381B">
        <w:tab/>
        <w:t xml:space="preserve">Présent durant les discussions, le Directeur du BDT a pris la parole et a proposé au secrétariat de soumettre au Groupe consultatif pour le développement des télécommunications (GCDT) une analyse détaillée des ressources dont dispose le BDT et des ressources requises au titre de son mandat. L'argumentation du Directeur du BDT avait pour fondement la nécessité de rationaliser les Résolutions qui constituent le mandat du Bureau. Les délégués se sont </w:t>
      </w:r>
      <w:r w:rsidR="00DA2888" w:rsidRPr="00A1381B">
        <w:t>dit</w:t>
      </w:r>
      <w:r w:rsidRPr="00A1381B">
        <w:t xml:space="preserve"> préoccupés par l</w:t>
      </w:r>
      <w:r w:rsidR="004E25D8" w:rsidRPr="00A1381B">
        <w:t>'</w:t>
      </w:r>
      <w:r w:rsidRPr="00A1381B">
        <w:t>exactitude des estimations, dans la mesure où la commission de contrôle budgétaire d'une conférence achève ses travaux avant que ceux des autres commissions sur les résolutions ne soient terminés.</w:t>
      </w:r>
    </w:p>
    <w:p w14:paraId="58E7A39A" w14:textId="5075E5D2" w:rsidR="00462C65"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3.5</w:t>
      </w:r>
      <w:r w:rsidRPr="00A1381B">
        <w:tab/>
        <w:t xml:space="preserve">Approuvant la proposition du Directeur du BDT, le GTC-FHR a </w:t>
      </w:r>
      <w:r w:rsidRPr="00A1381B">
        <w:rPr>
          <w:b/>
          <w:bCs/>
        </w:rPr>
        <w:t>recommandé</w:t>
      </w:r>
      <w:r w:rsidRPr="00A1381B">
        <w:t xml:space="preserve"> au Directeur du BDT, en partenariat avec le Secrétariat général, y compris le Chef</w:t>
      </w:r>
      <w:r w:rsidR="002C008E" w:rsidRPr="00A1381B">
        <w:t> </w:t>
      </w:r>
      <w:r w:rsidRPr="00A1381B">
        <w:t>du</w:t>
      </w:r>
      <w:r w:rsidR="002C008E" w:rsidRPr="00A1381B">
        <w:t> </w:t>
      </w:r>
      <w:r w:rsidRPr="00A1381B">
        <w:t>Département de la gestion des ressources financières, d</w:t>
      </w:r>
      <w:r w:rsidR="004E25D8" w:rsidRPr="00A1381B">
        <w:t>'</w:t>
      </w:r>
      <w:r w:rsidRPr="00A1381B">
        <w:t>aider le GCDT dans cette activité et de fournir une analyse comparative des ressources dont dispose ou non le Secteur</w:t>
      </w:r>
      <w:r w:rsidR="002C008E" w:rsidRPr="00A1381B">
        <w:t> </w:t>
      </w:r>
      <w:r w:rsidRPr="00A1381B">
        <w:t>du développement des télécommunications (UIT-D) et des domaines dans lesquels de nouvelles Résolutions peuvent être intégrées aux travaux existants. Le secrétariat tiendra également une séance d</w:t>
      </w:r>
      <w:r w:rsidR="004E25D8" w:rsidRPr="00A1381B">
        <w:t>'</w:t>
      </w:r>
      <w:r w:rsidRPr="00A1381B">
        <w:t>information le 3 mars 2026 sur les estimations des coûts liés aux incidences financières de la CMDT-25.</w:t>
      </w:r>
    </w:p>
    <w:p w14:paraId="497C1D71" w14:textId="56F60072" w:rsidR="00462C65"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3.6</w:t>
      </w:r>
      <w:r w:rsidRPr="00A1381B">
        <w:tab/>
        <w:t xml:space="preserve">En outre, le GTC-FHR </w:t>
      </w:r>
      <w:r w:rsidRPr="00A1381B">
        <w:rPr>
          <w:b/>
          <w:bCs/>
        </w:rPr>
        <w:t>recommande</w:t>
      </w:r>
      <w:r w:rsidRPr="00A1381B">
        <w:t xml:space="preserve"> au Conseil, à sa session de 2026, d</w:t>
      </w:r>
      <w:r w:rsidR="004E25D8" w:rsidRPr="00A1381B">
        <w:t>'</w:t>
      </w:r>
      <w:r w:rsidRPr="00A1381B">
        <w:t>inviter la Conférence de plénipotentiaires de 2026 (PP-26) à donner aux États</w:t>
      </w:r>
      <w:r w:rsidR="002C008E" w:rsidRPr="00A1381B">
        <w:t> </w:t>
      </w:r>
      <w:r w:rsidRPr="00A1381B">
        <w:t>Membres des orientations sur la manière dont l</w:t>
      </w:r>
      <w:r w:rsidR="004E25D8" w:rsidRPr="00A1381B">
        <w:t>'</w:t>
      </w:r>
      <w:r w:rsidRPr="00A1381B">
        <w:t xml:space="preserve">article 34 </w:t>
      </w:r>
      <w:r w:rsidR="00232432" w:rsidRPr="00A1381B">
        <w:t xml:space="preserve">de la Convention </w:t>
      </w:r>
      <w:r w:rsidRPr="00A1381B">
        <w:t xml:space="preserve">doit être </w:t>
      </w:r>
      <w:r w:rsidR="008965A3" w:rsidRPr="00A1381B">
        <w:t xml:space="preserve">pris en compte </w:t>
      </w:r>
      <w:r w:rsidR="003D2295" w:rsidRPr="00A1381B">
        <w:t>lors de la soumission de propositions</w:t>
      </w:r>
      <w:r w:rsidRPr="00A1381B">
        <w:t>.</w:t>
      </w:r>
    </w:p>
    <w:p w14:paraId="3982515E" w14:textId="188266BF" w:rsidR="00462C65"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3.7</w:t>
      </w:r>
      <w:r w:rsidRPr="00A1381B">
        <w:tab/>
        <w:t xml:space="preserve">Le GTC-FHR a </w:t>
      </w:r>
      <w:r w:rsidRPr="00A1381B">
        <w:rPr>
          <w:b/>
          <w:bCs/>
        </w:rPr>
        <w:t>envoyé</w:t>
      </w:r>
      <w:r w:rsidRPr="00A1381B">
        <w:t xml:space="preserve"> une note de liaison au GCDT pour l</w:t>
      </w:r>
      <w:r w:rsidR="004E25D8" w:rsidRPr="00A1381B">
        <w:t>'</w:t>
      </w:r>
      <w:r w:rsidRPr="00A1381B">
        <w:t>inviter à évaluer les estimations des incidences financières de la CMDT à temps pour la session de 2026 du</w:t>
      </w:r>
      <w:r w:rsidR="002C008E" w:rsidRPr="00A1381B">
        <w:t> </w:t>
      </w:r>
      <w:r w:rsidRPr="00A1381B">
        <w:t>Conseil.</w:t>
      </w:r>
    </w:p>
    <w:p w14:paraId="57784A67" w14:textId="2DA756EB" w:rsidR="00462C65" w:rsidRPr="00A1381B" w:rsidRDefault="00462C65" w:rsidP="00AD06F1">
      <w:pPr>
        <w:pStyle w:val="Heading1"/>
        <w:tabs>
          <w:tab w:val="clear" w:pos="567"/>
          <w:tab w:val="left" w:pos="709"/>
        </w:tabs>
        <w:ind w:left="709" w:hanging="709"/>
      </w:pPr>
      <w:r w:rsidRPr="00A1381B">
        <w:t>4</w:t>
      </w:r>
      <w:r w:rsidRPr="00A1381B">
        <w:tab/>
        <w:t>Renforcement de la présence régionale de l</w:t>
      </w:r>
      <w:r w:rsidR="004E25D8" w:rsidRPr="00A1381B">
        <w:t>'</w:t>
      </w:r>
      <w:r w:rsidRPr="00A1381B">
        <w:t>UIT (Documents</w:t>
      </w:r>
      <w:r w:rsidR="00831FDC" w:rsidRPr="00A1381B">
        <w:t> </w:t>
      </w:r>
      <w:hyperlink r:id="rId20" w:history="1">
        <w:r w:rsidRPr="00A1381B">
          <w:rPr>
            <w:rStyle w:val="Hyperlink"/>
            <w:rFonts w:eastAsia="Times New Roman" w:cs="Times New Roman"/>
            <w:szCs w:val="20"/>
          </w:rPr>
          <w:t>CWG</w:t>
        </w:r>
        <w:r w:rsidR="00DA2888" w:rsidRPr="00A1381B">
          <w:rPr>
            <w:rStyle w:val="Hyperlink"/>
            <w:rFonts w:eastAsia="Times New Roman" w:cs="Times New Roman"/>
            <w:szCs w:val="20"/>
          </w:rPr>
          <w:noBreakHyphen/>
        </w:r>
        <w:r w:rsidRPr="00A1381B">
          <w:rPr>
            <w:rStyle w:val="Hyperlink"/>
            <w:rFonts w:eastAsia="Times New Roman" w:cs="Times New Roman"/>
            <w:szCs w:val="20"/>
          </w:rPr>
          <w:t>FHR</w:t>
        </w:r>
        <w:r w:rsidR="00DA2888" w:rsidRPr="00A1381B">
          <w:rPr>
            <w:rStyle w:val="Hyperlink"/>
            <w:rFonts w:eastAsia="Times New Roman" w:cs="Times New Roman"/>
            <w:szCs w:val="20"/>
          </w:rPr>
          <w:noBreakHyphen/>
        </w:r>
        <w:r w:rsidRPr="00A1381B">
          <w:rPr>
            <w:rStyle w:val="Hyperlink"/>
            <w:rFonts w:eastAsia="Times New Roman" w:cs="Times New Roman"/>
            <w:szCs w:val="20"/>
          </w:rPr>
          <w:t>21/4</w:t>
        </w:r>
      </w:hyperlink>
      <w:r w:rsidRPr="00A1381B">
        <w:t xml:space="preserve">, </w:t>
      </w:r>
      <w:hyperlink r:id="rId21" w:history="1">
        <w:r w:rsidRPr="00A1381B">
          <w:rPr>
            <w:rStyle w:val="Hyperlink"/>
            <w:rFonts w:eastAsia="Times New Roman" w:cs="Times New Roman"/>
            <w:szCs w:val="20"/>
          </w:rPr>
          <w:t>CWG-FHR-22/4</w:t>
        </w:r>
      </w:hyperlink>
      <w:r w:rsidRPr="00A1381B">
        <w:t xml:space="preserve"> et </w:t>
      </w:r>
      <w:hyperlink r:id="rId22" w:history="1">
        <w:r w:rsidRPr="00A1381B">
          <w:rPr>
            <w:rStyle w:val="Hyperlink"/>
            <w:rFonts w:eastAsia="Times New Roman" w:cs="Times New Roman"/>
            <w:szCs w:val="20"/>
          </w:rPr>
          <w:t>CWG-FHR-22/31</w:t>
        </w:r>
      </w:hyperlink>
      <w:r w:rsidRPr="00A1381B">
        <w:t>)</w:t>
      </w:r>
    </w:p>
    <w:p w14:paraId="3CCB47A8" w14:textId="13322C61" w:rsidR="00462C65" w:rsidRPr="00A1381B" w:rsidRDefault="00462C65" w:rsidP="00AD06F1">
      <w:pPr>
        <w:tabs>
          <w:tab w:val="clear" w:pos="567"/>
          <w:tab w:val="left" w:pos="709"/>
        </w:tabs>
      </w:pPr>
      <w:r w:rsidRPr="00A1381B">
        <w:t>4.1</w:t>
      </w:r>
      <w:r w:rsidRPr="00A1381B">
        <w:tab/>
        <w:t>Un Groupe d</w:t>
      </w:r>
      <w:r w:rsidR="004E25D8" w:rsidRPr="00A1381B">
        <w:t>'</w:t>
      </w:r>
      <w:r w:rsidRPr="00A1381B">
        <w:t>action intersectoriel, dirigé par le Vice-Secrétaire général, a été créé pour procéder à un examen de la présence régionale de l</w:t>
      </w:r>
      <w:r w:rsidR="004E25D8" w:rsidRPr="00A1381B">
        <w:t>'</w:t>
      </w:r>
      <w:r w:rsidRPr="00A1381B">
        <w:t>UIT sur une période de 10</w:t>
      </w:r>
      <w:r w:rsidR="00DA2888" w:rsidRPr="00A1381B">
        <w:t> </w:t>
      </w:r>
      <w:r w:rsidRPr="00A1381B">
        <w:t>mois allant de</w:t>
      </w:r>
      <w:r w:rsidR="00DA2888" w:rsidRPr="00A1381B">
        <w:t> </w:t>
      </w:r>
      <w:r w:rsidRPr="00A1381B">
        <w:t>juillet 2025 à avril 2026. Cet examen est structuré en quatre phases: 1) l'évaluation préliminaire; 2) la collecte des données et l'analyse initiale; 3) l'analyse détaillée et la rédaction; et 4) la validation et la présentation de rapports.</w:t>
      </w:r>
    </w:p>
    <w:p w14:paraId="5D88C3A2" w14:textId="238FD75D" w:rsidR="00462C65" w:rsidRPr="00A1381B" w:rsidRDefault="00462C65" w:rsidP="00AD06F1">
      <w:pPr>
        <w:tabs>
          <w:tab w:val="clear" w:pos="567"/>
          <w:tab w:val="left" w:pos="709"/>
        </w:tabs>
      </w:pPr>
      <w:r w:rsidRPr="00A1381B">
        <w:t>4.2</w:t>
      </w:r>
      <w:r w:rsidRPr="00A1381B">
        <w:tab/>
        <w:t>Le BDT a mené à bien la première phase en élaborant des enquêtes distinctes à l</w:t>
      </w:r>
      <w:r w:rsidR="004E25D8" w:rsidRPr="00A1381B">
        <w:t>'</w:t>
      </w:r>
      <w:r w:rsidRPr="00A1381B">
        <w:t>intention des membres et du personnel de l</w:t>
      </w:r>
      <w:r w:rsidR="004E25D8" w:rsidRPr="00A1381B">
        <w:t>'</w:t>
      </w:r>
      <w:r w:rsidRPr="00A1381B">
        <w:t xml:space="preserve">UIT. Les enquêtes ont été mises à disposition pour une durée d'un mois et les résultats provisoires ont été présentés lors de la CMDT-25, qui s'est tenue à Bakou (Azerbaïdjan). En outre, un rapport sur les résultats préliminaires (Document </w:t>
      </w:r>
      <w:hyperlink r:id="rId23" w:history="1">
        <w:r w:rsidRPr="00A1381B">
          <w:rPr>
            <w:rStyle w:val="Hyperlink"/>
            <w:rFonts w:eastAsia="Times New Roman" w:cs="Times New Roman"/>
            <w:szCs w:val="20"/>
          </w:rPr>
          <w:t>CWG-FHR-22/4</w:t>
        </w:r>
      </w:hyperlink>
      <w:r w:rsidRPr="00A1381B">
        <w:t>) a été établi en vue de la 22ème réunion du GTC-FHR.</w:t>
      </w:r>
    </w:p>
    <w:p w14:paraId="62C60241" w14:textId="1303AD42" w:rsidR="00462C65" w:rsidRPr="00A1381B" w:rsidRDefault="00462C65" w:rsidP="006A52AF">
      <w:pPr>
        <w:keepLines/>
        <w:tabs>
          <w:tab w:val="clear" w:pos="567"/>
          <w:tab w:val="left" w:pos="709"/>
        </w:tabs>
      </w:pPr>
      <w:r w:rsidRPr="00A1381B">
        <w:lastRenderedPageBreak/>
        <w:t>4.3</w:t>
      </w:r>
      <w:r w:rsidRPr="00A1381B">
        <w:tab/>
        <w:t>Lors de la 22ème réunion du GTC-FHR, plusieurs délégués ont exprimé des préoccupations concernant le calendrier, en particulier quant à la question de savoir si les quatre phases seraient achevées à temps pour la session de 2026 du Conseil, et ont demandé davantage de renseignements sur les résultats de l</w:t>
      </w:r>
      <w:r w:rsidR="004E25D8" w:rsidRPr="00A1381B">
        <w:t>'</w:t>
      </w:r>
      <w:r w:rsidRPr="00A1381B">
        <w:t>enquête. Les délégués ont également demandé les résultats de l</w:t>
      </w:r>
      <w:r w:rsidR="004E25D8" w:rsidRPr="00A1381B">
        <w:t>'</w:t>
      </w:r>
      <w:r w:rsidRPr="00A1381B">
        <w:t>enquête auprès du personnel.</w:t>
      </w:r>
    </w:p>
    <w:p w14:paraId="615160BC" w14:textId="5E0FA4EF" w:rsidR="00462C65" w:rsidRPr="00A1381B" w:rsidRDefault="00462C65" w:rsidP="00AD06F1">
      <w:pPr>
        <w:tabs>
          <w:tab w:val="clear" w:pos="567"/>
          <w:tab w:val="left" w:pos="709"/>
        </w:tabs>
      </w:pPr>
      <w:r w:rsidRPr="00A1381B">
        <w:t>4.4</w:t>
      </w:r>
      <w:r w:rsidRPr="00A1381B">
        <w:tab/>
        <w:t>Le Comité exécutif de la Communauté régionale des communications (RCC), l</w:t>
      </w:r>
      <w:r w:rsidR="004E25D8" w:rsidRPr="00A1381B">
        <w:t>'</w:t>
      </w:r>
      <w:r w:rsidRPr="00A1381B">
        <w:t>Arménie, le Bélarus, le Center for Global IT-Cooperation, le Kirghizistan, la Fédération</w:t>
      </w:r>
      <w:r w:rsidR="00EA17B9" w:rsidRPr="00A1381B">
        <w:t> </w:t>
      </w:r>
      <w:r w:rsidRPr="00A1381B">
        <w:t>de</w:t>
      </w:r>
      <w:r w:rsidR="00EA17B9" w:rsidRPr="00A1381B">
        <w:t> </w:t>
      </w:r>
      <w:r w:rsidRPr="00A1381B">
        <w:t>Russie, le Tadjikistan et l</w:t>
      </w:r>
      <w:r w:rsidR="004E25D8" w:rsidRPr="00A1381B">
        <w:t>'</w:t>
      </w:r>
      <w:r w:rsidRPr="00A1381B">
        <w:t>Ouzbékistan ont soumis une contribution (Document</w:t>
      </w:r>
      <w:r w:rsidR="00AD06F1" w:rsidRPr="00A1381B">
        <w:t> </w:t>
      </w:r>
      <w:hyperlink r:id="rId24" w:history="1">
        <w:r w:rsidRPr="00A1381B">
          <w:rPr>
            <w:rStyle w:val="Hyperlink"/>
            <w:rFonts w:eastAsia="Times New Roman" w:cs="Times New Roman"/>
            <w:szCs w:val="20"/>
          </w:rPr>
          <w:t>CWG</w:t>
        </w:r>
        <w:r w:rsidR="00AD06F1" w:rsidRPr="00A1381B">
          <w:rPr>
            <w:rStyle w:val="Hyperlink"/>
            <w:rFonts w:eastAsia="Times New Roman" w:cs="Times New Roman"/>
            <w:szCs w:val="20"/>
          </w:rPr>
          <w:noBreakHyphen/>
        </w:r>
        <w:r w:rsidRPr="00A1381B">
          <w:rPr>
            <w:rStyle w:val="Hyperlink"/>
            <w:rFonts w:eastAsia="Times New Roman" w:cs="Times New Roman"/>
            <w:szCs w:val="20"/>
          </w:rPr>
          <w:t>FHR</w:t>
        </w:r>
        <w:r w:rsidR="00AD06F1" w:rsidRPr="00A1381B">
          <w:rPr>
            <w:rStyle w:val="Hyperlink"/>
            <w:rFonts w:eastAsia="Times New Roman" w:cs="Times New Roman"/>
            <w:szCs w:val="20"/>
          </w:rPr>
          <w:noBreakHyphen/>
        </w:r>
        <w:r w:rsidRPr="00A1381B">
          <w:rPr>
            <w:rStyle w:val="Hyperlink"/>
            <w:rFonts w:eastAsia="Times New Roman" w:cs="Times New Roman"/>
            <w:szCs w:val="20"/>
          </w:rPr>
          <w:t>22/31</w:t>
        </w:r>
      </w:hyperlink>
      <w:r w:rsidRPr="00A1381B">
        <w:t>) à la</w:t>
      </w:r>
      <w:r w:rsidR="00831FDC" w:rsidRPr="00A1381B">
        <w:t> </w:t>
      </w:r>
      <w:r w:rsidRPr="00A1381B">
        <w:t>22ème réunion du GTC-FHR, laquelle donne une évaluation de synthèse de l</w:t>
      </w:r>
      <w:r w:rsidR="004E25D8" w:rsidRPr="00A1381B">
        <w:t>'</w:t>
      </w:r>
      <w:r w:rsidRPr="00A1381B">
        <w:t>efficacité des travaux du Bureau régional de l</w:t>
      </w:r>
      <w:r w:rsidR="004E25D8" w:rsidRPr="00A1381B">
        <w:t>'</w:t>
      </w:r>
      <w:r w:rsidRPr="00A1381B">
        <w:t>UIT pour la CEI et des conclusions essentielles sur plusieurs aspects de ses activités. Dans cette contribution, le</w:t>
      </w:r>
      <w:r w:rsidR="00EA17B9" w:rsidRPr="00A1381B">
        <w:t> </w:t>
      </w:r>
      <w:r w:rsidRPr="00A1381B">
        <w:t>GTC-FHR est également invité à examiner six propositions distinctes visant à renforcer la présence et la coopération régionales de l</w:t>
      </w:r>
      <w:r w:rsidR="004E25D8" w:rsidRPr="00A1381B">
        <w:t>'</w:t>
      </w:r>
      <w:r w:rsidRPr="00A1381B">
        <w:t>UIT dans la région de la CEI. La Présidente a demandé que les propositions de la RCC soient prises en considération dans le rapport final sur la présence régionale de l</w:t>
      </w:r>
      <w:r w:rsidR="004E25D8" w:rsidRPr="00A1381B">
        <w:t>'</w:t>
      </w:r>
      <w:r w:rsidRPr="00A1381B">
        <w:t>UIT.</w:t>
      </w:r>
    </w:p>
    <w:p w14:paraId="09F9066F" w14:textId="69B88FAC" w:rsidR="00462C65"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4.5</w:t>
      </w:r>
      <w:r w:rsidRPr="00A1381B">
        <w:tab/>
        <w:t xml:space="preserve">Le GTC-FHR a </w:t>
      </w:r>
      <w:r w:rsidRPr="00A1381B">
        <w:rPr>
          <w:b/>
          <w:bCs/>
        </w:rPr>
        <w:t>recommandé</w:t>
      </w:r>
      <w:r w:rsidRPr="00A1381B">
        <w:t xml:space="preserve"> au secrétariat de publier les résultats de l</w:t>
      </w:r>
      <w:r w:rsidR="004E25D8" w:rsidRPr="00A1381B">
        <w:t>'</w:t>
      </w:r>
      <w:r w:rsidRPr="00A1381B">
        <w:t>enquête auprès du personnel sur le site web du GTC-FHR.</w:t>
      </w:r>
    </w:p>
    <w:p w14:paraId="4D17F7E6" w14:textId="6754371E" w:rsidR="006A11AE" w:rsidRPr="00A1381B" w:rsidRDefault="00462C65"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4.6</w:t>
      </w:r>
      <w:r w:rsidRPr="00A1381B">
        <w:tab/>
        <w:t xml:space="preserve">Le GTC-FHR a </w:t>
      </w:r>
      <w:r w:rsidRPr="00A1381B">
        <w:rPr>
          <w:b/>
          <w:bCs/>
        </w:rPr>
        <w:t>recommandé</w:t>
      </w:r>
      <w:r w:rsidRPr="00A1381B">
        <w:t xml:space="preserve"> au secrétariat d</w:t>
      </w:r>
      <w:r w:rsidR="004E25D8" w:rsidRPr="00A1381B">
        <w:t>'</w:t>
      </w:r>
      <w:r w:rsidRPr="00A1381B">
        <w:t>organiser une séance d</w:t>
      </w:r>
      <w:r w:rsidR="004E25D8" w:rsidRPr="00A1381B">
        <w:t>'</w:t>
      </w:r>
      <w:r w:rsidRPr="00A1381B">
        <w:t>information avant la session de 2026 du Conseil afin d</w:t>
      </w:r>
      <w:r w:rsidR="004E25D8" w:rsidRPr="00A1381B">
        <w:t>'</w:t>
      </w:r>
      <w:r w:rsidRPr="00A1381B">
        <w:t>informer les États Membres de l</w:t>
      </w:r>
      <w:r w:rsidR="004E25D8" w:rsidRPr="00A1381B">
        <w:t>'</w:t>
      </w:r>
      <w:r w:rsidRPr="00A1381B">
        <w:t>initiative relative à la présence régionale et de tenir compte des observations des États Membres dans son rapport final à la session de 2026 du Conseil.</w:t>
      </w:r>
    </w:p>
    <w:p w14:paraId="073589FD" w14:textId="60AC720C" w:rsidR="00831FDC" w:rsidRPr="00A1381B" w:rsidRDefault="00831FDC" w:rsidP="00AD06F1">
      <w:pPr>
        <w:pStyle w:val="Heading1"/>
        <w:tabs>
          <w:tab w:val="clear" w:pos="567"/>
          <w:tab w:val="left" w:pos="709"/>
        </w:tabs>
        <w:ind w:left="709" w:hanging="709"/>
        <w:rPr>
          <w:rFonts w:cs="Times New Roman Bold"/>
          <w:spacing w:val="-2"/>
        </w:rPr>
      </w:pPr>
      <w:r w:rsidRPr="00A1381B">
        <w:rPr>
          <w:bCs/>
        </w:rPr>
        <w:t>5</w:t>
      </w:r>
      <w:r w:rsidRPr="00A1381B">
        <w:tab/>
        <w:t xml:space="preserve">Projet de locaux du siège de l'Union et plan stratégique pour le campus (Documents </w:t>
      </w:r>
      <w:hyperlink r:id="rId25" w:history="1">
        <w:r w:rsidRPr="00A1381B">
          <w:rPr>
            <w:rStyle w:val="Hyperlink"/>
            <w:rFonts w:eastAsia="Times New Roman" w:cs="Times New Roman"/>
            <w:szCs w:val="20"/>
          </w:rPr>
          <w:t>CWG-FHR-21/5(Rév.1)</w:t>
        </w:r>
      </w:hyperlink>
      <w:r w:rsidRPr="00A1381B">
        <w:t xml:space="preserve">, </w:t>
      </w:r>
      <w:hyperlink r:id="rId26" w:history="1">
        <w:r w:rsidRPr="00A1381B">
          <w:rPr>
            <w:rStyle w:val="Hyperlink"/>
            <w:rFonts w:eastAsia="Times New Roman" w:cs="Times New Roman"/>
            <w:szCs w:val="20"/>
          </w:rPr>
          <w:t>CWG-FHR-21/6</w:t>
        </w:r>
      </w:hyperlink>
      <w:r w:rsidRPr="00A1381B">
        <w:t xml:space="preserve">, </w:t>
      </w:r>
      <w:hyperlink r:id="rId27" w:history="1">
        <w:r w:rsidRPr="00A1381B">
          <w:rPr>
            <w:rStyle w:val="Hyperlink"/>
            <w:rFonts w:eastAsia="Times New Roman" w:cs="Times New Roman"/>
            <w:szCs w:val="20"/>
          </w:rPr>
          <w:t>CWG</w:t>
        </w:r>
        <w:r w:rsidRPr="00A1381B">
          <w:rPr>
            <w:rStyle w:val="Hyperlink"/>
            <w:rFonts w:eastAsia="Times New Roman" w:cs="Times New Roman"/>
            <w:szCs w:val="20"/>
          </w:rPr>
          <w:noBreakHyphen/>
          <w:t>FHR</w:t>
        </w:r>
        <w:r w:rsidRPr="00A1381B">
          <w:rPr>
            <w:rStyle w:val="Hyperlink"/>
            <w:rFonts w:eastAsia="Times New Roman" w:cs="Times New Roman"/>
            <w:szCs w:val="20"/>
          </w:rPr>
          <w:noBreakHyphen/>
          <w:t>22/8(Rév.1)</w:t>
        </w:r>
      </w:hyperlink>
      <w:r w:rsidRPr="00A1381B">
        <w:t xml:space="preserve"> et </w:t>
      </w:r>
      <w:hyperlink r:id="rId28" w:history="1">
        <w:r w:rsidRPr="00A1381B">
          <w:rPr>
            <w:rStyle w:val="Hyperlink"/>
            <w:rFonts w:eastAsia="Times New Roman" w:cs="Times New Roman"/>
            <w:szCs w:val="20"/>
          </w:rPr>
          <w:t>CWG-FHR-22-5(Rév.1)</w:t>
        </w:r>
      </w:hyperlink>
      <w:r w:rsidRPr="00A1381B">
        <w:t>)</w:t>
      </w:r>
      <w:hyperlink r:id="rId29" w:history="1"/>
      <w:hyperlink r:id="rId30" w:history="1"/>
      <w:hyperlink r:id="rId31" w:history="1">
        <w:bookmarkStart w:id="0" w:name="_Hlt222310251"/>
        <w:bookmarkStart w:id="1" w:name="_Hlt222310252"/>
        <w:bookmarkEnd w:id="0"/>
        <w:bookmarkEnd w:id="1"/>
      </w:hyperlink>
      <w:hyperlink r:id="rId32" w:history="1"/>
    </w:p>
    <w:p w14:paraId="2BFB6695" w14:textId="777D10A7" w:rsidR="00831FDC" w:rsidRPr="00A1381B" w:rsidRDefault="00831FDC" w:rsidP="00AD06F1">
      <w:pPr>
        <w:tabs>
          <w:tab w:val="clear" w:pos="567"/>
          <w:tab w:val="left" w:pos="709"/>
        </w:tabs>
      </w:pPr>
      <w:r w:rsidRPr="00A1381B">
        <w:t>5.1</w:t>
      </w:r>
      <w:r w:rsidRPr="00A1381B">
        <w:tab/>
        <w:t>Les informations les plus récentes communiquées par le secrétariat à la 21ème</w:t>
      </w:r>
      <w:r w:rsidR="00EA17B9" w:rsidRPr="00A1381B">
        <w:t> </w:t>
      </w:r>
      <w:r w:rsidRPr="00A1381B">
        <w:t>réunion du GTC-FHR ont porté sur le plan stratégique pour le campus et les activités d'appui connexes visant à garantir que le campus de l'UIT est à la fois en adéquation avec sa mission et paré pour l'avenir. En vue de l'examen de la Résolution 212 (Rév. Bucarest, 2022) qui aura lieu à la Conférence de plénipotentiaires de 2026 (PP-26), le secrétariat a informé les délégués de l'étude réalisée par l'UIT sur le Campus de Genève ainsi que de trois scénarios pour le futur campus. Soulignant les besoins concernant l'intégralité du campus jusqu'en 2032, le secrétariat a précisé qu'il n'était pas nécessaire de choisir un scénario d'ici à la PP-26. Cependant, le secrétariat a besoin que les délégués révisent la Résolution 212 (Rév. Bucarest, 2022) afin de permettre la poursuite des processus d'élaboration du plan stratégique pour le campus.</w:t>
      </w:r>
    </w:p>
    <w:p w14:paraId="669B3A64" w14:textId="77777777" w:rsidR="00831FDC" w:rsidRPr="00A1381B" w:rsidRDefault="00831FDC" w:rsidP="00AD06F1">
      <w:pPr>
        <w:tabs>
          <w:tab w:val="clear" w:pos="567"/>
          <w:tab w:val="left" w:pos="709"/>
        </w:tabs>
        <w:rPr>
          <w:spacing w:val="-2"/>
        </w:rPr>
      </w:pPr>
      <w:r w:rsidRPr="00A1381B">
        <w:t>5.2</w:t>
      </w:r>
      <w:r w:rsidRPr="00A1381B">
        <w:tab/>
        <w:t>En réponse, un délégué de la Suisse a rappelé au Groupe de travail du Conseil que lorsqu'une organisation internationale bénéficie de conditions avantageuses offertes par l'État hôte, comme un prêt à taux zéro, la surface locative d'un bâtiment financé par un tel prêt est limitée afin de garantir une concurrence loyale. D'autres délégués ont demandé des éclaircissements sur le lien entre les projets de campus et l'initiative relative au centre de réunions. Un délégué a suggéré de mettre en balance les investissements en faveur du campus avec les discussions sur la présence régionale de l'UIT, afin que le renforcement de la présence de l'Union à Genève ne se fasse pas au détriment de sa présence régionale.</w:t>
      </w:r>
    </w:p>
    <w:p w14:paraId="6C1C0D7B" w14:textId="7902EEF9" w:rsidR="00831FDC" w:rsidRPr="00A1381B" w:rsidRDefault="00831FDC" w:rsidP="00AD06F1">
      <w:pPr>
        <w:tabs>
          <w:tab w:val="clear" w:pos="567"/>
          <w:tab w:val="left" w:pos="709"/>
        </w:tabs>
      </w:pPr>
      <w:r w:rsidRPr="00A1381B">
        <w:lastRenderedPageBreak/>
        <w:t>5.3</w:t>
      </w:r>
      <w:r w:rsidRPr="00A1381B">
        <w:tab/>
        <w:t xml:space="preserve">De plus, à la 21ème réunion du GTC-FHR, deux États Membres ont soumis des contributions. Dans une contribution (Document </w:t>
      </w:r>
      <w:hyperlink r:id="rId33" w:history="1">
        <w:r w:rsidRPr="00A1381B">
          <w:rPr>
            <w:rStyle w:val="Hyperlink"/>
            <w:rFonts w:eastAsia="Times New Roman" w:cs="Times New Roman"/>
            <w:szCs w:val="20"/>
          </w:rPr>
          <w:t>CWG-FHR-21/18</w:t>
        </w:r>
      </w:hyperlink>
      <w:r w:rsidRPr="00A1381B">
        <w:t xml:space="preserve">), la République sudafricaine a officiellement demandé que le registre des risques soit présenté à la réunion suivante du GTC-FHR afin de faciliter le suivi complet des stratégies de gestion des risques et des mesures d'atténuation. La Présidente a pris note de cette demande et a demandé au Président du Groupe consultatif d'États Membres (MSAG) de rendre compte des risques stratégiques lors des futures sessions du Conseil et réunions du GTC-FHR. L'autre contribution (Document </w:t>
      </w:r>
      <w:hyperlink r:id="rId34" w:history="1">
        <w:r w:rsidRPr="00A1381B">
          <w:rPr>
            <w:rStyle w:val="Hyperlink"/>
            <w:rFonts w:eastAsia="Times New Roman" w:cs="Times New Roman"/>
            <w:szCs w:val="20"/>
          </w:rPr>
          <w:t>CWG-FHR-21/21</w:t>
        </w:r>
      </w:hyperlink>
      <w:r w:rsidRPr="00A1381B">
        <w:t>) a été soumise par la Communauté régionale des communications (RCC) et le Tadjikistan. Dans cette contribution, il est proposé de rationaliser les résolutions précédentes du Conseil et de la Conférence de plénipotentiaires, de réviser les résolutions et décisions pertinentes afin de conserver le bâtiment de la Tour, de préserver les principales salles de réunion et les principaux éléments historiques, et de demander à la Secrétaire générale de présenter un projet conceptuel qui réponde mieux aux besoins des Membres et du personnel.</w:t>
      </w:r>
      <w:hyperlink r:id="rId35" w:history="1"/>
      <w:hyperlink r:id="rId36" w:history="1"/>
    </w:p>
    <w:p w14:paraId="0B3E0AE4" w14:textId="24EE76AE" w:rsidR="00831FDC" w:rsidRPr="00A1381B" w:rsidRDefault="00831FDC" w:rsidP="00AD06F1">
      <w:pPr>
        <w:tabs>
          <w:tab w:val="clear" w:pos="567"/>
          <w:tab w:val="left" w:pos="709"/>
        </w:tabs>
      </w:pPr>
      <w:r w:rsidRPr="00A1381B">
        <w:t>5.4</w:t>
      </w:r>
      <w:r w:rsidRPr="00A1381B">
        <w:tab/>
        <w:t xml:space="preserve">À la 22ème réunion du GTC-FHR, la Présidente, après avoir mené des consultations informelles avec la RCC et la République kirghize, a présenté le Document </w:t>
      </w:r>
      <w:hyperlink r:id="rId37" w:history="1">
        <w:r w:rsidRPr="00A1381B">
          <w:rPr>
            <w:rStyle w:val="Hyperlink"/>
            <w:rFonts w:eastAsia="Times New Roman" w:cs="Times New Roman"/>
            <w:szCs w:val="20"/>
          </w:rPr>
          <w:t>CWG-FHR-22/22</w:t>
        </w:r>
      </w:hyperlink>
      <w:r w:rsidRPr="00A1381B">
        <w:t xml:space="preserve">, précisant aux délégués qu'il n'était plus nécessaire de poursuivre les discussions, le secrétariat ayant révisé les Documents </w:t>
      </w:r>
      <w:hyperlink r:id="rId38" w:history="1">
        <w:r w:rsidRPr="00A1381B">
          <w:rPr>
            <w:rStyle w:val="Hyperlink"/>
            <w:rFonts w:eastAsia="Times New Roman" w:cs="Times New Roman"/>
            <w:szCs w:val="20"/>
          </w:rPr>
          <w:t>CWG-FHR-22/8</w:t>
        </w:r>
      </w:hyperlink>
      <w:r w:rsidRPr="00A1381B">
        <w:t xml:space="preserve"> et </w:t>
      </w:r>
      <w:hyperlink r:id="rId39" w:history="1">
        <w:r w:rsidRPr="00A1381B">
          <w:rPr>
            <w:rStyle w:val="Hyperlink"/>
            <w:rFonts w:eastAsia="Times New Roman" w:cs="Times New Roman"/>
            <w:szCs w:val="20"/>
          </w:rPr>
          <w:t>CWG-FHR-22/5</w:t>
        </w:r>
      </w:hyperlink>
      <w:r w:rsidRPr="00A1381B">
        <w:t xml:space="preserve"> pour inclure les informations manquantes de la 21ème réunion du Groupe. Le secrétariat a ensuite informé le GTC-FHR que le calendrier général du projet de locaux du siège avançait comme prévu et qu'on en était désormais à la phase de conception après avoir achevé l'étude de faisabilité. Il a également été noté que le secrétariat a fait appel aux services de gestion de projet du consortium Cumming Group &amp; JAM Management. Le secrétariat a également évoqué son partenariat étroit avec le pays hôte, la Suisse, ainsi que la démarche plus large d'intégration dans le quartier, afin de garantir l'intégration harmonieuse de l'UIT dans le quartier et sa conformité aux exigences de sécurité des Nations Unies. Revenant sur les principaux points abordés à la 21ème réunion du groupe, le secrétariat a présenté la stratégie de développement pour le financement futur et la planification des investissements pour confirmer que le Campus de l'UIT est en adéquation avec sa mission. Le secrétariat a conclu en déclarant qu'il continuerait de travailler avec des experts immobiliers, qui avaient précédemment travaillé avec l'Organisation mondiale de la propriété intellectuelle (OMPI), et qu'il présenterait un rapport plus complet au Conseil à sa session de 2026, avant le réexamen de la Résolution 212 (Rév. Bucarest, 2022) à la PP-26.</w:t>
      </w:r>
      <w:hyperlink r:id="rId40" w:history="1"/>
      <w:hyperlink r:id="rId41" w:history="1"/>
      <w:hyperlink r:id="rId42" w:history="1"/>
    </w:p>
    <w:p w14:paraId="6634932F" w14:textId="6DEE39EC" w:rsidR="00831FDC" w:rsidRPr="00A1381B" w:rsidRDefault="00831FDC" w:rsidP="00AD06F1">
      <w:pPr>
        <w:tabs>
          <w:tab w:val="clear" w:pos="567"/>
          <w:tab w:val="left" w:pos="709"/>
        </w:tabs>
      </w:pPr>
      <w:r w:rsidRPr="00A1381B">
        <w:t>5.5</w:t>
      </w:r>
      <w:r w:rsidRPr="00A1381B">
        <w:tab/>
        <w:t>Le Président du Groupe MSAG a ensuite présenté le rapport du groupe (Document </w:t>
      </w:r>
      <w:hyperlink r:id="rId43" w:history="1">
        <w:r w:rsidRPr="00A1381B">
          <w:rPr>
            <w:rStyle w:val="Hyperlink"/>
            <w:rFonts w:eastAsia="Times New Roman" w:cs="Times New Roman"/>
            <w:szCs w:val="20"/>
          </w:rPr>
          <w:t>CWG-FHR-22/24</w:t>
        </w:r>
      </w:hyperlink>
      <w:r w:rsidRPr="00A1381B">
        <w:t>) et confirmé que tous les risques liés au projet sont examinés activement à intervalles réguliers et que les fonds de réserve actuels sont (pour l'instant) suffisants. En outre, le Président du Groupe MSAG a informé les délégués que le registre des risques resterait un point permanent de l'ordre du jour et que le groupe intégrerait, dans son examen continu du registre, les contributions de l'équipe de gestion du projet nouvellement recrutée ainsi que des connaissances concernant le marché genevois.</w:t>
      </w:r>
      <w:hyperlink r:id="rId44" w:history="1"/>
    </w:p>
    <w:p w14:paraId="09FF616C" w14:textId="6730FFE7" w:rsidR="00831FDC" w:rsidRPr="00A1381B" w:rsidRDefault="00831FDC" w:rsidP="00AD06F1">
      <w:pPr>
        <w:tabs>
          <w:tab w:val="clear" w:pos="567"/>
          <w:tab w:val="left" w:pos="709"/>
        </w:tabs>
      </w:pPr>
      <w:r w:rsidRPr="00A1381B">
        <w:t>5.6</w:t>
      </w:r>
      <w:r w:rsidRPr="00A1381B">
        <w:tab/>
        <w:t>Les délégués ont posé diverses questions visant à clarifier le concept qui sous-tend le plan directeur d'intégration dans le quartier, ainsi que le plan d'aménagement du bâtiment et le plan pluriannuel des coûts. D'autres questions ont été soulevées au sujet du nouveau cadre proposé par le gouvernement pour le projet de construction du siège et de la manière dont le secrétariat envisage de combler les déficits de financement, comme celui laissé par le retrait du parrainage des Émirats arabes unis.</w:t>
      </w:r>
    </w:p>
    <w:p w14:paraId="25491C91" w14:textId="5DD633C8" w:rsidR="00831FDC" w:rsidRPr="00A1381B" w:rsidRDefault="00831FDC" w:rsidP="00AD06F1">
      <w:pPr>
        <w:tabs>
          <w:tab w:val="clear" w:pos="567"/>
          <w:tab w:val="left" w:pos="709"/>
        </w:tabs>
      </w:pPr>
      <w:r w:rsidRPr="00A1381B">
        <w:t>5.7</w:t>
      </w:r>
      <w:r w:rsidRPr="00A1381B">
        <w:tab/>
        <w:t>Un délégué a demandé une analyse de cas concernant les emplacements de sites à moindre coût. Le secrétariat a répondu en confirmant qu'un travail mené par les ressources humaines ainsi que l'administration et les finances avait déjà été entamé afin d'évaluer tous les emplois au sein de l'UIT et leur raison d'être au sein d'un lieu d'affectation, d'une région ou d'un bureau de zone spécifique. L'UIT est engagée à faire des économies et à contribuer à renforcer la présence régionale ainsi que le positionnement global de l'Union dans le monde.</w:t>
      </w:r>
    </w:p>
    <w:p w14:paraId="00D9A03A" w14:textId="603833B9" w:rsidR="00831FDC" w:rsidRPr="00A1381B" w:rsidRDefault="00831FDC" w:rsidP="00AD06F1">
      <w:pPr>
        <w:keepLines/>
        <w:pBdr>
          <w:top w:val="single" w:sz="4" w:space="1" w:color="auto"/>
          <w:left w:val="single" w:sz="4" w:space="4" w:color="auto"/>
          <w:bottom w:val="single" w:sz="4" w:space="1" w:color="auto"/>
          <w:right w:val="single" w:sz="4" w:space="4" w:color="auto"/>
        </w:pBdr>
        <w:tabs>
          <w:tab w:val="clear" w:pos="567"/>
          <w:tab w:val="left" w:pos="709"/>
        </w:tabs>
      </w:pPr>
      <w:r w:rsidRPr="00A1381B">
        <w:t>5.8</w:t>
      </w:r>
      <w:r w:rsidRPr="00A1381B">
        <w:tab/>
        <w:t xml:space="preserve">Le GTC-FHR a </w:t>
      </w:r>
      <w:r w:rsidRPr="00A1381B">
        <w:rPr>
          <w:b/>
          <w:bCs/>
        </w:rPr>
        <w:t>recommandé</w:t>
      </w:r>
      <w:r w:rsidRPr="00A1381B">
        <w:t xml:space="preserve"> au secrétariat de soumettre un rapport actualisé au Conseil. Le rapport devrait inclure le plan d'intégration dans le quartier, des informations complémentaires sur le plan d'entretien du campus et des informations supplémentaires sur la stratégie d'atténuation de la réduction 5 millions CHF.</w:t>
      </w:r>
    </w:p>
    <w:p w14:paraId="37E4715D" w14:textId="0B6EF369" w:rsidR="00831FDC" w:rsidRPr="00A1381B" w:rsidRDefault="00831FDC" w:rsidP="00AD06F1">
      <w:pPr>
        <w:pStyle w:val="Heading1"/>
        <w:tabs>
          <w:tab w:val="clear" w:pos="567"/>
          <w:tab w:val="left" w:pos="709"/>
        </w:tabs>
        <w:ind w:left="709" w:hanging="709"/>
      </w:pPr>
      <w:r w:rsidRPr="00A1381B">
        <w:rPr>
          <w:bCs/>
        </w:rPr>
        <w:t>6</w:t>
      </w:r>
      <w:r w:rsidRPr="00A1381B">
        <w:tab/>
        <w:t xml:space="preserve">Analyse des Décisions 588 (C16), 619 (C19, dernière mod. C21) et 640 (C24) du Conseil (Document </w:t>
      </w:r>
      <w:hyperlink r:id="rId45" w:history="1">
        <w:r w:rsidRPr="00A1381B">
          <w:rPr>
            <w:rStyle w:val="Hyperlink"/>
            <w:rFonts w:eastAsia="Times New Roman" w:cs="Times New Roman"/>
            <w:szCs w:val="20"/>
          </w:rPr>
          <w:t>CWG-FHR-22/18(Rév.1)</w:t>
        </w:r>
      </w:hyperlink>
      <w:r w:rsidRPr="00A1381B">
        <w:t>)</w:t>
      </w:r>
      <w:hyperlink r:id="rId46" w:history="1"/>
    </w:p>
    <w:p w14:paraId="51DDE1A4" w14:textId="5D6FEBB0" w:rsidR="00831FDC" w:rsidRPr="00A1381B" w:rsidRDefault="00831FDC" w:rsidP="00AD06F1">
      <w:pPr>
        <w:tabs>
          <w:tab w:val="clear" w:pos="567"/>
          <w:tab w:val="left" w:pos="709"/>
        </w:tabs>
      </w:pPr>
      <w:r w:rsidRPr="00A1381B">
        <w:t>6.1</w:t>
      </w:r>
      <w:r w:rsidRPr="00A1381B">
        <w:tab/>
        <w:t>À la 22ème réunion du GTC-FHR, le secrétariat a présenté une analyse des Décisions 588 (C16), 619 (C19, dernière mod. C21) et 640 (C24) du Conseil ainsi que des propositions de révision de la Décision 640. Cette analyse faisait suite à une demande formulée par le GTC-FHR à sa 21ème réunion.</w:t>
      </w:r>
    </w:p>
    <w:p w14:paraId="48262240" w14:textId="29B1A118" w:rsidR="00831FDC" w:rsidRPr="00A1381B" w:rsidRDefault="00831FDC" w:rsidP="00AD06F1">
      <w:pPr>
        <w:tabs>
          <w:tab w:val="clear" w:pos="567"/>
          <w:tab w:val="left" w:pos="709"/>
        </w:tabs>
      </w:pPr>
      <w:r w:rsidRPr="00A1381B">
        <w:t>6.2</w:t>
      </w:r>
      <w:r w:rsidRPr="00A1381B">
        <w:tab/>
        <w:t>De nombreux délégués ont demandé au secrétariat de fournir une version avec suivi des modifications du projet de révision de la Décision 640 au Conseil à sa session de 2026. Un délégué a rappelé au GTC qu'à sa session de 2025, le Conseil avait chargé le secrétariat de mener une étude approfondie, et que les informations fournies dans le Document </w:t>
      </w:r>
      <w:hyperlink r:id="rId47" w:history="1">
        <w:r w:rsidRPr="00A1381B">
          <w:rPr>
            <w:rStyle w:val="Hyperlink"/>
            <w:rFonts w:eastAsia="Times New Roman" w:cs="Times New Roman"/>
            <w:szCs w:val="20"/>
          </w:rPr>
          <w:t>CWG</w:t>
        </w:r>
        <w:r w:rsidRPr="00A1381B">
          <w:rPr>
            <w:rStyle w:val="Hyperlink"/>
            <w:rFonts w:eastAsia="Times New Roman" w:cs="Times New Roman"/>
            <w:szCs w:val="20"/>
          </w:rPr>
          <w:noBreakHyphen/>
          <w:t>FHR-22/18(Rév.1)</w:t>
        </w:r>
      </w:hyperlink>
      <w:r w:rsidRPr="00A1381B">
        <w:t xml:space="preserve"> étaient insuffisantes. Par conséquent, le délégué a souligné la nécessité pour le secrétariat de soumettre au Conseil, à sa session de 2026, une analyse paragraphe par paragraphe des trois Décisions, en mettant en évidence les dispositions qui restent pertinentes et celles qui sont obsolètes. Le délégué a conclu que l'analyse pourrait encore s'avérer utile, étant donné que les délégués devront examiner la Résolution 212 (Rév. Bucarest, 2022) à la Conférence de plénipotentiaires.</w:t>
      </w:r>
      <w:hyperlink r:id="rId48" w:history="1"/>
    </w:p>
    <w:p w14:paraId="79FCCAA3" w14:textId="13F4BDB3" w:rsidR="00831FDC" w:rsidRPr="00A1381B" w:rsidRDefault="00831FDC" w:rsidP="00AD06F1">
      <w:pPr>
        <w:tabs>
          <w:tab w:val="clear" w:pos="567"/>
          <w:tab w:val="left" w:pos="709"/>
        </w:tabs>
      </w:pPr>
      <w:r w:rsidRPr="00A1381B">
        <w:t>6.3</w:t>
      </w:r>
      <w:r w:rsidRPr="00A1381B">
        <w:tab/>
        <w:t>Quelques délégués ont évoqué la terminologie proposée dans le projet de révision de la Décision 640, en particulier le terme "campus". Un délégué a indiqué que celui-ci ne convenait pas à un contexte multinational et a suggéré d'utiliser un terme plus neutre et mieux connu. Un autre délégué a encouragé le secrétariat à s'appuyer sur la terminologie figurant dans la Convention de l'UIT.</w:t>
      </w:r>
    </w:p>
    <w:p w14:paraId="71F6C3CD" w14:textId="77777777"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6.4</w:t>
      </w:r>
      <w:r w:rsidRPr="00A1381B">
        <w:tab/>
        <w:t xml:space="preserve">Le GTC-FHR </w:t>
      </w:r>
      <w:r w:rsidRPr="00A1381B">
        <w:rPr>
          <w:b/>
          <w:bCs/>
        </w:rPr>
        <w:t>recommande</w:t>
      </w:r>
      <w:r w:rsidRPr="00A1381B">
        <w:t xml:space="preserve"> au secrétariat de présenter une analyse comparative paragraphe par paragraphe des Décisions 588, 619 et 640 au Conseil à sa session de 2026 avant la Conférence de plénipotentiaires de 2026.</w:t>
      </w:r>
    </w:p>
    <w:p w14:paraId="22C28197" w14:textId="1E7DED9D"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6.5</w:t>
      </w:r>
      <w:r w:rsidRPr="00A1381B">
        <w:tab/>
        <w:t xml:space="preserve">Le GTC-FHR a également </w:t>
      </w:r>
      <w:r w:rsidRPr="00A1381B">
        <w:rPr>
          <w:b/>
          <w:bCs/>
        </w:rPr>
        <w:t>recommandé</w:t>
      </w:r>
      <w:r w:rsidRPr="00A1381B">
        <w:t xml:space="preserve"> au secrétariat de revoir la convention de dénomination de l'UIT s'agissant du siège.</w:t>
      </w:r>
    </w:p>
    <w:p w14:paraId="1AF249E9" w14:textId="342BD16C" w:rsidR="00831FDC" w:rsidRPr="00A1381B" w:rsidRDefault="00831FDC" w:rsidP="006A52AF">
      <w:pPr>
        <w:pStyle w:val="Heading1"/>
        <w:tabs>
          <w:tab w:val="clear" w:pos="567"/>
          <w:tab w:val="left" w:pos="709"/>
        </w:tabs>
        <w:ind w:left="709" w:hanging="709"/>
      </w:pPr>
      <w:r w:rsidRPr="00A1381B">
        <w:rPr>
          <w:bCs/>
        </w:rPr>
        <w:t>7</w:t>
      </w:r>
      <w:r w:rsidRPr="00A1381B">
        <w:tab/>
        <w:t xml:space="preserve">Continuité des activités pour les réunions de l'UIT (2028-2029) (Documents </w:t>
      </w:r>
      <w:hyperlink r:id="rId49" w:history="1">
        <w:r w:rsidRPr="00A1381B">
          <w:rPr>
            <w:rStyle w:val="Hyperlink"/>
            <w:rFonts w:eastAsia="Times New Roman" w:cs="Times New Roman"/>
            <w:szCs w:val="20"/>
          </w:rPr>
          <w:t>CWG-FHR-21/10</w:t>
        </w:r>
      </w:hyperlink>
      <w:r w:rsidRPr="00A1381B">
        <w:t xml:space="preserve">, </w:t>
      </w:r>
      <w:hyperlink r:id="rId50" w:history="1">
        <w:r w:rsidRPr="00A1381B">
          <w:rPr>
            <w:rStyle w:val="Hyperlink"/>
            <w:rFonts w:eastAsia="Times New Roman" w:cs="Times New Roman"/>
            <w:szCs w:val="20"/>
          </w:rPr>
          <w:t>CWG-FHR-22/13</w:t>
        </w:r>
      </w:hyperlink>
      <w:r w:rsidRPr="00A1381B">
        <w:t xml:space="preserve">, </w:t>
      </w:r>
      <w:hyperlink r:id="rId51" w:history="1">
        <w:r w:rsidRPr="00A1381B">
          <w:rPr>
            <w:rStyle w:val="Hyperlink"/>
            <w:rFonts w:eastAsia="Times New Roman" w:cs="Times New Roman"/>
            <w:szCs w:val="20"/>
          </w:rPr>
          <w:t>CWG-FHR-22/23</w:t>
        </w:r>
      </w:hyperlink>
      <w:r w:rsidRPr="00A1381B">
        <w:t xml:space="preserve"> et </w:t>
      </w:r>
      <w:hyperlink r:id="rId52" w:history="1">
        <w:r w:rsidRPr="00A1381B">
          <w:rPr>
            <w:rStyle w:val="Hyperlink"/>
            <w:rFonts w:eastAsia="Times New Roman" w:cs="Times New Roman"/>
            <w:szCs w:val="20"/>
          </w:rPr>
          <w:t>CWG</w:t>
        </w:r>
        <w:r w:rsidRPr="00A1381B">
          <w:rPr>
            <w:rStyle w:val="Hyperlink"/>
            <w:rFonts w:eastAsia="Times New Roman" w:cs="Times New Roman"/>
            <w:szCs w:val="20"/>
          </w:rPr>
          <w:noBreakHyphen/>
          <w:t>FHR-22/28</w:t>
        </w:r>
      </w:hyperlink>
      <w:r w:rsidRPr="00A1381B">
        <w:t>)</w:t>
      </w:r>
      <w:hyperlink r:id="rId53" w:history="1"/>
      <w:hyperlink r:id="rId54" w:history="1"/>
      <w:hyperlink r:id="rId55" w:history="1"/>
      <w:hyperlink r:id="rId56" w:history="1"/>
    </w:p>
    <w:p w14:paraId="5C0A3121" w14:textId="2B539EB3" w:rsidR="00831FDC" w:rsidRPr="00A1381B" w:rsidRDefault="00831FDC" w:rsidP="006A52AF">
      <w:pPr>
        <w:keepNext/>
        <w:keepLines/>
        <w:tabs>
          <w:tab w:val="clear" w:pos="567"/>
          <w:tab w:val="left" w:pos="709"/>
        </w:tabs>
      </w:pPr>
      <w:r w:rsidRPr="00A1381B">
        <w:t>7.1</w:t>
      </w:r>
      <w:r w:rsidRPr="00A1381B">
        <w:tab/>
        <w:t xml:space="preserve">Sur la base des rapports précédents soumis au GTC-FHR, le secrétariat a fait le point sur le programme de l'UIT concernant la tenue des quelque 60 réunions statutaires de l'UIT organisées chaque année au siège pendant la période de travaux. Les travaux devant débuter en 2028 et le Centre international de conférences de Genève (CICG) faisant l'objet de travaux de rénovation presque simultanés, le secrétariat a évoqué la possibilité de louer des salles auprès de diverses entités des Nations Unies ou internationales à Genève. Le secrétariat a également informé les délégués qu'en raison des estimations budgétaires actuelles, il ne serait pas financièrement possible d'organiser des réunions techniques pour 2028-2029 à </w:t>
      </w:r>
      <w:proofErr w:type="spellStart"/>
      <w:r w:rsidRPr="00A1381B">
        <w:t>Palexpo</w:t>
      </w:r>
      <w:proofErr w:type="spellEnd"/>
      <w:r w:rsidRPr="00A1381B">
        <w:t>. Pour conclure, le secrétariat a évoqué la possibilité d'organiser des réunions virtuelles tout en réaffirmant ses efforts pour tirer parti des centres de réunion de l'UIT.</w:t>
      </w:r>
    </w:p>
    <w:p w14:paraId="0E0BB5C1" w14:textId="77777777" w:rsidR="00831FDC" w:rsidRPr="00A1381B" w:rsidRDefault="00831FDC" w:rsidP="00AD06F1">
      <w:pPr>
        <w:tabs>
          <w:tab w:val="clear" w:pos="567"/>
          <w:tab w:val="left" w:pos="709"/>
        </w:tabs>
      </w:pPr>
      <w:r w:rsidRPr="00A1381B">
        <w:t>7.2</w:t>
      </w:r>
      <w:r w:rsidRPr="00A1381B">
        <w:tab/>
        <w:t xml:space="preserve">De nombreux délégués ont pris la parole à la 21ème réunion du GTC-FHR pour soulever des questions sur la stratégie financière, la faisabilité et la planification à long terme. Des délégués se sont interrogés sur les raisons pour lesquelles </w:t>
      </w:r>
      <w:proofErr w:type="spellStart"/>
      <w:r w:rsidRPr="00A1381B">
        <w:t>Palexpo</w:t>
      </w:r>
      <w:proofErr w:type="spellEnd"/>
      <w:r w:rsidRPr="00A1381B">
        <w:t>, précédemment présenté comme la solution la plus pratique, n'était plus considéré comme envisageable. Les participants étaient également très sceptiques quant au fait de s'en remettre aux installations d'autres entités des Nations Unies ou internationales pour accueillir des réunions, en raison de diverses restrictions concernant la disponibilité et les réglementations existantes de l'UIT. Certains délégués ont exprimé leur intérêt pour la mise en place de "centres de réunion" et ont demandé des précisions supplémentaires sur le fonctionnement de ce processus. Les délégués ont demandé une liste exhaustive de toutes les réunions concernées, ainsi que l'ordre de priorité des principales réunions, afin de mieux évaluer celles qui pourraient éventuellement se tenir sous forme virtuelle ou hybride.</w:t>
      </w:r>
    </w:p>
    <w:p w14:paraId="72485CC4" w14:textId="77777777" w:rsidR="00831FDC" w:rsidRPr="00A1381B" w:rsidRDefault="00831FDC" w:rsidP="00AD06F1">
      <w:pPr>
        <w:tabs>
          <w:tab w:val="clear" w:pos="567"/>
          <w:tab w:val="left" w:pos="709"/>
        </w:tabs>
      </w:pPr>
      <w:r w:rsidRPr="00A1381B">
        <w:t>7.3</w:t>
      </w:r>
      <w:r w:rsidRPr="00A1381B">
        <w:tab/>
        <w:t>Le délégué de la Suisse a réaffirmé que la Suisse était favorable au maintien de la continuité des activités de l'Union pendant la période de transition. L'orateur a fait observer que les dispositions pertinentes de la Résolution 5 (Kyoto, 1994) de la Conférence de plénipotentiaires restent applicables et a demandé si le paragraphe 51 de la Convention, aux termes duquel "[l]e Conseil de l'UIT se réunit une fois par an en session ordinaire au siège de l'Union", s'appliquera pendant la période de construction.</w:t>
      </w:r>
    </w:p>
    <w:p w14:paraId="5D1BB91F" w14:textId="77777777" w:rsidR="00831FDC" w:rsidRPr="00A1381B" w:rsidRDefault="00831FDC" w:rsidP="00AD06F1">
      <w:pPr>
        <w:tabs>
          <w:tab w:val="clear" w:pos="567"/>
          <w:tab w:val="left" w:pos="709"/>
        </w:tabs>
      </w:pPr>
      <w:r w:rsidRPr="00A1381B">
        <w:t>7.4</w:t>
      </w:r>
      <w:r w:rsidRPr="00A1381B">
        <w:tab/>
        <w:t>Lors de la 22ème réunion du GTC-FHR, le secrétariat a fait le point sur les modalités de continuité des activités pour la période 2028-2029. Le secrétariat a réaffirmé que les sessions de 2028 et de 2029 du Conseil devraient se tenir à Genève, dans la salle Popov, mais que si la Tour n'était pas disponible, l'UIT avait réservé des salles au CICG. En outre, le secrétariat a fait observer que les Émirats arabes unis et le Kenya avaient fait part de leur souhait d'accueillir des réunions de l'UIT pendant la période de perturbation et a encouragé ces Membres à soumettre des propositions officielles à la session de 2026 du Conseil.</w:t>
      </w:r>
    </w:p>
    <w:p w14:paraId="0B99C616" w14:textId="2CC99453" w:rsidR="00831FDC" w:rsidRPr="00A1381B" w:rsidRDefault="00831FDC" w:rsidP="006A52AF">
      <w:pPr>
        <w:keepNext/>
        <w:keepLines/>
        <w:tabs>
          <w:tab w:val="clear" w:pos="567"/>
          <w:tab w:val="left" w:pos="709"/>
        </w:tabs>
      </w:pPr>
      <w:r w:rsidRPr="00A1381B">
        <w:t>7.5</w:t>
      </w:r>
      <w:r w:rsidRPr="00A1381B">
        <w:tab/>
        <w:t xml:space="preserve">La Suisse a présenté une contribution (Document </w:t>
      </w:r>
      <w:hyperlink r:id="rId57" w:history="1">
        <w:r w:rsidRPr="00A1381B">
          <w:rPr>
            <w:rStyle w:val="Hyperlink"/>
            <w:rFonts w:eastAsia="Times New Roman" w:cs="Times New Roman"/>
            <w:szCs w:val="20"/>
          </w:rPr>
          <w:t>CWG-FHR-22/23</w:t>
        </w:r>
      </w:hyperlink>
      <w:r w:rsidRPr="00A1381B">
        <w:t>), dans laquelle il est indiqué que l'UIT bénéficiera d'une exonération de deux ans des remboursements (pour un total de 2 782 600 CHF) des prêts immobiliers éligibles accordés précédemment par la Confédération suisse. Il a été souligné que l'objectif de cette contribution est de réserver les 2 782 600 CHF d'économies réalisées pour couvrir les coûts liés à la tenue de réunions en Suisse pendant que les bâtiments du siège de l'UIT et le CICG sont partiellement ou totalement indisponibles.</w:t>
      </w:r>
      <w:hyperlink r:id="rId58" w:history="1"/>
    </w:p>
    <w:p w14:paraId="2550FC15" w14:textId="7E5A1114" w:rsidR="00831FDC" w:rsidRPr="00A1381B" w:rsidRDefault="00831FDC" w:rsidP="00AD06F1">
      <w:pPr>
        <w:tabs>
          <w:tab w:val="clear" w:pos="567"/>
          <w:tab w:val="left" w:pos="709"/>
        </w:tabs>
      </w:pPr>
      <w:r w:rsidRPr="00A1381B">
        <w:t>7.6</w:t>
      </w:r>
      <w:r w:rsidRPr="00A1381B">
        <w:tab/>
        <w:t xml:space="preserve">La Fédération de Russie a formulé des observations sur les informations actualisées concernant la continuité des activités (Document </w:t>
      </w:r>
      <w:hyperlink r:id="rId59" w:history="1">
        <w:r w:rsidRPr="00A1381B">
          <w:rPr>
            <w:rStyle w:val="Hyperlink"/>
            <w:rFonts w:eastAsia="Times New Roman" w:cs="Times New Roman"/>
            <w:szCs w:val="20"/>
          </w:rPr>
          <w:t>CWG-FHR-22/28</w:t>
        </w:r>
      </w:hyperlink>
      <w:r w:rsidRPr="00A1381B">
        <w:t>), qui consistent à reconnaître le degré élevé d'incertitude qui règne pour 2028 et à recommander de poursuivre l'évaluation des différentes options pour éviter qu'une décision ne soit prise à la va-vite, juste avant la période où les locaux de l'UIT ne seront plus disponibles.</w:t>
      </w:r>
      <w:hyperlink r:id="rId60" w:history="1"/>
    </w:p>
    <w:p w14:paraId="2EE36D0C" w14:textId="77777777" w:rsidR="00831FDC" w:rsidRPr="00A1381B" w:rsidRDefault="00831FDC" w:rsidP="00AD06F1">
      <w:pPr>
        <w:tabs>
          <w:tab w:val="clear" w:pos="567"/>
          <w:tab w:val="left" w:pos="709"/>
        </w:tabs>
      </w:pPr>
      <w:r w:rsidRPr="00A1381B">
        <w:t>7.7</w:t>
      </w:r>
      <w:r w:rsidRPr="00A1381B">
        <w:tab/>
        <w:t>Les délégués avaient encore des questions sur les questions de procédure et la planification à long terme, mais ont exprimé à plusieurs reprises leur gratitude au Gouvernement suisse pour sa généreuse contribution.</w:t>
      </w:r>
    </w:p>
    <w:p w14:paraId="65DB40C5" w14:textId="32ACC993"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7.8</w:t>
      </w:r>
      <w:r w:rsidRPr="00A1381B">
        <w:tab/>
        <w:t xml:space="preserve">Le GTC-FHR </w:t>
      </w:r>
      <w:r w:rsidRPr="00A1381B">
        <w:rPr>
          <w:b/>
          <w:bCs/>
        </w:rPr>
        <w:t>recommande</w:t>
      </w:r>
      <w:r w:rsidRPr="00A1381B">
        <w:t xml:space="preserve"> au Conseil à sa session de 2026 d'affecter le montant de</w:t>
      </w:r>
      <w:r w:rsidR="00EA17B9" w:rsidRPr="00A1381B">
        <w:t> </w:t>
      </w:r>
      <w:r w:rsidRPr="00A1381B">
        <w:t>2 782 600 CHF au Fonds pour la continuité des activités et de l'utiliser exclusivement pour compenser les coûts des réunions qui seront organisées à Genève.</w:t>
      </w:r>
    </w:p>
    <w:p w14:paraId="2750B67C" w14:textId="77777777"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7.9</w:t>
      </w:r>
      <w:r w:rsidRPr="00A1381B">
        <w:tab/>
        <w:t xml:space="preserve">Le GTC-FHR a également </w:t>
      </w:r>
      <w:r w:rsidRPr="00A1381B">
        <w:rPr>
          <w:b/>
          <w:bCs/>
        </w:rPr>
        <w:t>recommandé</w:t>
      </w:r>
      <w:r w:rsidRPr="00A1381B">
        <w:t xml:space="preserve"> au secrétariat de mettre à jour le rapport sur la continuité des activités avant la session de 2026 du Conseil, en tenant compte des observations et des questions des délégués.</w:t>
      </w:r>
    </w:p>
    <w:p w14:paraId="5E75829F" w14:textId="44C52823" w:rsidR="00831FDC" w:rsidRPr="00A1381B" w:rsidRDefault="00831FDC" w:rsidP="00AD06F1">
      <w:pPr>
        <w:pStyle w:val="Heading1"/>
        <w:tabs>
          <w:tab w:val="clear" w:pos="567"/>
          <w:tab w:val="left" w:pos="709"/>
        </w:tabs>
        <w:ind w:left="709" w:hanging="709"/>
      </w:pPr>
      <w:r w:rsidRPr="00A1381B">
        <w:rPr>
          <w:bCs/>
        </w:rPr>
        <w:t>8</w:t>
      </w:r>
      <w:r w:rsidRPr="00A1381B">
        <w:tab/>
        <w:t xml:space="preserve">Appel à candidatures et procédure de sélection en vue d'accueillir des conférences de l'UIT (Documents </w:t>
      </w:r>
      <w:hyperlink r:id="rId61" w:history="1">
        <w:r w:rsidRPr="00A1381B">
          <w:rPr>
            <w:rStyle w:val="Hyperlink"/>
            <w:rFonts w:eastAsia="Times New Roman" w:cs="Times New Roman"/>
            <w:szCs w:val="20"/>
          </w:rPr>
          <w:t>CWG-FHR-21/7</w:t>
        </w:r>
      </w:hyperlink>
      <w:r w:rsidRPr="00A1381B">
        <w:t xml:space="preserve"> et </w:t>
      </w:r>
      <w:hyperlink r:id="rId62" w:history="1">
        <w:r w:rsidRPr="00A1381B">
          <w:rPr>
            <w:rStyle w:val="Hyperlink"/>
            <w:rFonts w:eastAsia="Times New Roman" w:cs="Times New Roman"/>
            <w:szCs w:val="20"/>
          </w:rPr>
          <w:t>CWG-FHR-22/9</w:t>
        </w:r>
      </w:hyperlink>
      <w:r w:rsidRPr="00A1381B">
        <w:t>)</w:t>
      </w:r>
      <w:hyperlink r:id="rId63" w:history="1"/>
      <w:hyperlink r:id="rId64" w:history="1"/>
    </w:p>
    <w:p w14:paraId="5D20E3DA" w14:textId="29BDCBB8" w:rsidR="00831FDC" w:rsidRPr="00A1381B" w:rsidRDefault="00831FDC" w:rsidP="00AD06F1">
      <w:pPr>
        <w:tabs>
          <w:tab w:val="clear" w:pos="567"/>
          <w:tab w:val="left" w:pos="709"/>
        </w:tabs>
      </w:pPr>
      <w:r w:rsidRPr="00A1381B">
        <w:t>8.1</w:t>
      </w:r>
      <w:r w:rsidRPr="00A1381B">
        <w:tab/>
        <w:t>À sa session de 2025, le Conseil a demandé au secrétariat d'élaborer une procédure formelle, concertée et transparente pour la soumission des candidatures en vue d'accueillir les futures conférences de l'UIT. En réponse, le secrétariat a présenté un document décrivant la pratique suivie actuellement pour sélectionner les dates et les pays hôtes des conférences et assemblées statutaires se tenant hors du siège de l'UIT à Genève, et a fait observer qu'il n'existe actuellement aucune procédure formelle codifiée pour choisir un pays hôte parmi plusieurs candidatures. Le rapport contient également les résultats d'un premier exercice d'évaluation comparative visant à mieux comprendre les pratiques en matière de sélection des États Membres hôtes pour les conférences organisées dans le cadre du système des Nations Unies au sens large.</w:t>
      </w:r>
    </w:p>
    <w:p w14:paraId="51D21715" w14:textId="14B21D1D" w:rsidR="00831FDC" w:rsidRPr="00A1381B" w:rsidRDefault="00831FDC" w:rsidP="00AD06F1">
      <w:pPr>
        <w:pStyle w:val="Headingb"/>
        <w:tabs>
          <w:tab w:val="clear" w:pos="567"/>
          <w:tab w:val="left" w:pos="709"/>
        </w:tabs>
      </w:pPr>
      <w:r w:rsidRPr="00A1381B">
        <w:t xml:space="preserve">Contribution de l'Inde – Procédure d'appel à candidatures en vue d'accueillir des conférences de l'UIT (Document </w:t>
      </w:r>
      <w:hyperlink r:id="rId65" w:history="1">
        <w:r w:rsidRPr="00A1381B">
          <w:rPr>
            <w:rStyle w:val="Hyperlink"/>
            <w:rFonts w:eastAsia="Times New Roman" w:cs="Times New Roman"/>
            <w:szCs w:val="20"/>
          </w:rPr>
          <w:t>CWG-FHR-21/15</w:t>
        </w:r>
      </w:hyperlink>
      <w:r w:rsidRPr="00A1381B">
        <w:t>)</w:t>
      </w:r>
      <w:hyperlink r:id="rId66" w:history="1"/>
    </w:p>
    <w:p w14:paraId="03CC6842" w14:textId="10139204" w:rsidR="00831FDC" w:rsidRPr="00A1381B" w:rsidRDefault="00831FDC" w:rsidP="00AD06F1">
      <w:pPr>
        <w:tabs>
          <w:tab w:val="clear" w:pos="567"/>
          <w:tab w:val="left" w:pos="709"/>
        </w:tabs>
      </w:pPr>
      <w:r w:rsidRPr="00A1381B">
        <w:t>8.2</w:t>
      </w:r>
      <w:r w:rsidRPr="00A1381B">
        <w:tab/>
        <w:t>Dans sa contribution, l'Inde a proposé plusieurs critères d'évaluation des candidatures, notamment la disponibilité du site, l'infrastructure, la capacité d'hébergement, la connectivité/connexion Internet et le niveau de disponibilité des technologies de l'information et de la communication (TIC). Il est également souligné dans cette contribution que si le Conseil reçoit plusieurs offres admissibles, le principe de "premier arrivé, premier servi" serait appliqué et que, conformément à l'article 1 de la Convention, la date et le lieu de la conférence devraient être fixés au moins cinq ans à l'avance.</w:t>
      </w:r>
    </w:p>
    <w:p w14:paraId="53C86778" w14:textId="700F93B1" w:rsidR="00831FDC" w:rsidRPr="00A1381B" w:rsidRDefault="00831FDC" w:rsidP="00AD06F1">
      <w:pPr>
        <w:pStyle w:val="Headingb"/>
        <w:tabs>
          <w:tab w:val="clear" w:pos="567"/>
          <w:tab w:val="left" w:pos="709"/>
        </w:tabs>
      </w:pPr>
      <w:r w:rsidRPr="00A1381B">
        <w:t xml:space="preserve">Contribution de la République populaire de Chine – Recommandations relatives à l'amélioration des appels à candidatures en vue d'accueillir les futures conférences et assemblées de l'UIT (Document </w:t>
      </w:r>
      <w:hyperlink r:id="rId67" w:history="1">
        <w:r w:rsidRPr="00A1381B">
          <w:rPr>
            <w:rStyle w:val="Hyperlink"/>
            <w:rFonts w:eastAsia="Times New Roman" w:cs="Times New Roman"/>
            <w:szCs w:val="20"/>
          </w:rPr>
          <w:t>CWG-FHR-21/17</w:t>
        </w:r>
      </w:hyperlink>
      <w:r w:rsidRPr="00A1381B">
        <w:t>)</w:t>
      </w:r>
      <w:hyperlink r:id="rId68" w:history="1"/>
    </w:p>
    <w:p w14:paraId="4A3648F9" w14:textId="7E6947E2" w:rsidR="00831FDC" w:rsidRPr="00A1381B" w:rsidRDefault="00831FDC" w:rsidP="00AD06F1">
      <w:pPr>
        <w:tabs>
          <w:tab w:val="clear" w:pos="567"/>
          <w:tab w:val="left" w:pos="709"/>
        </w:tabs>
      </w:pPr>
      <w:r w:rsidRPr="00A1381B">
        <w:t>8.3</w:t>
      </w:r>
      <w:r w:rsidRPr="00A1381B">
        <w:tab/>
        <w:t>Dans sa contribution, la République populaire de Chine a proposé six axes d'amélioration des méthodes de travail actuelles de l'UIT pour sélectionner un pays hôte, à savoir: 1) améliorer la normalisation et la transparence; 2) fixer des délais pour la soumission des invitations; 3) soumettre les invitations à accueillir une conférence par écrit; 4) informer tous les États Membres de la sélection d'une offre; et 6) effectuer des visites sur place avant d'examiner officiellement les invitations à accueillir une conférence ou assemblée.</w:t>
      </w:r>
    </w:p>
    <w:p w14:paraId="1F9A6541" w14:textId="1C3C0DAE" w:rsidR="00831FDC" w:rsidRPr="00A1381B" w:rsidRDefault="00831FDC" w:rsidP="00AD06F1">
      <w:pPr>
        <w:pStyle w:val="Headingb"/>
        <w:tabs>
          <w:tab w:val="clear" w:pos="567"/>
          <w:tab w:val="left" w:pos="709"/>
        </w:tabs>
      </w:pPr>
      <w:r w:rsidRPr="00A1381B">
        <w:t xml:space="preserve">Contribution des États-Unis d'Amérique – Considérations relatives à l'élaboration de processus et de procédures formels pour l'appel à candidatures en vue d'accueillir des conférences et assemblées de l'UIT (Document </w:t>
      </w:r>
      <w:hyperlink r:id="rId69" w:history="1">
        <w:r w:rsidRPr="00A1381B">
          <w:rPr>
            <w:rStyle w:val="Hyperlink"/>
            <w:rFonts w:eastAsia="Times New Roman" w:cs="Times New Roman"/>
            <w:szCs w:val="20"/>
          </w:rPr>
          <w:t>CWG-FHR-21/23</w:t>
        </w:r>
      </w:hyperlink>
      <w:r w:rsidRPr="00A1381B">
        <w:t>)</w:t>
      </w:r>
      <w:hyperlink r:id="rId70" w:history="1"/>
    </w:p>
    <w:p w14:paraId="012B3E91" w14:textId="77777777" w:rsidR="00831FDC" w:rsidRPr="00A1381B" w:rsidRDefault="00831FDC" w:rsidP="00AD06F1">
      <w:pPr>
        <w:tabs>
          <w:tab w:val="clear" w:pos="567"/>
          <w:tab w:val="left" w:pos="709"/>
        </w:tabs>
        <w:rPr>
          <w:b/>
        </w:rPr>
      </w:pPr>
      <w:r w:rsidRPr="00A1381B">
        <w:t>8.4</w:t>
      </w:r>
      <w:r w:rsidRPr="00A1381B">
        <w:tab/>
        <w:t>Dans leur contribution, les États-Unis ont proposé que l'UIT élabore un processus d'appel à candidatures pour l'organisation des conférences et assemblées de l'UIT, par le biais d'une demande de propositions couvrant les éléments clés tels que les produits attendus et les spécifications, les conditions relatives au paiement et les obligations financières. En outre, il est proposé dans cette contribution de créer un groupe de travail par correspondance qui serait chargé de contribuer à finaliser le nouveau processus d'appel à candidatures d'ici à la prochaine session du Conseil, qui doit se tenir en avril 2026.</w:t>
      </w:r>
    </w:p>
    <w:p w14:paraId="730BECE1" w14:textId="77777777" w:rsidR="00831FDC" w:rsidRPr="00A1381B" w:rsidRDefault="00831FDC" w:rsidP="00AD06F1">
      <w:pPr>
        <w:tabs>
          <w:tab w:val="clear" w:pos="567"/>
          <w:tab w:val="left" w:pos="709"/>
        </w:tabs>
      </w:pPr>
      <w:r w:rsidRPr="00A1381B">
        <w:t>8.5</w:t>
      </w:r>
      <w:r w:rsidRPr="00A1381B">
        <w:tab/>
        <w:t xml:space="preserve">Les délégués à la 21ème réunion étaient partagés entre les trois propositions. Certains ont préféré l'approche adoptée par la Chine consistant à améliorer le processus d'appel à candidatures grâce aux mécanismes existants à l'UIT et se sont </w:t>
      </w:r>
      <w:proofErr w:type="gramStart"/>
      <w:r w:rsidRPr="00A1381B">
        <w:t>dits</w:t>
      </w:r>
      <w:proofErr w:type="gramEnd"/>
      <w:r w:rsidRPr="00A1381B">
        <w:t xml:space="preserve"> inquiets que la procédure soit trop formalisée ou qu'elle ne dissuade les pays en développement de présenter une demande en ce sens. D'autres se sont montrés favorables aux propositions de l'Inde et des États-Unis visant à disposer d'un cadre plus codifié assorti d'un ensemble de critères clairement définis. Les délégués étaient également divisés sur l'opportunité de créer un groupe de travail par correspondance. Toutefois, tous les délégués sont convenus qu'il était nécessaire d'améliorer la normalisation et la transparence et de fixer un calendrier clair pour la procédure d'appel à candidatures.</w:t>
      </w:r>
    </w:p>
    <w:p w14:paraId="2B8B7A63" w14:textId="70AEC23A" w:rsidR="00831FDC" w:rsidRPr="00A1381B" w:rsidRDefault="00831FDC" w:rsidP="00AD06F1">
      <w:pPr>
        <w:tabs>
          <w:tab w:val="clear" w:pos="567"/>
          <w:tab w:val="left" w:pos="709"/>
        </w:tabs>
      </w:pPr>
      <w:r w:rsidRPr="00A1381B">
        <w:t>8.6</w:t>
      </w:r>
      <w:r w:rsidRPr="00A1381B">
        <w:tab/>
        <w:t>Reconnaissant l'absence de consensus, la Présidente a demandé au secrétariat de revoir son analyse initiale en tenant compte des discussions et des propositions formulées lors de la réunion, ainsi que d'organiser une séance d'information. Cette séance d'information, qui s'est déroulée de manière virtuelle le 30 octobre 2025, a été l'occasion de présenter aux délégués le nouveau portail web de l'UIT sur les pays hôtes.</w:t>
      </w:r>
    </w:p>
    <w:p w14:paraId="20E2F6B7" w14:textId="7B5E27F9" w:rsidR="00831FDC" w:rsidRPr="00A1381B" w:rsidRDefault="00831FDC" w:rsidP="00AD06F1">
      <w:pPr>
        <w:tabs>
          <w:tab w:val="clear" w:pos="567"/>
          <w:tab w:val="left" w:pos="709"/>
        </w:tabs>
      </w:pPr>
      <w:r w:rsidRPr="00A1381B">
        <w:t>8.7</w:t>
      </w:r>
      <w:r w:rsidRPr="00A1381B">
        <w:tab/>
        <w:t>À la 22ème réunion, le secrétariat a présenté une proposition de processus de sélection des pays hôtes des conférences et assemblées de l'UIT et a fait le point sur les modifications apportées au portail web sur les pays hôtes, compte tenu des discussions tenues pendant la séance d'information.</w:t>
      </w:r>
    </w:p>
    <w:p w14:paraId="35BD5A51" w14:textId="77777777" w:rsidR="006A52AF" w:rsidRPr="00A1381B" w:rsidRDefault="00831FDC" w:rsidP="00AD06F1">
      <w:pPr>
        <w:tabs>
          <w:tab w:val="clear" w:pos="567"/>
          <w:tab w:val="left" w:pos="709"/>
        </w:tabs>
      </w:pPr>
      <w:r w:rsidRPr="00A1381B">
        <w:t>8.8</w:t>
      </w:r>
      <w:r w:rsidRPr="00A1381B">
        <w:tab/>
        <w:t xml:space="preserve">Les délégués ont apprécié le portail web du secrétariat et reconnu qu'il améliore la transparence, mais ont également fait observer que le processus proposé par le secrétariat ne répondait pas à l'intention de la demande formulée par le Conseil à sa session de 2025, qui souhaitait que soit élaboré un processus pour choisir un pays hôte parmi plusieurs </w:t>
      </w:r>
    </w:p>
    <w:p w14:paraId="2CDAF168" w14:textId="77777777" w:rsidR="006A52AF" w:rsidRPr="00A1381B" w:rsidRDefault="006A52AF">
      <w:pPr>
        <w:tabs>
          <w:tab w:val="clear" w:pos="567"/>
          <w:tab w:val="clear" w:pos="1134"/>
          <w:tab w:val="clear" w:pos="1701"/>
          <w:tab w:val="clear" w:pos="2268"/>
          <w:tab w:val="clear" w:pos="2835"/>
        </w:tabs>
        <w:overflowPunct/>
        <w:autoSpaceDE/>
        <w:autoSpaceDN/>
        <w:adjustRightInd/>
        <w:spacing w:before="0"/>
        <w:textAlignment w:val="auto"/>
      </w:pPr>
      <w:r w:rsidRPr="00A1381B">
        <w:br w:type="page"/>
      </w:r>
    </w:p>
    <w:p w14:paraId="3E1FA0A6" w14:textId="0130167A" w:rsidR="00831FDC" w:rsidRPr="00A1381B" w:rsidRDefault="00831FDC" w:rsidP="00AD06F1">
      <w:pPr>
        <w:tabs>
          <w:tab w:val="clear" w:pos="567"/>
          <w:tab w:val="left" w:pos="709"/>
        </w:tabs>
      </w:pPr>
      <w:r w:rsidRPr="00A1381B">
        <w:t>candidatures. En conséquence, plusieurs délégués ont demandé au secrétariat de revoir le processus qu'il propose afin d'inclure un calendrier ou une période de dépôt des candidatures pour devenir pays hôte, des informations sur les coûts et un mécanisme de retour d'information pour les États Membres dont l'offre n'a pas été retenue.</w:t>
      </w:r>
    </w:p>
    <w:p w14:paraId="5E62D5CC" w14:textId="77777777" w:rsidR="00831FDC" w:rsidRPr="00A1381B" w:rsidRDefault="00831FDC" w:rsidP="00AD06F1">
      <w:pPr>
        <w:tabs>
          <w:tab w:val="clear" w:pos="567"/>
          <w:tab w:val="left" w:pos="709"/>
        </w:tabs>
        <w:rPr>
          <w:b/>
        </w:rPr>
      </w:pPr>
      <w:r w:rsidRPr="00A1381B">
        <w:t>8.9</w:t>
      </w:r>
      <w:r w:rsidRPr="00A1381B">
        <w:tab/>
        <w:t>L'Inde a réaffirmé son soutien à la poursuite des discussions sur ces questions et a remercié le GTC-FHR d'avoir pris note de sa proposition visant à accueillir la Conférence de plénipotentiaires de 2030.</w:t>
      </w:r>
    </w:p>
    <w:p w14:paraId="10B0D69E" w14:textId="6397C5B4"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8.10</w:t>
      </w:r>
      <w:r w:rsidRPr="00A1381B">
        <w:tab/>
        <w:t xml:space="preserve">Le GTC-FHR a </w:t>
      </w:r>
      <w:r w:rsidRPr="00A1381B">
        <w:rPr>
          <w:b/>
          <w:bCs/>
        </w:rPr>
        <w:t>recommandé</w:t>
      </w:r>
      <w:r w:rsidRPr="00A1381B">
        <w:t xml:space="preserve"> au secrétariat d'examiner les transcriptions, les rapports de réunion et les contributions de la session de 2025 du Conseil et des réunions de septembre 2025 et de janvier 2026 du GTC-FHR et de présenter au Conseil, à sa session de</w:t>
      </w:r>
      <w:r w:rsidR="00C662A1" w:rsidRPr="00A1381B">
        <w:t> </w:t>
      </w:r>
      <w:r w:rsidRPr="00A1381B">
        <w:t>2026, un document dans lequel est exposé un processus de sélection prévoyant un calendrier et des coûts génériques.</w:t>
      </w:r>
    </w:p>
    <w:p w14:paraId="6B262744" w14:textId="6BD9E197"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8.11</w:t>
      </w:r>
      <w:r w:rsidRPr="00A1381B">
        <w:tab/>
        <w:t xml:space="preserve">Le GTC-FHR </w:t>
      </w:r>
      <w:r w:rsidRPr="00A1381B">
        <w:rPr>
          <w:b/>
          <w:bCs/>
        </w:rPr>
        <w:t>invite</w:t>
      </w:r>
      <w:r w:rsidRPr="00A1381B">
        <w:t xml:space="preserve"> le Conseil à prendre note de la proposition de l'Inde visant à accueillir la Conférence de plénipotentiaires de 2030.</w:t>
      </w:r>
    </w:p>
    <w:p w14:paraId="31BD3A90" w14:textId="2AE52BC2" w:rsidR="00831FDC" w:rsidRPr="00A1381B" w:rsidRDefault="00831FDC" w:rsidP="00AD06F1">
      <w:pPr>
        <w:pStyle w:val="Heading1"/>
        <w:tabs>
          <w:tab w:val="clear" w:pos="567"/>
          <w:tab w:val="left" w:pos="709"/>
        </w:tabs>
        <w:ind w:left="709" w:hanging="709"/>
      </w:pPr>
      <w:r w:rsidRPr="00A1381B">
        <w:rPr>
          <w:bCs/>
        </w:rPr>
        <w:t>9</w:t>
      </w:r>
      <w:r w:rsidRPr="00A1381B">
        <w:tab/>
        <w:t>Réduction de la charge financière pesant sur les pays hôtes (Documents</w:t>
      </w:r>
      <w:r w:rsidR="0083253D" w:rsidRPr="00A1381B">
        <w:t> </w:t>
      </w:r>
      <w:hyperlink r:id="rId71" w:history="1">
        <w:r w:rsidRPr="00A1381B">
          <w:rPr>
            <w:rStyle w:val="Hyperlink"/>
            <w:rFonts w:eastAsia="Times New Roman" w:cs="Times New Roman"/>
            <w:szCs w:val="20"/>
          </w:rPr>
          <w:t>CWG-FHR-21/8</w:t>
        </w:r>
      </w:hyperlink>
      <w:r w:rsidRPr="00A1381B">
        <w:t xml:space="preserve"> et </w:t>
      </w:r>
      <w:hyperlink r:id="rId72" w:history="1">
        <w:r w:rsidRPr="00A1381B">
          <w:rPr>
            <w:rStyle w:val="Hyperlink"/>
            <w:rFonts w:eastAsia="Times New Roman" w:cs="Times New Roman"/>
            <w:szCs w:val="20"/>
          </w:rPr>
          <w:t>CWG-FHR-22/19</w:t>
        </w:r>
      </w:hyperlink>
      <w:r w:rsidRPr="00A1381B">
        <w:t>)</w:t>
      </w:r>
      <w:hyperlink r:id="rId73" w:history="1"/>
      <w:hyperlink r:id="rId74" w:history="1"/>
    </w:p>
    <w:p w14:paraId="437C7EA7" w14:textId="66C2BC68" w:rsidR="00831FDC" w:rsidRPr="00A1381B" w:rsidRDefault="00831FDC" w:rsidP="00AD06F1">
      <w:pPr>
        <w:tabs>
          <w:tab w:val="clear" w:pos="567"/>
          <w:tab w:val="left" w:pos="709"/>
        </w:tabs>
      </w:pPr>
      <w:r w:rsidRPr="00A1381B">
        <w:t>9.1</w:t>
      </w:r>
      <w:r w:rsidRPr="00A1381B">
        <w:tab/>
        <w:t>À la 21ème réunion du GTC-FHR, le secrétariat a évalué la faisabilité de trois propositions visant à réduire les coûts pour les pays hôtes de l'UIT et à faciliter une participation plus large. Ces propositions ont été présentées pour la première fois au Conseil</w:t>
      </w:r>
      <w:r w:rsidR="0083253D" w:rsidRPr="00A1381B">
        <w:t> </w:t>
      </w:r>
      <w:r w:rsidRPr="00A1381B">
        <w:t xml:space="preserve">à sa session de juin 2025 dans la contribution multipays reproduite dans le Document </w:t>
      </w:r>
      <w:hyperlink r:id="rId75" w:history="1">
        <w:r w:rsidRPr="00A1381B">
          <w:rPr>
            <w:rStyle w:val="Hyperlink"/>
            <w:rFonts w:eastAsia="Times New Roman" w:cs="Times New Roman"/>
            <w:szCs w:val="20"/>
          </w:rPr>
          <w:t>C25/95</w:t>
        </w:r>
      </w:hyperlink>
      <w:r w:rsidRPr="00A1381B">
        <w:t>. Les propositions visaient à: 1) tirer parti des ressources d'interprétation locales et/ou nationales; 2) mettre à disposition, au niveau local, des équipements et des dispositifs informatiques; et 3) passer à des processus numérisés pour l'enregistrement et l'accréditation aux conférences.</w:t>
      </w:r>
      <w:hyperlink r:id="rId76" w:history="1"/>
    </w:p>
    <w:p w14:paraId="1A13AC6E" w14:textId="77777777" w:rsidR="00831FDC" w:rsidRPr="00A1381B" w:rsidRDefault="00831FDC" w:rsidP="00AD06F1">
      <w:pPr>
        <w:tabs>
          <w:tab w:val="clear" w:pos="567"/>
          <w:tab w:val="left" w:pos="709"/>
        </w:tabs>
      </w:pPr>
      <w:r w:rsidRPr="00A1381B">
        <w:t>9.2</w:t>
      </w:r>
      <w:r w:rsidRPr="00A1381B">
        <w:tab/>
        <w:t>Les délégués ont largement souscrit à ces mesures d'économie, soulignant qu'elles ouvriraient la possibilité à davantage de pays, en particulier aux pays en développement, d'accueillir des manifestations de l'UIT. Les délégués ont posé des questions sur les économies financières spécifiques et les critères techniques applicables à l'approvisionnement local. L'UIT a été vivement encouragée à collaborer avec les établissements universitaires afin d'élargir le vivier d'interprètes qualifiés, les délégués soulignant que la qualité de l'interprétation devait rester une priorité. En réponse, le secrétariat a réaffirmé son engagement en faveur d'une interprétation de qualité et s'est engagé à fournir des informations plus détaillées sur le passage aux processus numérisés, la sécurité et les directives techniques lors de la prochaine réunion. En prévision de la réunion de janvier 2026 du GTC-FHR, la Présidente a chargé le secrétariat d'examiner le modèle d'accord de pays hôte sur la base de ces discussions et de la contribution de la Roumanie à la session de 2023 du Conseil.</w:t>
      </w:r>
    </w:p>
    <w:p w14:paraId="7FCAB0AE" w14:textId="4D94957E" w:rsidR="00831FDC" w:rsidRPr="00A1381B" w:rsidRDefault="00831FDC" w:rsidP="00AD06F1">
      <w:pPr>
        <w:tabs>
          <w:tab w:val="clear" w:pos="567"/>
          <w:tab w:val="left" w:pos="709"/>
        </w:tabs>
        <w:rPr>
          <w:spacing w:val="-2"/>
        </w:rPr>
      </w:pPr>
      <w:r w:rsidRPr="00A1381B">
        <w:t>9.3</w:t>
      </w:r>
      <w:r w:rsidRPr="00A1381B">
        <w:tab/>
        <w:t>À la 22ème réunion du GTC-FHR, le secrétariat a présenté le Document</w:t>
      </w:r>
      <w:r w:rsidR="0083253D" w:rsidRPr="00A1381B">
        <w:t> </w:t>
      </w:r>
      <w:hyperlink r:id="rId77" w:history="1">
        <w:r w:rsidRPr="00A1381B">
          <w:rPr>
            <w:rStyle w:val="Hyperlink"/>
            <w:rFonts w:eastAsia="Times New Roman" w:cs="Times New Roman"/>
            <w:szCs w:val="20"/>
          </w:rPr>
          <w:t>CWG</w:t>
        </w:r>
        <w:r w:rsidR="0083253D" w:rsidRPr="00A1381B">
          <w:rPr>
            <w:rStyle w:val="Hyperlink"/>
            <w:rFonts w:eastAsia="Times New Roman" w:cs="Times New Roman"/>
            <w:szCs w:val="20"/>
          </w:rPr>
          <w:noBreakHyphen/>
        </w:r>
        <w:r w:rsidRPr="00A1381B">
          <w:rPr>
            <w:rStyle w:val="Hyperlink"/>
            <w:rFonts w:eastAsia="Times New Roman" w:cs="Times New Roman"/>
            <w:szCs w:val="20"/>
          </w:rPr>
          <w:t>FHR</w:t>
        </w:r>
        <w:r w:rsidR="0083253D" w:rsidRPr="00A1381B">
          <w:rPr>
            <w:rStyle w:val="Hyperlink"/>
            <w:rFonts w:eastAsia="Times New Roman" w:cs="Times New Roman"/>
            <w:szCs w:val="20"/>
          </w:rPr>
          <w:noBreakHyphen/>
        </w:r>
        <w:r w:rsidRPr="00A1381B">
          <w:rPr>
            <w:rStyle w:val="Hyperlink"/>
            <w:rFonts w:eastAsia="Times New Roman" w:cs="Times New Roman"/>
            <w:szCs w:val="20"/>
          </w:rPr>
          <w:t>22/19</w:t>
        </w:r>
      </w:hyperlink>
      <w:r w:rsidRPr="00A1381B">
        <w:t>, afin de fournir des informations actualisées sur les propositions de réduction des coûts proposées par les pays hôtes de l'UIT. Une proposition officielle invitant les États Membres à collaborer à la création d'un vivier d'interprètes de conférence locaux et nationaux a été élaborée et présentée pour examen au Groupe de travail du Conseil sur l'utilisation des six langues officielles de l'Union (GTC-LANG). La constitution de ce vivier devrait être achevée début 2027, mais il pourrait s'avérer difficile de trouver des interprètes suffisamment qualifiés dans les six langues officielles. L'interprétation simultanée à distance, l'interprétation et le sous-titrage fondés sur l'intelligence artificielle (IA) sont également à l'étude. En ce qui concerne la fourniture locale d'équipements et de dispositifs informatiques, l'UIT étudie la possibilité de définir des spécifications techniques minimales et de constituer un groupe de fournisseurs préqualifiés en collaboration avec les pays hôtes. L'UIT prévoit également de commencer à tester des modèles de support hybrides d'ici à</w:t>
      </w:r>
      <w:r w:rsidR="0083253D" w:rsidRPr="00A1381B">
        <w:t> </w:t>
      </w:r>
      <w:r w:rsidRPr="00A1381B">
        <w:t>2027 afin de réduire la dépendance à l'égard de l'infrastructure privée en nuage de l'UIT. Enfin, l'UIT étudie actuellement la possibilité de passer à une accréditation entièrement numérique pour les conférences.</w:t>
      </w:r>
      <w:hyperlink r:id="rId78" w:history="1"/>
    </w:p>
    <w:p w14:paraId="1DE8F04F" w14:textId="77777777" w:rsidR="00831FDC" w:rsidRPr="00A1381B" w:rsidRDefault="00831FDC" w:rsidP="00AD06F1">
      <w:pPr>
        <w:tabs>
          <w:tab w:val="clear" w:pos="567"/>
          <w:tab w:val="left" w:pos="709"/>
        </w:tabs>
      </w:pPr>
      <w:r w:rsidRPr="00A1381B">
        <w:t>9.4</w:t>
      </w:r>
      <w:r w:rsidRPr="00A1381B">
        <w:tab/>
        <w:t>Les délégués ont salué les propositions plus larges visant à réduire la charge financière pesant sur les pays hôtes, bien qu'un délégué ait souligné que ces mesures devraient être neutres et bénéficier à tous les États Membres. Les délégués ont exprimé une grande prudence quant à l'utilisation de l'interprétation fondée sur l'IA, et ont recommandé une mise en œuvre progressive, en commençant par des réunions plus petites, afin d'évaluer sa précision avant de la déployer plus largement. Le secrétariat a approuvé cette approche prudente, confirmant que les solutions d'IA ne sont pas encore au point pour les réunions des organes techniques ou directeurs, mais que les tests se poursuivront. Les délégués ont également souligné l'importance de faire appel à des interprètes qui comprennent les aspects et la terminologie hautement techniques des travaux de l'UIT. Le secrétariat a affirmé que l'UIT s'occuperait de la formation, de la qualification et de la sélection des interprètes afin de garantir la qualité.</w:t>
      </w:r>
    </w:p>
    <w:p w14:paraId="0C57CC29" w14:textId="77777777" w:rsidR="00831FDC" w:rsidRPr="00A1381B" w:rsidRDefault="00831FDC"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9.5</w:t>
      </w:r>
      <w:r w:rsidRPr="00A1381B">
        <w:tab/>
        <w:t xml:space="preserve">Le GTC-FHR a </w:t>
      </w:r>
      <w:r w:rsidRPr="00A1381B">
        <w:rPr>
          <w:b/>
          <w:bCs/>
        </w:rPr>
        <w:t>recommandé</w:t>
      </w:r>
      <w:r w:rsidRPr="00A1381B">
        <w:t xml:space="preserve"> au secrétariat de faire le point, à la session de 2026 du Conseil, sur les discussions menées au sein du GTC-FHR concernant la réduction de la charge financière reposant sur les pays hôtes.</w:t>
      </w:r>
    </w:p>
    <w:p w14:paraId="44E77E45" w14:textId="5F3DE3E9" w:rsidR="00C60BB8" w:rsidRPr="00A1381B" w:rsidRDefault="00C60BB8" w:rsidP="00AD06F1">
      <w:pPr>
        <w:pStyle w:val="Heading1"/>
        <w:tabs>
          <w:tab w:val="clear" w:pos="567"/>
          <w:tab w:val="left" w:pos="709"/>
        </w:tabs>
        <w:ind w:left="709" w:hanging="709"/>
      </w:pPr>
      <w:r w:rsidRPr="00A1381B">
        <w:t>10</w:t>
      </w:r>
      <w:r w:rsidRPr="00A1381B">
        <w:tab/>
        <w:t>Amélioration de la gestion des ressources humaines (Documents </w:t>
      </w:r>
      <w:hyperlink r:id="rId79" w:history="1">
        <w:r w:rsidRPr="00A1381B">
          <w:rPr>
            <w:rStyle w:val="Hyperlink"/>
            <w:rFonts w:eastAsia="Times New Roman" w:cs="Times New Roman"/>
            <w:szCs w:val="20"/>
          </w:rPr>
          <w:t>C25/85(Rév.1)</w:t>
        </w:r>
      </w:hyperlink>
      <w:r w:rsidRPr="00A1381B">
        <w:t xml:space="preserve">, </w:t>
      </w:r>
      <w:hyperlink r:id="rId80" w:history="1">
        <w:r w:rsidRPr="00A1381B">
          <w:rPr>
            <w:rStyle w:val="Hyperlink"/>
            <w:rFonts w:eastAsia="Times New Roman" w:cs="Times New Roman"/>
            <w:szCs w:val="20"/>
          </w:rPr>
          <w:t>CWG-FHR-22/10</w:t>
        </w:r>
      </w:hyperlink>
      <w:r w:rsidRPr="00A1381B">
        <w:t xml:space="preserve"> et </w:t>
      </w:r>
      <w:hyperlink r:id="rId81" w:history="1">
        <w:r w:rsidRPr="00A1381B">
          <w:rPr>
            <w:rStyle w:val="Hyperlink"/>
            <w:rFonts w:eastAsia="Times New Roman" w:cs="Times New Roman"/>
            <w:szCs w:val="20"/>
          </w:rPr>
          <w:t>CWG-FHR-22/12</w:t>
        </w:r>
      </w:hyperlink>
      <w:r w:rsidRPr="00A1381B">
        <w:t>)</w:t>
      </w:r>
    </w:p>
    <w:p w14:paraId="7FE3F27B" w14:textId="1FE6475C" w:rsidR="00C60BB8" w:rsidRPr="00A1381B" w:rsidRDefault="00C60BB8" w:rsidP="00AD06F1">
      <w:pPr>
        <w:tabs>
          <w:tab w:val="clear" w:pos="567"/>
          <w:tab w:val="left" w:pos="709"/>
        </w:tabs>
      </w:pPr>
      <w:r w:rsidRPr="00A1381B">
        <w:t>10.1</w:t>
      </w:r>
      <w:r w:rsidRPr="00A1381B">
        <w:tab/>
        <w:t xml:space="preserve">À la 21ème réunion, un délégué de la République populaire de Chine a présenté le Document </w:t>
      </w:r>
      <w:hyperlink r:id="rId82" w:history="1">
        <w:r w:rsidRPr="00A1381B">
          <w:rPr>
            <w:rStyle w:val="Hyperlink"/>
            <w:rFonts w:eastAsia="Times New Roman" w:cs="Times New Roman"/>
            <w:szCs w:val="20"/>
          </w:rPr>
          <w:t>C25/85(Rév.1)</w:t>
        </w:r>
      </w:hyperlink>
      <w:r w:rsidRPr="00A1381B">
        <w:t>, qui était à l'origine une contribution soumise au Conseil, à sa session de 2025, sur les pratiques de l'UIT en matière de ressources humaines et qui contenait des propositions de modifications à apporter à deux résolutions du Conseil. À sa session de 2025, ce dernier a transmis le document au GTC-FHR pour qu'il l'examine plus avant. Aucun délégué n'ayant souhaité faire d'observation, la Présidente a décidé de renvoyer l'examen de la contribution à la 22ème réunion, en janvier 2026, après l'actualisation du rapport du secrétariat sur les ressources humaines.</w:t>
      </w:r>
    </w:p>
    <w:p w14:paraId="66DA5B95" w14:textId="604C6831" w:rsidR="00C60BB8" w:rsidRPr="00A1381B" w:rsidRDefault="00C60BB8" w:rsidP="00AD06F1">
      <w:pPr>
        <w:tabs>
          <w:tab w:val="clear" w:pos="567"/>
          <w:tab w:val="left" w:pos="709"/>
        </w:tabs>
      </w:pPr>
      <w:r w:rsidRPr="00A1381B">
        <w:t>10.2</w:t>
      </w:r>
      <w:r w:rsidRPr="00A1381B">
        <w:tab/>
        <w:t xml:space="preserve">En janvier 2026, le secrétariat a présenté sa réponse aux recommandations figurant dans le Document C25/85(Rév.1). Le Document </w:t>
      </w:r>
      <w:hyperlink r:id="rId83" w:history="1">
        <w:r w:rsidRPr="00A1381B">
          <w:rPr>
            <w:rStyle w:val="Hyperlink"/>
            <w:rFonts w:eastAsia="Times New Roman" w:cs="Times New Roman"/>
            <w:szCs w:val="20"/>
          </w:rPr>
          <w:t>CWG-FHR-22/10</w:t>
        </w:r>
      </w:hyperlink>
      <w:r w:rsidRPr="00A1381B">
        <w:t xml:space="preserve"> a apporté la confirmation que des efforts étaient déployés pour restructurer le secrétariat et a permis d'assurer les délégués d'une collaboration continue avec la direction des départements et le Comité de coordination. En outre, le secrétariat a confirmé que toute réforme majeure relative à l'organisation qui nécessite l'approbation du Conseil serait dûment soumise à un examen. Le Département de la gestion des ressources humaines (HRMD) a également confirmé que tout avis de vacance publié en externe pour des postes relevant du budget ordinaire était communiqué aux États Membres.</w:t>
      </w:r>
    </w:p>
    <w:p w14:paraId="61F8498E" w14:textId="6D2B2BE4" w:rsidR="00C60BB8" w:rsidRPr="00A1381B" w:rsidRDefault="00C60BB8" w:rsidP="00AD06F1">
      <w:pPr>
        <w:tabs>
          <w:tab w:val="clear" w:pos="567"/>
          <w:tab w:val="left" w:pos="709"/>
        </w:tabs>
      </w:pPr>
      <w:r w:rsidRPr="00A1381B">
        <w:t>10.3</w:t>
      </w:r>
      <w:r w:rsidRPr="00A1381B">
        <w:tab/>
        <w:t>En parallèle de sa réponse, le secrétariat a également présenté le Document </w:t>
      </w:r>
      <w:hyperlink r:id="rId84" w:history="1">
        <w:r w:rsidRPr="00A1381B">
          <w:rPr>
            <w:rStyle w:val="Hyperlink"/>
            <w:rFonts w:eastAsia="Times New Roman" w:cs="Times New Roman"/>
            <w:szCs w:val="20"/>
          </w:rPr>
          <w:t>CWG</w:t>
        </w:r>
        <w:r w:rsidRPr="00A1381B">
          <w:rPr>
            <w:rStyle w:val="Hyperlink"/>
            <w:rFonts w:eastAsia="Times New Roman" w:cs="Times New Roman"/>
            <w:szCs w:val="20"/>
          </w:rPr>
          <w:noBreakHyphen/>
          <w:t>FHR-22/12</w:t>
        </w:r>
      </w:hyperlink>
      <w:r w:rsidRPr="00A1381B">
        <w:t>, qui contient des informations actualisées sur les initiatives de l'UIT relatives aux personnes et à la culture dans quatre domaines clés: l'encadrement, le bien-être, les récompenses et la reconnaissance, ainsi que la participation du personnel.</w:t>
      </w:r>
    </w:p>
    <w:p w14:paraId="0D2AB20B" w14:textId="6E45FC7C" w:rsidR="00C60BB8" w:rsidRPr="00A1381B" w:rsidRDefault="00C60BB8" w:rsidP="00AD06F1">
      <w:pPr>
        <w:tabs>
          <w:tab w:val="clear" w:pos="567"/>
          <w:tab w:val="left" w:pos="709"/>
        </w:tabs>
      </w:pPr>
      <w:r w:rsidRPr="00A1381B">
        <w:t>10.4</w:t>
      </w:r>
      <w:r w:rsidRPr="00A1381B">
        <w:tab/>
        <w:t>Plusieurs délégués ont souscrit à la demande que des précisions supplémentaires sur les projets précis de restructuration du Secrétariat général soient présentées au Conseil. De plus, un délégué a demandé à qui il revenait de déterminer si une réforme relative à l'organisation devait être considérée comme "majeure" ou non. Des délégués ont demandé des informations sur les résultats de l'enquête sur la participation du personnel et ont suggéré de mettre en place d'autres mécanismes liés à la décentralisation du campus et à la rationalisation des effectifs. Un délégué a également demandé si l'ombudsman présenterait un rapport annuel au Conseil.</w:t>
      </w:r>
    </w:p>
    <w:p w14:paraId="39FD013A" w14:textId="4908E4B2" w:rsidR="00C60BB8" w:rsidRPr="00A1381B" w:rsidRDefault="00C60BB8" w:rsidP="00AD06F1">
      <w:pPr>
        <w:keepLines/>
        <w:pBdr>
          <w:top w:val="single" w:sz="4" w:space="1" w:color="auto"/>
          <w:left w:val="single" w:sz="4" w:space="4" w:color="auto"/>
          <w:bottom w:val="single" w:sz="4" w:space="1" w:color="auto"/>
          <w:right w:val="single" w:sz="4" w:space="4" w:color="auto"/>
        </w:pBdr>
        <w:tabs>
          <w:tab w:val="clear" w:pos="567"/>
          <w:tab w:val="left" w:pos="709"/>
        </w:tabs>
      </w:pPr>
      <w:r w:rsidRPr="00A1381B">
        <w:t>10.5</w:t>
      </w:r>
      <w:r w:rsidRPr="00A1381B">
        <w:tab/>
        <w:t xml:space="preserve">Le GTC-FHR a </w:t>
      </w:r>
      <w:r w:rsidRPr="00A1381B">
        <w:rPr>
          <w:b/>
          <w:bCs/>
        </w:rPr>
        <w:t>recommandé</w:t>
      </w:r>
      <w:r w:rsidRPr="00A1381B">
        <w:t xml:space="preserve"> au secrétariat de publier les résultats de l'enquête sur la participation du personnel dans un document d'information et de rendre compte du plan de restructuration du Secrétariat général, compte tenu des recommandations de la société Dahlberg.</w:t>
      </w:r>
    </w:p>
    <w:p w14:paraId="3A24CE82" w14:textId="1047116C" w:rsidR="00C60BB8" w:rsidRPr="00A1381B" w:rsidRDefault="00C60BB8"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10.6</w:t>
      </w:r>
      <w:r w:rsidRPr="00A1381B">
        <w:tab/>
        <w:t xml:space="preserve">Le GTC-FHR </w:t>
      </w:r>
      <w:r w:rsidRPr="00A1381B">
        <w:rPr>
          <w:b/>
          <w:bCs/>
        </w:rPr>
        <w:t>invite</w:t>
      </w:r>
      <w:r w:rsidRPr="00A1381B">
        <w:t xml:space="preserve"> le Conseil à charger le secrétariat d'élaborer un rapport sur les critères constitutifs d'une réforme </w:t>
      </w:r>
      <w:r w:rsidR="00A45371" w:rsidRPr="00A1381B">
        <w:t>"</w:t>
      </w:r>
      <w:r w:rsidRPr="00A1381B">
        <w:t>majeure</w:t>
      </w:r>
      <w:r w:rsidR="00A45371" w:rsidRPr="00A1381B">
        <w:t>"</w:t>
      </w:r>
      <w:r w:rsidRPr="00A1381B">
        <w:t xml:space="preserve"> relative à l'organisation, qui sera examiné plus avant à la Conférence de plénipotentiaires de 2026.</w:t>
      </w:r>
    </w:p>
    <w:p w14:paraId="31133329" w14:textId="449AE007" w:rsidR="00C60BB8" w:rsidRPr="00A1381B" w:rsidRDefault="00C60BB8"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10.7</w:t>
      </w:r>
      <w:r w:rsidRPr="00A1381B">
        <w:tab/>
        <w:t xml:space="preserve">Le GTC-FHR </w:t>
      </w:r>
      <w:r w:rsidRPr="00A1381B">
        <w:rPr>
          <w:b/>
          <w:bCs/>
        </w:rPr>
        <w:t>invite</w:t>
      </w:r>
      <w:r w:rsidRPr="00A1381B">
        <w:t xml:space="preserve"> le Conseil à demander au secrétariat de préparer une évaluation de l'impact des "Initiatives relatives aux personnes et à la culture", afin de mieux comprendre dans quelle mesure elles ont modifié le niveau de satisfaction du personnel de l'UIT.</w:t>
      </w:r>
    </w:p>
    <w:p w14:paraId="489E6EE1" w14:textId="72FEB698" w:rsidR="00C60BB8" w:rsidRPr="00A1381B" w:rsidRDefault="00C60BB8" w:rsidP="00AD06F1">
      <w:pPr>
        <w:pStyle w:val="Heading1"/>
        <w:tabs>
          <w:tab w:val="clear" w:pos="567"/>
          <w:tab w:val="left" w:pos="709"/>
        </w:tabs>
        <w:ind w:left="709" w:hanging="709"/>
      </w:pPr>
      <w:r w:rsidRPr="00A1381B">
        <w:t>11</w:t>
      </w:r>
      <w:r w:rsidRPr="00A1381B">
        <w:tab/>
        <w:t>Site web de l'UIT et processus de transformation (Documents</w:t>
      </w:r>
      <w:r w:rsidR="00A45371" w:rsidRPr="00A1381B">
        <w:t> </w:t>
      </w:r>
      <w:hyperlink r:id="rId85" w:history="1">
        <w:r w:rsidRPr="00A1381B">
          <w:rPr>
            <w:rStyle w:val="Hyperlink"/>
            <w:rFonts w:eastAsia="Times New Roman" w:cs="Times New Roman"/>
            <w:szCs w:val="20"/>
          </w:rPr>
          <w:t>CWG</w:t>
        </w:r>
        <w:r w:rsidR="00A45371" w:rsidRPr="00A1381B">
          <w:rPr>
            <w:rStyle w:val="Hyperlink"/>
            <w:rFonts w:eastAsia="Times New Roman" w:cs="Times New Roman"/>
            <w:szCs w:val="20"/>
          </w:rPr>
          <w:noBreakHyphen/>
        </w:r>
        <w:r w:rsidRPr="00A1381B">
          <w:rPr>
            <w:rStyle w:val="Hyperlink"/>
            <w:rFonts w:eastAsia="Times New Roman" w:cs="Times New Roman"/>
            <w:szCs w:val="20"/>
          </w:rPr>
          <w:t>FHR</w:t>
        </w:r>
        <w:r w:rsidR="00A45371" w:rsidRPr="00A1381B">
          <w:rPr>
            <w:rStyle w:val="Hyperlink"/>
            <w:rFonts w:eastAsia="Times New Roman" w:cs="Times New Roman"/>
            <w:szCs w:val="20"/>
          </w:rPr>
          <w:noBreakHyphen/>
        </w:r>
        <w:r w:rsidRPr="00A1381B">
          <w:rPr>
            <w:rStyle w:val="Hyperlink"/>
            <w:rFonts w:eastAsia="Times New Roman" w:cs="Times New Roman"/>
            <w:szCs w:val="20"/>
          </w:rPr>
          <w:t>21/11</w:t>
        </w:r>
      </w:hyperlink>
      <w:r w:rsidRPr="00A1381B">
        <w:t xml:space="preserve">, </w:t>
      </w:r>
      <w:hyperlink r:id="rId86" w:history="1">
        <w:r w:rsidRPr="00A1381B">
          <w:rPr>
            <w:rStyle w:val="Hyperlink"/>
            <w:rFonts w:eastAsia="Times New Roman" w:cs="Times New Roman"/>
            <w:szCs w:val="20"/>
          </w:rPr>
          <w:t>CWG</w:t>
        </w:r>
        <w:r w:rsidR="00A45371" w:rsidRPr="00A1381B">
          <w:rPr>
            <w:rStyle w:val="Hyperlink"/>
            <w:rFonts w:eastAsia="Times New Roman" w:cs="Times New Roman"/>
            <w:szCs w:val="20"/>
          </w:rPr>
          <w:noBreakHyphen/>
        </w:r>
        <w:r w:rsidRPr="00A1381B">
          <w:rPr>
            <w:rStyle w:val="Hyperlink"/>
            <w:rFonts w:eastAsia="Times New Roman" w:cs="Times New Roman"/>
            <w:szCs w:val="20"/>
          </w:rPr>
          <w:t>FHR-22/15</w:t>
        </w:r>
      </w:hyperlink>
      <w:r w:rsidRPr="00A1381B">
        <w:t xml:space="preserve"> et </w:t>
      </w:r>
      <w:hyperlink r:id="rId87" w:history="1">
        <w:r w:rsidRPr="00A1381B">
          <w:rPr>
            <w:rStyle w:val="Hyperlink"/>
            <w:rFonts w:eastAsia="Times New Roman" w:cs="Times New Roman"/>
            <w:szCs w:val="20"/>
          </w:rPr>
          <w:t>CWG-FHR-22/17</w:t>
        </w:r>
      </w:hyperlink>
      <w:r w:rsidRPr="00A1381B">
        <w:t>)</w:t>
      </w:r>
    </w:p>
    <w:p w14:paraId="0110966B" w14:textId="6C27DDC5" w:rsidR="00C60BB8" w:rsidRPr="00A1381B" w:rsidRDefault="00C60BB8" w:rsidP="00AD06F1">
      <w:pPr>
        <w:tabs>
          <w:tab w:val="clear" w:pos="567"/>
          <w:tab w:val="left" w:pos="709"/>
        </w:tabs>
      </w:pPr>
      <w:r w:rsidRPr="00A1381B">
        <w:t>11.1</w:t>
      </w:r>
      <w:r w:rsidRPr="00A1381B">
        <w:tab/>
        <w:t>À la 21ème réunion, le secrétariat a donné aux délégués des informations actualisées sur les progrès accomplis par l'Équipe chargée de la transformation, indiquant que la phase de nettoyage des contenus avançait bien, l'analyse des contenus du Secteur de la normalisation des télécommunications de l'UIT (UIT-T) ayant été achevée. En outre, le secrétariat a confirmé qu'un prestataire avait été retenu pour l'architecture d'information et la taxonomie.</w:t>
      </w:r>
    </w:p>
    <w:p w14:paraId="746730D4" w14:textId="29F1ED6C" w:rsidR="00C60BB8" w:rsidRPr="00A1381B" w:rsidRDefault="00C60BB8" w:rsidP="00AD06F1">
      <w:pPr>
        <w:tabs>
          <w:tab w:val="clear" w:pos="567"/>
          <w:tab w:val="left" w:pos="709"/>
        </w:tabs>
      </w:pPr>
      <w:r w:rsidRPr="00A1381B">
        <w:t>11.2</w:t>
      </w:r>
      <w:r w:rsidRPr="00A1381B">
        <w:tab/>
        <w:t>La Présidente du GTC-FHR a remercié le secrétariat pour les informations communiquées et a recommandé que la demande de propositions pour la deuxième phase soit suspendue jusqu'à ce que l'architecture de l'information et la taxonomie de l'UIT soient créées.</w:t>
      </w:r>
    </w:p>
    <w:p w14:paraId="35C92A6E" w14:textId="412E10D7" w:rsidR="00C60BB8" w:rsidRPr="00A1381B" w:rsidRDefault="00C60BB8" w:rsidP="00AD06F1">
      <w:pPr>
        <w:tabs>
          <w:tab w:val="clear" w:pos="567"/>
          <w:tab w:val="left" w:pos="709"/>
        </w:tabs>
      </w:pPr>
      <w:r w:rsidRPr="00A1381B">
        <w:t>11.3</w:t>
      </w:r>
      <w:r w:rsidRPr="00A1381B">
        <w:tab/>
        <w:t>Des délégués ont soulevé des questions concernant le calendrier et le financement de ce projet, en particulier quant aux conséquences du processus d'appel d'offres infructueux pour le calendrier proposé. En outre, des délégués ont informé le secrétariat que les bases de contenus de l'UIT ne sont pas toutes traduites dans les six langues, qu'il reste difficile de s'orienter sur le site web de l'Union et que l'Équipe chargée de la transformation devrait s'attacher en priorité à améliorer la fonction de recherche.</w:t>
      </w:r>
    </w:p>
    <w:p w14:paraId="016D9542" w14:textId="1CB90EC1" w:rsidR="00C60BB8" w:rsidRPr="00A1381B" w:rsidRDefault="00C60BB8" w:rsidP="00AD06F1">
      <w:pPr>
        <w:tabs>
          <w:tab w:val="clear" w:pos="567"/>
          <w:tab w:val="left" w:pos="709"/>
        </w:tabs>
      </w:pPr>
      <w:r w:rsidRPr="00A1381B">
        <w:t>11.4</w:t>
      </w:r>
      <w:r w:rsidRPr="00A1381B">
        <w:tab/>
        <w:t>À la 22ème réunion, le secrétariat a fait le point sur la transformation de l'UIT et sur le projet de nouveau site web de celle-ci. Pour ce qui est de la transformation de l'UIT, il a mis l'accent sur le tableau de bord y afférent et la création d'un groupe de travail sur la transformation chargé de promouvoir les priorités, de suivre les progrès accomplis et de lever les obstacles en vue de produire des résultats avant la session de 2026 du Conseil et la Conférence de plénipotentiaires de fin d'année. En ce qui concerne le site web, le secrétariat a souligné que le projet était en bonne voie et que le produit minimum viable devrait être livré avant ladite Conférence. Il a en outre indiqué qu'à la suite de la 22ème réunion du</w:t>
      </w:r>
      <w:r w:rsidR="00C662A1" w:rsidRPr="00A1381B">
        <w:t> </w:t>
      </w:r>
      <w:r w:rsidRPr="00A1381B">
        <w:t>GTC</w:t>
      </w:r>
      <w:r w:rsidR="00F06944" w:rsidRPr="00A1381B">
        <w:noBreakHyphen/>
      </w:r>
      <w:r w:rsidRPr="00A1381B">
        <w:t xml:space="preserve">FHR, le site web du Groupe de coordination intersectorielle sur les questions d'intérêt mutuel (ISCG) avait été mis à jour pour répercuter les changements liés au format et aux procédures de publication des documents. </w:t>
      </w:r>
    </w:p>
    <w:p w14:paraId="6403A98A" w14:textId="7B0D5637" w:rsidR="00C60BB8" w:rsidRPr="00A1381B" w:rsidRDefault="00C60BB8" w:rsidP="00AD06F1">
      <w:pPr>
        <w:pStyle w:val="Headingb"/>
        <w:tabs>
          <w:tab w:val="clear" w:pos="567"/>
          <w:tab w:val="left" w:pos="709"/>
        </w:tabs>
      </w:pPr>
      <w:r w:rsidRPr="00A1381B">
        <w:t xml:space="preserve">Contribution de la République populaire de Chine – Observations et recommandations concernant la transformation (Document </w:t>
      </w:r>
      <w:hyperlink r:id="rId88" w:history="1">
        <w:r w:rsidRPr="00A1381B">
          <w:rPr>
            <w:rStyle w:val="Hyperlink"/>
            <w:rFonts w:eastAsia="Times New Roman" w:cs="Times New Roman"/>
            <w:szCs w:val="20"/>
          </w:rPr>
          <w:t>CWG-FHR-22/30</w:t>
        </w:r>
      </w:hyperlink>
      <w:r w:rsidRPr="00A1381B">
        <w:t>)</w:t>
      </w:r>
    </w:p>
    <w:p w14:paraId="7B8C058C" w14:textId="2CC2C01F" w:rsidR="00C60BB8" w:rsidRPr="00A1381B" w:rsidRDefault="00C60BB8" w:rsidP="00AD06F1">
      <w:pPr>
        <w:tabs>
          <w:tab w:val="clear" w:pos="567"/>
          <w:tab w:val="left" w:pos="709"/>
        </w:tabs>
      </w:pPr>
      <w:r w:rsidRPr="00A1381B">
        <w:t>11.5</w:t>
      </w:r>
      <w:r w:rsidRPr="00A1381B">
        <w:tab/>
        <w:t xml:space="preserve">Dans sa contribution (Document </w:t>
      </w:r>
      <w:hyperlink r:id="rId89" w:history="1">
        <w:r w:rsidRPr="00A1381B">
          <w:rPr>
            <w:rStyle w:val="Hyperlink"/>
            <w:rFonts w:eastAsia="Times New Roman" w:cs="Times New Roman"/>
            <w:szCs w:val="20"/>
          </w:rPr>
          <w:t>CWG-FHR-22/30</w:t>
        </w:r>
      </w:hyperlink>
      <w:r w:rsidRPr="00A1381B">
        <w:t>), la République populaire de Chine a donné des précisions sur sa vision de l'effort de transformation de l'UIT et a formulé quatre recommandations, à savoir: 1) améliorer la prévisibilité; 2) décomposer le budget prévisionnel en rubriques; 3) rationaliser la liste des initiatives pour identifier 1 ou 2 grands objectifs prioritaires; 4) simplifier le format des rapports, en mettant davantage l'accent sur les progrès de fond et les difficultés en suspens plutôt qu'en adoptant une approche descriptive.</w:t>
      </w:r>
    </w:p>
    <w:p w14:paraId="45BDBF2D" w14:textId="46514279" w:rsidR="00C60BB8" w:rsidRPr="00A1381B" w:rsidRDefault="00C60BB8" w:rsidP="00AD06F1">
      <w:pPr>
        <w:tabs>
          <w:tab w:val="clear" w:pos="567"/>
          <w:tab w:val="left" w:pos="709"/>
        </w:tabs>
      </w:pPr>
      <w:r w:rsidRPr="00A1381B">
        <w:t>11.6</w:t>
      </w:r>
      <w:r w:rsidRPr="00A1381B">
        <w:tab/>
        <w:t>Des délégués ont dit soutenir globalement le Document CWG-FHR-22/30, exprimant toutefois des réserves quant à la définition de priorités recommandée. Des délégués ont également estimé qu'il serait bon de disposer d'un rapport complémentaire, notamment en ce qui concerne les besoins budgétaires, en vue de la session de 2026 du Conseil.</w:t>
      </w:r>
    </w:p>
    <w:p w14:paraId="1B5BE9CE" w14:textId="0D5FC753" w:rsidR="00C60BB8" w:rsidRPr="00A1381B" w:rsidRDefault="00C60BB8"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11.7</w:t>
      </w:r>
      <w:r w:rsidRPr="00A1381B">
        <w:tab/>
        <w:t xml:space="preserve">Le GTC-FHR a </w:t>
      </w:r>
      <w:r w:rsidRPr="00A1381B">
        <w:rPr>
          <w:b/>
          <w:bCs/>
        </w:rPr>
        <w:t>recommandé</w:t>
      </w:r>
      <w:r w:rsidRPr="00A1381B">
        <w:t xml:space="preserve"> au secrétariat de réviser le rapport avant la session de</w:t>
      </w:r>
      <w:r w:rsidR="00F06944" w:rsidRPr="00A1381B">
        <w:t> </w:t>
      </w:r>
      <w:r w:rsidRPr="00A1381B">
        <w:t xml:space="preserve">2026 du Conseil en tenant compte de toutes les questions soulevées concernant les </w:t>
      </w:r>
      <w:r w:rsidR="00DE2869" w:rsidRPr="00A1381B">
        <w:t>D</w:t>
      </w:r>
      <w:r w:rsidRPr="00A1381B">
        <w:t xml:space="preserve">ocuments </w:t>
      </w:r>
      <w:hyperlink r:id="rId90" w:history="1">
        <w:r w:rsidRPr="00A1381B">
          <w:rPr>
            <w:rStyle w:val="Hyperlink"/>
            <w:rFonts w:eastAsia="Times New Roman" w:cs="Times New Roman"/>
            <w:szCs w:val="20"/>
          </w:rPr>
          <w:t>CWG-FHR-22/15</w:t>
        </w:r>
      </w:hyperlink>
      <w:r w:rsidRPr="00A1381B">
        <w:t xml:space="preserve"> et </w:t>
      </w:r>
      <w:hyperlink r:id="rId91" w:history="1">
        <w:r w:rsidRPr="00A1381B">
          <w:rPr>
            <w:rStyle w:val="Hyperlink"/>
            <w:rFonts w:eastAsia="Times New Roman" w:cs="Times New Roman"/>
            <w:szCs w:val="20"/>
          </w:rPr>
          <w:t>CWG-FHR-22/17</w:t>
        </w:r>
      </w:hyperlink>
      <w:r w:rsidRPr="00A1381B">
        <w:t xml:space="preserve">. Le GTC-FHR a en outre constaté un soutien général pour ce qui est des points abordés dans le Document </w:t>
      </w:r>
      <w:hyperlink r:id="rId92" w:history="1">
        <w:r w:rsidRPr="00A1381B">
          <w:rPr>
            <w:rStyle w:val="Hyperlink"/>
            <w:rFonts w:eastAsia="Times New Roman" w:cs="Times New Roman"/>
            <w:szCs w:val="20"/>
          </w:rPr>
          <w:t>CWG-FHR-22/30</w:t>
        </w:r>
      </w:hyperlink>
      <w:r w:rsidRPr="00A1381B">
        <w:t>, sauf en ce qui concerne la définition de priorités.</w:t>
      </w:r>
    </w:p>
    <w:p w14:paraId="3025501D" w14:textId="45DD0F42" w:rsidR="00C60BB8" w:rsidRPr="00A1381B" w:rsidRDefault="00C60BB8" w:rsidP="00AD06F1">
      <w:pPr>
        <w:pStyle w:val="Heading1"/>
        <w:tabs>
          <w:tab w:val="clear" w:pos="567"/>
          <w:tab w:val="left" w:pos="709"/>
        </w:tabs>
        <w:ind w:left="709" w:hanging="709"/>
      </w:pPr>
      <w:r w:rsidRPr="00A1381B">
        <w:t>12</w:t>
      </w:r>
      <w:r w:rsidRPr="00A1381B">
        <w:tab/>
        <w:t>Renforcer les bases numériques internes de l'UIT en matière de transformation: stratégie, architecture institutionnelle, gouvernance des</w:t>
      </w:r>
      <w:r w:rsidR="00C662A1" w:rsidRPr="00A1381B">
        <w:t> </w:t>
      </w:r>
      <w:r w:rsidRPr="00A1381B">
        <w:t xml:space="preserve">TIC et modèle d'exploitation des technologies de l'information (Document </w:t>
      </w:r>
      <w:hyperlink r:id="rId93" w:history="1">
        <w:r w:rsidRPr="00A1381B">
          <w:rPr>
            <w:rStyle w:val="Hyperlink"/>
            <w:rFonts w:eastAsia="Times New Roman" w:cs="Times New Roman"/>
            <w:szCs w:val="20"/>
          </w:rPr>
          <w:t>CWG-FHR-22/14</w:t>
        </w:r>
      </w:hyperlink>
      <w:r w:rsidRPr="00A1381B">
        <w:t>)</w:t>
      </w:r>
    </w:p>
    <w:p w14:paraId="227F3EEE" w14:textId="70D6F129" w:rsidR="00C60BB8" w:rsidRPr="00A1381B" w:rsidRDefault="00C60BB8" w:rsidP="00AD06F1">
      <w:pPr>
        <w:tabs>
          <w:tab w:val="clear" w:pos="567"/>
          <w:tab w:val="left" w:pos="709"/>
        </w:tabs>
      </w:pPr>
      <w:r w:rsidRPr="00A1381B">
        <w:t>12.1</w:t>
      </w:r>
      <w:r w:rsidRPr="00A1381B">
        <w:tab/>
        <w:t xml:space="preserve">À la 22ème réunion, le secrétariat a fait le point sur la mise en place de quatre éléments numériques fondamentaux et interdépendants au sein du Secrétariat général. Ces éléments sont les bases numériques internes nécessaires pour faciliter la transformation institutionnelle de l'UIT, renforcer la transparence et la responsabilité en matière d'investissements dans les TIC et répondre aux attentes exprimées par les États Membres, notamment dans la contribution de la Suisse (Document </w:t>
      </w:r>
      <w:hyperlink r:id="rId94" w:history="1">
        <w:r w:rsidRPr="00A1381B">
          <w:rPr>
            <w:rStyle w:val="Hyperlink"/>
            <w:rFonts w:eastAsia="Times New Roman" w:cs="Times New Roman"/>
            <w:szCs w:val="20"/>
          </w:rPr>
          <w:t>C25/84</w:t>
        </w:r>
      </w:hyperlink>
      <w:r w:rsidRPr="00A1381B">
        <w:t>), ainsi qu'aux recommandations du Comité consultatif indépendant pour les questions de gestion (CCIG) et d'autres mécanismes de contrôle.</w:t>
      </w:r>
    </w:p>
    <w:p w14:paraId="069DF480" w14:textId="1E1E9D6F" w:rsidR="00C60BB8" w:rsidRPr="00A1381B" w:rsidRDefault="00C60BB8" w:rsidP="006A52AF">
      <w:pPr>
        <w:keepLines/>
        <w:tabs>
          <w:tab w:val="clear" w:pos="567"/>
          <w:tab w:val="left" w:pos="709"/>
        </w:tabs>
      </w:pPr>
      <w:r w:rsidRPr="00A1381B">
        <w:t>12.2</w:t>
      </w:r>
      <w:r w:rsidRPr="00A1381B">
        <w:tab/>
        <w:t>Des délégués ont répondu en priant instamment le secrétariat d'associer plus étroitement les États Membres et ont exprimé leur préoccupation au sujet des incidences financières d'un tel effort de transformation à grande échelle. D'autres sont intervenus pour recommander au secrétariat non seulement d'éviter les efforts de transformation fragmentés entre les Secteurs, mais aussi de faire de la mise à niveau des logiciels du Secteur des radiocommunications de l'UIT (UIT-R) une priorité. Un délégué a fait observer que le</w:t>
      </w:r>
      <w:r w:rsidR="00DA6AF7" w:rsidRPr="00A1381B">
        <w:t> </w:t>
      </w:r>
      <w:r w:rsidRPr="00A1381B">
        <w:t>GTC-FHR devrait suivre une ligne alliant délégation de pouvoir et autonomie du secrétariat.</w:t>
      </w:r>
    </w:p>
    <w:p w14:paraId="74B98347" w14:textId="2E41F4A9" w:rsidR="00C60BB8" w:rsidRPr="00A1381B" w:rsidRDefault="00C60BB8" w:rsidP="00AD06F1">
      <w:pPr>
        <w:keepNext/>
        <w:keepLines/>
        <w:pBdr>
          <w:top w:val="single" w:sz="4" w:space="1" w:color="auto"/>
          <w:left w:val="single" w:sz="4" w:space="4" w:color="auto"/>
          <w:bottom w:val="single" w:sz="4" w:space="1" w:color="auto"/>
          <w:right w:val="single" w:sz="4" w:space="4" w:color="auto"/>
        </w:pBdr>
        <w:tabs>
          <w:tab w:val="clear" w:pos="567"/>
          <w:tab w:val="left" w:pos="709"/>
        </w:tabs>
      </w:pPr>
      <w:r w:rsidRPr="00A1381B">
        <w:t>12.3</w:t>
      </w:r>
      <w:r w:rsidRPr="00A1381B">
        <w:tab/>
        <w:t xml:space="preserve">La Présidente du GTC-FHR a </w:t>
      </w:r>
      <w:r w:rsidRPr="00A1381B">
        <w:rPr>
          <w:b/>
          <w:bCs/>
        </w:rPr>
        <w:t>invité</w:t>
      </w:r>
      <w:r w:rsidRPr="00A1381B">
        <w:t xml:space="preserve"> les États Membres concernés à soumettre au Conseil, à sa session de 2026, des contributions détaillant les points qu'ils aimeraient connaître concernant la mise en œuvre de la gouvernance des technologies de l'information, des données et de l'information.</w:t>
      </w:r>
    </w:p>
    <w:p w14:paraId="0BEE1E27" w14:textId="2DA0A9BC" w:rsidR="00C60BB8" w:rsidRPr="00A1381B" w:rsidRDefault="00C60BB8" w:rsidP="00AD06F1">
      <w:pPr>
        <w:keepNext/>
        <w:keepLines/>
        <w:pBdr>
          <w:top w:val="single" w:sz="4" w:space="1" w:color="auto"/>
          <w:left w:val="single" w:sz="4" w:space="4" w:color="auto"/>
          <w:bottom w:val="single" w:sz="4" w:space="1" w:color="auto"/>
          <w:right w:val="single" w:sz="4" w:space="4" w:color="auto"/>
        </w:pBdr>
        <w:tabs>
          <w:tab w:val="clear" w:pos="567"/>
          <w:tab w:val="left" w:pos="709"/>
        </w:tabs>
      </w:pPr>
      <w:r w:rsidRPr="00A1381B">
        <w:t>12.4</w:t>
      </w:r>
      <w:r w:rsidRPr="00A1381B">
        <w:tab/>
        <w:t xml:space="preserve">Le GTC-FHR </w:t>
      </w:r>
      <w:r w:rsidRPr="00A1381B">
        <w:rPr>
          <w:b/>
          <w:bCs/>
        </w:rPr>
        <w:t>recommande</w:t>
      </w:r>
      <w:r w:rsidRPr="00A1381B">
        <w:t xml:space="preserve"> au Conseil de charger le secrétariat de présenter au Conseil un rapport sur les structures de gouvernance, les conseils de gouvernance institutionnelle au sein de l'UIT ainsi que leurs incidences financières.</w:t>
      </w:r>
    </w:p>
    <w:p w14:paraId="49076C40" w14:textId="5604CCCE" w:rsidR="00C60BB8" w:rsidRPr="00A1381B" w:rsidRDefault="00C60BB8" w:rsidP="00AD06F1">
      <w:pPr>
        <w:pStyle w:val="Heading1"/>
        <w:tabs>
          <w:tab w:val="clear" w:pos="567"/>
        </w:tabs>
        <w:ind w:left="709" w:hanging="709"/>
      </w:pPr>
      <w:r w:rsidRPr="00A1381B">
        <w:t>13</w:t>
      </w:r>
      <w:r w:rsidRPr="00A1381B">
        <w:tab/>
        <w:t>Fiches de notification des réseaux à satellite (Documents</w:t>
      </w:r>
      <w:r w:rsidR="00187D06" w:rsidRPr="00A1381B">
        <w:t> </w:t>
      </w:r>
      <w:hyperlink r:id="rId95" w:history="1">
        <w:r w:rsidRPr="00A1381B">
          <w:rPr>
            <w:rStyle w:val="Hyperlink"/>
            <w:rFonts w:eastAsia="Times New Roman" w:cs="Times New Roman"/>
            <w:szCs w:val="20"/>
          </w:rPr>
          <w:t>CWG</w:t>
        </w:r>
        <w:r w:rsidR="00187D06" w:rsidRPr="00A1381B">
          <w:rPr>
            <w:rStyle w:val="Hyperlink"/>
            <w:rFonts w:eastAsia="Times New Roman" w:cs="Times New Roman"/>
            <w:szCs w:val="20"/>
          </w:rPr>
          <w:noBreakHyphen/>
        </w:r>
        <w:r w:rsidRPr="00A1381B">
          <w:rPr>
            <w:rStyle w:val="Hyperlink"/>
            <w:rFonts w:eastAsia="Times New Roman" w:cs="Times New Roman"/>
            <w:szCs w:val="20"/>
          </w:rPr>
          <w:t>FHR</w:t>
        </w:r>
        <w:r w:rsidR="00187D06" w:rsidRPr="00A1381B">
          <w:rPr>
            <w:rStyle w:val="Hyperlink"/>
            <w:rFonts w:eastAsia="Times New Roman" w:cs="Times New Roman"/>
            <w:szCs w:val="20"/>
          </w:rPr>
          <w:noBreakHyphen/>
        </w:r>
        <w:r w:rsidRPr="00A1381B">
          <w:rPr>
            <w:rStyle w:val="Hyperlink"/>
            <w:rFonts w:eastAsia="Times New Roman" w:cs="Times New Roman"/>
            <w:szCs w:val="20"/>
          </w:rPr>
          <w:t>21/20</w:t>
        </w:r>
      </w:hyperlink>
      <w:r w:rsidRPr="00A1381B">
        <w:t xml:space="preserve"> et</w:t>
      </w:r>
      <w:r w:rsidR="00187D06" w:rsidRPr="00A1381B">
        <w:t xml:space="preserve"> </w:t>
      </w:r>
      <w:hyperlink r:id="rId96" w:history="1">
        <w:r w:rsidRPr="00A1381B">
          <w:rPr>
            <w:rStyle w:val="Hyperlink"/>
            <w:rFonts w:eastAsia="Times New Roman" w:cs="Times New Roman"/>
            <w:szCs w:val="20"/>
          </w:rPr>
          <w:t>CWG</w:t>
        </w:r>
        <w:r w:rsidR="00187D06" w:rsidRPr="00A1381B">
          <w:rPr>
            <w:rStyle w:val="Hyperlink"/>
            <w:rFonts w:eastAsia="Times New Roman" w:cs="Times New Roman"/>
            <w:szCs w:val="20"/>
          </w:rPr>
          <w:noBreakHyphen/>
        </w:r>
        <w:r w:rsidRPr="00A1381B">
          <w:rPr>
            <w:rStyle w:val="Hyperlink"/>
            <w:rFonts w:eastAsia="Times New Roman" w:cs="Times New Roman"/>
            <w:szCs w:val="20"/>
          </w:rPr>
          <w:t>FHR-22/2</w:t>
        </w:r>
      </w:hyperlink>
      <w:r w:rsidRPr="00A1381B">
        <w:t>)</w:t>
      </w:r>
    </w:p>
    <w:p w14:paraId="3CD0A1ED" w14:textId="516F876B" w:rsidR="00C60BB8" w:rsidRPr="00A1381B" w:rsidRDefault="00C60BB8" w:rsidP="00AD06F1">
      <w:pPr>
        <w:tabs>
          <w:tab w:val="clear" w:pos="567"/>
          <w:tab w:val="left" w:pos="709"/>
        </w:tabs>
      </w:pPr>
      <w:r w:rsidRPr="00A1381B">
        <w:t>13.1</w:t>
      </w:r>
      <w:r w:rsidRPr="00A1381B">
        <w:tab/>
        <w:t>À la 21ème réunion, le secrétariat a indiqué qu'un délai supplémentaire était nécessaire pour donner suite aux instructions données par le Conseil, à sa session de 2025, et s'est engagé à présenter un document pour examen à la réunion de janvier 2026. La Présidente a pris note de la déclaration du secrétariat et a donné la parole aux États-Unis pour qu'ils présentent leur contribution, rappelant au passage aux délégués que les discussions de fond auraient lieu en janvier 2026. La contribution des États-Unis (Document</w:t>
      </w:r>
      <w:r w:rsidR="00187D06" w:rsidRPr="00A1381B">
        <w:t> </w:t>
      </w:r>
      <w:hyperlink r:id="rId97" w:history="1">
        <w:r w:rsidRPr="00A1381B">
          <w:rPr>
            <w:rStyle w:val="Hyperlink"/>
            <w:rFonts w:eastAsia="Times New Roman" w:cs="Times New Roman"/>
            <w:szCs w:val="20"/>
          </w:rPr>
          <w:t>CWG-FHR-21/20</w:t>
        </w:r>
      </w:hyperlink>
      <w:r w:rsidRPr="00A1381B">
        <w:t>) contenait des informations supplémentaires que le secrétariat devait prendre en considération, de sorte que le délégué qui le présentait a conclu qu'on pouvait envisager de ne pas trancher la question pendant la réunion. Plusieurs délégués ont apporté leur soutien à la contribution des États-Unis.</w:t>
      </w:r>
    </w:p>
    <w:p w14:paraId="2AE0D04C" w14:textId="3766D153" w:rsidR="00C60BB8" w:rsidRPr="00A1381B" w:rsidRDefault="00C60BB8" w:rsidP="00AD06F1">
      <w:pPr>
        <w:tabs>
          <w:tab w:val="clear" w:pos="567"/>
          <w:tab w:val="left" w:pos="709"/>
        </w:tabs>
      </w:pPr>
      <w:r w:rsidRPr="00A1381B">
        <w:t>13.2</w:t>
      </w:r>
      <w:r w:rsidRPr="00A1381B">
        <w:tab/>
        <w:t>En outre, un délégué a rappelé au groupe le mandat que le Conseil lui avait donné, à sa session de 2025, et en particulier que le GTC-FHR avait été chargé de définir clairement les coûts directs et indirects. D'autres délégués ont par ailleurs formulé des recommandations, tendant notamment à conserver les facultés de publication de fiches de notification en franchise de droits et à procéder à une analyse de la charge de travail pour calculer plus fidèlement les coûts indirects. La Présidente a prié instamment le secrétariat de prendre note de la discussion et a indiqué qu'il organiserait une séance d'information en</w:t>
      </w:r>
      <w:r w:rsidR="00DA6AF7" w:rsidRPr="00A1381B">
        <w:t> </w:t>
      </w:r>
      <w:r w:rsidRPr="00A1381B">
        <w:t>décembre</w:t>
      </w:r>
      <w:r w:rsidR="00DA6AF7" w:rsidRPr="00A1381B">
        <w:t> </w:t>
      </w:r>
      <w:r w:rsidRPr="00A1381B">
        <w:t xml:space="preserve">2025. Cette </w:t>
      </w:r>
      <w:hyperlink r:id="rId98" w:history="1">
        <w:r w:rsidRPr="00A1381B">
          <w:rPr>
            <w:rStyle w:val="Hyperlink"/>
            <w:rFonts w:eastAsia="Times New Roman" w:cs="Times New Roman"/>
            <w:szCs w:val="20"/>
          </w:rPr>
          <w:t>séance</w:t>
        </w:r>
      </w:hyperlink>
      <w:r w:rsidRPr="00A1381B">
        <w:t xml:space="preserve"> a eu lieu le 16 décembre 2025.</w:t>
      </w:r>
    </w:p>
    <w:p w14:paraId="0DA3CD3A" w14:textId="345A21DE" w:rsidR="00C60BB8" w:rsidRPr="00A1381B" w:rsidRDefault="00C60BB8" w:rsidP="00AD06F1">
      <w:pPr>
        <w:tabs>
          <w:tab w:val="clear" w:pos="567"/>
          <w:tab w:val="left" w:pos="709"/>
        </w:tabs>
      </w:pPr>
      <w:r w:rsidRPr="00A1381B">
        <w:t>13.3</w:t>
      </w:r>
      <w:r w:rsidRPr="00A1381B">
        <w:tab/>
        <w:t xml:space="preserve">En janvier, le secrétariat a présenté sa proposition de modèle de recouvrement des coûts pour les fiches de notification des réseaux à satellite (Document </w:t>
      </w:r>
      <w:hyperlink r:id="rId99" w:history="1">
        <w:r w:rsidRPr="00A1381B">
          <w:rPr>
            <w:rStyle w:val="Hyperlink"/>
            <w:rFonts w:eastAsia="Times New Roman" w:cs="Times New Roman"/>
            <w:szCs w:val="20"/>
          </w:rPr>
          <w:t>CWG-FHR-22/2</w:t>
        </w:r>
      </w:hyperlink>
      <w:r w:rsidRPr="00A1381B">
        <w:t>). La nouvelle méthode est conforme à la Résolution 91 (Rév. Guadalajara, 2010) de la Conférence de plénipotentiaires et vise à faciliter le calcul des dépenses annuelles totales liées aux fiches de notification des réseaux à satellite en évaluant les coûts directs et indirects. Le calcul des coûts indirects comprend des dépenses telles que le recrutement de ressources humaines, mais exclut les frais généraux tels que ceux de la suite Microsoft 365. Le secrétariat a affirmé qu'il préférait que les unités contributives des Membres ne servent pas à financer des coûts qui devraient l'être au moyen du recouvrement des coûts. Il a reconnu qu'il était difficile de prévoir les coûts liés au traitement des fiches de notification, mais a souligné son attachement à l'exactitude des calculs pour le recouvrement des coûts. En conclusion, le secrétariat a informé les délégués que l'examen du recouvrement des coûts se poursuivrait en 2026 et 2027, l'objectif étant que le Conseil, à sa session de 2027, soit fixé sur la voie qu'il devra mettre en œuvre à partir du 1er janvier 2028.</w:t>
      </w:r>
    </w:p>
    <w:p w14:paraId="6004E6D6" w14:textId="0815F9C0" w:rsidR="00C60BB8" w:rsidRPr="00A1381B" w:rsidRDefault="00C60BB8" w:rsidP="00187D06">
      <w:pPr>
        <w:pStyle w:val="Headingb"/>
      </w:pPr>
      <w:r w:rsidRPr="00A1381B">
        <w:t>Contribution de la Fédération de Russie – Observations concernant les fiches de notification des réseaux à satellite – Actualisation de la méthode (Document</w:t>
      </w:r>
      <w:r w:rsidR="00187D06" w:rsidRPr="00A1381B">
        <w:t> </w:t>
      </w:r>
      <w:hyperlink r:id="rId100" w:history="1">
        <w:r w:rsidRPr="00A1381B">
          <w:rPr>
            <w:rStyle w:val="Hyperlink"/>
            <w:rFonts w:eastAsia="Times New Roman" w:cs="Times New Roman"/>
            <w:szCs w:val="20"/>
          </w:rPr>
          <w:t>CWG</w:t>
        </w:r>
        <w:r w:rsidR="00187D06" w:rsidRPr="00A1381B">
          <w:rPr>
            <w:rStyle w:val="Hyperlink"/>
            <w:rFonts w:eastAsia="Times New Roman" w:cs="Times New Roman"/>
            <w:szCs w:val="20"/>
          </w:rPr>
          <w:noBreakHyphen/>
        </w:r>
        <w:r w:rsidRPr="00A1381B">
          <w:rPr>
            <w:rStyle w:val="Hyperlink"/>
            <w:rFonts w:eastAsia="Times New Roman" w:cs="Times New Roman"/>
            <w:szCs w:val="20"/>
          </w:rPr>
          <w:t>FHR</w:t>
        </w:r>
        <w:r w:rsidR="00187D06" w:rsidRPr="00A1381B">
          <w:rPr>
            <w:rStyle w:val="Hyperlink"/>
            <w:rFonts w:eastAsia="Times New Roman" w:cs="Times New Roman"/>
            <w:szCs w:val="20"/>
          </w:rPr>
          <w:noBreakHyphen/>
        </w:r>
        <w:r w:rsidRPr="00A1381B">
          <w:rPr>
            <w:rStyle w:val="Hyperlink"/>
            <w:rFonts w:eastAsia="Times New Roman" w:cs="Times New Roman"/>
            <w:szCs w:val="20"/>
          </w:rPr>
          <w:t>22/27</w:t>
        </w:r>
      </w:hyperlink>
      <w:r w:rsidRPr="00A1381B">
        <w:t>)</w:t>
      </w:r>
    </w:p>
    <w:p w14:paraId="3718857F" w14:textId="52BEBCB3" w:rsidR="00C60BB8" w:rsidRPr="00A1381B" w:rsidRDefault="00C60BB8" w:rsidP="00AD06F1">
      <w:pPr>
        <w:tabs>
          <w:tab w:val="clear" w:pos="567"/>
          <w:tab w:val="left" w:pos="709"/>
        </w:tabs>
      </w:pPr>
      <w:r w:rsidRPr="00A1381B">
        <w:t>13.4</w:t>
      </w:r>
      <w:r w:rsidRPr="00A1381B">
        <w:tab/>
        <w:t>La contribution de la Fédération de Russie était axée sur le fait que la méthode présentée par le secrétariat ne comprenait pas de formules de calcul précises et appelait le secrétariat à fournir des informations claires et détaillées, y compris des formules, des éléments et des hypothèses concrets, pour calculer les coûts directs et indirects et les coûts d'investissement à inscrire au budget ordinaire de l'UIT. En outre, la contribution appelait à élaborer le budget de l'UIT sans que les droits à acquitter pour le traitement des fiches de notification augmentent et soulignait que la publication de fiches de notification en franchise de droits devrait être financée par les unités contributives des Membres, dans la mesure où il s'agit d'une mission fondamentale de l'Union.</w:t>
      </w:r>
    </w:p>
    <w:p w14:paraId="42C6263D" w14:textId="2D87CD9C" w:rsidR="00C60BB8" w:rsidRPr="00A1381B" w:rsidRDefault="00C60BB8" w:rsidP="00187D06">
      <w:pPr>
        <w:pStyle w:val="Headingb"/>
      </w:pPr>
      <w:r w:rsidRPr="00A1381B">
        <w:t xml:space="preserve">Contribution de la Global Satellite </w:t>
      </w:r>
      <w:proofErr w:type="spellStart"/>
      <w:r w:rsidRPr="00A1381B">
        <w:t>Operators</w:t>
      </w:r>
      <w:proofErr w:type="spellEnd"/>
      <w:r w:rsidRPr="00A1381B">
        <w:t xml:space="preserve"> Association – Fiches de notification des réseaux à satellite (Document </w:t>
      </w:r>
      <w:hyperlink r:id="rId101" w:history="1">
        <w:r w:rsidRPr="00A1381B">
          <w:rPr>
            <w:rStyle w:val="Hyperlink"/>
            <w:rFonts w:eastAsia="Times New Roman" w:cs="Times New Roman"/>
            <w:szCs w:val="20"/>
          </w:rPr>
          <w:t>CWG-FHR-22/29</w:t>
        </w:r>
      </w:hyperlink>
      <w:r w:rsidRPr="00A1381B">
        <w:t>)</w:t>
      </w:r>
    </w:p>
    <w:p w14:paraId="46B5C87A" w14:textId="4DE792EB" w:rsidR="00C60BB8" w:rsidRPr="00A1381B" w:rsidRDefault="00C60BB8" w:rsidP="00AD06F1">
      <w:pPr>
        <w:tabs>
          <w:tab w:val="clear" w:pos="567"/>
          <w:tab w:val="left" w:pos="709"/>
        </w:tabs>
      </w:pPr>
      <w:r w:rsidRPr="00A1381B">
        <w:t>13.5</w:t>
      </w:r>
      <w:r w:rsidRPr="00A1381B">
        <w:tab/>
        <w:t xml:space="preserve">Dans sa contribution, la Global Satellite </w:t>
      </w:r>
      <w:proofErr w:type="spellStart"/>
      <w:r w:rsidRPr="00A1381B">
        <w:t>Operators</w:t>
      </w:r>
      <w:proofErr w:type="spellEnd"/>
      <w:r w:rsidRPr="00A1381B">
        <w:t xml:space="preserve"> Association (GSOA) contestait le traitement des coûts indirects, au motif que l'analyse sur laquelle le secrétariat s'appuyait n'était pas pertinente compte tenu du mandat bien spécifique de l'UIT et de ses processus opérationnels particuliers. En outre, elle a analysé les trois options proposées concernant la franchise de droits et a souligné que, bien qu'elles soient mises en place par des administrations à titre individuel, les activités liées aux fiches de notification des réseaux à satellite facilitent la gestion des ressources spectrales et orbitales à l'échelle mondiale, ce qui signifie que leurs avantages ne profitent pas, tant s'en faut, à une seule administration. La contribution portait également sur le mécanisme d'ajustement proposé par le secrétariat et indiquait que, bien qu'il soit présenté comme une méthode de rapprochement, ce mécanisme fait supporter des risques considérables aux opérateurs de satellites et à leurs administrations. L'intervenant a par ailleurs réaffirmé que le recouvrement des coûts liés au traitement des fiches de notification des réseaux à satellite et le recouvrement des coûts prévus au budget étaient deux questions distinctes.</w:t>
      </w:r>
    </w:p>
    <w:p w14:paraId="46D8D3C0" w14:textId="3ED8C0DC" w:rsidR="00C60BB8" w:rsidRPr="00A1381B" w:rsidRDefault="00C60BB8" w:rsidP="00187D06">
      <w:pPr>
        <w:pStyle w:val="Headingb"/>
      </w:pPr>
      <w:r w:rsidRPr="00A1381B">
        <w:t>Contribution des États-Unis d'Amérique – Observations et propositions concernant les fiches de notification des réseaux à satellite et le recouvrement des coûts (Document</w:t>
      </w:r>
      <w:r w:rsidR="00187D06" w:rsidRPr="00A1381B">
        <w:t> </w:t>
      </w:r>
      <w:hyperlink r:id="rId102" w:history="1">
        <w:r w:rsidRPr="00A1381B">
          <w:rPr>
            <w:rStyle w:val="Hyperlink"/>
            <w:rFonts w:eastAsia="Times New Roman" w:cs="Times New Roman"/>
            <w:szCs w:val="20"/>
          </w:rPr>
          <w:t>CWG-FHR-22/32</w:t>
        </w:r>
      </w:hyperlink>
      <w:r w:rsidRPr="00A1381B">
        <w:t>)</w:t>
      </w:r>
    </w:p>
    <w:p w14:paraId="07404804" w14:textId="143FEEF5" w:rsidR="00C60BB8" w:rsidRPr="00A1381B" w:rsidRDefault="00C60BB8" w:rsidP="00AD06F1">
      <w:pPr>
        <w:tabs>
          <w:tab w:val="clear" w:pos="567"/>
          <w:tab w:val="left" w:pos="709"/>
        </w:tabs>
      </w:pPr>
      <w:r w:rsidRPr="00A1381B">
        <w:t>13.6</w:t>
      </w:r>
      <w:r w:rsidRPr="00A1381B">
        <w:tab/>
        <w:t>Dans leur contribution, les États-Unis faisaient remarquer que les coûts directs et indirects liés au traitement des fiches de notification en franchise de droits devraient être financés par le budget ordinaire de l'UIT, conformément à la Résolution 91 (Rév.</w:t>
      </w:r>
      <w:r w:rsidR="00334BE9" w:rsidRPr="00A1381B">
        <w:t> </w:t>
      </w:r>
      <w:r w:rsidRPr="00A1381B">
        <w:t>Guadalajara, 2010) de la Conférence de plénipotentiaires. Si la contribution remerciait le secrétariat pour les travaux qu'il mène en vue de mettre au point une méthode, elle préconisait également de détailler les éléments de coût à recouvrer selon ladite méthode, en particulier la manière dont les coûts seront identifiés et imputés. Le délégué a insisté sur l'importance de procéder à une répartition au prorata en fonction de la base d'utilisateurs prévue et sur le fait que le coût du logiciel devrait être mis en recouvrement sur la totalité de sa durée de vie. Enfin, la contribution demandait des indications sur la façon dont les gains d'efficacité seraient mesurés et communiqués.</w:t>
      </w:r>
    </w:p>
    <w:p w14:paraId="48177E12" w14:textId="2F430569" w:rsidR="00C60BB8" w:rsidRPr="00A1381B" w:rsidRDefault="00C60BB8" w:rsidP="00334BE9">
      <w:pPr>
        <w:pStyle w:val="Headingb"/>
      </w:pPr>
      <w:r w:rsidRPr="00A1381B">
        <w:t xml:space="preserve">Contribution de la Tanzanie, du Kenya et du Nigéria – Contribution au Rapport de la Secrétaire générale sur les fiches de notification des réseaux à satellite – Actualisation de la méthode (Document </w:t>
      </w:r>
      <w:hyperlink r:id="rId103" w:history="1">
        <w:r w:rsidRPr="00A1381B">
          <w:rPr>
            <w:rStyle w:val="Hyperlink"/>
            <w:rFonts w:eastAsia="Times New Roman" w:cs="Times New Roman"/>
            <w:szCs w:val="20"/>
          </w:rPr>
          <w:t>CWG-FHR-22/33</w:t>
        </w:r>
      </w:hyperlink>
      <w:r w:rsidRPr="00A1381B">
        <w:t>)</w:t>
      </w:r>
    </w:p>
    <w:p w14:paraId="484C505B" w14:textId="0C387BB3" w:rsidR="00C60BB8" w:rsidRPr="00A1381B" w:rsidRDefault="00C60BB8" w:rsidP="00AD06F1">
      <w:pPr>
        <w:tabs>
          <w:tab w:val="clear" w:pos="567"/>
          <w:tab w:val="left" w:pos="709"/>
        </w:tabs>
      </w:pPr>
      <w:r w:rsidRPr="00A1381B">
        <w:t>13.7</w:t>
      </w:r>
      <w:r w:rsidRPr="00A1381B">
        <w:tab/>
        <w:t>La contribution soumise par la Tanzanie, le Kenya et le Nigéria attirait l'attention sur le fait que la question de la publication de fiches de notification en franchise de droits ne tenait pas compte des spécificités des pays en développement et proposait la franchise de droits</w:t>
      </w:r>
      <w:r w:rsidR="00334BE9" w:rsidRPr="00A1381B">
        <w:t xml:space="preserve"> </w:t>
      </w:r>
      <w:r w:rsidRPr="00A1381B">
        <w:t>pour les initiatives régionales relatives aux satellites, afin de promouvoir un accès équitable. En outre, la proposition soulignait que la franchise de droits devait être appliquée aux systèmes à satellites complets et ne devrait pas concerner les fiches de notification relatives à des modifications.</w:t>
      </w:r>
    </w:p>
    <w:p w14:paraId="32B38867" w14:textId="77777777" w:rsidR="00C60BB8" w:rsidRPr="00A1381B" w:rsidRDefault="00C60BB8" w:rsidP="00334BE9">
      <w:pPr>
        <w:pStyle w:val="Headingb"/>
      </w:pPr>
      <w:r w:rsidRPr="00A1381B">
        <w:t>Examen</w:t>
      </w:r>
    </w:p>
    <w:p w14:paraId="2C84ACFD" w14:textId="6EB7BD0F" w:rsidR="00C60BB8" w:rsidRPr="00A1381B" w:rsidRDefault="00C60BB8" w:rsidP="00AD06F1">
      <w:pPr>
        <w:tabs>
          <w:tab w:val="clear" w:pos="567"/>
          <w:tab w:val="left" w:pos="709"/>
        </w:tabs>
      </w:pPr>
      <w:r w:rsidRPr="00A1381B">
        <w:t>13.8</w:t>
      </w:r>
      <w:r w:rsidRPr="00A1381B">
        <w:tab/>
        <w:t>Lors de la 22ème réunion du GTC-FHR, les délégués ont examiné trois propositions concernant le modèle de recouvrement des coûts liés au traitement des fiches de notification des réseaux à satellite. Un délégué a appuyé les contributions de la GSOA et des États-Unis, convenant que les propositions du secrétariat devaient s'appuyer sur de meilleurs outils pour mesurer l'efficacité. Un autre s'est interrogé sur la possibilité de relancer les travaux du Groupe d'experts sur la Décision 482 et a demandé des éclaircissements sur la définition et les limites d'une "fiche de notification en franchise de droits". Un autre encore a souligné qu'il était urgent de prendre une décision, le nombre croissant de fiches de notification de réseaux à satellite à traiter rendant la situation intenable.</w:t>
      </w:r>
    </w:p>
    <w:p w14:paraId="78ED2A04" w14:textId="19DCDD31" w:rsidR="00C60BB8" w:rsidRPr="00A1381B" w:rsidRDefault="00C60BB8" w:rsidP="00AD06F1">
      <w:pPr>
        <w:tabs>
          <w:tab w:val="clear" w:pos="567"/>
          <w:tab w:val="left" w:pos="709"/>
        </w:tabs>
      </w:pPr>
      <w:r w:rsidRPr="00A1381B">
        <w:t>13.9</w:t>
      </w:r>
      <w:r w:rsidRPr="00A1381B">
        <w:tab/>
        <w:t>L'un des principaux points de désaccord portait sur la définition et la transparence des coûts directs et indirects, de sorte qu'un délégué a demandé de mettre en place une répartition détaillée claire et d'utiliser un modèle de fiche de notification pour donner un exemple. Il a en outre été suggéré que le secrétariat envoie chaque année des rappels concernant la franchise de droits, afin d'encourager les pays en développement à les utiliser. Un autre délégué a demandé qui finançait actuellement ces franchises et leur coût total pour l'Union ces dernières années.</w:t>
      </w:r>
    </w:p>
    <w:p w14:paraId="3D71DFED" w14:textId="53BE9DD7" w:rsidR="00C60BB8" w:rsidRPr="00A1381B" w:rsidRDefault="00C60BB8" w:rsidP="00AD06F1">
      <w:pPr>
        <w:tabs>
          <w:tab w:val="clear" w:pos="567"/>
          <w:tab w:val="left" w:pos="709"/>
        </w:tabs>
      </w:pPr>
      <w:r w:rsidRPr="00A1381B">
        <w:t>13.10</w:t>
      </w:r>
      <w:r w:rsidRPr="00A1381B">
        <w:tab/>
        <w:t>Un délégué a dit soutenir la réforme mais a demandé plus de précisions sur la méthode de base. Un autre s'est dit préoccupé par les coûts d'investissement et a suggéré que, bien qu'elles soient importantes pour garantir un accès équitable, les franchises de droits pourraient avoir des limites financières. Un délégué s'est dit favorable à la méthode et aux examens périodiques du secrétariat, mais opposé à la suppression des franchises de droits pour les pays en développement, les pays les moins avancés, les pays en développement sans littoral et les petits États insulaires en développement.</w:t>
      </w:r>
    </w:p>
    <w:p w14:paraId="54A86655" w14:textId="169A4EFA" w:rsidR="00C60BB8" w:rsidRPr="00A1381B" w:rsidRDefault="00C60BB8" w:rsidP="00A1381B">
      <w:pPr>
        <w:tabs>
          <w:tab w:val="clear" w:pos="567"/>
          <w:tab w:val="left" w:pos="709"/>
        </w:tabs>
      </w:pPr>
      <w:r w:rsidRPr="00A1381B">
        <w:t>13.11</w:t>
      </w:r>
      <w:r w:rsidRPr="00A1381B">
        <w:tab/>
        <w:t>Un autre délégué a dit soutenir la contribution des États-Unis, soulignant que les franchises de droits constituent un principe fondamental de l'UIT, et que leurs coûts devraient être financés par les unités contributives, et non par le recouvrement des coûts. Il a également insisté sur la nécessité de garantir la stabilité et la transparence en matière de droits pour éviter des augmentations inattendues pour les États Membres. Un délégué a attiré l'attention sur un rapport du Corps commun d'inspection (CCI) et a demandé si le secrétariat disposait d'un plan d'urgence pour les produits différés au titre des fiches de notification des réseaux à satellite, qui atteignaient 5,5 millions CHF. Un délégué a affirmé avec fermeté que le débat portait sur le recouvrement des coûts, et non sur la création de recettes, et a exprimé des doutes quant à la nécessité de relancer les travaux du Groupe d'experts sur la Décision 482. Un délégué a par ailleurs demandé au secrétariat de fournir une analyse coûts-avantages pour le modèle de recouvrement des coûts proposé.</w:t>
      </w:r>
    </w:p>
    <w:p w14:paraId="5B6A9F8C" w14:textId="12BF6627" w:rsidR="00C60BB8" w:rsidRPr="00A1381B" w:rsidRDefault="00C60BB8" w:rsidP="00AD06F1">
      <w:pPr>
        <w:tabs>
          <w:tab w:val="clear" w:pos="567"/>
          <w:tab w:val="left" w:pos="709"/>
        </w:tabs>
      </w:pPr>
      <w:r w:rsidRPr="00A1381B">
        <w:t>13.12</w:t>
      </w:r>
      <w:r w:rsidRPr="00A1381B">
        <w:tab/>
        <w:t>En réponse aux délégués, le secrétariat a reconnu que le processus était en cours et que davantage d'informations seraient fournies au Conseil à sa session de 2026. Il a indiqué que les franchises de droits pèsent sur le budget ordinaire de l'UIT à hauteur de quelque</w:t>
      </w:r>
      <w:r w:rsidR="00334BE9" w:rsidRPr="00A1381B">
        <w:t> </w:t>
      </w:r>
      <w:r w:rsidRPr="00A1381B">
        <w:t>1,2</w:t>
      </w:r>
      <w:r w:rsidR="00334BE9" w:rsidRPr="00A1381B">
        <w:t> </w:t>
      </w:r>
      <w:r w:rsidRPr="00A1381B">
        <w:t>à 1,5 million CHF par an. Le Directeur du Bureau des radiocommunications de l'UIT (BR) a averti que, sans une modernisation des logiciels et une augmentation des effectifs, l'arriéré du BR s'aggraverait en raison du nombre et de la complexité croissants des fiches de notification. Il a donné à ce titre l'exemple d'une fiche récente, qui concernait plus</w:t>
      </w:r>
      <w:r w:rsidR="00334BE9" w:rsidRPr="00A1381B">
        <w:t> </w:t>
      </w:r>
      <w:r w:rsidRPr="00A1381B">
        <w:t>de</w:t>
      </w:r>
      <w:r w:rsidR="00334BE9" w:rsidRPr="00A1381B">
        <w:t> </w:t>
      </w:r>
      <w:r w:rsidRPr="00A1381B">
        <w:t>200</w:t>
      </w:r>
      <w:r w:rsidR="00334BE9" w:rsidRPr="00A1381B">
        <w:t> </w:t>
      </w:r>
      <w:r w:rsidRPr="00A1381B">
        <w:t>000 satellites.</w:t>
      </w:r>
    </w:p>
    <w:p w14:paraId="2477A171" w14:textId="6F3B40F4" w:rsidR="00C60BB8" w:rsidRPr="00A1381B" w:rsidRDefault="00C60BB8"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13.13</w:t>
      </w:r>
      <w:r w:rsidRPr="00A1381B">
        <w:tab/>
        <w:t>La Présidente du CGT-FHR a résumé les débats et reconnu que, malgré des efforts soutenus en ce sens, le Groupe n'était pas en mesure de répondre à la demande du Conseil formulée à sa session de 2025. Faute d'accord sur la Résolution 91 (Rév. Guadalajara, 2010) de la Conférence de plénipotentiaires, la Présidente a dit qu'il était difficile de poursuivre l'élaboration d'une méthode et a fait part de sa réticence à approuver pour l'heure la méthode du secrétariat. Elle a en outre indiqué que le Groupe de travail était convaincu que le Groupe d'experts sur la Décision 482 n'avait pas besoin de reprendre ses travaux. Pour conclure, elle s'est</w:t>
      </w:r>
      <w:r w:rsidRPr="00A1381B">
        <w:rPr>
          <w:b/>
          <w:bCs/>
        </w:rPr>
        <w:t xml:space="preserve"> engagée</w:t>
      </w:r>
      <w:r w:rsidRPr="00A1381B">
        <w:t xml:space="preserve"> à fournir un tableau détaillé (ci-dessous) reprenant toutes les questions et préoccupations au secrétariat, au Conseil à sa session de 2026 et à la Conférence de plénipotentiaires de 2026.</w:t>
      </w:r>
    </w:p>
    <w:p w14:paraId="1C792EE4" w14:textId="77777777" w:rsidR="00C60BB8" w:rsidRPr="00A1381B" w:rsidRDefault="00C60BB8" w:rsidP="00334BE9">
      <w:pPr>
        <w:pStyle w:val="Headingb"/>
      </w:pPr>
      <w:r w:rsidRPr="00A1381B">
        <w:t>Thématiques des observations/questions des délégués concernant les fiches de notification des réseaux à satellite</w:t>
      </w:r>
    </w:p>
    <w:p w14:paraId="61AD7AC6" w14:textId="2A1A1CB2" w:rsidR="00334BE9" w:rsidRPr="00A1381B" w:rsidRDefault="00C60BB8" w:rsidP="00334BE9">
      <w:pPr>
        <w:spacing w:after="120"/>
      </w:pPr>
      <w:r w:rsidRPr="00A1381B">
        <w:t>Le tableau ci-dessous reprend les observations et les questions soulevées par les délégués lors de la 22ème réunion du GTC-FHR. La Présidente du GTC-FHR l'a envoyé le</w:t>
      </w:r>
      <w:r w:rsidR="00334BE9" w:rsidRPr="00A1381B">
        <w:t> </w:t>
      </w:r>
      <w:r w:rsidRPr="00A1381B">
        <w:t>15</w:t>
      </w:r>
      <w:r w:rsidR="00334BE9" w:rsidRPr="00A1381B">
        <w:t> </w:t>
      </w:r>
      <w:r w:rsidRPr="00A1381B">
        <w:t>janvier</w:t>
      </w:r>
      <w:r w:rsidR="00334BE9" w:rsidRPr="00A1381B">
        <w:t> </w:t>
      </w:r>
      <w:r w:rsidRPr="00A1381B">
        <w:t>2026 par courrier électronique aux délégués intéressés, pour obtenir leur avis.</w:t>
      </w:r>
    </w:p>
    <w:tbl>
      <w:tblPr>
        <w:tblStyle w:val="TableGrid"/>
        <w:tblW w:w="9082" w:type="dxa"/>
        <w:jc w:val="center"/>
        <w:tblLayout w:type="fixed"/>
        <w:tblCellMar>
          <w:left w:w="57" w:type="dxa"/>
          <w:right w:w="57" w:type="dxa"/>
        </w:tblCellMar>
        <w:tblLook w:val="04A0" w:firstRow="1" w:lastRow="0" w:firstColumn="1" w:lastColumn="0" w:noHBand="0" w:noVBand="1"/>
      </w:tblPr>
      <w:tblGrid>
        <w:gridCol w:w="847"/>
        <w:gridCol w:w="4677"/>
        <w:gridCol w:w="3558"/>
      </w:tblGrid>
      <w:tr w:rsidR="00334BE9" w:rsidRPr="00A1381B" w14:paraId="544B40E3" w14:textId="77777777" w:rsidTr="00334BE9">
        <w:trPr>
          <w:cantSplit/>
          <w:tblHeader/>
          <w:jc w:val="center"/>
        </w:trPr>
        <w:tc>
          <w:tcPr>
            <w:tcW w:w="466" w:type="pct"/>
            <w:shd w:val="clear" w:color="auto" w:fill="DBE5F1" w:themeFill="accent1" w:themeFillTint="33"/>
          </w:tcPr>
          <w:p w14:paraId="46B1134B" w14:textId="77777777" w:rsidR="00334BE9" w:rsidRPr="00A1381B" w:rsidRDefault="00334BE9" w:rsidP="0032708A">
            <w:pPr>
              <w:pStyle w:val="Tablehead"/>
              <w:rPr>
                <w:rFonts w:cs="Calibri"/>
              </w:rPr>
            </w:pPr>
            <w:r w:rsidRPr="00A1381B">
              <w:rPr>
                <w:rFonts w:cs="Calibri"/>
                <w:bCs/>
                <w:color w:val="000000"/>
              </w:rPr>
              <w:t>Thème</w:t>
            </w:r>
          </w:p>
        </w:tc>
        <w:tc>
          <w:tcPr>
            <w:tcW w:w="2575" w:type="pct"/>
            <w:shd w:val="clear" w:color="auto" w:fill="DBE5F1" w:themeFill="accent1" w:themeFillTint="33"/>
          </w:tcPr>
          <w:p w14:paraId="123DEE81" w14:textId="77777777" w:rsidR="00334BE9" w:rsidRPr="00A1381B" w:rsidRDefault="00334BE9" w:rsidP="0032708A">
            <w:pPr>
              <w:pStyle w:val="Tablehead"/>
              <w:rPr>
                <w:rFonts w:cs="Calibri"/>
              </w:rPr>
            </w:pPr>
            <w:r w:rsidRPr="00A1381B">
              <w:rPr>
                <w:rFonts w:cs="Calibri"/>
                <w:bCs/>
                <w:color w:val="000000"/>
              </w:rPr>
              <w:t>Vues/questions</w:t>
            </w:r>
          </w:p>
        </w:tc>
        <w:tc>
          <w:tcPr>
            <w:tcW w:w="1959" w:type="pct"/>
            <w:shd w:val="clear" w:color="auto" w:fill="DBE5F1" w:themeFill="accent1" w:themeFillTint="33"/>
          </w:tcPr>
          <w:p w14:paraId="6CF37E90" w14:textId="77777777" w:rsidR="00334BE9" w:rsidRPr="00A1381B" w:rsidRDefault="00334BE9" w:rsidP="0032708A">
            <w:pPr>
              <w:pStyle w:val="Tablehead"/>
              <w:rPr>
                <w:rFonts w:cs="Calibri"/>
              </w:rPr>
            </w:pPr>
            <w:r w:rsidRPr="00A1381B">
              <w:rPr>
                <w:rFonts w:cs="Calibri"/>
                <w:bCs/>
                <w:color w:val="000000"/>
              </w:rPr>
              <w:t>Vues/questions en suspens</w:t>
            </w:r>
          </w:p>
        </w:tc>
      </w:tr>
      <w:tr w:rsidR="00334BE9" w:rsidRPr="00A1381B" w14:paraId="713F7BC7" w14:textId="77777777" w:rsidTr="00334BE9">
        <w:trPr>
          <w:cantSplit/>
          <w:jc w:val="center"/>
        </w:trPr>
        <w:tc>
          <w:tcPr>
            <w:tcW w:w="5000" w:type="pct"/>
            <w:gridSpan w:val="3"/>
            <w:shd w:val="clear" w:color="auto" w:fill="EEECE1" w:themeFill="background2"/>
          </w:tcPr>
          <w:p w14:paraId="660537ED" w14:textId="71F82219" w:rsidR="00334BE9" w:rsidRPr="00A1381B" w:rsidRDefault="00334BE9" w:rsidP="00334BE9">
            <w:pPr>
              <w:pStyle w:val="Tabletext"/>
              <w:tabs>
                <w:tab w:val="left" w:pos="3502"/>
              </w:tabs>
              <w:rPr>
                <w:rFonts w:cs="Calibri"/>
                <w:b/>
                <w:bCs/>
              </w:rPr>
            </w:pPr>
            <w:r w:rsidRPr="00A1381B">
              <w:rPr>
                <w:rFonts w:cs="Calibri"/>
                <w:b/>
                <w:bCs/>
                <w:color w:val="000000"/>
              </w:rPr>
              <w:t>Vers quoi l'UIT doit-elle tendre?</w:t>
            </w:r>
          </w:p>
        </w:tc>
      </w:tr>
      <w:tr w:rsidR="00334BE9" w:rsidRPr="00A1381B" w14:paraId="2042171C" w14:textId="77777777" w:rsidTr="00334BE9">
        <w:trPr>
          <w:cantSplit/>
          <w:jc w:val="center"/>
        </w:trPr>
        <w:tc>
          <w:tcPr>
            <w:tcW w:w="466" w:type="pct"/>
          </w:tcPr>
          <w:p w14:paraId="2B7C64B9" w14:textId="77777777" w:rsidR="00334BE9" w:rsidRPr="00A1381B" w:rsidRDefault="00334BE9" w:rsidP="0032708A">
            <w:pPr>
              <w:pStyle w:val="Tabletext"/>
              <w:rPr>
                <w:rFonts w:cs="Calibri"/>
              </w:rPr>
            </w:pPr>
          </w:p>
        </w:tc>
        <w:tc>
          <w:tcPr>
            <w:tcW w:w="2575" w:type="pct"/>
          </w:tcPr>
          <w:p w14:paraId="5E30E88B" w14:textId="443D929E" w:rsidR="00334BE9" w:rsidRPr="00A1381B" w:rsidRDefault="00334BE9" w:rsidP="0032708A">
            <w:pPr>
              <w:pStyle w:val="Tabletext"/>
              <w:rPr>
                <w:rFonts w:cs="Calibri"/>
              </w:rPr>
            </w:pPr>
            <w:r w:rsidRPr="00A1381B">
              <w:rPr>
                <w:rFonts w:cs="Calibri"/>
                <w:color w:val="000000"/>
              </w:rPr>
              <w:t>De l'avis général des membres, les droits perçus au titre du recouvrement des coûts (par exemple ceux liés aux fiches de notification des réseaux à satellite) devraient servir directement à financer les travaux du Bureau pour lesquels ces droits sont facturés et ne pas être versés dans le budget général. Il ne devrait pas s'agir d'un mécanisme de recouvrement des coûts prévus au budget.</w:t>
            </w:r>
          </w:p>
        </w:tc>
        <w:tc>
          <w:tcPr>
            <w:tcW w:w="1959" w:type="pct"/>
          </w:tcPr>
          <w:p w14:paraId="15560673" w14:textId="1E65C6C9" w:rsidR="00334BE9" w:rsidRPr="00A1381B" w:rsidRDefault="00334BE9" w:rsidP="0032708A">
            <w:pPr>
              <w:pStyle w:val="Tabletext"/>
              <w:rPr>
                <w:rFonts w:cs="Calibri"/>
              </w:rPr>
            </w:pPr>
            <w:r w:rsidRPr="00A1381B">
              <w:rPr>
                <w:rFonts w:cs="Calibri"/>
                <w:color w:val="000000"/>
              </w:rPr>
              <w:t>À qui l'UIT facture-t-elle actuellement ces droits?</w:t>
            </w:r>
          </w:p>
        </w:tc>
      </w:tr>
      <w:tr w:rsidR="00334BE9" w:rsidRPr="00A1381B" w14:paraId="3F4796E0" w14:textId="77777777" w:rsidTr="00334BE9">
        <w:trPr>
          <w:cantSplit/>
          <w:jc w:val="center"/>
        </w:trPr>
        <w:tc>
          <w:tcPr>
            <w:tcW w:w="5000" w:type="pct"/>
            <w:gridSpan w:val="3"/>
            <w:shd w:val="clear" w:color="auto" w:fill="EEECE1" w:themeFill="background2"/>
          </w:tcPr>
          <w:p w14:paraId="227D62E4" w14:textId="77777777" w:rsidR="00334BE9" w:rsidRPr="00A1381B" w:rsidRDefault="00334BE9" w:rsidP="0032708A">
            <w:pPr>
              <w:pStyle w:val="Tabletext"/>
              <w:rPr>
                <w:rFonts w:cs="Calibri"/>
                <w:b/>
                <w:bCs/>
              </w:rPr>
            </w:pPr>
            <w:r w:rsidRPr="00A1381B">
              <w:rPr>
                <w:rFonts w:cs="Calibri"/>
                <w:b/>
                <w:bCs/>
                <w:color w:val="000000"/>
              </w:rPr>
              <w:t>Franchises de droits</w:t>
            </w:r>
          </w:p>
        </w:tc>
      </w:tr>
      <w:tr w:rsidR="00334BE9" w:rsidRPr="00A1381B" w14:paraId="1C2C26EE" w14:textId="77777777" w:rsidTr="00334BE9">
        <w:trPr>
          <w:cantSplit/>
          <w:jc w:val="center"/>
        </w:trPr>
        <w:tc>
          <w:tcPr>
            <w:tcW w:w="466" w:type="pct"/>
            <w:vMerge w:val="restart"/>
          </w:tcPr>
          <w:p w14:paraId="3873E53E" w14:textId="77777777" w:rsidR="00334BE9" w:rsidRPr="00A1381B" w:rsidRDefault="00334BE9" w:rsidP="0032708A">
            <w:pPr>
              <w:pStyle w:val="Tabletext"/>
              <w:rPr>
                <w:rFonts w:cs="Calibri"/>
              </w:rPr>
            </w:pPr>
          </w:p>
        </w:tc>
        <w:tc>
          <w:tcPr>
            <w:tcW w:w="2575" w:type="pct"/>
          </w:tcPr>
          <w:p w14:paraId="512E5B81" w14:textId="27C80244" w:rsidR="00334BE9" w:rsidRPr="00A1381B" w:rsidRDefault="00334BE9" w:rsidP="00334BE9">
            <w:pPr>
              <w:pStyle w:val="Tabletext"/>
              <w:ind w:right="-79"/>
              <w:rPr>
                <w:rFonts w:cs="Calibri"/>
              </w:rPr>
            </w:pPr>
            <w:r w:rsidRPr="00A1381B">
              <w:rPr>
                <w:rFonts w:cs="Calibri"/>
                <w:color w:val="000000"/>
              </w:rPr>
              <w:t>Le coût de la publication de fiches de notification en franchise de droits devrait être financé par les contributions des États Membres (plusieurs pays). D'autres sont d'avis que ces franchises devraient être financées par le recouvrement des coûts et non par le budget ordinaire de l'UIT (en vertu de la Résolution 91)</w:t>
            </w:r>
          </w:p>
        </w:tc>
        <w:tc>
          <w:tcPr>
            <w:tcW w:w="1959" w:type="pct"/>
          </w:tcPr>
          <w:p w14:paraId="7A7957D9" w14:textId="4187C7FD" w:rsidR="00334BE9" w:rsidRPr="00A1381B" w:rsidRDefault="00334BE9" w:rsidP="00334BE9">
            <w:pPr>
              <w:pStyle w:val="Tabletext"/>
              <w:ind w:right="-38"/>
              <w:rPr>
                <w:rFonts w:cs="Calibri"/>
              </w:rPr>
            </w:pPr>
            <w:r w:rsidRPr="00A1381B">
              <w:rPr>
                <w:rFonts w:cs="Calibri"/>
                <w:color w:val="000000"/>
              </w:rPr>
              <w:t>Que comprend et combien coûte une franchise de droits? Qui paie actuellement pour ces franchises? Faut-il instaurer des limites de coût pour les franchises, et qui détermine ce coût?</w:t>
            </w:r>
          </w:p>
        </w:tc>
      </w:tr>
      <w:tr w:rsidR="00334BE9" w:rsidRPr="00A1381B" w14:paraId="23F7CB33" w14:textId="77777777" w:rsidTr="00334BE9">
        <w:trPr>
          <w:cantSplit/>
          <w:jc w:val="center"/>
        </w:trPr>
        <w:tc>
          <w:tcPr>
            <w:tcW w:w="466" w:type="pct"/>
            <w:vMerge/>
          </w:tcPr>
          <w:p w14:paraId="64DE3F1E" w14:textId="77777777" w:rsidR="00334BE9" w:rsidRPr="00A1381B" w:rsidRDefault="00334BE9" w:rsidP="0032708A">
            <w:pPr>
              <w:pStyle w:val="Tabletext"/>
              <w:rPr>
                <w:rFonts w:cs="Calibri"/>
              </w:rPr>
            </w:pPr>
          </w:p>
        </w:tc>
        <w:tc>
          <w:tcPr>
            <w:tcW w:w="2575" w:type="pct"/>
          </w:tcPr>
          <w:p w14:paraId="3D2846C1" w14:textId="3F7D6852" w:rsidR="00334BE9" w:rsidRPr="00A1381B" w:rsidRDefault="00334BE9" w:rsidP="0032708A">
            <w:pPr>
              <w:pStyle w:val="Tabletext"/>
              <w:rPr>
                <w:rFonts w:cs="Calibri"/>
              </w:rPr>
            </w:pPr>
            <w:r w:rsidRPr="00A1381B">
              <w:rPr>
                <w:rFonts w:cs="Calibri"/>
                <w:color w:val="000000"/>
              </w:rPr>
              <w:t>Les franchises de droits font partie des fonctions essentielles du mandat de l'UIT (plusieurs pays).</w:t>
            </w:r>
          </w:p>
        </w:tc>
        <w:tc>
          <w:tcPr>
            <w:tcW w:w="1959" w:type="pct"/>
          </w:tcPr>
          <w:p w14:paraId="4D2F2052" w14:textId="0DFBEB09" w:rsidR="00334BE9" w:rsidRPr="00A1381B" w:rsidRDefault="00334BE9" w:rsidP="0032708A">
            <w:pPr>
              <w:pStyle w:val="Tabletext"/>
              <w:rPr>
                <w:rFonts w:cs="Calibri"/>
              </w:rPr>
            </w:pPr>
            <w:r w:rsidRPr="00A1381B">
              <w:rPr>
                <w:rFonts w:cs="Calibri"/>
                <w:color w:val="000000"/>
              </w:rPr>
              <w:t>L'objectif de départ des franchises de droits est-il ou non toujours valable?</w:t>
            </w:r>
          </w:p>
        </w:tc>
      </w:tr>
      <w:tr w:rsidR="00334BE9" w:rsidRPr="00A1381B" w14:paraId="276B8427" w14:textId="77777777" w:rsidTr="00334BE9">
        <w:trPr>
          <w:cantSplit/>
          <w:jc w:val="center"/>
        </w:trPr>
        <w:tc>
          <w:tcPr>
            <w:tcW w:w="466" w:type="pct"/>
            <w:vMerge/>
          </w:tcPr>
          <w:p w14:paraId="743B1C18" w14:textId="77777777" w:rsidR="00334BE9" w:rsidRPr="00A1381B" w:rsidRDefault="00334BE9" w:rsidP="0032708A">
            <w:pPr>
              <w:pStyle w:val="Tabletext"/>
              <w:rPr>
                <w:rFonts w:cs="Calibri"/>
              </w:rPr>
            </w:pPr>
          </w:p>
        </w:tc>
        <w:tc>
          <w:tcPr>
            <w:tcW w:w="2575" w:type="pct"/>
          </w:tcPr>
          <w:p w14:paraId="1AB1CA3E" w14:textId="77777777" w:rsidR="00334BE9" w:rsidRPr="00A1381B" w:rsidRDefault="00334BE9" w:rsidP="0032708A">
            <w:pPr>
              <w:pStyle w:val="Tabletext"/>
              <w:rPr>
                <w:rFonts w:cs="Calibri"/>
              </w:rPr>
            </w:pPr>
            <w:r w:rsidRPr="00A1381B">
              <w:rPr>
                <w:rFonts w:cs="Calibri"/>
                <w:color w:val="000000"/>
              </w:rPr>
              <w:t>Les franchises de droits ne tiennent actuellement pas compte des considérations des pays en développement et devraient rester en vigueur, au minimum, pour aider ces pays.</w:t>
            </w:r>
          </w:p>
        </w:tc>
        <w:tc>
          <w:tcPr>
            <w:tcW w:w="1959" w:type="pct"/>
          </w:tcPr>
          <w:p w14:paraId="31A87A60" w14:textId="77777777" w:rsidR="00334BE9" w:rsidRPr="00A1381B" w:rsidRDefault="00334BE9" w:rsidP="0032708A">
            <w:pPr>
              <w:pStyle w:val="Tabletext"/>
              <w:rPr>
                <w:rFonts w:cs="Calibri"/>
              </w:rPr>
            </w:pPr>
          </w:p>
        </w:tc>
      </w:tr>
      <w:tr w:rsidR="00334BE9" w:rsidRPr="00A1381B" w14:paraId="4958D413" w14:textId="77777777" w:rsidTr="00334BE9">
        <w:trPr>
          <w:cantSplit/>
          <w:jc w:val="center"/>
        </w:trPr>
        <w:tc>
          <w:tcPr>
            <w:tcW w:w="466" w:type="pct"/>
            <w:vMerge/>
          </w:tcPr>
          <w:p w14:paraId="62B98663" w14:textId="77777777" w:rsidR="00334BE9" w:rsidRPr="00A1381B" w:rsidRDefault="00334BE9" w:rsidP="0032708A">
            <w:pPr>
              <w:pStyle w:val="Tabletext"/>
              <w:rPr>
                <w:rFonts w:cs="Calibri"/>
              </w:rPr>
            </w:pPr>
          </w:p>
        </w:tc>
        <w:tc>
          <w:tcPr>
            <w:tcW w:w="2575" w:type="pct"/>
          </w:tcPr>
          <w:p w14:paraId="026562FA" w14:textId="4835F4D2" w:rsidR="00334BE9" w:rsidRPr="00A1381B" w:rsidRDefault="00334BE9" w:rsidP="0032708A">
            <w:pPr>
              <w:pStyle w:val="Tabletext"/>
              <w:rPr>
                <w:rFonts w:cs="Calibri"/>
              </w:rPr>
            </w:pPr>
            <w:r w:rsidRPr="00A1381B">
              <w:rPr>
                <w:rFonts w:cs="Calibri"/>
                <w:color w:val="000000"/>
              </w:rPr>
              <w:t>Proposer une franchise de droits pour les initiatives régionales relatives aux satellites afin d'assurer un accès équitable.</w:t>
            </w:r>
          </w:p>
        </w:tc>
        <w:tc>
          <w:tcPr>
            <w:tcW w:w="1959" w:type="pct"/>
          </w:tcPr>
          <w:p w14:paraId="0692D097" w14:textId="147481A1" w:rsidR="00334BE9" w:rsidRPr="00A1381B" w:rsidRDefault="00334BE9" w:rsidP="0032708A">
            <w:pPr>
              <w:pStyle w:val="Tabletext"/>
              <w:rPr>
                <w:rFonts w:cs="Calibri"/>
              </w:rPr>
            </w:pPr>
            <w:r w:rsidRPr="00A1381B">
              <w:rPr>
                <w:rFonts w:cs="Calibri"/>
                <w:color w:val="000000"/>
              </w:rPr>
              <w:t>Faut-il établir une distinction entre pays développés et pays en développement?</w:t>
            </w:r>
          </w:p>
        </w:tc>
      </w:tr>
      <w:tr w:rsidR="00334BE9" w:rsidRPr="00A1381B" w14:paraId="4F517868" w14:textId="77777777" w:rsidTr="00334BE9">
        <w:trPr>
          <w:cantSplit/>
          <w:jc w:val="center"/>
        </w:trPr>
        <w:tc>
          <w:tcPr>
            <w:tcW w:w="466" w:type="pct"/>
            <w:vMerge/>
          </w:tcPr>
          <w:p w14:paraId="6FCCB59B" w14:textId="77777777" w:rsidR="00334BE9" w:rsidRPr="00A1381B" w:rsidRDefault="00334BE9" w:rsidP="0032708A">
            <w:pPr>
              <w:pStyle w:val="Tabletext"/>
              <w:rPr>
                <w:rFonts w:cs="Calibri"/>
              </w:rPr>
            </w:pPr>
          </w:p>
        </w:tc>
        <w:tc>
          <w:tcPr>
            <w:tcW w:w="2575" w:type="pct"/>
          </w:tcPr>
          <w:p w14:paraId="1B5FEEA0" w14:textId="549DAA4B" w:rsidR="00334BE9" w:rsidRPr="00A1381B" w:rsidRDefault="00334BE9" w:rsidP="0032708A">
            <w:pPr>
              <w:pStyle w:val="Tabletext"/>
              <w:rPr>
                <w:rFonts w:cs="Calibri"/>
              </w:rPr>
            </w:pPr>
            <w:r w:rsidRPr="00A1381B">
              <w:rPr>
                <w:rFonts w:cs="Calibri"/>
                <w:color w:val="000000"/>
              </w:rPr>
              <w:t>Les franchises de droits devraient s'appliquer aux systèmes à satellites complets. Ne pas autoriser les franchises de droits pour les modifications.</w:t>
            </w:r>
          </w:p>
        </w:tc>
        <w:tc>
          <w:tcPr>
            <w:tcW w:w="1959" w:type="pct"/>
          </w:tcPr>
          <w:p w14:paraId="4A523895" w14:textId="77777777" w:rsidR="00334BE9" w:rsidRPr="00A1381B" w:rsidRDefault="00334BE9" w:rsidP="0032708A">
            <w:pPr>
              <w:pStyle w:val="Tabletext"/>
              <w:rPr>
                <w:rFonts w:cs="Calibri"/>
              </w:rPr>
            </w:pPr>
          </w:p>
        </w:tc>
      </w:tr>
      <w:tr w:rsidR="00334BE9" w:rsidRPr="00A1381B" w14:paraId="7A113060" w14:textId="77777777" w:rsidTr="00334BE9">
        <w:trPr>
          <w:cantSplit/>
          <w:jc w:val="center"/>
        </w:trPr>
        <w:tc>
          <w:tcPr>
            <w:tcW w:w="466" w:type="pct"/>
            <w:vMerge/>
          </w:tcPr>
          <w:p w14:paraId="0385042D" w14:textId="77777777" w:rsidR="00334BE9" w:rsidRPr="00A1381B" w:rsidRDefault="00334BE9" w:rsidP="0032708A">
            <w:pPr>
              <w:pStyle w:val="Tabletext"/>
              <w:rPr>
                <w:rFonts w:cs="Calibri"/>
              </w:rPr>
            </w:pPr>
          </w:p>
        </w:tc>
        <w:tc>
          <w:tcPr>
            <w:tcW w:w="2575" w:type="pct"/>
          </w:tcPr>
          <w:p w14:paraId="20FDF663" w14:textId="4DFAB7FE" w:rsidR="00334BE9" w:rsidRPr="00A1381B" w:rsidRDefault="00334BE9" w:rsidP="0032708A">
            <w:pPr>
              <w:pStyle w:val="Tabletext"/>
              <w:rPr>
                <w:rFonts w:cs="Calibri"/>
              </w:rPr>
            </w:pPr>
            <w:r w:rsidRPr="00A1381B">
              <w:rPr>
                <w:rFonts w:cs="Calibri"/>
                <w:color w:val="000000"/>
              </w:rPr>
              <w:t>Poursuivre les discussions sur les franchises de droits dans le cadre de consultations avec le Groupe d'experts sur la Décision 482.</w:t>
            </w:r>
          </w:p>
        </w:tc>
        <w:tc>
          <w:tcPr>
            <w:tcW w:w="1959" w:type="pct"/>
          </w:tcPr>
          <w:p w14:paraId="49E1E4BE" w14:textId="77777777" w:rsidR="00334BE9" w:rsidRPr="00A1381B" w:rsidRDefault="00334BE9" w:rsidP="0032708A">
            <w:pPr>
              <w:pStyle w:val="Tabletext"/>
              <w:rPr>
                <w:rFonts w:cs="Calibri"/>
              </w:rPr>
            </w:pPr>
          </w:p>
        </w:tc>
      </w:tr>
      <w:tr w:rsidR="00334BE9" w:rsidRPr="00A1381B" w14:paraId="69294157" w14:textId="77777777" w:rsidTr="00334BE9">
        <w:trPr>
          <w:cantSplit/>
          <w:jc w:val="center"/>
        </w:trPr>
        <w:tc>
          <w:tcPr>
            <w:tcW w:w="466" w:type="pct"/>
            <w:vMerge/>
          </w:tcPr>
          <w:p w14:paraId="0079CD89" w14:textId="77777777" w:rsidR="00334BE9" w:rsidRPr="00A1381B" w:rsidRDefault="00334BE9" w:rsidP="0032708A">
            <w:pPr>
              <w:pStyle w:val="Tabletext"/>
              <w:rPr>
                <w:rFonts w:cs="Calibri"/>
              </w:rPr>
            </w:pPr>
          </w:p>
        </w:tc>
        <w:tc>
          <w:tcPr>
            <w:tcW w:w="2575" w:type="pct"/>
          </w:tcPr>
          <w:p w14:paraId="5BCEC195" w14:textId="65806F61" w:rsidR="00334BE9" w:rsidRPr="00A1381B" w:rsidRDefault="00334BE9" w:rsidP="0032708A">
            <w:pPr>
              <w:pStyle w:val="Tabletext"/>
              <w:rPr>
                <w:rFonts w:cs="Calibri"/>
              </w:rPr>
            </w:pPr>
            <w:r w:rsidRPr="00A1381B">
              <w:rPr>
                <w:rFonts w:cs="Calibri"/>
                <w:color w:val="000000"/>
              </w:rPr>
              <w:t>Proposer que l'UIT envoie des rappels annuels aux pays, en particulier aux pays en développement, pour qu'ils utilisent leur franchise de droits.</w:t>
            </w:r>
          </w:p>
        </w:tc>
        <w:tc>
          <w:tcPr>
            <w:tcW w:w="1959" w:type="pct"/>
          </w:tcPr>
          <w:p w14:paraId="25E54F8B" w14:textId="77777777" w:rsidR="00334BE9" w:rsidRPr="00A1381B" w:rsidRDefault="00334BE9" w:rsidP="0032708A">
            <w:pPr>
              <w:pStyle w:val="Tabletext"/>
              <w:rPr>
                <w:rFonts w:cs="Calibri"/>
              </w:rPr>
            </w:pPr>
          </w:p>
        </w:tc>
      </w:tr>
      <w:tr w:rsidR="00334BE9" w:rsidRPr="00A1381B" w14:paraId="78C4E516" w14:textId="77777777" w:rsidTr="00334BE9">
        <w:trPr>
          <w:cantSplit/>
          <w:jc w:val="center"/>
        </w:trPr>
        <w:tc>
          <w:tcPr>
            <w:tcW w:w="466" w:type="pct"/>
            <w:vMerge/>
          </w:tcPr>
          <w:p w14:paraId="6EBC8922" w14:textId="77777777" w:rsidR="00334BE9" w:rsidRPr="00A1381B" w:rsidRDefault="00334BE9" w:rsidP="0032708A">
            <w:pPr>
              <w:pStyle w:val="Tabletext"/>
              <w:rPr>
                <w:rFonts w:cs="Calibri"/>
              </w:rPr>
            </w:pPr>
          </w:p>
        </w:tc>
        <w:tc>
          <w:tcPr>
            <w:tcW w:w="2575" w:type="pct"/>
          </w:tcPr>
          <w:p w14:paraId="51E5D815" w14:textId="3F9AF0EA" w:rsidR="00334BE9" w:rsidRPr="00A1381B" w:rsidRDefault="00334BE9" w:rsidP="0032708A">
            <w:pPr>
              <w:pStyle w:val="Tabletext"/>
              <w:rPr>
                <w:rFonts w:cs="Calibri"/>
              </w:rPr>
            </w:pPr>
            <w:r w:rsidRPr="00A1381B">
              <w:rPr>
                <w:rFonts w:cs="Calibri"/>
                <w:color w:val="000000"/>
              </w:rPr>
              <w:t>Certains Membres ont appuyé la proposition, soumise par plusieurs pays, visant à empêcher l'utilisation abusive des franchises de droits.</w:t>
            </w:r>
          </w:p>
        </w:tc>
        <w:tc>
          <w:tcPr>
            <w:tcW w:w="1959" w:type="pct"/>
          </w:tcPr>
          <w:p w14:paraId="799F8BD8" w14:textId="77777777" w:rsidR="00334BE9" w:rsidRPr="00A1381B" w:rsidRDefault="00334BE9" w:rsidP="0032708A">
            <w:pPr>
              <w:pStyle w:val="Tabletext"/>
              <w:rPr>
                <w:rFonts w:cs="Calibri"/>
              </w:rPr>
            </w:pPr>
          </w:p>
        </w:tc>
      </w:tr>
      <w:tr w:rsidR="00334BE9" w:rsidRPr="00A1381B" w14:paraId="64A347E9" w14:textId="77777777" w:rsidTr="00334BE9">
        <w:trPr>
          <w:cantSplit/>
          <w:jc w:val="center"/>
        </w:trPr>
        <w:tc>
          <w:tcPr>
            <w:tcW w:w="5000" w:type="pct"/>
            <w:gridSpan w:val="3"/>
            <w:shd w:val="clear" w:color="auto" w:fill="EEECE1" w:themeFill="background2"/>
          </w:tcPr>
          <w:p w14:paraId="34957481" w14:textId="77777777" w:rsidR="00334BE9" w:rsidRPr="00A1381B" w:rsidRDefault="00334BE9" w:rsidP="0032708A">
            <w:pPr>
              <w:pStyle w:val="Tabletext"/>
              <w:keepNext/>
              <w:rPr>
                <w:rFonts w:cs="Calibri"/>
                <w:b/>
                <w:bCs/>
              </w:rPr>
            </w:pPr>
            <w:r w:rsidRPr="00A1381B">
              <w:rPr>
                <w:rFonts w:cs="Calibri"/>
                <w:b/>
                <w:bCs/>
                <w:color w:val="000000"/>
              </w:rPr>
              <w:t>Transparence</w:t>
            </w:r>
          </w:p>
        </w:tc>
      </w:tr>
      <w:tr w:rsidR="00334BE9" w:rsidRPr="00A1381B" w14:paraId="55F81A84" w14:textId="77777777" w:rsidTr="00334BE9">
        <w:trPr>
          <w:cantSplit/>
          <w:jc w:val="center"/>
        </w:trPr>
        <w:tc>
          <w:tcPr>
            <w:tcW w:w="466" w:type="pct"/>
            <w:vMerge w:val="restart"/>
          </w:tcPr>
          <w:p w14:paraId="670AA7AF" w14:textId="77777777" w:rsidR="00334BE9" w:rsidRPr="00A1381B" w:rsidRDefault="00334BE9" w:rsidP="0032708A">
            <w:pPr>
              <w:pStyle w:val="Tabletext"/>
              <w:rPr>
                <w:rFonts w:cs="Calibri"/>
              </w:rPr>
            </w:pPr>
          </w:p>
        </w:tc>
        <w:tc>
          <w:tcPr>
            <w:tcW w:w="2575" w:type="pct"/>
          </w:tcPr>
          <w:p w14:paraId="1ECFCFF3" w14:textId="77777777" w:rsidR="00334BE9" w:rsidRPr="00A1381B" w:rsidRDefault="00334BE9" w:rsidP="0032708A">
            <w:pPr>
              <w:pStyle w:val="Tabletext"/>
              <w:rPr>
                <w:rFonts w:cs="Calibri"/>
              </w:rPr>
            </w:pPr>
            <w:r w:rsidRPr="00A1381B">
              <w:rPr>
                <w:rFonts w:cs="Calibri"/>
                <w:color w:val="000000"/>
              </w:rPr>
              <w:t>La proposition du Secrétariat ne repose pas suffisamment sur des mesures concrètes. Fonder la méthode proposée sur des données vérifiées provenant des opérations du BR.</w:t>
            </w:r>
          </w:p>
        </w:tc>
        <w:tc>
          <w:tcPr>
            <w:tcW w:w="1959" w:type="pct"/>
          </w:tcPr>
          <w:p w14:paraId="25695BEB" w14:textId="798FC660" w:rsidR="00334BE9" w:rsidRPr="00A1381B" w:rsidRDefault="00334BE9" w:rsidP="0032708A">
            <w:pPr>
              <w:pStyle w:val="Tabletext"/>
              <w:rPr>
                <w:rFonts w:cs="Calibri"/>
              </w:rPr>
            </w:pPr>
            <w:r w:rsidRPr="00A1381B">
              <w:rPr>
                <w:rFonts w:cs="Calibri"/>
                <w:color w:val="000000"/>
              </w:rPr>
              <w:t>Demander des précisions sur les éléments de coût à mettre en recouvrement dans la méthode. Concrètement, comment le secrétariat va-t-il définir, calculer et imputer les coûts directs et indirects?</w:t>
            </w:r>
          </w:p>
        </w:tc>
      </w:tr>
      <w:tr w:rsidR="00334BE9" w:rsidRPr="00A1381B" w14:paraId="5EDC64BD" w14:textId="77777777" w:rsidTr="00334BE9">
        <w:trPr>
          <w:cantSplit/>
          <w:jc w:val="center"/>
        </w:trPr>
        <w:tc>
          <w:tcPr>
            <w:tcW w:w="466" w:type="pct"/>
            <w:vMerge/>
          </w:tcPr>
          <w:p w14:paraId="2A1E131F" w14:textId="77777777" w:rsidR="00334BE9" w:rsidRPr="00A1381B" w:rsidRDefault="00334BE9" w:rsidP="0032708A">
            <w:pPr>
              <w:pStyle w:val="Tabletext"/>
              <w:rPr>
                <w:rFonts w:cs="Calibri"/>
              </w:rPr>
            </w:pPr>
          </w:p>
        </w:tc>
        <w:tc>
          <w:tcPr>
            <w:tcW w:w="2575" w:type="pct"/>
          </w:tcPr>
          <w:p w14:paraId="5ED04595" w14:textId="77777777" w:rsidR="00334BE9" w:rsidRPr="00A1381B" w:rsidRDefault="00334BE9" w:rsidP="00437D7F">
            <w:pPr>
              <w:pStyle w:val="Tabletext"/>
              <w:ind w:right="-57"/>
              <w:rPr>
                <w:rFonts w:cs="Calibri"/>
              </w:rPr>
            </w:pPr>
            <w:r w:rsidRPr="00A1381B">
              <w:rPr>
                <w:rFonts w:cs="Calibri"/>
                <w:color w:val="000000"/>
              </w:rPr>
              <w:t>Pour certains pays, tous coûts directs ou indirects doivent être perçus dans le cadre du recouvrement des coûts, et si le secrétariat veut y inclure les frais généraux, il doit prouver le lien entre ces frais et le traitement des fiches de notification.</w:t>
            </w:r>
          </w:p>
        </w:tc>
        <w:tc>
          <w:tcPr>
            <w:tcW w:w="1959" w:type="pct"/>
          </w:tcPr>
          <w:p w14:paraId="770A3D3E" w14:textId="1BBA4983" w:rsidR="00334BE9" w:rsidRPr="00A1381B" w:rsidRDefault="00334BE9" w:rsidP="0032708A">
            <w:pPr>
              <w:pStyle w:val="Tabletext"/>
              <w:rPr>
                <w:rFonts w:cs="Calibri"/>
              </w:rPr>
            </w:pPr>
            <w:r w:rsidRPr="00A1381B">
              <w:rPr>
                <w:rFonts w:cs="Calibri"/>
                <w:color w:val="000000"/>
              </w:rPr>
              <w:t>Comment le secrétariat compte-t-il mesurer les gains d'efficacité découlant de la réforme proposée concernant les fiches de notification et en rendre compte?</w:t>
            </w:r>
          </w:p>
        </w:tc>
      </w:tr>
      <w:tr w:rsidR="00334BE9" w:rsidRPr="00A1381B" w14:paraId="5EC2ADF4" w14:textId="77777777" w:rsidTr="00334BE9">
        <w:trPr>
          <w:cantSplit/>
          <w:jc w:val="center"/>
        </w:trPr>
        <w:tc>
          <w:tcPr>
            <w:tcW w:w="466" w:type="pct"/>
            <w:vMerge/>
          </w:tcPr>
          <w:p w14:paraId="4811922F" w14:textId="77777777" w:rsidR="00334BE9" w:rsidRPr="00A1381B" w:rsidRDefault="00334BE9" w:rsidP="0032708A">
            <w:pPr>
              <w:pStyle w:val="Tabletext"/>
              <w:rPr>
                <w:rFonts w:cs="Calibri"/>
              </w:rPr>
            </w:pPr>
          </w:p>
        </w:tc>
        <w:tc>
          <w:tcPr>
            <w:tcW w:w="2575" w:type="pct"/>
          </w:tcPr>
          <w:p w14:paraId="6521E1A6" w14:textId="25264271" w:rsidR="00334BE9" w:rsidRPr="00A1381B" w:rsidRDefault="00334BE9" w:rsidP="0032708A">
            <w:pPr>
              <w:pStyle w:val="Tabletext"/>
              <w:rPr>
                <w:rFonts w:cs="Calibri"/>
              </w:rPr>
            </w:pPr>
            <w:r w:rsidRPr="00A1381B">
              <w:rPr>
                <w:rFonts w:cs="Calibri"/>
                <w:color w:val="000000"/>
              </w:rPr>
              <w:t>La Rés</w:t>
            </w:r>
            <w:r w:rsidR="00DC51AD" w:rsidRPr="00A1381B">
              <w:rPr>
                <w:rFonts w:cs="Calibri"/>
                <w:color w:val="000000"/>
              </w:rPr>
              <w:t>olution</w:t>
            </w:r>
            <w:r w:rsidRPr="00A1381B">
              <w:rPr>
                <w:rFonts w:cs="Calibri"/>
                <w:color w:val="000000"/>
              </w:rPr>
              <w:t xml:space="preserve"> 91 ne mentionne pas les coûts d'investissement tels que l'amortissement.</w:t>
            </w:r>
          </w:p>
        </w:tc>
        <w:tc>
          <w:tcPr>
            <w:tcW w:w="1959" w:type="pct"/>
          </w:tcPr>
          <w:p w14:paraId="5FDA8F92" w14:textId="2FB3342A" w:rsidR="00334BE9" w:rsidRPr="00A1381B" w:rsidRDefault="00334BE9" w:rsidP="0032708A">
            <w:pPr>
              <w:pStyle w:val="Tabletext"/>
              <w:rPr>
                <w:rFonts w:cs="Calibri"/>
              </w:rPr>
            </w:pPr>
            <w:r w:rsidRPr="00A1381B">
              <w:rPr>
                <w:rFonts w:cs="Calibri"/>
                <w:color w:val="000000"/>
              </w:rPr>
              <w:t>Les coûts d'investissement sont</w:t>
            </w:r>
            <w:r w:rsidRPr="00A1381B">
              <w:rPr>
                <w:rFonts w:cs="Calibri"/>
                <w:color w:val="000000"/>
              </w:rPr>
              <w:noBreakHyphen/>
              <w:t>ils des coûts directs ou indirects? Pourquoi faudrait-il en tenir compte?</w:t>
            </w:r>
          </w:p>
        </w:tc>
      </w:tr>
      <w:tr w:rsidR="00334BE9" w:rsidRPr="00A1381B" w14:paraId="1C806181" w14:textId="77777777" w:rsidTr="00334BE9">
        <w:trPr>
          <w:cantSplit/>
          <w:jc w:val="center"/>
        </w:trPr>
        <w:tc>
          <w:tcPr>
            <w:tcW w:w="466" w:type="pct"/>
          </w:tcPr>
          <w:p w14:paraId="6D984247" w14:textId="77777777" w:rsidR="00334BE9" w:rsidRPr="00A1381B" w:rsidRDefault="00334BE9" w:rsidP="0032708A">
            <w:pPr>
              <w:pStyle w:val="Tabletext"/>
              <w:rPr>
                <w:rFonts w:cs="Calibri"/>
              </w:rPr>
            </w:pPr>
          </w:p>
        </w:tc>
        <w:tc>
          <w:tcPr>
            <w:tcW w:w="2575" w:type="pct"/>
          </w:tcPr>
          <w:p w14:paraId="0533996E" w14:textId="1652E2C0" w:rsidR="00334BE9" w:rsidRPr="00A1381B" w:rsidRDefault="00334BE9" w:rsidP="0032708A">
            <w:pPr>
              <w:pStyle w:val="Tabletext"/>
              <w:rPr>
                <w:rFonts w:cs="Calibri"/>
              </w:rPr>
            </w:pPr>
            <w:r w:rsidRPr="00A1381B">
              <w:rPr>
                <w:rFonts w:cs="Calibri"/>
                <w:color w:val="000000"/>
              </w:rPr>
              <w:t xml:space="preserve">Certains Membres se sont </w:t>
            </w:r>
            <w:proofErr w:type="gramStart"/>
            <w:r w:rsidRPr="00A1381B">
              <w:rPr>
                <w:rFonts w:cs="Calibri"/>
                <w:color w:val="000000"/>
              </w:rPr>
              <w:t>inquiétés</w:t>
            </w:r>
            <w:proofErr w:type="gramEnd"/>
            <w:r w:rsidRPr="00A1381B">
              <w:rPr>
                <w:rFonts w:cs="Calibri"/>
                <w:color w:val="000000"/>
              </w:rPr>
              <w:t xml:space="preserve"> qu'un nombre limité d'entités multinationales bénéficient des franchises de droits.</w:t>
            </w:r>
          </w:p>
        </w:tc>
        <w:tc>
          <w:tcPr>
            <w:tcW w:w="1959" w:type="pct"/>
          </w:tcPr>
          <w:p w14:paraId="2791B959" w14:textId="08E4FDB6" w:rsidR="00334BE9" w:rsidRPr="00A1381B" w:rsidRDefault="00334BE9" w:rsidP="0032708A">
            <w:pPr>
              <w:pStyle w:val="Tabletext"/>
              <w:rPr>
                <w:rFonts w:cs="Calibri"/>
              </w:rPr>
            </w:pPr>
            <w:r w:rsidRPr="00A1381B">
              <w:rPr>
                <w:rFonts w:cs="Calibri"/>
                <w:color w:val="000000"/>
              </w:rPr>
              <w:t>Quelles sont les incidences financières des fiches de notification qui bénéficient d'une franchise de droit et font partie de la même constellation de satellites?</w:t>
            </w:r>
          </w:p>
        </w:tc>
      </w:tr>
      <w:tr w:rsidR="00334BE9" w:rsidRPr="00A1381B" w14:paraId="3DAF33C7" w14:textId="77777777" w:rsidTr="00334BE9">
        <w:trPr>
          <w:cantSplit/>
          <w:jc w:val="center"/>
        </w:trPr>
        <w:tc>
          <w:tcPr>
            <w:tcW w:w="5000" w:type="pct"/>
            <w:gridSpan w:val="3"/>
            <w:shd w:val="clear" w:color="auto" w:fill="EEECE1" w:themeFill="background2"/>
          </w:tcPr>
          <w:p w14:paraId="042940FF" w14:textId="77777777" w:rsidR="00334BE9" w:rsidRPr="00A1381B" w:rsidRDefault="00334BE9" w:rsidP="00650EF1">
            <w:pPr>
              <w:pStyle w:val="Tabletext"/>
              <w:keepNext/>
              <w:keepLines/>
              <w:rPr>
                <w:rFonts w:cs="Calibri"/>
                <w:b/>
                <w:bCs/>
              </w:rPr>
            </w:pPr>
            <w:r w:rsidRPr="00A1381B">
              <w:rPr>
                <w:rFonts w:cs="Calibri"/>
                <w:b/>
                <w:bCs/>
                <w:color w:val="000000"/>
              </w:rPr>
              <w:t>Structure prévisible des droits</w:t>
            </w:r>
          </w:p>
        </w:tc>
      </w:tr>
      <w:tr w:rsidR="00334BE9" w:rsidRPr="00A1381B" w14:paraId="5773E1F9" w14:textId="77777777" w:rsidTr="00334BE9">
        <w:trPr>
          <w:cantSplit/>
          <w:jc w:val="center"/>
        </w:trPr>
        <w:tc>
          <w:tcPr>
            <w:tcW w:w="466" w:type="pct"/>
          </w:tcPr>
          <w:p w14:paraId="05623B87" w14:textId="77777777" w:rsidR="00334BE9" w:rsidRPr="00A1381B" w:rsidRDefault="00334BE9" w:rsidP="0032708A">
            <w:pPr>
              <w:pStyle w:val="Tabletext"/>
              <w:rPr>
                <w:rFonts w:cs="Calibri"/>
              </w:rPr>
            </w:pPr>
          </w:p>
        </w:tc>
        <w:tc>
          <w:tcPr>
            <w:tcW w:w="2575" w:type="pct"/>
          </w:tcPr>
          <w:p w14:paraId="2492628A" w14:textId="3638471F" w:rsidR="00334BE9" w:rsidRPr="00A1381B" w:rsidRDefault="00334BE9" w:rsidP="0032708A">
            <w:pPr>
              <w:pStyle w:val="Tabletext"/>
              <w:rPr>
                <w:rFonts w:cs="Calibri"/>
              </w:rPr>
            </w:pPr>
            <w:r w:rsidRPr="00A1381B">
              <w:rPr>
                <w:rFonts w:cs="Calibri"/>
                <w:color w:val="000000"/>
              </w:rPr>
              <w:t>Les États Membres semblent convenir que les fluctuations importantes entravent la planification des réseaux à satellite.</w:t>
            </w:r>
          </w:p>
        </w:tc>
        <w:tc>
          <w:tcPr>
            <w:tcW w:w="1959" w:type="pct"/>
          </w:tcPr>
          <w:p w14:paraId="1EDB2053" w14:textId="53E5E969" w:rsidR="00334BE9" w:rsidRPr="00A1381B" w:rsidRDefault="00334BE9" w:rsidP="00650EF1">
            <w:pPr>
              <w:pStyle w:val="Tabletext"/>
              <w:keepNext/>
              <w:keepLines/>
              <w:rPr>
                <w:rFonts w:cs="Calibri"/>
              </w:rPr>
            </w:pPr>
            <w:r w:rsidRPr="00A1381B">
              <w:rPr>
                <w:rFonts w:cs="Calibri"/>
                <w:color w:val="000000"/>
              </w:rPr>
              <w:t>L'UIT peut-elle proposer une autre solution qu'un ajustement annuel dans une perspective de planification à long terme?</w:t>
            </w:r>
          </w:p>
        </w:tc>
      </w:tr>
      <w:tr w:rsidR="00334BE9" w:rsidRPr="00A1381B" w14:paraId="06AB8902" w14:textId="77777777" w:rsidTr="00334BE9">
        <w:trPr>
          <w:cantSplit/>
          <w:jc w:val="center"/>
        </w:trPr>
        <w:tc>
          <w:tcPr>
            <w:tcW w:w="5000" w:type="pct"/>
            <w:gridSpan w:val="3"/>
            <w:shd w:val="clear" w:color="auto" w:fill="EEECE1" w:themeFill="background2"/>
          </w:tcPr>
          <w:p w14:paraId="13B0F4C9" w14:textId="77777777" w:rsidR="00334BE9" w:rsidRPr="00A1381B" w:rsidRDefault="00334BE9" w:rsidP="00334BE9">
            <w:pPr>
              <w:pStyle w:val="Tabletext"/>
              <w:keepNext/>
              <w:keepLines/>
              <w:rPr>
                <w:rFonts w:cs="Calibri"/>
                <w:b/>
                <w:bCs/>
              </w:rPr>
            </w:pPr>
            <w:r w:rsidRPr="00A1381B">
              <w:rPr>
                <w:rFonts w:cs="Calibri"/>
                <w:b/>
                <w:bCs/>
                <w:color w:val="000000"/>
              </w:rPr>
              <w:t>Divers</w:t>
            </w:r>
          </w:p>
        </w:tc>
      </w:tr>
      <w:tr w:rsidR="00334BE9" w:rsidRPr="00A1381B" w14:paraId="6B8CF199" w14:textId="77777777" w:rsidTr="00334BE9">
        <w:trPr>
          <w:cantSplit/>
          <w:jc w:val="center"/>
        </w:trPr>
        <w:tc>
          <w:tcPr>
            <w:tcW w:w="466" w:type="pct"/>
            <w:vMerge w:val="restart"/>
          </w:tcPr>
          <w:p w14:paraId="7DB3B7DD" w14:textId="77777777" w:rsidR="00334BE9" w:rsidRPr="00A1381B" w:rsidRDefault="00334BE9" w:rsidP="0032708A">
            <w:pPr>
              <w:pStyle w:val="Tabletext"/>
              <w:rPr>
                <w:rFonts w:cs="Calibri"/>
              </w:rPr>
            </w:pPr>
          </w:p>
        </w:tc>
        <w:tc>
          <w:tcPr>
            <w:tcW w:w="2575" w:type="pct"/>
          </w:tcPr>
          <w:p w14:paraId="72A18494" w14:textId="2219EB06" w:rsidR="00334BE9" w:rsidRPr="00A1381B" w:rsidRDefault="00334BE9" w:rsidP="0032708A">
            <w:pPr>
              <w:pStyle w:val="Tabletext"/>
              <w:rPr>
                <w:rFonts w:cs="Calibri"/>
              </w:rPr>
            </w:pPr>
            <w:r w:rsidRPr="00A1381B">
              <w:rPr>
                <w:rFonts w:cs="Calibri"/>
                <w:color w:val="000000"/>
              </w:rPr>
              <w:t>Certains points soulevés par les Membres pourraient dépasser les limites du mandat/pouvoir du GTC-FHR et devraient faire l'objet d'une décision de la Conférence de plénipotentiaires.</w:t>
            </w:r>
          </w:p>
        </w:tc>
        <w:tc>
          <w:tcPr>
            <w:tcW w:w="1959" w:type="pct"/>
          </w:tcPr>
          <w:p w14:paraId="3968262A" w14:textId="33402436" w:rsidR="00334BE9" w:rsidRPr="00A1381B" w:rsidRDefault="00334BE9" w:rsidP="00334BE9">
            <w:pPr>
              <w:pStyle w:val="Tabletext"/>
              <w:keepNext/>
              <w:keepLines/>
              <w:rPr>
                <w:rFonts w:cs="Calibri"/>
              </w:rPr>
            </w:pPr>
            <w:r w:rsidRPr="00A1381B">
              <w:rPr>
                <w:rFonts w:cs="Calibri"/>
                <w:color w:val="000000"/>
              </w:rPr>
              <w:t>Quelles recommandations seront soumises au Conseil?</w:t>
            </w:r>
          </w:p>
        </w:tc>
      </w:tr>
      <w:tr w:rsidR="00334BE9" w:rsidRPr="00A1381B" w14:paraId="43D1D582" w14:textId="77777777" w:rsidTr="00334BE9">
        <w:trPr>
          <w:cantSplit/>
          <w:jc w:val="center"/>
        </w:trPr>
        <w:tc>
          <w:tcPr>
            <w:tcW w:w="466" w:type="pct"/>
            <w:vMerge/>
          </w:tcPr>
          <w:p w14:paraId="191D5A58" w14:textId="77777777" w:rsidR="00334BE9" w:rsidRPr="00A1381B" w:rsidRDefault="00334BE9" w:rsidP="0032708A">
            <w:pPr>
              <w:pStyle w:val="Tabletext"/>
              <w:rPr>
                <w:rFonts w:cs="Calibri"/>
              </w:rPr>
            </w:pPr>
          </w:p>
        </w:tc>
        <w:tc>
          <w:tcPr>
            <w:tcW w:w="2575" w:type="pct"/>
          </w:tcPr>
          <w:p w14:paraId="161F9AD8" w14:textId="7F4B23E0" w:rsidR="00334BE9" w:rsidRPr="00A1381B" w:rsidRDefault="00334BE9" w:rsidP="0032708A">
            <w:pPr>
              <w:pStyle w:val="Tabletext"/>
              <w:rPr>
                <w:rFonts w:cs="Calibri"/>
              </w:rPr>
            </w:pPr>
            <w:r w:rsidRPr="00A1381B">
              <w:rPr>
                <w:rFonts w:cs="Calibri"/>
                <w:color w:val="000000"/>
              </w:rPr>
              <w:t>Avis mitigés – certains favorables, d'autres défavorables – concernant la réouverture des travaux du Groupe d'experts sur la Décision 482.</w:t>
            </w:r>
          </w:p>
        </w:tc>
        <w:tc>
          <w:tcPr>
            <w:tcW w:w="1959" w:type="pct"/>
          </w:tcPr>
          <w:p w14:paraId="5583FEC6" w14:textId="3EB9F725" w:rsidR="00334BE9" w:rsidRPr="00A1381B" w:rsidRDefault="00334BE9" w:rsidP="00334BE9">
            <w:pPr>
              <w:pStyle w:val="Tabletext"/>
              <w:keepNext/>
              <w:keepLines/>
              <w:ind w:right="-38"/>
              <w:rPr>
                <w:rFonts w:cs="Calibri"/>
              </w:rPr>
            </w:pPr>
            <w:r w:rsidRPr="00A1381B">
              <w:rPr>
                <w:rFonts w:cs="Calibri"/>
                <w:color w:val="000000"/>
              </w:rPr>
              <w:t>Existe-t-il un plan d'urgence pour débloquer les 5,5 millions CHF de revenus différés au titre des fiches de notification des réseaux à satellite?</w:t>
            </w:r>
          </w:p>
        </w:tc>
      </w:tr>
      <w:tr w:rsidR="00334BE9" w:rsidRPr="00A1381B" w14:paraId="18654B81" w14:textId="77777777" w:rsidTr="00334BE9">
        <w:trPr>
          <w:cantSplit/>
          <w:jc w:val="center"/>
        </w:trPr>
        <w:tc>
          <w:tcPr>
            <w:tcW w:w="466" w:type="pct"/>
            <w:vMerge/>
          </w:tcPr>
          <w:p w14:paraId="63F8C56D" w14:textId="77777777" w:rsidR="00334BE9" w:rsidRPr="00A1381B" w:rsidRDefault="00334BE9" w:rsidP="0032708A">
            <w:pPr>
              <w:pStyle w:val="Tabletext"/>
              <w:rPr>
                <w:rFonts w:cs="Calibri"/>
              </w:rPr>
            </w:pPr>
          </w:p>
        </w:tc>
        <w:tc>
          <w:tcPr>
            <w:tcW w:w="2575" w:type="pct"/>
          </w:tcPr>
          <w:p w14:paraId="59BAC156" w14:textId="39B8E065" w:rsidR="00334BE9" w:rsidRPr="00A1381B" w:rsidRDefault="00334BE9" w:rsidP="0032708A">
            <w:pPr>
              <w:pStyle w:val="Tabletext"/>
              <w:rPr>
                <w:rFonts w:cs="Calibri"/>
              </w:rPr>
            </w:pPr>
            <w:r w:rsidRPr="00A1381B">
              <w:rPr>
                <w:rFonts w:cs="Calibri"/>
                <w:color w:val="000000"/>
              </w:rPr>
              <w:t>Il n'y a pas lieu d'inclure des contributions sur la gouvernance provenant des conférences et assemblées de l'UIT-T et de l'UIT-D. Proposer de limiter ces éléments à la Conférence de plénipotentiaires, au Conseil et à l'UIT-R.</w:t>
            </w:r>
          </w:p>
        </w:tc>
        <w:tc>
          <w:tcPr>
            <w:tcW w:w="1959" w:type="pct"/>
          </w:tcPr>
          <w:p w14:paraId="6C97D8CE" w14:textId="77777777" w:rsidR="00334BE9" w:rsidRPr="00A1381B" w:rsidRDefault="00334BE9" w:rsidP="0032708A">
            <w:pPr>
              <w:pStyle w:val="Tabletext"/>
              <w:rPr>
                <w:rFonts w:cs="Calibri"/>
              </w:rPr>
            </w:pPr>
          </w:p>
        </w:tc>
      </w:tr>
      <w:tr w:rsidR="00334BE9" w:rsidRPr="00A1381B" w14:paraId="2DE030BE" w14:textId="77777777" w:rsidTr="00334BE9">
        <w:trPr>
          <w:cantSplit/>
          <w:jc w:val="center"/>
        </w:trPr>
        <w:tc>
          <w:tcPr>
            <w:tcW w:w="466" w:type="pct"/>
            <w:vMerge/>
          </w:tcPr>
          <w:p w14:paraId="010E404D" w14:textId="77777777" w:rsidR="00334BE9" w:rsidRPr="00A1381B" w:rsidRDefault="00334BE9" w:rsidP="0032708A">
            <w:pPr>
              <w:pStyle w:val="Tabletext"/>
              <w:rPr>
                <w:rFonts w:cs="Calibri"/>
              </w:rPr>
            </w:pPr>
          </w:p>
        </w:tc>
        <w:tc>
          <w:tcPr>
            <w:tcW w:w="2575" w:type="pct"/>
          </w:tcPr>
          <w:p w14:paraId="1AC57270" w14:textId="4977C4A2" w:rsidR="00334BE9" w:rsidRPr="00A1381B" w:rsidRDefault="00334BE9" w:rsidP="0032708A">
            <w:pPr>
              <w:pStyle w:val="Tabletext"/>
              <w:rPr>
                <w:rFonts w:cs="Calibri"/>
              </w:rPr>
            </w:pPr>
            <w:r w:rsidRPr="00A1381B">
              <w:rPr>
                <w:rFonts w:cs="Calibri"/>
                <w:color w:val="000000"/>
              </w:rPr>
              <w:t>Recommandations visant à étayer le document du secrétariat en vue de la session de 2026 du Conseil en y intégrant les éléments du rapport du CCI de</w:t>
            </w:r>
            <w:r w:rsidR="00DA6AF7" w:rsidRPr="00A1381B">
              <w:rPr>
                <w:rFonts w:cs="Calibri"/>
                <w:color w:val="000000"/>
              </w:rPr>
              <w:t> </w:t>
            </w:r>
            <w:r w:rsidRPr="00A1381B">
              <w:rPr>
                <w:rFonts w:cs="Calibri"/>
                <w:color w:val="000000"/>
              </w:rPr>
              <w:t>2025.</w:t>
            </w:r>
          </w:p>
        </w:tc>
        <w:tc>
          <w:tcPr>
            <w:tcW w:w="1959" w:type="pct"/>
          </w:tcPr>
          <w:p w14:paraId="23C3E977" w14:textId="77777777" w:rsidR="00334BE9" w:rsidRPr="00A1381B" w:rsidRDefault="00334BE9" w:rsidP="0032708A">
            <w:pPr>
              <w:pStyle w:val="Tabletext"/>
              <w:rPr>
                <w:rFonts w:cs="Calibri"/>
              </w:rPr>
            </w:pPr>
          </w:p>
        </w:tc>
      </w:tr>
      <w:tr w:rsidR="00334BE9" w:rsidRPr="00A1381B" w14:paraId="5C4F8506" w14:textId="77777777" w:rsidTr="00334BE9">
        <w:trPr>
          <w:cantSplit/>
          <w:jc w:val="center"/>
        </w:trPr>
        <w:tc>
          <w:tcPr>
            <w:tcW w:w="466" w:type="pct"/>
            <w:vMerge/>
          </w:tcPr>
          <w:p w14:paraId="0CBAB531" w14:textId="77777777" w:rsidR="00334BE9" w:rsidRPr="00A1381B" w:rsidRDefault="00334BE9" w:rsidP="0032708A">
            <w:pPr>
              <w:pStyle w:val="Tabletext"/>
              <w:rPr>
                <w:rFonts w:cs="Calibri"/>
              </w:rPr>
            </w:pPr>
          </w:p>
        </w:tc>
        <w:tc>
          <w:tcPr>
            <w:tcW w:w="2575" w:type="pct"/>
          </w:tcPr>
          <w:p w14:paraId="71C5D18E" w14:textId="1D89E67C" w:rsidR="00334BE9" w:rsidRPr="00A1381B" w:rsidRDefault="00334BE9" w:rsidP="0032708A">
            <w:pPr>
              <w:pStyle w:val="Tabletext"/>
              <w:rPr>
                <w:rFonts w:cs="Calibri"/>
              </w:rPr>
            </w:pPr>
            <w:r w:rsidRPr="00A1381B">
              <w:rPr>
                <w:rFonts w:cs="Calibri"/>
                <w:color w:val="000000"/>
              </w:rPr>
              <w:t>En matière de coûts indirects, l'approche des régulateurs nationaux et celle de l'UIT ne sont pas comparables.</w:t>
            </w:r>
          </w:p>
        </w:tc>
        <w:tc>
          <w:tcPr>
            <w:tcW w:w="1959" w:type="pct"/>
          </w:tcPr>
          <w:p w14:paraId="4D053859" w14:textId="77777777" w:rsidR="00334BE9" w:rsidRPr="00A1381B" w:rsidRDefault="00334BE9" w:rsidP="0032708A">
            <w:pPr>
              <w:pStyle w:val="Tabletext"/>
              <w:rPr>
                <w:rFonts w:cs="Calibri"/>
              </w:rPr>
            </w:pPr>
          </w:p>
        </w:tc>
      </w:tr>
      <w:tr w:rsidR="00334BE9" w:rsidRPr="00A1381B" w14:paraId="65159403" w14:textId="77777777" w:rsidTr="00334BE9">
        <w:trPr>
          <w:cantSplit/>
          <w:jc w:val="center"/>
        </w:trPr>
        <w:tc>
          <w:tcPr>
            <w:tcW w:w="5000" w:type="pct"/>
            <w:gridSpan w:val="3"/>
            <w:shd w:val="clear" w:color="auto" w:fill="EEECE1" w:themeFill="background2"/>
          </w:tcPr>
          <w:p w14:paraId="71AF1716" w14:textId="6991E84E" w:rsidR="00334BE9" w:rsidRPr="00A1381B" w:rsidRDefault="00334BE9" w:rsidP="0032708A">
            <w:pPr>
              <w:pStyle w:val="Tabletext"/>
              <w:rPr>
                <w:rFonts w:cs="Calibri"/>
                <w:b/>
                <w:bCs/>
              </w:rPr>
            </w:pPr>
            <w:r w:rsidRPr="00A1381B">
              <w:rPr>
                <w:rFonts w:cs="Calibri"/>
                <w:b/>
                <w:bCs/>
                <w:color w:val="000000"/>
              </w:rPr>
              <w:t>Où vont les montants mis en recouvrement?</w:t>
            </w:r>
            <w:r w:rsidRPr="00A1381B">
              <w:rPr>
                <w:rFonts w:cs="Calibri"/>
                <w:color w:val="000000"/>
              </w:rPr>
              <w:t xml:space="preserve"> </w:t>
            </w:r>
            <w:r w:rsidRPr="00A1381B">
              <w:rPr>
                <w:rFonts w:cs="Calibri"/>
                <w:b/>
                <w:bCs/>
                <w:color w:val="000000"/>
              </w:rPr>
              <w:t>Ils doivent revenir au BR.</w:t>
            </w:r>
          </w:p>
        </w:tc>
      </w:tr>
    </w:tbl>
    <w:p w14:paraId="082640C3" w14:textId="021AFD0D" w:rsidR="005717B1" w:rsidRPr="00A1381B" w:rsidRDefault="005717B1" w:rsidP="00AD06F1">
      <w:pPr>
        <w:pStyle w:val="Heading1"/>
        <w:tabs>
          <w:tab w:val="clear" w:pos="567"/>
          <w:tab w:val="left" w:pos="709"/>
        </w:tabs>
        <w:ind w:left="709" w:hanging="709"/>
      </w:pPr>
      <w:r w:rsidRPr="00A1381B">
        <w:t>14</w:t>
      </w:r>
      <w:r w:rsidRPr="00A1381B">
        <w:tab/>
        <w:t xml:space="preserve">Méthode d'examen et de révision du montant de l'unité contributive (Documents </w:t>
      </w:r>
      <w:hyperlink r:id="rId104" w:history="1">
        <w:r w:rsidRPr="00A1381B">
          <w:rPr>
            <w:rStyle w:val="Hyperlink"/>
            <w:rFonts w:eastAsia="Times New Roman" w:cs="Times New Roman"/>
            <w:szCs w:val="20"/>
          </w:rPr>
          <w:t>CWG-FHR-21/13</w:t>
        </w:r>
      </w:hyperlink>
      <w:r w:rsidRPr="00A1381B">
        <w:t xml:space="preserve"> et </w:t>
      </w:r>
      <w:hyperlink r:id="rId105" w:history="1">
        <w:r w:rsidRPr="00A1381B">
          <w:rPr>
            <w:rStyle w:val="Hyperlink"/>
            <w:rFonts w:eastAsia="Times New Roman" w:cs="Times New Roman"/>
            <w:szCs w:val="20"/>
          </w:rPr>
          <w:t>CWG-FHR-22/6</w:t>
        </w:r>
      </w:hyperlink>
      <w:r w:rsidRPr="00A1381B">
        <w:t>)</w:t>
      </w:r>
    </w:p>
    <w:p w14:paraId="3E8F2E90" w14:textId="23CFAA0D" w:rsidR="005717B1" w:rsidRPr="00A1381B" w:rsidRDefault="005717B1" w:rsidP="00AD06F1">
      <w:pPr>
        <w:tabs>
          <w:tab w:val="clear" w:pos="567"/>
          <w:tab w:val="left" w:pos="709"/>
        </w:tabs>
      </w:pPr>
      <w:r w:rsidRPr="00A1381B">
        <w:t>14.1</w:t>
      </w:r>
      <w:r w:rsidRPr="00A1381B">
        <w:tab/>
        <w:t>À sa session de 2025, le Conseil a décidé de ne pas augmenter le montant de l'unité contributive. Compte tenu des contraintes financières qui pèsent sur l'UIT, le Conseil a chargé le Secrétariat d'élaborer plusieurs approches possibles à soumettre aux Membres concernant une révision future de l'unité contributive. À la 21ème réunion, le Secrétariat a présenté les trois approches suivantes: 1) ajuster l'unité contributive pour tenir compte de l'inflation</w:t>
      </w:r>
      <w:r w:rsidR="00650EF1" w:rsidRPr="00A1381B">
        <w:t>;</w:t>
      </w:r>
      <w:r w:rsidRPr="00A1381B">
        <w:t xml:space="preserve"> 2) associer l'augmentation de l'unité contributive à l'amélioration des résultats</w:t>
      </w:r>
      <w:r w:rsidR="00650EF1" w:rsidRPr="00A1381B">
        <w:t>;</w:t>
      </w:r>
      <w:r w:rsidRPr="00A1381B">
        <w:t xml:space="preserve"> et 3) aligner l'unité contributive sur la capacité de l'UIT à couvrir les coûts liés aux nouveaux mandats.</w:t>
      </w:r>
    </w:p>
    <w:p w14:paraId="15FA2D39" w14:textId="1FCB56DF" w:rsidR="005717B1" w:rsidRPr="00A1381B" w:rsidRDefault="005717B1" w:rsidP="00AD06F1">
      <w:pPr>
        <w:tabs>
          <w:tab w:val="clear" w:pos="567"/>
          <w:tab w:val="left" w:pos="709"/>
        </w:tabs>
      </w:pPr>
      <w:r w:rsidRPr="00A1381B">
        <w:t>14.2</w:t>
      </w:r>
      <w:r w:rsidRPr="00A1381B">
        <w:tab/>
        <w:t>En dépit de leurs divergences quant aux solutions proposées, les délégués sont restés unanimes sur le fait que la valeur de l'unité contributive devait rester inchangée. La plupart d'entre eux ont proposé de se recentrer sur la mission première de l'UIT, de mieux hiérarchiser les programmes et activités conformément à l'Initiative UN80, d'améliorer l'efficacité et de recourir davantage à la gestion axée sur les résultats. D'autres ont recommandé de modifier les méthodes utilisées afin qu'elles tiennent compte simultanément des trois facteurs (inflation, résultats et couverture des coûts), sachant que même si la valeur de l'unité contributive n'a pas changé, le volume de travail à accomplir au sein de l'UIT a augmenté.</w:t>
      </w:r>
    </w:p>
    <w:p w14:paraId="39A58E31" w14:textId="5B406FB8" w:rsidR="005717B1" w:rsidRPr="00A1381B" w:rsidRDefault="005717B1" w:rsidP="00AD06F1">
      <w:pPr>
        <w:tabs>
          <w:tab w:val="clear" w:pos="567"/>
          <w:tab w:val="left" w:pos="709"/>
        </w:tabs>
      </w:pPr>
      <w:r w:rsidRPr="00A1381B">
        <w:t>14.3</w:t>
      </w:r>
      <w:r w:rsidRPr="00A1381B">
        <w:tab/>
        <w:t>Le Secrétariat est intervenu pour remercier les délégués de leurs observations et rappeler à tous que l'unité contributive restera fixée à 318 000 CHF pour le cycle financier 2028-2031. Reconnaissant que des discussions supplémentaires étaient nécessaires, la Présidente a demandé au Secrétariat de proposer une méthode révisée lors de la prochaine réunion du Groupe de travail du Conseil sur les ressources financières et humaines (GTC</w:t>
      </w:r>
      <w:r w:rsidRPr="00A1381B">
        <w:noBreakHyphen/>
        <w:t xml:space="preserve">FHR) afin de poursuivre les discussions. </w:t>
      </w:r>
    </w:p>
    <w:p w14:paraId="1F4CC744" w14:textId="191A7942" w:rsidR="005717B1" w:rsidRPr="00A1381B" w:rsidRDefault="005717B1" w:rsidP="00AD06F1">
      <w:pPr>
        <w:tabs>
          <w:tab w:val="clear" w:pos="567"/>
          <w:tab w:val="left" w:pos="709"/>
        </w:tabs>
      </w:pPr>
      <w:r w:rsidRPr="00A1381B">
        <w:t>14.4</w:t>
      </w:r>
      <w:r w:rsidRPr="00A1381B">
        <w:tab/>
        <w:t xml:space="preserve">À la 22ème réunion, le Secrétariat a présenté le Document </w:t>
      </w:r>
      <w:hyperlink r:id="rId106" w:history="1">
        <w:r w:rsidRPr="00A1381B">
          <w:rPr>
            <w:rStyle w:val="Hyperlink"/>
            <w:rFonts w:eastAsia="Times New Roman" w:cs="Times New Roman"/>
            <w:szCs w:val="20"/>
          </w:rPr>
          <w:t>CWG-FHR-22/INF/2</w:t>
        </w:r>
      </w:hyperlink>
      <w:r w:rsidRPr="00A1381B">
        <w:t>, qui présente en détail les résultats de la lettre circulaire invitant les États Membres à indiquer leur choix provisoire de classe de contribution, conformément à la Décision 5 (Rév. Bucarest, 2022). À cette date, trente-huit réponses avaient été reçues, et seuls deux États Membres avaient demandé des modifications. Sur la base de ces informations, le Secrétariat élaborera un projet de plan financier pour la période 2028-2031, qu'il présentera à la réunion conjointe du GTC-FHR et du Groupe de travail du Conseil chargé d'élaborer le Plan stratégique et le Plan financier pour la période 2028-2031 (GTC-SFP), avant la session de 2026 du Conseil. Le Secrétariat a également présenté une méthode révisée reposant sur trois facteurs: ajustement en fonction de l'inflation, lien avec l'amélioration des résultats et alignement sur les coûts des nouveaux mandats approuvés par les États Membres. Le Secrétariat a affirmé qu'il ne proposait pas de modification immédiate de l'unité contributive, mais qu'il cherchait plutôt à fournir un cadre structuré pour faciliter les discussions et les décisions futures lors de la Conférence de plénipotentiaires de 2030.</w:t>
      </w:r>
    </w:p>
    <w:p w14:paraId="5F8550E5" w14:textId="77777777" w:rsidR="005717B1" w:rsidRPr="00A1381B" w:rsidRDefault="005717B1" w:rsidP="00AD06F1">
      <w:pPr>
        <w:tabs>
          <w:tab w:val="clear" w:pos="567"/>
          <w:tab w:val="left" w:pos="709"/>
        </w:tabs>
      </w:pPr>
      <w:r w:rsidRPr="00A1381B">
        <w:t>14.5</w:t>
      </w:r>
      <w:r w:rsidRPr="00A1381B">
        <w:tab/>
        <w:t xml:space="preserve">Les délégués ont confirmé que les trois facteurs proposés constituaient un bon point de départ pour la discussion et demandé que l'on examine attentivement les conséquences de l'augmentation des coûts liés aux unités contributives pour les États Membres. Plusieurs délégués ont proposé de prendre également en compte des facteurs externes, tels que les fluctuations actuelles des taux de change et le score des États Membres sur l'indice de développement humain. En outre, les délégués ont demandé instamment à l'UIT de s'efforcer davantage de travailler dans les limites des ressources existantes et d'étudier les conséquences du mécanisme de recouvrement des coûts. Avant que la Présidente ne conclue l'examen de ce point de l'ordre du jour, la Secrétaire générale a déclaré que l'UIT souhaiterait que les États Membres envisagent d'augmenter le nombre de leurs unités contributives ou, à tout le moins, de maintenir leur niveau de contribution actuel. </w:t>
      </w:r>
    </w:p>
    <w:p w14:paraId="187D4F30" w14:textId="383B79B7" w:rsidR="005717B1" w:rsidRPr="00A1381B" w:rsidRDefault="005717B1" w:rsidP="00A1381B">
      <w:pPr>
        <w:pStyle w:val="Heading1"/>
        <w:tabs>
          <w:tab w:val="clear" w:pos="567"/>
          <w:tab w:val="left" w:pos="709"/>
        </w:tabs>
        <w:ind w:left="709" w:hanging="709"/>
      </w:pPr>
      <w:r w:rsidRPr="00A1381B">
        <w:t>15</w:t>
      </w:r>
      <w:r w:rsidRPr="00A1381B">
        <w:tab/>
        <w:t xml:space="preserve">Participation du Corps commun d'inspection aux sessions du Conseil de l'UIT (Documents </w:t>
      </w:r>
      <w:hyperlink r:id="rId107" w:history="1">
        <w:r w:rsidRPr="00A1381B">
          <w:rPr>
            <w:rStyle w:val="Hyperlink"/>
            <w:rFonts w:eastAsia="Times New Roman" w:cs="Times New Roman"/>
            <w:szCs w:val="20"/>
          </w:rPr>
          <w:t>CWG-FHR-21/19</w:t>
        </w:r>
      </w:hyperlink>
      <w:r w:rsidRPr="00A1381B">
        <w:t xml:space="preserve"> et </w:t>
      </w:r>
      <w:hyperlink r:id="rId108" w:history="1">
        <w:r w:rsidRPr="00A1381B">
          <w:rPr>
            <w:rStyle w:val="Hyperlink"/>
            <w:rFonts w:eastAsia="Times New Roman" w:cs="Times New Roman"/>
            <w:szCs w:val="20"/>
          </w:rPr>
          <w:t>CWG-FHR-22/11</w:t>
        </w:r>
      </w:hyperlink>
      <w:r w:rsidRPr="00A1381B">
        <w:t>)</w:t>
      </w:r>
    </w:p>
    <w:p w14:paraId="1A53B0CB" w14:textId="7E701ACC" w:rsidR="005717B1" w:rsidRPr="00A1381B" w:rsidRDefault="005717B1" w:rsidP="00A1381B">
      <w:pPr>
        <w:keepNext/>
        <w:keepLines/>
        <w:tabs>
          <w:tab w:val="clear" w:pos="567"/>
          <w:tab w:val="left" w:pos="709"/>
        </w:tabs>
      </w:pPr>
      <w:r w:rsidRPr="00A1381B">
        <w:t>15.1</w:t>
      </w:r>
      <w:r w:rsidRPr="00A1381B">
        <w:tab/>
      </w:r>
      <w:r w:rsidR="002D1CBF" w:rsidRPr="00A1381B">
        <w:t>À</w:t>
      </w:r>
      <w:r w:rsidRPr="00A1381B">
        <w:t xml:space="preserve"> la 21ème réunion, la Fédération de Russie a présenté une contribution dans laquelle elle exprimait sa volonté d'inviter le Corps commun d'inspection (CCI) aux séances du Conseil consacrées à l'examen des rapports du CCI. Il est indiqué dans cette contribution que cette pratique est largement répandue au sein des institutions spécialisées du système des Nations Unies ayant leur siège à Genève.</w:t>
      </w:r>
    </w:p>
    <w:p w14:paraId="17B212BF" w14:textId="5CB93A32" w:rsidR="005717B1" w:rsidRPr="00A1381B" w:rsidRDefault="005717B1" w:rsidP="00AD06F1">
      <w:pPr>
        <w:tabs>
          <w:tab w:val="clear" w:pos="567"/>
          <w:tab w:val="left" w:pos="709"/>
        </w:tabs>
      </w:pPr>
      <w:r w:rsidRPr="00A1381B">
        <w:t>15.2</w:t>
      </w:r>
      <w:r w:rsidRPr="00A1381B">
        <w:tab/>
        <w:t>Les délégués ont largement appuyé la proposition de la Fédération de Russie visant à inviter le CCI à participer aux sessions du Conseil, et fait remarquer que cela pourrait contribuer à améliorer la transparence, la responsabilité et la prise de décision au sein de l'UIT. Certains délégués ont demandé des précisions sur les modalités de participation proposées pour le CCI et posé la question de savoir si ses représentants seraient autorisés à prendre la parole.</w:t>
      </w:r>
    </w:p>
    <w:p w14:paraId="2585E94D" w14:textId="1CC94817" w:rsidR="005717B1" w:rsidRPr="00A1381B" w:rsidRDefault="005717B1" w:rsidP="00AD06F1">
      <w:pPr>
        <w:tabs>
          <w:tab w:val="clear" w:pos="567"/>
          <w:tab w:val="left" w:pos="709"/>
        </w:tabs>
      </w:pPr>
      <w:r w:rsidRPr="00A1381B">
        <w:t>15.3</w:t>
      </w:r>
      <w:r w:rsidRPr="00A1381B">
        <w:tab/>
        <w:t>La Présidente du GTC-FHR a noté que l'invitation du CCI à participer aux sessions du Conseil avait recueilli l'adhésion générale des participants; toutefois, avant de prendre une décision, elle a invité le Secrétariat à répondre aux questions des délégués.</w:t>
      </w:r>
    </w:p>
    <w:p w14:paraId="1D54067E" w14:textId="0BB9A1DC" w:rsidR="005717B1" w:rsidRPr="00A1381B" w:rsidRDefault="005717B1" w:rsidP="00AD06F1">
      <w:pPr>
        <w:keepLines/>
        <w:tabs>
          <w:tab w:val="clear" w:pos="567"/>
          <w:tab w:val="left" w:pos="709"/>
        </w:tabs>
      </w:pPr>
      <w:r w:rsidRPr="00A1381B">
        <w:t>15.4</w:t>
      </w:r>
      <w:r w:rsidRPr="00A1381B">
        <w:tab/>
        <w:t>À la 22ème réunion, le Secrétariat a recommandé au Conseil de charger la Secrétaire générale d'inviter le CCI à participer aux futures sessions du Conseil de l'UIT en qualité d'observateur à titre consultatif, uniquement pour les questions inscrites à l'ordre du jour qui le concernent et sans bénéficier de soutien financier de la part de l'UIT.</w:t>
      </w:r>
    </w:p>
    <w:p w14:paraId="3B89C93E" w14:textId="7E1B5308" w:rsidR="005717B1" w:rsidRPr="00A1381B"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15.5</w:t>
      </w:r>
      <w:r w:rsidRPr="00A1381B">
        <w:tab/>
        <w:t xml:space="preserve">Le GTC-FHR </w:t>
      </w:r>
      <w:r w:rsidRPr="00A1381B">
        <w:rPr>
          <w:b/>
          <w:bCs/>
        </w:rPr>
        <w:t>informera</w:t>
      </w:r>
      <w:r w:rsidRPr="00A1381B">
        <w:t xml:space="preserve"> le Conseil, à sa session de 2026, du fait que l'invitation du CCI à participer au Conseil ne semble présenter aucun inconvénient.</w:t>
      </w:r>
    </w:p>
    <w:p w14:paraId="2FFA3594" w14:textId="77777777" w:rsidR="005717B1" w:rsidRPr="00A1381B" w:rsidRDefault="005717B1" w:rsidP="00AD06F1">
      <w:pPr>
        <w:pStyle w:val="Heading1"/>
        <w:tabs>
          <w:tab w:val="clear" w:pos="567"/>
        </w:tabs>
        <w:ind w:left="709" w:hanging="709"/>
      </w:pPr>
      <w:r w:rsidRPr="00A1381B">
        <w:t>16</w:t>
      </w:r>
      <w:r w:rsidRPr="00A1381B">
        <w:tab/>
        <w:t>Exécution et affectation du budget</w:t>
      </w:r>
    </w:p>
    <w:p w14:paraId="2CE63161" w14:textId="3CC0B3F8" w:rsidR="005717B1" w:rsidRPr="00A1381B" w:rsidRDefault="005717B1" w:rsidP="005717B1">
      <w:pPr>
        <w:pStyle w:val="Headingb"/>
      </w:pPr>
      <w:r w:rsidRPr="00A1381B">
        <w:t xml:space="preserve">Contribution de la République populaire de Chine – Recommandations concernant l'amélioration de l'efficacité de l'exécution du budget de l'Union et la rationalisation des dépenses (Document </w:t>
      </w:r>
      <w:hyperlink r:id="rId109" w:history="1">
        <w:r w:rsidRPr="00A1381B">
          <w:rPr>
            <w:rStyle w:val="Hyperlink"/>
            <w:rFonts w:eastAsia="Times New Roman" w:cs="Times New Roman"/>
            <w:szCs w:val="20"/>
          </w:rPr>
          <w:t>CWG-FHR-21/16</w:t>
        </w:r>
      </w:hyperlink>
      <w:r w:rsidRPr="00A1381B">
        <w:t>)</w:t>
      </w:r>
    </w:p>
    <w:p w14:paraId="4E79E31C" w14:textId="6F9B9866" w:rsidR="00A1381B" w:rsidRPr="00A1381B" w:rsidRDefault="005717B1" w:rsidP="00A1381B">
      <w:pPr>
        <w:tabs>
          <w:tab w:val="clear" w:pos="567"/>
          <w:tab w:val="left" w:pos="709"/>
        </w:tabs>
      </w:pPr>
      <w:r w:rsidRPr="00A1381B">
        <w:t>16.1</w:t>
      </w:r>
      <w:r w:rsidRPr="00A1381B">
        <w:tab/>
        <w:t>À la 21ème réunion du GTC-FHR, la Chine a présenté une contribution (Document</w:t>
      </w:r>
      <w:r w:rsidR="004C7656" w:rsidRPr="00A1381B">
        <w:t> </w:t>
      </w:r>
      <w:hyperlink r:id="rId110" w:history="1">
        <w:r w:rsidR="00F2450B" w:rsidRPr="00A1381B">
          <w:rPr>
            <w:rStyle w:val="Hyperlink"/>
            <w:rFonts w:eastAsia="Times New Roman" w:cs="Times New Roman"/>
            <w:szCs w:val="20"/>
          </w:rPr>
          <w:t>CWG-FHR-21/16</w:t>
        </w:r>
      </w:hyperlink>
      <w:r w:rsidRPr="00A1381B">
        <w:t xml:space="preserve">) sur les recommandations visant à améliorer l'efficacité de l'exécution du budget de l'UIT. Ces recommandations comprenaient notamment l'établissement d'une liste de priorités établie en fonction des responsabilités fondamentales, des objectifs stratégiques et des besoins budgétaires, ainsi que la constitution d'une équipe d'évaluation conjointe composée du Comité consultatif indépendant pour les questions de gestion (CCIG) et du Groupe de coordination intersectorielle (ISCG) chargée de mettre en place un mécanisme d'évaluation de l'efficacité et de l'efficience des mesures prises, et de procéder à un examen approfondi du bien-fondé des dépenses correspondantes de l'Union. Plusieurs délégués ont soutenu la proposition de la Chine, mais ont également fait part de leurs inquiétudes quant au fait que ces propositions pourraient accroître la charge administrative, alourdir les procédures et </w:t>
      </w:r>
      <w:r w:rsidR="00A1381B" w:rsidRPr="00A1381B">
        <w:br w:type="page"/>
      </w:r>
    </w:p>
    <w:p w14:paraId="16011C13" w14:textId="681D7E0F" w:rsidR="005717B1" w:rsidRPr="00A1381B" w:rsidRDefault="005717B1" w:rsidP="00AD06F1">
      <w:pPr>
        <w:tabs>
          <w:tab w:val="clear" w:pos="567"/>
          <w:tab w:val="left" w:pos="709"/>
        </w:tabs>
      </w:pPr>
      <w:r w:rsidRPr="00A1381B">
        <w:t xml:space="preserve">augmenter les coûts sans pour autant apporter clairement des avantages. La Présidente a chargé le Secrétariat d'examiner, avant la réunion du GTC-FHR prévue en janvier 2026, la mise en œuvre du plan opérationnel et du Plan stratégique dont il est question dans le Document </w:t>
      </w:r>
      <w:hyperlink r:id="rId111" w:history="1">
        <w:r w:rsidRPr="00A1381B">
          <w:rPr>
            <w:rStyle w:val="Hyperlink"/>
            <w:rFonts w:eastAsia="Times New Roman" w:cs="Times New Roman"/>
            <w:szCs w:val="20"/>
          </w:rPr>
          <w:t>C25/35</w:t>
        </w:r>
      </w:hyperlink>
      <w:r w:rsidRPr="00A1381B">
        <w:t xml:space="preserve"> du Conseil, pour donner suite à la </w:t>
      </w:r>
      <w:r w:rsidR="004C7656" w:rsidRPr="00A1381B">
        <w:t>P</w:t>
      </w:r>
      <w:r w:rsidRPr="00A1381B">
        <w:t xml:space="preserve">roposition </w:t>
      </w:r>
      <w:r w:rsidR="004C7656" w:rsidRPr="00A1381B">
        <w:t>N° </w:t>
      </w:r>
      <w:r w:rsidRPr="00A1381B">
        <w:t xml:space="preserve">1, et de mettre en correspondance les rapports existants pour donner suite à la </w:t>
      </w:r>
      <w:r w:rsidR="004C7656" w:rsidRPr="00A1381B">
        <w:t>P</w:t>
      </w:r>
      <w:r w:rsidRPr="00A1381B">
        <w:t xml:space="preserve">roposition </w:t>
      </w:r>
      <w:r w:rsidR="004C7656" w:rsidRPr="00A1381B">
        <w:t>N° </w:t>
      </w:r>
      <w:r w:rsidRPr="00A1381B">
        <w:t>2.</w:t>
      </w:r>
    </w:p>
    <w:p w14:paraId="439EC378" w14:textId="0F9BAA73" w:rsidR="005717B1" w:rsidRPr="00A1381B" w:rsidRDefault="005717B1" w:rsidP="004C7656">
      <w:pPr>
        <w:pStyle w:val="Headingb"/>
      </w:pPr>
      <w:r w:rsidRPr="00A1381B">
        <w:t xml:space="preserve">Contribution des </w:t>
      </w:r>
      <w:r w:rsidR="004C7656" w:rsidRPr="00A1381B">
        <w:t>É</w:t>
      </w:r>
      <w:r w:rsidRPr="00A1381B">
        <w:t xml:space="preserve">tats-Unis d'Amérique – Renforcement de la gestion financière axée sur les résultats à l'UIT (Document </w:t>
      </w:r>
      <w:hyperlink r:id="rId112" w:history="1">
        <w:r w:rsidRPr="00A1381B">
          <w:rPr>
            <w:rStyle w:val="Hyperlink"/>
            <w:rFonts w:eastAsia="Times New Roman" w:cs="Times New Roman"/>
            <w:szCs w:val="20"/>
          </w:rPr>
          <w:t>CWG-FHR-21/22</w:t>
        </w:r>
      </w:hyperlink>
      <w:r w:rsidRPr="00A1381B">
        <w:t>)</w:t>
      </w:r>
    </w:p>
    <w:p w14:paraId="3CBD9FC5" w14:textId="7EDF7521" w:rsidR="005717B1" w:rsidRPr="00A1381B" w:rsidRDefault="005717B1" w:rsidP="00AD06F1">
      <w:pPr>
        <w:tabs>
          <w:tab w:val="clear" w:pos="567"/>
          <w:tab w:val="left" w:pos="709"/>
        </w:tabs>
      </w:pPr>
      <w:r w:rsidRPr="00A1381B">
        <w:t>16.2</w:t>
      </w:r>
      <w:r w:rsidRPr="00A1381B">
        <w:tab/>
        <w:t xml:space="preserve">Les États-Unis ont présenté le </w:t>
      </w:r>
      <w:r w:rsidR="004C7656" w:rsidRPr="00A1381B">
        <w:t>D</w:t>
      </w:r>
      <w:r w:rsidRPr="00A1381B">
        <w:t xml:space="preserve">ocument </w:t>
      </w:r>
      <w:hyperlink r:id="rId113" w:history="1">
        <w:r w:rsidRPr="00A1381B">
          <w:rPr>
            <w:rStyle w:val="Hyperlink"/>
            <w:rFonts w:eastAsia="Times New Roman" w:cs="Times New Roman"/>
            <w:szCs w:val="20"/>
          </w:rPr>
          <w:t>CWG-FHR-21/22</w:t>
        </w:r>
      </w:hyperlink>
      <w:r w:rsidRPr="00A1381B">
        <w:t>, qui vise à renforcer les outils de gestion axée sur les résultats au sein de l'UIT en demandant au GTC-FHR d'élaborer des procédures qui contribuent à garantir que toutes les activités proposées par l'UIT à l'appui du Plan stratégique favorisent la transparence et la responsabilité et répondent aux objectifs de gestion axée sur les résultats énoncés dans la Résolution 151 (Rév.</w:t>
      </w:r>
      <w:r w:rsidR="004C7656" w:rsidRPr="00A1381B">
        <w:t> </w:t>
      </w:r>
      <w:r w:rsidRPr="00A1381B">
        <w:t>Bucarest,</w:t>
      </w:r>
      <w:r w:rsidR="004C7656" w:rsidRPr="00A1381B">
        <w:t> </w:t>
      </w:r>
      <w:r w:rsidRPr="00A1381B">
        <w:t xml:space="preserve">2022). Les délégués ont reconnu la nécessité de garantir la transparence et d'harmoniser les activités relevant de la gestion axée sur les résultats, et recommandé que cette proposition soit examinée au même titre que la proposition précédente de la République populaire de Chine (Document </w:t>
      </w:r>
      <w:hyperlink r:id="rId114" w:history="1">
        <w:r w:rsidRPr="00A1381B">
          <w:rPr>
            <w:rStyle w:val="Hyperlink"/>
            <w:rFonts w:eastAsia="Times New Roman" w:cs="Times New Roman"/>
            <w:szCs w:val="20"/>
          </w:rPr>
          <w:t>CWG-FHR-21/16</w:t>
        </w:r>
      </w:hyperlink>
      <w:r w:rsidRPr="00A1381B">
        <w:t xml:space="preserve">). La Présidente a approuvé la proposition et chargé le Secrétariat de l'examiner conformément au Document </w:t>
      </w:r>
      <w:hyperlink r:id="rId115" w:history="1">
        <w:r w:rsidRPr="00A1381B">
          <w:rPr>
            <w:rStyle w:val="Hyperlink"/>
            <w:rFonts w:eastAsia="Times New Roman" w:cs="Times New Roman"/>
            <w:szCs w:val="20"/>
          </w:rPr>
          <w:t>C25/35</w:t>
        </w:r>
      </w:hyperlink>
      <w:r w:rsidRPr="00A1381B">
        <w:t xml:space="preserve"> du Conseil et de mettre en correspondance les rapports existants.</w:t>
      </w:r>
    </w:p>
    <w:p w14:paraId="51A725DA" w14:textId="69411EC6" w:rsidR="005717B1" w:rsidRPr="00A1381B" w:rsidRDefault="005717B1" w:rsidP="004C7656">
      <w:pPr>
        <w:pStyle w:val="Headingb"/>
      </w:pPr>
      <w:r w:rsidRPr="00A1381B">
        <w:t xml:space="preserve">Questions budgétaires – Affectation des économies réalisées en 2025, rapport sur la réduction globale du budget pour 2026-2027 (Document </w:t>
      </w:r>
      <w:hyperlink r:id="rId116" w:history="1">
        <w:r w:rsidRPr="00A1381B">
          <w:rPr>
            <w:rStyle w:val="Hyperlink"/>
            <w:rFonts w:eastAsia="Times New Roman" w:cs="Times New Roman"/>
            <w:szCs w:val="20"/>
          </w:rPr>
          <w:t>CWG-FHR-22/21</w:t>
        </w:r>
      </w:hyperlink>
      <w:r w:rsidRPr="00A1381B">
        <w:t>)</w:t>
      </w:r>
    </w:p>
    <w:p w14:paraId="1463FB82" w14:textId="37078AB2" w:rsidR="005717B1" w:rsidRPr="00A1381B" w:rsidRDefault="005717B1" w:rsidP="00AD06F1">
      <w:pPr>
        <w:tabs>
          <w:tab w:val="clear" w:pos="567"/>
          <w:tab w:val="left" w:pos="709"/>
        </w:tabs>
      </w:pPr>
      <w:r w:rsidRPr="00A1381B">
        <w:t>16.3</w:t>
      </w:r>
      <w:r w:rsidRPr="00A1381B">
        <w:tab/>
        <w:t xml:space="preserve">À la 22ème réunion du GTC-FHR, le Secrétariat a présenté le </w:t>
      </w:r>
      <w:r w:rsidR="004C7656" w:rsidRPr="00A1381B">
        <w:t>D</w:t>
      </w:r>
      <w:r w:rsidRPr="00A1381B">
        <w:t>ocument</w:t>
      </w:r>
      <w:r w:rsidR="004C7656" w:rsidRPr="00A1381B">
        <w:t> </w:t>
      </w:r>
      <w:hyperlink r:id="rId117" w:history="1">
        <w:r w:rsidRPr="00A1381B">
          <w:rPr>
            <w:rStyle w:val="Hyperlink"/>
            <w:rFonts w:eastAsia="Times New Roman" w:cs="Times New Roman"/>
            <w:szCs w:val="20"/>
          </w:rPr>
          <w:t>CWG</w:t>
        </w:r>
        <w:r w:rsidR="004C7656" w:rsidRPr="00A1381B">
          <w:rPr>
            <w:rStyle w:val="Hyperlink"/>
            <w:rFonts w:eastAsia="Times New Roman" w:cs="Times New Roman"/>
            <w:szCs w:val="20"/>
          </w:rPr>
          <w:noBreakHyphen/>
        </w:r>
        <w:r w:rsidRPr="00A1381B">
          <w:rPr>
            <w:rStyle w:val="Hyperlink"/>
            <w:rFonts w:eastAsia="Times New Roman" w:cs="Times New Roman"/>
            <w:szCs w:val="20"/>
          </w:rPr>
          <w:t>FHR</w:t>
        </w:r>
        <w:r w:rsidR="004C7656" w:rsidRPr="00A1381B">
          <w:rPr>
            <w:rStyle w:val="Hyperlink"/>
            <w:rFonts w:eastAsia="Times New Roman" w:cs="Times New Roman"/>
            <w:szCs w:val="20"/>
          </w:rPr>
          <w:noBreakHyphen/>
        </w:r>
        <w:r w:rsidRPr="00A1381B">
          <w:rPr>
            <w:rStyle w:val="Hyperlink"/>
            <w:rFonts w:eastAsia="Times New Roman" w:cs="Times New Roman"/>
            <w:szCs w:val="20"/>
          </w:rPr>
          <w:t>22/21</w:t>
        </w:r>
      </w:hyperlink>
      <w:r w:rsidRPr="00A1381B">
        <w:t>, qui fait le point sur les trois principales stratégies mises en</w:t>
      </w:r>
      <w:r w:rsidR="004C7656" w:rsidRPr="00A1381B">
        <w:t> </w:t>
      </w:r>
      <w:r w:rsidRPr="00A1381B">
        <w:t>œuvre pour absorber la réduction globale du budget de 6 008 millions CHF pour</w:t>
      </w:r>
      <w:r w:rsidR="004C7656" w:rsidRPr="00A1381B">
        <w:t> </w:t>
      </w:r>
      <w:r w:rsidRPr="00A1381B">
        <w:t>2026</w:t>
      </w:r>
      <w:r w:rsidR="004C7656" w:rsidRPr="00A1381B">
        <w:noBreakHyphen/>
      </w:r>
      <w:r w:rsidRPr="00A1381B">
        <w:t>2027. Des économies pourront être réalisées en appliquant les mesures suivantes: 1) réduire le nombre d'initiatives lancées par l'UIT, regrouper les services communs et améliorer la coordination des axes de travail; 2)</w:t>
      </w:r>
      <w:r w:rsidR="004C7656" w:rsidRPr="00A1381B">
        <w:t> </w:t>
      </w:r>
      <w:r w:rsidRPr="00A1381B">
        <w:t>réduire les frais de voyage du personnel et les services de consultants à court terme; et 3) améliorer l'efficacité au moyen de l'automatisation et des outils numériques. La mise en œuvre de ce budget réduit fera l'objet d'un suivi rigoureux grâce à l'amélioration des processus de planification, à la réalisation d'examens budgétaires mensuels et à la présentation régulière de rapports au Conseil.</w:t>
      </w:r>
    </w:p>
    <w:p w14:paraId="5AB45F80" w14:textId="5C725A2C" w:rsidR="005717B1" w:rsidRPr="00A1381B" w:rsidRDefault="005717B1" w:rsidP="00AD06F1">
      <w:pPr>
        <w:tabs>
          <w:tab w:val="clear" w:pos="567"/>
          <w:tab w:val="left" w:pos="709"/>
        </w:tabs>
      </w:pPr>
      <w:r w:rsidRPr="00A1381B">
        <w:t>16.4</w:t>
      </w:r>
      <w:r w:rsidRPr="00A1381B">
        <w:tab/>
        <w:t>Certains délégués ont soulevé des préoccupations quant à la manière dont les activités de l'UIT, en particulier du Secteur des radiocommunications, pourraient conserver leur portée, compte tenu de ces réductions. Le Secrétariat a expliqué qu'un processus de suivi continu sur deux ans, assorti de rapports réguliers, garantirait la bonne exécution des travaux dans les domaines relevant de la mission fondamentale de l'UIT. Les délégués se sont également déclarés préoccupés par le recours qu'il est envisagé de faire à l'intelligence artificielle et par les conséquences que cette utilisation pourrait avoir sur la qualité de la traduction. Le Secrétariat a réaffirmé que la qualité des documents dans les six langues officielles constituait une priorité centrale qui ne ferait l'objet d'aucun compromis, et que tout nouvel outil d'intelligence artificielle serait rigoureusement évalué, en collaboration avec les Membres, avant sa mise en œuvre.</w:t>
      </w:r>
    </w:p>
    <w:p w14:paraId="54C090F5" w14:textId="77777777" w:rsidR="005717B1" w:rsidRPr="00A1381B" w:rsidRDefault="005717B1" w:rsidP="00A1381B">
      <w:pPr>
        <w:keepLines/>
        <w:tabs>
          <w:tab w:val="clear" w:pos="567"/>
          <w:tab w:val="left" w:pos="709"/>
        </w:tabs>
      </w:pPr>
      <w:r w:rsidRPr="00A1381B">
        <w:t>16.5</w:t>
      </w:r>
      <w:r w:rsidRPr="00A1381B">
        <w:tab/>
        <w:t>Certains délégués ont demandé des précisions sur la manière dont le Secrétariat parvenait à réduire les frais de déplacement du personnel. Le Secrétariat a affirmé qu'il s'employait à améliorer les procédures de planification, afin de prévoir suffisamment à l'avance les déplacements nécessaires et de réduire leur nombre, sauf dans les cas où ceux-ci sont indispensables aux activités fondamentales de l'UIT.</w:t>
      </w:r>
    </w:p>
    <w:p w14:paraId="7A85F093" w14:textId="77777777" w:rsidR="005717B1" w:rsidRPr="00A1381B"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16.6</w:t>
      </w:r>
      <w:r w:rsidRPr="00A1381B">
        <w:tab/>
        <w:t xml:space="preserve">Le GTC-FHR a </w:t>
      </w:r>
      <w:r w:rsidRPr="00A1381B">
        <w:rPr>
          <w:b/>
          <w:bCs/>
        </w:rPr>
        <w:t>recommandé</w:t>
      </w:r>
      <w:r w:rsidRPr="00A1381B">
        <w:t xml:space="preserve"> au Secrétariat d'examiner les questions soulevées lors de la discussion sur la réduction globale du budget pour 2026-2027 et de présenter un rapport plus détaillé au Conseil, à sa session de 2026.</w:t>
      </w:r>
    </w:p>
    <w:p w14:paraId="7F6B34FB" w14:textId="77D56DBF" w:rsidR="005717B1" w:rsidRPr="00A1381B" w:rsidRDefault="005717B1" w:rsidP="004C7656">
      <w:pPr>
        <w:pStyle w:val="Headingb"/>
      </w:pPr>
      <w:r w:rsidRPr="00A1381B">
        <w:t xml:space="preserve">Contribution de la Fédération de Russie – Mesures visant à garantir l'alignement des ressources allouées sur la mission fondamentale (Document </w:t>
      </w:r>
      <w:hyperlink r:id="rId118" w:history="1">
        <w:r w:rsidRPr="00A1381B">
          <w:rPr>
            <w:rStyle w:val="Hyperlink"/>
            <w:rFonts w:eastAsia="Times New Roman" w:cs="Times New Roman"/>
            <w:szCs w:val="20"/>
          </w:rPr>
          <w:t>CWG-FHR-22/25</w:t>
        </w:r>
      </w:hyperlink>
      <w:r w:rsidRPr="00A1381B">
        <w:t>)</w:t>
      </w:r>
    </w:p>
    <w:p w14:paraId="4EDC6B82" w14:textId="7EA87B40" w:rsidR="005717B1" w:rsidRPr="00A1381B" w:rsidRDefault="005717B1" w:rsidP="00AD06F1">
      <w:pPr>
        <w:tabs>
          <w:tab w:val="clear" w:pos="567"/>
          <w:tab w:val="left" w:pos="709"/>
        </w:tabs>
      </w:pPr>
      <w:r w:rsidRPr="00A1381B">
        <w:t>16.7</w:t>
      </w:r>
      <w:r w:rsidRPr="00A1381B">
        <w:tab/>
        <w:t xml:space="preserve">La Fédération de Russie a présenté une contribution (Document </w:t>
      </w:r>
      <w:hyperlink r:id="rId119" w:history="1">
        <w:r w:rsidRPr="00A1381B">
          <w:rPr>
            <w:rStyle w:val="Hyperlink"/>
            <w:rFonts w:eastAsia="Times New Roman" w:cs="Times New Roman"/>
            <w:szCs w:val="20"/>
          </w:rPr>
          <w:t>CWG-FHR-22/25</w:t>
        </w:r>
      </w:hyperlink>
      <w:r w:rsidRPr="00A1381B">
        <w:t>) qui fait état d'une série de propositions à l'intention du Conseil et de la Conférence de plénipotentiaires visant à mieux aligner les activités de l'UIT sur sa mission fondamentale. La déclaration liminaire de la Fédération de Russie figure dans le Document</w:t>
      </w:r>
      <w:r w:rsidR="004C7656" w:rsidRPr="00A1381B">
        <w:t> </w:t>
      </w:r>
      <w:hyperlink r:id="rId120" w:history="1">
        <w:r w:rsidRPr="00A1381B">
          <w:rPr>
            <w:rStyle w:val="Hyperlink"/>
            <w:rFonts w:eastAsia="Times New Roman" w:cs="Times New Roman"/>
            <w:szCs w:val="20"/>
          </w:rPr>
          <w:t>CWG</w:t>
        </w:r>
        <w:r w:rsidR="004C7656" w:rsidRPr="00A1381B">
          <w:rPr>
            <w:rStyle w:val="Hyperlink"/>
            <w:rFonts w:eastAsia="Times New Roman" w:cs="Times New Roman"/>
            <w:szCs w:val="20"/>
          </w:rPr>
          <w:noBreakHyphen/>
        </w:r>
        <w:r w:rsidRPr="00A1381B">
          <w:rPr>
            <w:rStyle w:val="Hyperlink"/>
            <w:rFonts w:eastAsia="Times New Roman" w:cs="Times New Roman"/>
            <w:szCs w:val="20"/>
          </w:rPr>
          <w:t>FHR</w:t>
        </w:r>
        <w:r w:rsidR="004C7656" w:rsidRPr="00A1381B">
          <w:rPr>
            <w:rStyle w:val="Hyperlink"/>
            <w:rFonts w:eastAsia="Times New Roman" w:cs="Times New Roman"/>
            <w:szCs w:val="20"/>
          </w:rPr>
          <w:noBreakHyphen/>
        </w:r>
        <w:r w:rsidRPr="00A1381B">
          <w:rPr>
            <w:rStyle w:val="Hyperlink"/>
            <w:rFonts w:eastAsia="Times New Roman" w:cs="Times New Roman"/>
            <w:szCs w:val="20"/>
          </w:rPr>
          <w:t>22/INF/7</w:t>
        </w:r>
      </w:hyperlink>
      <w:r w:rsidRPr="00A1381B">
        <w:t>.</w:t>
      </w:r>
    </w:p>
    <w:p w14:paraId="79152A79" w14:textId="408D2E9A" w:rsidR="005717B1" w:rsidRPr="00A1381B" w:rsidRDefault="005717B1" w:rsidP="00AD06F1">
      <w:pPr>
        <w:keepLines/>
        <w:tabs>
          <w:tab w:val="clear" w:pos="567"/>
          <w:tab w:val="left" w:pos="709"/>
        </w:tabs>
      </w:pPr>
      <w:r w:rsidRPr="00A1381B">
        <w:t>16.8</w:t>
      </w:r>
      <w:r w:rsidRPr="00A1381B">
        <w:tab/>
        <w:t>Cette discussion a suscité plusieurs points de divergences parmi les délégués, notamment concernant la question de savoir s'il fallait établir des priorités parmi les activités de l'UIT ou en supprimer certaines, sur la définition des mandats "fondamentaux", sur la durée de validité des résolutions et sur la dérive des missions.</w:t>
      </w:r>
    </w:p>
    <w:p w14:paraId="3C0B5267" w14:textId="77777777" w:rsidR="005717B1" w:rsidRPr="00A1381B"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16.9</w:t>
      </w:r>
      <w:r w:rsidRPr="00A1381B">
        <w:tab/>
        <w:t xml:space="preserve">Le GTC-FHR a </w:t>
      </w:r>
      <w:r w:rsidRPr="00A1381B">
        <w:rPr>
          <w:b/>
          <w:bCs/>
        </w:rPr>
        <w:t>recommandé</w:t>
      </w:r>
      <w:r w:rsidRPr="00A1381B">
        <w:t xml:space="preserve"> que le Secrétariat présente un rapport sur l'ensemble des activités de l'Union depuis la dernière Conférence de plénipotentiaires, y compris une liste exhaustive des mesures prises pour mettre en œuvre les résolutions adoptées.</w:t>
      </w:r>
    </w:p>
    <w:p w14:paraId="1965095E" w14:textId="547DC94E" w:rsidR="005717B1" w:rsidRPr="00A1381B" w:rsidRDefault="005717B1" w:rsidP="00FE3419">
      <w:pPr>
        <w:pStyle w:val="Heading1"/>
      </w:pPr>
      <w:r w:rsidRPr="00A1381B">
        <w:t>17</w:t>
      </w:r>
      <w:r w:rsidRPr="00A1381B">
        <w:tab/>
        <w:t xml:space="preserve">Renforcement de la gestion des risques et du système de contrôle interne (Document </w:t>
      </w:r>
      <w:hyperlink r:id="rId121" w:history="1">
        <w:r w:rsidRPr="00A1381B">
          <w:rPr>
            <w:rStyle w:val="Hyperlink"/>
            <w:rFonts w:eastAsia="Times New Roman" w:cs="Times New Roman"/>
            <w:szCs w:val="20"/>
          </w:rPr>
          <w:t>CWG-FHR-22/20</w:t>
        </w:r>
      </w:hyperlink>
      <w:r w:rsidRPr="00A1381B">
        <w:t>)</w:t>
      </w:r>
    </w:p>
    <w:p w14:paraId="54252DB8" w14:textId="453F4B0C" w:rsidR="005717B1" w:rsidRPr="00A1381B" w:rsidRDefault="005717B1" w:rsidP="00AD06F1">
      <w:pPr>
        <w:tabs>
          <w:tab w:val="clear" w:pos="567"/>
          <w:tab w:val="left" w:pos="709"/>
        </w:tabs>
      </w:pPr>
      <w:r w:rsidRPr="00A1381B">
        <w:t>17.1</w:t>
      </w:r>
      <w:r w:rsidRPr="00A1381B">
        <w:tab/>
        <w:t>Au cours de la 22ème réunion, le Secrétariat a informé les délégués de la création récente du Groupe de travail sur la gestion des risques et le contrôle interne, présidé par le Vice-Secrétaire général. Les principaux objectifs du groupe de travail sont les suivants: 1)</w:t>
      </w:r>
      <w:r w:rsidR="00FE3419" w:rsidRPr="00A1381B">
        <w:t> </w:t>
      </w:r>
      <w:r w:rsidRPr="00A1381B">
        <w:t>renforcer l'investissement et la responsabilisation de la direction dans les activités de gestion des risques et de contrôle interne à l'échelle de l'organisation afin de mieux garantir la réalisation des objectifs; et 2) remédier rapidement et efficacement aux insuffisances des contrôles mises en évidence par les recommandations en la matière, afin d'atténuer les risques sous-jacents. En outre, dans son rapport, le Secrétariat a indiqué avoir retenu les services d'un cabinet de conseil externe chargé d'examiner le cadre de gestion des risques de l'UIT et a présenté le registre des risques institutionnels.</w:t>
      </w:r>
    </w:p>
    <w:p w14:paraId="60DFC4DB" w14:textId="453FF246" w:rsidR="00A1381B" w:rsidRPr="00A1381B" w:rsidRDefault="005717B1" w:rsidP="00A1381B">
      <w:pPr>
        <w:tabs>
          <w:tab w:val="clear" w:pos="567"/>
          <w:tab w:val="left" w:pos="709"/>
        </w:tabs>
      </w:pPr>
      <w:r w:rsidRPr="00A1381B">
        <w:t>17.2</w:t>
      </w:r>
      <w:r w:rsidRPr="00A1381B">
        <w:tab/>
        <w:t xml:space="preserve">Un délégué a souhaité mieux comprendre le cadre pour la délégation de pouvoirs et son rôle dans la deuxième ligne de défense de l'UIT, notamment en ce qui concerne la sécurité de l'information. Un autre délégué a demandé au Secrétariat de préciser les rôles des deux cabinets de conseil, lequel a répondu que l'un avait été engagé pour élaborer le cadre de la délégation des pouvoirs, tandis que l'autre avait été chargé de réaliser une </w:t>
      </w:r>
      <w:r w:rsidR="00A1381B" w:rsidRPr="00A1381B">
        <w:br w:type="page"/>
      </w:r>
    </w:p>
    <w:p w14:paraId="3157CC21" w14:textId="62292E3D" w:rsidR="005717B1" w:rsidRPr="00A1381B" w:rsidRDefault="005717B1" w:rsidP="00AD06F1">
      <w:pPr>
        <w:tabs>
          <w:tab w:val="clear" w:pos="567"/>
          <w:tab w:val="left" w:pos="709"/>
        </w:tabs>
      </w:pPr>
      <w:r w:rsidRPr="00A1381B">
        <w:t>analyse diagnostique du cadre de gestion des risques de l'UIT. D'autres délégués ont demandé si les États Membres pouvaient avoir accès au tableau de bord de la conformité et ont également encouragé le Secrétariat à trouver un juste équilibre entre la prévisibilité et la préservation des dimensions d'inclusion et de détermination de l'Union.</w:t>
      </w:r>
    </w:p>
    <w:p w14:paraId="103ED121" w14:textId="2904D3BF" w:rsidR="005717B1" w:rsidRPr="00A1381B"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17.3</w:t>
      </w:r>
      <w:r w:rsidRPr="00A1381B">
        <w:tab/>
        <w:t xml:space="preserve">Le GTC-FHR a </w:t>
      </w:r>
      <w:r w:rsidRPr="00A1381B">
        <w:rPr>
          <w:b/>
          <w:bCs/>
        </w:rPr>
        <w:t>recommandé</w:t>
      </w:r>
      <w:r w:rsidRPr="00A1381B">
        <w:t xml:space="preserve"> au Secrétariat de tenir compte des rapports des précédentes réunions du Conseil et du GTC-FHR lors de la rédaction de son prochain rapport au Conseil.</w:t>
      </w:r>
    </w:p>
    <w:p w14:paraId="54E988DF" w14:textId="393C0986" w:rsidR="005717B1" w:rsidRPr="00A1381B" w:rsidRDefault="005717B1" w:rsidP="00AD06F1">
      <w:pPr>
        <w:pBdr>
          <w:top w:val="single" w:sz="4" w:space="1" w:color="auto"/>
          <w:left w:val="single" w:sz="4" w:space="4" w:color="auto"/>
          <w:bottom w:val="single" w:sz="4" w:space="1" w:color="auto"/>
          <w:right w:val="single" w:sz="4" w:space="4" w:color="auto"/>
        </w:pBdr>
        <w:tabs>
          <w:tab w:val="clear" w:pos="567"/>
          <w:tab w:val="left" w:pos="709"/>
        </w:tabs>
      </w:pPr>
      <w:r w:rsidRPr="00A1381B">
        <w:t>17.4</w:t>
      </w:r>
      <w:r w:rsidRPr="00A1381B">
        <w:tab/>
        <w:t xml:space="preserve">En outre, le GTC-FHR </w:t>
      </w:r>
      <w:r w:rsidRPr="00A1381B">
        <w:rPr>
          <w:b/>
          <w:bCs/>
        </w:rPr>
        <w:t>recommande</w:t>
      </w:r>
      <w:r w:rsidRPr="00A1381B">
        <w:t xml:space="preserve"> au Conseil de demander au Secrétariat de fournir aux conseillers les résultats, les recommandations et le cahier des charges des consultants récemment engagés.</w:t>
      </w:r>
    </w:p>
    <w:p w14:paraId="1E34C175" w14:textId="6EF107D8" w:rsidR="005717B1" w:rsidRPr="00A1381B" w:rsidRDefault="005717B1" w:rsidP="002D1CBF">
      <w:pPr>
        <w:pStyle w:val="Heading1"/>
        <w:keepNext w:val="0"/>
        <w:keepLines w:val="0"/>
        <w:tabs>
          <w:tab w:val="clear" w:pos="567"/>
        </w:tabs>
        <w:ind w:left="709" w:hanging="709"/>
      </w:pPr>
      <w:r w:rsidRPr="00A1381B">
        <w:t>18</w:t>
      </w:r>
      <w:r w:rsidRPr="00A1381B">
        <w:tab/>
        <w:t>Examen des plans stratégique, financier et opérationnel de l'UIT (présentation orale)</w:t>
      </w:r>
    </w:p>
    <w:p w14:paraId="68EE754D" w14:textId="0BBF8CBA" w:rsidR="005717B1" w:rsidRPr="00A1381B" w:rsidRDefault="005717B1" w:rsidP="002D1CBF">
      <w:pPr>
        <w:tabs>
          <w:tab w:val="clear" w:pos="567"/>
          <w:tab w:val="left" w:pos="709"/>
        </w:tabs>
      </w:pPr>
      <w:r w:rsidRPr="00A1381B">
        <w:t>18.1</w:t>
      </w:r>
      <w:r w:rsidRPr="00A1381B">
        <w:tab/>
        <w:t>À la 22ème réunion, le Secrétariat a annoncé la tenue d'une réunion conjointe du</w:t>
      </w:r>
      <w:r w:rsidR="00FE3419" w:rsidRPr="00A1381B">
        <w:t> </w:t>
      </w:r>
      <w:r w:rsidRPr="00A1381B">
        <w:t>GTC</w:t>
      </w:r>
      <w:r w:rsidR="00FE3419" w:rsidRPr="00A1381B">
        <w:noBreakHyphen/>
      </w:r>
      <w:r w:rsidRPr="00A1381B">
        <w:t>SFP et du GTC-FHR, le 27 avril 2026, soit la veille du début de la session de 2026 du Conseil. Par ailleurs, il a évoqué les quarante-deux réponses reçues des États Membres, dans lesquelles ces derniers confirment leur engagement à maintenir leurs unités contributives, ainsi que la manière dont ces informations seront utilisées pour élaborer un plan financier fondé sur le projet de plan stratégique.</w:t>
      </w:r>
    </w:p>
    <w:p w14:paraId="1F16F5F9" w14:textId="651FFDFD" w:rsidR="005717B1" w:rsidRPr="00A1381B" w:rsidRDefault="005717B1" w:rsidP="002D1CBF">
      <w:pPr>
        <w:pStyle w:val="Heading1"/>
        <w:tabs>
          <w:tab w:val="clear" w:pos="567"/>
        </w:tabs>
        <w:ind w:left="709" w:hanging="709"/>
      </w:pPr>
      <w:r w:rsidRPr="00A1381B">
        <w:t>19</w:t>
      </w:r>
      <w:r w:rsidRPr="00A1381B">
        <w:tab/>
        <w:t>Contribution de la Fédération de Russie – Propositions de révision de</w:t>
      </w:r>
      <w:r w:rsidR="00DC51AD" w:rsidRPr="00A1381B">
        <w:t> </w:t>
      </w:r>
      <w:r w:rsidRPr="00A1381B">
        <w:t>la</w:t>
      </w:r>
      <w:r w:rsidR="00DC51AD" w:rsidRPr="00A1381B">
        <w:t> </w:t>
      </w:r>
      <w:r w:rsidRPr="00A1381B">
        <w:t>Résolution 191 (Rév. Bucarest, 2022) de la Conférence de plénipotentiaires – Stratégie de coordination des efforts entre les</w:t>
      </w:r>
      <w:r w:rsidR="00DC51AD" w:rsidRPr="00A1381B">
        <w:t> </w:t>
      </w:r>
      <w:r w:rsidRPr="00A1381B">
        <w:t>trois</w:t>
      </w:r>
      <w:r w:rsidR="00DC51AD" w:rsidRPr="00A1381B">
        <w:t> </w:t>
      </w:r>
      <w:r w:rsidRPr="00A1381B">
        <w:t xml:space="preserve">Secteurs de l'Union (Document </w:t>
      </w:r>
      <w:hyperlink r:id="rId122" w:history="1">
        <w:r w:rsidRPr="00A1381B">
          <w:rPr>
            <w:rStyle w:val="Hyperlink"/>
            <w:rFonts w:eastAsia="Times New Roman" w:cs="Times New Roman"/>
            <w:szCs w:val="20"/>
          </w:rPr>
          <w:t>CWG-FHR-22/26</w:t>
        </w:r>
      </w:hyperlink>
      <w:r w:rsidRPr="00A1381B">
        <w:t>)</w:t>
      </w:r>
    </w:p>
    <w:p w14:paraId="4EE7139E" w14:textId="078E1B77" w:rsidR="005717B1" w:rsidRPr="00A1381B" w:rsidRDefault="005717B1" w:rsidP="002D1CBF">
      <w:pPr>
        <w:tabs>
          <w:tab w:val="clear" w:pos="567"/>
          <w:tab w:val="left" w:pos="709"/>
        </w:tabs>
      </w:pPr>
      <w:r w:rsidRPr="00A1381B">
        <w:t>19.1</w:t>
      </w:r>
      <w:r w:rsidRPr="00A1381B">
        <w:tab/>
        <w:t>Dans le but de recueillir des commentaires sur les efforts qu'elle a déployés pour harmoniser les résolutions de la Conférence de plénipotentiaires, la Fédération de Russie a présenté, lors de la 22</w:t>
      </w:r>
      <w:r w:rsidR="00DC51AD" w:rsidRPr="00A1381B">
        <w:t>ème</w:t>
      </w:r>
      <w:r w:rsidRPr="00A1381B">
        <w:t xml:space="preserve"> réunion, une contribution proposant d'apporter des modifications à la Résolution 191 (Rév. Bucarest, 2022) qui tiennent compte des discussions tenues lors des sessions du Conseil de l'UIT, des réunions du Groupe ISCG, de l'Assemblée des radiocommunications de 2023 (AR-23), de l'Assemblée mondiale de normalisation des télécommunications de 2024 (AMNT-24) et de la CMDT-25.</w:t>
      </w:r>
    </w:p>
    <w:p w14:paraId="11E87D27" w14:textId="77777777" w:rsidR="005717B1" w:rsidRPr="00A1381B" w:rsidRDefault="005717B1" w:rsidP="002D1CBF">
      <w:pPr>
        <w:tabs>
          <w:tab w:val="clear" w:pos="567"/>
          <w:tab w:val="left" w:pos="709"/>
        </w:tabs>
      </w:pPr>
      <w:r w:rsidRPr="00A1381B">
        <w:t>19.2</w:t>
      </w:r>
      <w:r w:rsidRPr="00A1381B">
        <w:tab/>
        <w:t xml:space="preserve">Certains délégués partageaient le point de vue de la Présidente selon lequel des propositions similaires avaient été présentées lors de Conférences de plénipotentiaires précédentes (PP-14, PP-18 et PP-22) et, même si les délégués semblaient d'accord sur le principe, l'harmonisation restait difficile à mettre en œuvre et à appliquer. Un délégué a recommandé de réfléchir davantage à la manière dont l'Union pourrait rendre le travail de ces groupes plus efficaces, tout en avertissant que la création de nouveaux groupes intersectoriels ou conjoints poserait </w:t>
      </w:r>
      <w:proofErr w:type="gramStart"/>
      <w:r w:rsidRPr="00A1381B">
        <w:t>problème</w:t>
      </w:r>
      <w:proofErr w:type="gramEnd"/>
      <w:r w:rsidRPr="00A1381B">
        <w:t xml:space="preserve">. À l'issue d'un débat animé, sous la houlette de la Présidente, un consensus s'est dégagé pour que tous les groupes de coordination de l'UIT (tant au niveau des États Membres qu'au niveau du Secrétariat) soient invités à examiner la Résolution 191 (Rév. Bucarest, 2022) et à présenter leurs observations au Conseil, à sa session de 2026. </w:t>
      </w:r>
    </w:p>
    <w:p w14:paraId="1F15F219" w14:textId="0094A39B" w:rsidR="005717B1" w:rsidRPr="00A1381B" w:rsidRDefault="005717B1" w:rsidP="002D1CBF">
      <w:pPr>
        <w:pBdr>
          <w:top w:val="single" w:sz="4" w:space="1" w:color="auto"/>
          <w:left w:val="single" w:sz="4" w:space="4" w:color="auto"/>
          <w:bottom w:val="single" w:sz="4" w:space="1" w:color="auto"/>
          <w:right w:val="single" w:sz="4" w:space="4" w:color="auto"/>
        </w:pBdr>
        <w:tabs>
          <w:tab w:val="clear" w:pos="567"/>
          <w:tab w:val="left" w:pos="709"/>
        </w:tabs>
      </w:pPr>
      <w:r w:rsidRPr="00A1381B">
        <w:t>19.3</w:t>
      </w:r>
      <w:r w:rsidRPr="00A1381B">
        <w:tab/>
        <w:t xml:space="preserve">Le GTC-FHR a </w:t>
      </w:r>
      <w:r w:rsidRPr="00A1381B">
        <w:rPr>
          <w:b/>
          <w:bCs/>
        </w:rPr>
        <w:t xml:space="preserve">communiqué </w:t>
      </w:r>
      <w:r w:rsidRPr="00A1381B">
        <w:t>une note de liaison aux groupes consultatifs des Secteurs, au Groupe ISCG, au Comité de coordination et au Groupe MSAG, les invitant à formuler des recommandations à soumettre au Conseil, à sa session de 2026, concernant l'amélioration de la mise en œuvre de la Résolution 191 (Rév. Bucarest 2022).</w:t>
      </w:r>
    </w:p>
    <w:p w14:paraId="27F57403" w14:textId="2BD0EDEF" w:rsidR="005717B1" w:rsidRPr="00A1381B" w:rsidRDefault="005717B1" w:rsidP="002D1CBF">
      <w:pPr>
        <w:pStyle w:val="Heading1"/>
        <w:tabs>
          <w:tab w:val="clear" w:pos="567"/>
        </w:tabs>
        <w:ind w:left="709" w:hanging="709"/>
      </w:pPr>
      <w:r w:rsidRPr="00A1381B">
        <w:t>20</w:t>
      </w:r>
      <w:r w:rsidRPr="00A1381B">
        <w:tab/>
        <w:t>Abrogation de la Décision 601 du Conseil relative à l'enregistrement des numéros d'identification d'entité émettrice (IIN) (Document</w:t>
      </w:r>
      <w:r w:rsidR="00FE3419" w:rsidRPr="00A1381B">
        <w:t> </w:t>
      </w:r>
      <w:hyperlink r:id="rId123" w:history="1">
        <w:r w:rsidRPr="00A1381B">
          <w:rPr>
            <w:rStyle w:val="Hyperlink"/>
            <w:rFonts w:eastAsia="Times New Roman" w:cs="Times New Roman"/>
            <w:szCs w:val="20"/>
          </w:rPr>
          <w:t>CWG</w:t>
        </w:r>
        <w:r w:rsidR="00FE3419" w:rsidRPr="00A1381B">
          <w:rPr>
            <w:rStyle w:val="Hyperlink"/>
            <w:rFonts w:eastAsia="Times New Roman" w:cs="Times New Roman"/>
            <w:szCs w:val="20"/>
          </w:rPr>
          <w:noBreakHyphen/>
        </w:r>
        <w:r w:rsidRPr="00A1381B">
          <w:rPr>
            <w:rStyle w:val="Hyperlink"/>
            <w:rFonts w:eastAsia="Times New Roman" w:cs="Times New Roman"/>
            <w:szCs w:val="20"/>
          </w:rPr>
          <w:t>FHR</w:t>
        </w:r>
        <w:r w:rsidR="00FE3419" w:rsidRPr="00A1381B">
          <w:rPr>
            <w:rStyle w:val="Hyperlink"/>
            <w:rFonts w:eastAsia="Times New Roman" w:cs="Times New Roman"/>
            <w:szCs w:val="20"/>
          </w:rPr>
          <w:noBreakHyphen/>
        </w:r>
        <w:r w:rsidRPr="00A1381B">
          <w:rPr>
            <w:rStyle w:val="Hyperlink"/>
            <w:rFonts w:eastAsia="Times New Roman" w:cs="Times New Roman"/>
            <w:szCs w:val="20"/>
          </w:rPr>
          <w:t>22/3</w:t>
        </w:r>
      </w:hyperlink>
      <w:r w:rsidRPr="00A1381B">
        <w:t>)</w:t>
      </w:r>
    </w:p>
    <w:p w14:paraId="0E706325" w14:textId="28791842" w:rsidR="005717B1" w:rsidRPr="00A1381B" w:rsidRDefault="005717B1" w:rsidP="002D1CBF">
      <w:pPr>
        <w:tabs>
          <w:tab w:val="clear" w:pos="567"/>
          <w:tab w:val="left" w:pos="709"/>
        </w:tabs>
      </w:pPr>
      <w:r w:rsidRPr="00A1381B">
        <w:t>20.1</w:t>
      </w:r>
      <w:r w:rsidRPr="00A1381B">
        <w:tab/>
        <w:t>À la 22ème réunion, le Secrétariat a présenté des informations mises à jour sur l'approbation de la Recommandation révisée UIT-T E.118 et l'abrogation de la Décision 601 du Conseil, faisant suite à la réunion de la Commission d'études 2 de l'UIT-T du</w:t>
      </w:r>
      <w:r w:rsidR="00FE3419" w:rsidRPr="00A1381B">
        <w:t> </w:t>
      </w:r>
      <w:r w:rsidRPr="00A1381B">
        <w:t>5</w:t>
      </w:r>
      <w:r w:rsidR="00FE3419" w:rsidRPr="00A1381B">
        <w:t> </w:t>
      </w:r>
      <w:r w:rsidRPr="00A1381B">
        <w:t>septembre</w:t>
      </w:r>
      <w:r w:rsidR="00FE3419" w:rsidRPr="00A1381B">
        <w:t> </w:t>
      </w:r>
      <w:r w:rsidRPr="00A1381B">
        <w:t>2025, au cours de laquelle les participants ont estimé que la Décision 601 n'avait plus lieu d'être.</w:t>
      </w:r>
    </w:p>
    <w:p w14:paraId="089843EF" w14:textId="0C63D2DD" w:rsidR="005717B1" w:rsidRPr="00A1381B" w:rsidRDefault="005717B1" w:rsidP="002D1CBF">
      <w:pPr>
        <w:tabs>
          <w:tab w:val="clear" w:pos="567"/>
          <w:tab w:val="left" w:pos="709"/>
        </w:tabs>
      </w:pPr>
      <w:r w:rsidRPr="00A1381B">
        <w:t>20.2</w:t>
      </w:r>
      <w:r w:rsidRPr="00A1381B">
        <w:tab/>
        <w:t xml:space="preserve">Les délégués se sont interrogés sur la recommandation formulée par la Commission d'étude, notamment en ce qui concerne les conséquences de la suppression d'une source de revenus compte tenu de la situation financière actuelle de l'UIT (tel que décrite dans le Document </w:t>
      </w:r>
      <w:hyperlink r:id="rId124" w:history="1">
        <w:r w:rsidRPr="00A1381B">
          <w:rPr>
            <w:rStyle w:val="Hyperlink"/>
            <w:rFonts w:eastAsia="Times New Roman" w:cs="Times New Roman"/>
            <w:szCs w:val="20"/>
          </w:rPr>
          <w:t>C25/38</w:t>
        </w:r>
      </w:hyperlink>
      <w:r w:rsidRPr="00A1381B">
        <w:t>). La Présidente de la Commission d'études 2 a répondu en confirmant que celle-ci avait longuement étudié les conséquences de cette perte de revenus, mais qu'elle avait conclu que, si le Conseil n'abrogeait pas cette décision, cela pourrait soulever un problème juridique.</w:t>
      </w:r>
    </w:p>
    <w:p w14:paraId="5472D1DC" w14:textId="77777777" w:rsidR="005717B1" w:rsidRPr="00A1381B" w:rsidRDefault="005717B1" w:rsidP="002D1CBF">
      <w:pPr>
        <w:pBdr>
          <w:top w:val="single" w:sz="4" w:space="1" w:color="auto"/>
          <w:left w:val="single" w:sz="4" w:space="4" w:color="auto"/>
          <w:bottom w:val="single" w:sz="4" w:space="1" w:color="auto"/>
          <w:right w:val="single" w:sz="4" w:space="4" w:color="auto"/>
        </w:pBdr>
        <w:tabs>
          <w:tab w:val="clear" w:pos="567"/>
          <w:tab w:val="left" w:pos="709"/>
        </w:tabs>
      </w:pPr>
      <w:r w:rsidRPr="00A1381B">
        <w:t>20.3</w:t>
      </w:r>
      <w:r w:rsidRPr="00A1381B">
        <w:tab/>
        <w:t xml:space="preserve">Le GTC-FHR a </w:t>
      </w:r>
      <w:r w:rsidRPr="00A1381B">
        <w:rPr>
          <w:b/>
          <w:bCs/>
        </w:rPr>
        <w:t>recommandé</w:t>
      </w:r>
      <w:r w:rsidRPr="00A1381B">
        <w:t xml:space="preserve"> que le Secrétariat présente un rapport actualisé au Conseil, afin que les Conseillers puissent décider s'il y a lieu d'abroger la Décision 601 du Conseil.</w:t>
      </w:r>
    </w:p>
    <w:p w14:paraId="53E9BAF0" w14:textId="2A7A2A80" w:rsidR="005717B1" w:rsidRPr="00A1381B" w:rsidRDefault="005717B1" w:rsidP="002D1CBF">
      <w:pPr>
        <w:pStyle w:val="Heading1"/>
        <w:tabs>
          <w:tab w:val="clear" w:pos="567"/>
        </w:tabs>
        <w:ind w:left="709" w:hanging="709"/>
      </w:pPr>
      <w:r w:rsidRPr="00A1381B">
        <w:t>21</w:t>
      </w:r>
      <w:r w:rsidRPr="00A1381B">
        <w:tab/>
        <w:t>Note de liaison sur les résultats de la troisième réunion du GTC-SFP (Document</w:t>
      </w:r>
      <w:r w:rsidR="00FE3419" w:rsidRPr="00A1381B">
        <w:t> </w:t>
      </w:r>
      <w:hyperlink r:id="rId125" w:history="1">
        <w:r w:rsidRPr="00A1381B">
          <w:rPr>
            <w:rStyle w:val="Hyperlink"/>
            <w:rFonts w:eastAsia="Times New Roman" w:cs="Times New Roman"/>
            <w:szCs w:val="20"/>
          </w:rPr>
          <w:t>CWG</w:t>
        </w:r>
        <w:r w:rsidR="00FE3419" w:rsidRPr="00A1381B">
          <w:rPr>
            <w:rStyle w:val="Hyperlink"/>
            <w:rFonts w:eastAsia="Times New Roman" w:cs="Times New Roman"/>
            <w:szCs w:val="20"/>
          </w:rPr>
          <w:noBreakHyphen/>
        </w:r>
        <w:r w:rsidRPr="00A1381B">
          <w:rPr>
            <w:rStyle w:val="Hyperlink"/>
            <w:rFonts w:eastAsia="Times New Roman" w:cs="Times New Roman"/>
            <w:szCs w:val="20"/>
          </w:rPr>
          <w:t>FHR-21/24</w:t>
        </w:r>
      </w:hyperlink>
      <w:r w:rsidRPr="00A1381B">
        <w:t>)</w:t>
      </w:r>
    </w:p>
    <w:p w14:paraId="48B5771B" w14:textId="71C05C59" w:rsidR="005717B1" w:rsidRPr="00A1381B" w:rsidRDefault="005717B1" w:rsidP="002D1CBF">
      <w:pPr>
        <w:tabs>
          <w:tab w:val="clear" w:pos="567"/>
          <w:tab w:val="left" w:pos="709"/>
        </w:tabs>
      </w:pPr>
      <w:r w:rsidRPr="00A1381B">
        <w:t>21.1</w:t>
      </w:r>
      <w:r w:rsidRPr="00A1381B">
        <w:tab/>
        <w:t>Soumise à la 21ème réunion, cette note de liaison présente les principaux résultats de la troisième réunion du GTC-SFP, rend compte de l'avancement des travaux relatifs à l'élaboration des plans stratégique et financier, et sollicite des commentaires. Le GTC-SFP invite en particulier le GTC-FHR à examiner les indicateurs de performance proposés, à savoir l'indicateur d'impact et l'indicateur de résultats, ainsi que les projets d'énoncés de mission et de vision de l'UIT, au plus tard le 1er décembre 2025.</w:t>
      </w:r>
    </w:p>
    <w:p w14:paraId="74A7328D" w14:textId="2BBD46BE" w:rsidR="005717B1" w:rsidRPr="00A1381B" w:rsidRDefault="005717B1" w:rsidP="002D1CBF">
      <w:pPr>
        <w:pBdr>
          <w:top w:val="single" w:sz="4" w:space="1" w:color="auto"/>
          <w:left w:val="single" w:sz="4" w:space="4" w:color="auto"/>
          <w:bottom w:val="single" w:sz="4" w:space="1" w:color="auto"/>
          <w:right w:val="single" w:sz="4" w:space="4" w:color="auto"/>
        </w:pBdr>
        <w:tabs>
          <w:tab w:val="clear" w:pos="567"/>
          <w:tab w:val="left" w:pos="709"/>
        </w:tabs>
      </w:pPr>
      <w:r w:rsidRPr="00A1381B">
        <w:t>21.2</w:t>
      </w:r>
      <w:r w:rsidRPr="00A1381B">
        <w:tab/>
        <w:t>Le GTC-FHR a pris note du document et fait part de son intention d'assurer la coordination des prochaines étapes avec le GTC-SFP.</w:t>
      </w:r>
    </w:p>
    <w:p w14:paraId="57A3565F" w14:textId="77777777" w:rsidR="00003C5A" w:rsidRPr="00A1381B" w:rsidRDefault="00003C5A">
      <w:pPr>
        <w:jc w:val="center"/>
      </w:pPr>
      <w:r w:rsidRPr="00A1381B">
        <w:t>______________</w:t>
      </w:r>
    </w:p>
    <w:sectPr w:rsidR="00003C5A" w:rsidRPr="00A1381B" w:rsidSect="00D72F49">
      <w:headerReference w:type="even" r:id="rId126"/>
      <w:footerReference w:type="even" r:id="rId127"/>
      <w:footerReference w:type="default" r:id="rId128"/>
      <w:headerReference w:type="first" r:id="rId129"/>
      <w:footerReference w:type="first" r:id="rId13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01FF9" w14:textId="77777777" w:rsidR="00482D57" w:rsidRDefault="00482D57">
      <w:r>
        <w:separator/>
      </w:r>
    </w:p>
  </w:endnote>
  <w:endnote w:type="continuationSeparator" w:id="0">
    <w:p w14:paraId="34EF8C05" w14:textId="77777777" w:rsidR="00482D57" w:rsidRDefault="0048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9CB4" w14:textId="75035175" w:rsidR="00732045" w:rsidRDefault="00151E76">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CE4C04">
      <w:t>30.04.26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ADE5FF0" w14:textId="77777777" w:rsidTr="00E31DCE">
      <w:trPr>
        <w:jc w:val="center"/>
      </w:trPr>
      <w:tc>
        <w:tcPr>
          <w:tcW w:w="1803" w:type="dxa"/>
          <w:vAlign w:val="center"/>
        </w:tcPr>
        <w:p w14:paraId="5AE59631" w14:textId="3FC8D1CD" w:rsidR="00A51849" w:rsidRDefault="00003C5A" w:rsidP="00A51849">
          <w:pPr>
            <w:pStyle w:val="Header"/>
            <w:jc w:val="left"/>
            <w:rPr>
              <w:noProof/>
            </w:rPr>
          </w:pPr>
          <w:r>
            <w:rPr>
              <w:noProof/>
            </w:rPr>
            <w:t>2601136</w:t>
          </w:r>
        </w:p>
      </w:tc>
      <w:tc>
        <w:tcPr>
          <w:tcW w:w="8261" w:type="dxa"/>
        </w:tcPr>
        <w:p w14:paraId="34BFBDBA" w14:textId="11908C1A" w:rsidR="00A51849" w:rsidRPr="00E06FD5" w:rsidRDefault="00A51849" w:rsidP="00003C5A">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DA2888">
            <w:rPr>
              <w:bCs/>
            </w:rPr>
            <w:t>50</w:t>
          </w:r>
          <w:r w:rsidR="005B6600">
            <w:rPr>
              <w:bCs/>
            </w:rPr>
            <w:t>(Rév.1)-</w:t>
          </w:r>
          <w:r w:rsidR="00973F53">
            <w:rPr>
              <w:bCs/>
            </w:rPr>
            <w:t>F</w:t>
          </w:r>
          <w:r>
            <w:rPr>
              <w:bCs/>
            </w:rPr>
            <w:tab/>
          </w:r>
          <w:r>
            <w:fldChar w:fldCharType="begin"/>
          </w:r>
          <w:r>
            <w:instrText>PAGE</w:instrText>
          </w:r>
          <w:r>
            <w:fldChar w:fldCharType="separate"/>
          </w:r>
          <w:r>
            <w:t>1</w:t>
          </w:r>
          <w:r>
            <w:rPr>
              <w:noProof/>
            </w:rPr>
            <w:fldChar w:fldCharType="end"/>
          </w:r>
        </w:p>
      </w:tc>
    </w:tr>
  </w:tbl>
  <w:p w14:paraId="00134C1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294B1AB" w14:textId="77777777" w:rsidTr="00E31DCE">
      <w:trPr>
        <w:jc w:val="center"/>
      </w:trPr>
      <w:tc>
        <w:tcPr>
          <w:tcW w:w="1803" w:type="dxa"/>
          <w:vAlign w:val="center"/>
        </w:tcPr>
        <w:p w14:paraId="66BF94A1"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5EB5E164" w14:textId="1046B2B1"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462C65">
            <w:rPr>
              <w:bCs/>
            </w:rPr>
            <w:t>50</w:t>
          </w:r>
          <w:r w:rsidR="005E63AF">
            <w:rPr>
              <w:bCs/>
            </w:rPr>
            <w:t>(Rév.1)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D7095A9"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DA2D" w14:textId="77777777" w:rsidR="00482D57" w:rsidRDefault="00482D57">
      <w:r>
        <w:t>____________________</w:t>
      </w:r>
    </w:p>
  </w:footnote>
  <w:footnote w:type="continuationSeparator" w:id="0">
    <w:p w14:paraId="2734F2F7" w14:textId="77777777" w:rsidR="00482D57" w:rsidRDefault="0048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74D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5A270A9"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D8F6"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76"/>
    <w:rsid w:val="00003C5A"/>
    <w:rsid w:val="00012C5A"/>
    <w:rsid w:val="00076A2C"/>
    <w:rsid w:val="000A49DF"/>
    <w:rsid w:val="000D0D0A"/>
    <w:rsid w:val="000D7713"/>
    <w:rsid w:val="00103163"/>
    <w:rsid w:val="00106B19"/>
    <w:rsid w:val="001133EF"/>
    <w:rsid w:val="00115D93"/>
    <w:rsid w:val="001247A8"/>
    <w:rsid w:val="001342E0"/>
    <w:rsid w:val="001370B2"/>
    <w:rsid w:val="001378C0"/>
    <w:rsid w:val="00151E76"/>
    <w:rsid w:val="001658F9"/>
    <w:rsid w:val="0018694A"/>
    <w:rsid w:val="00187D06"/>
    <w:rsid w:val="0019129B"/>
    <w:rsid w:val="001A3287"/>
    <w:rsid w:val="001A6508"/>
    <w:rsid w:val="001D4C31"/>
    <w:rsid w:val="001E4D21"/>
    <w:rsid w:val="00207CD1"/>
    <w:rsid w:val="00226657"/>
    <w:rsid w:val="00232432"/>
    <w:rsid w:val="002477A2"/>
    <w:rsid w:val="00263A51"/>
    <w:rsid w:val="00267E02"/>
    <w:rsid w:val="00271321"/>
    <w:rsid w:val="00277DEA"/>
    <w:rsid w:val="002A5D44"/>
    <w:rsid w:val="002C008E"/>
    <w:rsid w:val="002C3F32"/>
    <w:rsid w:val="002C4E3D"/>
    <w:rsid w:val="002D1CBF"/>
    <w:rsid w:val="002D2336"/>
    <w:rsid w:val="002E0BC4"/>
    <w:rsid w:val="002F1B76"/>
    <w:rsid w:val="00334BE9"/>
    <w:rsid w:val="0033568E"/>
    <w:rsid w:val="00355FF5"/>
    <w:rsid w:val="00361350"/>
    <w:rsid w:val="003C3FAE"/>
    <w:rsid w:val="003D2295"/>
    <w:rsid w:val="004038CB"/>
    <w:rsid w:val="0040546F"/>
    <w:rsid w:val="004177BD"/>
    <w:rsid w:val="0042404A"/>
    <w:rsid w:val="00437D7F"/>
    <w:rsid w:val="0044587C"/>
    <w:rsid w:val="0044618F"/>
    <w:rsid w:val="00462C65"/>
    <w:rsid w:val="00465C35"/>
    <w:rsid w:val="0046769A"/>
    <w:rsid w:val="00475FB3"/>
    <w:rsid w:val="00482D57"/>
    <w:rsid w:val="004C37A9"/>
    <w:rsid w:val="004C7656"/>
    <w:rsid w:val="004D1D50"/>
    <w:rsid w:val="004E1B2E"/>
    <w:rsid w:val="004E25D8"/>
    <w:rsid w:val="004F259E"/>
    <w:rsid w:val="004F633A"/>
    <w:rsid w:val="00504C7F"/>
    <w:rsid w:val="005074CA"/>
    <w:rsid w:val="00511F1D"/>
    <w:rsid w:val="00520F36"/>
    <w:rsid w:val="00524E8D"/>
    <w:rsid w:val="00534E13"/>
    <w:rsid w:val="00540615"/>
    <w:rsid w:val="00540A6D"/>
    <w:rsid w:val="00553536"/>
    <w:rsid w:val="00566679"/>
    <w:rsid w:val="005717B1"/>
    <w:rsid w:val="00571EEA"/>
    <w:rsid w:val="00575417"/>
    <w:rsid w:val="005768E1"/>
    <w:rsid w:val="005B1938"/>
    <w:rsid w:val="005B6600"/>
    <w:rsid w:val="005C3890"/>
    <w:rsid w:val="005E63AF"/>
    <w:rsid w:val="005F7BFE"/>
    <w:rsid w:val="00600017"/>
    <w:rsid w:val="00602682"/>
    <w:rsid w:val="006235CA"/>
    <w:rsid w:val="0062366E"/>
    <w:rsid w:val="00650EF1"/>
    <w:rsid w:val="006643AB"/>
    <w:rsid w:val="006A11AE"/>
    <w:rsid w:val="006A52AF"/>
    <w:rsid w:val="006A7DC4"/>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1FDC"/>
    <w:rsid w:val="0083253D"/>
    <w:rsid w:val="0083391C"/>
    <w:rsid w:val="00835C3D"/>
    <w:rsid w:val="0084546D"/>
    <w:rsid w:val="00861D73"/>
    <w:rsid w:val="00882919"/>
    <w:rsid w:val="008965A3"/>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1381B"/>
    <w:rsid w:val="00A17172"/>
    <w:rsid w:val="00A2113E"/>
    <w:rsid w:val="00A23A51"/>
    <w:rsid w:val="00A24607"/>
    <w:rsid w:val="00A25CD3"/>
    <w:rsid w:val="00A45371"/>
    <w:rsid w:val="00A51849"/>
    <w:rsid w:val="00A709FE"/>
    <w:rsid w:val="00A73C60"/>
    <w:rsid w:val="00A82767"/>
    <w:rsid w:val="00AA332F"/>
    <w:rsid w:val="00AA7BBB"/>
    <w:rsid w:val="00AB64A8"/>
    <w:rsid w:val="00AC0266"/>
    <w:rsid w:val="00AC0F1D"/>
    <w:rsid w:val="00AD06F1"/>
    <w:rsid w:val="00AD24EC"/>
    <w:rsid w:val="00B27B00"/>
    <w:rsid w:val="00B309F9"/>
    <w:rsid w:val="00B32B60"/>
    <w:rsid w:val="00B51005"/>
    <w:rsid w:val="00B61619"/>
    <w:rsid w:val="00B862D6"/>
    <w:rsid w:val="00BB38C1"/>
    <w:rsid w:val="00BB4545"/>
    <w:rsid w:val="00BD5873"/>
    <w:rsid w:val="00BF4B60"/>
    <w:rsid w:val="00C049D7"/>
    <w:rsid w:val="00C04BE3"/>
    <w:rsid w:val="00C25D29"/>
    <w:rsid w:val="00C2625E"/>
    <w:rsid w:val="00C27A7C"/>
    <w:rsid w:val="00C42437"/>
    <w:rsid w:val="00C43460"/>
    <w:rsid w:val="00C60BB8"/>
    <w:rsid w:val="00C662A1"/>
    <w:rsid w:val="00CA08ED"/>
    <w:rsid w:val="00CC6EAA"/>
    <w:rsid w:val="00CD0B6E"/>
    <w:rsid w:val="00CE4C04"/>
    <w:rsid w:val="00CE5172"/>
    <w:rsid w:val="00CF0534"/>
    <w:rsid w:val="00CF183B"/>
    <w:rsid w:val="00D375CD"/>
    <w:rsid w:val="00D37B53"/>
    <w:rsid w:val="00D553A2"/>
    <w:rsid w:val="00D72F49"/>
    <w:rsid w:val="00D774D3"/>
    <w:rsid w:val="00D904E8"/>
    <w:rsid w:val="00DA08C3"/>
    <w:rsid w:val="00DA2888"/>
    <w:rsid w:val="00DA6AF7"/>
    <w:rsid w:val="00DB5A3E"/>
    <w:rsid w:val="00DC22AA"/>
    <w:rsid w:val="00DC3704"/>
    <w:rsid w:val="00DC51AD"/>
    <w:rsid w:val="00DD1A99"/>
    <w:rsid w:val="00DE2869"/>
    <w:rsid w:val="00DE62C6"/>
    <w:rsid w:val="00DF74DD"/>
    <w:rsid w:val="00E25AD0"/>
    <w:rsid w:val="00E4428F"/>
    <w:rsid w:val="00E4448E"/>
    <w:rsid w:val="00E47427"/>
    <w:rsid w:val="00E93668"/>
    <w:rsid w:val="00E95647"/>
    <w:rsid w:val="00EA17B9"/>
    <w:rsid w:val="00EB6350"/>
    <w:rsid w:val="00EC09DC"/>
    <w:rsid w:val="00ED799B"/>
    <w:rsid w:val="00F06944"/>
    <w:rsid w:val="00F15B57"/>
    <w:rsid w:val="00F2450B"/>
    <w:rsid w:val="00F35EF4"/>
    <w:rsid w:val="00F37FE5"/>
    <w:rsid w:val="00F427DB"/>
    <w:rsid w:val="00FA5EB1"/>
    <w:rsid w:val="00FA7439"/>
    <w:rsid w:val="00FB2B46"/>
    <w:rsid w:val="00FC4C4C"/>
    <w:rsid w:val="00FC4EC0"/>
    <w:rsid w:val="00FC6D7D"/>
    <w:rsid w:val="00FE341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14219"/>
  <w15:docId w15:val="{4B96043E-567C-4EAE-922E-1FC004D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C-0021/fr" TargetMode="External"/><Relationship Id="rId21" Type="http://schemas.openxmlformats.org/officeDocument/2006/relationships/hyperlink" Target="https://www.itu.int/md/S26-CWGFHR22-C-0004/fr" TargetMode="External"/><Relationship Id="rId42" Type="http://schemas.openxmlformats.org/officeDocument/2006/relationships/hyperlink" Target="https://www.itu.int/md/S26-CWGFHR22-C-0005/en" TargetMode="External"/><Relationship Id="rId47" Type="http://schemas.openxmlformats.org/officeDocument/2006/relationships/hyperlink" Target="https://www.itu.int/md/S26-CWGFHR22-C-0008/fr" TargetMode="External"/><Relationship Id="rId63" Type="http://schemas.openxmlformats.org/officeDocument/2006/relationships/hyperlink" Target="https://www.itu.int/md/S25-CWGFHR21-C-0007/en" TargetMode="External"/><Relationship Id="rId68" Type="http://schemas.openxmlformats.org/officeDocument/2006/relationships/hyperlink" Target="https://www.itu.int/md/S25-CWGFHR21-C-0017/en" TargetMode="External"/><Relationship Id="rId84" Type="http://schemas.openxmlformats.org/officeDocument/2006/relationships/hyperlink" Target="https://www.itu.int/md/S26-CWGFHR22-C-0012/fr" TargetMode="External"/><Relationship Id="rId89" Type="http://schemas.openxmlformats.org/officeDocument/2006/relationships/hyperlink" Target="https://www.itu.int/md/S26-CWGFHR22-C-0030/fr" TargetMode="External"/><Relationship Id="rId112" Type="http://schemas.openxmlformats.org/officeDocument/2006/relationships/hyperlink" Target="https://www.itu.int/md/S25-CWGFHR21-C-0022/fr" TargetMode="External"/><Relationship Id="rId16" Type="http://schemas.openxmlformats.org/officeDocument/2006/relationships/hyperlink" Target="https://www.itu.int/md/S25-CWGFHR21-C-0003/fr" TargetMode="External"/><Relationship Id="rId107" Type="http://schemas.openxmlformats.org/officeDocument/2006/relationships/hyperlink" Target="https://www.itu.int/md/S25-CWGFHR21-C-0019/fr" TargetMode="External"/><Relationship Id="rId11" Type="http://schemas.openxmlformats.org/officeDocument/2006/relationships/hyperlink" Target="https://www.itu.int/md/S26-CWGFHR22-INF-0004/fr" TargetMode="External"/><Relationship Id="rId32" Type="http://schemas.openxmlformats.org/officeDocument/2006/relationships/hyperlink" Target="https://www.itu.int/md/S26-CWGFHR22-C-0005/en" TargetMode="External"/><Relationship Id="rId37" Type="http://schemas.openxmlformats.org/officeDocument/2006/relationships/hyperlink" Target="https://www.itu.int/md/S26-CWGFHR22-C-0022/fr" TargetMode="External"/><Relationship Id="rId53" Type="http://schemas.openxmlformats.org/officeDocument/2006/relationships/hyperlink" Target="https://www.itu.int/md/S25-CWGFHR21-C-0010/en" TargetMode="External"/><Relationship Id="rId58" Type="http://schemas.openxmlformats.org/officeDocument/2006/relationships/hyperlink" Target="https://www.itu.int/md/S26-CWGFHR22-C-0023/en" TargetMode="External"/><Relationship Id="rId74" Type="http://schemas.openxmlformats.org/officeDocument/2006/relationships/hyperlink" Target="https://www.itu.int/md/S26-CWGFHR22-C-0019/en" TargetMode="External"/><Relationship Id="rId79" Type="http://schemas.openxmlformats.org/officeDocument/2006/relationships/hyperlink" Target="https://www.itu.int/md/S25-CL-C-0085/fr" TargetMode="External"/><Relationship Id="rId102" Type="http://schemas.openxmlformats.org/officeDocument/2006/relationships/hyperlink" Target="https://www.itu.int/md/S26-CWGFHR22-C-0032/fr" TargetMode="External"/><Relationship Id="rId123" Type="http://schemas.openxmlformats.org/officeDocument/2006/relationships/hyperlink" Target="https://www.itu.int/md/S26-CWGFHR22-C-0003/fr" TargetMode="External"/><Relationship Id="rId128"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www.itu.int/md/S26-CWGFHR22-C-0015/fr" TargetMode="External"/><Relationship Id="rId95" Type="http://schemas.openxmlformats.org/officeDocument/2006/relationships/hyperlink" Target="https://www.itu.int/md/S25-CWGFHR21-C-0020/fr" TargetMode="External"/><Relationship Id="rId22" Type="http://schemas.openxmlformats.org/officeDocument/2006/relationships/hyperlink" Target="https://www.itu.int/md/S26-CWGFHR22-C-0031/fr" TargetMode="External"/><Relationship Id="rId27" Type="http://schemas.openxmlformats.org/officeDocument/2006/relationships/hyperlink" Target="https://www.itu.int/md/S26-CWGFHR22-C-0008/fr" TargetMode="External"/><Relationship Id="rId43" Type="http://schemas.openxmlformats.org/officeDocument/2006/relationships/hyperlink" Target="https://www.itu.int/md/S26-CWGFHR22-C-0024/fr" TargetMode="External"/><Relationship Id="rId48" Type="http://schemas.openxmlformats.org/officeDocument/2006/relationships/hyperlink" Target="https://www.itu.int/md/S26-CWGFHR22-C-0008/en" TargetMode="External"/><Relationship Id="rId64" Type="http://schemas.openxmlformats.org/officeDocument/2006/relationships/hyperlink" Target="https://www.itu.int/md/S26-CWGFHR22-C-0009/en" TargetMode="External"/><Relationship Id="rId69" Type="http://schemas.openxmlformats.org/officeDocument/2006/relationships/hyperlink" Target="https://www.itu.int/md/S25-CWGFHR21-C-0023/fr" TargetMode="External"/><Relationship Id="rId113" Type="http://schemas.openxmlformats.org/officeDocument/2006/relationships/hyperlink" Target="https://www.itu.int/md/S25-CWGFHR21-C-0022/fr" TargetMode="External"/><Relationship Id="rId118" Type="http://schemas.openxmlformats.org/officeDocument/2006/relationships/hyperlink" Target="https://www.itu.int/md/S26-CWGFHR22-C-0025/fr" TargetMode="External"/><Relationship Id="rId80" Type="http://schemas.openxmlformats.org/officeDocument/2006/relationships/hyperlink" Target="https://www.itu.int/md/S26-CWGFHR22-C-0010/fr" TargetMode="External"/><Relationship Id="rId85" Type="http://schemas.openxmlformats.org/officeDocument/2006/relationships/hyperlink" Target="https://www.itu.int/md/S25-CWGFHR21-C-0011/fr" TargetMode="External"/><Relationship Id="rId12" Type="http://schemas.openxmlformats.org/officeDocument/2006/relationships/hyperlink" Target="https://www.itu.int/md/S25-CWGFHR21-C-0002/fr" TargetMode="External"/><Relationship Id="rId17" Type="http://schemas.openxmlformats.org/officeDocument/2006/relationships/hyperlink" Target="https://www.itu.int/md/S26-CWGFHR22-C-0013/fr" TargetMode="External"/><Relationship Id="rId33" Type="http://schemas.openxmlformats.org/officeDocument/2006/relationships/hyperlink" Target="https://www.itu.int/md/S25-CWGFHR21-C-0018/fr" TargetMode="External"/><Relationship Id="rId38" Type="http://schemas.openxmlformats.org/officeDocument/2006/relationships/hyperlink" Target="https://www.itu.int/md/S26-CWGFHR22-C-0008/fr" TargetMode="External"/><Relationship Id="rId59" Type="http://schemas.openxmlformats.org/officeDocument/2006/relationships/hyperlink" Target="https://www.itu.int/md/S26-CWGFHR22-C-0028/fr" TargetMode="External"/><Relationship Id="rId103" Type="http://schemas.openxmlformats.org/officeDocument/2006/relationships/hyperlink" Target="https://www.itu.int/md/S26-CWGFHR22-C-0033/fr" TargetMode="External"/><Relationship Id="rId108" Type="http://schemas.openxmlformats.org/officeDocument/2006/relationships/hyperlink" Target="https://www.itu.int/md/S26-CWGFHR22-C-0011/fr" TargetMode="External"/><Relationship Id="rId124" Type="http://schemas.openxmlformats.org/officeDocument/2006/relationships/hyperlink" Target="https://www.itu.int/md/S25-CL-C-0038/fr" TargetMode="External"/><Relationship Id="rId129" Type="http://schemas.openxmlformats.org/officeDocument/2006/relationships/header" Target="header2.xml"/><Relationship Id="rId54" Type="http://schemas.openxmlformats.org/officeDocument/2006/relationships/hyperlink" Target="https://www.itu.int/md/S26-CWGFHR22-C-0013/en" TargetMode="External"/><Relationship Id="rId70" Type="http://schemas.openxmlformats.org/officeDocument/2006/relationships/hyperlink" Target="https://www.itu.int/md/S25-CWGFHR21-C-0023/en" TargetMode="External"/><Relationship Id="rId75" Type="http://schemas.openxmlformats.org/officeDocument/2006/relationships/hyperlink" Target="https://www.itu.int/md/S25-CL-C-0095/fr" TargetMode="External"/><Relationship Id="rId91" Type="http://schemas.openxmlformats.org/officeDocument/2006/relationships/hyperlink" Target="https://www.itu.int/md/S26-CWGFHR22-C-0017/fr" TargetMode="External"/><Relationship Id="rId96" Type="http://schemas.openxmlformats.org/officeDocument/2006/relationships/hyperlink" Target="https://www.itu.int/md/S26-CWGFHR22-C-0002/fr"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tu.int/md/S26-CWGFHR22-C-0004/fr" TargetMode="External"/><Relationship Id="rId28" Type="http://schemas.openxmlformats.org/officeDocument/2006/relationships/hyperlink" Target="https://www.itu.int/md/S26-CWGFHR22-C-0005/fr" TargetMode="External"/><Relationship Id="rId49" Type="http://schemas.openxmlformats.org/officeDocument/2006/relationships/hyperlink" Target="https://www.itu.int/md/S25-CWGFHR21-C-0010/fr" TargetMode="External"/><Relationship Id="rId114" Type="http://schemas.openxmlformats.org/officeDocument/2006/relationships/hyperlink" Target="https://www.itu.int/md/S25-CWGFHR21-C-0016/fr" TargetMode="External"/><Relationship Id="rId119" Type="http://schemas.openxmlformats.org/officeDocument/2006/relationships/hyperlink" Target="https://www.itu.int/md/S26-CWGFHR22-C-0025/fr" TargetMode="External"/><Relationship Id="rId44" Type="http://schemas.openxmlformats.org/officeDocument/2006/relationships/hyperlink" Target="https://www.itu.int/md/S26-CWGFHR22-C-0024/en" TargetMode="External"/><Relationship Id="rId60" Type="http://schemas.openxmlformats.org/officeDocument/2006/relationships/hyperlink" Target="https://www.itu.int/md/S26-CWGFHR22-C-0028/en" TargetMode="External"/><Relationship Id="rId65" Type="http://schemas.openxmlformats.org/officeDocument/2006/relationships/hyperlink" Target="https://www.itu.int/md/S25-CWGFHR21-C-0015/fr" TargetMode="External"/><Relationship Id="rId81" Type="http://schemas.openxmlformats.org/officeDocument/2006/relationships/hyperlink" Target="https://www.itu.int/md/S26-CWGFHR22-C-0012/fr" TargetMode="External"/><Relationship Id="rId86" Type="http://schemas.openxmlformats.org/officeDocument/2006/relationships/hyperlink" Target="https://www.itu.int/md/S26-CWGFHR22-C-0015/fr" TargetMode="External"/><Relationship Id="rId130" Type="http://schemas.openxmlformats.org/officeDocument/2006/relationships/footer" Target="footer3.xml"/><Relationship Id="rId13" Type="http://schemas.openxmlformats.org/officeDocument/2006/relationships/hyperlink" Target="https://www.itu.int/md/S25-CWGFHR21-INF-0002/fr" TargetMode="External"/><Relationship Id="rId18" Type="http://schemas.openxmlformats.org/officeDocument/2006/relationships/hyperlink" Target="https://www.itu.int/md/S26-CWGFHR22-C-0007/fr" TargetMode="External"/><Relationship Id="rId39" Type="http://schemas.openxmlformats.org/officeDocument/2006/relationships/hyperlink" Target="https://www.itu.int/md/S26-CWGFHR22-C-0005/fr" TargetMode="External"/><Relationship Id="rId109" Type="http://schemas.openxmlformats.org/officeDocument/2006/relationships/hyperlink" Target="https://www.itu.int/md/S25-CWGFHR21-C-0016/fr" TargetMode="External"/><Relationship Id="rId34" Type="http://schemas.openxmlformats.org/officeDocument/2006/relationships/hyperlink" Target="https://www.itu.int/md/S25-CWGFHR21-C-0021/fr" TargetMode="External"/><Relationship Id="rId50" Type="http://schemas.openxmlformats.org/officeDocument/2006/relationships/hyperlink" Target="https://www.itu.int/md/S26-CWGFHR22-C-0013/fr" TargetMode="External"/><Relationship Id="rId55" Type="http://schemas.openxmlformats.org/officeDocument/2006/relationships/hyperlink" Target="https://www.itu.int/md/S26-CWGFHR22-C-0023/en" TargetMode="External"/><Relationship Id="rId76" Type="http://schemas.openxmlformats.org/officeDocument/2006/relationships/hyperlink" Target="https://www.itu.int/md/S25-CL-C-0095/en" TargetMode="External"/><Relationship Id="rId97" Type="http://schemas.openxmlformats.org/officeDocument/2006/relationships/hyperlink" Target="https://www.itu.int/md/S25-CWGFHR21-C-0020/fr" TargetMode="External"/><Relationship Id="rId104" Type="http://schemas.openxmlformats.org/officeDocument/2006/relationships/hyperlink" Target="https://www.itu.int/md/S25-CWGFHR21-C-0013/fr" TargetMode="External"/><Relationship Id="rId120" Type="http://schemas.openxmlformats.org/officeDocument/2006/relationships/hyperlink" Target="https://www.itu.int/md/S26-CWGFHR22-INF-0007/fr" TargetMode="External"/><Relationship Id="rId125" Type="http://schemas.openxmlformats.org/officeDocument/2006/relationships/hyperlink" Target="https://www.itu.int/md/S25-CWGFHR21-C-0024/fr" TargetMode="External"/><Relationship Id="rId7" Type="http://schemas.openxmlformats.org/officeDocument/2006/relationships/hyperlink" Target="https://www.itu.int/md/S25-CWGFHR21-C-0025/fr" TargetMode="External"/><Relationship Id="rId71" Type="http://schemas.openxmlformats.org/officeDocument/2006/relationships/hyperlink" Target="https://www.itu.int/md/S25-CWGFHR21-C-0008/fr" TargetMode="External"/><Relationship Id="rId92" Type="http://schemas.openxmlformats.org/officeDocument/2006/relationships/hyperlink" Target="https://www.itu.int/md/S26-CWGFHR22-C-0030/fr" TargetMode="External"/><Relationship Id="rId2" Type="http://schemas.openxmlformats.org/officeDocument/2006/relationships/styles" Target="styles.xml"/><Relationship Id="rId29" Type="http://schemas.openxmlformats.org/officeDocument/2006/relationships/hyperlink" Target="https://www.itu.int/md/S25-CWGFHR21-C-0005/en" TargetMode="External"/><Relationship Id="rId24" Type="http://schemas.openxmlformats.org/officeDocument/2006/relationships/hyperlink" Target="https://www.itu.int/md/S26-CWGFHR22-C-0031/fr" TargetMode="External"/><Relationship Id="rId40" Type="http://schemas.openxmlformats.org/officeDocument/2006/relationships/hyperlink" Target="https://www.itu.int/md/S26-CWGFHR22-C-0022/en" TargetMode="External"/><Relationship Id="rId45" Type="http://schemas.openxmlformats.org/officeDocument/2006/relationships/hyperlink" Target="https://www.itu.int/md/S26-CWGFHR22-C-0008/fr" TargetMode="External"/><Relationship Id="rId66" Type="http://schemas.openxmlformats.org/officeDocument/2006/relationships/hyperlink" Target="https://www.itu.int/md/S25-CWGFHR21-C-0015/en" TargetMode="External"/><Relationship Id="rId87" Type="http://schemas.openxmlformats.org/officeDocument/2006/relationships/hyperlink" Target="https://www.itu.int/md/S26-CWGFHR22-C-0017/fr" TargetMode="External"/><Relationship Id="rId110" Type="http://schemas.openxmlformats.org/officeDocument/2006/relationships/hyperlink" Target="https://www.itu.int/md/S25-CWGFHR21-C-0016/fr" TargetMode="External"/><Relationship Id="rId115" Type="http://schemas.openxmlformats.org/officeDocument/2006/relationships/hyperlink" Target="https://www.itu.int/md/S25-CL-C-0035/fr" TargetMode="External"/><Relationship Id="rId131" Type="http://schemas.openxmlformats.org/officeDocument/2006/relationships/fontTable" Target="fontTable.xml"/><Relationship Id="rId61" Type="http://schemas.openxmlformats.org/officeDocument/2006/relationships/hyperlink" Target="https://www.itu.int/md/S25-CWGFHR21-C-0007/fr" TargetMode="External"/><Relationship Id="rId82" Type="http://schemas.openxmlformats.org/officeDocument/2006/relationships/hyperlink" Target="https://www.itu.int/md/S25-CL-C-0085/fr" TargetMode="External"/><Relationship Id="rId19" Type="http://schemas.openxmlformats.org/officeDocument/2006/relationships/hyperlink" Target="https://www.itu.int/md/S26-CWGFHR22-C-0007/fr" TargetMode="External"/><Relationship Id="rId14" Type="http://schemas.openxmlformats.org/officeDocument/2006/relationships/hyperlink" Target="https://www.itu.int/md/S25-CWGFHR21-C-0002/fr" TargetMode="External"/><Relationship Id="rId30" Type="http://schemas.openxmlformats.org/officeDocument/2006/relationships/hyperlink" Target="https://www.itu.int/md/S25-CWGFHR21-C-0006/en" TargetMode="External"/><Relationship Id="rId35" Type="http://schemas.openxmlformats.org/officeDocument/2006/relationships/hyperlink" Target="https://www.itu.int/md/S25-CWGFHR21-C-0018/en" TargetMode="External"/><Relationship Id="rId56" Type="http://schemas.openxmlformats.org/officeDocument/2006/relationships/hyperlink" Target="https://www.itu.int/md/S26-CWGFHR22-C-0028/en" TargetMode="External"/><Relationship Id="rId77" Type="http://schemas.openxmlformats.org/officeDocument/2006/relationships/hyperlink" Target="https://www.itu.int/md/S26-CWGFHR22-C-0019/fr" TargetMode="External"/><Relationship Id="rId100" Type="http://schemas.openxmlformats.org/officeDocument/2006/relationships/hyperlink" Target="https://www.itu.int/md/S26-CWGFHR22-C-0027/fr" TargetMode="External"/><Relationship Id="rId105" Type="http://schemas.openxmlformats.org/officeDocument/2006/relationships/hyperlink" Target="https://www.itu.int/md/S26-CWGFHR22-C-0006/fr" TargetMode="External"/><Relationship Id="rId126" Type="http://schemas.openxmlformats.org/officeDocument/2006/relationships/header" Target="header1.xml"/><Relationship Id="rId8" Type="http://schemas.openxmlformats.org/officeDocument/2006/relationships/hyperlink" Target="https://www.itu.int/md/S26-CWGFHR22-C-0036/fr" TargetMode="External"/><Relationship Id="rId51" Type="http://schemas.openxmlformats.org/officeDocument/2006/relationships/hyperlink" Target="https://www.itu.int/md/S26-CWGFHR22-C-0023/fr" TargetMode="External"/><Relationship Id="rId72" Type="http://schemas.openxmlformats.org/officeDocument/2006/relationships/hyperlink" Target="https://www.itu.int/md/S26-CWGFHR22-C-0019/fr" TargetMode="External"/><Relationship Id="rId93" Type="http://schemas.openxmlformats.org/officeDocument/2006/relationships/hyperlink" Target="https://www.itu.int/md/S26-CWGFHR22-C-0014/fr" TargetMode="External"/><Relationship Id="rId98" Type="http://schemas.openxmlformats.org/officeDocument/2006/relationships/hyperlink" Target="http://council.itu.int/2026/wp-content/uploads/sites/6/2025/12/Satellite-Network-Filings-cwg-fhr-16-December-2025.pptx" TargetMode="External"/><Relationship Id="rId121" Type="http://schemas.openxmlformats.org/officeDocument/2006/relationships/hyperlink" Target="https://www.itu.int/md/S26-CWGFHR22-C-0020/fr" TargetMode="External"/><Relationship Id="rId3" Type="http://schemas.openxmlformats.org/officeDocument/2006/relationships/settings" Target="settings.xml"/><Relationship Id="rId25" Type="http://schemas.openxmlformats.org/officeDocument/2006/relationships/hyperlink" Target="https://www.itu.int/md/S25-CWGFHR21-C-0005/fr" TargetMode="External"/><Relationship Id="rId46" Type="http://schemas.openxmlformats.org/officeDocument/2006/relationships/hyperlink" Target="https://www.itu.int/md/S26-CWGFHR22-C-0008/en" TargetMode="External"/><Relationship Id="rId67" Type="http://schemas.openxmlformats.org/officeDocument/2006/relationships/hyperlink" Target="https://www.itu.int/md/S25-CWGFHR21-C-0017/fr" TargetMode="External"/><Relationship Id="rId116" Type="http://schemas.openxmlformats.org/officeDocument/2006/relationships/hyperlink" Target="https://www.itu.int/md/S26-CWGFHR22-C-0021/fr" TargetMode="External"/><Relationship Id="rId20" Type="http://schemas.openxmlformats.org/officeDocument/2006/relationships/hyperlink" Target="https://www.itu.int/md/S25-CWGFHR21-C-0004/fr" TargetMode="External"/><Relationship Id="rId41" Type="http://schemas.openxmlformats.org/officeDocument/2006/relationships/hyperlink" Target="https://www.itu.int/md/S26-CWGFHR22-C-0008/en" TargetMode="External"/><Relationship Id="rId62" Type="http://schemas.openxmlformats.org/officeDocument/2006/relationships/hyperlink" Target="https://www.itu.int/md/S26-CWGFHR22-C-0009/fr" TargetMode="External"/><Relationship Id="rId83" Type="http://schemas.openxmlformats.org/officeDocument/2006/relationships/hyperlink" Target="https://www.itu.int/md/S26-CWGFHR22-C-0010/fr" TargetMode="External"/><Relationship Id="rId88" Type="http://schemas.openxmlformats.org/officeDocument/2006/relationships/hyperlink" Target="https://www.itu.int/md/S26-CWGFHR22-C-0030/fr" TargetMode="External"/><Relationship Id="rId111" Type="http://schemas.openxmlformats.org/officeDocument/2006/relationships/hyperlink" Target="https://www.itu.int/md/S25-CL-C-0035/fr" TargetMode="External"/><Relationship Id="rId132" Type="http://schemas.openxmlformats.org/officeDocument/2006/relationships/theme" Target="theme/theme1.xml"/><Relationship Id="rId15" Type="http://schemas.openxmlformats.org/officeDocument/2006/relationships/hyperlink" Target="https://www.itu.int/fr/ethics/pages/default.aspx" TargetMode="External"/><Relationship Id="rId36" Type="http://schemas.openxmlformats.org/officeDocument/2006/relationships/hyperlink" Target="https://www.itu.int/md/S25-CWGFHR21-C-0021/en" TargetMode="External"/><Relationship Id="rId57" Type="http://schemas.openxmlformats.org/officeDocument/2006/relationships/hyperlink" Target="https://www.itu.int/md/S26-CWGFHR22-C-0023/fr" TargetMode="External"/><Relationship Id="rId106" Type="http://schemas.openxmlformats.org/officeDocument/2006/relationships/hyperlink" Target="https://www.itu.int/md/S26-CWGFHR22-INF-0002/fr" TargetMode="External"/><Relationship Id="rId127" Type="http://schemas.openxmlformats.org/officeDocument/2006/relationships/footer" Target="footer1.xml"/><Relationship Id="rId10" Type="http://schemas.openxmlformats.org/officeDocument/2006/relationships/hyperlink" Target="https://www.itu.int/md/S25-CWGFHR21-INF-0003/fr" TargetMode="External"/><Relationship Id="rId31" Type="http://schemas.openxmlformats.org/officeDocument/2006/relationships/hyperlink" Target="https://www.itu.int/md/S26-CWGFHR22-C-0008/en" TargetMode="External"/><Relationship Id="rId52" Type="http://schemas.openxmlformats.org/officeDocument/2006/relationships/hyperlink" Target="https://www.itu.int/md/S26-CWGFHR22-C-0028/fr" TargetMode="External"/><Relationship Id="rId73" Type="http://schemas.openxmlformats.org/officeDocument/2006/relationships/hyperlink" Target="https://www.itu.int/md/S25-CWGFHR21-C-0008/en" TargetMode="External"/><Relationship Id="rId78" Type="http://schemas.openxmlformats.org/officeDocument/2006/relationships/hyperlink" Target="https://www.itu.int/md/S26-CWGFHR22-C-0019/en" TargetMode="External"/><Relationship Id="rId94" Type="http://schemas.openxmlformats.org/officeDocument/2006/relationships/hyperlink" Target="https://www.itu.int/md/S25-CL-C-0084/fr" TargetMode="External"/><Relationship Id="rId99" Type="http://schemas.openxmlformats.org/officeDocument/2006/relationships/hyperlink" Target="https://www.itu.int/md/S26-CWGFHR22-C-0002/fr" TargetMode="External"/><Relationship Id="rId101" Type="http://schemas.openxmlformats.org/officeDocument/2006/relationships/hyperlink" Target="https://www.itu.int/md/S26-CWGFHR22-C-0029/fr" TargetMode="External"/><Relationship Id="rId122" Type="http://schemas.openxmlformats.org/officeDocument/2006/relationships/hyperlink" Target="https://www.itu.int/md/S26-CWGFHR22-C-0026/fr" TargetMode="External"/><Relationship Id="rId4" Type="http://schemas.openxmlformats.org/officeDocument/2006/relationships/webSettings" Target="webSettings.xml"/><Relationship Id="rId9" Type="http://schemas.openxmlformats.org/officeDocument/2006/relationships/hyperlink" Target="https://www.itu.int/md/S23-CL-C-0129/fr" TargetMode="External"/><Relationship Id="rId26" Type="http://schemas.openxmlformats.org/officeDocument/2006/relationships/hyperlink" Target="https://www.itu.int/md/S25-CWGFHR21-C-0006/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26</Pages>
  <Words>11162</Words>
  <Characters>78361</Characters>
  <Application>Microsoft Office Word</Application>
  <DocSecurity>0</DocSecurity>
  <Lines>1351</Lines>
  <Paragraphs>300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89223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résultats des 21ème et 22ème réunions du Groupe de travail du Conseil sur les ressources financières et les ressources humaines</dc:title>
  <dc:subject>Conseil 2026 de l'UIT</dc:subject>
  <dc:creator>GBS</dc:creator>
  <cp:keywords>C26; C2026; Council 2026; PP26</cp:keywords>
  <dc:description/>
  <cp:lastModifiedBy>GBS</cp:lastModifiedBy>
  <cp:revision>2</cp:revision>
  <cp:lastPrinted>2000-07-18T08:55:00Z</cp:lastPrinted>
  <dcterms:created xsi:type="dcterms:W3CDTF">2026-05-01T10:08:00Z</dcterms:created>
  <dcterms:modified xsi:type="dcterms:W3CDTF">2026-05-01T10:08:00Z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