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CD4FF2" w:rsidRPr="00BB6FD8" w14:paraId="6D84431F" w14:textId="77777777" w:rsidTr="00C4421B">
        <w:trPr>
          <w:cantSplit/>
          <w:trHeight w:val="23"/>
        </w:trPr>
        <w:tc>
          <w:tcPr>
            <w:tcW w:w="3969" w:type="dxa"/>
            <w:vMerge w:val="restart"/>
            <w:tcMar>
              <w:left w:w="0" w:type="dxa"/>
            </w:tcMar>
          </w:tcPr>
          <w:p w14:paraId="038FDFD2" w14:textId="60ADB543" w:rsidR="00CD4FF2" w:rsidRPr="00984FD9" w:rsidRDefault="000C7392" w:rsidP="00CD4FF2">
            <w:pPr>
              <w:tabs>
                <w:tab w:val="left" w:pos="851"/>
              </w:tabs>
              <w:spacing w:before="0" w:line="240" w:lineRule="atLeast"/>
              <w:rPr>
                <w:b/>
                <w:lang w:val="es-ES"/>
              </w:rPr>
            </w:pPr>
            <w:bookmarkStart w:id="0" w:name="_Hlk133421839"/>
            <w:r w:rsidRPr="00984FD9">
              <w:rPr>
                <w:b/>
                <w:lang w:val="es-ES"/>
              </w:rPr>
              <w:t>Punto del o</w:t>
            </w:r>
            <w:r w:rsidR="00CD4FF2" w:rsidRPr="00984FD9">
              <w:rPr>
                <w:b/>
                <w:lang w:val="es-ES"/>
              </w:rPr>
              <w:t xml:space="preserve">rden del día: </w:t>
            </w:r>
            <w:r w:rsidR="00CD4FF2" w:rsidRPr="00C537A9">
              <w:rPr>
                <w:b/>
                <w:bCs/>
                <w:color w:val="000000"/>
                <w:lang w:val="es-ES" w:eastAsia="ko-KR"/>
              </w:rPr>
              <w:t>ADM 1</w:t>
            </w:r>
          </w:p>
        </w:tc>
        <w:tc>
          <w:tcPr>
            <w:tcW w:w="5245" w:type="dxa"/>
          </w:tcPr>
          <w:p w14:paraId="418A30F0" w14:textId="68A880E9" w:rsidR="00CD4FF2" w:rsidRPr="00BB6FD8" w:rsidRDefault="00CD4FF2" w:rsidP="00CD4FF2">
            <w:pPr>
              <w:tabs>
                <w:tab w:val="left" w:pos="851"/>
              </w:tabs>
              <w:spacing w:before="0" w:line="240" w:lineRule="atLeast"/>
              <w:jc w:val="right"/>
              <w:rPr>
                <w:b/>
              </w:rPr>
            </w:pPr>
            <w:r w:rsidRPr="00C537A9">
              <w:rPr>
                <w:b/>
                <w:bCs/>
                <w:color w:val="000000"/>
                <w:lang w:val="es-ES" w:eastAsia="ko-KR"/>
              </w:rPr>
              <w:t xml:space="preserve">Documento </w:t>
            </w:r>
            <w:proofErr w:type="spellStart"/>
            <w:r w:rsidRPr="00C537A9">
              <w:rPr>
                <w:b/>
                <w:bCs/>
                <w:color w:val="000000"/>
                <w:lang w:val="es-ES" w:eastAsia="ko-KR"/>
              </w:rPr>
              <w:t>C26</w:t>
            </w:r>
            <w:proofErr w:type="spellEnd"/>
            <w:r w:rsidRPr="00C537A9">
              <w:rPr>
                <w:b/>
                <w:bCs/>
                <w:color w:val="000000"/>
                <w:lang w:val="es-ES" w:eastAsia="ko-KR"/>
              </w:rPr>
              <w:t>/50-S</w:t>
            </w:r>
          </w:p>
        </w:tc>
      </w:tr>
      <w:tr w:rsidR="00CD4FF2" w:rsidRPr="00666D09" w14:paraId="15B37E29" w14:textId="77777777" w:rsidTr="00C4421B">
        <w:trPr>
          <w:cantSplit/>
        </w:trPr>
        <w:tc>
          <w:tcPr>
            <w:tcW w:w="3969" w:type="dxa"/>
            <w:vMerge/>
          </w:tcPr>
          <w:p w14:paraId="060FF799" w14:textId="77777777" w:rsidR="00CD4FF2" w:rsidRPr="00BB6FD8" w:rsidRDefault="00CD4FF2" w:rsidP="00CD4FF2">
            <w:pPr>
              <w:tabs>
                <w:tab w:val="left" w:pos="851"/>
              </w:tabs>
              <w:spacing w:line="240" w:lineRule="atLeast"/>
              <w:rPr>
                <w:b/>
              </w:rPr>
            </w:pPr>
          </w:p>
        </w:tc>
        <w:tc>
          <w:tcPr>
            <w:tcW w:w="5245" w:type="dxa"/>
          </w:tcPr>
          <w:p w14:paraId="2D9A5B76" w14:textId="293DCE1A" w:rsidR="00CD4FF2" w:rsidRPr="00666D09" w:rsidRDefault="00CD4FF2" w:rsidP="00CD4FF2">
            <w:pPr>
              <w:tabs>
                <w:tab w:val="left" w:pos="851"/>
              </w:tabs>
              <w:spacing w:before="0"/>
              <w:jc w:val="right"/>
              <w:rPr>
                <w:b/>
                <w:lang w:val="en-GB"/>
              </w:rPr>
            </w:pPr>
            <w:r w:rsidRPr="00C537A9">
              <w:rPr>
                <w:b/>
                <w:bCs/>
                <w:color w:val="000000"/>
                <w:lang w:val="es-ES" w:eastAsia="ko-KR"/>
              </w:rPr>
              <w:t>27 de marzo de 2026</w:t>
            </w:r>
          </w:p>
        </w:tc>
      </w:tr>
      <w:tr w:rsidR="00CD4FF2" w:rsidRPr="00BB6FD8" w14:paraId="32BCC4FE" w14:textId="77777777" w:rsidTr="00C4421B">
        <w:trPr>
          <w:cantSplit/>
          <w:trHeight w:val="23"/>
        </w:trPr>
        <w:tc>
          <w:tcPr>
            <w:tcW w:w="3969" w:type="dxa"/>
            <w:vMerge/>
          </w:tcPr>
          <w:p w14:paraId="21FB9887" w14:textId="77777777" w:rsidR="00CD4FF2" w:rsidRPr="00666D09" w:rsidRDefault="00CD4FF2" w:rsidP="00CD4FF2">
            <w:pPr>
              <w:tabs>
                <w:tab w:val="left" w:pos="851"/>
              </w:tabs>
              <w:spacing w:line="240" w:lineRule="atLeast"/>
              <w:rPr>
                <w:b/>
                <w:lang w:val="en-GB"/>
              </w:rPr>
            </w:pPr>
          </w:p>
        </w:tc>
        <w:tc>
          <w:tcPr>
            <w:tcW w:w="5245" w:type="dxa"/>
          </w:tcPr>
          <w:p w14:paraId="4C173E45" w14:textId="20B987FB" w:rsidR="00CD4FF2" w:rsidRPr="00BB6FD8" w:rsidRDefault="00CD4FF2" w:rsidP="00CD4FF2">
            <w:pPr>
              <w:tabs>
                <w:tab w:val="left" w:pos="851"/>
              </w:tabs>
              <w:spacing w:before="0" w:line="240" w:lineRule="atLeast"/>
              <w:jc w:val="right"/>
              <w:rPr>
                <w:b/>
                <w:bCs/>
              </w:rPr>
            </w:pPr>
            <w:r w:rsidRPr="00C537A9">
              <w:rPr>
                <w:b/>
                <w:bCs/>
                <w:color w:val="000000"/>
                <w:lang w:val="es-ES" w:eastAsia="ko-KR"/>
              </w:rPr>
              <w:t>Original: inglés</w:t>
            </w:r>
          </w:p>
        </w:tc>
      </w:tr>
      <w:tr w:rsidR="00FE57F6" w:rsidRPr="00BB6FD8" w14:paraId="5004F440" w14:textId="77777777" w:rsidTr="00C4421B">
        <w:trPr>
          <w:cantSplit/>
          <w:trHeight w:val="23"/>
        </w:trPr>
        <w:tc>
          <w:tcPr>
            <w:tcW w:w="3969" w:type="dxa"/>
          </w:tcPr>
          <w:p w14:paraId="0EDE1BA5" w14:textId="77777777" w:rsidR="00FE57F6" w:rsidRPr="00BB6FD8" w:rsidRDefault="00FE57F6" w:rsidP="00C4421B">
            <w:pPr>
              <w:tabs>
                <w:tab w:val="left" w:pos="851"/>
              </w:tabs>
              <w:spacing w:line="240" w:lineRule="atLeast"/>
              <w:rPr>
                <w:b/>
              </w:rPr>
            </w:pPr>
          </w:p>
        </w:tc>
        <w:tc>
          <w:tcPr>
            <w:tcW w:w="5245" w:type="dxa"/>
          </w:tcPr>
          <w:p w14:paraId="79D73479" w14:textId="77777777" w:rsidR="00FE57F6" w:rsidRPr="00BB6FD8" w:rsidRDefault="00FE57F6" w:rsidP="00C4421B">
            <w:pPr>
              <w:tabs>
                <w:tab w:val="left" w:pos="851"/>
              </w:tabs>
              <w:spacing w:before="0" w:line="240" w:lineRule="atLeast"/>
              <w:jc w:val="right"/>
              <w:rPr>
                <w:b/>
              </w:rPr>
            </w:pPr>
          </w:p>
        </w:tc>
      </w:tr>
      <w:tr w:rsidR="00FE57F6" w:rsidRPr="00984FD9" w14:paraId="512CCC32" w14:textId="77777777" w:rsidTr="00C4421B">
        <w:trPr>
          <w:cantSplit/>
        </w:trPr>
        <w:tc>
          <w:tcPr>
            <w:tcW w:w="9214" w:type="dxa"/>
            <w:gridSpan w:val="2"/>
            <w:tcMar>
              <w:left w:w="0" w:type="dxa"/>
            </w:tcMar>
          </w:tcPr>
          <w:p w14:paraId="691B2379" w14:textId="64A0BEF9" w:rsidR="00FE57F6" w:rsidRPr="001B66DB" w:rsidRDefault="00CD4FF2" w:rsidP="001B66DB">
            <w:pPr>
              <w:pStyle w:val="Source"/>
              <w:framePr w:hSpace="0" w:wrap="auto" w:vAnchor="margin" w:hAnchor="text" w:xAlign="left" w:yAlign="inline"/>
            </w:pPr>
            <w:r w:rsidRPr="001B66DB">
              <w:t>Informe de la Presidenta del Grupo de Trabajo del Consejo sobre Recursos Humanos y Financieros</w:t>
            </w:r>
          </w:p>
        </w:tc>
      </w:tr>
      <w:tr w:rsidR="00FE57F6" w:rsidRPr="00984FD9" w14:paraId="7B5FC3FA" w14:textId="77777777" w:rsidTr="00C4421B">
        <w:trPr>
          <w:cantSplit/>
        </w:trPr>
        <w:tc>
          <w:tcPr>
            <w:tcW w:w="9214" w:type="dxa"/>
            <w:gridSpan w:val="2"/>
            <w:tcMar>
              <w:left w:w="0" w:type="dxa"/>
            </w:tcMar>
          </w:tcPr>
          <w:p w14:paraId="3EA281F1" w14:textId="0242EEE1" w:rsidR="00FE57F6" w:rsidRPr="00CD4FF2" w:rsidRDefault="001B66DB" w:rsidP="00C4421B">
            <w:pPr>
              <w:pStyle w:val="Subtitle"/>
              <w:framePr w:hSpace="0" w:wrap="auto" w:hAnchor="text" w:xAlign="left" w:yAlign="inline"/>
              <w:rPr>
                <w:lang w:val="es-ES"/>
              </w:rPr>
            </w:pPr>
            <w:r w:rsidRPr="00C537A9">
              <w:rPr>
                <w:color w:val="000000"/>
                <w:lang w:val="es-ES" w:eastAsia="ko-KR"/>
              </w:rPr>
              <w:t>INFORME SOBRE LOS RESULTADOS DE LAS REUNIONES 21</w:t>
            </w:r>
            <w:r>
              <w:rPr>
                <w:color w:val="000000"/>
                <w:lang w:val="es-ES" w:eastAsia="ko-KR"/>
              </w:rPr>
              <w:t>.</w:t>
            </w:r>
            <w:r w:rsidRPr="00C537A9">
              <w:rPr>
                <w:color w:val="000000"/>
                <w:lang w:val="es-ES" w:eastAsia="ko-KR"/>
              </w:rPr>
              <w:t>ª Y 22</w:t>
            </w:r>
            <w:r>
              <w:rPr>
                <w:color w:val="000000"/>
                <w:lang w:val="es-ES" w:eastAsia="ko-KR"/>
              </w:rPr>
              <w:t>.</w:t>
            </w:r>
            <w:r w:rsidRPr="00C537A9">
              <w:rPr>
                <w:color w:val="000000"/>
                <w:lang w:val="es-ES" w:eastAsia="ko-KR"/>
              </w:rPr>
              <w:t>ª DEL GRUPO DE TRABAJO DEL CONSEJO SOBRE RECURSOS HUMANOS Y FINANCIEROS</w:t>
            </w:r>
          </w:p>
        </w:tc>
      </w:tr>
      <w:tr w:rsidR="00FE57F6" w:rsidRPr="00984FD9" w14:paraId="3AABCA7E" w14:textId="77777777" w:rsidTr="00C4421B">
        <w:trPr>
          <w:cantSplit/>
        </w:trPr>
        <w:tc>
          <w:tcPr>
            <w:tcW w:w="9214" w:type="dxa"/>
            <w:gridSpan w:val="2"/>
            <w:tcBorders>
              <w:top w:val="single" w:sz="4" w:space="0" w:color="auto"/>
              <w:bottom w:val="single" w:sz="4" w:space="0" w:color="auto"/>
            </w:tcBorders>
            <w:tcMar>
              <w:left w:w="0" w:type="dxa"/>
            </w:tcMar>
          </w:tcPr>
          <w:p w14:paraId="23EE4E53" w14:textId="77777777" w:rsidR="00FE57F6" w:rsidRPr="000C7392" w:rsidRDefault="00F24B71" w:rsidP="00C4421B">
            <w:pPr>
              <w:spacing w:before="160"/>
              <w:rPr>
                <w:b/>
                <w:bCs/>
                <w:sz w:val="26"/>
                <w:szCs w:val="26"/>
                <w:lang w:val="es-ES"/>
              </w:rPr>
            </w:pPr>
            <w:r w:rsidRPr="000C7392">
              <w:rPr>
                <w:b/>
                <w:bCs/>
                <w:sz w:val="26"/>
                <w:szCs w:val="26"/>
                <w:lang w:val="es-ES"/>
              </w:rPr>
              <w:t>Finalidad</w:t>
            </w:r>
          </w:p>
          <w:p w14:paraId="4B40C272" w14:textId="3C81B305" w:rsidR="00CD4FF2" w:rsidRDefault="00CD4FF2" w:rsidP="002B1EB7">
            <w:pPr>
              <w:jc w:val="both"/>
              <w:rPr>
                <w:color w:val="000000"/>
                <w:lang w:val="es-ES" w:eastAsia="ko-KR"/>
              </w:rPr>
            </w:pPr>
            <w:r w:rsidRPr="00C537A9">
              <w:rPr>
                <w:color w:val="000000"/>
                <w:lang w:val="es-ES" w:eastAsia="ko-KR"/>
              </w:rPr>
              <w:t xml:space="preserve">Este documento presenta las recomendaciones emitidas tras las deliberaciones de las reuniones que el GTC-RHF </w:t>
            </w:r>
            <w:r w:rsidR="001B66DB" w:rsidRPr="00C537A9">
              <w:rPr>
                <w:color w:val="000000"/>
                <w:lang w:val="es-ES" w:eastAsia="ko-KR"/>
              </w:rPr>
              <w:t xml:space="preserve">celebró </w:t>
            </w:r>
            <w:r w:rsidRPr="00C537A9">
              <w:rPr>
                <w:color w:val="000000"/>
                <w:lang w:val="es-ES" w:eastAsia="ko-KR"/>
              </w:rPr>
              <w:t xml:space="preserve">del 10 al 12 de septiembre de 2025 y del 14 al 16 de enero de 2026, respectivamente. Los informes completos de estas reuniones pueden consultarse en los Documentos </w:t>
            </w:r>
            <w:hyperlink r:id="rId7" w:history="1">
              <w:proofErr w:type="spellStart"/>
              <w:r w:rsidR="0080016D" w:rsidRPr="000C7392">
                <w:rPr>
                  <w:rStyle w:val="Hyperlink"/>
                  <w:lang w:val="es-ES"/>
                </w:rPr>
                <w:t>CWG</w:t>
              </w:r>
              <w:proofErr w:type="spellEnd"/>
              <w:r w:rsidR="0080016D" w:rsidRPr="000C7392">
                <w:rPr>
                  <w:rStyle w:val="Hyperlink"/>
                  <w:lang w:val="es-ES"/>
                </w:rPr>
                <w:noBreakHyphen/>
              </w:r>
              <w:proofErr w:type="spellStart"/>
              <w:r w:rsidR="0080016D" w:rsidRPr="000C7392">
                <w:rPr>
                  <w:rStyle w:val="Hyperlink"/>
                  <w:lang w:val="es-ES"/>
                </w:rPr>
                <w:t>FHR</w:t>
              </w:r>
              <w:proofErr w:type="spellEnd"/>
              <w:r w:rsidR="0080016D" w:rsidRPr="000C7392">
                <w:rPr>
                  <w:rStyle w:val="Hyperlink"/>
                  <w:lang w:val="es-ES"/>
                </w:rPr>
                <w:t>-21/</w:t>
              </w:r>
              <w:proofErr w:type="spellStart"/>
              <w:r w:rsidR="0080016D" w:rsidRPr="000C7392">
                <w:rPr>
                  <w:rStyle w:val="Hyperlink"/>
                  <w:lang w:val="es-ES"/>
                </w:rPr>
                <w:t>25</w:t>
              </w:r>
            </w:hyperlink>
            <w:r w:rsidRPr="00C537A9">
              <w:rPr>
                <w:color w:val="000000"/>
                <w:lang w:val="es-ES" w:eastAsia="ko-KR"/>
              </w:rPr>
              <w:t>y</w:t>
            </w:r>
            <w:proofErr w:type="spellEnd"/>
            <w:r w:rsidRPr="00C537A9">
              <w:rPr>
                <w:color w:val="000000"/>
                <w:lang w:val="es-ES" w:eastAsia="ko-KR"/>
              </w:rPr>
              <w:t xml:space="preserve"> </w:t>
            </w:r>
            <w:hyperlink r:id="rId8" w:history="1">
              <w:proofErr w:type="spellStart"/>
              <w:r w:rsidR="0080016D" w:rsidRPr="000C7392">
                <w:rPr>
                  <w:rStyle w:val="Hyperlink"/>
                  <w:lang w:val="es-ES"/>
                </w:rPr>
                <w:t>CWG</w:t>
              </w:r>
              <w:proofErr w:type="spellEnd"/>
              <w:r w:rsidR="0080016D" w:rsidRPr="000C7392">
                <w:rPr>
                  <w:rStyle w:val="Hyperlink"/>
                  <w:lang w:val="es-ES"/>
                </w:rPr>
                <w:t>-</w:t>
              </w:r>
              <w:proofErr w:type="spellStart"/>
              <w:r w:rsidR="0080016D" w:rsidRPr="000C7392">
                <w:rPr>
                  <w:rStyle w:val="Hyperlink"/>
                  <w:lang w:val="es-ES"/>
                </w:rPr>
                <w:t>FHR</w:t>
              </w:r>
              <w:proofErr w:type="spellEnd"/>
              <w:r w:rsidR="0080016D" w:rsidRPr="000C7392">
                <w:rPr>
                  <w:rStyle w:val="Hyperlink"/>
                  <w:lang w:val="es-ES"/>
                </w:rPr>
                <w:t>-22/36</w:t>
              </w:r>
            </w:hyperlink>
            <w:r w:rsidRPr="00C537A9">
              <w:rPr>
                <w:color w:val="000000"/>
                <w:lang w:val="es-ES" w:eastAsia="ko-KR"/>
              </w:rPr>
              <w:t>.</w:t>
            </w:r>
          </w:p>
          <w:p w14:paraId="0920C506" w14:textId="23FA0FE6" w:rsidR="00FE57F6" w:rsidRPr="000C7392" w:rsidRDefault="00F24B71" w:rsidP="00C4421B">
            <w:pPr>
              <w:spacing w:before="160"/>
              <w:rPr>
                <w:b/>
                <w:bCs/>
                <w:sz w:val="26"/>
                <w:szCs w:val="26"/>
                <w:lang w:val="es-ES"/>
              </w:rPr>
            </w:pPr>
            <w:r w:rsidRPr="000C7392">
              <w:rPr>
                <w:b/>
                <w:bCs/>
                <w:sz w:val="26"/>
                <w:szCs w:val="26"/>
                <w:lang w:val="es-ES"/>
              </w:rPr>
              <w:t xml:space="preserve">Acción solicitada </w:t>
            </w:r>
            <w:r w:rsidR="00677A97" w:rsidRPr="000C7392">
              <w:rPr>
                <w:b/>
                <w:bCs/>
                <w:sz w:val="26"/>
                <w:szCs w:val="26"/>
                <w:lang w:val="es-ES"/>
              </w:rPr>
              <w:t>al</w:t>
            </w:r>
            <w:r w:rsidRPr="000C7392">
              <w:rPr>
                <w:b/>
                <w:bCs/>
                <w:sz w:val="26"/>
                <w:szCs w:val="26"/>
                <w:lang w:val="es-ES"/>
              </w:rPr>
              <w:t xml:space="preserve"> Consejo</w:t>
            </w:r>
          </w:p>
          <w:p w14:paraId="2E37EC09" w14:textId="77777777" w:rsidR="00CD4FF2" w:rsidRDefault="00CD4FF2" w:rsidP="002B1EB7">
            <w:pPr>
              <w:jc w:val="both"/>
              <w:rPr>
                <w:color w:val="000000"/>
                <w:lang w:val="es-ES" w:eastAsia="ko-KR"/>
              </w:rPr>
            </w:pPr>
            <w:r w:rsidRPr="00C537A9">
              <w:rPr>
                <w:color w:val="000000"/>
                <w:lang w:val="es-ES" w:eastAsia="ko-KR"/>
              </w:rPr>
              <w:t xml:space="preserve">Se invita al Consejo a </w:t>
            </w:r>
            <w:r w:rsidRPr="00C537A9">
              <w:rPr>
                <w:b/>
                <w:bCs/>
                <w:color w:val="000000"/>
                <w:lang w:val="es-ES" w:eastAsia="ko-KR"/>
              </w:rPr>
              <w:t xml:space="preserve">tomar nota </w:t>
            </w:r>
            <w:r w:rsidRPr="00C537A9">
              <w:rPr>
                <w:color w:val="000000"/>
                <w:lang w:val="es-ES" w:eastAsia="ko-KR"/>
              </w:rPr>
              <w:t xml:space="preserve">de los trabajos del GTC-RHF y a </w:t>
            </w:r>
            <w:r w:rsidRPr="00C537A9">
              <w:rPr>
                <w:b/>
                <w:bCs/>
                <w:color w:val="000000"/>
                <w:lang w:val="es-ES" w:eastAsia="ko-KR"/>
              </w:rPr>
              <w:t xml:space="preserve">considerar </w:t>
            </w:r>
            <w:r w:rsidRPr="00C537A9">
              <w:rPr>
                <w:color w:val="000000"/>
                <w:lang w:val="es-ES" w:eastAsia="ko-KR"/>
              </w:rPr>
              <w:t xml:space="preserve">las recomendaciones que figuran en el Anexo A del presente Informe. </w:t>
            </w:r>
          </w:p>
          <w:p w14:paraId="48D61946" w14:textId="74BA6815" w:rsidR="00F92BED" w:rsidRPr="00F24B71" w:rsidRDefault="00F92BED" w:rsidP="00C4421B">
            <w:pPr>
              <w:spacing w:before="160"/>
              <w:rPr>
                <w:b/>
                <w:bCs/>
                <w:sz w:val="26"/>
                <w:szCs w:val="26"/>
                <w:lang w:val="es-ES"/>
              </w:rPr>
            </w:pPr>
            <w:r w:rsidRPr="00F24B71">
              <w:rPr>
                <w:b/>
                <w:bCs/>
                <w:sz w:val="26"/>
                <w:szCs w:val="26"/>
                <w:lang w:val="es-ES"/>
              </w:rPr>
              <w:t>Vínculo</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pertinente</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con el Plan Estratégico</w:t>
            </w:r>
          </w:p>
          <w:p w14:paraId="354CA812" w14:textId="77777777" w:rsidR="00CD4FF2" w:rsidRDefault="00CD4FF2" w:rsidP="002B1EB7">
            <w:pPr>
              <w:jc w:val="both"/>
              <w:rPr>
                <w:color w:val="000000"/>
                <w:lang w:val="es-ES" w:eastAsia="ko-KR"/>
              </w:rPr>
            </w:pPr>
            <w:r w:rsidRPr="00C537A9">
              <w:rPr>
                <w:color w:val="000000"/>
                <w:lang w:val="es-ES" w:eastAsia="ko-KR"/>
              </w:rPr>
              <w:t>Plataformas de reunión; excelencia en los recursos humanos e innovación institucional.</w:t>
            </w:r>
          </w:p>
          <w:p w14:paraId="5354CA5B" w14:textId="2C4A3128" w:rsidR="00F92BED" w:rsidRPr="000C7392" w:rsidRDefault="00F92BED" w:rsidP="00C4421B">
            <w:pPr>
              <w:spacing w:before="160"/>
              <w:rPr>
                <w:b/>
                <w:bCs/>
                <w:sz w:val="26"/>
                <w:szCs w:val="26"/>
                <w:lang w:val="es-ES"/>
              </w:rPr>
            </w:pPr>
            <w:r w:rsidRPr="000C7392">
              <w:rPr>
                <w:b/>
                <w:bCs/>
                <w:sz w:val="26"/>
                <w:szCs w:val="26"/>
                <w:lang w:val="es-ES"/>
              </w:rPr>
              <w:t>Repercusiones financieras</w:t>
            </w:r>
          </w:p>
          <w:p w14:paraId="119A148D" w14:textId="77777777" w:rsidR="00CD4FF2" w:rsidRDefault="00CD4FF2" w:rsidP="002B1EB7">
            <w:pPr>
              <w:rPr>
                <w:color w:val="000000"/>
                <w:lang w:val="es-ES" w:eastAsia="ko-KR"/>
              </w:rPr>
            </w:pPr>
            <w:r w:rsidRPr="00C537A9">
              <w:rPr>
                <w:color w:val="000000"/>
                <w:lang w:val="es-ES" w:eastAsia="ko-KR"/>
              </w:rPr>
              <w:t>Con cargo al presupuesto asignado para 2025-2026.</w:t>
            </w:r>
          </w:p>
          <w:p w14:paraId="1F582A51" w14:textId="0E2A8E19" w:rsidR="00FE57F6" w:rsidRPr="000C7392" w:rsidRDefault="00FE57F6" w:rsidP="00C4421B">
            <w:pPr>
              <w:spacing w:before="160"/>
              <w:rPr>
                <w:caps/>
                <w:sz w:val="22"/>
                <w:lang w:val="es-ES"/>
              </w:rPr>
            </w:pPr>
            <w:r w:rsidRPr="000C7392">
              <w:rPr>
                <w:sz w:val="22"/>
                <w:lang w:val="es-ES"/>
              </w:rPr>
              <w:t>__________________</w:t>
            </w:r>
          </w:p>
          <w:p w14:paraId="145C154F" w14:textId="77777777" w:rsidR="00FE57F6" w:rsidRPr="000C7392" w:rsidRDefault="00F24B71" w:rsidP="00C4421B">
            <w:pPr>
              <w:spacing w:before="160"/>
              <w:rPr>
                <w:b/>
                <w:bCs/>
                <w:sz w:val="26"/>
                <w:szCs w:val="26"/>
                <w:lang w:val="es-ES"/>
              </w:rPr>
            </w:pPr>
            <w:r w:rsidRPr="000C7392">
              <w:rPr>
                <w:b/>
                <w:bCs/>
                <w:sz w:val="26"/>
                <w:szCs w:val="26"/>
                <w:lang w:val="es-ES"/>
              </w:rPr>
              <w:t>Referencia</w:t>
            </w:r>
            <w:r w:rsidR="00F92BED" w:rsidRPr="000C7392">
              <w:rPr>
                <w:b/>
                <w:bCs/>
                <w:sz w:val="26"/>
                <w:szCs w:val="26"/>
                <w:lang w:val="es-ES"/>
              </w:rPr>
              <w:t>s</w:t>
            </w:r>
            <w:r w:rsidR="00D375E0" w:rsidRPr="000C7392">
              <w:rPr>
                <w:sz w:val="26"/>
                <w:szCs w:val="26"/>
                <w:lang w:val="es-ES"/>
              </w:rPr>
              <w:t xml:space="preserve"> </w:t>
            </w:r>
          </w:p>
          <w:p w14:paraId="2BAA2DCD" w14:textId="2A17E444" w:rsidR="00FE57F6" w:rsidRPr="002B1EB7" w:rsidRDefault="00CD4FF2" w:rsidP="00C4421B">
            <w:pPr>
              <w:spacing w:after="160"/>
              <w:rPr>
                <w:i/>
                <w:iCs/>
                <w:sz w:val="22"/>
                <w:szCs w:val="22"/>
                <w:lang w:val="es-ES"/>
              </w:rPr>
            </w:pPr>
            <w:hyperlink r:id="rId9" w:history="1">
              <w:r w:rsidRPr="002B1EB7">
                <w:rPr>
                  <w:rStyle w:val="Hyperlink"/>
                  <w:i/>
                  <w:iCs/>
                  <w:sz w:val="22"/>
                  <w:lang w:val="es-ES"/>
                </w:rPr>
                <w:t>Acuerdo 563 (Mod. 2023) del Consej</w:t>
              </w:r>
              <w:r w:rsidRPr="002B1EB7">
                <w:rPr>
                  <w:rStyle w:val="Hyperlink"/>
                  <w:sz w:val="22"/>
                  <w:lang w:val="es-ES"/>
                </w:rPr>
                <w:t>o</w:t>
              </w:r>
            </w:hyperlink>
          </w:p>
        </w:tc>
      </w:tr>
      <w:bookmarkEnd w:id="0"/>
    </w:tbl>
    <w:p w14:paraId="6B842660" w14:textId="77777777" w:rsidR="00093EEB" w:rsidRPr="000C7392" w:rsidRDefault="00093EEB">
      <w:pPr>
        <w:rPr>
          <w:lang w:val="es-ES"/>
        </w:rPr>
      </w:pPr>
    </w:p>
    <w:p w14:paraId="47C13293" w14:textId="77777777" w:rsidR="001559F5" w:rsidRPr="000C7392"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0C7392">
        <w:rPr>
          <w:lang w:val="es-ES"/>
        </w:rPr>
        <w:br w:type="page"/>
      </w:r>
    </w:p>
    <w:p w14:paraId="07F7F0CA" w14:textId="663FFE89" w:rsidR="00CD4FF2" w:rsidRPr="00C537A9" w:rsidRDefault="00CD4FF2" w:rsidP="00973B55">
      <w:pPr>
        <w:jc w:val="both"/>
        <w:rPr>
          <w:rFonts w:cs="Calibri"/>
          <w:lang w:val="es-ES" w:eastAsia="ko-KR"/>
        </w:rPr>
      </w:pPr>
      <w:r w:rsidRPr="00C537A9">
        <w:rPr>
          <w:lang w:val="es-ES" w:eastAsia="ko-KR"/>
        </w:rPr>
        <w:lastRenderedPageBreak/>
        <w:t xml:space="preserve">El Grupo de Trabajo del Consejo sobre Recursos Humanos y Financieros (GTC-RHF) está presidido por la Sra. Vernita D. Harris (Estados Unidos de América), asistida por seis Vicepresidentes, a saber: </w:t>
      </w:r>
      <w:proofErr w:type="spellStart"/>
      <w:r w:rsidRPr="00C537A9">
        <w:rPr>
          <w:lang w:val="es-ES" w:eastAsia="ko-KR"/>
        </w:rPr>
        <w:t>AFR</w:t>
      </w:r>
      <w:proofErr w:type="spellEnd"/>
      <w:r w:rsidRPr="00C537A9">
        <w:rPr>
          <w:lang w:val="es-ES" w:eastAsia="ko-KR"/>
        </w:rPr>
        <w:t xml:space="preserve"> – Sra. Seynabou Cisse Seck (Senegal); AMS – Sr. Ronaldo Moura (Brasil); ARB – Sra. Noha Gaafar (Egipto); ASP – Sra.</w:t>
      </w:r>
      <w:r w:rsidR="007E0CBE">
        <w:rPr>
          <w:lang w:val="es-ES" w:eastAsia="ko-KR"/>
        </w:rPr>
        <w:t> </w:t>
      </w:r>
      <w:r w:rsidRPr="00C537A9">
        <w:rPr>
          <w:lang w:val="es-ES" w:eastAsia="ko-KR"/>
        </w:rPr>
        <w:t>Min Jung Park (Corea (República de)); CEI</w:t>
      </w:r>
      <w:r w:rsidR="0082134B">
        <w:rPr>
          <w:lang w:val="es-ES" w:eastAsia="ko-KR"/>
        </w:rPr>
        <w:t> </w:t>
      </w:r>
      <w:r w:rsidRPr="00C537A9">
        <w:rPr>
          <w:lang w:val="es-ES" w:eastAsia="ko-KR"/>
        </w:rPr>
        <w:t>–</w:t>
      </w:r>
      <w:r w:rsidR="0082134B">
        <w:rPr>
          <w:lang w:val="es-ES" w:eastAsia="ko-KR"/>
        </w:rPr>
        <w:t> </w:t>
      </w:r>
      <w:r w:rsidRPr="00C537A9">
        <w:rPr>
          <w:lang w:val="es-ES" w:eastAsia="ko-KR"/>
        </w:rPr>
        <w:t>Sr. Erzhan Meiramov (Kazajstán); EUR – Sr.</w:t>
      </w:r>
      <w:r w:rsidR="007E0CBE">
        <w:rPr>
          <w:lang w:val="es-ES" w:eastAsia="ko-KR"/>
        </w:rPr>
        <w:t> </w:t>
      </w:r>
      <w:r w:rsidRPr="00C537A9">
        <w:rPr>
          <w:lang w:val="es-ES" w:eastAsia="ko-KR"/>
        </w:rPr>
        <w:t>Szabolcs Szentléleky (Hungría).</w:t>
      </w:r>
    </w:p>
    <w:p w14:paraId="4DDD1E38" w14:textId="77777777" w:rsidR="00CD4FF2" w:rsidRPr="00C537A9" w:rsidRDefault="00CD4FF2" w:rsidP="000C7392">
      <w:pPr>
        <w:pStyle w:val="Heading1"/>
        <w:spacing w:before="240"/>
        <w:rPr>
          <w:lang w:val="es-ES" w:eastAsia="ko-KR"/>
        </w:rPr>
      </w:pPr>
      <w:r w:rsidRPr="00C537A9">
        <w:rPr>
          <w:bCs/>
          <w:lang w:val="es-ES" w:eastAsia="ko-KR"/>
        </w:rPr>
        <w:t>1</w:t>
      </w:r>
      <w:r w:rsidRPr="00C537A9">
        <w:rPr>
          <w:lang w:val="es-ES" w:eastAsia="ko-KR"/>
        </w:rPr>
        <w:tab/>
      </w:r>
      <w:r w:rsidRPr="00C537A9">
        <w:rPr>
          <w:bCs/>
          <w:lang w:val="es-ES" w:eastAsia="ko-KR"/>
        </w:rPr>
        <w:t>Declaración del Consejo de Personal (presentación oral)</w:t>
      </w:r>
    </w:p>
    <w:p w14:paraId="36DD23F5" w14:textId="323F37DB" w:rsidR="00CD4FF2" w:rsidRPr="00C537A9" w:rsidRDefault="00CD4FF2" w:rsidP="00973B55">
      <w:pPr>
        <w:jc w:val="both"/>
        <w:rPr>
          <w:lang w:val="es-ES" w:eastAsia="ko-KR"/>
        </w:rPr>
      </w:pPr>
      <w:r w:rsidRPr="00C537A9">
        <w:rPr>
          <w:lang w:val="es-ES" w:eastAsia="ko-KR"/>
        </w:rPr>
        <w:t>1.1</w:t>
      </w:r>
      <w:r w:rsidRPr="00C537A9">
        <w:rPr>
          <w:lang w:val="es-ES" w:eastAsia="ko-KR"/>
        </w:rPr>
        <w:tab/>
        <w:t>En la 21</w:t>
      </w:r>
      <w:r w:rsidR="0000149E">
        <w:rPr>
          <w:lang w:val="es-ES" w:eastAsia="ko-KR"/>
        </w:rPr>
        <w:t>.</w:t>
      </w:r>
      <w:r w:rsidRPr="00C537A9">
        <w:rPr>
          <w:lang w:val="es-ES" w:eastAsia="ko-KR"/>
        </w:rPr>
        <w:t>ª reunión del GTC-RHF celebrada en septiembre de 2025, el Presidente del Consejo de Personal, Sr.</w:t>
      </w:r>
      <w:r w:rsidR="007E0CBE">
        <w:rPr>
          <w:lang w:val="es-ES" w:eastAsia="ko-KR"/>
        </w:rPr>
        <w:t> </w:t>
      </w:r>
      <w:r w:rsidRPr="00C537A9">
        <w:rPr>
          <w:lang w:val="es-ES" w:eastAsia="ko-KR"/>
        </w:rPr>
        <w:t>Onder Cetinkaya, realizó una declaración, disponible como Documento </w:t>
      </w:r>
      <w:proofErr w:type="spellStart"/>
      <w:r>
        <w:fldChar w:fldCharType="begin"/>
      </w:r>
      <w:r w:rsidRPr="00984FD9">
        <w:rPr>
          <w:lang w:val="es-ES"/>
        </w:rPr>
        <w:instrText>HYPERLINK "https://www.itu.int/md/S25-CWGFHR21-INF-0003/es"</w:instrText>
      </w:r>
      <w:r>
        <w:fldChar w:fldCharType="separate"/>
      </w:r>
      <w:r w:rsidRPr="00C537A9">
        <w:rPr>
          <w:rStyle w:val="Hyperlink"/>
          <w:rFonts w:eastAsia="Aptos"/>
          <w:lang w:val="es-ES" w:eastAsia="ko-KR"/>
        </w:rPr>
        <w:t>CWG</w:t>
      </w:r>
      <w:proofErr w:type="spellEnd"/>
      <w:r w:rsidRPr="00C537A9">
        <w:rPr>
          <w:rStyle w:val="Hyperlink"/>
          <w:rFonts w:eastAsia="Aptos"/>
          <w:lang w:val="es-ES" w:eastAsia="ko-KR"/>
        </w:rPr>
        <w:t>-</w:t>
      </w:r>
      <w:proofErr w:type="spellStart"/>
      <w:r w:rsidRPr="00C537A9">
        <w:rPr>
          <w:rStyle w:val="Hyperlink"/>
          <w:rFonts w:eastAsia="Aptos"/>
          <w:lang w:val="es-ES" w:eastAsia="ko-KR"/>
        </w:rPr>
        <w:t>FHR</w:t>
      </w:r>
      <w:proofErr w:type="spellEnd"/>
      <w:r w:rsidRPr="00C537A9">
        <w:rPr>
          <w:rStyle w:val="Hyperlink"/>
          <w:rFonts w:eastAsia="Aptos"/>
          <w:lang w:val="es-ES" w:eastAsia="ko-KR"/>
        </w:rPr>
        <w:t>-21/INF/3</w:t>
      </w:r>
      <w:r>
        <w:fldChar w:fldCharType="end"/>
      </w:r>
      <w:r w:rsidRPr="00C537A9">
        <w:rPr>
          <w:lang w:val="es-ES" w:eastAsia="ko-KR"/>
        </w:rPr>
        <w:t>.</w:t>
      </w:r>
      <w:hyperlink r:id="rId10" w:history="1"/>
    </w:p>
    <w:p w14:paraId="5CB95122" w14:textId="039386A8" w:rsidR="00CD4FF2" w:rsidRPr="00C537A9" w:rsidRDefault="00CD4FF2" w:rsidP="00973B55">
      <w:pPr>
        <w:jc w:val="both"/>
        <w:rPr>
          <w:lang w:val="es-ES" w:eastAsia="ko-KR"/>
        </w:rPr>
      </w:pPr>
      <w:r w:rsidRPr="00C537A9">
        <w:rPr>
          <w:lang w:val="es-ES" w:eastAsia="ko-KR"/>
        </w:rPr>
        <w:t>1.2</w:t>
      </w:r>
      <w:r w:rsidRPr="00C537A9">
        <w:rPr>
          <w:lang w:val="es-ES" w:eastAsia="ko-KR"/>
        </w:rPr>
        <w:tab/>
        <w:t>En la 22</w:t>
      </w:r>
      <w:r w:rsidR="0000149E">
        <w:rPr>
          <w:lang w:val="es-ES" w:eastAsia="ko-KR"/>
        </w:rPr>
        <w:t>.</w:t>
      </w:r>
      <w:r w:rsidRPr="00C537A9">
        <w:rPr>
          <w:lang w:val="es-ES" w:eastAsia="ko-KR"/>
        </w:rPr>
        <w:t>ª reunión del GTC-RHF celebrada en enero de 2026, el Presidente del Consejo de Personal, Sr.</w:t>
      </w:r>
      <w:r w:rsidR="007E0CBE">
        <w:rPr>
          <w:lang w:val="es-ES" w:eastAsia="ko-KR"/>
        </w:rPr>
        <w:t> </w:t>
      </w:r>
      <w:r w:rsidRPr="00C537A9">
        <w:rPr>
          <w:lang w:val="es-ES" w:eastAsia="ko-KR"/>
        </w:rPr>
        <w:t>Onder Cetinkaya, realizó una declaración, disponible como Documento</w:t>
      </w:r>
      <w:r w:rsidR="000D41F6">
        <w:rPr>
          <w:lang w:val="es-ES" w:eastAsia="ko-KR"/>
        </w:rPr>
        <w:t> </w:t>
      </w:r>
      <w:proofErr w:type="spellStart"/>
      <w:r>
        <w:fldChar w:fldCharType="begin"/>
      </w:r>
      <w:r w:rsidRPr="00984FD9">
        <w:rPr>
          <w:lang w:val="es-ES"/>
        </w:rPr>
        <w:instrText>HYPERLINK "https://www.itu.int/md/S26-CWGFHR22-INF-0004/es"</w:instrText>
      </w:r>
      <w:r>
        <w:fldChar w:fldCharType="separate"/>
      </w:r>
      <w:r w:rsidRPr="00C537A9">
        <w:rPr>
          <w:rStyle w:val="Hyperlink"/>
          <w:rFonts w:eastAsia="Aptos"/>
          <w:lang w:val="es-ES" w:eastAsia="ko-KR"/>
        </w:rPr>
        <w:t>CWG</w:t>
      </w:r>
      <w:proofErr w:type="spellEnd"/>
      <w:r w:rsidR="0082134B">
        <w:rPr>
          <w:rStyle w:val="Hyperlink"/>
          <w:rFonts w:eastAsia="Aptos"/>
          <w:lang w:val="es-ES" w:eastAsia="ko-KR"/>
        </w:rPr>
        <w:noBreakHyphen/>
      </w:r>
      <w:proofErr w:type="spellStart"/>
      <w:r w:rsidRPr="00C537A9">
        <w:rPr>
          <w:rStyle w:val="Hyperlink"/>
          <w:rFonts w:eastAsia="Aptos"/>
          <w:lang w:val="es-ES" w:eastAsia="ko-KR"/>
        </w:rPr>
        <w:t>FHR</w:t>
      </w:r>
      <w:proofErr w:type="spellEnd"/>
      <w:r w:rsidRPr="00C537A9">
        <w:rPr>
          <w:rStyle w:val="Hyperlink"/>
          <w:rFonts w:eastAsia="Aptos"/>
          <w:lang w:val="es-ES" w:eastAsia="ko-KR"/>
        </w:rPr>
        <w:t>-22/INF/4</w:t>
      </w:r>
      <w:r>
        <w:fldChar w:fldCharType="end"/>
      </w:r>
      <w:r w:rsidRPr="00C537A9">
        <w:rPr>
          <w:lang w:val="es-ES" w:eastAsia="ko-KR"/>
        </w:rPr>
        <w:t>.</w:t>
      </w:r>
      <w:hyperlink r:id="rId11" w:history="1"/>
    </w:p>
    <w:p w14:paraId="4C6A6B1B" w14:textId="77777777" w:rsidR="00CD4FF2" w:rsidRPr="00C537A9" w:rsidRDefault="00CD4FF2" w:rsidP="00973B55">
      <w:pPr>
        <w:pBdr>
          <w:top w:val="single" w:sz="4" w:space="1" w:color="auto"/>
          <w:left w:val="single" w:sz="4" w:space="4" w:color="auto"/>
          <w:bottom w:val="single" w:sz="4" w:space="1" w:color="auto"/>
          <w:right w:val="single" w:sz="4" w:space="4" w:color="auto"/>
        </w:pBdr>
        <w:jc w:val="both"/>
        <w:rPr>
          <w:lang w:val="es-ES" w:eastAsia="ko-KR"/>
        </w:rPr>
      </w:pPr>
      <w:r w:rsidRPr="00C537A9">
        <w:rPr>
          <w:lang w:val="es-ES" w:eastAsia="ko-KR"/>
        </w:rPr>
        <w:t>1.3</w:t>
      </w:r>
      <w:r w:rsidRPr="00C537A9">
        <w:rPr>
          <w:lang w:val="es-ES" w:eastAsia="ko-KR"/>
        </w:rPr>
        <w:tab/>
        <w:t xml:space="preserve">El GTC-RHF </w:t>
      </w:r>
      <w:r w:rsidRPr="00C537A9">
        <w:rPr>
          <w:b/>
          <w:bCs/>
          <w:lang w:val="es-ES" w:eastAsia="ko-KR"/>
        </w:rPr>
        <w:t xml:space="preserve">recomendó </w:t>
      </w:r>
      <w:r w:rsidRPr="00C537A9">
        <w:rPr>
          <w:lang w:val="es-ES" w:eastAsia="ko-KR"/>
        </w:rPr>
        <w:t>a la Secretaría que incluyera en el Informe sobre gestión de recursos humanos una sección específica sobre los problemas de las oficinas regionales y de zona.</w:t>
      </w:r>
    </w:p>
    <w:p w14:paraId="299BB7E9" w14:textId="5469DA97" w:rsidR="00CD4FF2" w:rsidRPr="00C537A9" w:rsidRDefault="00CD4FF2" w:rsidP="000C7392">
      <w:pPr>
        <w:pStyle w:val="Heading1"/>
        <w:spacing w:before="240"/>
        <w:rPr>
          <w:lang w:val="es-ES" w:eastAsia="ko-KR"/>
        </w:rPr>
      </w:pPr>
      <w:r w:rsidRPr="00C537A9">
        <w:rPr>
          <w:bCs/>
          <w:lang w:val="es-ES" w:eastAsia="ko-KR"/>
        </w:rPr>
        <w:t>2</w:t>
      </w:r>
      <w:r w:rsidRPr="00C537A9">
        <w:rPr>
          <w:lang w:val="es-ES" w:eastAsia="ko-KR"/>
        </w:rPr>
        <w:tab/>
      </w:r>
      <w:r w:rsidRPr="00C537A9">
        <w:rPr>
          <w:bCs/>
          <w:lang w:val="es-ES" w:eastAsia="ko-KR"/>
        </w:rPr>
        <w:t>Código de conducta para los eventos de la UIT</w:t>
      </w:r>
      <w:r w:rsidR="0000149E">
        <w:rPr>
          <w:bCs/>
          <w:lang w:val="es-ES" w:eastAsia="ko-KR"/>
        </w:rPr>
        <w:br/>
      </w:r>
      <w:r w:rsidRPr="00C537A9">
        <w:rPr>
          <w:bCs/>
          <w:lang w:val="es-ES" w:eastAsia="ko-KR"/>
        </w:rPr>
        <w:t xml:space="preserve">(Documentos </w:t>
      </w:r>
      <w:hyperlink r:id="rId12" w:history="1">
        <w:proofErr w:type="spellStart"/>
        <w:r w:rsidRPr="00C537A9">
          <w:rPr>
            <w:rStyle w:val="Hyperlink"/>
            <w:rFonts w:cs="Times New Roman Bold"/>
            <w:spacing w:val="-2"/>
            <w:lang w:val="es-ES" w:eastAsia="ko-KR"/>
          </w:rPr>
          <w:t>CWG</w:t>
        </w:r>
        <w:proofErr w:type="spellEnd"/>
        <w:r w:rsidRPr="00C537A9">
          <w:rPr>
            <w:rStyle w:val="Hyperlink"/>
            <w:rFonts w:cs="Times New Roman Bold"/>
            <w:spacing w:val="-2"/>
            <w:lang w:val="es-ES" w:eastAsia="ko-KR"/>
          </w:rPr>
          <w:t>-</w:t>
        </w:r>
        <w:proofErr w:type="spellStart"/>
        <w:r w:rsidRPr="00C537A9">
          <w:rPr>
            <w:rStyle w:val="Hyperlink"/>
            <w:rFonts w:cs="Times New Roman Bold"/>
            <w:spacing w:val="-2"/>
            <w:lang w:val="es-ES" w:eastAsia="ko-KR"/>
          </w:rPr>
          <w:t>FHR</w:t>
        </w:r>
        <w:proofErr w:type="spellEnd"/>
        <w:r w:rsidRPr="00C537A9">
          <w:rPr>
            <w:rStyle w:val="Hyperlink"/>
            <w:rFonts w:cs="Times New Roman Bold"/>
            <w:spacing w:val="-2"/>
            <w:lang w:val="es-ES" w:eastAsia="ko-KR"/>
          </w:rPr>
          <w:t>-21/2</w:t>
        </w:r>
      </w:hyperlink>
      <w:r w:rsidRPr="00C537A9">
        <w:rPr>
          <w:lang w:val="es-ES" w:eastAsia="ko-KR"/>
        </w:rPr>
        <w:t xml:space="preserve">, </w:t>
      </w:r>
      <w:hyperlink r:id="rId13" w:history="1">
        <w:proofErr w:type="spellStart"/>
        <w:r w:rsidRPr="00C537A9">
          <w:rPr>
            <w:rStyle w:val="Hyperlink"/>
            <w:rFonts w:cs="Times New Roman Bold"/>
            <w:spacing w:val="-2"/>
            <w:lang w:val="es-ES" w:eastAsia="ko-KR"/>
          </w:rPr>
          <w:t>CWG</w:t>
        </w:r>
        <w:proofErr w:type="spellEnd"/>
        <w:r w:rsidRPr="00C537A9">
          <w:rPr>
            <w:rStyle w:val="Hyperlink"/>
            <w:rFonts w:cs="Times New Roman Bold"/>
            <w:spacing w:val="-2"/>
            <w:lang w:val="es-ES" w:eastAsia="ko-KR"/>
          </w:rPr>
          <w:t>-</w:t>
        </w:r>
        <w:proofErr w:type="spellStart"/>
        <w:r w:rsidRPr="00C537A9">
          <w:rPr>
            <w:rStyle w:val="Hyperlink"/>
            <w:rFonts w:cs="Times New Roman Bold"/>
            <w:spacing w:val="-2"/>
            <w:lang w:val="es-ES" w:eastAsia="ko-KR"/>
          </w:rPr>
          <w:t>FHR</w:t>
        </w:r>
        <w:proofErr w:type="spellEnd"/>
        <w:r w:rsidRPr="00C537A9">
          <w:rPr>
            <w:rStyle w:val="Hyperlink"/>
            <w:rFonts w:cs="Times New Roman Bold"/>
            <w:spacing w:val="-2"/>
            <w:lang w:val="es-ES" w:eastAsia="ko-KR"/>
          </w:rPr>
          <w:t>-21/INF/2</w:t>
        </w:r>
      </w:hyperlink>
      <w:r w:rsidR="0000149E" w:rsidRPr="000C7392">
        <w:rPr>
          <w:lang w:val="es-ES"/>
        </w:rPr>
        <w:t xml:space="preserve"> </w:t>
      </w:r>
      <w:r w:rsidRPr="00C537A9">
        <w:rPr>
          <w:bCs/>
          <w:lang w:val="es-ES" w:eastAsia="ko-KR"/>
        </w:rPr>
        <w:t>y presentación oral)</w:t>
      </w:r>
      <w:hyperlink r:id="rId14" w:history="1"/>
      <w:hyperlink r:id="rId15" w:history="1"/>
    </w:p>
    <w:p w14:paraId="55EB3BF6" w14:textId="759BD308" w:rsidR="00CD4FF2" w:rsidRPr="00C537A9" w:rsidRDefault="00CD4FF2" w:rsidP="00973B55">
      <w:pPr>
        <w:jc w:val="both"/>
        <w:rPr>
          <w:lang w:val="es-ES" w:eastAsia="ko-KR"/>
        </w:rPr>
      </w:pPr>
      <w:r w:rsidRPr="00C537A9">
        <w:rPr>
          <w:lang w:val="es-ES" w:eastAsia="ko-KR"/>
        </w:rPr>
        <w:t>2.1</w:t>
      </w:r>
      <w:r w:rsidRPr="00C537A9">
        <w:rPr>
          <w:lang w:val="es-ES" w:eastAsia="ko-KR"/>
        </w:rPr>
        <w:tab/>
        <w:t>En la 21</w:t>
      </w:r>
      <w:r w:rsidR="0000149E">
        <w:rPr>
          <w:lang w:val="es-ES" w:eastAsia="ko-KR"/>
        </w:rPr>
        <w:t>.</w:t>
      </w:r>
      <w:r w:rsidRPr="00C537A9">
        <w:rPr>
          <w:lang w:val="es-ES" w:eastAsia="ko-KR"/>
        </w:rPr>
        <w:t>ª reunión del GTC-RHF celebrada en septiembre de 2025, la Secretaría presentó un documento (</w:t>
      </w:r>
      <w:proofErr w:type="spellStart"/>
      <w:r>
        <w:fldChar w:fldCharType="begin"/>
      </w:r>
      <w:r w:rsidRPr="00984FD9">
        <w:rPr>
          <w:lang w:val="es-ES"/>
        </w:rPr>
        <w:instrText>HYPERLINK "https://www.itu.int/md/S25-CWGFHR21-C-0002/es" \h</w:instrText>
      </w:r>
      <w:r>
        <w:fldChar w:fldCharType="separate"/>
      </w:r>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-21/2</w:t>
      </w:r>
      <w:r>
        <w:fldChar w:fldCharType="end"/>
      </w:r>
      <w:r w:rsidRPr="00C537A9">
        <w:rPr>
          <w:lang w:val="es-ES" w:eastAsia="ko-KR"/>
        </w:rPr>
        <w:t>) en el que se esbozaba un proceso formal de reclamación y resolución. Esta propuesta suscitó preocupación entre los delegados. Se plantearon objeciones principalmente a la propuesta de que la Unidad de Supervisión se ocupe de tramitar las quejas, ya que, en opinión de los delegados, este planteamiento entra en conflicto con la autoridad de los Estados Miembros para sancionar a sus propios delegados. También se expresó preocupación por la ausencia de las debidas garantías procesales para los presuntos infractores y por la posibilidad de que el plan pase a ser vinculante desde el punto de vista jurídico. A lo largo de las conversaciones, varios delegados afirmaron que el Código de Conducta de las Naciones Unidas en vigor era suficiente y solicitaron información cuantitativa sobre las vulneraciones pasadas.</w:t>
      </w:r>
      <w:hyperlink r:id="rId16"/>
    </w:p>
    <w:p w14:paraId="3C682FCC" w14:textId="75FBE01A" w:rsidR="00CD4FF2" w:rsidRPr="00C537A9" w:rsidRDefault="00CD4FF2" w:rsidP="00973B55">
      <w:pPr>
        <w:jc w:val="both"/>
        <w:rPr>
          <w:lang w:val="es-ES" w:eastAsia="ko-KR"/>
        </w:rPr>
      </w:pPr>
      <w:r w:rsidRPr="00C537A9">
        <w:rPr>
          <w:lang w:val="es-ES" w:eastAsia="ko-KR"/>
        </w:rPr>
        <w:t>2.2</w:t>
      </w:r>
      <w:r w:rsidRPr="00C537A9">
        <w:rPr>
          <w:lang w:val="es-ES" w:eastAsia="ko-KR"/>
        </w:rPr>
        <w:tab/>
        <w:t>La Presidenta tomó nota de las preocupaciones expresadas y concluyó que se debía revisar la propuesta. Pidió a la Secretaría que retirara a la Unidad de Supervisión del proceso y que elaborase un plan de aplicación revisado para presentarlo al GTC-RHF en su 22</w:t>
      </w:r>
      <w:r w:rsidR="0000149E">
        <w:rPr>
          <w:lang w:val="es-ES" w:eastAsia="ko-KR"/>
        </w:rPr>
        <w:t>.</w:t>
      </w:r>
      <w:r w:rsidRPr="00C537A9">
        <w:rPr>
          <w:lang w:val="es-ES" w:eastAsia="ko-KR"/>
        </w:rPr>
        <w:t>ª reunión. Además, la Presidenta ratificó que el actual Código de Conducta de las Naciones Unidas continúa vigente.</w:t>
      </w:r>
    </w:p>
    <w:p w14:paraId="03FE8060" w14:textId="5AD12B92" w:rsidR="00CD4FF2" w:rsidRPr="00C537A9" w:rsidRDefault="00CD4FF2" w:rsidP="00973B55">
      <w:pPr>
        <w:jc w:val="both"/>
        <w:rPr>
          <w:lang w:val="es-ES" w:eastAsia="ko-KR"/>
        </w:rPr>
      </w:pPr>
      <w:r w:rsidRPr="00C537A9">
        <w:rPr>
          <w:lang w:val="es-ES" w:eastAsia="ko-KR"/>
        </w:rPr>
        <w:t>2.3</w:t>
      </w:r>
      <w:r w:rsidRPr="00C537A9">
        <w:rPr>
          <w:lang w:val="es-ES" w:eastAsia="ko-KR"/>
        </w:rPr>
        <w:tab/>
        <w:t>En la 22</w:t>
      </w:r>
      <w:r w:rsidR="0000149E">
        <w:rPr>
          <w:lang w:val="es-ES" w:eastAsia="ko-KR"/>
        </w:rPr>
        <w:t>.</w:t>
      </w:r>
      <w:r w:rsidRPr="00C537A9">
        <w:rPr>
          <w:lang w:val="es-ES" w:eastAsia="ko-KR"/>
        </w:rPr>
        <w:t>ª reunión del GTC-RHF, la Secretaría realizó una presentación oral en la que facilitó información actualizada sobre la aplicación revisada. El nuevo plan se centra en la prevención proactiva y la denuncia clara y consta de dos iniciativas principales:</w:t>
      </w:r>
    </w:p>
    <w:p w14:paraId="558F9F7E" w14:textId="77777777" w:rsidR="00CD4FF2" w:rsidRPr="00C537A9" w:rsidRDefault="00CD4FF2" w:rsidP="00973B55">
      <w:pPr>
        <w:pStyle w:val="enumlev1"/>
        <w:jc w:val="both"/>
        <w:rPr>
          <w:rFonts w:cs="Calibri"/>
          <w:lang w:val="es-ES" w:eastAsia="ko-KR"/>
        </w:rPr>
      </w:pPr>
      <w:r w:rsidRPr="00C537A9">
        <w:rPr>
          <w:rFonts w:ascii="Symbol" w:eastAsia="Symbol" w:hAnsi="Symbol" w:cs="Symbol"/>
          <w:lang w:val="es-ES" w:eastAsia="ko-KR"/>
        </w:rPr>
        <w:t>-</w:t>
      </w:r>
      <w:r w:rsidRPr="00C537A9">
        <w:rPr>
          <w:rFonts w:cs="Calibri"/>
          <w:lang w:val="es-ES" w:eastAsia="ko-KR"/>
        </w:rPr>
        <w:tab/>
      </w:r>
      <w:r w:rsidRPr="00C537A9">
        <w:rPr>
          <w:lang w:val="es-ES" w:eastAsia="ko-KR"/>
        </w:rPr>
        <w:t>un vídeo de sensibilización, que se proporcionará con la información del evento;</w:t>
      </w:r>
    </w:p>
    <w:p w14:paraId="01E67C98" w14:textId="77777777" w:rsidR="00CD4FF2" w:rsidRPr="00C537A9" w:rsidRDefault="00CD4FF2" w:rsidP="00973B55">
      <w:pPr>
        <w:pStyle w:val="enumlev1"/>
        <w:jc w:val="both"/>
        <w:rPr>
          <w:rFonts w:cs="Calibri"/>
          <w:lang w:val="es-ES" w:eastAsia="ko-KR"/>
        </w:rPr>
      </w:pPr>
      <w:r w:rsidRPr="00C537A9">
        <w:rPr>
          <w:rFonts w:ascii="Symbol" w:eastAsia="Symbol" w:hAnsi="Symbol" w:cs="Symbol"/>
          <w:lang w:val="es-ES" w:eastAsia="ko-KR"/>
        </w:rPr>
        <w:t>-</w:t>
      </w:r>
      <w:r w:rsidRPr="00C537A9">
        <w:rPr>
          <w:rFonts w:cs="Calibri"/>
          <w:lang w:val="es-ES" w:eastAsia="ko-KR"/>
        </w:rPr>
        <w:tab/>
      </w:r>
      <w:r w:rsidRPr="00C537A9">
        <w:rPr>
          <w:lang w:val="es-ES" w:eastAsia="ko-KR"/>
        </w:rPr>
        <w:t>una nueva línea de denuncia confidencial para que los participantes planteen inquietudes o soliciten asesoramiento.</w:t>
      </w:r>
    </w:p>
    <w:p w14:paraId="02468234" w14:textId="77777777" w:rsidR="00CD4FF2" w:rsidRPr="00C537A9" w:rsidRDefault="00CD4FF2" w:rsidP="00973B55">
      <w:pPr>
        <w:jc w:val="both"/>
        <w:rPr>
          <w:lang w:val="es-ES" w:eastAsia="ko-KR"/>
        </w:rPr>
      </w:pPr>
      <w:r w:rsidRPr="00C537A9">
        <w:rPr>
          <w:lang w:val="es-ES" w:eastAsia="ko-KR"/>
        </w:rPr>
        <w:t>2.4</w:t>
      </w:r>
      <w:r w:rsidRPr="00C537A9">
        <w:rPr>
          <w:lang w:val="es-ES" w:eastAsia="ko-KR"/>
        </w:rPr>
        <w:tab/>
        <w:t xml:space="preserve">La Secretaría comunicó a los delegados que ambos recursos se han añadido al </w:t>
      </w:r>
      <w:hyperlink r:id="rId17" w:history="1">
        <w:r w:rsidRPr="00C537A9">
          <w:rPr>
            <w:rStyle w:val="Hyperlink"/>
            <w:lang w:val="es-ES" w:eastAsia="ko-KR"/>
          </w:rPr>
          <w:t>sitio web sobre ética</w:t>
        </w:r>
      </w:hyperlink>
      <w:r w:rsidRPr="00C537A9">
        <w:rPr>
          <w:lang w:val="es-ES" w:eastAsia="ko-KR"/>
        </w:rPr>
        <w:t xml:space="preserve"> de la UIT y que se incluirá un enlace a ellos en las páginas de los distintos eventos. </w:t>
      </w:r>
      <w:r w:rsidRPr="00C537A9">
        <w:rPr>
          <w:lang w:val="es-ES" w:eastAsia="ko-KR"/>
        </w:rPr>
        <w:lastRenderedPageBreak/>
        <w:t>La Presidenta del GTC-RHF señaló que el Código de Conducta se leyó en voz alta a los participantes en la Conferencia Mundial de Desarrollo de las Telecomunicaciones (</w:t>
      </w:r>
      <w:proofErr w:type="spellStart"/>
      <w:r w:rsidRPr="00C537A9">
        <w:rPr>
          <w:lang w:val="es-ES" w:eastAsia="ko-KR"/>
        </w:rPr>
        <w:t>CMDT</w:t>
      </w:r>
      <w:proofErr w:type="spellEnd"/>
      <w:r w:rsidRPr="00C537A9">
        <w:rPr>
          <w:lang w:val="es-ES" w:eastAsia="ko-KR"/>
        </w:rPr>
        <w:t>-25) antes de la Plenaria. Durante la intervención, un delegado reiteró su preocupación por que se dedique tiempo de reunión a esta cuestión y señaló nuevamente que no se había respondido a anteriores solicitudes de datos sobre vulneraciones y falsas acusaciones.</w:t>
      </w:r>
      <w:hyperlink r:id="rId18" w:history="1"/>
    </w:p>
    <w:p w14:paraId="65FDB419" w14:textId="77777777" w:rsidR="00CD4FF2" w:rsidRPr="00C537A9" w:rsidRDefault="00CD4FF2" w:rsidP="00973B55">
      <w:pPr>
        <w:pBdr>
          <w:top w:val="single" w:sz="4" w:space="1" w:color="auto"/>
          <w:left w:val="single" w:sz="4" w:space="4" w:color="auto"/>
          <w:bottom w:val="single" w:sz="4" w:space="1" w:color="auto"/>
          <w:right w:val="single" w:sz="4" w:space="4" w:color="auto"/>
        </w:pBdr>
        <w:jc w:val="both"/>
        <w:rPr>
          <w:lang w:val="es-ES" w:eastAsia="ko-KR"/>
        </w:rPr>
      </w:pPr>
      <w:r w:rsidRPr="00C537A9">
        <w:rPr>
          <w:lang w:val="es-ES" w:eastAsia="ko-KR"/>
        </w:rPr>
        <w:t>2.5</w:t>
      </w:r>
      <w:r w:rsidRPr="00C537A9">
        <w:rPr>
          <w:lang w:val="es-ES" w:eastAsia="ko-KR"/>
        </w:rPr>
        <w:tab/>
        <w:t xml:space="preserve">El GTC-RHF </w:t>
      </w:r>
      <w:r w:rsidRPr="00C537A9">
        <w:rPr>
          <w:b/>
          <w:bCs/>
          <w:lang w:val="es-ES" w:eastAsia="ko-KR"/>
        </w:rPr>
        <w:t>recomienda</w:t>
      </w:r>
      <w:r w:rsidRPr="00C537A9">
        <w:rPr>
          <w:lang w:val="es-ES" w:eastAsia="ko-KR"/>
        </w:rPr>
        <w:t xml:space="preserve"> al Consejo que se establezca como obligatoria la lectura del Código de Conducta de las Naciones Unidas antes de cualquier reunión, conferencia o asamblea de la Unión. </w:t>
      </w:r>
    </w:p>
    <w:p w14:paraId="50F2FE30" w14:textId="4DA17AA7" w:rsidR="00CD4FF2" w:rsidRPr="00C537A9" w:rsidRDefault="00CD4FF2" w:rsidP="000C7392">
      <w:pPr>
        <w:pStyle w:val="Heading1"/>
        <w:rPr>
          <w:lang w:val="es-ES" w:eastAsia="ko-KR"/>
        </w:rPr>
      </w:pPr>
      <w:r w:rsidRPr="00C537A9">
        <w:rPr>
          <w:bCs/>
          <w:lang w:val="es-ES" w:eastAsia="ko-KR"/>
        </w:rPr>
        <w:t>3</w:t>
      </w:r>
      <w:r w:rsidRPr="00C537A9">
        <w:rPr>
          <w:lang w:val="es-ES" w:eastAsia="ko-KR"/>
        </w:rPr>
        <w:tab/>
        <w:t>Metodología para proporcionar estimaciones de las repercusiones financieras de las decisiones y resoluciones propuestas en las conferencias y asambleas de la UIT</w:t>
      </w:r>
      <w:r w:rsidR="00183C33">
        <w:rPr>
          <w:lang w:val="es-ES" w:eastAsia="ko-KR"/>
        </w:rPr>
        <w:br/>
      </w:r>
      <w:r w:rsidRPr="00C537A9">
        <w:rPr>
          <w:lang w:val="es-ES" w:eastAsia="ko-KR"/>
        </w:rPr>
        <w:t xml:space="preserve">(Documentos </w:t>
      </w:r>
      <w:hyperlink r:id="rId19"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-21/3</w:t>
        </w:r>
      </w:hyperlink>
      <w:r w:rsidRPr="00C537A9">
        <w:rPr>
          <w:lang w:val="es-ES" w:eastAsia="ko-KR"/>
        </w:rPr>
        <w:t xml:space="preserve"> y </w:t>
      </w:r>
      <w:hyperlink r:id="rId20"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-22/13</w:t>
        </w:r>
      </w:hyperlink>
      <w:r w:rsidRPr="00C537A9">
        <w:rPr>
          <w:lang w:val="es-ES" w:eastAsia="ko-KR"/>
        </w:rPr>
        <w:t xml:space="preserve">) y </w:t>
      </w:r>
      <w:r w:rsidR="000D41F6">
        <w:rPr>
          <w:lang w:val="es-ES" w:eastAsia="ko-KR"/>
        </w:rPr>
        <w:br/>
      </w:r>
      <w:r w:rsidRPr="00C537A9">
        <w:rPr>
          <w:lang w:val="es-ES" w:eastAsia="ko-KR"/>
        </w:rPr>
        <w:t xml:space="preserve">Repercusiones presupuestarias anuales de la ejecución de las Resoluciones de la </w:t>
      </w:r>
      <w:proofErr w:type="spellStart"/>
      <w:r w:rsidRPr="00C537A9">
        <w:rPr>
          <w:lang w:val="es-ES" w:eastAsia="ko-KR"/>
        </w:rPr>
        <w:t>CMDT</w:t>
      </w:r>
      <w:proofErr w:type="spellEnd"/>
      <w:r w:rsidRPr="00C537A9">
        <w:rPr>
          <w:lang w:val="es-ES" w:eastAsia="ko-KR"/>
        </w:rPr>
        <w:t xml:space="preserve"> 2025 (Documento </w:t>
      </w:r>
      <w:hyperlink r:id="rId21"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-22/7</w:t>
        </w:r>
      </w:hyperlink>
      <w:r w:rsidRPr="00C537A9">
        <w:rPr>
          <w:lang w:val="es-ES" w:eastAsia="ko-KR"/>
        </w:rPr>
        <w:t>)</w:t>
      </w:r>
      <w:hyperlink r:id="rId22" w:history="1"/>
      <w:hyperlink r:id="rId23" w:history="1"/>
      <w:hyperlink r:id="rId24" w:history="1"/>
    </w:p>
    <w:p w14:paraId="150E6B34" w14:textId="5CA5991D" w:rsidR="00CD4FF2" w:rsidRPr="00C537A9" w:rsidRDefault="00CD4FF2" w:rsidP="00973B55">
      <w:pPr>
        <w:jc w:val="both"/>
        <w:rPr>
          <w:lang w:val="es-ES" w:eastAsia="ko-KR"/>
        </w:rPr>
      </w:pPr>
      <w:r w:rsidRPr="00C537A9">
        <w:rPr>
          <w:lang w:val="es-ES" w:eastAsia="ko-KR"/>
        </w:rPr>
        <w:t>3.1</w:t>
      </w:r>
      <w:r w:rsidRPr="00C537A9">
        <w:rPr>
          <w:lang w:val="es-ES" w:eastAsia="ko-KR"/>
        </w:rPr>
        <w:tab/>
        <w:t>En las reuniones 21</w:t>
      </w:r>
      <w:r w:rsidR="0000149E">
        <w:rPr>
          <w:lang w:val="es-ES" w:eastAsia="ko-KR"/>
        </w:rPr>
        <w:t>.</w:t>
      </w:r>
      <w:r w:rsidRPr="00C537A9">
        <w:rPr>
          <w:lang w:val="es-ES" w:eastAsia="ko-KR"/>
        </w:rPr>
        <w:t>ª y 22</w:t>
      </w:r>
      <w:r w:rsidR="0000149E">
        <w:rPr>
          <w:lang w:val="es-ES" w:eastAsia="ko-KR"/>
        </w:rPr>
        <w:t>.</w:t>
      </w:r>
      <w:r w:rsidRPr="00C537A9">
        <w:rPr>
          <w:lang w:val="es-ES" w:eastAsia="ko-KR"/>
        </w:rPr>
        <w:t>ª del GTC-RHF, los delegados debatieron la creación de una metodología oficial para evaluar las repercusiones financieras de las decisiones y resoluciones propuestas en las conferencias de la UIT, de conformidad con el Artículo 34 del Convenio.</w:t>
      </w:r>
    </w:p>
    <w:p w14:paraId="653375B7" w14:textId="57EFDA68" w:rsidR="00CD4FF2" w:rsidRPr="00C537A9" w:rsidRDefault="00CD4FF2" w:rsidP="00973B55">
      <w:pPr>
        <w:jc w:val="both"/>
        <w:rPr>
          <w:lang w:val="es-ES" w:eastAsia="ko-KR"/>
        </w:rPr>
      </w:pPr>
      <w:r w:rsidRPr="00C537A9">
        <w:rPr>
          <w:lang w:val="es-ES" w:eastAsia="ko-KR"/>
        </w:rPr>
        <w:t>3.2</w:t>
      </w:r>
      <w:r w:rsidRPr="00C537A9">
        <w:rPr>
          <w:lang w:val="es-ES" w:eastAsia="ko-KR"/>
        </w:rPr>
        <w:tab/>
        <w:t>Durante la 21</w:t>
      </w:r>
      <w:r w:rsidR="0000149E">
        <w:rPr>
          <w:lang w:val="es-ES" w:eastAsia="ko-KR"/>
        </w:rPr>
        <w:t>.</w:t>
      </w:r>
      <w:r w:rsidRPr="00C537A9">
        <w:rPr>
          <w:lang w:val="es-ES" w:eastAsia="ko-KR"/>
        </w:rPr>
        <w:t xml:space="preserve">ª reunión, la Secretaría introdujo a los delegados a un modelo de cálculo basado en utilizar las propuestas presentadas a la </w:t>
      </w:r>
      <w:proofErr w:type="spellStart"/>
      <w:r w:rsidRPr="00C537A9">
        <w:rPr>
          <w:lang w:val="es-ES" w:eastAsia="ko-KR"/>
        </w:rPr>
        <w:t>CMDT</w:t>
      </w:r>
      <w:proofErr w:type="spellEnd"/>
      <w:r w:rsidRPr="00C537A9">
        <w:rPr>
          <w:lang w:val="es-ES" w:eastAsia="ko-KR"/>
        </w:rPr>
        <w:t>-25 por la Conferencia Europea de Administraciones de Correos y Telecomunicaciones (</w:t>
      </w:r>
      <w:proofErr w:type="spellStart"/>
      <w:r w:rsidRPr="00C537A9">
        <w:rPr>
          <w:lang w:val="es-ES" w:eastAsia="ko-KR"/>
        </w:rPr>
        <w:t>CEPT</w:t>
      </w:r>
      <w:proofErr w:type="spellEnd"/>
      <w:r w:rsidRPr="00C537A9">
        <w:rPr>
          <w:lang w:val="es-ES" w:eastAsia="ko-KR"/>
        </w:rPr>
        <w:t xml:space="preserve">) como ejemplos prácticos. A raíz de ello, surgió un importante debate entre los delegados, que expresaron numerosas inquietudes sobre el proceso propuesto. Algunas cuestiones clave tratadas fueron el calendario y la precisión de las estimaciones de costos (especialmente cuando las propuestas están sujetas a cambios), la posibilidad de que aumente la burocracia y los consiguientes obstáculos a la toma de decisiones, y la necesidad de definir con más claridad qué constituye una "repercusión financiera". En respuesta a la propuesta de flujo de trabajo de la Presidenta, se expresaron nuevas inquietudes sobre la autoridad del Comité. El resultado más importante fue la decisión de no aplicar antes de la </w:t>
      </w:r>
      <w:proofErr w:type="spellStart"/>
      <w:r w:rsidRPr="00C537A9">
        <w:rPr>
          <w:lang w:val="es-ES" w:eastAsia="ko-KR"/>
        </w:rPr>
        <w:t>CMDT</w:t>
      </w:r>
      <w:proofErr w:type="spellEnd"/>
      <w:r w:rsidRPr="00C537A9">
        <w:rPr>
          <w:lang w:val="es-ES" w:eastAsia="ko-KR"/>
        </w:rPr>
        <w:t>-25 la metodología propuesta, y la Presidenta instó a los Estados Miembros a presentar nuevas propuestas al respecto.</w:t>
      </w:r>
    </w:p>
    <w:p w14:paraId="0237E6CB" w14:textId="7CB81AA1" w:rsidR="00CD4FF2" w:rsidRPr="00C537A9" w:rsidRDefault="00CD4FF2" w:rsidP="00973B55">
      <w:pPr>
        <w:jc w:val="both"/>
        <w:rPr>
          <w:spacing w:val="-2"/>
          <w:lang w:val="es-ES" w:eastAsia="ko-KR"/>
        </w:rPr>
      </w:pPr>
      <w:r w:rsidRPr="00C537A9">
        <w:rPr>
          <w:lang w:val="es-ES" w:eastAsia="ko-KR"/>
        </w:rPr>
        <w:t>3.3</w:t>
      </w:r>
      <w:r w:rsidRPr="00C537A9">
        <w:rPr>
          <w:lang w:val="es-ES" w:eastAsia="ko-KR"/>
        </w:rPr>
        <w:tab/>
        <w:t>La conversación continuó durante la 22</w:t>
      </w:r>
      <w:r w:rsidR="0042194F">
        <w:rPr>
          <w:lang w:val="es-ES" w:eastAsia="ko-KR"/>
        </w:rPr>
        <w:t>.</w:t>
      </w:r>
      <w:r w:rsidRPr="00C537A9">
        <w:rPr>
          <w:lang w:val="es-ES" w:eastAsia="ko-KR"/>
        </w:rPr>
        <w:t xml:space="preserve">ª reunión; no se presentaron contribuciones nuevas sobre la metodología para la elaboración de estimaciones. Los delegados reiteraron su escepticismo y argumentaron que las evaluaciones de costes previas a las conferencias serían ineficaces, ya que el texto final rara vez refleja las propuestas iniciales. Se sugirieron enfoques alternativos, como priorizar y reajustar los recursos existentes en lugar de generar nuevas estimaciones de costes. Además, el Director de la Oficina de Desarrollo de las Telecomunicaciones (BDT) presentó el Documento </w:t>
      </w:r>
      <w:hyperlink r:id="rId25" w:history="1">
        <w:proofErr w:type="spellStart"/>
        <w:r w:rsidRPr="00C537A9">
          <w:rPr>
            <w:rStyle w:val="Hyperlink"/>
            <w:spacing w:val="-2"/>
            <w:lang w:val="es-ES" w:eastAsia="ko-KR"/>
          </w:rPr>
          <w:t>CWG</w:t>
        </w:r>
        <w:proofErr w:type="spellEnd"/>
        <w:r w:rsidRPr="00C537A9">
          <w:rPr>
            <w:rStyle w:val="Hyperlink"/>
            <w:spacing w:val="-2"/>
            <w:lang w:val="es-ES" w:eastAsia="ko-KR"/>
          </w:rPr>
          <w:t>-</w:t>
        </w:r>
        <w:proofErr w:type="spellStart"/>
        <w:r w:rsidRPr="00C537A9">
          <w:rPr>
            <w:rStyle w:val="Hyperlink"/>
            <w:spacing w:val="-2"/>
            <w:lang w:val="es-ES" w:eastAsia="ko-KR"/>
          </w:rPr>
          <w:t>FHR</w:t>
        </w:r>
        <w:proofErr w:type="spellEnd"/>
        <w:r w:rsidRPr="00C537A9">
          <w:rPr>
            <w:rStyle w:val="Hyperlink"/>
            <w:spacing w:val="-2"/>
            <w:lang w:val="es-ES" w:eastAsia="ko-KR"/>
          </w:rPr>
          <w:t>-22/7</w:t>
        </w:r>
      </w:hyperlink>
      <w:r w:rsidRPr="00C537A9">
        <w:rPr>
          <w:lang w:val="es-ES" w:eastAsia="ko-KR"/>
        </w:rPr>
        <w:t xml:space="preserve">, que respondía a la petición de los participantes en la </w:t>
      </w:r>
      <w:proofErr w:type="spellStart"/>
      <w:r w:rsidRPr="00C537A9">
        <w:rPr>
          <w:lang w:val="es-ES" w:eastAsia="ko-KR"/>
        </w:rPr>
        <w:t>CMDT</w:t>
      </w:r>
      <w:proofErr w:type="spellEnd"/>
      <w:r w:rsidRPr="00C537A9">
        <w:rPr>
          <w:lang w:val="es-ES" w:eastAsia="ko-KR"/>
        </w:rPr>
        <w:t xml:space="preserve">-25 de solicitar orientación al GTC-RHF sobre la metodología o el mecanismo más eficaz para financiar las nuevas actividades identificadas, cuyo coste estimado ascendía a 4,208 millones CHF. </w:t>
      </w:r>
      <w:hyperlink r:id="rId26" w:history="1"/>
    </w:p>
    <w:p w14:paraId="359DB025" w14:textId="77777777" w:rsidR="00CD4FF2" w:rsidRPr="00C537A9" w:rsidRDefault="00CD4FF2" w:rsidP="00973B55">
      <w:pPr>
        <w:jc w:val="both"/>
        <w:rPr>
          <w:spacing w:val="-3"/>
          <w:lang w:val="es-ES" w:eastAsia="ko-KR"/>
        </w:rPr>
      </w:pPr>
      <w:r w:rsidRPr="00C537A9">
        <w:rPr>
          <w:lang w:val="es-ES" w:eastAsia="ko-KR"/>
        </w:rPr>
        <w:t>3.4</w:t>
      </w:r>
      <w:r w:rsidRPr="00C537A9">
        <w:rPr>
          <w:lang w:val="es-ES" w:eastAsia="ko-KR"/>
        </w:rPr>
        <w:tab/>
        <w:t>Tras escuchar el debate, el Director de la BDT tomó la palabra y propuso que la Secretaría presentara al Grupo Asesor de Desarrollo de las Telecomunicaciones (</w:t>
      </w:r>
      <w:proofErr w:type="spellStart"/>
      <w:r w:rsidRPr="00C537A9">
        <w:rPr>
          <w:lang w:val="es-ES" w:eastAsia="ko-KR"/>
        </w:rPr>
        <w:t>GADT</w:t>
      </w:r>
      <w:proofErr w:type="spellEnd"/>
      <w:r w:rsidRPr="00C537A9">
        <w:rPr>
          <w:lang w:val="es-ES" w:eastAsia="ko-KR"/>
        </w:rPr>
        <w:t xml:space="preserve">) un análisis exhaustivo de los recursos de que dispone la BDT y de los recursos que necesita para el cumplimiento de su mandato. El argumento del Director de la BDT se apoyaba en la </w:t>
      </w:r>
      <w:r w:rsidRPr="00C537A9">
        <w:rPr>
          <w:lang w:val="es-ES" w:eastAsia="ko-KR"/>
        </w:rPr>
        <w:lastRenderedPageBreak/>
        <w:t xml:space="preserve">necesidad de racionalizar las Resoluciones que conforman el mandato de la Oficina. Los delegados se mostraron preocupados por la precisión de las estimaciones, ya que la Comisión del Presupuesto completó sus trabajos antes de que se concluyeran las resoluciones de las demás Comisiones. </w:t>
      </w:r>
    </w:p>
    <w:p w14:paraId="7D7B5056" w14:textId="77777777" w:rsidR="00CD4FF2" w:rsidRPr="00C537A9" w:rsidRDefault="00CD4FF2" w:rsidP="00973B55">
      <w:pPr>
        <w:pBdr>
          <w:top w:val="single" w:sz="4" w:space="1" w:color="auto"/>
          <w:left w:val="single" w:sz="4" w:space="4" w:color="auto"/>
          <w:bottom w:val="single" w:sz="4" w:space="1" w:color="auto"/>
          <w:right w:val="single" w:sz="4" w:space="4" w:color="auto"/>
        </w:pBdr>
        <w:jc w:val="both"/>
        <w:rPr>
          <w:lang w:val="es-ES" w:eastAsia="ko-KR"/>
        </w:rPr>
      </w:pPr>
      <w:r w:rsidRPr="00C537A9">
        <w:rPr>
          <w:lang w:val="es-ES" w:eastAsia="ko-KR"/>
        </w:rPr>
        <w:t>3.5</w:t>
      </w:r>
      <w:r w:rsidRPr="00C537A9">
        <w:rPr>
          <w:lang w:val="es-ES" w:eastAsia="ko-KR"/>
        </w:rPr>
        <w:tab/>
        <w:t xml:space="preserve">En aceptación de la propuesta del Director de la BDT, el GTC-RHF </w:t>
      </w:r>
      <w:r w:rsidRPr="00C537A9">
        <w:rPr>
          <w:b/>
          <w:bCs/>
          <w:lang w:val="es-ES" w:eastAsia="ko-KR"/>
        </w:rPr>
        <w:t xml:space="preserve">recomendó </w:t>
      </w:r>
      <w:r w:rsidRPr="00C537A9">
        <w:rPr>
          <w:lang w:val="es-ES" w:eastAsia="ko-KR"/>
        </w:rPr>
        <w:t xml:space="preserve">al Director de la BDT que, en colaboración con la Secretaría General, y en especial con el Jefe de Finanzas, apoyara al </w:t>
      </w:r>
      <w:proofErr w:type="spellStart"/>
      <w:r w:rsidRPr="00C537A9">
        <w:rPr>
          <w:lang w:val="es-ES" w:eastAsia="ko-KR"/>
        </w:rPr>
        <w:t>GADT</w:t>
      </w:r>
      <w:proofErr w:type="spellEnd"/>
      <w:r w:rsidRPr="00C537A9">
        <w:rPr>
          <w:lang w:val="es-ES" w:eastAsia="ko-KR"/>
        </w:rPr>
        <w:t xml:space="preserve"> en esta actividad para ejecutar un análisis comparativo de los recursos disponibles y no disponibles para el Sector de Desarrollo de las Telecomunicaciones (UIT-D) y determinar en qué punto de los trabajos en curso podrían incorporarse nuevas Resoluciones. La Secretaría también celebrará una sesión informativa el 3 de marzo de 2026 sobre las estimaciones de costes, teniendo en cuenta las repercusiones financieras de la </w:t>
      </w:r>
      <w:proofErr w:type="spellStart"/>
      <w:r w:rsidRPr="00C537A9">
        <w:rPr>
          <w:lang w:val="es-ES" w:eastAsia="ko-KR"/>
        </w:rPr>
        <w:t>CMDT</w:t>
      </w:r>
      <w:proofErr w:type="spellEnd"/>
      <w:r w:rsidRPr="00C537A9">
        <w:rPr>
          <w:lang w:val="es-ES" w:eastAsia="ko-KR"/>
        </w:rPr>
        <w:t>-25.</w:t>
      </w:r>
    </w:p>
    <w:p w14:paraId="7EC5DC5D" w14:textId="77777777" w:rsidR="00CD4FF2" w:rsidRPr="00C537A9" w:rsidRDefault="00CD4FF2" w:rsidP="00973B55">
      <w:pPr>
        <w:pBdr>
          <w:top w:val="single" w:sz="4" w:space="1" w:color="auto"/>
          <w:left w:val="single" w:sz="4" w:space="4" w:color="auto"/>
          <w:bottom w:val="single" w:sz="4" w:space="1" w:color="auto"/>
          <w:right w:val="single" w:sz="4" w:space="4" w:color="auto"/>
        </w:pBdr>
        <w:jc w:val="both"/>
        <w:rPr>
          <w:lang w:val="es-ES" w:eastAsia="ko-KR"/>
        </w:rPr>
      </w:pPr>
      <w:r w:rsidRPr="00C537A9">
        <w:rPr>
          <w:lang w:val="es-ES" w:eastAsia="ko-KR"/>
        </w:rPr>
        <w:t>3.6</w:t>
      </w:r>
      <w:r w:rsidRPr="00C537A9">
        <w:rPr>
          <w:lang w:val="es-ES" w:eastAsia="ko-KR"/>
        </w:rPr>
        <w:tab/>
        <w:t xml:space="preserve">Además, el GTC-RHF </w:t>
      </w:r>
      <w:r w:rsidRPr="00C537A9">
        <w:rPr>
          <w:b/>
          <w:bCs/>
          <w:lang w:val="es-ES" w:eastAsia="ko-KR"/>
        </w:rPr>
        <w:t xml:space="preserve">recomienda </w:t>
      </w:r>
      <w:r w:rsidRPr="00C537A9">
        <w:rPr>
          <w:lang w:val="es-ES" w:eastAsia="ko-KR"/>
        </w:rPr>
        <w:t xml:space="preserve">al Consejo que, en su reunión de 2026, invite a la Conferencia de Plenipotenciarios de 2026 (PP-26) a examinar el Artículo 34 y a facilitar orientaciones para los Estados Miembros sobre cómo considerar el Artículo 34. </w:t>
      </w:r>
    </w:p>
    <w:p w14:paraId="07A3D5FF" w14:textId="77777777" w:rsidR="00CD4FF2" w:rsidRPr="00C537A9" w:rsidRDefault="00CD4FF2" w:rsidP="00973B55">
      <w:pPr>
        <w:pBdr>
          <w:top w:val="single" w:sz="4" w:space="1" w:color="auto"/>
          <w:left w:val="single" w:sz="4" w:space="4" w:color="auto"/>
          <w:bottom w:val="single" w:sz="4" w:space="1" w:color="auto"/>
          <w:right w:val="single" w:sz="4" w:space="4" w:color="auto"/>
        </w:pBdr>
        <w:jc w:val="both"/>
        <w:rPr>
          <w:lang w:val="es-ES" w:eastAsia="ko-KR"/>
        </w:rPr>
      </w:pPr>
      <w:r w:rsidRPr="00C537A9">
        <w:rPr>
          <w:lang w:val="es-ES" w:eastAsia="ko-KR"/>
        </w:rPr>
        <w:t>3.7</w:t>
      </w:r>
      <w:r w:rsidRPr="00C537A9">
        <w:rPr>
          <w:lang w:val="es-ES" w:eastAsia="ko-KR"/>
        </w:rPr>
        <w:tab/>
        <w:t xml:space="preserve">El GTC-RHF </w:t>
      </w:r>
      <w:r w:rsidRPr="00C537A9">
        <w:rPr>
          <w:b/>
          <w:bCs/>
          <w:lang w:val="es-ES" w:eastAsia="ko-KR"/>
        </w:rPr>
        <w:t xml:space="preserve">envió </w:t>
      </w:r>
      <w:r w:rsidRPr="00C537A9">
        <w:rPr>
          <w:lang w:val="es-ES" w:eastAsia="ko-KR"/>
        </w:rPr>
        <w:t xml:space="preserve">una declaración de coordinación al </w:t>
      </w:r>
      <w:proofErr w:type="spellStart"/>
      <w:r w:rsidRPr="00C537A9">
        <w:rPr>
          <w:lang w:val="es-ES" w:eastAsia="ko-KR"/>
        </w:rPr>
        <w:t>GADT</w:t>
      </w:r>
      <w:proofErr w:type="spellEnd"/>
      <w:r w:rsidRPr="00C537A9">
        <w:rPr>
          <w:lang w:val="es-ES" w:eastAsia="ko-KR"/>
        </w:rPr>
        <w:t xml:space="preserve"> en la que le invitaba a estudiar las estimaciones de las repercusiones financieras de la </w:t>
      </w:r>
      <w:proofErr w:type="spellStart"/>
      <w:r w:rsidRPr="00C537A9">
        <w:rPr>
          <w:lang w:val="es-ES" w:eastAsia="ko-KR"/>
        </w:rPr>
        <w:t>CMDT</w:t>
      </w:r>
      <w:proofErr w:type="spellEnd"/>
      <w:r w:rsidRPr="00C537A9">
        <w:rPr>
          <w:lang w:val="es-ES" w:eastAsia="ko-KR"/>
        </w:rPr>
        <w:t xml:space="preserve"> antes del Consejo de 2026. </w:t>
      </w:r>
    </w:p>
    <w:p w14:paraId="33555501" w14:textId="046FFD57" w:rsidR="00CD4FF2" w:rsidRPr="00C537A9" w:rsidRDefault="00CD4FF2" w:rsidP="000C7392">
      <w:pPr>
        <w:pStyle w:val="Heading1"/>
        <w:rPr>
          <w:lang w:val="es-ES" w:eastAsia="ko-KR"/>
        </w:rPr>
      </w:pPr>
      <w:r w:rsidRPr="00C537A9">
        <w:rPr>
          <w:bCs/>
          <w:lang w:val="es-ES" w:eastAsia="ko-KR"/>
        </w:rPr>
        <w:t>4</w:t>
      </w:r>
      <w:r w:rsidRPr="00C537A9">
        <w:rPr>
          <w:lang w:val="es-ES" w:eastAsia="ko-KR"/>
        </w:rPr>
        <w:tab/>
      </w:r>
      <w:r w:rsidRPr="00C537A9">
        <w:rPr>
          <w:bCs/>
          <w:lang w:val="es-ES" w:eastAsia="ko-KR"/>
        </w:rPr>
        <w:t>Fortalecimiento de la presencia regional de la UIT</w:t>
      </w:r>
      <w:r w:rsidR="0042194F">
        <w:rPr>
          <w:bCs/>
          <w:lang w:val="es-ES" w:eastAsia="ko-KR"/>
        </w:rPr>
        <w:br/>
      </w:r>
      <w:r w:rsidRPr="00C537A9">
        <w:rPr>
          <w:bCs/>
          <w:lang w:val="es-ES" w:eastAsia="ko-KR"/>
        </w:rPr>
        <w:t xml:space="preserve">(Documentos </w:t>
      </w:r>
      <w:hyperlink r:id="rId27"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-21/4</w:t>
        </w:r>
      </w:hyperlink>
      <w:r w:rsidRPr="00C537A9">
        <w:rPr>
          <w:lang w:val="es-ES" w:eastAsia="ko-KR"/>
        </w:rPr>
        <w:t xml:space="preserve">, </w:t>
      </w:r>
      <w:hyperlink r:id="rId28" w:history="1">
        <w:proofErr w:type="spellStart"/>
        <w:r w:rsidRPr="00C537A9">
          <w:rPr>
            <w:rStyle w:val="Hyperlink"/>
            <w:lang w:val="es-ES" w:eastAsia="ko-KR"/>
          </w:rPr>
          <w:t>CWG</w:t>
        </w:r>
        <w:proofErr w:type="spellEnd"/>
        <w:r w:rsidRPr="00C537A9">
          <w:rPr>
            <w:rStyle w:val="Hyperlink"/>
            <w:lang w:val="es-ES" w:eastAsia="ko-KR"/>
          </w:rPr>
          <w:noBreakHyphen/>
        </w:r>
        <w:proofErr w:type="spellStart"/>
        <w:r w:rsidRPr="00C537A9">
          <w:rPr>
            <w:rStyle w:val="Hyperlink"/>
            <w:lang w:val="es-ES" w:eastAsia="ko-KR"/>
          </w:rPr>
          <w:t>FHR</w:t>
        </w:r>
        <w:proofErr w:type="spellEnd"/>
        <w:r w:rsidRPr="00C537A9">
          <w:rPr>
            <w:rStyle w:val="Hyperlink"/>
            <w:lang w:val="es-ES" w:eastAsia="ko-KR"/>
          </w:rPr>
          <w:t>-22/4</w:t>
        </w:r>
      </w:hyperlink>
      <w:r w:rsidRPr="00C537A9">
        <w:rPr>
          <w:lang w:val="es-ES" w:eastAsia="ko-KR"/>
        </w:rPr>
        <w:t xml:space="preserve"> y </w:t>
      </w:r>
      <w:hyperlink r:id="rId29"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-22/31</w:t>
        </w:r>
      </w:hyperlink>
      <w:r w:rsidRPr="00C537A9">
        <w:rPr>
          <w:lang w:val="es-ES" w:eastAsia="ko-KR"/>
        </w:rPr>
        <w:t>)</w:t>
      </w:r>
      <w:hyperlink r:id="rId30" w:history="1"/>
      <w:hyperlink r:id="rId31" w:history="1"/>
      <w:hyperlink r:id="rId32" w:history="1"/>
    </w:p>
    <w:p w14:paraId="6BAAD822" w14:textId="360BC057" w:rsidR="00CD4FF2" w:rsidRPr="00C537A9" w:rsidRDefault="00CD4FF2" w:rsidP="00973B55">
      <w:pPr>
        <w:jc w:val="both"/>
        <w:rPr>
          <w:lang w:val="es-ES" w:eastAsia="ko-KR"/>
        </w:rPr>
      </w:pPr>
      <w:r w:rsidRPr="00C537A9">
        <w:rPr>
          <w:lang w:val="es-ES" w:eastAsia="ko-KR"/>
        </w:rPr>
        <w:t>4.1</w:t>
      </w:r>
      <w:r w:rsidRPr="00C537A9">
        <w:rPr>
          <w:lang w:val="es-ES" w:eastAsia="ko-KR"/>
        </w:rPr>
        <w:tab/>
        <w:t>Se creó un grupo de trabajo intersectorial, dirigido por el Vicesecretario General, para llevar a cabo un examen de la presencia regional de la UIT durante 10 meses, de julio de 2025 a abril de 2026. Este ejercicio se estructura en cuatro fases: 1) evaluación preliminar; 2)</w:t>
      </w:r>
      <w:r w:rsidR="00AB4AD1">
        <w:rPr>
          <w:lang w:val="es-ES" w:eastAsia="ko-KR"/>
        </w:rPr>
        <w:t> </w:t>
      </w:r>
      <w:r w:rsidRPr="00C537A9">
        <w:rPr>
          <w:lang w:val="es-ES" w:eastAsia="ko-KR"/>
        </w:rPr>
        <w:t>recopilación de datos y análisis inicial; 3) análisis detallado y redacción del informe; y 4)</w:t>
      </w:r>
      <w:r w:rsidR="00183C33">
        <w:rPr>
          <w:lang w:val="es-ES" w:eastAsia="ko-KR"/>
        </w:rPr>
        <w:t> </w:t>
      </w:r>
      <w:r w:rsidRPr="00C537A9">
        <w:rPr>
          <w:lang w:val="es-ES" w:eastAsia="ko-KR"/>
        </w:rPr>
        <w:t>validación y presentación del informe.</w:t>
      </w:r>
    </w:p>
    <w:p w14:paraId="14328937" w14:textId="6EFABB72" w:rsidR="00CD4FF2" w:rsidRPr="00C537A9" w:rsidRDefault="00CD4FF2" w:rsidP="00973B55">
      <w:pPr>
        <w:jc w:val="both"/>
        <w:rPr>
          <w:lang w:val="es-ES" w:eastAsia="ko-KR"/>
        </w:rPr>
      </w:pPr>
      <w:r w:rsidRPr="00C537A9">
        <w:rPr>
          <w:lang w:val="es-ES" w:eastAsia="ko-KR"/>
        </w:rPr>
        <w:t>4.2</w:t>
      </w:r>
      <w:r w:rsidRPr="00C537A9">
        <w:rPr>
          <w:lang w:val="es-ES" w:eastAsia="ko-KR"/>
        </w:rPr>
        <w:tab/>
        <w:t xml:space="preserve">La BDT completó la primera fase realizando encuestas diferentes para los Miembros y el personal de la UIT. El plazo de respuesta se prolongó durante un mes y los resultados provisionales se presentaron en la </w:t>
      </w:r>
      <w:proofErr w:type="spellStart"/>
      <w:r w:rsidRPr="00C537A9">
        <w:rPr>
          <w:lang w:val="es-ES" w:eastAsia="ko-KR"/>
        </w:rPr>
        <w:t>CMDT</w:t>
      </w:r>
      <w:proofErr w:type="spellEnd"/>
      <w:r w:rsidRPr="00C537A9">
        <w:rPr>
          <w:lang w:val="es-ES" w:eastAsia="ko-KR"/>
        </w:rPr>
        <w:t xml:space="preserve">-25 de Bakú (Azerbaiyán). Además, se preparó un informe sobre los resultados provisionales, Documento </w:t>
      </w:r>
      <w:hyperlink r:id="rId33"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-22/4</w:t>
        </w:r>
      </w:hyperlink>
      <w:r w:rsidRPr="00C537A9">
        <w:rPr>
          <w:lang w:val="es-ES" w:eastAsia="ko-KR"/>
        </w:rPr>
        <w:t>, para la 22</w:t>
      </w:r>
      <w:r w:rsidR="00AB4AD1">
        <w:rPr>
          <w:lang w:val="es-ES" w:eastAsia="ko-KR"/>
        </w:rPr>
        <w:t>.</w:t>
      </w:r>
      <w:r w:rsidRPr="00C537A9">
        <w:rPr>
          <w:lang w:val="es-ES" w:eastAsia="ko-KR"/>
        </w:rPr>
        <w:t>ª reunión del GTC-RHF.</w:t>
      </w:r>
      <w:hyperlink r:id="rId34" w:history="1"/>
    </w:p>
    <w:p w14:paraId="71C6B601" w14:textId="6EAF2331" w:rsidR="00CD4FF2" w:rsidRPr="00C537A9" w:rsidRDefault="00CD4FF2" w:rsidP="00973B55">
      <w:pPr>
        <w:jc w:val="both"/>
        <w:rPr>
          <w:lang w:val="es-ES" w:eastAsia="ko-KR"/>
        </w:rPr>
      </w:pPr>
      <w:r w:rsidRPr="00C537A9">
        <w:rPr>
          <w:lang w:val="es-ES" w:eastAsia="ko-KR"/>
        </w:rPr>
        <w:t>4.3</w:t>
      </w:r>
      <w:r w:rsidRPr="00C537A9">
        <w:rPr>
          <w:lang w:val="es-ES" w:eastAsia="ko-KR"/>
        </w:rPr>
        <w:tab/>
        <w:t>Durante la 22</w:t>
      </w:r>
      <w:r w:rsidR="00AB4AD1">
        <w:rPr>
          <w:lang w:val="es-ES" w:eastAsia="ko-KR"/>
        </w:rPr>
        <w:t>.</w:t>
      </w:r>
      <w:r w:rsidRPr="00C537A9">
        <w:rPr>
          <w:lang w:val="es-ES" w:eastAsia="ko-KR"/>
        </w:rPr>
        <w:t>ª reunión del GTC-RHF, varios delegados expresaron su preocupación por el calendario restante, en particular por cómo se completarían las cuatro fases a tiempo para el Consejo de 2026, y solicitaron más información sobre los resultados de la encuesta. Los delegados también pidieron los resultados de la encuesta al personal.</w:t>
      </w:r>
    </w:p>
    <w:p w14:paraId="6F4138F3" w14:textId="35065353" w:rsidR="00CD4FF2" w:rsidRPr="00C537A9" w:rsidRDefault="00CD4FF2" w:rsidP="00973B55">
      <w:pPr>
        <w:jc w:val="both"/>
        <w:rPr>
          <w:lang w:val="es-ES" w:eastAsia="ko-KR"/>
        </w:rPr>
      </w:pPr>
      <w:r w:rsidRPr="00C537A9">
        <w:rPr>
          <w:lang w:val="es-ES" w:eastAsia="ko-KR"/>
        </w:rPr>
        <w:t>4.4</w:t>
      </w:r>
      <w:r w:rsidRPr="00C537A9">
        <w:rPr>
          <w:lang w:val="es-ES" w:eastAsia="ko-KR"/>
        </w:rPr>
        <w:tab/>
        <w:t xml:space="preserve">El Comité Ejecutivo de la Comunidad Regional de Comunicaciones (CRC), Armenia, </w:t>
      </w:r>
      <w:proofErr w:type="spellStart"/>
      <w:r w:rsidRPr="00C537A9">
        <w:rPr>
          <w:lang w:val="es-ES" w:eastAsia="ko-KR"/>
        </w:rPr>
        <w:t>Belarús</w:t>
      </w:r>
      <w:proofErr w:type="spellEnd"/>
      <w:r w:rsidRPr="00C537A9">
        <w:rPr>
          <w:lang w:val="es-ES" w:eastAsia="ko-KR"/>
        </w:rPr>
        <w:t>, el Center for Global IT-</w:t>
      </w:r>
      <w:proofErr w:type="spellStart"/>
      <w:r w:rsidRPr="00C537A9">
        <w:rPr>
          <w:lang w:val="es-ES" w:eastAsia="ko-KR"/>
        </w:rPr>
        <w:t>Cooperation</w:t>
      </w:r>
      <w:proofErr w:type="spellEnd"/>
      <w:r w:rsidRPr="00C537A9">
        <w:rPr>
          <w:lang w:val="es-ES" w:eastAsia="ko-KR"/>
        </w:rPr>
        <w:t xml:space="preserve">, Kirguistán, la Federación de Rusia, Tayikistán y Uzbekistán presentaron una contribución, el Documento </w:t>
      </w:r>
      <w:hyperlink r:id="rId35"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-22/31</w:t>
        </w:r>
      </w:hyperlink>
      <w:r w:rsidRPr="00C537A9">
        <w:rPr>
          <w:lang w:val="es-ES" w:eastAsia="ko-KR"/>
        </w:rPr>
        <w:t>, al GTC-RHF en su 22</w:t>
      </w:r>
      <w:r w:rsidR="00183C33">
        <w:rPr>
          <w:lang w:val="es-ES" w:eastAsia="ko-KR"/>
        </w:rPr>
        <w:t>.</w:t>
      </w:r>
      <w:r w:rsidRPr="00C537A9">
        <w:rPr>
          <w:lang w:val="es-ES" w:eastAsia="ko-KR"/>
        </w:rPr>
        <w:t>ª reunión, que incluía una valoración consolidada de la eficacia del trabajo de la Oficina Regional de la UIT para la CEI y las conclusiones más importantes sobre varios aspectos de sus actividades. En esta contribución también se invitó al GTC-RHF a examinar seis propuestas distintas para fortalecer la presencia regional y la cooperación de la UIT en la región de la CEI. La Presidenta pidió que las propuestas de la CRC se tuvieran en cuenta en el informe final sobre la presencia regional de la UIT.</w:t>
      </w:r>
      <w:hyperlink r:id="rId36" w:history="1"/>
    </w:p>
    <w:p w14:paraId="3432B465" w14:textId="77777777" w:rsidR="00CD4FF2" w:rsidRPr="00C537A9" w:rsidRDefault="00CD4FF2" w:rsidP="000D41F6">
      <w:pPr>
        <w:pBdr>
          <w:top w:val="single" w:sz="4" w:space="1" w:color="auto"/>
          <w:left w:val="single" w:sz="4" w:space="4" w:color="auto"/>
          <w:bottom w:val="single" w:sz="4" w:space="1" w:color="auto"/>
          <w:right w:val="single" w:sz="4" w:space="4" w:color="auto"/>
        </w:pBdr>
        <w:jc w:val="both"/>
        <w:rPr>
          <w:lang w:val="es-ES" w:eastAsia="ko-KR"/>
        </w:rPr>
      </w:pPr>
      <w:r w:rsidRPr="00C537A9">
        <w:rPr>
          <w:lang w:val="es-ES" w:eastAsia="ko-KR"/>
        </w:rPr>
        <w:lastRenderedPageBreak/>
        <w:t>4.5</w:t>
      </w:r>
      <w:r w:rsidRPr="00C537A9">
        <w:rPr>
          <w:lang w:val="es-ES" w:eastAsia="ko-KR"/>
        </w:rPr>
        <w:tab/>
        <w:t xml:space="preserve">El GTC-RHF </w:t>
      </w:r>
      <w:r w:rsidRPr="00C537A9">
        <w:rPr>
          <w:b/>
          <w:bCs/>
          <w:lang w:val="es-ES" w:eastAsia="ko-KR"/>
        </w:rPr>
        <w:t xml:space="preserve">recomendó </w:t>
      </w:r>
      <w:r w:rsidRPr="00C537A9">
        <w:rPr>
          <w:lang w:val="es-ES" w:eastAsia="ko-KR"/>
        </w:rPr>
        <w:t>que la Secretaría publicara los resultados de la encuesta al personal en el sitio web del GTC-RHF.</w:t>
      </w:r>
    </w:p>
    <w:p w14:paraId="183F52BF" w14:textId="77777777" w:rsidR="00CD4FF2" w:rsidRPr="00C537A9" w:rsidRDefault="00CD4FF2" w:rsidP="000D41F6">
      <w:pPr>
        <w:pBdr>
          <w:top w:val="single" w:sz="4" w:space="1" w:color="auto"/>
          <w:left w:val="single" w:sz="4" w:space="4" w:color="auto"/>
          <w:bottom w:val="single" w:sz="4" w:space="1" w:color="auto"/>
          <w:right w:val="single" w:sz="4" w:space="4" w:color="auto"/>
        </w:pBdr>
        <w:jc w:val="both"/>
        <w:rPr>
          <w:lang w:val="es-ES" w:eastAsia="ko-KR"/>
        </w:rPr>
      </w:pPr>
      <w:r w:rsidRPr="00C537A9">
        <w:rPr>
          <w:lang w:val="es-ES" w:eastAsia="ko-KR"/>
        </w:rPr>
        <w:t>4.6</w:t>
      </w:r>
      <w:r w:rsidRPr="00C537A9">
        <w:rPr>
          <w:lang w:val="es-ES" w:eastAsia="ko-KR"/>
        </w:rPr>
        <w:tab/>
        <w:t xml:space="preserve">El GTC-RHF </w:t>
      </w:r>
      <w:r w:rsidRPr="00C537A9">
        <w:rPr>
          <w:b/>
          <w:bCs/>
          <w:lang w:val="es-ES" w:eastAsia="ko-KR"/>
        </w:rPr>
        <w:t xml:space="preserve">recomendó </w:t>
      </w:r>
      <w:r w:rsidRPr="00C537A9">
        <w:rPr>
          <w:lang w:val="es-ES" w:eastAsia="ko-KR"/>
        </w:rPr>
        <w:t>que la Secretaría celebrara una sesión informativa antes del Consejo de 2026 para presentar a los Estados Miembros la iniciativa sobre la presencia regional e incluir sus comentarios en el informe final de la Secretaría para el Consejo de 2026.</w:t>
      </w:r>
    </w:p>
    <w:p w14:paraId="50562AE0" w14:textId="04A3487F" w:rsidR="00CD4FF2" w:rsidRPr="00C537A9" w:rsidRDefault="00CD4FF2" w:rsidP="000C7392">
      <w:pPr>
        <w:pStyle w:val="Heading1"/>
        <w:ind w:right="-113"/>
        <w:rPr>
          <w:rFonts w:cs="Times New Roman Bold"/>
          <w:spacing w:val="-2"/>
          <w:lang w:val="es-ES" w:eastAsia="ko-KR"/>
        </w:rPr>
      </w:pPr>
      <w:r w:rsidRPr="00C537A9">
        <w:rPr>
          <w:bCs/>
          <w:lang w:val="es-ES" w:eastAsia="ko-KR"/>
        </w:rPr>
        <w:t>5</w:t>
      </w:r>
      <w:r w:rsidRPr="00C537A9">
        <w:rPr>
          <w:lang w:val="es-ES" w:eastAsia="ko-KR"/>
        </w:rPr>
        <w:tab/>
        <w:t xml:space="preserve">Proyecto de la Sede de la Unión y plan estratégico del complejo (Documentos </w:t>
      </w:r>
      <w:hyperlink r:id="rId37" w:history="1">
        <w:proofErr w:type="spellStart"/>
        <w:r w:rsidRPr="00C537A9">
          <w:rPr>
            <w:rStyle w:val="Hyperlink"/>
            <w:rFonts w:cs="Times New Roman Bold"/>
            <w:spacing w:val="-2"/>
            <w:lang w:val="es-ES" w:eastAsia="ko-KR"/>
          </w:rPr>
          <w:t>CWG</w:t>
        </w:r>
        <w:proofErr w:type="spellEnd"/>
        <w:r w:rsidRPr="00C537A9">
          <w:rPr>
            <w:rStyle w:val="Hyperlink"/>
            <w:rFonts w:cs="Times New Roman Bold"/>
            <w:spacing w:val="-2"/>
            <w:lang w:val="es-ES" w:eastAsia="ko-KR"/>
          </w:rPr>
          <w:t>-</w:t>
        </w:r>
        <w:proofErr w:type="spellStart"/>
        <w:r w:rsidRPr="00C537A9">
          <w:rPr>
            <w:rStyle w:val="Hyperlink"/>
            <w:rFonts w:cs="Times New Roman Bold"/>
            <w:spacing w:val="-2"/>
            <w:lang w:val="es-ES" w:eastAsia="ko-KR"/>
          </w:rPr>
          <w:t>FHR</w:t>
        </w:r>
        <w:proofErr w:type="spellEnd"/>
        <w:r w:rsidRPr="00C537A9">
          <w:rPr>
            <w:rStyle w:val="Hyperlink"/>
            <w:rFonts w:cs="Times New Roman Bold"/>
            <w:spacing w:val="-2"/>
            <w:lang w:val="es-ES" w:eastAsia="ko-KR"/>
          </w:rPr>
          <w:t>-21/5(</w:t>
        </w:r>
        <w:proofErr w:type="spellStart"/>
        <w:r w:rsidRPr="00C537A9">
          <w:rPr>
            <w:rStyle w:val="Hyperlink"/>
            <w:rFonts w:cs="Times New Roman Bold"/>
            <w:spacing w:val="-2"/>
            <w:lang w:val="es-ES" w:eastAsia="ko-KR"/>
          </w:rPr>
          <w:t>Rev.1</w:t>
        </w:r>
        <w:proofErr w:type="spellEnd"/>
        <w:r w:rsidRPr="00C537A9">
          <w:rPr>
            <w:rStyle w:val="Hyperlink"/>
            <w:rFonts w:cs="Times New Roman Bold"/>
            <w:spacing w:val="-2"/>
            <w:lang w:val="es-ES" w:eastAsia="ko-KR"/>
          </w:rPr>
          <w:t>)</w:t>
        </w:r>
      </w:hyperlink>
      <w:r w:rsidRPr="00C537A9">
        <w:rPr>
          <w:rFonts w:cs="Times New Roman Bold"/>
          <w:spacing w:val="-2"/>
          <w:lang w:val="es-ES" w:eastAsia="ko-KR"/>
        </w:rPr>
        <w:t xml:space="preserve">, </w:t>
      </w:r>
      <w:hyperlink r:id="rId38" w:history="1">
        <w:proofErr w:type="spellStart"/>
        <w:r w:rsidRPr="00C537A9">
          <w:rPr>
            <w:rStyle w:val="Hyperlink"/>
            <w:rFonts w:cs="Times New Roman Bold"/>
            <w:spacing w:val="-2"/>
            <w:lang w:val="es-ES" w:eastAsia="ko-KR"/>
          </w:rPr>
          <w:t>CWG</w:t>
        </w:r>
        <w:proofErr w:type="spellEnd"/>
        <w:r w:rsidRPr="00C537A9">
          <w:rPr>
            <w:rStyle w:val="Hyperlink"/>
            <w:rFonts w:cs="Times New Roman Bold"/>
            <w:spacing w:val="-2"/>
            <w:lang w:val="es-ES" w:eastAsia="ko-KR"/>
          </w:rPr>
          <w:t>-</w:t>
        </w:r>
        <w:proofErr w:type="spellStart"/>
        <w:r w:rsidRPr="00C537A9">
          <w:rPr>
            <w:rStyle w:val="Hyperlink"/>
            <w:rFonts w:cs="Times New Roman Bold"/>
            <w:spacing w:val="-2"/>
            <w:lang w:val="es-ES" w:eastAsia="ko-KR"/>
          </w:rPr>
          <w:t>FHR</w:t>
        </w:r>
        <w:proofErr w:type="spellEnd"/>
        <w:r w:rsidRPr="00C537A9">
          <w:rPr>
            <w:rStyle w:val="Hyperlink"/>
            <w:rFonts w:cs="Times New Roman Bold"/>
            <w:spacing w:val="-2"/>
            <w:lang w:val="es-ES" w:eastAsia="ko-KR"/>
          </w:rPr>
          <w:t>-21/6</w:t>
        </w:r>
      </w:hyperlink>
      <w:r w:rsidRPr="00C537A9">
        <w:rPr>
          <w:rFonts w:cs="Times New Roman Bold"/>
          <w:spacing w:val="-2"/>
          <w:lang w:val="es-ES" w:eastAsia="ko-KR"/>
        </w:rPr>
        <w:t xml:space="preserve">, </w:t>
      </w:r>
      <w:hyperlink r:id="rId39" w:history="1">
        <w:proofErr w:type="spellStart"/>
        <w:r w:rsidRPr="00C537A9">
          <w:rPr>
            <w:rStyle w:val="Hyperlink"/>
            <w:rFonts w:cs="Times New Roman Bold"/>
            <w:spacing w:val="-2"/>
            <w:lang w:val="es-ES" w:eastAsia="ko-KR"/>
          </w:rPr>
          <w:t>CWG</w:t>
        </w:r>
        <w:proofErr w:type="spellEnd"/>
        <w:r w:rsidRPr="00C537A9">
          <w:rPr>
            <w:rStyle w:val="Hyperlink"/>
            <w:rFonts w:cs="Times New Roman Bold"/>
            <w:spacing w:val="-2"/>
            <w:lang w:val="es-ES" w:eastAsia="ko-KR"/>
          </w:rPr>
          <w:t>-</w:t>
        </w:r>
        <w:proofErr w:type="spellStart"/>
        <w:r w:rsidRPr="00C537A9">
          <w:rPr>
            <w:rStyle w:val="Hyperlink"/>
            <w:rFonts w:cs="Times New Roman Bold"/>
            <w:spacing w:val="-2"/>
            <w:lang w:val="es-ES" w:eastAsia="ko-KR"/>
          </w:rPr>
          <w:t>FHR</w:t>
        </w:r>
        <w:proofErr w:type="spellEnd"/>
        <w:r w:rsidRPr="00C537A9">
          <w:rPr>
            <w:rStyle w:val="Hyperlink"/>
            <w:rFonts w:cs="Times New Roman Bold"/>
            <w:spacing w:val="-2"/>
            <w:lang w:val="es-ES" w:eastAsia="ko-KR"/>
          </w:rPr>
          <w:t>-22/8(</w:t>
        </w:r>
        <w:proofErr w:type="spellStart"/>
        <w:r w:rsidRPr="00C537A9">
          <w:rPr>
            <w:rStyle w:val="Hyperlink"/>
            <w:rFonts w:cs="Times New Roman Bold"/>
            <w:spacing w:val="-2"/>
            <w:lang w:val="es-ES" w:eastAsia="ko-KR"/>
          </w:rPr>
          <w:t>Rev.1</w:t>
        </w:r>
        <w:proofErr w:type="spellEnd"/>
        <w:r w:rsidRPr="00C537A9">
          <w:rPr>
            <w:rStyle w:val="Hyperlink"/>
            <w:rFonts w:cs="Times New Roman Bold"/>
            <w:spacing w:val="-2"/>
            <w:lang w:val="es-ES" w:eastAsia="ko-KR"/>
          </w:rPr>
          <w:t>)</w:t>
        </w:r>
      </w:hyperlink>
      <w:r w:rsidRPr="00C537A9">
        <w:rPr>
          <w:rFonts w:cs="Times New Roman Bold"/>
          <w:spacing w:val="-2"/>
          <w:lang w:val="es-ES" w:eastAsia="ko-KR"/>
        </w:rPr>
        <w:t xml:space="preserve"> y </w:t>
      </w:r>
      <w:hyperlink r:id="rId40" w:history="1">
        <w:proofErr w:type="spellStart"/>
        <w:r w:rsidRPr="00C537A9">
          <w:rPr>
            <w:rStyle w:val="Hyperlink"/>
            <w:rFonts w:cs="Times New Roman Bold"/>
            <w:spacing w:val="-2"/>
            <w:lang w:val="es-ES" w:eastAsia="ko-KR"/>
          </w:rPr>
          <w:t>CWG</w:t>
        </w:r>
        <w:proofErr w:type="spellEnd"/>
        <w:r w:rsidRPr="00C537A9">
          <w:rPr>
            <w:rStyle w:val="Hyperlink"/>
            <w:rFonts w:cs="Times New Roman Bold"/>
            <w:spacing w:val="-2"/>
            <w:lang w:val="es-ES" w:eastAsia="ko-KR"/>
          </w:rPr>
          <w:t>-</w:t>
        </w:r>
        <w:proofErr w:type="spellStart"/>
        <w:r w:rsidRPr="00C537A9">
          <w:rPr>
            <w:rStyle w:val="Hyperlink"/>
            <w:rFonts w:cs="Times New Roman Bold"/>
            <w:spacing w:val="-2"/>
            <w:lang w:val="es-ES" w:eastAsia="ko-KR"/>
          </w:rPr>
          <w:t>FHR</w:t>
        </w:r>
        <w:proofErr w:type="spellEnd"/>
        <w:r w:rsidRPr="00C537A9">
          <w:rPr>
            <w:rStyle w:val="Hyperlink"/>
            <w:rFonts w:cs="Times New Roman Bold"/>
            <w:spacing w:val="-2"/>
            <w:lang w:val="es-ES" w:eastAsia="ko-KR"/>
          </w:rPr>
          <w:t>-22-5(</w:t>
        </w:r>
        <w:proofErr w:type="spellStart"/>
        <w:r w:rsidRPr="00C537A9">
          <w:rPr>
            <w:rStyle w:val="Hyperlink"/>
            <w:rFonts w:cs="Times New Roman Bold"/>
            <w:spacing w:val="-2"/>
            <w:lang w:val="es-ES" w:eastAsia="ko-KR"/>
          </w:rPr>
          <w:t>Rev.1</w:t>
        </w:r>
        <w:proofErr w:type="spellEnd"/>
        <w:r w:rsidRPr="00C537A9">
          <w:rPr>
            <w:rStyle w:val="Hyperlink"/>
            <w:rFonts w:cs="Times New Roman Bold"/>
            <w:spacing w:val="-2"/>
            <w:lang w:val="es-ES" w:eastAsia="ko-KR"/>
          </w:rPr>
          <w:t>)</w:t>
        </w:r>
      </w:hyperlink>
      <w:r w:rsidRPr="00C537A9">
        <w:rPr>
          <w:lang w:val="es-ES" w:eastAsia="ko-KR"/>
        </w:rPr>
        <w:t>)</w:t>
      </w:r>
      <w:hyperlink r:id="rId41" w:history="1"/>
      <w:hyperlink r:id="rId42" w:history="1"/>
      <w:hyperlink r:id="rId43" w:history="1">
        <w:bookmarkStart w:id="1" w:name="_Hlt222310251"/>
        <w:bookmarkStart w:id="2" w:name="_Hlt222310252"/>
        <w:bookmarkEnd w:id="1"/>
        <w:bookmarkEnd w:id="2"/>
      </w:hyperlink>
      <w:hyperlink r:id="rId44" w:history="1"/>
    </w:p>
    <w:p w14:paraId="14B7A3C7" w14:textId="098AB1BC" w:rsidR="00CD4FF2" w:rsidRPr="00C537A9" w:rsidRDefault="00CD4FF2" w:rsidP="00973B55">
      <w:pPr>
        <w:jc w:val="both"/>
        <w:rPr>
          <w:lang w:val="es-ES" w:eastAsia="ko-KR"/>
        </w:rPr>
      </w:pPr>
      <w:r w:rsidRPr="00C537A9">
        <w:rPr>
          <w:lang w:val="es-ES" w:eastAsia="ko-KR"/>
        </w:rPr>
        <w:t>5.1</w:t>
      </w:r>
      <w:r w:rsidRPr="00C537A9">
        <w:rPr>
          <w:lang w:val="es-ES" w:eastAsia="ko-KR"/>
        </w:rPr>
        <w:tab/>
        <w:t>Al informar sobre las novedades durante la 21</w:t>
      </w:r>
      <w:r w:rsidR="00AB4AD1">
        <w:rPr>
          <w:lang w:val="es-ES" w:eastAsia="ko-KR"/>
        </w:rPr>
        <w:t>.</w:t>
      </w:r>
      <w:r w:rsidRPr="00C537A9">
        <w:rPr>
          <w:lang w:val="es-ES" w:eastAsia="ko-KR"/>
        </w:rPr>
        <w:t>ª reunión del GTC-RHF, la Secretaría se centró en el plan estratégico del complejo y las actividades de apoyo conexas para garantizar que el complejo de la UIT sea adecuado para su fin y para el futuro. En preparación para el examen de la Resolución 212 (Rev. Bucarest, 2022) durante la PP-26, la Secretaría informó a los delegados del estudio realizado por la UIT sobre el complejo de Ginebra, así como de tres posibilidades futuras para el complejo. Tras señalar la necesidad de contar todo el complejo en 2032, la Secretaría subrayó que no es preciso elegir uno de los escenarios posibles antes de la PP-26. Sin embargo, la Secretaría sí necesita que los delegados revisen la Resolución</w:t>
      </w:r>
      <w:r w:rsidR="00183C33">
        <w:rPr>
          <w:lang w:val="es-ES" w:eastAsia="ko-KR"/>
        </w:rPr>
        <w:t> </w:t>
      </w:r>
      <w:r w:rsidRPr="00C537A9">
        <w:rPr>
          <w:lang w:val="es-ES" w:eastAsia="ko-KR"/>
        </w:rPr>
        <w:t>212</w:t>
      </w:r>
      <w:r w:rsidR="00183C33">
        <w:rPr>
          <w:lang w:val="es-ES" w:eastAsia="ko-KR"/>
        </w:rPr>
        <w:t> </w:t>
      </w:r>
      <w:r w:rsidRPr="00C537A9">
        <w:rPr>
          <w:lang w:val="es-ES" w:eastAsia="ko-KR"/>
        </w:rPr>
        <w:t xml:space="preserve">(Rev. Bucarest, 2022) para permitir la continuidad de los procesos de desarrollo del plan estratégico del complejo. </w:t>
      </w:r>
    </w:p>
    <w:p w14:paraId="6412B8F2" w14:textId="77777777" w:rsidR="00CD4FF2" w:rsidRPr="00C537A9" w:rsidRDefault="00CD4FF2" w:rsidP="00973B55">
      <w:pPr>
        <w:jc w:val="both"/>
        <w:rPr>
          <w:spacing w:val="-2"/>
          <w:lang w:val="es-ES" w:eastAsia="ko-KR"/>
        </w:rPr>
      </w:pPr>
      <w:r w:rsidRPr="00C537A9">
        <w:rPr>
          <w:lang w:val="es-ES" w:eastAsia="ko-KR"/>
        </w:rPr>
        <w:t>5.2</w:t>
      </w:r>
      <w:r w:rsidRPr="00C537A9">
        <w:rPr>
          <w:lang w:val="es-ES" w:eastAsia="ko-KR"/>
        </w:rPr>
        <w:tab/>
        <w:t>En respuesta, un delegado de Suiza recordó al Grupo de Trabajo del Consejo que, cuando una organización internacional recibe condiciones ventajosas del Estado anfitrión, como un préstamo con interés al 0 %, se acota la superficie alquilable de un edificio financiado por ese préstamo a fin de garantizar la competencia leal. Otros delegados pidieron aclaraciones sobre la relación entre los proyectos del complejo y la iniciativa del Centro de Reuniones. Un delegado sugirió equilibrar las inversiones en el complejo con los debates sobre la presencia regional de la UIT, de modo que el fortalecimiento de Ginebra no se produzca a expensas de la región.</w:t>
      </w:r>
    </w:p>
    <w:p w14:paraId="3D4E09D6" w14:textId="5F2282E9" w:rsidR="00CD4FF2" w:rsidRPr="00C537A9" w:rsidRDefault="00CD4FF2" w:rsidP="00973B55">
      <w:pPr>
        <w:jc w:val="both"/>
        <w:rPr>
          <w:lang w:val="es-ES" w:eastAsia="ko-KR"/>
        </w:rPr>
      </w:pPr>
      <w:r w:rsidRPr="00C537A9">
        <w:rPr>
          <w:lang w:val="es-ES" w:eastAsia="ko-KR"/>
        </w:rPr>
        <w:t>5.3</w:t>
      </w:r>
      <w:r w:rsidRPr="00C537A9">
        <w:rPr>
          <w:lang w:val="es-ES" w:eastAsia="ko-KR"/>
        </w:rPr>
        <w:tab/>
        <w:t>Además, la 21</w:t>
      </w:r>
      <w:r w:rsidR="00AB4AD1">
        <w:rPr>
          <w:lang w:val="es-ES" w:eastAsia="ko-KR"/>
        </w:rPr>
        <w:t>.</w:t>
      </w:r>
      <w:r w:rsidRPr="00C537A9">
        <w:rPr>
          <w:lang w:val="es-ES" w:eastAsia="ko-KR"/>
        </w:rPr>
        <w:t xml:space="preserve">ª reunión recibió dos contribuciones de Estados Miembros. En una contribución (Documento </w:t>
      </w:r>
      <w:hyperlink r:id="rId45" w:history="1">
        <w:proofErr w:type="spellStart"/>
        <w:r w:rsidRPr="00C537A9">
          <w:rPr>
            <w:rStyle w:val="Hyperlink"/>
            <w:rFonts w:eastAsia="Aptos" w:cs="Arial"/>
            <w:kern w:val="2"/>
            <w:lang w:val="es-ES" w:eastAsia="ko-KR"/>
            <w14:ligatures w14:val="standardContextual"/>
          </w:rPr>
          <w:t>CWG</w:t>
        </w:r>
        <w:proofErr w:type="spellEnd"/>
        <w:r w:rsidRPr="00C537A9">
          <w:rPr>
            <w:rStyle w:val="Hyperlink"/>
            <w:rFonts w:eastAsia="Aptos" w:cs="Arial"/>
            <w:kern w:val="2"/>
            <w:lang w:val="es-ES" w:eastAsia="ko-KR"/>
            <w14:ligatures w14:val="standardContextual"/>
          </w:rPr>
          <w:t>-</w:t>
        </w:r>
        <w:proofErr w:type="spellStart"/>
        <w:r w:rsidRPr="00C537A9">
          <w:rPr>
            <w:rStyle w:val="Hyperlink"/>
            <w:rFonts w:eastAsia="Aptos" w:cs="Arial"/>
            <w:kern w:val="2"/>
            <w:lang w:val="es-ES" w:eastAsia="ko-KR"/>
            <w14:ligatures w14:val="standardContextual"/>
          </w:rPr>
          <w:t>FHR</w:t>
        </w:r>
        <w:proofErr w:type="spellEnd"/>
        <w:r w:rsidRPr="00C537A9">
          <w:rPr>
            <w:rStyle w:val="Hyperlink"/>
            <w:rFonts w:eastAsia="Aptos" w:cs="Arial"/>
            <w:kern w:val="2"/>
            <w:lang w:val="es-ES" w:eastAsia="ko-KR"/>
            <w14:ligatures w14:val="standardContextual"/>
          </w:rPr>
          <w:t>-21/18</w:t>
        </w:r>
      </w:hyperlink>
      <w:r w:rsidRPr="00C537A9">
        <w:rPr>
          <w:lang w:val="es-ES" w:eastAsia="ko-KR"/>
        </w:rPr>
        <w:t>) de Sudáfrica se solicitó oficialmente la presentación del Registro de Riesgos a la próxima reunión del GTC-RHF a fin de facilitar el seguimiento integral de las estrategias de gestión de riesgos y las medidas de mitigación. La Presidenta tomó nota de esta petición y pidió al Presidente del Grupo Asesor de los Estados Miembros (</w:t>
      </w:r>
      <w:proofErr w:type="spellStart"/>
      <w:r w:rsidRPr="00C537A9">
        <w:rPr>
          <w:lang w:val="es-ES" w:eastAsia="ko-KR"/>
        </w:rPr>
        <w:t>GAEM</w:t>
      </w:r>
      <w:proofErr w:type="spellEnd"/>
      <w:r w:rsidRPr="00C537A9">
        <w:rPr>
          <w:lang w:val="es-ES" w:eastAsia="ko-KR"/>
        </w:rPr>
        <w:t xml:space="preserve">) que informara sobre los riesgos estratégicos en futuras reuniones del Consejo y del GTC-RHF. La segunda contribución (Documento </w:t>
      </w:r>
      <w:hyperlink r:id="rId46" w:history="1">
        <w:proofErr w:type="spellStart"/>
        <w:r w:rsidRPr="00C537A9">
          <w:rPr>
            <w:rStyle w:val="Hyperlink"/>
            <w:rFonts w:eastAsia="Aptos" w:cs="Arial"/>
            <w:kern w:val="2"/>
            <w:lang w:val="es-ES" w:eastAsia="ko-KR"/>
            <w14:ligatures w14:val="standardContextual"/>
          </w:rPr>
          <w:t>CWG</w:t>
        </w:r>
        <w:proofErr w:type="spellEnd"/>
        <w:r w:rsidRPr="00C537A9">
          <w:rPr>
            <w:rStyle w:val="Hyperlink"/>
            <w:rFonts w:eastAsia="Aptos" w:cs="Arial"/>
            <w:kern w:val="2"/>
            <w:lang w:val="es-ES" w:eastAsia="ko-KR"/>
            <w14:ligatures w14:val="standardContextual"/>
          </w:rPr>
          <w:t>-</w:t>
        </w:r>
        <w:proofErr w:type="spellStart"/>
        <w:r w:rsidRPr="00C537A9">
          <w:rPr>
            <w:rStyle w:val="Hyperlink"/>
            <w:rFonts w:eastAsia="Aptos" w:cs="Arial"/>
            <w:kern w:val="2"/>
            <w:lang w:val="es-ES" w:eastAsia="ko-KR"/>
            <w14:ligatures w14:val="standardContextual"/>
          </w:rPr>
          <w:t>FHR</w:t>
        </w:r>
        <w:proofErr w:type="spellEnd"/>
        <w:r w:rsidRPr="00C537A9">
          <w:rPr>
            <w:rStyle w:val="Hyperlink"/>
            <w:rFonts w:eastAsia="Aptos" w:cs="Arial"/>
            <w:kern w:val="2"/>
            <w:lang w:val="es-ES" w:eastAsia="ko-KR"/>
            <w14:ligatures w14:val="standardContextual"/>
          </w:rPr>
          <w:t>-21/21</w:t>
        </w:r>
      </w:hyperlink>
      <w:r w:rsidRPr="00C537A9">
        <w:rPr>
          <w:lang w:val="es-ES" w:eastAsia="ko-KR"/>
        </w:rPr>
        <w:t xml:space="preserve">) procede de la CRC y Tayikistán. En ella, se proponía racionalizar las resoluciones anteriores del Consejo y de la Conferencia de Plenipotenciarios, revisar las resoluciones y acuerdos pertinentes para conservar el edificio de la Torre, conservar las principales salas de reunión y los elementos históricos, y solicitar que la Secretaria General presente un proyecto conceptual que responda mejor a las necesidades de los Miembros y del personal. </w:t>
      </w:r>
      <w:hyperlink r:id="rId47" w:history="1"/>
      <w:hyperlink r:id="rId48" w:history="1"/>
    </w:p>
    <w:p w14:paraId="75DC1C1F" w14:textId="45FDCDEB" w:rsidR="00CD4FF2" w:rsidRPr="00C537A9" w:rsidRDefault="00CD4FF2" w:rsidP="00973B55">
      <w:pPr>
        <w:jc w:val="both"/>
        <w:rPr>
          <w:lang w:val="es-ES" w:eastAsia="ko-KR"/>
        </w:rPr>
      </w:pPr>
      <w:r w:rsidRPr="00C537A9">
        <w:rPr>
          <w:lang w:val="es-ES" w:eastAsia="ko-KR"/>
        </w:rPr>
        <w:t>5.4</w:t>
      </w:r>
      <w:r w:rsidRPr="00C537A9">
        <w:rPr>
          <w:lang w:val="es-ES" w:eastAsia="ko-KR"/>
        </w:rPr>
        <w:tab/>
        <w:t>En la 22</w:t>
      </w:r>
      <w:r w:rsidR="00AB4AD1">
        <w:rPr>
          <w:lang w:val="es-ES" w:eastAsia="ko-KR"/>
        </w:rPr>
        <w:t>.</w:t>
      </w:r>
      <w:r w:rsidRPr="00C537A9">
        <w:rPr>
          <w:lang w:val="es-ES" w:eastAsia="ko-KR"/>
        </w:rPr>
        <w:t xml:space="preserve">ª reunión, la Presidenta, tras celebrar consultas informales con la CRC y la República Kirguisa, presentó el Documento </w:t>
      </w:r>
      <w:hyperlink r:id="rId49"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-22/22</w:t>
        </w:r>
      </w:hyperlink>
      <w:r w:rsidRPr="00C537A9">
        <w:rPr>
          <w:lang w:val="es-ES" w:eastAsia="ko-KR"/>
        </w:rPr>
        <w:t xml:space="preserve"> en el que se aclaraba a los delegados que ya no era necesario realizar ningún debate puesto que la Secretaría había revisado los Documentos </w:t>
      </w:r>
      <w:hyperlink r:id="rId50"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-22/8</w:t>
        </w:r>
      </w:hyperlink>
      <w:r w:rsidRPr="00C537A9">
        <w:rPr>
          <w:lang w:val="es-ES" w:eastAsia="ko-KR"/>
        </w:rPr>
        <w:t xml:space="preserve"> y </w:t>
      </w:r>
      <w:hyperlink r:id="rId51"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-22/5</w:t>
        </w:r>
      </w:hyperlink>
      <w:r w:rsidRPr="00C537A9">
        <w:rPr>
          <w:lang w:val="es-ES" w:eastAsia="ko-KR"/>
        </w:rPr>
        <w:t xml:space="preserve"> para incluir la información de la</w:t>
      </w:r>
      <w:r w:rsidR="000D41F6">
        <w:rPr>
          <w:lang w:val="es-ES" w:eastAsia="ko-KR"/>
        </w:rPr>
        <w:t> </w:t>
      </w:r>
      <w:r w:rsidRPr="00C537A9">
        <w:rPr>
          <w:lang w:val="es-ES" w:eastAsia="ko-KR"/>
        </w:rPr>
        <w:t>21</w:t>
      </w:r>
      <w:r w:rsidR="00AB4AD1">
        <w:rPr>
          <w:lang w:val="es-ES" w:eastAsia="ko-KR"/>
        </w:rPr>
        <w:t>.</w:t>
      </w:r>
      <w:r w:rsidRPr="00C537A9">
        <w:rPr>
          <w:lang w:val="es-ES" w:eastAsia="ko-KR"/>
        </w:rPr>
        <w:t xml:space="preserve">ª reunión del GTC-RHF que faltaba. A continuación, la Secretaría comunicó al GTC-RHF </w:t>
      </w:r>
      <w:r w:rsidRPr="00C537A9">
        <w:rPr>
          <w:lang w:val="es-ES" w:eastAsia="ko-KR"/>
        </w:rPr>
        <w:lastRenderedPageBreak/>
        <w:t xml:space="preserve">que se estaba respetando el calendario general para el proyecto de la Sede, que se encuentra actualmente en la fase de diseño conceptual tras completar el estudio de viabilidad. También se señaló que la Secretaría ha contratado los servicios de gestión de proyectos de Cumming Group &amp; JAM Management </w:t>
      </w:r>
      <w:proofErr w:type="spellStart"/>
      <w:r w:rsidRPr="00C537A9">
        <w:rPr>
          <w:lang w:val="es-ES" w:eastAsia="ko-KR"/>
        </w:rPr>
        <w:t>Consortium</w:t>
      </w:r>
      <w:proofErr w:type="spellEnd"/>
      <w:r w:rsidRPr="00C537A9">
        <w:rPr>
          <w:lang w:val="es-ES" w:eastAsia="ko-KR"/>
        </w:rPr>
        <w:t>. La Secretaría también habló de su estrecha asociación con el país anfitrión, Suiza, así como de la iniciativa vecinal más amplia para garantizar que la UIT tiene una convivencia armoniosa en la zona y cumple los requisitos de seguridad de las Naciones Unidas. Al revisar la principal novedad de la 21</w:t>
      </w:r>
      <w:r w:rsidR="00AB4AD1">
        <w:rPr>
          <w:lang w:val="es-ES" w:eastAsia="ko-KR"/>
        </w:rPr>
        <w:t>.</w:t>
      </w:r>
      <w:r w:rsidRPr="00C537A9">
        <w:rPr>
          <w:lang w:val="es-ES" w:eastAsia="ko-KR"/>
        </w:rPr>
        <w:t>ª reunión, la Secretaría informó sobre la estrategia de desarrollo para la financiación y planificación de capital futuras a fin de confirmar que el complejo de la UIT es adecuado para su fin. Para concluir, la Secretaría afirmó que seguirá colaborando con expertos en el sector inmobiliario, que ya trabajaron con la Organización Mundial de la Propiedad Intelectual (OMPI), y presentará un informe más sustantivo al Consejo de 2026 antes de que se vuelva a examinar la Resolución 212 (Rev. Bucarest, 2022) en la PP-26.</w:t>
      </w:r>
      <w:hyperlink r:id="rId52" w:history="1"/>
      <w:hyperlink r:id="rId53" w:history="1"/>
      <w:hyperlink r:id="rId54" w:history="1"/>
    </w:p>
    <w:p w14:paraId="182FD91C" w14:textId="77777777" w:rsidR="00CD4FF2" w:rsidRPr="00C537A9" w:rsidRDefault="00CD4FF2" w:rsidP="00973B55">
      <w:pPr>
        <w:jc w:val="both"/>
        <w:rPr>
          <w:lang w:val="es-ES" w:eastAsia="ko-KR"/>
        </w:rPr>
      </w:pPr>
      <w:r w:rsidRPr="00C537A9">
        <w:rPr>
          <w:lang w:val="es-ES" w:eastAsia="ko-KR"/>
        </w:rPr>
        <w:t>5.5</w:t>
      </w:r>
      <w:r w:rsidRPr="00C537A9">
        <w:rPr>
          <w:lang w:val="es-ES" w:eastAsia="ko-KR"/>
        </w:rPr>
        <w:tab/>
        <w:t xml:space="preserve">Tras la intervención de la Secretaría, el Presidente del </w:t>
      </w:r>
      <w:proofErr w:type="spellStart"/>
      <w:r w:rsidRPr="00C537A9">
        <w:rPr>
          <w:lang w:val="es-ES" w:eastAsia="ko-KR"/>
        </w:rPr>
        <w:t>GAEM</w:t>
      </w:r>
      <w:proofErr w:type="spellEnd"/>
      <w:r w:rsidRPr="00C537A9">
        <w:rPr>
          <w:lang w:val="es-ES" w:eastAsia="ko-KR"/>
        </w:rPr>
        <w:t xml:space="preserve"> presentó su informe (Documento </w:t>
      </w:r>
      <w:hyperlink r:id="rId55"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-22/24</w:t>
        </w:r>
      </w:hyperlink>
      <w:r w:rsidRPr="00C537A9">
        <w:rPr>
          <w:lang w:val="es-ES" w:eastAsia="ko-KR"/>
        </w:rPr>
        <w:t xml:space="preserve">) confirmando que todos los riesgos del proyecto se están examinando de forma activa y periódica y que los fondos de reserva actuales son (por ahora) suficientes. También comunicó a los delegados que se mantendrá el registro de riesgos como punto permanente del orden del día y que el examen del registro que está realizando actualmente el </w:t>
      </w:r>
      <w:proofErr w:type="spellStart"/>
      <w:r w:rsidRPr="00C537A9">
        <w:rPr>
          <w:lang w:val="es-ES" w:eastAsia="ko-KR"/>
        </w:rPr>
        <w:t>GAEM</w:t>
      </w:r>
      <w:proofErr w:type="spellEnd"/>
      <w:r w:rsidRPr="00C537A9">
        <w:rPr>
          <w:lang w:val="es-ES" w:eastAsia="ko-KR"/>
        </w:rPr>
        <w:t xml:space="preserve"> incorporará las opiniones del equipo de gestión del proyecto al que se acaba de contratar y el conocimiento del mercado ginebrino. </w:t>
      </w:r>
      <w:hyperlink r:id="rId56" w:history="1"/>
    </w:p>
    <w:p w14:paraId="7EA8C6C8" w14:textId="77777777" w:rsidR="00CD4FF2" w:rsidRPr="00C537A9" w:rsidRDefault="00CD4FF2" w:rsidP="00973B55">
      <w:pPr>
        <w:jc w:val="both"/>
        <w:rPr>
          <w:lang w:val="es-ES" w:eastAsia="ko-KR"/>
        </w:rPr>
      </w:pPr>
      <w:r w:rsidRPr="00C537A9">
        <w:rPr>
          <w:lang w:val="es-ES" w:eastAsia="ko-KR"/>
        </w:rPr>
        <w:t>5.6</w:t>
      </w:r>
      <w:r w:rsidRPr="00C537A9">
        <w:rPr>
          <w:lang w:val="es-ES" w:eastAsia="ko-KR"/>
        </w:rPr>
        <w:tab/>
        <w:t xml:space="preserve">Los delegados formularon una serie de preguntas aclaratorias relacionadas con el concepto subyacente del plan maestro vecinal, con el plan del edificio y con el plan de costos plurianual. Surgieron otras preguntas sobre el nuevo marco gubernamental propuesto para la construcción de la Sede y sobre el planteamiento previsto por la Secretaría para los déficits de financiación, por ejemplo, el déficit derivado de la retirada del patrocinio de los Emiratos Árabes Unidos. </w:t>
      </w:r>
    </w:p>
    <w:p w14:paraId="2BDEEF07" w14:textId="77777777" w:rsidR="00CD4FF2" w:rsidRPr="00C537A9" w:rsidRDefault="00CD4FF2" w:rsidP="00973B55">
      <w:pPr>
        <w:jc w:val="both"/>
        <w:rPr>
          <w:lang w:val="es-ES" w:eastAsia="ko-KR"/>
        </w:rPr>
      </w:pPr>
      <w:r w:rsidRPr="00C537A9">
        <w:rPr>
          <w:lang w:val="es-ES" w:eastAsia="ko-KR"/>
        </w:rPr>
        <w:t>5.7</w:t>
      </w:r>
      <w:r w:rsidRPr="00C537A9">
        <w:rPr>
          <w:lang w:val="es-ES" w:eastAsia="ko-KR"/>
        </w:rPr>
        <w:tab/>
        <w:t xml:space="preserve">Un delegado solicitó un análisis hipotético de emplazamientos de estaciones de bajo coste. En respuesta, la Secretaría confirmó que ya se había puesto en marcha una iniciativa de Recursos Humanos y de Administración y Finanzas para evaluar todos los puestos de trabajo en la UIT y la necesidad de contar con ellos en un lugar de destino, ubicación regional u oficina de zona específicos. La intención de la UIT es reducir costes y reforzar tanto la presencia regional como el posicionamiento global de la UIT en el mundo. </w:t>
      </w:r>
    </w:p>
    <w:p w14:paraId="2284A980" w14:textId="54E99A2C" w:rsidR="00CD4FF2" w:rsidRPr="00C537A9" w:rsidRDefault="00CD4FF2" w:rsidP="00973B55">
      <w:pPr>
        <w:pBdr>
          <w:top w:val="single" w:sz="4" w:space="1" w:color="auto"/>
          <w:left w:val="single" w:sz="4" w:space="4" w:color="auto"/>
          <w:bottom w:val="single" w:sz="4" w:space="1" w:color="auto"/>
          <w:right w:val="single" w:sz="4" w:space="4" w:color="auto"/>
        </w:pBdr>
        <w:jc w:val="both"/>
        <w:rPr>
          <w:lang w:val="es-ES" w:eastAsia="ko-KR"/>
        </w:rPr>
      </w:pPr>
      <w:r w:rsidRPr="00C537A9">
        <w:rPr>
          <w:lang w:val="es-ES" w:eastAsia="ko-KR"/>
        </w:rPr>
        <w:t>5.8</w:t>
      </w:r>
      <w:r w:rsidRPr="00C537A9">
        <w:rPr>
          <w:lang w:val="es-ES" w:eastAsia="ko-KR"/>
        </w:rPr>
        <w:tab/>
        <w:t xml:space="preserve">El GTC-RHF </w:t>
      </w:r>
      <w:r w:rsidRPr="00C537A9">
        <w:rPr>
          <w:b/>
          <w:bCs/>
          <w:lang w:val="es-ES" w:eastAsia="ko-KR"/>
        </w:rPr>
        <w:t xml:space="preserve">recomendó </w:t>
      </w:r>
      <w:r w:rsidRPr="00C537A9">
        <w:rPr>
          <w:lang w:val="es-ES" w:eastAsia="ko-KR"/>
        </w:rPr>
        <w:t>que la Secretaría presentara un informe actualizado al Consejo. El informe debe incluir el plan vecinal, más información sobre el plan de mantenimiento del complejo e información adicional sobre la estrategia de mitigación por la pérdida de 5</w:t>
      </w:r>
      <w:r w:rsidR="004E16B3">
        <w:rPr>
          <w:lang w:val="es-ES" w:eastAsia="ko-KR"/>
        </w:rPr>
        <w:t> </w:t>
      </w:r>
      <w:r w:rsidRPr="00C537A9">
        <w:rPr>
          <w:lang w:val="es-ES" w:eastAsia="ko-KR"/>
        </w:rPr>
        <w:t>millones</w:t>
      </w:r>
      <w:r w:rsidR="004E16B3">
        <w:rPr>
          <w:lang w:val="es-ES" w:eastAsia="ko-KR"/>
        </w:rPr>
        <w:t> </w:t>
      </w:r>
      <w:r w:rsidRPr="00C537A9">
        <w:rPr>
          <w:lang w:val="es-ES" w:eastAsia="ko-KR"/>
        </w:rPr>
        <w:t xml:space="preserve">CHF. </w:t>
      </w:r>
    </w:p>
    <w:p w14:paraId="566751B0" w14:textId="2C882A22" w:rsidR="00CD4FF2" w:rsidRPr="00C537A9" w:rsidRDefault="00CD4FF2" w:rsidP="000C7392">
      <w:pPr>
        <w:pStyle w:val="Heading1"/>
        <w:rPr>
          <w:lang w:val="es-ES" w:eastAsia="ko-KR"/>
        </w:rPr>
      </w:pPr>
      <w:r w:rsidRPr="00C537A9">
        <w:rPr>
          <w:bCs/>
          <w:lang w:val="es-ES" w:eastAsia="ko-KR"/>
        </w:rPr>
        <w:t>6</w:t>
      </w:r>
      <w:r w:rsidRPr="00C537A9">
        <w:rPr>
          <w:lang w:val="es-ES" w:eastAsia="ko-KR"/>
        </w:rPr>
        <w:tab/>
      </w:r>
      <w:r w:rsidRPr="00C537A9">
        <w:rPr>
          <w:bCs/>
          <w:lang w:val="es-ES" w:eastAsia="ko-KR"/>
        </w:rPr>
        <w:t>Análisis de los Acuerdos 588 (</w:t>
      </w:r>
      <w:proofErr w:type="spellStart"/>
      <w:r w:rsidRPr="00C537A9">
        <w:rPr>
          <w:bCs/>
          <w:lang w:val="es-ES" w:eastAsia="ko-KR"/>
        </w:rPr>
        <w:t>C16</w:t>
      </w:r>
      <w:proofErr w:type="spellEnd"/>
      <w:r w:rsidRPr="00C537A9">
        <w:rPr>
          <w:bCs/>
          <w:lang w:val="es-ES" w:eastAsia="ko-KR"/>
        </w:rPr>
        <w:t>), 619 (</w:t>
      </w:r>
      <w:proofErr w:type="spellStart"/>
      <w:r w:rsidRPr="00C537A9">
        <w:rPr>
          <w:bCs/>
          <w:lang w:val="es-ES" w:eastAsia="ko-KR"/>
        </w:rPr>
        <w:t>C19</w:t>
      </w:r>
      <w:proofErr w:type="spellEnd"/>
      <w:r w:rsidRPr="00C537A9">
        <w:rPr>
          <w:bCs/>
          <w:lang w:val="es-ES" w:eastAsia="ko-KR"/>
        </w:rPr>
        <w:t xml:space="preserve">, modificado por última vez </w:t>
      </w:r>
      <w:proofErr w:type="spellStart"/>
      <w:r w:rsidRPr="00C537A9">
        <w:rPr>
          <w:bCs/>
          <w:lang w:val="es-ES" w:eastAsia="ko-KR"/>
        </w:rPr>
        <w:t>C21</w:t>
      </w:r>
      <w:proofErr w:type="spellEnd"/>
      <w:r w:rsidRPr="00C537A9">
        <w:rPr>
          <w:bCs/>
          <w:lang w:val="es-ES" w:eastAsia="ko-KR"/>
        </w:rPr>
        <w:t>) y 640 (</w:t>
      </w:r>
      <w:proofErr w:type="spellStart"/>
      <w:r w:rsidRPr="00C537A9">
        <w:rPr>
          <w:bCs/>
          <w:lang w:val="es-ES" w:eastAsia="ko-KR"/>
        </w:rPr>
        <w:t>C24</w:t>
      </w:r>
      <w:proofErr w:type="spellEnd"/>
      <w:r w:rsidRPr="00C537A9">
        <w:rPr>
          <w:bCs/>
          <w:lang w:val="es-ES" w:eastAsia="ko-KR"/>
        </w:rPr>
        <w:t xml:space="preserve">) del Consejo (Documento </w:t>
      </w:r>
      <w:hyperlink r:id="rId57"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-22/18(</w:t>
        </w:r>
        <w:proofErr w:type="spellStart"/>
        <w:r w:rsidRPr="00C537A9">
          <w:rPr>
            <w:rStyle w:val="Hyperlink"/>
            <w:lang w:val="es-ES" w:eastAsia="ko-KR"/>
          </w:rPr>
          <w:t>Rev.1</w:t>
        </w:r>
        <w:proofErr w:type="spellEnd"/>
        <w:r w:rsidRPr="00C537A9">
          <w:rPr>
            <w:rStyle w:val="Hyperlink"/>
            <w:lang w:val="es-ES" w:eastAsia="ko-KR"/>
          </w:rPr>
          <w:t>)</w:t>
        </w:r>
      </w:hyperlink>
      <w:r w:rsidRPr="00C537A9">
        <w:rPr>
          <w:bCs/>
          <w:lang w:val="es-ES" w:eastAsia="ko-KR"/>
        </w:rPr>
        <w:t>)</w:t>
      </w:r>
      <w:hyperlink r:id="rId58" w:history="1"/>
    </w:p>
    <w:p w14:paraId="54B5C3FF" w14:textId="7382FDAD" w:rsidR="00CD4FF2" w:rsidRPr="00C537A9" w:rsidRDefault="00CD4FF2" w:rsidP="00973B55">
      <w:pPr>
        <w:jc w:val="both"/>
        <w:rPr>
          <w:lang w:val="es-ES" w:eastAsia="ko-KR"/>
        </w:rPr>
      </w:pPr>
      <w:r w:rsidRPr="00C537A9">
        <w:rPr>
          <w:lang w:val="es-ES" w:eastAsia="ko-KR"/>
        </w:rPr>
        <w:t>6.1</w:t>
      </w:r>
      <w:r w:rsidRPr="00C537A9">
        <w:rPr>
          <w:lang w:val="es-ES" w:eastAsia="ko-KR"/>
        </w:rPr>
        <w:tab/>
        <w:t>En la 22</w:t>
      </w:r>
      <w:r w:rsidR="004E16B3">
        <w:rPr>
          <w:lang w:val="es-ES" w:eastAsia="ko-KR"/>
        </w:rPr>
        <w:t>.</w:t>
      </w:r>
      <w:r w:rsidRPr="00C537A9">
        <w:rPr>
          <w:lang w:val="es-ES" w:eastAsia="ko-KR"/>
        </w:rPr>
        <w:t>ª reunión del GTC-RHF, la Secretaría presentó un análisis de los Acuerdos 588</w:t>
      </w:r>
      <w:r w:rsidR="004E16B3">
        <w:rPr>
          <w:lang w:val="es-ES" w:eastAsia="ko-KR"/>
        </w:rPr>
        <w:t> </w:t>
      </w:r>
      <w:r w:rsidRPr="00C537A9">
        <w:rPr>
          <w:lang w:val="es-ES" w:eastAsia="ko-KR"/>
        </w:rPr>
        <w:t>(</w:t>
      </w:r>
      <w:proofErr w:type="spellStart"/>
      <w:r w:rsidRPr="00C537A9">
        <w:rPr>
          <w:lang w:val="es-ES" w:eastAsia="ko-KR"/>
        </w:rPr>
        <w:t>C16</w:t>
      </w:r>
      <w:proofErr w:type="spellEnd"/>
      <w:r w:rsidRPr="00C537A9">
        <w:rPr>
          <w:lang w:val="es-ES" w:eastAsia="ko-KR"/>
        </w:rPr>
        <w:t>), 619 (</w:t>
      </w:r>
      <w:proofErr w:type="spellStart"/>
      <w:r w:rsidRPr="00C537A9">
        <w:rPr>
          <w:lang w:val="es-ES" w:eastAsia="ko-KR"/>
        </w:rPr>
        <w:t>C19</w:t>
      </w:r>
      <w:proofErr w:type="spellEnd"/>
      <w:r w:rsidRPr="00C537A9">
        <w:rPr>
          <w:lang w:val="es-ES" w:eastAsia="ko-KR"/>
        </w:rPr>
        <w:t xml:space="preserve">, modificado por última vez en </w:t>
      </w:r>
      <w:proofErr w:type="spellStart"/>
      <w:r w:rsidRPr="00C537A9">
        <w:rPr>
          <w:lang w:val="es-ES" w:eastAsia="ko-KR"/>
        </w:rPr>
        <w:t>C21</w:t>
      </w:r>
      <w:proofErr w:type="spellEnd"/>
      <w:r w:rsidRPr="00C537A9">
        <w:rPr>
          <w:lang w:val="es-ES" w:eastAsia="ko-KR"/>
        </w:rPr>
        <w:t>) y 640 (</w:t>
      </w:r>
      <w:proofErr w:type="spellStart"/>
      <w:r w:rsidRPr="00C537A9">
        <w:rPr>
          <w:lang w:val="es-ES" w:eastAsia="ko-KR"/>
        </w:rPr>
        <w:t>C24</w:t>
      </w:r>
      <w:proofErr w:type="spellEnd"/>
      <w:r w:rsidRPr="00C537A9">
        <w:rPr>
          <w:lang w:val="es-ES" w:eastAsia="ko-KR"/>
        </w:rPr>
        <w:t>) del Consejo, junto con propuestas de revisión del Acuerdo 640. Este análisis responde a una petición formulada por el GTC-RHF en su 21</w:t>
      </w:r>
      <w:r w:rsidR="004E16B3">
        <w:rPr>
          <w:lang w:val="es-ES" w:eastAsia="ko-KR"/>
        </w:rPr>
        <w:t>.</w:t>
      </w:r>
      <w:r w:rsidRPr="00C537A9">
        <w:rPr>
          <w:lang w:val="es-ES" w:eastAsia="ko-KR"/>
        </w:rPr>
        <w:t xml:space="preserve">ª reunión. </w:t>
      </w:r>
    </w:p>
    <w:p w14:paraId="5C2CFF87" w14:textId="3BBABD88" w:rsidR="00CD4FF2" w:rsidRPr="00C537A9" w:rsidRDefault="00CD4FF2" w:rsidP="00973B55">
      <w:pPr>
        <w:jc w:val="both"/>
        <w:rPr>
          <w:lang w:val="es-ES" w:eastAsia="ko-KR"/>
        </w:rPr>
      </w:pPr>
      <w:r w:rsidRPr="00C537A9">
        <w:rPr>
          <w:lang w:val="es-ES" w:eastAsia="ko-KR"/>
        </w:rPr>
        <w:lastRenderedPageBreak/>
        <w:t>6.2</w:t>
      </w:r>
      <w:r w:rsidRPr="00C537A9">
        <w:rPr>
          <w:lang w:val="es-ES" w:eastAsia="ko-KR"/>
        </w:rPr>
        <w:tab/>
        <w:t xml:space="preserve">Muchos delegados solicitaron a la Secretaría que facilitara al Consejo de 2026 una versión con marcas de revisión del proyecto de revisión del Acuerdo 640. Un delegado recordó al </w:t>
      </w:r>
      <w:proofErr w:type="spellStart"/>
      <w:r w:rsidRPr="00C537A9">
        <w:rPr>
          <w:lang w:val="es-ES" w:eastAsia="ko-KR"/>
        </w:rPr>
        <w:t>GTC</w:t>
      </w:r>
      <w:proofErr w:type="spellEnd"/>
      <w:r w:rsidRPr="00C537A9">
        <w:rPr>
          <w:lang w:val="es-ES" w:eastAsia="ko-KR"/>
        </w:rPr>
        <w:t xml:space="preserve"> que, de acuerdo con el resultado de la reunión de 2025 del Consejo, la Secretaría debía realizar un estudio exhaustivo, y que la información proporcionada en el Documento </w:t>
      </w:r>
      <w:hyperlink r:id="rId59" w:history="1">
        <w:proofErr w:type="spellStart"/>
        <w:r w:rsidRPr="00C537A9">
          <w:rPr>
            <w:rStyle w:val="Hyperlink"/>
            <w:lang w:val="es-ES" w:eastAsia="ko-KR"/>
          </w:rPr>
          <w:t>CWG</w:t>
        </w:r>
        <w:proofErr w:type="spellEnd"/>
        <w:r w:rsidR="004E16B3">
          <w:rPr>
            <w:rStyle w:val="Hyperlink"/>
            <w:lang w:val="es-ES" w:eastAsia="ko-KR"/>
          </w:rPr>
          <w:noBreakHyphen/>
        </w:r>
        <w:proofErr w:type="spellStart"/>
        <w:r w:rsidRPr="00C537A9">
          <w:rPr>
            <w:rStyle w:val="Hyperlink"/>
            <w:lang w:val="es-ES" w:eastAsia="ko-KR"/>
          </w:rPr>
          <w:t>FHR</w:t>
        </w:r>
        <w:proofErr w:type="spellEnd"/>
        <w:r w:rsidRPr="00C537A9">
          <w:rPr>
            <w:rStyle w:val="Hyperlink"/>
            <w:lang w:val="es-ES" w:eastAsia="ko-KR"/>
          </w:rPr>
          <w:t>-22/18(</w:t>
        </w:r>
        <w:proofErr w:type="spellStart"/>
        <w:r w:rsidRPr="00C537A9">
          <w:rPr>
            <w:rStyle w:val="Hyperlink"/>
            <w:lang w:val="es-ES" w:eastAsia="ko-KR"/>
          </w:rPr>
          <w:t>Rev.1</w:t>
        </w:r>
        <w:proofErr w:type="spellEnd"/>
        <w:r w:rsidRPr="00C537A9">
          <w:rPr>
            <w:rStyle w:val="Hyperlink"/>
            <w:lang w:val="es-ES" w:eastAsia="ko-KR"/>
          </w:rPr>
          <w:t>)</w:t>
        </w:r>
      </w:hyperlink>
      <w:r w:rsidRPr="00C537A9">
        <w:rPr>
          <w:lang w:val="es-ES" w:eastAsia="ko-KR"/>
        </w:rPr>
        <w:t xml:space="preserve"> resulta insuficiente. Por consiguiente, el delegado planteó la necesidad de que la Secretaría presentase a la reunión de 2026 del Consejo un análisis párrafo por párrafo de los tres Acuerdos, destacando las disposiciones que siguen siendo pertinentes y las que han quedado obsoletas. El delegado concluyó que el análisis todavía podría resultar útil, ya que los delegados tendrán que revisar la Resolución 212 (Rev. Bucarest, 2022) en la Conferencia de Plenipotenciarios. </w:t>
      </w:r>
      <w:hyperlink r:id="rId60" w:history="1"/>
    </w:p>
    <w:p w14:paraId="4553BB7B" w14:textId="77777777" w:rsidR="00CD4FF2" w:rsidRPr="000D41F6" w:rsidRDefault="00CD4FF2" w:rsidP="00973B55">
      <w:pPr>
        <w:jc w:val="both"/>
        <w:rPr>
          <w:spacing w:val="-2"/>
          <w:lang w:val="es-ES" w:eastAsia="ko-KR"/>
        </w:rPr>
      </w:pPr>
      <w:r w:rsidRPr="000D41F6">
        <w:rPr>
          <w:spacing w:val="-2"/>
          <w:lang w:val="es-ES" w:eastAsia="ko-KR"/>
        </w:rPr>
        <w:t>6.3</w:t>
      </w:r>
      <w:r w:rsidRPr="000D41F6">
        <w:rPr>
          <w:spacing w:val="-2"/>
          <w:lang w:val="es-ES" w:eastAsia="ko-KR"/>
        </w:rPr>
        <w:tab/>
        <w:t xml:space="preserve">Algunos delegados se refirieron a la terminología propuesta en el proyecto de revisión del Acuerdo 640, en particular al término </w:t>
      </w:r>
      <w:r w:rsidRPr="000D41F6">
        <w:rPr>
          <w:i/>
          <w:iCs/>
          <w:spacing w:val="-2"/>
          <w:lang w:val="es-ES" w:eastAsia="ko-KR"/>
        </w:rPr>
        <w:t>campus</w:t>
      </w:r>
      <w:r w:rsidRPr="000D41F6">
        <w:rPr>
          <w:spacing w:val="-2"/>
          <w:lang w:val="es-ES" w:eastAsia="ko-KR"/>
        </w:rPr>
        <w:t xml:space="preserve"> ("complejo"). Un delegado señaló que el término </w:t>
      </w:r>
      <w:r w:rsidRPr="000D41F6">
        <w:rPr>
          <w:i/>
          <w:iCs/>
          <w:spacing w:val="-2"/>
          <w:lang w:val="es-ES" w:eastAsia="ko-KR"/>
        </w:rPr>
        <w:t>campus</w:t>
      </w:r>
      <w:r w:rsidRPr="000D41F6">
        <w:rPr>
          <w:spacing w:val="-2"/>
          <w:lang w:val="es-ES" w:eastAsia="ko-KR"/>
        </w:rPr>
        <w:t xml:space="preserve"> no era adecuado para varios países y sugirió un término más neutral y conocido. Otro delegado alentó a la Secretaría a utilizar la terminología del Convenio de la UIT. </w:t>
      </w:r>
    </w:p>
    <w:p w14:paraId="384C2491" w14:textId="77777777" w:rsidR="00CD4FF2" w:rsidRPr="00C537A9" w:rsidRDefault="00CD4FF2" w:rsidP="00973B55">
      <w:pPr>
        <w:pBdr>
          <w:top w:val="single" w:sz="4" w:space="1" w:color="auto"/>
          <w:left w:val="single" w:sz="4" w:space="4" w:color="auto"/>
          <w:bottom w:val="single" w:sz="4" w:space="1" w:color="auto"/>
          <w:right w:val="single" w:sz="4" w:space="4" w:color="auto"/>
        </w:pBdr>
        <w:jc w:val="both"/>
        <w:rPr>
          <w:lang w:val="es-ES" w:eastAsia="ko-KR"/>
        </w:rPr>
      </w:pPr>
      <w:r w:rsidRPr="00C537A9">
        <w:rPr>
          <w:lang w:val="es-ES" w:eastAsia="ko-KR"/>
        </w:rPr>
        <w:t>6.4</w:t>
      </w:r>
      <w:r w:rsidRPr="00C537A9">
        <w:rPr>
          <w:lang w:val="es-ES" w:eastAsia="ko-KR"/>
        </w:rPr>
        <w:tab/>
        <w:t xml:space="preserve">El GTC-RHF </w:t>
      </w:r>
      <w:r w:rsidRPr="00C537A9">
        <w:rPr>
          <w:b/>
          <w:bCs/>
          <w:lang w:val="es-ES" w:eastAsia="ko-KR"/>
        </w:rPr>
        <w:t xml:space="preserve">recomienda </w:t>
      </w:r>
      <w:r w:rsidRPr="00C537A9">
        <w:rPr>
          <w:lang w:val="es-ES" w:eastAsia="ko-KR"/>
        </w:rPr>
        <w:t>a la Secretaría que presente un análisis comparativo párrafo por párrafo del Acuerdo 588, el Acuerdo 619 y el Acuerdo 640 al Consejo de 2026, antes de la Conferencia de Plenipotenciarios de 2026.</w:t>
      </w:r>
    </w:p>
    <w:p w14:paraId="5C23A212" w14:textId="77777777" w:rsidR="00CD4FF2" w:rsidRPr="00C537A9" w:rsidRDefault="00CD4FF2" w:rsidP="00973B55">
      <w:pPr>
        <w:pBdr>
          <w:top w:val="single" w:sz="4" w:space="1" w:color="auto"/>
          <w:left w:val="single" w:sz="4" w:space="4" w:color="auto"/>
          <w:bottom w:val="single" w:sz="4" w:space="1" w:color="auto"/>
          <w:right w:val="single" w:sz="4" w:space="4" w:color="auto"/>
        </w:pBdr>
        <w:jc w:val="both"/>
        <w:rPr>
          <w:lang w:val="es-ES" w:eastAsia="ko-KR"/>
        </w:rPr>
      </w:pPr>
      <w:r w:rsidRPr="00C537A9">
        <w:rPr>
          <w:lang w:val="es-ES" w:eastAsia="ko-KR"/>
        </w:rPr>
        <w:t>6.5</w:t>
      </w:r>
      <w:r w:rsidRPr="00C537A9">
        <w:rPr>
          <w:lang w:val="es-ES" w:eastAsia="ko-KR"/>
        </w:rPr>
        <w:tab/>
        <w:t xml:space="preserve">El GTC-RHF también </w:t>
      </w:r>
      <w:r w:rsidRPr="00C537A9">
        <w:rPr>
          <w:b/>
          <w:bCs/>
          <w:lang w:val="es-ES" w:eastAsia="ko-KR"/>
        </w:rPr>
        <w:t xml:space="preserve">recomendó </w:t>
      </w:r>
      <w:r w:rsidRPr="00C537A9">
        <w:rPr>
          <w:lang w:val="es-ES" w:eastAsia="ko-KR"/>
        </w:rPr>
        <w:t xml:space="preserve">a la Secretaría que revisara el convenio de denominación de la UIT para la Sede. </w:t>
      </w:r>
    </w:p>
    <w:p w14:paraId="5E0D6CBF" w14:textId="3E25B7CA" w:rsidR="00CD4FF2" w:rsidRPr="00C537A9" w:rsidRDefault="00CD4FF2" w:rsidP="000C7392">
      <w:pPr>
        <w:pStyle w:val="Heading1"/>
        <w:rPr>
          <w:lang w:val="es-ES" w:eastAsia="ko-KR"/>
        </w:rPr>
      </w:pPr>
      <w:r w:rsidRPr="00C537A9">
        <w:rPr>
          <w:bCs/>
          <w:lang w:val="es-ES" w:eastAsia="ko-KR"/>
        </w:rPr>
        <w:t>7</w:t>
      </w:r>
      <w:r w:rsidRPr="00C537A9">
        <w:rPr>
          <w:lang w:val="es-ES" w:eastAsia="ko-KR"/>
        </w:rPr>
        <w:tab/>
      </w:r>
      <w:r w:rsidRPr="00C537A9">
        <w:rPr>
          <w:bCs/>
          <w:lang w:val="es-ES" w:eastAsia="ko-KR"/>
        </w:rPr>
        <w:t>Continuidad de las actividades de las reuniones de la UIT (2028-2029) (</w:t>
      </w:r>
      <w:r w:rsidRPr="00C537A9">
        <w:rPr>
          <w:lang w:val="es-ES" w:eastAsia="ko-KR"/>
        </w:rPr>
        <w:t xml:space="preserve">Documentos </w:t>
      </w:r>
      <w:hyperlink r:id="rId61"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-21/10</w:t>
        </w:r>
      </w:hyperlink>
      <w:r w:rsidRPr="00C537A9">
        <w:rPr>
          <w:lang w:val="es-ES" w:eastAsia="ko-KR"/>
        </w:rPr>
        <w:t xml:space="preserve">, </w:t>
      </w:r>
      <w:hyperlink r:id="rId62"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-22/13</w:t>
        </w:r>
      </w:hyperlink>
      <w:r w:rsidRPr="00C537A9">
        <w:rPr>
          <w:lang w:val="es-ES" w:eastAsia="ko-KR"/>
        </w:rPr>
        <w:t xml:space="preserve">, </w:t>
      </w:r>
      <w:hyperlink r:id="rId63"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-22/23</w:t>
        </w:r>
      </w:hyperlink>
      <w:r w:rsidRPr="00C537A9">
        <w:rPr>
          <w:lang w:val="es-ES" w:eastAsia="ko-KR"/>
        </w:rPr>
        <w:t xml:space="preserve"> y </w:t>
      </w:r>
      <w:hyperlink r:id="rId64"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-22/28</w:t>
        </w:r>
      </w:hyperlink>
      <w:r w:rsidRPr="00C537A9">
        <w:rPr>
          <w:lang w:val="es-ES" w:eastAsia="ko-KR"/>
        </w:rPr>
        <w:t>)</w:t>
      </w:r>
      <w:hyperlink r:id="rId65" w:history="1"/>
      <w:hyperlink r:id="rId66" w:history="1"/>
      <w:hyperlink r:id="rId67" w:history="1"/>
      <w:hyperlink r:id="rId68" w:history="1"/>
    </w:p>
    <w:p w14:paraId="4411BDEB" w14:textId="7E34D7F6" w:rsidR="00CD4FF2" w:rsidRPr="00C537A9" w:rsidRDefault="00CD4FF2" w:rsidP="00973B55">
      <w:pPr>
        <w:jc w:val="both"/>
        <w:rPr>
          <w:lang w:val="es-ES" w:eastAsia="ko-KR"/>
        </w:rPr>
      </w:pPr>
      <w:r w:rsidRPr="00C537A9">
        <w:rPr>
          <w:lang w:val="es-ES" w:eastAsia="ko-KR"/>
        </w:rPr>
        <w:t>7.1</w:t>
      </w:r>
      <w:r w:rsidRPr="00C537A9">
        <w:rPr>
          <w:lang w:val="es-ES" w:eastAsia="ko-KR"/>
        </w:rPr>
        <w:tab/>
        <w:t>Sobre la base de informes anteriores para el GTC-RHF, la Secretaría proporcionó información actualizada sobre el plan de la UIT para celebrar durante el periodo de construcción las aproximadamente 60 reuniones reglamentarias de la UIT que se celebran anualmente en la Sede. Dado que el inicio de la construcción está programado para 2028 y que se estará renovando el Centro Internacional de Conferencias de Ginebra (</w:t>
      </w:r>
      <w:proofErr w:type="spellStart"/>
      <w:r w:rsidRPr="00C537A9">
        <w:rPr>
          <w:lang w:val="es-ES" w:eastAsia="ko-KR"/>
        </w:rPr>
        <w:t>CICG</w:t>
      </w:r>
      <w:proofErr w:type="spellEnd"/>
      <w:r w:rsidRPr="00C537A9">
        <w:rPr>
          <w:lang w:val="es-ES" w:eastAsia="ko-KR"/>
        </w:rPr>
        <w:t>) casi simultáneamente, la Secretaría mencionó la posibilidad de alquilar salas de otros organismos de las Naciones Unidas y organismos internacionales en Ginebra. La Secretaría también informó a los delegados de que, debido a las estimaciones presupuestarias actuales, desde el punto de vista financiero no sería posible celebrar reuniones técnicas en el Palexpo en 2028</w:t>
      </w:r>
      <w:r w:rsidR="00024C11">
        <w:rPr>
          <w:lang w:val="es-ES" w:eastAsia="ko-KR"/>
        </w:rPr>
        <w:noBreakHyphen/>
      </w:r>
      <w:r w:rsidRPr="00C537A9">
        <w:rPr>
          <w:lang w:val="es-ES" w:eastAsia="ko-KR"/>
        </w:rPr>
        <w:t xml:space="preserve">2029. Para concluir su intervención, la Secretaría ofreció la posibilidad de llevar a cabo reuniones virtuales, al tiempo que reafirmó sus esfuerzos por aprovechar los Centros de Reuniones de la UIT. </w:t>
      </w:r>
    </w:p>
    <w:p w14:paraId="77AFB4BD" w14:textId="4C4E0289" w:rsidR="00CD4FF2" w:rsidRPr="00C537A9" w:rsidRDefault="00CD4FF2" w:rsidP="00973B55">
      <w:pPr>
        <w:jc w:val="both"/>
        <w:rPr>
          <w:lang w:val="es-ES" w:eastAsia="ko-KR"/>
        </w:rPr>
      </w:pPr>
      <w:r w:rsidRPr="00C537A9">
        <w:rPr>
          <w:lang w:val="es-ES" w:eastAsia="ko-KR"/>
        </w:rPr>
        <w:t>7.2</w:t>
      </w:r>
      <w:r w:rsidRPr="00C537A9">
        <w:rPr>
          <w:lang w:val="es-ES" w:eastAsia="ko-KR"/>
        </w:rPr>
        <w:tab/>
        <w:t>Muchos delegados tomaron la palabra en la 21</w:t>
      </w:r>
      <w:r w:rsidR="00024C11">
        <w:rPr>
          <w:lang w:val="es-ES" w:eastAsia="ko-KR"/>
        </w:rPr>
        <w:t>.</w:t>
      </w:r>
      <w:r w:rsidRPr="00C537A9">
        <w:rPr>
          <w:lang w:val="es-ES" w:eastAsia="ko-KR"/>
        </w:rPr>
        <w:t xml:space="preserve">ª reunión del GTC-RHF para plantear preguntas sobre la estrategia financiera, la viabilidad y la planificación a largo plazo. Los delegados se preguntaron por qué Palexpo, que se había presentado anteriormente como la opción más práctica, ya no se consideraba viable. También se manifestaron opiniones bastante escépticas ante la posibilidad de recurrir a instalaciones de otros organismos de las Naciones Unidas o internacionales para celebrar reuniones, debido a las diversas restricciones de disponibilidad y a la reglamentación vigente de la UIT. Algunos delegados se mostraron interesados en disponer de "centros de reunión" y solicitaron aclaraciones adicionales sobre cómo se desarrollaría dicho proceso. Los delegados solicitaron una lista exhaustiva de todas </w:t>
      </w:r>
      <w:r w:rsidRPr="00C537A9">
        <w:rPr>
          <w:lang w:val="es-ES" w:eastAsia="ko-KR"/>
        </w:rPr>
        <w:lastRenderedPageBreak/>
        <w:t>las reuniones afectadas, así como una lista de reuniones clave ordenadas por prioridad, para valorar mejor cuáles podrían celebrarse en formato virtual o híbrido.</w:t>
      </w:r>
    </w:p>
    <w:p w14:paraId="2AB5A4BB" w14:textId="7A288B30" w:rsidR="00CD4FF2" w:rsidRPr="00C537A9" w:rsidRDefault="00CD4FF2" w:rsidP="00973B55">
      <w:pPr>
        <w:jc w:val="both"/>
        <w:rPr>
          <w:lang w:val="es-ES" w:eastAsia="ko-KR"/>
        </w:rPr>
      </w:pPr>
      <w:r w:rsidRPr="00C537A9">
        <w:rPr>
          <w:lang w:val="es-ES" w:eastAsia="ko-KR"/>
        </w:rPr>
        <w:t>7.3</w:t>
      </w:r>
      <w:r w:rsidRPr="00C537A9">
        <w:rPr>
          <w:lang w:val="es-ES" w:eastAsia="ko-KR"/>
        </w:rPr>
        <w:tab/>
        <w:t>El delegado de Suiza reiteró el apoyo de su país a mantener la continuidad de las actividades de la Unión durante este periodo de transición. El delegado de Suiza observó que las disposiciones pertinentes de la Resolución 5 (</w:t>
      </w:r>
      <w:proofErr w:type="spellStart"/>
      <w:r w:rsidRPr="00C537A9">
        <w:rPr>
          <w:lang w:val="es-ES" w:eastAsia="ko-KR"/>
        </w:rPr>
        <w:t>Kyoto</w:t>
      </w:r>
      <w:proofErr w:type="spellEnd"/>
      <w:r w:rsidRPr="00C537A9">
        <w:rPr>
          <w:lang w:val="es-ES" w:eastAsia="ko-KR"/>
        </w:rPr>
        <w:t>, 1994) de la Conferencia de Plenipotenciarios siguen siendo aplicables y preguntó si el párrafo 51 del Convenio, "El</w:t>
      </w:r>
      <w:r w:rsidR="00183C33">
        <w:rPr>
          <w:lang w:val="es-ES" w:eastAsia="ko-KR"/>
        </w:rPr>
        <w:t> </w:t>
      </w:r>
      <w:r w:rsidRPr="00C537A9">
        <w:rPr>
          <w:lang w:val="es-ES" w:eastAsia="ko-KR"/>
        </w:rPr>
        <w:t>Consejo celebrará anualmente una reunión ordinaria en la Sede de la Unión", se aplicará durante el periodo de construcción.</w:t>
      </w:r>
    </w:p>
    <w:p w14:paraId="157D6D55" w14:textId="67C41982" w:rsidR="00CD4FF2" w:rsidRPr="00C537A9" w:rsidRDefault="00CD4FF2" w:rsidP="00973B55">
      <w:pPr>
        <w:jc w:val="both"/>
        <w:rPr>
          <w:lang w:val="es-ES" w:eastAsia="ko-KR"/>
        </w:rPr>
      </w:pPr>
      <w:r w:rsidRPr="00C537A9">
        <w:rPr>
          <w:lang w:val="es-ES" w:eastAsia="ko-KR"/>
        </w:rPr>
        <w:t>7.4</w:t>
      </w:r>
      <w:r w:rsidRPr="00C537A9">
        <w:rPr>
          <w:lang w:val="es-ES" w:eastAsia="ko-KR"/>
        </w:rPr>
        <w:tab/>
        <w:t>Durante la 22</w:t>
      </w:r>
      <w:r w:rsidR="00024C11">
        <w:rPr>
          <w:lang w:val="es-ES" w:eastAsia="ko-KR"/>
        </w:rPr>
        <w:t>.</w:t>
      </w:r>
      <w:r w:rsidRPr="00C537A9">
        <w:rPr>
          <w:lang w:val="es-ES" w:eastAsia="ko-KR"/>
        </w:rPr>
        <w:t xml:space="preserve">ª reunión del GTC-RHF, la Secretaría proporcionó por segunda vez información actualizada sobre las modalidades de continuidad de las actividades para el periodo 2028-2029. La Secretaría reafirmó que tanto el Consejo de 2028 como el de 2029 deberían celebrarse en Ginebra, en la sala Popov, aunque la UIT ha reservado salas en el </w:t>
      </w:r>
      <w:proofErr w:type="spellStart"/>
      <w:r w:rsidRPr="00C537A9">
        <w:rPr>
          <w:lang w:val="es-ES" w:eastAsia="ko-KR"/>
        </w:rPr>
        <w:t>CICG</w:t>
      </w:r>
      <w:proofErr w:type="spellEnd"/>
      <w:r w:rsidRPr="00C537A9">
        <w:rPr>
          <w:lang w:val="es-ES" w:eastAsia="ko-KR"/>
        </w:rPr>
        <w:t xml:space="preserve"> por si la Torre no estuviera disponible. Además, la Secretaría señaló que tanto Emiratos Árabes Unidos como Kenya habían expresado interés en acoger reuniones de la UIT durante este tiempo y alentó a estos Miembros a presentar propuestas formales al Consejo de 2026.</w:t>
      </w:r>
    </w:p>
    <w:p w14:paraId="07D80FBA" w14:textId="7244BF73" w:rsidR="00CD4FF2" w:rsidRPr="00C537A9" w:rsidRDefault="00CD4FF2" w:rsidP="00973B55">
      <w:pPr>
        <w:jc w:val="both"/>
        <w:rPr>
          <w:lang w:val="es-ES" w:eastAsia="ko-KR"/>
        </w:rPr>
      </w:pPr>
      <w:r w:rsidRPr="00C537A9">
        <w:rPr>
          <w:lang w:val="es-ES" w:eastAsia="ko-KR"/>
        </w:rPr>
        <w:t>7.5</w:t>
      </w:r>
      <w:r w:rsidRPr="00C537A9">
        <w:rPr>
          <w:lang w:val="es-ES" w:eastAsia="ko-KR"/>
        </w:rPr>
        <w:tab/>
        <w:t xml:space="preserve">Suiza presentó una contribución, Documento </w:t>
      </w:r>
      <w:hyperlink r:id="rId69"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-22/23</w:t>
        </w:r>
      </w:hyperlink>
      <w:r w:rsidRPr="00C537A9">
        <w:rPr>
          <w:lang w:val="es-ES" w:eastAsia="ko-KR"/>
        </w:rPr>
        <w:t>, en la que se indicaba que la UIT resultaría beneficiada si se le concediera una exención de dos años de reembolso (por un total de 2</w:t>
      </w:r>
      <w:r w:rsidR="00024C11">
        <w:rPr>
          <w:lang w:val="es-ES" w:eastAsia="ko-KR"/>
        </w:rPr>
        <w:t> </w:t>
      </w:r>
      <w:r w:rsidRPr="00C537A9">
        <w:rPr>
          <w:lang w:val="es-ES" w:eastAsia="ko-KR"/>
        </w:rPr>
        <w:t>782</w:t>
      </w:r>
      <w:r w:rsidR="00024C11">
        <w:rPr>
          <w:lang w:val="es-ES" w:eastAsia="ko-KR"/>
        </w:rPr>
        <w:t> </w:t>
      </w:r>
      <w:r w:rsidRPr="00C537A9">
        <w:rPr>
          <w:lang w:val="es-ES" w:eastAsia="ko-KR"/>
        </w:rPr>
        <w:t>600 CHF) de los préstamos inmobiliarios admisibles asignados anteriormente por la Confederación Suiza. Se subrayó que el objetivo de esta contribución es destinar esos 2</w:t>
      </w:r>
      <w:r w:rsidR="00024C11">
        <w:rPr>
          <w:lang w:val="es-ES" w:eastAsia="ko-KR"/>
        </w:rPr>
        <w:t> </w:t>
      </w:r>
      <w:r w:rsidRPr="00C537A9">
        <w:rPr>
          <w:lang w:val="es-ES" w:eastAsia="ko-KR"/>
        </w:rPr>
        <w:t>782</w:t>
      </w:r>
      <w:r w:rsidR="00024C11">
        <w:rPr>
          <w:lang w:val="es-ES" w:eastAsia="ko-KR"/>
        </w:rPr>
        <w:t> </w:t>
      </w:r>
      <w:r w:rsidRPr="00C537A9">
        <w:rPr>
          <w:lang w:val="es-ES" w:eastAsia="ko-KR"/>
        </w:rPr>
        <w:t xml:space="preserve">600 CHF ahorrados a cubrir los gastos derivados de la celebración de reuniones en Suiza mientras los edificios de la Sede de la UIT y el </w:t>
      </w:r>
      <w:proofErr w:type="spellStart"/>
      <w:r w:rsidRPr="00C537A9">
        <w:rPr>
          <w:lang w:val="es-ES" w:eastAsia="ko-KR"/>
        </w:rPr>
        <w:t>CICG</w:t>
      </w:r>
      <w:proofErr w:type="spellEnd"/>
      <w:r w:rsidRPr="00C537A9">
        <w:rPr>
          <w:lang w:val="es-ES" w:eastAsia="ko-KR"/>
        </w:rPr>
        <w:t xml:space="preserve"> no estén disponibles parcial o totalmente.</w:t>
      </w:r>
      <w:hyperlink r:id="rId70" w:history="1"/>
    </w:p>
    <w:p w14:paraId="06E00EBE" w14:textId="5408001F" w:rsidR="00CD4FF2" w:rsidRPr="00C537A9" w:rsidRDefault="00CD4FF2" w:rsidP="00973B55">
      <w:pPr>
        <w:jc w:val="both"/>
        <w:rPr>
          <w:lang w:val="es-ES" w:eastAsia="ko-KR"/>
        </w:rPr>
      </w:pPr>
      <w:r w:rsidRPr="00C537A9">
        <w:rPr>
          <w:lang w:val="es-ES" w:eastAsia="ko-KR"/>
        </w:rPr>
        <w:t>7.6</w:t>
      </w:r>
      <w:r w:rsidRPr="00C537A9">
        <w:rPr>
          <w:lang w:val="es-ES" w:eastAsia="ko-KR"/>
        </w:rPr>
        <w:tab/>
        <w:t xml:space="preserve">La Federación de Rusia formuló observaciones sobre las novedades en la continuidad de las actividades (Documento </w:t>
      </w:r>
      <w:hyperlink r:id="rId71"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-22/28</w:t>
        </w:r>
      </w:hyperlink>
      <w:r w:rsidRPr="00C537A9">
        <w:rPr>
          <w:lang w:val="es-ES" w:eastAsia="ko-KR"/>
        </w:rPr>
        <w:t>). Esos comentarios reconocen el elevado grado de incertidumbre para 2028 y recomiendan seguir evaluando las distintas opciones para evitar que se tenga que tomar una decisión inmediatamente antes de que la Sede de la UIT deje de estar disponible.</w:t>
      </w:r>
      <w:hyperlink r:id="rId72" w:history="1"/>
    </w:p>
    <w:p w14:paraId="5CA23D07" w14:textId="77777777" w:rsidR="00CD4FF2" w:rsidRPr="00C537A9" w:rsidRDefault="00CD4FF2" w:rsidP="00973B55">
      <w:pPr>
        <w:jc w:val="both"/>
        <w:rPr>
          <w:lang w:val="es-ES" w:eastAsia="ko-KR"/>
        </w:rPr>
      </w:pPr>
      <w:r w:rsidRPr="00C537A9">
        <w:rPr>
          <w:lang w:val="es-ES" w:eastAsia="ko-KR"/>
        </w:rPr>
        <w:t>7.7</w:t>
      </w:r>
      <w:r w:rsidRPr="00C537A9">
        <w:rPr>
          <w:lang w:val="es-ES" w:eastAsia="ko-KR"/>
        </w:rPr>
        <w:tab/>
        <w:t>Los delegados tenían más preguntas sobre cuestiones de procedimiento y planificación a largo plazo, pero agradecieron repetidamente al Gobierno de Suiza su generosa contribución.</w:t>
      </w:r>
    </w:p>
    <w:p w14:paraId="570C239D" w14:textId="3CD02DF7" w:rsidR="00CD4FF2" w:rsidRPr="00C537A9" w:rsidRDefault="00CD4FF2" w:rsidP="00973B55">
      <w:pPr>
        <w:pBdr>
          <w:top w:val="single" w:sz="4" w:space="1" w:color="auto"/>
          <w:left w:val="single" w:sz="4" w:space="4" w:color="auto"/>
          <w:bottom w:val="single" w:sz="4" w:space="1" w:color="auto"/>
          <w:right w:val="single" w:sz="4" w:space="4" w:color="auto"/>
        </w:pBdr>
        <w:jc w:val="both"/>
        <w:rPr>
          <w:lang w:val="es-ES" w:eastAsia="ko-KR"/>
        </w:rPr>
      </w:pPr>
      <w:r w:rsidRPr="00C537A9">
        <w:rPr>
          <w:lang w:val="es-ES" w:eastAsia="ko-KR"/>
        </w:rPr>
        <w:t>7.8</w:t>
      </w:r>
      <w:r w:rsidRPr="00C537A9">
        <w:rPr>
          <w:lang w:val="es-ES" w:eastAsia="ko-KR"/>
        </w:rPr>
        <w:tab/>
        <w:t xml:space="preserve">El GTC-RHF </w:t>
      </w:r>
      <w:r w:rsidRPr="00C537A9">
        <w:rPr>
          <w:b/>
          <w:bCs/>
          <w:lang w:val="es-ES" w:eastAsia="ko-KR"/>
        </w:rPr>
        <w:t xml:space="preserve">recomienda </w:t>
      </w:r>
      <w:r w:rsidRPr="00C537A9">
        <w:rPr>
          <w:lang w:val="es-ES" w:eastAsia="ko-KR"/>
        </w:rPr>
        <w:t>al Consejo que, en su reunión de 2026, asigne los 2</w:t>
      </w:r>
      <w:r w:rsidR="00024C11">
        <w:rPr>
          <w:lang w:val="es-ES" w:eastAsia="ko-KR"/>
        </w:rPr>
        <w:t> </w:t>
      </w:r>
      <w:r w:rsidRPr="00C537A9">
        <w:rPr>
          <w:lang w:val="es-ES" w:eastAsia="ko-KR"/>
        </w:rPr>
        <w:t>782</w:t>
      </w:r>
      <w:r w:rsidR="00024C11">
        <w:rPr>
          <w:lang w:val="es-ES" w:eastAsia="ko-KR"/>
        </w:rPr>
        <w:t> </w:t>
      </w:r>
      <w:r w:rsidRPr="00C537A9">
        <w:rPr>
          <w:lang w:val="es-ES" w:eastAsia="ko-KR"/>
        </w:rPr>
        <w:t>600 CHF al Fondo de Continuidad de las Actividades y que se utilicen únicamente a fin de compensar las reuniones celebradas en Ginebra.</w:t>
      </w:r>
    </w:p>
    <w:p w14:paraId="07BF115C" w14:textId="77777777" w:rsidR="00CD4FF2" w:rsidRPr="00C537A9" w:rsidRDefault="00CD4FF2" w:rsidP="00973B55">
      <w:pPr>
        <w:pBdr>
          <w:top w:val="single" w:sz="4" w:space="1" w:color="auto"/>
          <w:left w:val="single" w:sz="4" w:space="4" w:color="auto"/>
          <w:bottom w:val="single" w:sz="4" w:space="1" w:color="auto"/>
          <w:right w:val="single" w:sz="4" w:space="4" w:color="auto"/>
        </w:pBdr>
        <w:jc w:val="both"/>
        <w:rPr>
          <w:lang w:val="es-ES" w:eastAsia="ko-KR"/>
        </w:rPr>
      </w:pPr>
      <w:r w:rsidRPr="00C537A9">
        <w:rPr>
          <w:lang w:val="es-ES" w:eastAsia="ko-KR"/>
        </w:rPr>
        <w:t>7.9</w:t>
      </w:r>
      <w:r w:rsidRPr="00C537A9">
        <w:rPr>
          <w:lang w:val="es-ES" w:eastAsia="ko-KR"/>
        </w:rPr>
        <w:tab/>
        <w:t xml:space="preserve">El GTC-RHF también </w:t>
      </w:r>
      <w:r w:rsidRPr="00C537A9">
        <w:rPr>
          <w:b/>
          <w:bCs/>
          <w:lang w:val="es-ES" w:eastAsia="ko-KR"/>
        </w:rPr>
        <w:t xml:space="preserve">recomendó </w:t>
      </w:r>
      <w:r w:rsidRPr="00C537A9">
        <w:rPr>
          <w:lang w:val="es-ES" w:eastAsia="ko-KR"/>
        </w:rPr>
        <w:t>a la Secretaría que actualizara el informe sobre continuidad de las actividades antes de la reunión de 2026 del Consejo basándose en los comentarios y las preguntas de los delegados.</w:t>
      </w:r>
    </w:p>
    <w:p w14:paraId="4809A94C" w14:textId="1D1C7D29" w:rsidR="00CD4FF2" w:rsidRPr="00C537A9" w:rsidRDefault="00CD4FF2" w:rsidP="000C7392">
      <w:pPr>
        <w:pStyle w:val="Heading1"/>
        <w:rPr>
          <w:lang w:val="es-ES" w:eastAsia="ko-KR"/>
        </w:rPr>
      </w:pPr>
      <w:r w:rsidRPr="00C537A9">
        <w:rPr>
          <w:bCs/>
          <w:lang w:val="es-ES" w:eastAsia="ko-KR"/>
        </w:rPr>
        <w:t>8</w:t>
      </w:r>
      <w:r w:rsidRPr="00C537A9">
        <w:rPr>
          <w:lang w:val="es-ES" w:eastAsia="ko-KR"/>
        </w:rPr>
        <w:tab/>
      </w:r>
      <w:r w:rsidRPr="00C537A9">
        <w:rPr>
          <w:bCs/>
          <w:lang w:val="es-ES" w:eastAsia="ko-KR"/>
        </w:rPr>
        <w:t xml:space="preserve">Proceso de licitación y selección para acoger conferencias de la UIT (Documentos </w:t>
      </w:r>
      <w:hyperlink r:id="rId73"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-21/7</w:t>
        </w:r>
      </w:hyperlink>
      <w:r w:rsidRPr="00C537A9">
        <w:rPr>
          <w:lang w:val="es-ES" w:eastAsia="ko-KR"/>
        </w:rPr>
        <w:t xml:space="preserve"> y </w:t>
      </w:r>
      <w:hyperlink r:id="rId74"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-22/9</w:t>
        </w:r>
      </w:hyperlink>
      <w:r w:rsidRPr="00C537A9">
        <w:rPr>
          <w:bCs/>
          <w:lang w:val="es-ES" w:eastAsia="ko-KR"/>
        </w:rPr>
        <w:t>)</w:t>
      </w:r>
      <w:hyperlink r:id="rId75" w:history="1"/>
      <w:hyperlink r:id="rId76" w:history="1"/>
    </w:p>
    <w:p w14:paraId="35B0AF43" w14:textId="77777777" w:rsidR="00CD4FF2" w:rsidRPr="00C537A9" w:rsidRDefault="00CD4FF2" w:rsidP="00973B55">
      <w:pPr>
        <w:jc w:val="both"/>
        <w:rPr>
          <w:lang w:val="es-ES" w:eastAsia="ko-KR"/>
        </w:rPr>
      </w:pPr>
      <w:r w:rsidRPr="00C537A9">
        <w:rPr>
          <w:lang w:val="es-ES" w:eastAsia="ko-KR"/>
        </w:rPr>
        <w:t>8.1</w:t>
      </w:r>
      <w:r w:rsidRPr="00C537A9">
        <w:rPr>
          <w:lang w:val="es-ES" w:eastAsia="ko-KR"/>
        </w:rPr>
        <w:tab/>
        <w:t xml:space="preserve">El Consejo de 2025 pidió a la Secretaría que elaborara un proceso de licitación formal, transparente y colaborativo para acoger futuras conferencias de la UIT. En respuesta, la Secretaría presentó un documento con un esbozo de la práctica actual para seleccionar fechas y países anfitriones para las conferencias y asambleas reglamentarias celebradas fuera de la Sede de la UIT en Ginebra, señalando que no existía actualmente un proceso oficial codificado </w:t>
      </w:r>
      <w:r w:rsidRPr="00C537A9">
        <w:rPr>
          <w:lang w:val="es-ES" w:eastAsia="ko-KR"/>
        </w:rPr>
        <w:lastRenderedPageBreak/>
        <w:t xml:space="preserve">para escoger un anfitrión entre múltiples candidaturas. En el informe también se presentaban los resultados de un ejercicio inicial de evaluación comparativa destinado a comprender las prácticas de selección de los Estados Miembros anfitriones de conferencias en el sistema de las Naciones Unidas en general. </w:t>
      </w:r>
    </w:p>
    <w:p w14:paraId="56407155" w14:textId="2FC0F2B4" w:rsidR="00CD4FF2" w:rsidRPr="00C537A9" w:rsidRDefault="00CD4FF2" w:rsidP="000C7392">
      <w:pPr>
        <w:pStyle w:val="Headingb"/>
        <w:rPr>
          <w:lang w:val="es-ES" w:eastAsia="ko-KR"/>
        </w:rPr>
      </w:pPr>
      <w:r w:rsidRPr="00C537A9">
        <w:rPr>
          <w:bCs/>
          <w:lang w:val="es-ES" w:eastAsia="ko-KR"/>
        </w:rPr>
        <w:t xml:space="preserve">Contribución de India – Proceso de licitación para acoger conferencias de la UIT (Documento </w:t>
      </w:r>
      <w:hyperlink r:id="rId77"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-21/15</w:t>
        </w:r>
      </w:hyperlink>
      <w:r w:rsidRPr="00C537A9">
        <w:rPr>
          <w:bCs/>
          <w:lang w:val="es-ES" w:eastAsia="ko-KR"/>
        </w:rPr>
        <w:t>)</w:t>
      </w:r>
      <w:hyperlink r:id="rId78" w:history="1"/>
    </w:p>
    <w:p w14:paraId="0148BB79" w14:textId="77777777" w:rsidR="00CD4FF2" w:rsidRPr="00C537A9" w:rsidRDefault="00CD4FF2" w:rsidP="00973B55">
      <w:pPr>
        <w:jc w:val="both"/>
        <w:rPr>
          <w:lang w:val="es-ES" w:eastAsia="ko-KR"/>
        </w:rPr>
      </w:pPr>
      <w:r w:rsidRPr="00C537A9">
        <w:rPr>
          <w:lang w:val="es-ES" w:eastAsia="ko-KR"/>
        </w:rPr>
        <w:t>8.2</w:t>
      </w:r>
      <w:r w:rsidRPr="00C537A9">
        <w:rPr>
          <w:lang w:val="es-ES" w:eastAsia="ko-KR"/>
        </w:rPr>
        <w:tab/>
        <w:t xml:space="preserve">La contribución de India propuso varios criterios para la candidatura, incluidos la disponibilidad del lugar de celebración, la infraestructura, la capacidad de alojamiento, la conectividad/Internet y el grado de preparación en materia de tecnologías de la información y la comunicación (TIC). También subrayó que se puede aplicar el principio del orden de solicitud si el Consejo recibe múltiples ofertas cualificadas y que, de conformidad con el Artículo 1 del Convenio, la fecha y el lugar de celebración de la Conferencia deben determinarse con al menos cinco años de antelación. </w:t>
      </w:r>
    </w:p>
    <w:p w14:paraId="5E4CD285" w14:textId="6C7F08DF" w:rsidR="00CD4FF2" w:rsidRPr="00C537A9" w:rsidRDefault="00CD4FF2" w:rsidP="00973B55">
      <w:pPr>
        <w:pStyle w:val="Headingb"/>
        <w:jc w:val="both"/>
        <w:rPr>
          <w:lang w:val="es-ES" w:eastAsia="ko-KR"/>
        </w:rPr>
      </w:pPr>
      <w:r w:rsidRPr="00C537A9">
        <w:rPr>
          <w:bCs/>
          <w:lang w:val="es-ES" w:eastAsia="ko-KR"/>
        </w:rPr>
        <w:t>Contribución de la República Popular de China – Recomendaciones para mejorar la licitación para acoger futuras conferencias y asambleas de la UIT</w:t>
      </w:r>
      <w:r w:rsidR="00024C11">
        <w:rPr>
          <w:bCs/>
          <w:lang w:val="es-ES" w:eastAsia="ko-KR"/>
        </w:rPr>
        <w:br/>
      </w:r>
      <w:r w:rsidRPr="00C537A9">
        <w:rPr>
          <w:bCs/>
          <w:lang w:val="es-ES" w:eastAsia="ko-KR"/>
        </w:rPr>
        <w:t xml:space="preserve">(Documento </w:t>
      </w:r>
      <w:hyperlink r:id="rId79"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00024C11">
          <w:rPr>
            <w:rStyle w:val="Hyperlink"/>
            <w:lang w:val="es-ES" w:eastAsia="ko-KR"/>
          </w:rPr>
          <w:noBreakHyphen/>
        </w:r>
        <w:r w:rsidRPr="00C537A9">
          <w:rPr>
            <w:rStyle w:val="Hyperlink"/>
            <w:lang w:val="es-ES" w:eastAsia="ko-KR"/>
          </w:rPr>
          <w:t>21/17</w:t>
        </w:r>
      </w:hyperlink>
      <w:r w:rsidRPr="00C537A9">
        <w:rPr>
          <w:bCs/>
          <w:lang w:val="es-ES" w:eastAsia="ko-KR"/>
        </w:rPr>
        <w:t>)</w:t>
      </w:r>
      <w:hyperlink r:id="rId80" w:history="1"/>
    </w:p>
    <w:p w14:paraId="44350FAF" w14:textId="7BE52FF6" w:rsidR="00CD4FF2" w:rsidRPr="00C537A9" w:rsidRDefault="00CD4FF2" w:rsidP="00973B55">
      <w:pPr>
        <w:jc w:val="both"/>
        <w:rPr>
          <w:lang w:val="es-ES" w:eastAsia="ko-KR"/>
        </w:rPr>
      </w:pPr>
      <w:r w:rsidRPr="00C537A9">
        <w:rPr>
          <w:lang w:val="es-ES" w:eastAsia="ko-KR"/>
        </w:rPr>
        <w:t>8.3</w:t>
      </w:r>
      <w:r w:rsidRPr="00C537A9">
        <w:rPr>
          <w:lang w:val="es-ES" w:eastAsia="ko-KR"/>
        </w:rPr>
        <w:tab/>
        <w:t>En la contribución de la República Popular de China se proponían seis esferas para mejorar los métodos de trabajo vigentes actualmente en la UIT para seleccionar un país anfitrión, a saber: 1) mejorar la normalización y la transparencia, 2) plazos específicos para el envío de invitaciones, 3) presentación por escrito de las invitaciones para ser país anfitrión, 4)</w:t>
      </w:r>
      <w:r w:rsidR="00183C33">
        <w:rPr>
          <w:lang w:val="es-ES" w:eastAsia="ko-KR"/>
        </w:rPr>
        <w:t> </w:t>
      </w:r>
      <w:r w:rsidRPr="00C537A9">
        <w:rPr>
          <w:lang w:val="es-ES" w:eastAsia="ko-KR"/>
        </w:rPr>
        <w:t xml:space="preserve">notificación a todos los Estados Miembros de la selección de una oferta, 5) requisitos mínimos establecidos para ser país anfitrión, y 6) realización de visitas al lugar antes de examinar oficialmente las invitaciones para ser país anfitrión. </w:t>
      </w:r>
    </w:p>
    <w:p w14:paraId="42A789EF" w14:textId="5BEC6B82" w:rsidR="00CD4FF2" w:rsidRPr="00C537A9" w:rsidRDefault="00CD4FF2" w:rsidP="00973B55">
      <w:pPr>
        <w:pStyle w:val="Headingb"/>
        <w:jc w:val="both"/>
        <w:rPr>
          <w:lang w:val="es-ES" w:eastAsia="ko-KR"/>
        </w:rPr>
      </w:pPr>
      <w:r w:rsidRPr="00C537A9">
        <w:rPr>
          <w:bCs/>
          <w:lang w:val="es-ES" w:eastAsia="ko-KR"/>
        </w:rPr>
        <w:t>Contribución de los Estados Unidos de América – Consideraciones relativas al desarrollo de procesos y procedimientos oficiales para la presentación de candidaturas para acoger conferencias y asambleas de la UIT (</w:t>
      </w:r>
      <w:r w:rsidRPr="00C537A9">
        <w:rPr>
          <w:lang w:val="es-ES" w:eastAsia="ko-KR"/>
        </w:rPr>
        <w:t xml:space="preserve">Documento </w:t>
      </w:r>
      <w:hyperlink r:id="rId81"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-21/23</w:t>
        </w:r>
      </w:hyperlink>
      <w:r w:rsidRPr="00C537A9">
        <w:rPr>
          <w:bCs/>
          <w:lang w:val="es-ES" w:eastAsia="ko-KR"/>
        </w:rPr>
        <w:t>)</w:t>
      </w:r>
      <w:r w:rsidRPr="00C537A9">
        <w:rPr>
          <w:lang w:val="es-ES" w:eastAsia="ko-KR"/>
        </w:rPr>
        <w:t xml:space="preserve"> </w:t>
      </w:r>
      <w:hyperlink r:id="rId82" w:history="1"/>
    </w:p>
    <w:p w14:paraId="30637C1A" w14:textId="77777777" w:rsidR="00CD4FF2" w:rsidRPr="00C537A9" w:rsidRDefault="00CD4FF2" w:rsidP="00973B55">
      <w:pPr>
        <w:jc w:val="both"/>
        <w:rPr>
          <w:b/>
          <w:lang w:val="es-ES" w:eastAsia="ko-KR"/>
        </w:rPr>
      </w:pPr>
      <w:r w:rsidRPr="00C537A9">
        <w:rPr>
          <w:lang w:val="es-ES" w:eastAsia="ko-KR"/>
        </w:rPr>
        <w:t>8.4</w:t>
      </w:r>
      <w:r w:rsidRPr="00C537A9">
        <w:rPr>
          <w:lang w:val="es-ES" w:eastAsia="ko-KR"/>
        </w:rPr>
        <w:tab/>
        <w:t>En la contribución de los Estados Unidos se proponía que la UIT elaborase un proceso de licitación para acoger conferencias y asambleas de la UIT mediante una invitación a presentar propuestas que abarque elementos clave, como los productos y sus especificaciones, las condiciones de pago y las obligaciones financieras. Además, se propone crear un grupo por correspondencia encargado de finalizar el nuevo proceso de licitación antes la próxima reunión del Consejo en abril de 2026.</w:t>
      </w:r>
    </w:p>
    <w:p w14:paraId="739CC8F5" w14:textId="17E553D7" w:rsidR="00CD4FF2" w:rsidRPr="00C537A9" w:rsidRDefault="00CD4FF2" w:rsidP="00973B55">
      <w:pPr>
        <w:jc w:val="both"/>
        <w:rPr>
          <w:lang w:val="es-ES" w:eastAsia="ko-KR"/>
        </w:rPr>
      </w:pPr>
      <w:r w:rsidRPr="00C537A9">
        <w:rPr>
          <w:lang w:val="es-ES" w:eastAsia="ko-KR"/>
        </w:rPr>
        <w:t>8.5</w:t>
      </w:r>
      <w:r w:rsidRPr="00C537A9">
        <w:rPr>
          <w:lang w:val="es-ES" w:eastAsia="ko-KR"/>
        </w:rPr>
        <w:tab/>
        <w:t>Los delegados de la 21</w:t>
      </w:r>
      <w:r w:rsidR="00024C11">
        <w:rPr>
          <w:lang w:val="es-ES" w:eastAsia="ko-KR"/>
        </w:rPr>
        <w:t>.</w:t>
      </w:r>
      <w:r w:rsidRPr="00C537A9">
        <w:rPr>
          <w:lang w:val="es-ES" w:eastAsia="ko-KR"/>
        </w:rPr>
        <w:t>ª reunión se mostraron divididos entre las tres propuestas. Algunos prefirieron el enfoque de China sobre mejorar el proceso de licitación a través de los mecanismos existentes en la UIT y se mostraron preocupados por que el proceso se formalizara en exceso o se desalentara a los países en desarrollo a postularse como anfitriones. Otros se mostraron a favor de las propuestas de India y Estados Unidos sobre un marco más codificado y acompañado de un conjunto de criterios claros. Los delegados también mostraron opiniones divergentes sobre la conveniencia de establecer un grupo por correspondencia. Sin embargo, todos los delegados convinieron en que era necesario mejorar la normalización y la transparencia del proceso de licitación, así como definir un calendario claro.</w:t>
      </w:r>
    </w:p>
    <w:p w14:paraId="60D66533" w14:textId="77777777" w:rsidR="00CD4FF2" w:rsidRPr="00C537A9" w:rsidRDefault="00CD4FF2" w:rsidP="00973B55">
      <w:pPr>
        <w:jc w:val="both"/>
        <w:rPr>
          <w:lang w:val="es-ES" w:eastAsia="ko-KR"/>
        </w:rPr>
      </w:pPr>
      <w:r w:rsidRPr="00C537A9">
        <w:rPr>
          <w:lang w:val="es-ES" w:eastAsia="ko-KR"/>
        </w:rPr>
        <w:t>8.6</w:t>
      </w:r>
      <w:r w:rsidRPr="00C537A9">
        <w:rPr>
          <w:lang w:val="es-ES" w:eastAsia="ko-KR"/>
        </w:rPr>
        <w:tab/>
        <w:t xml:space="preserve">Reconociendo la falta de acuerdo, la Presidenta pidió a la Secretaría que revisara su análisis inicial teniendo en cuenta el debate y las propuestas para la reunión, y que celebrara </w:t>
      </w:r>
      <w:r w:rsidRPr="00C537A9">
        <w:rPr>
          <w:lang w:val="es-ES" w:eastAsia="ko-KR"/>
        </w:rPr>
        <w:lastRenderedPageBreak/>
        <w:t xml:space="preserve">una sesión informativa. En dicha sesión informativa, que se celebró virtualmente el 30 de octubre de 2025, se presentó a los delegados el nuevo portal web de país anfitrión de la UIT. </w:t>
      </w:r>
    </w:p>
    <w:p w14:paraId="1BF53BA8" w14:textId="53CE0B03" w:rsidR="00CD4FF2" w:rsidRPr="00C537A9" w:rsidRDefault="00CD4FF2" w:rsidP="00973B55">
      <w:pPr>
        <w:jc w:val="both"/>
        <w:rPr>
          <w:lang w:val="es-ES" w:eastAsia="ko-KR"/>
        </w:rPr>
      </w:pPr>
      <w:r w:rsidRPr="00C537A9">
        <w:rPr>
          <w:lang w:val="es-ES" w:eastAsia="ko-KR"/>
        </w:rPr>
        <w:t>8.7</w:t>
      </w:r>
      <w:r w:rsidRPr="00C537A9">
        <w:rPr>
          <w:lang w:val="es-ES" w:eastAsia="ko-KR"/>
        </w:rPr>
        <w:tab/>
        <w:t>En la 22</w:t>
      </w:r>
      <w:r w:rsidR="00024C11">
        <w:rPr>
          <w:lang w:val="es-ES" w:eastAsia="ko-KR"/>
        </w:rPr>
        <w:t>.</w:t>
      </w:r>
      <w:r w:rsidRPr="00C537A9">
        <w:rPr>
          <w:lang w:val="es-ES" w:eastAsia="ko-KR"/>
        </w:rPr>
        <w:t xml:space="preserve">ª reunión, la Secretaría presentó una propuesta de proceso de selección de los países anfitriones de las conferencias y asambleas de la UIT, y proporcionó información actualizada sobre las modificaciones introducidas en el portal web de país anfitrión a raíz de los debates mantenidos durante la sesión informativa. </w:t>
      </w:r>
    </w:p>
    <w:p w14:paraId="29FE659D" w14:textId="77777777" w:rsidR="00CD4FF2" w:rsidRPr="00C537A9" w:rsidRDefault="00CD4FF2" w:rsidP="00973B55">
      <w:pPr>
        <w:jc w:val="both"/>
        <w:rPr>
          <w:lang w:val="es-ES" w:eastAsia="ko-KR"/>
        </w:rPr>
      </w:pPr>
      <w:r w:rsidRPr="00C537A9">
        <w:rPr>
          <w:lang w:val="es-ES" w:eastAsia="ko-KR"/>
        </w:rPr>
        <w:t>8.8</w:t>
      </w:r>
      <w:r w:rsidRPr="00C537A9">
        <w:rPr>
          <w:lang w:val="es-ES" w:eastAsia="ko-KR"/>
        </w:rPr>
        <w:tab/>
        <w:t xml:space="preserve">Si bien los delegados aplaudieron el portal web de la Secretaría y valoraron positivamente su impulso a la transparencia, también señalaron que el proceso propuesto por la Secretaría no respeta la intención del Consejo de 2025 al requerir un proceso de selección entre múltiples candidaturas. En consecuencia, varios delegados solicitaron a la Secretaría que revisara el proceso propuesto para incluir un calendario o periodo de presentación de ofertas de los países anfitriones, información sobre los costos y un mecanismo de información para los Estados Miembros cuya oferta no se haya seleccionado. </w:t>
      </w:r>
    </w:p>
    <w:p w14:paraId="1F8CF9C0" w14:textId="77777777" w:rsidR="00CD4FF2" w:rsidRPr="00C537A9" w:rsidRDefault="00CD4FF2" w:rsidP="00973B55">
      <w:pPr>
        <w:jc w:val="both"/>
        <w:rPr>
          <w:b/>
          <w:lang w:val="es-ES" w:eastAsia="ko-KR"/>
        </w:rPr>
      </w:pPr>
      <w:r w:rsidRPr="00C537A9">
        <w:rPr>
          <w:lang w:val="es-ES" w:eastAsia="ko-KR"/>
        </w:rPr>
        <w:t>8.9</w:t>
      </w:r>
      <w:r w:rsidRPr="00C537A9">
        <w:rPr>
          <w:lang w:val="es-ES" w:eastAsia="ko-KR"/>
        </w:rPr>
        <w:tab/>
        <w:t>India reafirmó su disposición a seguir debatiendo estas cuestiones y dio las gracias al GTC-RHF por tomar nota de la propuesta de India de acoger la Conferencia de Plenipotenciarios de 2030.</w:t>
      </w:r>
    </w:p>
    <w:p w14:paraId="7E55F9B0" w14:textId="77777777" w:rsidR="00CD4FF2" w:rsidRPr="00C537A9" w:rsidRDefault="00CD4FF2" w:rsidP="00973B55">
      <w:pPr>
        <w:pBdr>
          <w:top w:val="single" w:sz="4" w:space="1" w:color="auto"/>
          <w:left w:val="single" w:sz="4" w:space="4" w:color="auto"/>
          <w:bottom w:val="single" w:sz="4" w:space="1" w:color="auto"/>
          <w:right w:val="single" w:sz="4" w:space="4" w:color="auto"/>
        </w:pBdr>
        <w:jc w:val="both"/>
        <w:rPr>
          <w:lang w:val="es-ES" w:eastAsia="ko-KR"/>
        </w:rPr>
      </w:pPr>
      <w:r w:rsidRPr="00C537A9">
        <w:rPr>
          <w:lang w:val="es-ES" w:eastAsia="ko-KR"/>
        </w:rPr>
        <w:t>8.10</w:t>
      </w:r>
      <w:r w:rsidRPr="00C537A9">
        <w:rPr>
          <w:lang w:val="es-ES" w:eastAsia="ko-KR"/>
        </w:rPr>
        <w:tab/>
        <w:t xml:space="preserve">El GTC-RHF </w:t>
      </w:r>
      <w:r w:rsidRPr="00C537A9">
        <w:rPr>
          <w:b/>
          <w:bCs/>
          <w:lang w:val="es-ES" w:eastAsia="ko-KR"/>
        </w:rPr>
        <w:t xml:space="preserve">recomendó </w:t>
      </w:r>
      <w:r w:rsidRPr="00C537A9">
        <w:rPr>
          <w:lang w:val="es-ES" w:eastAsia="ko-KR"/>
        </w:rPr>
        <w:t>a la Secretaría que examinara las transcripciones, los informes de las reuniones y las contribuciones del Consejo de 2025 y de las reuniones del GTC-RHF de septiembre de 2025 y enero de 2026, y que presentara al Consejo de 2026 un documento con un proceso de selección que incluyera un calendario y unos costes genéricos.</w:t>
      </w:r>
    </w:p>
    <w:p w14:paraId="4358C4F5" w14:textId="77777777" w:rsidR="00CD4FF2" w:rsidRPr="00C537A9" w:rsidRDefault="00CD4FF2" w:rsidP="00973B55">
      <w:pPr>
        <w:pBdr>
          <w:top w:val="single" w:sz="4" w:space="1" w:color="auto"/>
          <w:left w:val="single" w:sz="4" w:space="4" w:color="auto"/>
          <w:bottom w:val="single" w:sz="4" w:space="1" w:color="auto"/>
          <w:right w:val="single" w:sz="4" w:space="4" w:color="auto"/>
        </w:pBdr>
        <w:jc w:val="both"/>
        <w:rPr>
          <w:lang w:val="es-ES" w:eastAsia="ko-KR"/>
        </w:rPr>
      </w:pPr>
      <w:r w:rsidRPr="00C537A9">
        <w:rPr>
          <w:lang w:val="es-ES" w:eastAsia="ko-KR"/>
        </w:rPr>
        <w:t>8.11</w:t>
      </w:r>
      <w:r w:rsidRPr="00C537A9">
        <w:rPr>
          <w:lang w:val="es-ES" w:eastAsia="ko-KR"/>
        </w:rPr>
        <w:tab/>
        <w:t xml:space="preserve">El GTC-RHF </w:t>
      </w:r>
      <w:r w:rsidRPr="00C537A9">
        <w:rPr>
          <w:b/>
          <w:bCs/>
          <w:lang w:val="es-ES" w:eastAsia="ko-KR"/>
        </w:rPr>
        <w:t xml:space="preserve">invita </w:t>
      </w:r>
      <w:r w:rsidRPr="00C537A9">
        <w:rPr>
          <w:lang w:val="es-ES" w:eastAsia="ko-KR"/>
        </w:rPr>
        <w:t xml:space="preserve">al Consejo a tomar nota de la oferta de India de acoger la Conferencia de Plenipotenciarios de 2030. </w:t>
      </w:r>
    </w:p>
    <w:p w14:paraId="3F88B3C2" w14:textId="43CD9EA8" w:rsidR="00CD4FF2" w:rsidRPr="00C537A9" w:rsidRDefault="00CD4FF2" w:rsidP="000C7392">
      <w:pPr>
        <w:pStyle w:val="Heading1"/>
        <w:rPr>
          <w:lang w:val="es-ES" w:eastAsia="ko-KR"/>
        </w:rPr>
      </w:pPr>
      <w:r w:rsidRPr="00C537A9">
        <w:rPr>
          <w:bCs/>
          <w:lang w:val="es-ES" w:eastAsia="ko-KR"/>
        </w:rPr>
        <w:t>9</w:t>
      </w:r>
      <w:r w:rsidRPr="00C537A9">
        <w:rPr>
          <w:lang w:val="es-ES" w:eastAsia="ko-KR"/>
        </w:rPr>
        <w:tab/>
      </w:r>
      <w:r w:rsidRPr="00C537A9">
        <w:rPr>
          <w:bCs/>
          <w:lang w:val="es-ES" w:eastAsia="ko-KR"/>
        </w:rPr>
        <w:t>Reducción de la carga financiera para los países anfitriones</w:t>
      </w:r>
      <w:r w:rsidR="00024C11">
        <w:rPr>
          <w:bCs/>
          <w:lang w:val="es-ES" w:eastAsia="ko-KR"/>
        </w:rPr>
        <w:br/>
      </w:r>
      <w:r w:rsidRPr="00C537A9">
        <w:rPr>
          <w:bCs/>
          <w:lang w:val="es-ES" w:eastAsia="ko-KR"/>
        </w:rPr>
        <w:t xml:space="preserve">(Documentos </w:t>
      </w:r>
      <w:hyperlink r:id="rId83"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-21/8</w:t>
        </w:r>
      </w:hyperlink>
      <w:r w:rsidRPr="00C537A9">
        <w:rPr>
          <w:lang w:val="es-ES" w:eastAsia="ko-KR"/>
        </w:rPr>
        <w:t xml:space="preserve"> y </w:t>
      </w:r>
      <w:hyperlink r:id="rId84"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-22/19</w:t>
        </w:r>
      </w:hyperlink>
      <w:r w:rsidRPr="00C537A9">
        <w:rPr>
          <w:bCs/>
          <w:lang w:val="es-ES" w:eastAsia="ko-KR"/>
        </w:rPr>
        <w:t>)</w:t>
      </w:r>
      <w:hyperlink r:id="rId85" w:history="1"/>
      <w:hyperlink r:id="rId86" w:history="1"/>
    </w:p>
    <w:p w14:paraId="7A6501A0" w14:textId="2DAF2513" w:rsidR="00CD4FF2" w:rsidRPr="00C537A9" w:rsidRDefault="00CD4FF2" w:rsidP="00973B55">
      <w:pPr>
        <w:jc w:val="both"/>
        <w:rPr>
          <w:lang w:val="es-ES" w:eastAsia="ko-KR"/>
        </w:rPr>
      </w:pPr>
      <w:r w:rsidRPr="00C537A9">
        <w:rPr>
          <w:lang w:val="es-ES" w:eastAsia="ko-KR"/>
        </w:rPr>
        <w:t>9.1</w:t>
      </w:r>
      <w:r w:rsidRPr="00C537A9">
        <w:rPr>
          <w:lang w:val="es-ES" w:eastAsia="ko-KR"/>
        </w:rPr>
        <w:tab/>
        <w:t>En la 21</w:t>
      </w:r>
      <w:r w:rsidR="004D423D">
        <w:rPr>
          <w:lang w:val="es-ES" w:eastAsia="ko-KR"/>
        </w:rPr>
        <w:t>.</w:t>
      </w:r>
      <w:r w:rsidRPr="00C537A9">
        <w:rPr>
          <w:lang w:val="es-ES" w:eastAsia="ko-KR"/>
        </w:rPr>
        <w:t xml:space="preserve">ª reunión, la Secretaría dio a conocer su evaluación de la viabilidad de tres propuestas para reducir los gastos de los países anfitriones de la UIT y facilitar una participación más amplia, que se presentaron por primera vez al Consejo en junio de 2025 en la contribución multipartita Documento </w:t>
      </w:r>
      <w:hyperlink r:id="rId87" w:history="1">
        <w:proofErr w:type="spellStart"/>
        <w:r w:rsidRPr="00C537A9">
          <w:rPr>
            <w:rFonts w:eastAsia="Aptos"/>
            <w:color w:val="0070C0"/>
            <w:u w:val="single"/>
            <w:lang w:val="es-ES" w:eastAsia="ko-KR"/>
          </w:rPr>
          <w:t>C25</w:t>
        </w:r>
        <w:proofErr w:type="spellEnd"/>
        <w:r w:rsidRPr="00C537A9">
          <w:rPr>
            <w:rFonts w:eastAsia="Aptos"/>
            <w:color w:val="0070C0"/>
            <w:u w:val="single"/>
            <w:lang w:val="es-ES" w:eastAsia="ko-KR"/>
          </w:rPr>
          <w:t>/95</w:t>
        </w:r>
      </w:hyperlink>
      <w:r w:rsidRPr="00C537A9">
        <w:rPr>
          <w:lang w:val="es-ES" w:eastAsia="ko-KR"/>
        </w:rPr>
        <w:t>. Las propuestas incluían: 1) utilizar recursos de interpretación locales y/o nacionales; 2) adquisición local de equipos y dispositivos de TI; y 3) transición a procesos digitalizados para la inscripción y acreditación en conferencias.</w:t>
      </w:r>
      <w:hyperlink r:id="rId88" w:history="1"/>
    </w:p>
    <w:p w14:paraId="0FFC4366" w14:textId="0BB9663A" w:rsidR="00CD4FF2" w:rsidRPr="00C537A9" w:rsidRDefault="00CD4FF2" w:rsidP="00973B55">
      <w:pPr>
        <w:jc w:val="both"/>
        <w:rPr>
          <w:lang w:val="es-ES" w:eastAsia="ko-KR"/>
        </w:rPr>
      </w:pPr>
      <w:r w:rsidRPr="00C537A9">
        <w:rPr>
          <w:lang w:val="es-ES" w:eastAsia="ko-KR"/>
        </w:rPr>
        <w:t>9.2</w:t>
      </w:r>
      <w:r w:rsidRPr="00C537A9">
        <w:rPr>
          <w:lang w:val="es-ES" w:eastAsia="ko-KR"/>
        </w:rPr>
        <w:tab/>
        <w:t xml:space="preserve">Los delegados apoyaron ampliamente estas medidas de ahorro, haciendo hincapié en que permitirían que más países, en particular los países en </w:t>
      </w:r>
      <w:r w:rsidR="004D423D" w:rsidRPr="00C537A9">
        <w:rPr>
          <w:lang w:val="es-ES" w:eastAsia="ko-KR"/>
        </w:rPr>
        <w:t>desarrollo</w:t>
      </w:r>
      <w:r w:rsidRPr="00C537A9">
        <w:rPr>
          <w:lang w:val="es-ES" w:eastAsia="ko-KR"/>
        </w:rPr>
        <w:t xml:space="preserve"> acogieran eventos de la UIT. Los delegados formularon preguntas sobre los ahorros financieros específicos y los criterios técnicos para las adquisiciones locales. Se alentó decididamente a la UIT a colaborar con las instituciones académicas para ampliar la reserva de intérpretes cualificados, y los delegados subrayaron que la calidad de la interpretación debía seguir siendo prioritaria. En respuesta, la Secretaría reafirmó su compromiso con la interpretación de calidad y prometió proporcionar información más detallada sobre digitalización, seguridad y directrices técnicas en la próxima reunión. Como preparación para la reunión del GTC-RHF de enero de 2026, la Presidenta encargó a la Secretaría que examinara el modelo de Acuerdo de país anfitrión teniendo en cuenta este debate y la contribución de Rumania al Consejo de 2023.</w:t>
      </w:r>
    </w:p>
    <w:p w14:paraId="5BB265A9" w14:textId="17185078" w:rsidR="00CD4FF2" w:rsidRPr="00C537A9" w:rsidRDefault="00CD4FF2" w:rsidP="00973B55">
      <w:pPr>
        <w:jc w:val="both"/>
        <w:rPr>
          <w:spacing w:val="-2"/>
          <w:lang w:val="es-ES" w:eastAsia="ko-KR"/>
        </w:rPr>
      </w:pPr>
      <w:r w:rsidRPr="00C537A9">
        <w:rPr>
          <w:lang w:val="es-ES" w:eastAsia="ko-KR"/>
        </w:rPr>
        <w:lastRenderedPageBreak/>
        <w:t>9.3</w:t>
      </w:r>
      <w:r w:rsidRPr="00C537A9">
        <w:rPr>
          <w:lang w:val="es-ES" w:eastAsia="ko-KR"/>
        </w:rPr>
        <w:tab/>
        <w:t>En la 22</w:t>
      </w:r>
      <w:r w:rsidR="004D423D">
        <w:rPr>
          <w:lang w:val="es-ES" w:eastAsia="ko-KR"/>
        </w:rPr>
        <w:t>.</w:t>
      </w:r>
      <w:r w:rsidRPr="00C537A9">
        <w:rPr>
          <w:lang w:val="es-ES" w:eastAsia="ko-KR"/>
        </w:rPr>
        <w:t xml:space="preserve">ª reunión, la Secretaría presentó el Documento </w:t>
      </w:r>
      <w:hyperlink r:id="rId89" w:history="1">
        <w:proofErr w:type="spellStart"/>
        <w:r w:rsidRPr="00C537A9">
          <w:rPr>
            <w:rStyle w:val="Hyperlink"/>
            <w:spacing w:val="-2"/>
            <w:lang w:val="es-ES" w:eastAsia="ko-KR"/>
          </w:rPr>
          <w:t>CWG</w:t>
        </w:r>
        <w:proofErr w:type="spellEnd"/>
        <w:r w:rsidRPr="00C537A9">
          <w:rPr>
            <w:rStyle w:val="Hyperlink"/>
            <w:spacing w:val="-2"/>
            <w:lang w:val="es-ES" w:eastAsia="ko-KR"/>
          </w:rPr>
          <w:t>-</w:t>
        </w:r>
        <w:proofErr w:type="spellStart"/>
        <w:r w:rsidRPr="00C537A9">
          <w:rPr>
            <w:rStyle w:val="Hyperlink"/>
            <w:spacing w:val="-2"/>
            <w:lang w:val="es-ES" w:eastAsia="ko-KR"/>
          </w:rPr>
          <w:t>FHR</w:t>
        </w:r>
        <w:proofErr w:type="spellEnd"/>
        <w:r w:rsidRPr="00C537A9">
          <w:rPr>
            <w:rStyle w:val="Hyperlink"/>
            <w:spacing w:val="-2"/>
            <w:lang w:val="es-ES" w:eastAsia="ko-KR"/>
          </w:rPr>
          <w:t>-22/19</w:t>
        </w:r>
      </w:hyperlink>
      <w:r w:rsidRPr="00C537A9">
        <w:rPr>
          <w:lang w:val="es-ES" w:eastAsia="ko-KR"/>
        </w:rPr>
        <w:t xml:space="preserve"> con información actualizada sobre las propuestas de reducción de costes para los países anfitriones de la UIT. Se ha preparado una propuesta oficial para que los Estados Miembros colaboren en la creación de una reserva de intérpretes de conferencias locales y nacionales, que se ha sometido a la consideración del Grupo de Trabajo del Consejo sobre la utilización de los seis idiomas oficiales de la Unión (</w:t>
      </w:r>
      <w:proofErr w:type="spellStart"/>
      <w:r w:rsidRPr="00C537A9">
        <w:rPr>
          <w:lang w:val="es-ES" w:eastAsia="ko-KR"/>
        </w:rPr>
        <w:t>GTC</w:t>
      </w:r>
      <w:proofErr w:type="spellEnd"/>
      <w:r w:rsidRPr="00C537A9">
        <w:rPr>
          <w:lang w:val="es-ES" w:eastAsia="ko-KR"/>
        </w:rPr>
        <w:t>-Idiomas). La lista debería estar terminada a principios de 2027, pero puede ser difícil encontrar intérpretes debidamente cualificados en los seis idiomas oficiales. También se está estudiando la posibilidad de utilizar la interpretación simultánea a distancia y el subtitulado y la interpretación basados en IA. En lo que respecta a la adquisición local de equipos y dispositivos de TI, la UIT está analizando si resulta viable establecer las correspondencias de las especificaciones técnicas mínimas y crear un grupo de proveedores precalificados en colaboración con los países anfitriones. La UIT también tiene previsto empezar a probar modelos de apoyo híbridos para 2027 a fin de reducir la dependencia de la infraestructura de nube privada de la UIT. Por último, la UIT está estudiando la transición a la acreditación totalmente digital para las conferencias.</w:t>
      </w:r>
      <w:hyperlink r:id="rId90" w:history="1"/>
    </w:p>
    <w:p w14:paraId="65F2FAC7" w14:textId="77777777" w:rsidR="00CD4FF2" w:rsidRPr="00C537A9" w:rsidRDefault="00CD4FF2" w:rsidP="00973B55">
      <w:pPr>
        <w:jc w:val="both"/>
        <w:rPr>
          <w:lang w:val="es-ES" w:eastAsia="ko-KR"/>
        </w:rPr>
      </w:pPr>
      <w:r w:rsidRPr="00C537A9">
        <w:rPr>
          <w:lang w:val="es-ES" w:eastAsia="ko-KR"/>
        </w:rPr>
        <w:t>9.4</w:t>
      </w:r>
      <w:r w:rsidRPr="00C537A9">
        <w:rPr>
          <w:lang w:val="es-ES" w:eastAsia="ko-KR"/>
        </w:rPr>
        <w:tab/>
        <w:t>Los delegados elogiaron las propuestas más amplias para reducir la carga financiera de los países anfitriones, aunque un delegado subrayó que estas medidas deberían ser neutrales y beneficiar a cualquier Estado Miembro. Los delegados mostraron una gran cautela con respecto al uso de la interpretación basada en IA, y recomendaron desplegarla de forma gradual, comenzando con reuniones más pequeñas para evaluar su precisión antes de implementarla a mayor escala. La Secretaría se mostró de acuerdo con este enfoque prudente y confirmó que la IA aún no está lista para las reuniones técnicas o de los órganos rectores, pero que las pruebas continuarán. Los delegados también destacaron la importancia de recurrir a intérpretes que comprendan los aspectos y la terminología altamente técnicos de la labor de la UIT. La Secretaría afirmó que la UIT se encargaría de la formación, cualificación y selección de los intérpretes para garantizar la calidad.</w:t>
      </w:r>
    </w:p>
    <w:p w14:paraId="358BA432" w14:textId="77777777" w:rsidR="00CD4FF2" w:rsidRPr="00C537A9" w:rsidRDefault="00CD4FF2" w:rsidP="00973B55">
      <w:pPr>
        <w:pBdr>
          <w:top w:val="single" w:sz="4" w:space="1" w:color="auto"/>
          <w:left w:val="single" w:sz="4" w:space="4" w:color="auto"/>
          <w:bottom w:val="single" w:sz="4" w:space="1" w:color="auto"/>
          <w:right w:val="single" w:sz="4" w:space="4" w:color="auto"/>
        </w:pBdr>
        <w:jc w:val="both"/>
        <w:rPr>
          <w:lang w:val="es-ES" w:eastAsia="ko-KR"/>
        </w:rPr>
      </w:pPr>
      <w:r w:rsidRPr="00C537A9">
        <w:rPr>
          <w:lang w:val="es-ES" w:eastAsia="ko-KR"/>
        </w:rPr>
        <w:t>9.5</w:t>
      </w:r>
      <w:r w:rsidRPr="00C537A9">
        <w:rPr>
          <w:lang w:val="es-ES" w:eastAsia="ko-KR"/>
        </w:rPr>
        <w:tab/>
        <w:t xml:space="preserve">El GTC-RHF </w:t>
      </w:r>
      <w:r w:rsidRPr="00C537A9">
        <w:rPr>
          <w:b/>
          <w:bCs/>
          <w:lang w:val="es-ES" w:eastAsia="ko-KR"/>
        </w:rPr>
        <w:t xml:space="preserve">recomendó </w:t>
      </w:r>
      <w:r w:rsidRPr="00C537A9">
        <w:rPr>
          <w:lang w:val="es-ES" w:eastAsia="ko-KR"/>
        </w:rPr>
        <w:t xml:space="preserve">a la Secretaría que informara al Consejo de 2026 sobre los debates del GTC-RHF relativos a la reducción de la carga financiera de los países anfitriones </w:t>
      </w:r>
    </w:p>
    <w:p w14:paraId="4926EE53" w14:textId="32D33785" w:rsidR="00CD4FF2" w:rsidRPr="00C537A9" w:rsidRDefault="00CD4FF2" w:rsidP="000C7392">
      <w:pPr>
        <w:pStyle w:val="Heading1"/>
        <w:rPr>
          <w:lang w:val="es-ES" w:eastAsia="ko-KR"/>
        </w:rPr>
      </w:pPr>
      <w:r w:rsidRPr="00C537A9">
        <w:rPr>
          <w:bCs/>
          <w:lang w:val="es-ES" w:eastAsia="ko-KR"/>
        </w:rPr>
        <w:t>10</w:t>
      </w:r>
      <w:r w:rsidRPr="00C537A9">
        <w:rPr>
          <w:lang w:val="es-ES" w:eastAsia="ko-KR"/>
        </w:rPr>
        <w:tab/>
      </w:r>
      <w:r w:rsidRPr="00C537A9">
        <w:rPr>
          <w:bCs/>
          <w:lang w:val="es-ES" w:eastAsia="ko-KR"/>
        </w:rPr>
        <w:t>Mejora de la gestión de los recursos humanos (Documentos</w:t>
      </w:r>
      <w:r w:rsidR="00E50870">
        <w:rPr>
          <w:bCs/>
          <w:lang w:val="es-ES" w:eastAsia="ko-KR"/>
        </w:rPr>
        <w:t> </w:t>
      </w:r>
      <w:proofErr w:type="spellStart"/>
      <w:r>
        <w:fldChar w:fldCharType="begin"/>
      </w:r>
      <w:r w:rsidRPr="00984FD9">
        <w:rPr>
          <w:lang w:val="es-ES"/>
        </w:rPr>
        <w:instrText>HYPERLINK "https://www.itu.int/md/S25-CL-C-0085/es"</w:instrText>
      </w:r>
      <w:r>
        <w:fldChar w:fldCharType="separate"/>
      </w:r>
      <w:r w:rsidRPr="00C537A9">
        <w:rPr>
          <w:rStyle w:val="Hyperlink"/>
          <w:lang w:val="es-ES" w:eastAsia="ko-KR"/>
        </w:rPr>
        <w:t>C25</w:t>
      </w:r>
      <w:proofErr w:type="spellEnd"/>
      <w:r w:rsidRPr="00C537A9">
        <w:rPr>
          <w:rStyle w:val="Hyperlink"/>
          <w:lang w:val="es-ES" w:eastAsia="ko-KR"/>
        </w:rPr>
        <w:t>/85(</w:t>
      </w:r>
      <w:proofErr w:type="spellStart"/>
      <w:r w:rsidRPr="00C537A9">
        <w:rPr>
          <w:rStyle w:val="Hyperlink"/>
          <w:lang w:val="es-ES" w:eastAsia="ko-KR"/>
        </w:rPr>
        <w:t>Rev.1</w:t>
      </w:r>
      <w:proofErr w:type="spellEnd"/>
      <w:r w:rsidRPr="00C537A9">
        <w:rPr>
          <w:rStyle w:val="Hyperlink"/>
          <w:lang w:val="es-ES" w:eastAsia="ko-KR"/>
        </w:rPr>
        <w:t>)</w:t>
      </w:r>
      <w:r>
        <w:fldChar w:fldCharType="end"/>
      </w:r>
      <w:r w:rsidRPr="00C537A9">
        <w:rPr>
          <w:lang w:val="es-ES" w:eastAsia="ko-KR"/>
        </w:rPr>
        <w:t xml:space="preserve">, </w:t>
      </w:r>
      <w:hyperlink r:id="rId91"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-22/10</w:t>
        </w:r>
      </w:hyperlink>
      <w:r w:rsidRPr="00C537A9">
        <w:rPr>
          <w:lang w:val="es-ES" w:eastAsia="ko-KR"/>
        </w:rPr>
        <w:t xml:space="preserve"> y </w:t>
      </w:r>
      <w:hyperlink r:id="rId92"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-22/12</w:t>
        </w:r>
      </w:hyperlink>
      <w:r w:rsidRPr="00C537A9">
        <w:rPr>
          <w:bCs/>
          <w:lang w:val="es-ES" w:eastAsia="ko-KR"/>
        </w:rPr>
        <w:t>)</w:t>
      </w:r>
      <w:hyperlink r:id="rId93" w:history="1"/>
      <w:hyperlink r:id="rId94" w:history="1"/>
      <w:hyperlink r:id="rId95" w:history="1"/>
    </w:p>
    <w:p w14:paraId="7591D006" w14:textId="3292D8EC" w:rsidR="00CD4FF2" w:rsidRPr="00C537A9" w:rsidRDefault="00CD4FF2" w:rsidP="00973B55">
      <w:pPr>
        <w:jc w:val="both"/>
        <w:rPr>
          <w:lang w:val="es-ES" w:eastAsia="ko-KR"/>
        </w:rPr>
      </w:pPr>
      <w:r w:rsidRPr="00C537A9">
        <w:rPr>
          <w:lang w:val="es-ES" w:eastAsia="ko-KR"/>
        </w:rPr>
        <w:t>10.1</w:t>
      </w:r>
      <w:r w:rsidRPr="00C537A9">
        <w:rPr>
          <w:lang w:val="es-ES" w:eastAsia="ko-KR"/>
        </w:rPr>
        <w:tab/>
        <w:t>En la 21</w:t>
      </w:r>
      <w:r w:rsidR="004D423D">
        <w:rPr>
          <w:lang w:val="es-ES" w:eastAsia="ko-KR"/>
        </w:rPr>
        <w:t>.</w:t>
      </w:r>
      <w:r w:rsidRPr="00C537A9">
        <w:rPr>
          <w:lang w:val="es-ES" w:eastAsia="ko-KR"/>
        </w:rPr>
        <w:t>ª reunión, un delegado de la República Popular de China presentó el Documento</w:t>
      </w:r>
      <w:r w:rsidR="00E50870">
        <w:rPr>
          <w:lang w:val="es-ES" w:eastAsia="ko-KR"/>
        </w:rPr>
        <w:t> </w:t>
      </w:r>
      <w:proofErr w:type="spellStart"/>
      <w:r>
        <w:fldChar w:fldCharType="begin"/>
      </w:r>
      <w:r w:rsidRPr="00984FD9">
        <w:rPr>
          <w:lang w:val="es-ES"/>
        </w:rPr>
        <w:instrText>HYPERLINK "https://www.itu.int/md/S25-CL-C-0085/es"</w:instrText>
      </w:r>
      <w:r>
        <w:fldChar w:fldCharType="separate"/>
      </w:r>
      <w:r w:rsidRPr="00C537A9">
        <w:rPr>
          <w:rStyle w:val="Hyperlink"/>
          <w:lang w:val="es-ES" w:eastAsia="ko-KR"/>
        </w:rPr>
        <w:t>C25</w:t>
      </w:r>
      <w:proofErr w:type="spellEnd"/>
      <w:r w:rsidRPr="00C537A9">
        <w:rPr>
          <w:rStyle w:val="Hyperlink"/>
          <w:lang w:val="es-ES" w:eastAsia="ko-KR"/>
        </w:rPr>
        <w:t>/85(</w:t>
      </w:r>
      <w:proofErr w:type="spellStart"/>
      <w:r w:rsidRPr="00C537A9">
        <w:rPr>
          <w:rStyle w:val="Hyperlink"/>
          <w:lang w:val="es-ES" w:eastAsia="ko-KR"/>
        </w:rPr>
        <w:t>Rev.1</w:t>
      </w:r>
      <w:proofErr w:type="spellEnd"/>
      <w:r w:rsidRPr="00C537A9">
        <w:rPr>
          <w:rStyle w:val="Hyperlink"/>
          <w:lang w:val="es-ES" w:eastAsia="ko-KR"/>
        </w:rPr>
        <w:t>)</w:t>
      </w:r>
      <w:r>
        <w:fldChar w:fldCharType="end"/>
      </w:r>
      <w:r w:rsidRPr="00C537A9">
        <w:rPr>
          <w:lang w:val="es-ES" w:eastAsia="ko-KR"/>
        </w:rPr>
        <w:t>, elaborada originalmente como contribución para el Consejo de 2025 sobre las prácticas de recursos humanos de la UIT, en el que se proponían modificaciones a dos Resoluciones del Consejo. El Consejo de 2025 transfirió el documento al GTC-RHF para que siguiera debatiéndolo. Ningún delegado tomó la palabra para formular comentarios, por lo que la Presidenta decidió volver a examinar la contribución en la 22</w:t>
      </w:r>
      <w:r w:rsidR="004D423D">
        <w:rPr>
          <w:lang w:val="es-ES" w:eastAsia="ko-KR"/>
        </w:rPr>
        <w:t>.</w:t>
      </w:r>
      <w:r w:rsidRPr="00C537A9">
        <w:rPr>
          <w:lang w:val="es-ES" w:eastAsia="ko-KR"/>
        </w:rPr>
        <w:t xml:space="preserve">ª reunión de enero, tras la actualización del informe de recursos humanos de la Secretaría. </w:t>
      </w:r>
      <w:hyperlink r:id="rId96" w:history="1"/>
    </w:p>
    <w:p w14:paraId="75E66944" w14:textId="4698A456" w:rsidR="00CD4FF2" w:rsidRPr="00C537A9" w:rsidRDefault="00CD4FF2" w:rsidP="00973B55">
      <w:pPr>
        <w:jc w:val="both"/>
        <w:rPr>
          <w:spacing w:val="-2"/>
          <w:lang w:val="es-ES" w:eastAsia="ko-KR"/>
        </w:rPr>
      </w:pPr>
      <w:r w:rsidRPr="00C537A9">
        <w:rPr>
          <w:lang w:val="es-ES" w:eastAsia="ko-KR"/>
        </w:rPr>
        <w:t>10.2</w:t>
      </w:r>
      <w:r w:rsidRPr="00C537A9">
        <w:rPr>
          <w:lang w:val="es-ES" w:eastAsia="ko-KR"/>
        </w:rPr>
        <w:tab/>
        <w:t xml:space="preserve">En enero de 2026, la Secretaría presentó su respuesta a las recomendaciones contenidas en el Documento </w:t>
      </w:r>
      <w:proofErr w:type="spellStart"/>
      <w:r w:rsidRPr="00C537A9">
        <w:rPr>
          <w:lang w:val="es-ES" w:eastAsia="ko-KR"/>
        </w:rPr>
        <w:t>C25</w:t>
      </w:r>
      <w:proofErr w:type="spellEnd"/>
      <w:r w:rsidRPr="00C537A9">
        <w:rPr>
          <w:lang w:val="es-ES" w:eastAsia="ko-KR"/>
        </w:rPr>
        <w:t>/85(</w:t>
      </w:r>
      <w:proofErr w:type="spellStart"/>
      <w:r w:rsidRPr="00C537A9">
        <w:rPr>
          <w:lang w:val="es-ES" w:eastAsia="ko-KR"/>
        </w:rPr>
        <w:t>Rev.1</w:t>
      </w:r>
      <w:proofErr w:type="spellEnd"/>
      <w:r w:rsidRPr="00C537A9">
        <w:rPr>
          <w:lang w:val="es-ES" w:eastAsia="ko-KR"/>
        </w:rPr>
        <w:t xml:space="preserve">). En el Documento </w:t>
      </w:r>
      <w:hyperlink r:id="rId97" w:history="1">
        <w:proofErr w:type="spellStart"/>
        <w:r w:rsidRPr="00C537A9">
          <w:rPr>
            <w:rStyle w:val="Hyperlink"/>
            <w:spacing w:val="-2"/>
            <w:lang w:val="es-ES" w:eastAsia="ko-KR"/>
          </w:rPr>
          <w:t>CWG</w:t>
        </w:r>
        <w:proofErr w:type="spellEnd"/>
        <w:r w:rsidRPr="00C537A9">
          <w:rPr>
            <w:rStyle w:val="Hyperlink"/>
            <w:spacing w:val="-2"/>
            <w:lang w:val="es-ES" w:eastAsia="ko-KR"/>
          </w:rPr>
          <w:t>-</w:t>
        </w:r>
        <w:proofErr w:type="spellStart"/>
        <w:r w:rsidRPr="00C537A9">
          <w:rPr>
            <w:rStyle w:val="Hyperlink"/>
            <w:spacing w:val="-2"/>
            <w:lang w:val="es-ES" w:eastAsia="ko-KR"/>
          </w:rPr>
          <w:t>FHR</w:t>
        </w:r>
        <w:proofErr w:type="spellEnd"/>
        <w:r w:rsidRPr="00C537A9">
          <w:rPr>
            <w:rStyle w:val="Hyperlink"/>
            <w:spacing w:val="-2"/>
            <w:lang w:val="es-ES" w:eastAsia="ko-KR"/>
          </w:rPr>
          <w:t>-22/10</w:t>
        </w:r>
      </w:hyperlink>
      <w:r w:rsidRPr="00C537A9">
        <w:rPr>
          <w:spacing w:val="-2"/>
          <w:lang w:val="es-ES" w:eastAsia="ko-KR"/>
        </w:rPr>
        <w:t xml:space="preserve"> </w:t>
      </w:r>
      <w:r w:rsidRPr="00C537A9">
        <w:rPr>
          <w:lang w:val="es-ES" w:eastAsia="ko-KR"/>
        </w:rPr>
        <w:t xml:space="preserve">se confirmó la puesta en marcha de la reestructuración de la Secretaría y se dio confianza a los delegados sobre la colaboración continuada con la dirección departamental y el Comité de Coordinación. Además, la Secretaría confirmó que cualquier cambio organizativo importante que requiriera la aprobación del Consejo se sometería debidamente a examen. El Departamento de Gestión </w:t>
      </w:r>
      <w:r w:rsidRPr="00C537A9">
        <w:rPr>
          <w:lang w:val="es-ES" w:eastAsia="ko-KR"/>
        </w:rPr>
        <w:lastRenderedPageBreak/>
        <w:t xml:space="preserve">de Recursos Humanos (HRMD) también confirmó que se informa a los Estados Miembros de todos los avisos de vacantes externas con cargo al presupuesto ordinario. </w:t>
      </w:r>
      <w:hyperlink r:id="rId98" w:history="1"/>
    </w:p>
    <w:p w14:paraId="236155E8" w14:textId="77777777" w:rsidR="00CD4FF2" w:rsidRPr="00C537A9" w:rsidRDefault="00CD4FF2" w:rsidP="00973B55">
      <w:pPr>
        <w:jc w:val="both"/>
        <w:rPr>
          <w:spacing w:val="2"/>
          <w:lang w:val="es-ES" w:eastAsia="ko-KR"/>
        </w:rPr>
      </w:pPr>
      <w:r w:rsidRPr="00C537A9">
        <w:rPr>
          <w:lang w:val="es-ES" w:eastAsia="ko-KR"/>
        </w:rPr>
        <w:t>10.3</w:t>
      </w:r>
      <w:r w:rsidRPr="00C537A9">
        <w:rPr>
          <w:lang w:val="es-ES" w:eastAsia="ko-KR"/>
        </w:rPr>
        <w:tab/>
        <w:t xml:space="preserve">Junto con su respuesta, la Secretaría también presentó el Documento </w:t>
      </w:r>
      <w:hyperlink r:id="rId99" w:history="1">
        <w:proofErr w:type="spellStart"/>
        <w:r w:rsidRPr="00C537A9">
          <w:rPr>
            <w:rStyle w:val="Hyperlink"/>
            <w:spacing w:val="2"/>
            <w:lang w:val="es-ES" w:eastAsia="ko-KR"/>
          </w:rPr>
          <w:t>CWG</w:t>
        </w:r>
        <w:proofErr w:type="spellEnd"/>
        <w:r w:rsidRPr="00C537A9">
          <w:rPr>
            <w:rStyle w:val="Hyperlink"/>
            <w:spacing w:val="2"/>
            <w:lang w:val="es-ES" w:eastAsia="ko-KR"/>
          </w:rPr>
          <w:noBreakHyphen/>
        </w:r>
        <w:proofErr w:type="spellStart"/>
        <w:r w:rsidRPr="00C537A9">
          <w:rPr>
            <w:rStyle w:val="Hyperlink"/>
            <w:spacing w:val="2"/>
            <w:lang w:val="es-ES" w:eastAsia="ko-KR"/>
          </w:rPr>
          <w:t>FHR</w:t>
        </w:r>
        <w:proofErr w:type="spellEnd"/>
        <w:r w:rsidRPr="00C537A9">
          <w:rPr>
            <w:rStyle w:val="Hyperlink"/>
            <w:spacing w:val="2"/>
            <w:lang w:val="es-ES" w:eastAsia="ko-KR"/>
          </w:rPr>
          <w:t>-22/12</w:t>
        </w:r>
      </w:hyperlink>
      <w:r w:rsidRPr="00C537A9">
        <w:rPr>
          <w:lang w:val="es-ES" w:eastAsia="ko-KR"/>
        </w:rPr>
        <w:t>, que contenía información actualizada sobre las iniciativas de la UIT en materia de personas y cultura en cuatro ámbitos fundamentales, a saber, liderazgo, bienestar, recompensas y reconocimiento, y participación del personal.</w:t>
      </w:r>
      <w:hyperlink r:id="rId100" w:history="1"/>
    </w:p>
    <w:p w14:paraId="68297707" w14:textId="77777777" w:rsidR="00CD4FF2" w:rsidRPr="00C537A9" w:rsidRDefault="00CD4FF2" w:rsidP="00973B55">
      <w:pPr>
        <w:jc w:val="both"/>
        <w:rPr>
          <w:lang w:val="es-ES" w:eastAsia="ko-KR"/>
        </w:rPr>
      </w:pPr>
      <w:r w:rsidRPr="00C537A9">
        <w:rPr>
          <w:lang w:val="es-ES" w:eastAsia="ko-KR"/>
        </w:rPr>
        <w:t>10.4</w:t>
      </w:r>
      <w:r w:rsidRPr="00C537A9">
        <w:rPr>
          <w:lang w:val="es-ES" w:eastAsia="ko-KR"/>
        </w:rPr>
        <w:tab/>
        <w:t xml:space="preserve">Varios delegados accedieron a que se pidieran al Consejo aclaraciones adicionales sobre los planes específicos de reestructuración de la Secretaría General. Además, un delegado preguntó quién determina si un cambio organizativo se considera "importante". Los delegados también solicitaron información sobre los resultados de la encuesta sobre la participación de los empleados y sugirieron mecanismos alternativos relacionados con la descentralización del complejo y la racionalización de la fuerza laboral. Un delegado también preguntó si el Ómbudsman presentaría un informe anual al Consejo. </w:t>
      </w:r>
    </w:p>
    <w:p w14:paraId="19C827E7" w14:textId="77777777" w:rsidR="00CD4FF2" w:rsidRPr="00C537A9" w:rsidRDefault="00CD4FF2" w:rsidP="00973B55">
      <w:pPr>
        <w:pBdr>
          <w:top w:val="single" w:sz="4" w:space="1" w:color="auto"/>
          <w:left w:val="single" w:sz="4" w:space="4" w:color="auto"/>
          <w:bottom w:val="single" w:sz="4" w:space="1" w:color="auto"/>
          <w:right w:val="single" w:sz="4" w:space="4" w:color="auto"/>
        </w:pBdr>
        <w:jc w:val="both"/>
        <w:rPr>
          <w:lang w:val="es-ES" w:eastAsia="ko-KR"/>
        </w:rPr>
      </w:pPr>
      <w:r w:rsidRPr="00C537A9">
        <w:rPr>
          <w:lang w:val="es-ES" w:eastAsia="ko-KR"/>
        </w:rPr>
        <w:t>10.5</w:t>
      </w:r>
      <w:r w:rsidRPr="00C537A9">
        <w:rPr>
          <w:lang w:val="es-ES" w:eastAsia="ko-KR"/>
        </w:rPr>
        <w:tab/>
        <w:t xml:space="preserve">El GTC-RHF </w:t>
      </w:r>
      <w:r w:rsidRPr="00C537A9">
        <w:rPr>
          <w:b/>
          <w:bCs/>
          <w:lang w:val="es-ES" w:eastAsia="ko-KR"/>
        </w:rPr>
        <w:t xml:space="preserve">recomendó </w:t>
      </w:r>
      <w:r w:rsidRPr="00C537A9">
        <w:rPr>
          <w:lang w:val="es-ES" w:eastAsia="ko-KR"/>
        </w:rPr>
        <w:t>que la Secretaría publicara los resultados de la encuesta sobre la participación de los empleados como documento informativo y que informase sobre el plan de reestructuración de la Secretaría General, habida cuenta de las recomendaciones Dahlberg.</w:t>
      </w:r>
    </w:p>
    <w:p w14:paraId="2EAF9306" w14:textId="77777777" w:rsidR="00CD4FF2" w:rsidRPr="00C537A9" w:rsidRDefault="00CD4FF2" w:rsidP="00973B55">
      <w:pPr>
        <w:pBdr>
          <w:top w:val="single" w:sz="4" w:space="1" w:color="auto"/>
          <w:left w:val="single" w:sz="4" w:space="4" w:color="auto"/>
          <w:bottom w:val="single" w:sz="4" w:space="1" w:color="auto"/>
          <w:right w:val="single" w:sz="4" w:space="4" w:color="auto"/>
        </w:pBdr>
        <w:jc w:val="both"/>
        <w:rPr>
          <w:lang w:val="es-ES" w:eastAsia="ko-KR"/>
        </w:rPr>
      </w:pPr>
      <w:r w:rsidRPr="00C537A9">
        <w:rPr>
          <w:lang w:val="es-ES" w:eastAsia="ko-KR"/>
        </w:rPr>
        <w:t>10.6</w:t>
      </w:r>
      <w:r w:rsidRPr="00C537A9">
        <w:rPr>
          <w:lang w:val="es-ES" w:eastAsia="ko-KR"/>
        </w:rPr>
        <w:tab/>
        <w:t xml:space="preserve">El GTC-RHF </w:t>
      </w:r>
      <w:r w:rsidRPr="00C537A9">
        <w:rPr>
          <w:b/>
          <w:bCs/>
          <w:lang w:val="es-ES" w:eastAsia="ko-KR"/>
        </w:rPr>
        <w:t xml:space="preserve">invita </w:t>
      </w:r>
      <w:r w:rsidRPr="00C537A9">
        <w:rPr>
          <w:lang w:val="es-ES" w:eastAsia="ko-KR"/>
        </w:rPr>
        <w:t>al Consejo a encargar a la Secretaría que prepare un informe sobre el significado de "importante" como criterio para el cambio organizativo, con miras a su posterior examen en la Conferencia de Plenipotenciarios de 2026.</w:t>
      </w:r>
    </w:p>
    <w:p w14:paraId="20A8194F" w14:textId="77777777" w:rsidR="00CD4FF2" w:rsidRPr="00C537A9" w:rsidRDefault="00CD4FF2" w:rsidP="00973B55">
      <w:pPr>
        <w:pBdr>
          <w:top w:val="single" w:sz="4" w:space="1" w:color="auto"/>
          <w:left w:val="single" w:sz="4" w:space="4" w:color="auto"/>
          <w:bottom w:val="single" w:sz="4" w:space="1" w:color="auto"/>
          <w:right w:val="single" w:sz="4" w:space="4" w:color="auto"/>
        </w:pBdr>
        <w:jc w:val="both"/>
        <w:rPr>
          <w:lang w:val="es-ES" w:eastAsia="ko-KR"/>
        </w:rPr>
      </w:pPr>
      <w:r w:rsidRPr="00C537A9">
        <w:rPr>
          <w:lang w:val="es-ES" w:eastAsia="ko-KR"/>
        </w:rPr>
        <w:t>10.7</w:t>
      </w:r>
      <w:r w:rsidRPr="00C537A9">
        <w:rPr>
          <w:lang w:val="es-ES" w:eastAsia="ko-KR"/>
        </w:rPr>
        <w:tab/>
        <w:t xml:space="preserve">El GTC-RHF </w:t>
      </w:r>
      <w:r w:rsidRPr="00C537A9">
        <w:rPr>
          <w:b/>
          <w:bCs/>
          <w:lang w:val="es-ES" w:eastAsia="ko-KR"/>
        </w:rPr>
        <w:t xml:space="preserve">invita </w:t>
      </w:r>
      <w:r w:rsidRPr="00C537A9">
        <w:rPr>
          <w:lang w:val="es-ES" w:eastAsia="ko-KR"/>
        </w:rPr>
        <w:t>al Consejo a solicitar a la Secretaría que prepare una evaluación del impacto de las "iniciativas en materia de personas y cultura" a fin de comprender mejor cómo han cambiado el nivel de satisfacción del personal de la UIT.</w:t>
      </w:r>
    </w:p>
    <w:p w14:paraId="6BDFB427" w14:textId="1D6B4310" w:rsidR="00CD4FF2" w:rsidRPr="00C537A9" w:rsidRDefault="00CD4FF2" w:rsidP="000C7392">
      <w:pPr>
        <w:pStyle w:val="Heading1"/>
        <w:rPr>
          <w:lang w:val="es-ES" w:eastAsia="ko-KR"/>
        </w:rPr>
      </w:pPr>
      <w:r w:rsidRPr="00C537A9">
        <w:rPr>
          <w:bCs/>
          <w:lang w:val="es-ES" w:eastAsia="ko-KR"/>
        </w:rPr>
        <w:t>11</w:t>
      </w:r>
      <w:r w:rsidRPr="00C537A9">
        <w:rPr>
          <w:lang w:val="es-ES" w:eastAsia="ko-KR"/>
        </w:rPr>
        <w:tab/>
      </w:r>
      <w:r w:rsidRPr="00C537A9">
        <w:rPr>
          <w:bCs/>
          <w:lang w:val="es-ES" w:eastAsia="ko-KR"/>
        </w:rPr>
        <w:t>Sitio web de la UIT y proceso de transformación</w:t>
      </w:r>
      <w:r w:rsidR="004D423D">
        <w:rPr>
          <w:bCs/>
          <w:lang w:val="es-ES" w:eastAsia="ko-KR"/>
        </w:rPr>
        <w:br/>
      </w:r>
      <w:r w:rsidRPr="00C537A9">
        <w:rPr>
          <w:bCs/>
          <w:lang w:val="es-ES" w:eastAsia="ko-KR"/>
        </w:rPr>
        <w:t xml:space="preserve">(Documentos </w:t>
      </w:r>
      <w:hyperlink r:id="rId101"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-21/11</w:t>
        </w:r>
      </w:hyperlink>
      <w:r w:rsidRPr="00C537A9">
        <w:rPr>
          <w:lang w:val="es-ES" w:eastAsia="ko-KR"/>
        </w:rPr>
        <w:t xml:space="preserve">, </w:t>
      </w:r>
      <w:hyperlink r:id="rId102"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-22/15</w:t>
        </w:r>
      </w:hyperlink>
      <w:r w:rsidRPr="00C537A9">
        <w:rPr>
          <w:lang w:val="es-ES" w:eastAsia="ko-KR"/>
        </w:rPr>
        <w:t xml:space="preserve"> y </w:t>
      </w:r>
      <w:hyperlink r:id="rId103"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-22/17</w:t>
        </w:r>
      </w:hyperlink>
      <w:r w:rsidRPr="00C537A9">
        <w:rPr>
          <w:bCs/>
          <w:lang w:val="es-ES" w:eastAsia="ko-KR"/>
        </w:rPr>
        <w:t>)</w:t>
      </w:r>
      <w:r w:rsidRPr="00C537A9">
        <w:rPr>
          <w:lang w:val="es-ES" w:eastAsia="ko-KR"/>
        </w:rPr>
        <w:t xml:space="preserve"> </w:t>
      </w:r>
      <w:hyperlink r:id="rId104" w:history="1"/>
      <w:hyperlink r:id="rId105" w:history="1"/>
      <w:hyperlink r:id="rId106" w:history="1"/>
    </w:p>
    <w:p w14:paraId="000F2ED0" w14:textId="36F87203" w:rsidR="00CD4FF2" w:rsidRPr="00C537A9" w:rsidRDefault="00CD4FF2" w:rsidP="00973B55">
      <w:pPr>
        <w:jc w:val="both"/>
        <w:rPr>
          <w:lang w:val="es-ES" w:eastAsia="ko-KR"/>
        </w:rPr>
      </w:pPr>
      <w:r w:rsidRPr="00C537A9">
        <w:rPr>
          <w:lang w:val="es-ES" w:eastAsia="ko-KR"/>
        </w:rPr>
        <w:t>11.1</w:t>
      </w:r>
      <w:r w:rsidRPr="00C537A9">
        <w:rPr>
          <w:lang w:val="es-ES" w:eastAsia="ko-KR"/>
        </w:rPr>
        <w:tab/>
        <w:t>La Secretaría informó a los delegados de la 21</w:t>
      </w:r>
      <w:r w:rsidR="005D35A4">
        <w:rPr>
          <w:lang w:val="es-ES" w:eastAsia="ko-KR"/>
        </w:rPr>
        <w:t>.</w:t>
      </w:r>
      <w:r w:rsidRPr="00C537A9">
        <w:rPr>
          <w:lang w:val="es-ES" w:eastAsia="ko-KR"/>
        </w:rPr>
        <w:t xml:space="preserve">ª reunión sobre los progresos realizados por el equipo dedicado a la transformación, señalando que la fase de limpieza de contenidos avanzaba adecuadamente y que el análisis del contenido del Sector de Normalización de las Telecomunicaciones (UIT-T) se había completado en su totalidad. Además, la Secretaría confirmó la selección del proveedor de arquitectura de información y taxonomía. </w:t>
      </w:r>
    </w:p>
    <w:p w14:paraId="618391BD" w14:textId="77777777" w:rsidR="00CD4FF2" w:rsidRPr="00C537A9" w:rsidRDefault="00CD4FF2" w:rsidP="00973B55">
      <w:pPr>
        <w:jc w:val="both"/>
        <w:rPr>
          <w:lang w:val="es-ES" w:eastAsia="ko-KR"/>
        </w:rPr>
      </w:pPr>
      <w:r w:rsidRPr="00C537A9">
        <w:rPr>
          <w:lang w:val="es-ES" w:eastAsia="ko-KR"/>
        </w:rPr>
        <w:t>11.2</w:t>
      </w:r>
      <w:r w:rsidRPr="00C537A9">
        <w:rPr>
          <w:lang w:val="es-ES" w:eastAsia="ko-KR"/>
        </w:rPr>
        <w:tab/>
        <w:t>La Presidenta del GTC-RHF dio las gracias a la Secretaría por la información actualizada y recomendó interrumpir las actividades de la segunda fase de la solicitud de propuestas (</w:t>
      </w:r>
      <w:proofErr w:type="spellStart"/>
      <w:r w:rsidRPr="00C537A9">
        <w:rPr>
          <w:lang w:val="es-ES" w:eastAsia="ko-KR"/>
        </w:rPr>
        <w:t>RFP</w:t>
      </w:r>
      <w:proofErr w:type="spellEnd"/>
      <w:r w:rsidRPr="00C537A9">
        <w:rPr>
          <w:lang w:val="es-ES" w:eastAsia="ko-KR"/>
        </w:rPr>
        <w:t xml:space="preserve">) hasta que se hayan establecido la arquitectura de información y la taxonomía de la UIT. </w:t>
      </w:r>
    </w:p>
    <w:p w14:paraId="0F7AF800" w14:textId="77777777" w:rsidR="00CD4FF2" w:rsidRPr="00C537A9" w:rsidRDefault="00CD4FF2" w:rsidP="00973B55">
      <w:pPr>
        <w:jc w:val="both"/>
        <w:rPr>
          <w:lang w:val="es-ES" w:eastAsia="ko-KR"/>
        </w:rPr>
      </w:pPr>
      <w:r w:rsidRPr="00C537A9">
        <w:rPr>
          <w:lang w:val="es-ES" w:eastAsia="ko-KR"/>
        </w:rPr>
        <w:t>11.3</w:t>
      </w:r>
      <w:r w:rsidRPr="00C537A9">
        <w:rPr>
          <w:lang w:val="es-ES" w:eastAsia="ko-KR"/>
        </w:rPr>
        <w:tab/>
        <w:t xml:space="preserve">Los delegados plantearon preguntas sobre el calendario y la financiación de la iniciativa, en particular sobre cómo influye el fracaso del proceso de licitación en el calendario propuesto. Además, los delegados comunicaron a la Secretaría de que no todos los repositorios de contenido de la UIT están traducidos en los seis idiomas, que sigue resultando complicado desplazarse por el sitio web de la UIT y que el equipo dedicado a la transformación debería dar prioridad a mejorar la función de búsqueda. </w:t>
      </w:r>
    </w:p>
    <w:p w14:paraId="7B88CE2B" w14:textId="4EB75DA9" w:rsidR="00CD4FF2" w:rsidRPr="00C537A9" w:rsidRDefault="00CD4FF2" w:rsidP="00973B55">
      <w:pPr>
        <w:jc w:val="both"/>
        <w:rPr>
          <w:lang w:val="es-ES" w:eastAsia="ko-KR"/>
        </w:rPr>
      </w:pPr>
      <w:r w:rsidRPr="00C537A9">
        <w:rPr>
          <w:lang w:val="es-ES" w:eastAsia="ko-KR"/>
        </w:rPr>
        <w:t>11.4</w:t>
      </w:r>
      <w:r w:rsidRPr="00C537A9">
        <w:rPr>
          <w:lang w:val="es-ES" w:eastAsia="ko-KR"/>
        </w:rPr>
        <w:tab/>
        <w:t>En la 22</w:t>
      </w:r>
      <w:r w:rsidR="005D35A4">
        <w:rPr>
          <w:lang w:val="es-ES" w:eastAsia="ko-KR"/>
        </w:rPr>
        <w:t>.</w:t>
      </w:r>
      <w:r w:rsidRPr="00C537A9">
        <w:rPr>
          <w:lang w:val="es-ES" w:eastAsia="ko-KR"/>
        </w:rPr>
        <w:t xml:space="preserve">ª reunión, la Secretaría proporcionó información actualizada sobre la transformación de la UIT y el proyecto de nuevo sitio web de la UIT. En lo que respecta a la transformación de la UIT, la Secretaría destacó el tablero de la transformación y la creación de un Grupo Especial sobre la Transformación encargado de hacer avanzar las prioridades, </w:t>
      </w:r>
      <w:r w:rsidRPr="00C537A9">
        <w:rPr>
          <w:lang w:val="es-ES" w:eastAsia="ko-KR"/>
        </w:rPr>
        <w:lastRenderedPageBreak/>
        <w:t>supervisar los progresos y eliminar los obstáculos que impidan obtener resultados antes del Consejo de 2026 y la PP-26. En cuanto al sitio web, la Secretaría señaló que se estaba trabajando en ese tema y que se esperaba entregar el producto mínimo viable antes de la PP</w:t>
      </w:r>
      <w:r w:rsidR="005D35A4">
        <w:rPr>
          <w:lang w:val="es-ES" w:eastAsia="ko-KR"/>
        </w:rPr>
        <w:noBreakHyphen/>
      </w:r>
      <w:r w:rsidRPr="00C537A9">
        <w:rPr>
          <w:lang w:val="es-ES" w:eastAsia="ko-KR"/>
        </w:rPr>
        <w:t>26. Asimismo, la Secretaría indicó, tras la 22</w:t>
      </w:r>
      <w:r w:rsidR="00183C33">
        <w:rPr>
          <w:lang w:val="es-ES" w:eastAsia="ko-KR"/>
        </w:rPr>
        <w:t>.</w:t>
      </w:r>
      <w:r w:rsidRPr="00C537A9">
        <w:rPr>
          <w:lang w:val="es-ES" w:eastAsia="ko-KR"/>
        </w:rPr>
        <w:t>ª reunión del GTC-RHF, que se ha actualizado el sitio web del Grupo de Coordinación Intersectorial (</w:t>
      </w:r>
      <w:proofErr w:type="spellStart"/>
      <w:r w:rsidRPr="00C537A9">
        <w:rPr>
          <w:lang w:val="es-ES" w:eastAsia="ko-KR"/>
        </w:rPr>
        <w:t>GCIS</w:t>
      </w:r>
      <w:proofErr w:type="spellEnd"/>
      <w:r w:rsidRPr="00C537A9">
        <w:rPr>
          <w:lang w:val="es-ES" w:eastAsia="ko-KR"/>
        </w:rPr>
        <w:t xml:space="preserve">) sobre asuntos de interés mutuo para que refleje los cambios en el formato y los procedimientos de publicación de documentos. </w:t>
      </w:r>
    </w:p>
    <w:p w14:paraId="4A5A5456" w14:textId="17AF64E0" w:rsidR="00CD4FF2" w:rsidRPr="00C537A9" w:rsidRDefault="00CD4FF2" w:rsidP="000C7392">
      <w:pPr>
        <w:pStyle w:val="Headingb"/>
        <w:rPr>
          <w:lang w:val="es-ES" w:eastAsia="ko-KR"/>
        </w:rPr>
      </w:pPr>
      <w:r w:rsidRPr="00C537A9">
        <w:rPr>
          <w:bCs/>
          <w:lang w:val="es-ES" w:eastAsia="ko-KR"/>
        </w:rPr>
        <w:t xml:space="preserve">Contribución de la República Popular de China – Comentarios y recomendaciones sobre la transformación (Documento </w:t>
      </w:r>
      <w:hyperlink r:id="rId107"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-22/30</w:t>
        </w:r>
      </w:hyperlink>
      <w:r w:rsidRPr="00C537A9">
        <w:rPr>
          <w:bCs/>
          <w:lang w:val="es-ES" w:eastAsia="ko-KR"/>
        </w:rPr>
        <w:t>)</w:t>
      </w:r>
      <w:hyperlink r:id="rId108" w:history="1"/>
    </w:p>
    <w:p w14:paraId="066245E1" w14:textId="454223C6" w:rsidR="00CD4FF2" w:rsidRPr="00C537A9" w:rsidRDefault="00CD4FF2" w:rsidP="00973B55">
      <w:pPr>
        <w:jc w:val="both"/>
        <w:rPr>
          <w:lang w:val="es-ES" w:eastAsia="ko-KR"/>
        </w:rPr>
      </w:pPr>
      <w:r w:rsidRPr="00C537A9">
        <w:rPr>
          <w:lang w:val="es-ES" w:eastAsia="ko-KR"/>
        </w:rPr>
        <w:t>11.5</w:t>
      </w:r>
      <w:r w:rsidRPr="00C537A9">
        <w:rPr>
          <w:lang w:val="es-ES" w:eastAsia="ko-KR"/>
        </w:rPr>
        <w:tab/>
        <w:t xml:space="preserve">En la contribución de la República Popular de China (Documento </w:t>
      </w:r>
      <w:hyperlink r:id="rId109"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-22/30</w:t>
        </w:r>
      </w:hyperlink>
      <w:r w:rsidRPr="00C537A9">
        <w:rPr>
          <w:lang w:val="es-ES" w:eastAsia="ko-KR"/>
        </w:rPr>
        <w:t xml:space="preserve">) se detallaban las observaciones de China sobre la iniciativa de transformación de la UIT y se formulaban cuatro recomendaciones: 1) mejorar la previsibilidad, 2) desglosar la planificación presupuestaria, 3) racionalizar la lista de iniciativas para identificar 1 o 2 objetivos prioritarios, y 4) simplificar el formato de presentación de informes, haciendo más hincapié en los progresos sustantivos y los retos pendientes que en el contenido descriptivo. </w:t>
      </w:r>
      <w:hyperlink r:id="rId110" w:history="1"/>
    </w:p>
    <w:p w14:paraId="031F8C07" w14:textId="77777777" w:rsidR="00CD4FF2" w:rsidRPr="00C537A9" w:rsidRDefault="00CD4FF2" w:rsidP="00973B55">
      <w:pPr>
        <w:jc w:val="both"/>
        <w:rPr>
          <w:lang w:val="es-ES" w:eastAsia="ko-KR"/>
        </w:rPr>
      </w:pPr>
      <w:r w:rsidRPr="00C537A9">
        <w:rPr>
          <w:lang w:val="es-ES" w:eastAsia="ko-KR"/>
        </w:rPr>
        <w:t>11.6</w:t>
      </w:r>
      <w:r w:rsidRPr="00C537A9">
        <w:rPr>
          <w:lang w:val="es-ES" w:eastAsia="ko-KR"/>
        </w:rPr>
        <w:tab/>
        <w:t xml:space="preserve">Los delegados expresaron su apoyo general al Documento </w:t>
      </w:r>
      <w:proofErr w:type="spellStart"/>
      <w:r w:rsidRPr="00C537A9">
        <w:rPr>
          <w:lang w:val="es-ES" w:eastAsia="ko-KR"/>
        </w:rPr>
        <w:t>CWG</w:t>
      </w:r>
      <w:proofErr w:type="spellEnd"/>
      <w:r w:rsidRPr="00C537A9">
        <w:rPr>
          <w:lang w:val="es-ES" w:eastAsia="ko-KR"/>
        </w:rPr>
        <w:t>-</w:t>
      </w:r>
      <w:proofErr w:type="spellStart"/>
      <w:r w:rsidRPr="00C537A9">
        <w:rPr>
          <w:lang w:val="es-ES" w:eastAsia="ko-KR"/>
        </w:rPr>
        <w:t>FHR</w:t>
      </w:r>
      <w:proofErr w:type="spellEnd"/>
      <w:r w:rsidRPr="00C537A9">
        <w:rPr>
          <w:lang w:val="es-ES" w:eastAsia="ko-KR"/>
        </w:rPr>
        <w:t xml:space="preserve">-22/30, pero se mostraron preocupados por la recomendación de priorización. Los delegados también acogieron con agrado la información adicional, en particular sobre las necesidades presupuestarias de cara al Consejo de 2026. </w:t>
      </w:r>
    </w:p>
    <w:p w14:paraId="6C4BA05D" w14:textId="5341995C" w:rsidR="00CD4FF2" w:rsidRPr="00C537A9" w:rsidRDefault="00CD4FF2" w:rsidP="00973B55">
      <w:pPr>
        <w:pBdr>
          <w:top w:val="single" w:sz="4" w:space="1" w:color="auto"/>
          <w:left w:val="single" w:sz="4" w:space="4" w:color="auto"/>
          <w:bottom w:val="single" w:sz="4" w:space="1" w:color="auto"/>
          <w:right w:val="single" w:sz="4" w:space="4" w:color="auto"/>
        </w:pBdr>
        <w:jc w:val="both"/>
        <w:rPr>
          <w:lang w:val="es-ES" w:eastAsia="ko-KR"/>
        </w:rPr>
      </w:pPr>
      <w:r w:rsidRPr="00C537A9">
        <w:rPr>
          <w:lang w:val="es-ES" w:eastAsia="ko-KR"/>
        </w:rPr>
        <w:t>11.7</w:t>
      </w:r>
      <w:r w:rsidRPr="00C537A9">
        <w:rPr>
          <w:lang w:val="es-ES" w:eastAsia="ko-KR"/>
        </w:rPr>
        <w:tab/>
        <w:t xml:space="preserve">El GTC-RHF </w:t>
      </w:r>
      <w:r w:rsidRPr="00C537A9">
        <w:rPr>
          <w:b/>
          <w:bCs/>
          <w:lang w:val="es-ES" w:eastAsia="ko-KR"/>
        </w:rPr>
        <w:t xml:space="preserve">recomendó </w:t>
      </w:r>
      <w:r w:rsidRPr="00C537A9">
        <w:rPr>
          <w:lang w:val="es-ES" w:eastAsia="ko-KR"/>
        </w:rPr>
        <w:t>a la Secretaría que revisara el informe antes de la reunión de</w:t>
      </w:r>
      <w:r w:rsidR="00E50870">
        <w:rPr>
          <w:lang w:val="es-ES" w:eastAsia="ko-KR"/>
        </w:rPr>
        <w:t> </w:t>
      </w:r>
      <w:r w:rsidRPr="00C537A9">
        <w:rPr>
          <w:lang w:val="es-ES" w:eastAsia="ko-KR"/>
        </w:rPr>
        <w:t>2026 del Consejo, teniendo en cuenta todas las preguntas recibidas sobre los Documentos</w:t>
      </w:r>
      <w:r w:rsidR="00E50870">
        <w:rPr>
          <w:lang w:val="es-ES" w:eastAsia="ko-KR"/>
        </w:rPr>
        <w:t> </w:t>
      </w:r>
      <w:proofErr w:type="spellStart"/>
      <w:r>
        <w:fldChar w:fldCharType="begin"/>
      </w:r>
      <w:r w:rsidRPr="00984FD9">
        <w:rPr>
          <w:lang w:val="es-ES"/>
        </w:rPr>
        <w:instrText>HYPERLINK "https://www.itu.int/md/S26-CWGFHR22-C-0015/es"</w:instrText>
      </w:r>
      <w:r>
        <w:fldChar w:fldCharType="separate"/>
      </w:r>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-22/15</w:t>
      </w:r>
      <w:r>
        <w:fldChar w:fldCharType="end"/>
      </w:r>
      <w:r w:rsidRPr="00C537A9">
        <w:rPr>
          <w:lang w:val="es-ES" w:eastAsia="ko-KR"/>
        </w:rPr>
        <w:t xml:space="preserve"> y </w:t>
      </w:r>
      <w:hyperlink r:id="rId111"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-22/17</w:t>
        </w:r>
      </w:hyperlink>
      <w:r w:rsidRPr="00C537A9">
        <w:rPr>
          <w:lang w:val="es-ES" w:eastAsia="ko-KR"/>
        </w:rPr>
        <w:t xml:space="preserve">. El GTC-RHF también tomó nota del apoyo general a los puntos esbozados en el Documento </w:t>
      </w:r>
      <w:hyperlink r:id="rId112"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-22/30</w:t>
        </w:r>
      </w:hyperlink>
      <w:r w:rsidRPr="00C537A9">
        <w:rPr>
          <w:lang w:val="es-ES" w:eastAsia="ko-KR"/>
        </w:rPr>
        <w:t xml:space="preserve">, excepto en lo que respecta a la priorización. </w:t>
      </w:r>
      <w:hyperlink r:id="rId113" w:history="1"/>
      <w:hyperlink r:id="rId114" w:history="1"/>
      <w:hyperlink r:id="rId115" w:history="1"/>
    </w:p>
    <w:p w14:paraId="2C53F5FE" w14:textId="1D3A397E" w:rsidR="00CD4FF2" w:rsidRPr="00C537A9" w:rsidRDefault="00CD4FF2" w:rsidP="000C7392">
      <w:pPr>
        <w:pStyle w:val="Heading1"/>
        <w:rPr>
          <w:lang w:val="es-ES" w:eastAsia="ko-KR"/>
        </w:rPr>
      </w:pPr>
      <w:r w:rsidRPr="00C537A9">
        <w:rPr>
          <w:bCs/>
          <w:lang w:val="es-ES" w:eastAsia="ko-KR"/>
        </w:rPr>
        <w:t>12</w:t>
      </w:r>
      <w:r w:rsidRPr="00C537A9">
        <w:rPr>
          <w:lang w:val="es-ES" w:eastAsia="ko-KR"/>
        </w:rPr>
        <w:tab/>
      </w:r>
      <w:r w:rsidRPr="00C537A9">
        <w:rPr>
          <w:bCs/>
          <w:lang w:val="es-ES" w:eastAsia="ko-KR"/>
        </w:rPr>
        <w:t xml:space="preserve">Fortalecimiento de los cimientos digitales de la UIT para la transformación </w:t>
      </w:r>
      <w:r w:rsidR="00661DA5" w:rsidRPr="00661DA5">
        <w:rPr>
          <w:bCs/>
          <w:lang w:val="es-ES" w:eastAsia="ko-KR"/>
        </w:rPr>
        <w:t>–</w:t>
      </w:r>
      <w:r w:rsidRPr="00C537A9">
        <w:rPr>
          <w:bCs/>
          <w:lang w:val="es-ES" w:eastAsia="ko-KR"/>
        </w:rPr>
        <w:t xml:space="preserve"> estrategia, arquitectura empresarial, gobernanza de TIC y modelo operativo de TI (Documento </w:t>
      </w:r>
      <w:hyperlink r:id="rId116"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-22/14</w:t>
        </w:r>
      </w:hyperlink>
      <w:r w:rsidRPr="00C537A9">
        <w:rPr>
          <w:bCs/>
          <w:lang w:val="es-ES" w:eastAsia="ko-KR"/>
        </w:rPr>
        <w:t>)</w:t>
      </w:r>
      <w:r w:rsidRPr="00C537A9">
        <w:rPr>
          <w:lang w:val="es-ES" w:eastAsia="ko-KR"/>
        </w:rPr>
        <w:t xml:space="preserve"> </w:t>
      </w:r>
      <w:hyperlink r:id="rId117" w:history="1"/>
    </w:p>
    <w:p w14:paraId="2C10D28A" w14:textId="474D9D05" w:rsidR="00CD4FF2" w:rsidRPr="00C537A9" w:rsidRDefault="00CD4FF2" w:rsidP="00973B55">
      <w:pPr>
        <w:jc w:val="both"/>
        <w:rPr>
          <w:lang w:val="es-ES" w:eastAsia="ko-KR"/>
        </w:rPr>
      </w:pPr>
      <w:r w:rsidRPr="00C537A9">
        <w:rPr>
          <w:lang w:val="es-ES" w:eastAsia="ko-KR"/>
        </w:rPr>
        <w:t>12.1</w:t>
      </w:r>
      <w:r w:rsidRPr="00C537A9">
        <w:rPr>
          <w:lang w:val="es-ES" w:eastAsia="ko-KR"/>
        </w:rPr>
        <w:tab/>
        <w:t>En la 22</w:t>
      </w:r>
      <w:r w:rsidR="00A64F7F">
        <w:rPr>
          <w:lang w:val="es-ES" w:eastAsia="ko-KR"/>
        </w:rPr>
        <w:t>.</w:t>
      </w:r>
      <w:r w:rsidRPr="00C537A9">
        <w:rPr>
          <w:lang w:val="es-ES" w:eastAsia="ko-KR"/>
        </w:rPr>
        <w:t xml:space="preserve">ª reunión, la Secretaría facilitó información actualizada sobre el lanzamiento de cuatro elementos digitales fundamentales e interconectados en la Secretaría General. Estos elementos constituyen los cimientos digitales internos necesarios para apoyar la transformación organizativa de la UIT, reforzar la transparencia y la rendición de cuentas en las inversiones en TIC, y responder a las expectativas expresadas por los Estados Miembros, incluida la contribución de Suiza (Documento </w:t>
      </w:r>
      <w:hyperlink r:id="rId118" w:history="1">
        <w:proofErr w:type="spellStart"/>
        <w:r w:rsidRPr="00C537A9">
          <w:rPr>
            <w:rStyle w:val="Hyperlink"/>
            <w:rFonts w:cs="Calibri"/>
            <w:lang w:val="es-ES" w:eastAsia="ko-KR"/>
          </w:rPr>
          <w:t>C25</w:t>
        </w:r>
        <w:proofErr w:type="spellEnd"/>
        <w:r w:rsidRPr="00C537A9">
          <w:rPr>
            <w:rStyle w:val="Hyperlink"/>
            <w:rFonts w:cs="Calibri"/>
            <w:lang w:val="es-ES" w:eastAsia="ko-KR"/>
          </w:rPr>
          <w:t>/84</w:t>
        </w:r>
      </w:hyperlink>
      <w:r w:rsidRPr="00C537A9">
        <w:rPr>
          <w:lang w:val="es-ES" w:eastAsia="ko-KR"/>
        </w:rPr>
        <w:t>), así como las recomendaciones del Comité Asesor Independiente sobre la Gestión (CAIG) y otros mecanismos de supervisión.</w:t>
      </w:r>
      <w:hyperlink r:id="rId119" w:history="1"/>
    </w:p>
    <w:p w14:paraId="1C69B3A1" w14:textId="77777777" w:rsidR="00CD4FF2" w:rsidRPr="00C537A9" w:rsidRDefault="00CD4FF2" w:rsidP="00973B55">
      <w:pPr>
        <w:jc w:val="both"/>
        <w:rPr>
          <w:lang w:val="es-ES" w:eastAsia="ko-KR"/>
        </w:rPr>
      </w:pPr>
      <w:r w:rsidRPr="00C537A9">
        <w:rPr>
          <w:lang w:val="es-ES" w:eastAsia="ko-KR"/>
        </w:rPr>
        <w:t>12.2</w:t>
      </w:r>
      <w:r w:rsidRPr="00C537A9">
        <w:rPr>
          <w:lang w:val="es-ES" w:eastAsia="ko-KR"/>
        </w:rPr>
        <w:tab/>
        <w:t xml:space="preserve">Los delegados respondieron instando a la Secretaría a implicar más estrechamente a los Estados Miembros y expresaron su preocupación por las repercusiones financieras de un esfuerzo de transformación a tan gran escala. Otros intervinieron para recomendar a la Secretaría que evitase que los esfuerzos de transformación se ejecuten de forma fragmentada en el Sector, pero que también priorizara actualizar el </w:t>
      </w:r>
      <w:r w:rsidRPr="00C537A9">
        <w:rPr>
          <w:i/>
          <w:iCs/>
          <w:lang w:val="es-ES" w:eastAsia="ko-KR"/>
        </w:rPr>
        <w:t xml:space="preserve">software </w:t>
      </w:r>
      <w:r w:rsidRPr="00C537A9">
        <w:rPr>
          <w:lang w:val="es-ES" w:eastAsia="ko-KR"/>
        </w:rPr>
        <w:t xml:space="preserve">del Sector de Radiocomunicaciones (UIT-R). Un delegado planteó al Grupo que el </w:t>
      </w:r>
      <w:proofErr w:type="spellStart"/>
      <w:r w:rsidRPr="00C537A9">
        <w:rPr>
          <w:lang w:val="es-ES" w:eastAsia="ko-KR"/>
        </w:rPr>
        <w:t>GTC</w:t>
      </w:r>
      <w:proofErr w:type="spellEnd"/>
      <w:r w:rsidRPr="00C537A9">
        <w:rPr>
          <w:lang w:val="es-ES" w:eastAsia="ko-KR"/>
        </w:rPr>
        <w:t xml:space="preserve"> debería respetar la línea entre delegar el mando y conceder autonomía a la Secretaría. </w:t>
      </w:r>
    </w:p>
    <w:p w14:paraId="1E1CE382" w14:textId="77777777" w:rsidR="00CD4FF2" w:rsidRPr="00C537A9" w:rsidRDefault="00CD4FF2" w:rsidP="00973B55">
      <w:pPr>
        <w:pBdr>
          <w:top w:val="single" w:sz="4" w:space="1" w:color="auto"/>
          <w:left w:val="single" w:sz="4" w:space="4" w:color="auto"/>
          <w:bottom w:val="single" w:sz="4" w:space="1" w:color="auto"/>
          <w:right w:val="single" w:sz="4" w:space="4" w:color="auto"/>
        </w:pBdr>
        <w:jc w:val="both"/>
        <w:rPr>
          <w:lang w:val="es-ES" w:eastAsia="ko-KR"/>
        </w:rPr>
      </w:pPr>
      <w:r w:rsidRPr="00C537A9">
        <w:rPr>
          <w:lang w:val="es-ES" w:eastAsia="ko-KR"/>
        </w:rPr>
        <w:lastRenderedPageBreak/>
        <w:t>12.3</w:t>
      </w:r>
      <w:r w:rsidRPr="00C537A9">
        <w:rPr>
          <w:lang w:val="es-ES" w:eastAsia="ko-KR"/>
        </w:rPr>
        <w:tab/>
        <w:t xml:space="preserve">La Presidenta del GTC-RHF </w:t>
      </w:r>
      <w:r w:rsidRPr="00C537A9">
        <w:rPr>
          <w:b/>
          <w:bCs/>
          <w:lang w:val="es-ES" w:eastAsia="ko-KR"/>
        </w:rPr>
        <w:t xml:space="preserve">invitó </w:t>
      </w:r>
      <w:r w:rsidRPr="00C537A9">
        <w:rPr>
          <w:lang w:val="es-ES" w:eastAsia="ko-KR"/>
        </w:rPr>
        <w:t>a los Estados Miembros interesados a presentar contribuciones al Consejo de 2026 describiendo qué les gustaría saber sobre el despliegue de la gobernanza en materia de TI, datos e información.</w:t>
      </w:r>
    </w:p>
    <w:p w14:paraId="5550B8A8" w14:textId="77777777" w:rsidR="00CD4FF2" w:rsidRPr="00C537A9" w:rsidRDefault="00CD4FF2" w:rsidP="00973B55">
      <w:pPr>
        <w:pBdr>
          <w:top w:val="single" w:sz="4" w:space="1" w:color="auto"/>
          <w:left w:val="single" w:sz="4" w:space="4" w:color="auto"/>
          <w:bottom w:val="single" w:sz="4" w:space="1" w:color="auto"/>
          <w:right w:val="single" w:sz="4" w:space="4" w:color="auto"/>
        </w:pBdr>
        <w:jc w:val="both"/>
        <w:rPr>
          <w:lang w:val="es-ES" w:eastAsia="ko-KR"/>
        </w:rPr>
      </w:pPr>
      <w:r w:rsidRPr="00C537A9">
        <w:rPr>
          <w:lang w:val="es-ES" w:eastAsia="ko-KR"/>
        </w:rPr>
        <w:t>12.4</w:t>
      </w:r>
      <w:r w:rsidRPr="00C537A9">
        <w:rPr>
          <w:lang w:val="es-ES" w:eastAsia="ko-KR"/>
        </w:rPr>
        <w:tab/>
        <w:t xml:space="preserve">El GTC-RHF </w:t>
      </w:r>
      <w:r w:rsidRPr="00C537A9">
        <w:rPr>
          <w:b/>
          <w:bCs/>
          <w:lang w:val="es-ES" w:eastAsia="ko-KR"/>
        </w:rPr>
        <w:t xml:space="preserve">recomienda </w:t>
      </w:r>
      <w:r w:rsidRPr="00C537A9">
        <w:rPr>
          <w:lang w:val="es-ES" w:eastAsia="ko-KR"/>
        </w:rPr>
        <w:t>al Consejo que encargue a la Secretaría la presentación de un informe para el Consejo sobre las estructuras de gobernanza, las juntas de gobierno institucional de la UIT y sus repercusiones financieras.</w:t>
      </w:r>
    </w:p>
    <w:p w14:paraId="14C8FB59" w14:textId="16A54022" w:rsidR="00CD4FF2" w:rsidRPr="00C537A9" w:rsidRDefault="00CD4FF2" w:rsidP="000C7392">
      <w:pPr>
        <w:pStyle w:val="Heading1"/>
        <w:rPr>
          <w:lang w:val="es-ES" w:eastAsia="ko-KR"/>
        </w:rPr>
      </w:pPr>
      <w:r w:rsidRPr="00C537A9">
        <w:rPr>
          <w:bCs/>
          <w:lang w:val="es-ES" w:eastAsia="ko-KR"/>
        </w:rPr>
        <w:t>13</w:t>
      </w:r>
      <w:r w:rsidRPr="00C537A9">
        <w:rPr>
          <w:lang w:val="es-ES" w:eastAsia="ko-KR"/>
        </w:rPr>
        <w:tab/>
      </w:r>
      <w:r w:rsidRPr="00C537A9">
        <w:rPr>
          <w:bCs/>
          <w:lang w:val="es-ES" w:eastAsia="ko-KR"/>
        </w:rPr>
        <w:t xml:space="preserve">Notificaciones de redes de satélites </w:t>
      </w:r>
      <w:r w:rsidR="00E50870">
        <w:rPr>
          <w:bCs/>
          <w:lang w:val="es-ES" w:eastAsia="ko-KR"/>
        </w:rPr>
        <w:br/>
      </w:r>
      <w:r w:rsidRPr="00C537A9">
        <w:rPr>
          <w:bCs/>
          <w:lang w:val="es-ES" w:eastAsia="ko-KR"/>
        </w:rPr>
        <w:t>(Documentos</w:t>
      </w:r>
      <w:r w:rsidRPr="00C537A9">
        <w:rPr>
          <w:lang w:val="es-ES" w:eastAsia="ko-KR"/>
        </w:rPr>
        <w:t xml:space="preserve"> </w:t>
      </w:r>
      <w:hyperlink r:id="rId120"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-21/20</w:t>
        </w:r>
      </w:hyperlink>
      <w:r w:rsidRPr="00C537A9">
        <w:rPr>
          <w:lang w:val="es-ES" w:eastAsia="ko-KR"/>
        </w:rPr>
        <w:t xml:space="preserve"> y </w:t>
      </w:r>
      <w:hyperlink r:id="rId121"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-22/2</w:t>
        </w:r>
      </w:hyperlink>
      <w:r w:rsidRPr="00C537A9">
        <w:rPr>
          <w:bCs/>
          <w:lang w:val="es-ES" w:eastAsia="ko-KR"/>
        </w:rPr>
        <w:t>)</w:t>
      </w:r>
      <w:hyperlink r:id="rId122" w:history="1"/>
      <w:hyperlink r:id="rId123" w:history="1"/>
    </w:p>
    <w:p w14:paraId="7D5F3189" w14:textId="124F973F" w:rsidR="00CD4FF2" w:rsidRPr="00C537A9" w:rsidRDefault="00CD4FF2" w:rsidP="00973B55">
      <w:pPr>
        <w:jc w:val="both"/>
        <w:rPr>
          <w:lang w:val="es-ES" w:eastAsia="ko-KR"/>
        </w:rPr>
      </w:pPr>
      <w:r w:rsidRPr="00C537A9">
        <w:rPr>
          <w:lang w:val="es-ES" w:eastAsia="ko-KR"/>
        </w:rPr>
        <w:t>13.1</w:t>
      </w:r>
      <w:r w:rsidRPr="00C537A9">
        <w:rPr>
          <w:lang w:val="es-ES" w:eastAsia="ko-KR"/>
        </w:rPr>
        <w:tab/>
        <w:t>En la 21</w:t>
      </w:r>
      <w:r w:rsidR="002523F4">
        <w:rPr>
          <w:lang w:val="es-ES" w:eastAsia="ko-KR"/>
        </w:rPr>
        <w:t>.</w:t>
      </w:r>
      <w:r w:rsidRPr="00C537A9">
        <w:rPr>
          <w:lang w:val="es-ES" w:eastAsia="ko-KR"/>
        </w:rPr>
        <w:t xml:space="preserve">ª reunión, la Secretaría declaró que se necesitaba más tiempo para atender las instrucciones del Consejo de 2025 y prometió tener preparado un documento para debate en la reunión de enero de 2026. La Presidenta tomó nota de la declaración de la Secretaría y dio la palabra a los Estados Unidos para que presentaran su contribución, recordando a los delegados que los debates sustantivos tendrían lugar en enero. La contribución de los Estados Unidos (Documento </w:t>
      </w:r>
      <w:hyperlink r:id="rId124"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-21/20</w:t>
        </w:r>
      </w:hyperlink>
      <w:r w:rsidRPr="00C537A9">
        <w:rPr>
          <w:lang w:val="es-ES" w:eastAsia="ko-KR"/>
        </w:rPr>
        <w:t xml:space="preserve">) proporcionaba información adicional a la Secretaría para su examen, por lo que el delegado que presentó el documento concluyó que resultaba aceptable no llegar a una conclusión sobre el asunto durante la reunión. Varios delegados respaldaron la contribución de los Estados Unidos. </w:t>
      </w:r>
      <w:hyperlink r:id="rId125" w:history="1"/>
    </w:p>
    <w:p w14:paraId="47FC5B6A" w14:textId="77777777" w:rsidR="00CD4FF2" w:rsidRPr="00C537A9" w:rsidRDefault="00CD4FF2" w:rsidP="00973B55">
      <w:pPr>
        <w:jc w:val="both"/>
        <w:rPr>
          <w:lang w:val="es-ES" w:eastAsia="ko-KR"/>
        </w:rPr>
      </w:pPr>
      <w:r w:rsidRPr="00C537A9">
        <w:rPr>
          <w:lang w:val="es-ES" w:eastAsia="ko-KR"/>
        </w:rPr>
        <w:t>13.2</w:t>
      </w:r>
      <w:r w:rsidRPr="00C537A9">
        <w:rPr>
          <w:lang w:val="es-ES" w:eastAsia="ko-KR"/>
        </w:rPr>
        <w:tab/>
        <w:t xml:space="preserve">Además, un delegado recordó al Grupo el mandato del Consejo de 2025, en particular que se encargó al GTC-RHF que definiera con claridad los costes directos e indirectos. Otros delegados también formularon recomendaciones, tales como mantener las capacidades de notificación gratuita y someterse a un análisis de la carga de trabajo para calcular los costes indirectos con mayor exactitud. La Presidenta instó a la Secretaría a tomar nota del debate y comunicó que la Secretaría celebraría una sesión informativa en diciembre de 2025. Dicha </w:t>
      </w:r>
      <w:hyperlink r:id="rId126" w:history="1">
        <w:r w:rsidRPr="00C537A9">
          <w:rPr>
            <w:rStyle w:val="Hyperlink"/>
            <w:lang w:val="es-ES" w:eastAsia="ko-KR"/>
          </w:rPr>
          <w:t>sesión informativa</w:t>
        </w:r>
      </w:hyperlink>
      <w:r w:rsidRPr="00C537A9">
        <w:rPr>
          <w:lang w:val="es-ES" w:eastAsia="ko-KR"/>
        </w:rPr>
        <w:t xml:space="preserve"> tuvo lugar 16 de diciembre de 2025. </w:t>
      </w:r>
      <w:hyperlink r:id="rId127" w:history="1"/>
    </w:p>
    <w:p w14:paraId="374BDB15" w14:textId="3B47FE71" w:rsidR="00CD4FF2" w:rsidRPr="00C537A9" w:rsidRDefault="00CD4FF2" w:rsidP="00973B55">
      <w:pPr>
        <w:jc w:val="both"/>
        <w:rPr>
          <w:spacing w:val="-2"/>
          <w:lang w:val="es-ES" w:eastAsia="ko-KR"/>
        </w:rPr>
      </w:pPr>
      <w:r w:rsidRPr="00C537A9">
        <w:rPr>
          <w:lang w:val="es-ES" w:eastAsia="ko-KR"/>
        </w:rPr>
        <w:t>13.3</w:t>
      </w:r>
      <w:r w:rsidRPr="00C537A9">
        <w:rPr>
          <w:lang w:val="es-ES" w:eastAsia="ko-KR"/>
        </w:rPr>
        <w:tab/>
        <w:t>En enero, la Secretaría presentó su propuesta de modelo de recuperación de costes para las notificaciones de redes de satélites (</w:t>
      </w:r>
      <w:proofErr w:type="spellStart"/>
      <w:r w:rsidRPr="00C537A9">
        <w:rPr>
          <w:lang w:val="es-ES" w:eastAsia="ko-KR"/>
        </w:rPr>
        <w:t>SNF</w:t>
      </w:r>
      <w:proofErr w:type="spellEnd"/>
      <w:r w:rsidRPr="00C537A9">
        <w:rPr>
          <w:lang w:val="es-ES" w:eastAsia="ko-KR"/>
        </w:rPr>
        <w:t xml:space="preserve">) en el Documento </w:t>
      </w:r>
      <w:hyperlink r:id="rId128" w:history="1">
        <w:proofErr w:type="spellStart"/>
        <w:r w:rsidRPr="00C537A9">
          <w:rPr>
            <w:rStyle w:val="Hyperlink"/>
            <w:spacing w:val="-2"/>
            <w:lang w:val="es-ES" w:eastAsia="ko-KR"/>
          </w:rPr>
          <w:t>CWG</w:t>
        </w:r>
        <w:proofErr w:type="spellEnd"/>
        <w:r w:rsidRPr="00C537A9">
          <w:rPr>
            <w:rStyle w:val="Hyperlink"/>
            <w:spacing w:val="-2"/>
            <w:lang w:val="es-ES" w:eastAsia="ko-KR"/>
          </w:rPr>
          <w:t>-</w:t>
        </w:r>
        <w:proofErr w:type="spellStart"/>
        <w:r w:rsidRPr="00C537A9">
          <w:rPr>
            <w:rStyle w:val="Hyperlink"/>
            <w:spacing w:val="-2"/>
            <w:lang w:val="es-ES" w:eastAsia="ko-KR"/>
          </w:rPr>
          <w:t>FHR</w:t>
        </w:r>
        <w:proofErr w:type="spellEnd"/>
        <w:r w:rsidRPr="00C537A9">
          <w:rPr>
            <w:rStyle w:val="Hyperlink"/>
            <w:spacing w:val="-2"/>
            <w:lang w:val="es-ES" w:eastAsia="ko-KR"/>
          </w:rPr>
          <w:t>-22/2</w:t>
        </w:r>
      </w:hyperlink>
      <w:r w:rsidRPr="00C537A9">
        <w:rPr>
          <w:spacing w:val="-2"/>
          <w:lang w:val="es-ES" w:eastAsia="ko-KR"/>
        </w:rPr>
        <w:t xml:space="preserve">. </w:t>
      </w:r>
      <w:r w:rsidRPr="00C537A9">
        <w:rPr>
          <w:lang w:val="es-ES" w:eastAsia="ko-KR"/>
        </w:rPr>
        <w:t xml:space="preserve">La nueva metodología está en consonancia con la Resolución 91 (Rev. Guadalajara, 2010) y tiene por objeto ayudar a calcular el gasto anual total de </w:t>
      </w:r>
      <w:proofErr w:type="spellStart"/>
      <w:r w:rsidRPr="00C537A9">
        <w:rPr>
          <w:lang w:val="es-ES" w:eastAsia="ko-KR"/>
        </w:rPr>
        <w:t>SNF</w:t>
      </w:r>
      <w:proofErr w:type="spellEnd"/>
      <w:r w:rsidRPr="00C537A9">
        <w:rPr>
          <w:lang w:val="es-ES" w:eastAsia="ko-KR"/>
        </w:rPr>
        <w:t xml:space="preserve"> mediante la evaluación de los costes directos e indirectos. El cálculo del costo indirecto incluye gastos como la contratación de recursos humanos, pero omite los gastos generales, como Microsoft 365. La Secretaría afirmó que prefería garantizar que las unidades contributivas de los Miembros no financien gastos que deberían costearse mediante la recuperación de costos. Reconoció la dificultad de predecir los costos de </w:t>
      </w:r>
      <w:proofErr w:type="spellStart"/>
      <w:r w:rsidRPr="00C537A9">
        <w:rPr>
          <w:lang w:val="es-ES" w:eastAsia="ko-KR"/>
        </w:rPr>
        <w:t>SNF</w:t>
      </w:r>
      <w:proofErr w:type="spellEnd"/>
      <w:r w:rsidRPr="00C537A9">
        <w:rPr>
          <w:lang w:val="es-ES" w:eastAsia="ko-KR"/>
        </w:rPr>
        <w:t>, pero insistió en su compromiso de realizar cálculos precisos de la recuperación de costos. Para concluir, la Secretaría comunicó a los delegados que se seguiría trabajando en la recuperación de costes en 2026 y 2027, con el objetivo de que el Consejo de 2027 establezca la vía de acción futura a partir del 1 de enero de 2028.</w:t>
      </w:r>
      <w:hyperlink r:id="rId129" w:history="1"/>
    </w:p>
    <w:p w14:paraId="74208BD8" w14:textId="0BBDC626" w:rsidR="00CD4FF2" w:rsidRPr="00C537A9" w:rsidRDefault="00CD4FF2" w:rsidP="00973B55">
      <w:pPr>
        <w:pStyle w:val="Headingb"/>
        <w:jc w:val="both"/>
        <w:rPr>
          <w:lang w:val="es-ES" w:eastAsia="ko-KR"/>
        </w:rPr>
      </w:pPr>
      <w:r w:rsidRPr="00C537A9">
        <w:rPr>
          <w:bCs/>
          <w:lang w:val="es-ES" w:eastAsia="ko-KR"/>
        </w:rPr>
        <w:t xml:space="preserve">Contribución de la Federación de Rusia – Observaciones sobre las notificaciones de redes de satélites – Actualización de la metodología (Documento </w:t>
      </w:r>
      <w:hyperlink r:id="rId130"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-22/27</w:t>
        </w:r>
      </w:hyperlink>
      <w:r w:rsidRPr="00C537A9">
        <w:rPr>
          <w:bCs/>
          <w:lang w:val="es-ES" w:eastAsia="ko-KR"/>
        </w:rPr>
        <w:t>)</w:t>
      </w:r>
      <w:hyperlink r:id="rId131" w:history="1"/>
    </w:p>
    <w:p w14:paraId="1FA1C7CB" w14:textId="77777777" w:rsidR="00CD4FF2" w:rsidRPr="00C537A9" w:rsidRDefault="00CD4FF2" w:rsidP="00973B55">
      <w:pPr>
        <w:jc w:val="both"/>
        <w:rPr>
          <w:lang w:val="es-ES" w:eastAsia="ko-KR"/>
        </w:rPr>
      </w:pPr>
      <w:r w:rsidRPr="00C537A9">
        <w:rPr>
          <w:lang w:val="es-ES" w:eastAsia="ko-KR"/>
        </w:rPr>
        <w:t>13.4</w:t>
      </w:r>
      <w:r w:rsidRPr="00C537A9">
        <w:rPr>
          <w:lang w:val="es-ES" w:eastAsia="ko-KR"/>
        </w:rPr>
        <w:tab/>
        <w:t xml:space="preserve">En la contribución de la Federación de Rusia se abordó la falta de fórmulas claras en la metodología presentada por la Secretaría, y se pidió a la Secretaría que proporcionase información clara y detallada, incluidas fórmulas, aportaciones e hipótesis específicas, para calcular los costos directos, indirectos y de capital que deben sufragarse con cargo al presupuesto ordinario de la UIT. Además, la contribución solicitaba que se elaborara el </w:t>
      </w:r>
      <w:r w:rsidRPr="00C537A9">
        <w:rPr>
          <w:lang w:val="es-ES" w:eastAsia="ko-KR"/>
        </w:rPr>
        <w:lastRenderedPageBreak/>
        <w:t xml:space="preserve">presupuesto de la UIT sin incrementar la tasa </w:t>
      </w:r>
      <w:proofErr w:type="spellStart"/>
      <w:r w:rsidRPr="00C537A9">
        <w:rPr>
          <w:lang w:val="es-ES" w:eastAsia="ko-KR"/>
        </w:rPr>
        <w:t>SNF</w:t>
      </w:r>
      <w:proofErr w:type="spellEnd"/>
      <w:r w:rsidRPr="00C537A9">
        <w:rPr>
          <w:lang w:val="es-ES" w:eastAsia="ko-KR"/>
        </w:rPr>
        <w:t xml:space="preserve"> y subrayaba la creencia de que las notificaciones gratuitas deberían financiarse con las unidades contributivas de los Miembros, ya que es un mandato fundamental de la Unión.</w:t>
      </w:r>
    </w:p>
    <w:p w14:paraId="1C7A86FF" w14:textId="7BD3AC72" w:rsidR="00CD4FF2" w:rsidRPr="00C537A9" w:rsidRDefault="00CD4FF2" w:rsidP="00973B55">
      <w:pPr>
        <w:pStyle w:val="Headingb"/>
        <w:jc w:val="both"/>
        <w:rPr>
          <w:lang w:val="es-ES" w:eastAsia="ko-KR"/>
        </w:rPr>
      </w:pPr>
      <w:r w:rsidRPr="00C537A9">
        <w:rPr>
          <w:bCs/>
          <w:lang w:val="es-ES" w:eastAsia="ko-KR"/>
        </w:rPr>
        <w:t>Contribución de la Asociación Mundial de Operadores de Satélites – Notificaciones de redes de satélites (Documento</w:t>
      </w:r>
      <w:r w:rsidRPr="00C537A9">
        <w:rPr>
          <w:lang w:val="es-ES" w:eastAsia="ko-KR"/>
        </w:rPr>
        <w:t xml:space="preserve"> </w:t>
      </w:r>
      <w:hyperlink r:id="rId132"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-22/29</w:t>
        </w:r>
      </w:hyperlink>
      <w:r w:rsidRPr="00C537A9">
        <w:rPr>
          <w:bCs/>
          <w:lang w:val="es-ES" w:eastAsia="ko-KR"/>
        </w:rPr>
        <w:t>)</w:t>
      </w:r>
      <w:hyperlink r:id="rId133" w:history="1"/>
    </w:p>
    <w:p w14:paraId="2399ACB8" w14:textId="77777777" w:rsidR="00CD4FF2" w:rsidRPr="00C537A9" w:rsidRDefault="00CD4FF2" w:rsidP="00973B55">
      <w:pPr>
        <w:jc w:val="both"/>
        <w:rPr>
          <w:lang w:val="es-ES" w:eastAsia="ko-KR"/>
        </w:rPr>
      </w:pPr>
      <w:r w:rsidRPr="00C537A9">
        <w:rPr>
          <w:lang w:val="es-ES" w:eastAsia="ko-KR"/>
        </w:rPr>
        <w:t>13.5</w:t>
      </w:r>
      <w:r w:rsidRPr="00C537A9">
        <w:rPr>
          <w:lang w:val="es-ES" w:eastAsia="ko-KR"/>
        </w:rPr>
        <w:tab/>
        <w:t>La contribución de la Asociación Mundial de Operadores de Satélites (</w:t>
      </w:r>
      <w:proofErr w:type="spellStart"/>
      <w:r w:rsidRPr="00C537A9">
        <w:rPr>
          <w:lang w:val="es-ES" w:eastAsia="ko-KR"/>
        </w:rPr>
        <w:t>GSOA</w:t>
      </w:r>
      <w:proofErr w:type="spellEnd"/>
      <w:r w:rsidRPr="00C537A9">
        <w:rPr>
          <w:lang w:val="es-ES" w:eastAsia="ko-KR"/>
        </w:rPr>
        <w:t xml:space="preserve">) cuestionó el tratamiento de los costos indirectos, argumentando que el análisis justificativo de la Secretaría no era pertinente de acuerdo con el mandato y los procesos operativos específicos de la UIT. Además, la </w:t>
      </w:r>
      <w:proofErr w:type="spellStart"/>
      <w:r w:rsidRPr="00C537A9">
        <w:rPr>
          <w:lang w:val="es-ES" w:eastAsia="ko-KR"/>
        </w:rPr>
        <w:t>GSOA</w:t>
      </w:r>
      <w:proofErr w:type="spellEnd"/>
      <w:r w:rsidRPr="00C537A9">
        <w:rPr>
          <w:lang w:val="es-ES" w:eastAsia="ko-KR"/>
        </w:rPr>
        <w:t xml:space="preserve"> analizó las tres opciones propuestas relativas a la gratuidad, e hizo hincapié en que las actividades </w:t>
      </w:r>
      <w:proofErr w:type="spellStart"/>
      <w:r w:rsidRPr="00C537A9">
        <w:rPr>
          <w:lang w:val="es-ES" w:eastAsia="ko-KR"/>
        </w:rPr>
        <w:t>SNF</w:t>
      </w:r>
      <w:proofErr w:type="spellEnd"/>
      <w:r w:rsidRPr="00C537A9">
        <w:rPr>
          <w:lang w:val="es-ES" w:eastAsia="ko-KR"/>
        </w:rPr>
        <w:t xml:space="preserve"> respaldan la gestión mundial del espectro y los recursos orbitales, incluso aunque hayan sido iniciadas por administraciones individuales, lo que significa que sus beneficios no se limitan a una sola administración. En la contribución también se reflexionaba sobre el mecanismo de ajuste al alza y a la baja propuesto por la Secretaría y se señalaba que, si bien se presentaba como una forma de conciliación, ese mecanismo conllevaba un riesgo considerable para los operadores de satélites y sus administraciones. Además, el delegado reafirmó que la recuperación de los costos </w:t>
      </w:r>
      <w:proofErr w:type="spellStart"/>
      <w:r w:rsidRPr="00C537A9">
        <w:rPr>
          <w:lang w:val="es-ES" w:eastAsia="ko-KR"/>
        </w:rPr>
        <w:t>SNF</w:t>
      </w:r>
      <w:proofErr w:type="spellEnd"/>
      <w:r w:rsidRPr="00C537A9">
        <w:rPr>
          <w:lang w:val="es-ES" w:eastAsia="ko-KR"/>
        </w:rPr>
        <w:t xml:space="preserve"> no se considera una recuperación presupuestaria. </w:t>
      </w:r>
    </w:p>
    <w:p w14:paraId="5983DEA4" w14:textId="27E50AD8" w:rsidR="00CD4FF2" w:rsidRPr="00C537A9" w:rsidRDefault="00CD4FF2" w:rsidP="00973B55">
      <w:pPr>
        <w:pStyle w:val="Headingb"/>
        <w:jc w:val="both"/>
        <w:rPr>
          <w:lang w:val="es-ES" w:eastAsia="ko-KR"/>
        </w:rPr>
      </w:pPr>
      <w:r w:rsidRPr="00C537A9">
        <w:rPr>
          <w:bCs/>
          <w:lang w:val="es-ES" w:eastAsia="ko-KR"/>
        </w:rPr>
        <w:t>Contribución de los Estados Unidos de América – Comentarios y propuestas sobre las notificaciones de redes de satélite y la recuperación de costes</w:t>
      </w:r>
      <w:r w:rsidR="00A64F7F">
        <w:rPr>
          <w:bCs/>
          <w:lang w:val="es-ES" w:eastAsia="ko-KR"/>
        </w:rPr>
        <w:br/>
      </w:r>
      <w:r w:rsidRPr="00C537A9">
        <w:rPr>
          <w:bCs/>
          <w:lang w:val="es-ES" w:eastAsia="ko-KR"/>
        </w:rPr>
        <w:t xml:space="preserve">(Documento </w:t>
      </w:r>
      <w:hyperlink r:id="rId134"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-22/32</w:t>
        </w:r>
      </w:hyperlink>
      <w:r w:rsidRPr="00C537A9">
        <w:rPr>
          <w:lang w:val="es-ES" w:eastAsia="ko-KR"/>
        </w:rPr>
        <w:t>)</w:t>
      </w:r>
      <w:hyperlink r:id="rId135" w:history="1"/>
    </w:p>
    <w:p w14:paraId="33012494" w14:textId="77777777" w:rsidR="00CD4FF2" w:rsidRPr="00E50870" w:rsidRDefault="00CD4FF2" w:rsidP="00973B55">
      <w:pPr>
        <w:jc w:val="both"/>
        <w:rPr>
          <w:spacing w:val="-2"/>
          <w:lang w:val="es-ES" w:eastAsia="ko-KR"/>
        </w:rPr>
      </w:pPr>
      <w:r w:rsidRPr="00E50870">
        <w:rPr>
          <w:spacing w:val="-2"/>
          <w:lang w:val="es-ES" w:eastAsia="ko-KR"/>
        </w:rPr>
        <w:t>13.6</w:t>
      </w:r>
      <w:r w:rsidRPr="00E50870">
        <w:rPr>
          <w:spacing w:val="-2"/>
          <w:lang w:val="es-ES" w:eastAsia="ko-KR"/>
        </w:rPr>
        <w:tab/>
        <w:t xml:space="preserve">En la contribución de los Estados Unidos se indicaba que los costos directos e indirectos de la tramitación de notificaciones gratuitas deberían financiarse con cargo al presupuesto ordinario de la UIT, de conformidad con la Resolución 91 (Rev. Guadalajara, 2010). Si bien se agradecía a la Secretaría su labor en curso para establecer una metodología, también se pedía que se detallaran con más exhaustividad los componentes de costos que se deben recuperar con la metodología, en particular la forma en que se identificarían y asignarían los costos. El delegado insistió en la importancia de prorratear según la base de usuarios prevista y de recuperar el coste del </w:t>
      </w:r>
      <w:r w:rsidRPr="00E50870">
        <w:rPr>
          <w:i/>
          <w:iCs/>
          <w:spacing w:val="-2"/>
          <w:lang w:val="es-ES" w:eastAsia="ko-KR"/>
        </w:rPr>
        <w:t xml:space="preserve">software </w:t>
      </w:r>
      <w:r w:rsidRPr="00E50870">
        <w:rPr>
          <w:spacing w:val="-2"/>
          <w:lang w:val="es-ES" w:eastAsia="ko-KR"/>
        </w:rPr>
        <w:t xml:space="preserve">en función de su vida útil. Por último, en la contribución se solicitó información sobre la manera en que se medirán y notificarán los aumentos de eficiencia. </w:t>
      </w:r>
    </w:p>
    <w:p w14:paraId="4DE503ED" w14:textId="17AB51CF" w:rsidR="00CD4FF2" w:rsidRPr="00C537A9" w:rsidRDefault="00CD4FF2" w:rsidP="00973B55">
      <w:pPr>
        <w:pStyle w:val="Headingb"/>
        <w:jc w:val="both"/>
        <w:rPr>
          <w:lang w:val="es-ES" w:eastAsia="ko-KR"/>
        </w:rPr>
      </w:pPr>
      <w:r w:rsidRPr="00C537A9">
        <w:rPr>
          <w:bCs/>
          <w:lang w:val="es-ES" w:eastAsia="ko-KR"/>
        </w:rPr>
        <w:t xml:space="preserve">Contribución de Tanzanía, Kenya y Nigeria – Contribución al Informe de la Secretaria General sobre las notificaciones de redes de satélite – Metodología actualizada (Documento </w:t>
      </w:r>
      <w:hyperlink r:id="rId136"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-22/33</w:t>
        </w:r>
      </w:hyperlink>
      <w:r w:rsidRPr="00C537A9">
        <w:rPr>
          <w:bCs/>
          <w:lang w:val="es-ES" w:eastAsia="ko-KR"/>
        </w:rPr>
        <w:t>)</w:t>
      </w:r>
      <w:r w:rsidRPr="00C537A9">
        <w:rPr>
          <w:lang w:val="es-ES" w:eastAsia="ko-KR"/>
        </w:rPr>
        <w:t xml:space="preserve"> </w:t>
      </w:r>
      <w:hyperlink r:id="rId137" w:history="1"/>
    </w:p>
    <w:p w14:paraId="65D483D8" w14:textId="77777777" w:rsidR="00CD4FF2" w:rsidRPr="00C537A9" w:rsidRDefault="00CD4FF2" w:rsidP="00973B55">
      <w:pPr>
        <w:jc w:val="both"/>
        <w:rPr>
          <w:lang w:val="es-ES" w:eastAsia="ko-KR"/>
        </w:rPr>
      </w:pPr>
      <w:r w:rsidRPr="00C537A9">
        <w:rPr>
          <w:lang w:val="es-ES" w:eastAsia="ko-KR"/>
        </w:rPr>
        <w:t>13.7</w:t>
      </w:r>
      <w:r w:rsidRPr="00C537A9">
        <w:rPr>
          <w:lang w:val="es-ES" w:eastAsia="ko-KR"/>
        </w:rPr>
        <w:tab/>
        <w:t xml:space="preserve">En la contribución </w:t>
      </w:r>
      <w:proofErr w:type="spellStart"/>
      <w:r w:rsidRPr="00C537A9">
        <w:rPr>
          <w:lang w:val="es-ES" w:eastAsia="ko-KR"/>
        </w:rPr>
        <w:t>multipaís</w:t>
      </w:r>
      <w:proofErr w:type="spellEnd"/>
      <w:r w:rsidRPr="00C537A9">
        <w:rPr>
          <w:lang w:val="es-ES" w:eastAsia="ko-KR"/>
        </w:rPr>
        <w:t xml:space="preserve"> de Tanzanía, Kenya y Nigeria se señaló que la gratuidad de las notificaciones no tiene en cuenta los matices de los países en desarrollo y se propuso conceder la gratuidad a las iniciativas regionales de satélite para promover el acceso equitativo. Además, la propuesta subrayaba que la gratuidad se aplicaría a sistemas de satélites completos y debería omitir las notificaciones de modificaciones. </w:t>
      </w:r>
    </w:p>
    <w:p w14:paraId="24D2F320" w14:textId="77777777" w:rsidR="00CD4FF2" w:rsidRPr="00C537A9" w:rsidRDefault="00CD4FF2" w:rsidP="00973B55">
      <w:pPr>
        <w:pStyle w:val="Headingb"/>
        <w:jc w:val="both"/>
        <w:rPr>
          <w:lang w:val="es-ES" w:eastAsia="ko-KR"/>
        </w:rPr>
      </w:pPr>
      <w:r w:rsidRPr="00C537A9">
        <w:rPr>
          <w:bCs/>
          <w:lang w:val="es-ES" w:eastAsia="ko-KR"/>
        </w:rPr>
        <w:t>Debate</w:t>
      </w:r>
    </w:p>
    <w:p w14:paraId="4BC5DD8E" w14:textId="226E3EDA" w:rsidR="00CD4FF2" w:rsidRPr="00C537A9" w:rsidRDefault="00CD4FF2" w:rsidP="00973B55">
      <w:pPr>
        <w:jc w:val="both"/>
        <w:rPr>
          <w:lang w:val="es-ES" w:eastAsia="ko-KR"/>
        </w:rPr>
      </w:pPr>
      <w:r w:rsidRPr="00C537A9">
        <w:rPr>
          <w:lang w:val="es-ES" w:eastAsia="ko-KR"/>
        </w:rPr>
        <w:t>13.8</w:t>
      </w:r>
      <w:r w:rsidRPr="00C537A9">
        <w:rPr>
          <w:lang w:val="es-ES" w:eastAsia="ko-KR"/>
        </w:rPr>
        <w:tab/>
        <w:t>Durante la 22</w:t>
      </w:r>
      <w:r w:rsidR="00A64F7F">
        <w:rPr>
          <w:lang w:val="es-ES" w:eastAsia="ko-KR"/>
        </w:rPr>
        <w:t>.</w:t>
      </w:r>
      <w:r w:rsidRPr="00C537A9">
        <w:rPr>
          <w:lang w:val="es-ES" w:eastAsia="ko-KR"/>
        </w:rPr>
        <w:t xml:space="preserve">ª reunión del GTC-RHF, los delegados debatieron tres propuestas relativas al modelo de recuperación de costos de </w:t>
      </w:r>
      <w:proofErr w:type="spellStart"/>
      <w:r w:rsidRPr="00C537A9">
        <w:rPr>
          <w:lang w:val="es-ES" w:eastAsia="ko-KR"/>
        </w:rPr>
        <w:t>SNF</w:t>
      </w:r>
      <w:proofErr w:type="spellEnd"/>
      <w:r w:rsidRPr="00C537A9">
        <w:rPr>
          <w:lang w:val="es-ES" w:eastAsia="ko-KR"/>
        </w:rPr>
        <w:t xml:space="preserve">. Un delegado apoyó las contribuciones de la </w:t>
      </w:r>
      <w:proofErr w:type="spellStart"/>
      <w:r w:rsidRPr="00C537A9">
        <w:rPr>
          <w:lang w:val="es-ES" w:eastAsia="ko-KR"/>
        </w:rPr>
        <w:t>GSOA</w:t>
      </w:r>
      <w:proofErr w:type="spellEnd"/>
      <w:r w:rsidRPr="00C537A9">
        <w:rPr>
          <w:lang w:val="es-ES" w:eastAsia="ko-KR"/>
        </w:rPr>
        <w:t xml:space="preserve"> y de los Estados Unidos, y convino en que las propuestas de la Secretaría necesitaban mejorar la medición de la eficiencia. Otro delegado cuestionó la reactivación del Grupo de Expertos sobre el Acuerdo 482 y pidió aclaraciones sobre la definición y las limitaciones de las </w:t>
      </w:r>
      <w:r w:rsidRPr="00C537A9">
        <w:rPr>
          <w:lang w:val="es-ES" w:eastAsia="ko-KR"/>
        </w:rPr>
        <w:lastRenderedPageBreak/>
        <w:t xml:space="preserve">"notificaciones gratuitas". Otro delegado insistió en la urgencia de tomar una decisión, señalando que la situación actual, con el número de notificaciones de satélites al alza, resulta insostenible. </w:t>
      </w:r>
    </w:p>
    <w:p w14:paraId="00D15CA4" w14:textId="77777777" w:rsidR="00CD4FF2" w:rsidRPr="00C537A9" w:rsidRDefault="00CD4FF2" w:rsidP="00973B55">
      <w:pPr>
        <w:jc w:val="both"/>
        <w:rPr>
          <w:lang w:val="es-ES" w:eastAsia="ko-KR"/>
        </w:rPr>
      </w:pPr>
      <w:r w:rsidRPr="00C537A9">
        <w:rPr>
          <w:lang w:val="es-ES" w:eastAsia="ko-KR"/>
        </w:rPr>
        <w:t>13.9</w:t>
      </w:r>
      <w:r w:rsidRPr="00C537A9">
        <w:rPr>
          <w:lang w:val="es-ES" w:eastAsia="ko-KR"/>
        </w:rPr>
        <w:tab/>
        <w:t xml:space="preserve">Un elemento de controversia clave fue la definición y la transparencia de los costos directos e indirectos, y un delegado solicitó que se realizara un desglose claro y que se utilizara una notificación de ejemplo a título ilustrativo. También se sugirió que la Secretaría enviara recordatorios anuales sobre los derechos de gratuidad para alentar su utilización en los países en desarrollo. Otro delegado preguntó quién abonaba actualmente los derechos de gratuidad y cuál ha sido su coste total para la Unión en los últimos años. </w:t>
      </w:r>
    </w:p>
    <w:p w14:paraId="7ADBC110" w14:textId="77777777" w:rsidR="00CD4FF2" w:rsidRPr="00C537A9" w:rsidRDefault="00CD4FF2" w:rsidP="00973B55">
      <w:pPr>
        <w:tabs>
          <w:tab w:val="clear" w:pos="567"/>
          <w:tab w:val="left" w:pos="709"/>
        </w:tabs>
        <w:jc w:val="both"/>
        <w:rPr>
          <w:lang w:val="es-ES" w:eastAsia="ko-KR"/>
        </w:rPr>
      </w:pPr>
      <w:r w:rsidRPr="00C537A9">
        <w:rPr>
          <w:lang w:val="es-ES" w:eastAsia="ko-KR"/>
        </w:rPr>
        <w:t>13.10</w:t>
      </w:r>
      <w:r w:rsidRPr="00C537A9">
        <w:rPr>
          <w:lang w:val="es-ES" w:eastAsia="ko-KR"/>
        </w:rPr>
        <w:tab/>
        <w:t>Un delegado apoyó la reforma, pero pidió más detalles sobre la metodología de referencia. Otro se mostró preocupado por los costos de capital y sugirió que la gratuidad, pese a su importancia para el acceso equitativo, podría tener límites monetarios. Un delegado apoyó la metodología y los exámenes periódicos de la Secretaría, pero se opuso a la supresión de la gratuidad para los países en desarrollo, los países menos adelantados (</w:t>
      </w:r>
      <w:proofErr w:type="spellStart"/>
      <w:r w:rsidRPr="00C537A9">
        <w:rPr>
          <w:lang w:val="es-ES" w:eastAsia="ko-KR"/>
        </w:rPr>
        <w:t>PMA</w:t>
      </w:r>
      <w:proofErr w:type="spellEnd"/>
      <w:r w:rsidRPr="00C537A9">
        <w:rPr>
          <w:lang w:val="es-ES" w:eastAsia="ko-KR"/>
        </w:rPr>
        <w:t>), los países en desarrollo sin litoral (</w:t>
      </w:r>
      <w:proofErr w:type="spellStart"/>
      <w:r w:rsidRPr="00C537A9">
        <w:rPr>
          <w:lang w:val="es-ES" w:eastAsia="ko-KR"/>
        </w:rPr>
        <w:t>PDSL</w:t>
      </w:r>
      <w:proofErr w:type="spellEnd"/>
      <w:r w:rsidRPr="00C537A9">
        <w:rPr>
          <w:lang w:val="es-ES" w:eastAsia="ko-KR"/>
        </w:rPr>
        <w:t xml:space="preserve">) y los pequeños Estados insulares en desarrollo (PEID). </w:t>
      </w:r>
    </w:p>
    <w:p w14:paraId="5B8A7993" w14:textId="77777777" w:rsidR="00CD4FF2" w:rsidRPr="00C537A9" w:rsidRDefault="00CD4FF2" w:rsidP="00973B55">
      <w:pPr>
        <w:tabs>
          <w:tab w:val="clear" w:pos="567"/>
          <w:tab w:val="left" w:pos="709"/>
        </w:tabs>
        <w:jc w:val="both"/>
        <w:rPr>
          <w:lang w:val="es-ES" w:eastAsia="ko-KR"/>
        </w:rPr>
      </w:pPr>
      <w:r w:rsidRPr="00C537A9">
        <w:rPr>
          <w:lang w:val="es-ES" w:eastAsia="ko-KR"/>
        </w:rPr>
        <w:t>13.11</w:t>
      </w:r>
      <w:r w:rsidRPr="00C537A9">
        <w:rPr>
          <w:lang w:val="es-ES" w:eastAsia="ko-KR"/>
        </w:rPr>
        <w:tab/>
        <w:t xml:space="preserve">Otro delegado apoyó la contribución de los Estados Unidos e insistió en que la gratuidad es un principio fundamental de la UIT y que sus costos deben ser sufragados con cargo a las unidades contributivas, no mediante la recuperación de costos. También se subrayó la necesidad de estabilidad y transparencia de las tasas para evitar aumentos inesperados para los Estados Miembros. Un delegado destacó un informe de la Dependencia Común de Inspección (DCI) y preguntó si la Secretaría disponía de un plan de contingencia para los 5,5 millones CHF de ingresos de </w:t>
      </w:r>
      <w:proofErr w:type="spellStart"/>
      <w:r w:rsidRPr="00C537A9">
        <w:rPr>
          <w:lang w:val="es-ES" w:eastAsia="ko-KR"/>
        </w:rPr>
        <w:t>SNF</w:t>
      </w:r>
      <w:proofErr w:type="spellEnd"/>
      <w:r w:rsidRPr="00C537A9">
        <w:rPr>
          <w:lang w:val="es-ES" w:eastAsia="ko-KR"/>
        </w:rPr>
        <w:t xml:space="preserve"> aplazados. Un delegado declaró con firmeza que el debate trataba sobre la recuperación de costos, no sobre la generación de ingresos, y cuestionó la necesidad de reactivar el Grupo de Expertos sobre el Acuerdo 482. Un delegado también pidió a la Secretaría que facilitara un análisis de costes y beneficios para el modelo de recuperación de costes propuesto.</w:t>
      </w:r>
    </w:p>
    <w:p w14:paraId="6A66DE08" w14:textId="5D9C721C" w:rsidR="00CD4FF2" w:rsidRPr="00C537A9" w:rsidRDefault="00CD4FF2" w:rsidP="00973B55">
      <w:pPr>
        <w:tabs>
          <w:tab w:val="clear" w:pos="567"/>
          <w:tab w:val="left" w:pos="709"/>
        </w:tabs>
        <w:jc w:val="both"/>
        <w:rPr>
          <w:lang w:val="es-ES" w:eastAsia="ko-KR"/>
        </w:rPr>
      </w:pPr>
      <w:r w:rsidRPr="00C537A9">
        <w:rPr>
          <w:lang w:val="es-ES" w:eastAsia="ko-KR"/>
        </w:rPr>
        <w:t>13.12</w:t>
      </w:r>
      <w:r w:rsidRPr="00C537A9">
        <w:rPr>
          <w:lang w:val="es-ES" w:eastAsia="ko-KR"/>
        </w:rPr>
        <w:tab/>
        <w:t xml:space="preserve">En respuesta a los delegados, la Secretaría reconoció que el proceso está en curso y señaló que se proporcionaría más información al Consejo de 2026. Se comunicó que las publicaciones gratuitas cuestan al presupuesto ordinario de la UIT entre 1,2 y 1,5 millones CHF al año aproximadamente. El Director de la Oficina de Radiocomunicaciones (BR) advirtió de que, sin un </w:t>
      </w:r>
      <w:r w:rsidRPr="00C537A9">
        <w:rPr>
          <w:i/>
          <w:iCs/>
          <w:lang w:val="es-ES" w:eastAsia="ko-KR"/>
        </w:rPr>
        <w:t xml:space="preserve">software </w:t>
      </w:r>
      <w:r w:rsidRPr="00C537A9">
        <w:rPr>
          <w:lang w:val="es-ES" w:eastAsia="ko-KR"/>
        </w:rPr>
        <w:t>modernizado y sin ampliación del personal, el retraso que arrastraba la BR empeoraría debido al mayor número y la mayor complejidad de las notificaciones. Como ejemplo, citó una notificación reciente relativa a más de 200</w:t>
      </w:r>
      <w:r w:rsidR="004C2523">
        <w:rPr>
          <w:lang w:val="es-ES" w:eastAsia="ko-KR"/>
        </w:rPr>
        <w:t> </w:t>
      </w:r>
      <w:r w:rsidRPr="00C537A9">
        <w:rPr>
          <w:lang w:val="es-ES" w:eastAsia="ko-KR"/>
        </w:rPr>
        <w:t>000 satélites.</w:t>
      </w:r>
    </w:p>
    <w:p w14:paraId="0760CCC0" w14:textId="2D6D8538" w:rsidR="00CD4FF2" w:rsidRPr="00C537A9" w:rsidRDefault="00CD4FF2" w:rsidP="00973B55">
      <w:pPr>
        <w:tabs>
          <w:tab w:val="clear" w:pos="567"/>
          <w:tab w:val="left" w:pos="709"/>
        </w:tabs>
        <w:jc w:val="both"/>
        <w:rPr>
          <w:lang w:val="es-ES" w:eastAsia="ko-KR"/>
        </w:rPr>
      </w:pPr>
      <w:r w:rsidRPr="00C537A9">
        <w:rPr>
          <w:lang w:val="es-ES" w:eastAsia="ko-KR"/>
        </w:rPr>
        <w:t>13.13</w:t>
      </w:r>
      <w:r w:rsidRPr="00C537A9">
        <w:rPr>
          <w:lang w:val="es-ES" w:eastAsia="ko-KR"/>
        </w:rPr>
        <w:tab/>
        <w:t xml:space="preserve">La Presidenta del GTC-RHF resumió los debates y reconoció que, a pesar de todos los esfuerzos invertidos, el GTC-RHF no había podido cumplir el encargo que le encomendó el Consejo en 2025. En ausencia de un acuerdo sobre la Resolución 91 (Rev. Guadalajara, 2010), la Presidenta consideró muy difícil seguir adelante con la elaboración de una metodología y se mostró reacia a respaldar la metodología de la Secretaría en ese momento. La Presidenta también expresó la opinión del Grupo de Trabajo de que no era necesario volver a convocar al Grupo de Expertos sobre el Acuerdo 482. Para concluir, se </w:t>
      </w:r>
      <w:r w:rsidRPr="00C537A9">
        <w:rPr>
          <w:b/>
          <w:bCs/>
          <w:lang w:val="es-ES" w:eastAsia="ko-KR"/>
        </w:rPr>
        <w:t>comprometió</w:t>
      </w:r>
      <w:r w:rsidRPr="00C537A9">
        <w:rPr>
          <w:lang w:val="es-ES" w:eastAsia="ko-KR"/>
        </w:rPr>
        <w:t xml:space="preserve"> a preparar un gráfico detallado (que se muestra más abajo) con todas las preguntas e inquietudes para la Secretaría, para el Consejo de 2026 y para la Conferencia de Plenipotenciarios de 2026.</w:t>
      </w:r>
    </w:p>
    <w:p w14:paraId="279B8E2F" w14:textId="77777777" w:rsidR="00CD4FF2" w:rsidRPr="00C537A9" w:rsidRDefault="00CD4FF2" w:rsidP="000C7392">
      <w:pPr>
        <w:pStyle w:val="Headingb"/>
        <w:rPr>
          <w:lang w:val="es-ES" w:eastAsia="ko-KR"/>
        </w:rPr>
      </w:pPr>
      <w:r w:rsidRPr="00C537A9">
        <w:rPr>
          <w:bCs/>
          <w:lang w:val="es-ES" w:eastAsia="ko-KR"/>
        </w:rPr>
        <w:lastRenderedPageBreak/>
        <w:t>Tematización de los comentarios/preguntas de los delegados relativos a las notificaciones de redes de satélites</w:t>
      </w:r>
    </w:p>
    <w:p w14:paraId="15AA6FE7" w14:textId="3BF51CF4" w:rsidR="00CD4FF2" w:rsidRPr="00C537A9" w:rsidRDefault="00CD4FF2" w:rsidP="00973B55">
      <w:pPr>
        <w:jc w:val="both"/>
        <w:rPr>
          <w:lang w:val="es-ES" w:eastAsia="ko-KR"/>
        </w:rPr>
      </w:pPr>
      <w:r w:rsidRPr="00C537A9">
        <w:rPr>
          <w:lang w:val="es-ES" w:eastAsia="ko-KR"/>
        </w:rPr>
        <w:t>En el gráfico siguiente se recogen los comentarios y preguntas de los delegados durante la 22</w:t>
      </w:r>
      <w:r w:rsidR="004C2523">
        <w:rPr>
          <w:lang w:val="es-ES" w:eastAsia="ko-KR"/>
        </w:rPr>
        <w:t>.</w:t>
      </w:r>
      <w:r w:rsidRPr="00C537A9">
        <w:rPr>
          <w:lang w:val="es-ES" w:eastAsia="ko-KR"/>
        </w:rPr>
        <w:t xml:space="preserve">ª reunión del GTC-RHF. El 15 de enero de 2026, la Presidenta del GTC-RHF envió un correo electrónico con este gráfico a los delegados interesados para recabar su opinión. </w:t>
      </w:r>
    </w:p>
    <w:p w14:paraId="4693A7B1" w14:textId="77777777" w:rsidR="00CD4FF2" w:rsidRPr="00C537A9" w:rsidRDefault="00CD4FF2" w:rsidP="000C7392">
      <w:pPr>
        <w:spacing w:before="0"/>
        <w:rPr>
          <w:lang w:val="es-ES" w:eastAsia="ko-KR"/>
        </w:rPr>
      </w:pPr>
    </w:p>
    <w:tbl>
      <w:tblPr>
        <w:tblStyle w:val="TableGrid"/>
        <w:tblW w:w="9639" w:type="dxa"/>
        <w:jc w:val="center"/>
        <w:tblLayout w:type="fixed"/>
        <w:tblCellMar>
          <w:left w:w="57" w:type="dxa"/>
          <w:right w:w="57" w:type="dxa"/>
        </w:tblCellMar>
        <w:tblLook w:val="04A0" w:firstRow="1" w:lastRow="0" w:firstColumn="1" w:lastColumn="0" w:noHBand="0" w:noVBand="1"/>
      </w:tblPr>
      <w:tblGrid>
        <w:gridCol w:w="1517"/>
        <w:gridCol w:w="3927"/>
        <w:gridCol w:w="4195"/>
      </w:tblGrid>
      <w:tr w:rsidR="00CD4FF2" w:rsidRPr="00C537A9" w14:paraId="00C72C65" w14:textId="77777777" w:rsidTr="001C3422">
        <w:trPr>
          <w:cantSplit/>
          <w:tblHeader/>
          <w:jc w:val="center"/>
        </w:trPr>
        <w:tc>
          <w:tcPr>
            <w:tcW w:w="787" w:type="pct"/>
            <w:shd w:val="clear" w:color="auto" w:fill="DBE5F1" w:themeFill="accent1" w:themeFillTint="33"/>
          </w:tcPr>
          <w:p w14:paraId="299502AD" w14:textId="77777777" w:rsidR="00CD4FF2" w:rsidRPr="00C537A9" w:rsidRDefault="00CD4FF2" w:rsidP="00E50870">
            <w:pPr>
              <w:pStyle w:val="Tablehead"/>
              <w:rPr>
                <w:lang w:val="es-ES" w:eastAsia="ko-KR"/>
              </w:rPr>
            </w:pPr>
            <w:r w:rsidRPr="00C537A9">
              <w:rPr>
                <w:bCs/>
                <w:color w:val="000000"/>
                <w:lang w:val="es-ES" w:eastAsia="ko-KR"/>
              </w:rPr>
              <w:t>Tema</w:t>
            </w:r>
          </w:p>
        </w:tc>
        <w:tc>
          <w:tcPr>
            <w:tcW w:w="2037" w:type="pct"/>
            <w:shd w:val="clear" w:color="auto" w:fill="DBE5F1" w:themeFill="accent1" w:themeFillTint="33"/>
          </w:tcPr>
          <w:p w14:paraId="5494645D" w14:textId="77777777" w:rsidR="00CD4FF2" w:rsidRPr="00C537A9" w:rsidRDefault="00CD4FF2" w:rsidP="000C7392">
            <w:pPr>
              <w:pStyle w:val="Tablehead"/>
              <w:jc w:val="left"/>
              <w:rPr>
                <w:lang w:val="es-ES" w:eastAsia="ko-KR"/>
              </w:rPr>
            </w:pPr>
            <w:r w:rsidRPr="00C537A9">
              <w:rPr>
                <w:bCs/>
                <w:color w:val="000000"/>
                <w:lang w:val="es-ES" w:eastAsia="ko-KR"/>
              </w:rPr>
              <w:t>Opiniones/asuntos expresados</w:t>
            </w:r>
          </w:p>
        </w:tc>
        <w:tc>
          <w:tcPr>
            <w:tcW w:w="2176" w:type="pct"/>
            <w:shd w:val="clear" w:color="auto" w:fill="DBE5F1" w:themeFill="accent1" w:themeFillTint="33"/>
          </w:tcPr>
          <w:p w14:paraId="5BDB227E" w14:textId="77777777" w:rsidR="00CD4FF2" w:rsidRPr="00C537A9" w:rsidRDefault="00CD4FF2" w:rsidP="000C7392">
            <w:pPr>
              <w:pStyle w:val="Tablehead"/>
              <w:jc w:val="left"/>
              <w:rPr>
                <w:lang w:val="es-ES" w:eastAsia="ko-KR"/>
              </w:rPr>
            </w:pPr>
            <w:r w:rsidRPr="00C537A9">
              <w:rPr>
                <w:bCs/>
                <w:color w:val="000000"/>
                <w:lang w:val="es-ES" w:eastAsia="ko-KR"/>
              </w:rPr>
              <w:t>Preguntas/asuntos pendientes</w:t>
            </w:r>
          </w:p>
        </w:tc>
      </w:tr>
      <w:tr w:rsidR="00CD4FF2" w:rsidRPr="00984FD9" w14:paraId="11DA2CE9" w14:textId="77777777" w:rsidTr="001C3422">
        <w:trPr>
          <w:cantSplit/>
          <w:jc w:val="center"/>
        </w:trPr>
        <w:tc>
          <w:tcPr>
            <w:tcW w:w="5000" w:type="pct"/>
            <w:gridSpan w:val="3"/>
            <w:shd w:val="clear" w:color="auto" w:fill="EEECE1" w:themeFill="background2"/>
          </w:tcPr>
          <w:p w14:paraId="73FED264" w14:textId="77777777" w:rsidR="00CD4FF2" w:rsidRPr="00C537A9" w:rsidRDefault="00CD4FF2" w:rsidP="000C7392">
            <w:pPr>
              <w:pStyle w:val="Tabletext"/>
              <w:rPr>
                <w:b/>
                <w:bCs/>
                <w:lang w:val="es-ES" w:eastAsia="ko-KR"/>
              </w:rPr>
            </w:pPr>
            <w:r w:rsidRPr="00C537A9">
              <w:rPr>
                <w:b/>
                <w:bCs/>
                <w:color w:val="000000"/>
                <w:lang w:val="es-ES" w:eastAsia="ko-KR"/>
              </w:rPr>
              <w:t>¿Hacia dónde debe dirigirse ahora la UIT?</w:t>
            </w:r>
          </w:p>
        </w:tc>
      </w:tr>
      <w:tr w:rsidR="00CD4FF2" w:rsidRPr="00984FD9" w14:paraId="7F4332C6" w14:textId="77777777" w:rsidTr="001C3422">
        <w:trPr>
          <w:cantSplit/>
          <w:jc w:val="center"/>
        </w:trPr>
        <w:tc>
          <w:tcPr>
            <w:tcW w:w="787" w:type="pct"/>
          </w:tcPr>
          <w:p w14:paraId="79F998EB" w14:textId="77777777" w:rsidR="00CD4FF2" w:rsidRPr="00C537A9" w:rsidRDefault="00CD4FF2" w:rsidP="000C7392">
            <w:pPr>
              <w:pStyle w:val="Tabletext"/>
              <w:rPr>
                <w:lang w:val="es-ES" w:eastAsia="ko-KR"/>
              </w:rPr>
            </w:pPr>
          </w:p>
        </w:tc>
        <w:tc>
          <w:tcPr>
            <w:tcW w:w="2037" w:type="pct"/>
          </w:tcPr>
          <w:p w14:paraId="776C6B00" w14:textId="77777777" w:rsidR="00CD4FF2" w:rsidRPr="00C537A9" w:rsidRDefault="00CD4FF2" w:rsidP="000C7392">
            <w:pPr>
              <w:pStyle w:val="Tabletext"/>
              <w:rPr>
                <w:lang w:val="es-ES" w:eastAsia="ko-KR"/>
              </w:rPr>
            </w:pPr>
            <w:r w:rsidRPr="00C537A9">
              <w:rPr>
                <w:color w:val="000000"/>
                <w:lang w:val="es-ES" w:eastAsia="ko-KR"/>
              </w:rPr>
              <w:t xml:space="preserve">En general, los Miembros opinan que las tasas de recuperación de costos recaudadas (por ejemplo, </w:t>
            </w:r>
            <w:proofErr w:type="spellStart"/>
            <w:r w:rsidRPr="00C537A9">
              <w:rPr>
                <w:color w:val="000000"/>
                <w:lang w:val="es-ES" w:eastAsia="ko-KR"/>
              </w:rPr>
              <w:t>SNF</w:t>
            </w:r>
            <w:proofErr w:type="spellEnd"/>
            <w:r w:rsidRPr="00C537A9">
              <w:rPr>
                <w:color w:val="000000"/>
                <w:lang w:val="es-ES" w:eastAsia="ko-KR"/>
              </w:rPr>
              <w:t>) deberían destinarse directamente a apoyar el trabajo de la Oficina al que se imputan dichas tasas, no al fondo general. No debería ser un mecanismo de recuperación presupuestaria.</w:t>
            </w:r>
          </w:p>
        </w:tc>
        <w:tc>
          <w:tcPr>
            <w:tcW w:w="2176" w:type="pct"/>
          </w:tcPr>
          <w:p w14:paraId="1551D41E" w14:textId="77777777" w:rsidR="00CD4FF2" w:rsidRPr="00C537A9" w:rsidRDefault="00CD4FF2" w:rsidP="000C7392">
            <w:pPr>
              <w:pStyle w:val="Tabletext"/>
              <w:rPr>
                <w:lang w:val="es-ES" w:eastAsia="ko-KR"/>
              </w:rPr>
            </w:pPr>
            <w:r w:rsidRPr="00C537A9">
              <w:rPr>
                <w:color w:val="000000"/>
                <w:lang w:val="es-ES" w:eastAsia="ko-KR"/>
              </w:rPr>
              <w:t>¿Dónde imputa actualmente la UIT esas tasas?</w:t>
            </w:r>
          </w:p>
        </w:tc>
      </w:tr>
      <w:tr w:rsidR="00CD4FF2" w:rsidRPr="00C537A9" w14:paraId="252B43A6" w14:textId="77777777" w:rsidTr="001C3422">
        <w:trPr>
          <w:cantSplit/>
          <w:jc w:val="center"/>
        </w:trPr>
        <w:tc>
          <w:tcPr>
            <w:tcW w:w="5000" w:type="pct"/>
            <w:gridSpan w:val="3"/>
            <w:shd w:val="clear" w:color="auto" w:fill="EEECE1" w:themeFill="background2"/>
          </w:tcPr>
          <w:p w14:paraId="4FFFD8C1" w14:textId="77777777" w:rsidR="00CD4FF2" w:rsidRPr="00C537A9" w:rsidRDefault="00CD4FF2" w:rsidP="000C7392">
            <w:pPr>
              <w:pStyle w:val="Tabletext"/>
              <w:rPr>
                <w:b/>
                <w:bCs/>
                <w:lang w:val="es-ES" w:eastAsia="ko-KR"/>
              </w:rPr>
            </w:pPr>
            <w:r w:rsidRPr="00C537A9">
              <w:rPr>
                <w:b/>
                <w:bCs/>
                <w:color w:val="000000"/>
                <w:lang w:val="es-ES" w:eastAsia="ko-KR"/>
              </w:rPr>
              <w:t>Notificaciones gratuitas</w:t>
            </w:r>
          </w:p>
        </w:tc>
      </w:tr>
      <w:tr w:rsidR="00CD4FF2" w:rsidRPr="00984FD9" w14:paraId="6ECEFEF1" w14:textId="77777777" w:rsidTr="001C3422">
        <w:trPr>
          <w:cantSplit/>
          <w:jc w:val="center"/>
        </w:trPr>
        <w:tc>
          <w:tcPr>
            <w:tcW w:w="787" w:type="pct"/>
            <w:vMerge w:val="restart"/>
          </w:tcPr>
          <w:p w14:paraId="07CF017D" w14:textId="77777777" w:rsidR="00CD4FF2" w:rsidRPr="00C537A9" w:rsidRDefault="00CD4FF2" w:rsidP="000C7392">
            <w:pPr>
              <w:pStyle w:val="Tabletext"/>
              <w:rPr>
                <w:lang w:val="es-ES" w:eastAsia="ko-KR"/>
              </w:rPr>
            </w:pPr>
          </w:p>
        </w:tc>
        <w:tc>
          <w:tcPr>
            <w:tcW w:w="2037" w:type="pct"/>
          </w:tcPr>
          <w:p w14:paraId="2B78C525" w14:textId="77777777" w:rsidR="00CD4FF2" w:rsidRPr="00C537A9" w:rsidRDefault="00CD4FF2" w:rsidP="000C7392">
            <w:pPr>
              <w:pStyle w:val="Tabletext"/>
              <w:rPr>
                <w:lang w:val="es-ES" w:eastAsia="ko-KR"/>
              </w:rPr>
            </w:pPr>
            <w:r w:rsidRPr="00C537A9">
              <w:rPr>
                <w:color w:val="000000"/>
                <w:lang w:val="es-ES" w:eastAsia="ko-KR"/>
              </w:rPr>
              <w:t>El costo de las notificaciones gratuitas debería sufragarse con contribuciones de los Estados Miembros. (Múltiples países) Otros consideraban que las notificaciones gratuitas deberían financiarse con la recuperación de costes, no con el presupuesto ordinario de la UIT. (Como resultado de la Res. 91)</w:t>
            </w:r>
          </w:p>
        </w:tc>
        <w:tc>
          <w:tcPr>
            <w:tcW w:w="2176" w:type="pct"/>
          </w:tcPr>
          <w:p w14:paraId="532FE0C6" w14:textId="77777777" w:rsidR="00CD4FF2" w:rsidRPr="00C537A9" w:rsidRDefault="00CD4FF2" w:rsidP="000C7392">
            <w:pPr>
              <w:pStyle w:val="Tabletext"/>
              <w:rPr>
                <w:lang w:val="es-ES" w:eastAsia="ko-KR"/>
              </w:rPr>
            </w:pPr>
            <w:r w:rsidRPr="00C537A9">
              <w:rPr>
                <w:color w:val="000000"/>
                <w:lang w:val="es-ES" w:eastAsia="ko-KR"/>
              </w:rPr>
              <w:t>¿Qué implica y cuánto cuesta una notificación gratuita? ¿Quién abona actualmente las notificaciones gratuitas? ¿Se deberían aplicar límites de costo a las notificaciones gratuitas y quién determina el costo?</w:t>
            </w:r>
          </w:p>
        </w:tc>
      </w:tr>
      <w:tr w:rsidR="00CD4FF2" w:rsidRPr="00984FD9" w14:paraId="7877A74A" w14:textId="77777777" w:rsidTr="001C3422">
        <w:trPr>
          <w:cantSplit/>
          <w:jc w:val="center"/>
        </w:trPr>
        <w:tc>
          <w:tcPr>
            <w:tcW w:w="787" w:type="pct"/>
            <w:vMerge/>
          </w:tcPr>
          <w:p w14:paraId="16175CCA" w14:textId="77777777" w:rsidR="00CD4FF2" w:rsidRPr="00C537A9" w:rsidRDefault="00CD4FF2" w:rsidP="000C7392">
            <w:pPr>
              <w:pStyle w:val="Tabletext"/>
              <w:rPr>
                <w:lang w:val="es-ES" w:eastAsia="ko-KR"/>
              </w:rPr>
            </w:pPr>
          </w:p>
        </w:tc>
        <w:tc>
          <w:tcPr>
            <w:tcW w:w="2037" w:type="pct"/>
          </w:tcPr>
          <w:p w14:paraId="194F60F7" w14:textId="77777777" w:rsidR="00CD4FF2" w:rsidRPr="00C537A9" w:rsidRDefault="00CD4FF2" w:rsidP="000C7392">
            <w:pPr>
              <w:pStyle w:val="Tabletext"/>
              <w:rPr>
                <w:lang w:val="es-ES" w:eastAsia="ko-KR"/>
              </w:rPr>
            </w:pPr>
            <w:r w:rsidRPr="00C537A9">
              <w:rPr>
                <w:color w:val="000000"/>
                <w:lang w:val="es-ES" w:eastAsia="ko-KR"/>
              </w:rPr>
              <w:t>La gratuidad de las notificaciones es una función fundamental del mandato de la UIT. (Múltiples países)</w:t>
            </w:r>
          </w:p>
        </w:tc>
        <w:tc>
          <w:tcPr>
            <w:tcW w:w="2176" w:type="pct"/>
          </w:tcPr>
          <w:p w14:paraId="1547A452" w14:textId="77777777" w:rsidR="00CD4FF2" w:rsidRPr="00C537A9" w:rsidRDefault="00CD4FF2" w:rsidP="000C7392">
            <w:pPr>
              <w:pStyle w:val="Tabletext"/>
              <w:rPr>
                <w:lang w:val="es-ES" w:eastAsia="ko-KR"/>
              </w:rPr>
            </w:pPr>
            <w:r w:rsidRPr="00C537A9">
              <w:rPr>
                <w:color w:val="000000"/>
                <w:lang w:val="es-ES" w:eastAsia="ko-KR"/>
              </w:rPr>
              <w:t xml:space="preserve">¿Se mantiene todavía el propósito para el que se acordaron originalmente las notificaciones gratuitas? </w:t>
            </w:r>
          </w:p>
        </w:tc>
      </w:tr>
      <w:tr w:rsidR="00CD4FF2" w:rsidRPr="00984FD9" w14:paraId="5C9B99B2" w14:textId="77777777" w:rsidTr="001C3422">
        <w:trPr>
          <w:cantSplit/>
          <w:jc w:val="center"/>
        </w:trPr>
        <w:tc>
          <w:tcPr>
            <w:tcW w:w="787" w:type="pct"/>
            <w:vMerge/>
          </w:tcPr>
          <w:p w14:paraId="2159C95B" w14:textId="77777777" w:rsidR="00CD4FF2" w:rsidRPr="00C537A9" w:rsidRDefault="00CD4FF2" w:rsidP="000C7392">
            <w:pPr>
              <w:pStyle w:val="Tabletext"/>
              <w:rPr>
                <w:lang w:val="es-ES" w:eastAsia="ko-KR"/>
              </w:rPr>
            </w:pPr>
          </w:p>
        </w:tc>
        <w:tc>
          <w:tcPr>
            <w:tcW w:w="2037" w:type="pct"/>
          </w:tcPr>
          <w:p w14:paraId="0C8E6B1F" w14:textId="77777777" w:rsidR="00CD4FF2" w:rsidRPr="00C537A9" w:rsidRDefault="00CD4FF2" w:rsidP="000C7392">
            <w:pPr>
              <w:pStyle w:val="Tabletext"/>
              <w:rPr>
                <w:lang w:val="es-ES" w:eastAsia="ko-KR"/>
              </w:rPr>
            </w:pPr>
            <w:r w:rsidRPr="00C537A9">
              <w:rPr>
                <w:color w:val="000000"/>
                <w:lang w:val="es-ES" w:eastAsia="ko-KR"/>
              </w:rPr>
              <w:t>En la actualidad, la gratuidad de las notificaciones no tiene en cuenta las consideraciones de los países en desarrollo y debería mantenerse en apoyo de los países en desarrollo, como mínimo</w:t>
            </w:r>
          </w:p>
        </w:tc>
        <w:tc>
          <w:tcPr>
            <w:tcW w:w="2176" w:type="pct"/>
          </w:tcPr>
          <w:p w14:paraId="4EB04D8B" w14:textId="77777777" w:rsidR="00CD4FF2" w:rsidRPr="00C537A9" w:rsidRDefault="00CD4FF2" w:rsidP="000C7392">
            <w:pPr>
              <w:pStyle w:val="Tabletext"/>
              <w:rPr>
                <w:lang w:val="es-ES" w:eastAsia="ko-KR"/>
              </w:rPr>
            </w:pPr>
          </w:p>
        </w:tc>
      </w:tr>
      <w:tr w:rsidR="00CD4FF2" w:rsidRPr="00984FD9" w14:paraId="4B2268C0" w14:textId="77777777" w:rsidTr="001C3422">
        <w:trPr>
          <w:cantSplit/>
          <w:jc w:val="center"/>
        </w:trPr>
        <w:tc>
          <w:tcPr>
            <w:tcW w:w="787" w:type="pct"/>
            <w:vMerge/>
          </w:tcPr>
          <w:p w14:paraId="58643773" w14:textId="77777777" w:rsidR="00CD4FF2" w:rsidRPr="00C537A9" w:rsidRDefault="00CD4FF2" w:rsidP="000C7392">
            <w:pPr>
              <w:pStyle w:val="Tabletext"/>
              <w:rPr>
                <w:lang w:val="es-ES" w:eastAsia="ko-KR"/>
              </w:rPr>
            </w:pPr>
          </w:p>
        </w:tc>
        <w:tc>
          <w:tcPr>
            <w:tcW w:w="2037" w:type="pct"/>
          </w:tcPr>
          <w:p w14:paraId="17B0254D" w14:textId="77777777" w:rsidR="00CD4FF2" w:rsidRPr="00C537A9" w:rsidRDefault="00CD4FF2" w:rsidP="000C7392">
            <w:pPr>
              <w:pStyle w:val="Tabletext"/>
              <w:rPr>
                <w:lang w:val="es-ES" w:eastAsia="ko-KR"/>
              </w:rPr>
            </w:pPr>
            <w:r w:rsidRPr="00C537A9">
              <w:rPr>
                <w:color w:val="000000"/>
                <w:lang w:val="es-ES" w:eastAsia="ko-KR"/>
              </w:rPr>
              <w:t xml:space="preserve">Proponer un subsidio de gratuidad para la iniciativa regional de satélites en favor del acceso equitativo. </w:t>
            </w:r>
          </w:p>
        </w:tc>
        <w:tc>
          <w:tcPr>
            <w:tcW w:w="2176" w:type="pct"/>
          </w:tcPr>
          <w:p w14:paraId="5B93AB60" w14:textId="77777777" w:rsidR="00CD4FF2" w:rsidRPr="00C537A9" w:rsidRDefault="00CD4FF2" w:rsidP="000C7392">
            <w:pPr>
              <w:pStyle w:val="Tabletext"/>
              <w:rPr>
                <w:lang w:val="es-ES" w:eastAsia="ko-KR"/>
              </w:rPr>
            </w:pPr>
            <w:r w:rsidRPr="00C537A9">
              <w:rPr>
                <w:color w:val="000000"/>
                <w:lang w:val="es-ES" w:eastAsia="ko-KR"/>
              </w:rPr>
              <w:t>¿Debemos diferenciar entre países desarrollados y en desarrollo?</w:t>
            </w:r>
          </w:p>
        </w:tc>
      </w:tr>
      <w:tr w:rsidR="00CD4FF2" w:rsidRPr="00C537A9" w14:paraId="45FA494F" w14:textId="77777777" w:rsidTr="001C3422">
        <w:trPr>
          <w:cantSplit/>
          <w:jc w:val="center"/>
        </w:trPr>
        <w:tc>
          <w:tcPr>
            <w:tcW w:w="787" w:type="pct"/>
            <w:vMerge/>
          </w:tcPr>
          <w:p w14:paraId="021976A7" w14:textId="77777777" w:rsidR="00CD4FF2" w:rsidRPr="00C537A9" w:rsidRDefault="00CD4FF2" w:rsidP="000C7392">
            <w:pPr>
              <w:pStyle w:val="Tabletext"/>
              <w:rPr>
                <w:lang w:val="es-ES" w:eastAsia="ko-KR"/>
              </w:rPr>
            </w:pPr>
          </w:p>
        </w:tc>
        <w:tc>
          <w:tcPr>
            <w:tcW w:w="2037" w:type="pct"/>
          </w:tcPr>
          <w:p w14:paraId="25E9A389" w14:textId="77777777" w:rsidR="00CD4FF2" w:rsidRPr="00C537A9" w:rsidRDefault="00CD4FF2" w:rsidP="000C7392">
            <w:pPr>
              <w:pStyle w:val="Tabletext"/>
              <w:rPr>
                <w:lang w:val="es-ES" w:eastAsia="ko-KR"/>
              </w:rPr>
            </w:pPr>
            <w:r w:rsidRPr="00C537A9">
              <w:rPr>
                <w:color w:val="000000"/>
                <w:lang w:val="es-ES" w:eastAsia="ko-KR"/>
              </w:rPr>
              <w:t xml:space="preserve">La gratuidad de las notificaciones debería aplicarse a sistemas de satélites completos. Excluir las modificaciones de la gratuidad. </w:t>
            </w:r>
          </w:p>
        </w:tc>
        <w:tc>
          <w:tcPr>
            <w:tcW w:w="2176" w:type="pct"/>
          </w:tcPr>
          <w:p w14:paraId="0F338176" w14:textId="77777777" w:rsidR="00CD4FF2" w:rsidRPr="00C537A9" w:rsidRDefault="00CD4FF2" w:rsidP="000C7392">
            <w:pPr>
              <w:pStyle w:val="Tabletext"/>
              <w:rPr>
                <w:lang w:val="es-ES" w:eastAsia="ko-KR"/>
              </w:rPr>
            </w:pPr>
          </w:p>
        </w:tc>
      </w:tr>
      <w:tr w:rsidR="00CD4FF2" w:rsidRPr="00984FD9" w14:paraId="39AE519E" w14:textId="77777777" w:rsidTr="001C3422">
        <w:trPr>
          <w:cantSplit/>
          <w:jc w:val="center"/>
        </w:trPr>
        <w:tc>
          <w:tcPr>
            <w:tcW w:w="787" w:type="pct"/>
            <w:vMerge/>
          </w:tcPr>
          <w:p w14:paraId="2DDB3371" w14:textId="77777777" w:rsidR="00CD4FF2" w:rsidRPr="00C537A9" w:rsidRDefault="00CD4FF2" w:rsidP="000C7392">
            <w:pPr>
              <w:pStyle w:val="Tabletext"/>
              <w:rPr>
                <w:lang w:val="es-ES" w:eastAsia="ko-KR"/>
              </w:rPr>
            </w:pPr>
          </w:p>
        </w:tc>
        <w:tc>
          <w:tcPr>
            <w:tcW w:w="2037" w:type="pct"/>
          </w:tcPr>
          <w:p w14:paraId="4D51446D" w14:textId="77777777" w:rsidR="00CD4FF2" w:rsidRPr="00C537A9" w:rsidRDefault="00CD4FF2" w:rsidP="000C7392">
            <w:pPr>
              <w:pStyle w:val="Tabletext"/>
              <w:rPr>
                <w:lang w:val="es-ES" w:eastAsia="ko-KR"/>
              </w:rPr>
            </w:pPr>
            <w:r w:rsidRPr="00C537A9">
              <w:rPr>
                <w:color w:val="000000"/>
                <w:lang w:val="es-ES" w:eastAsia="ko-KR"/>
              </w:rPr>
              <w:t>Proseguir los debates sobre las notificaciones gratuitas mediante consultas con el Grupo de Expertos sobre el Acuerdo 482.</w:t>
            </w:r>
          </w:p>
        </w:tc>
        <w:tc>
          <w:tcPr>
            <w:tcW w:w="2176" w:type="pct"/>
          </w:tcPr>
          <w:p w14:paraId="41BAE349" w14:textId="77777777" w:rsidR="00CD4FF2" w:rsidRPr="00C537A9" w:rsidRDefault="00CD4FF2" w:rsidP="000C7392">
            <w:pPr>
              <w:pStyle w:val="Tabletext"/>
              <w:rPr>
                <w:lang w:val="es-ES" w:eastAsia="ko-KR"/>
              </w:rPr>
            </w:pPr>
          </w:p>
        </w:tc>
      </w:tr>
      <w:tr w:rsidR="00CD4FF2" w:rsidRPr="00984FD9" w14:paraId="6BBFFD9E" w14:textId="77777777" w:rsidTr="001C3422">
        <w:trPr>
          <w:cantSplit/>
          <w:jc w:val="center"/>
        </w:trPr>
        <w:tc>
          <w:tcPr>
            <w:tcW w:w="787" w:type="pct"/>
            <w:vMerge/>
          </w:tcPr>
          <w:p w14:paraId="6F7DFC07" w14:textId="77777777" w:rsidR="00CD4FF2" w:rsidRPr="00C537A9" w:rsidRDefault="00CD4FF2" w:rsidP="000C7392">
            <w:pPr>
              <w:pStyle w:val="Tabletext"/>
              <w:rPr>
                <w:lang w:val="es-ES" w:eastAsia="ko-KR"/>
              </w:rPr>
            </w:pPr>
          </w:p>
        </w:tc>
        <w:tc>
          <w:tcPr>
            <w:tcW w:w="2037" w:type="pct"/>
          </w:tcPr>
          <w:p w14:paraId="4F3A8C62" w14:textId="77777777" w:rsidR="00CD4FF2" w:rsidRPr="00C537A9" w:rsidRDefault="00CD4FF2" w:rsidP="000C7392">
            <w:pPr>
              <w:pStyle w:val="Tabletext"/>
              <w:rPr>
                <w:lang w:val="es-ES" w:eastAsia="ko-KR"/>
              </w:rPr>
            </w:pPr>
            <w:proofErr w:type="gramStart"/>
            <w:r w:rsidRPr="00C537A9">
              <w:rPr>
                <w:color w:val="000000"/>
                <w:lang w:val="es-ES" w:eastAsia="ko-KR"/>
              </w:rPr>
              <w:t>Sugerir</w:t>
            </w:r>
            <w:proofErr w:type="gramEnd"/>
            <w:r w:rsidRPr="00C537A9">
              <w:rPr>
                <w:color w:val="000000"/>
                <w:lang w:val="es-ES" w:eastAsia="ko-KR"/>
              </w:rPr>
              <w:t xml:space="preserve"> que la UIT envíe recordatorios anuales a los países, especialmente a los países en desarrollo, para que utilicen sus notificaciones gratuitas.</w:t>
            </w:r>
          </w:p>
        </w:tc>
        <w:tc>
          <w:tcPr>
            <w:tcW w:w="2176" w:type="pct"/>
          </w:tcPr>
          <w:p w14:paraId="14285E8D" w14:textId="77777777" w:rsidR="00CD4FF2" w:rsidRPr="00C537A9" w:rsidRDefault="00CD4FF2" w:rsidP="000C7392">
            <w:pPr>
              <w:pStyle w:val="Tabletext"/>
              <w:rPr>
                <w:lang w:val="es-ES" w:eastAsia="ko-KR"/>
              </w:rPr>
            </w:pPr>
          </w:p>
        </w:tc>
      </w:tr>
      <w:tr w:rsidR="00CD4FF2" w:rsidRPr="00984FD9" w14:paraId="3E95391E" w14:textId="77777777" w:rsidTr="001C3422">
        <w:trPr>
          <w:cantSplit/>
          <w:jc w:val="center"/>
        </w:trPr>
        <w:tc>
          <w:tcPr>
            <w:tcW w:w="787" w:type="pct"/>
            <w:vMerge/>
          </w:tcPr>
          <w:p w14:paraId="3F7191A8" w14:textId="77777777" w:rsidR="00CD4FF2" w:rsidRPr="00C537A9" w:rsidRDefault="00CD4FF2" w:rsidP="000C7392">
            <w:pPr>
              <w:pStyle w:val="Tabletext"/>
              <w:rPr>
                <w:lang w:val="es-ES" w:eastAsia="ko-KR"/>
              </w:rPr>
            </w:pPr>
          </w:p>
        </w:tc>
        <w:tc>
          <w:tcPr>
            <w:tcW w:w="2037" w:type="pct"/>
          </w:tcPr>
          <w:p w14:paraId="02EDAC3B" w14:textId="77777777" w:rsidR="00CD4FF2" w:rsidRPr="00C537A9" w:rsidRDefault="00CD4FF2" w:rsidP="000C7392">
            <w:pPr>
              <w:pStyle w:val="Tabletext"/>
              <w:rPr>
                <w:lang w:val="es-ES" w:eastAsia="ko-KR"/>
              </w:rPr>
            </w:pPr>
            <w:r w:rsidRPr="00C537A9">
              <w:rPr>
                <w:color w:val="000000"/>
                <w:lang w:val="es-ES" w:eastAsia="ko-KR"/>
              </w:rPr>
              <w:t xml:space="preserve">Algunos Miembros apoyaron la propuesta de la contribución </w:t>
            </w:r>
            <w:proofErr w:type="spellStart"/>
            <w:r w:rsidRPr="00C537A9">
              <w:rPr>
                <w:color w:val="000000"/>
                <w:lang w:val="es-ES" w:eastAsia="ko-KR"/>
              </w:rPr>
              <w:t>multipaís</w:t>
            </w:r>
            <w:proofErr w:type="spellEnd"/>
            <w:r w:rsidRPr="00C537A9">
              <w:rPr>
                <w:color w:val="000000"/>
                <w:lang w:val="es-ES" w:eastAsia="ko-KR"/>
              </w:rPr>
              <w:t xml:space="preserve"> para evitar el uso indebido de las notificaciones gratuitas. </w:t>
            </w:r>
          </w:p>
        </w:tc>
        <w:tc>
          <w:tcPr>
            <w:tcW w:w="2176" w:type="pct"/>
          </w:tcPr>
          <w:p w14:paraId="72F510DF" w14:textId="77777777" w:rsidR="00CD4FF2" w:rsidRPr="00C537A9" w:rsidRDefault="00CD4FF2" w:rsidP="000C7392">
            <w:pPr>
              <w:pStyle w:val="Tabletext"/>
              <w:rPr>
                <w:lang w:val="es-ES" w:eastAsia="ko-KR"/>
              </w:rPr>
            </w:pPr>
          </w:p>
        </w:tc>
      </w:tr>
      <w:tr w:rsidR="00CD4FF2" w:rsidRPr="00C537A9" w14:paraId="5A7F896A" w14:textId="77777777" w:rsidTr="001C3422">
        <w:trPr>
          <w:cantSplit/>
          <w:jc w:val="center"/>
        </w:trPr>
        <w:tc>
          <w:tcPr>
            <w:tcW w:w="5000" w:type="pct"/>
            <w:gridSpan w:val="3"/>
            <w:shd w:val="clear" w:color="auto" w:fill="EEECE1" w:themeFill="background2"/>
          </w:tcPr>
          <w:p w14:paraId="7DBD1946" w14:textId="77777777" w:rsidR="00CD4FF2" w:rsidRPr="00C537A9" w:rsidRDefault="00CD4FF2" w:rsidP="000C7392">
            <w:pPr>
              <w:pStyle w:val="Tabletext"/>
              <w:keepNext/>
              <w:rPr>
                <w:b/>
                <w:bCs/>
                <w:lang w:val="es-ES" w:eastAsia="ko-KR"/>
              </w:rPr>
            </w:pPr>
            <w:r w:rsidRPr="00C537A9">
              <w:rPr>
                <w:b/>
                <w:bCs/>
                <w:color w:val="000000"/>
                <w:lang w:val="es-ES" w:eastAsia="ko-KR"/>
              </w:rPr>
              <w:t>Transparencia</w:t>
            </w:r>
          </w:p>
        </w:tc>
      </w:tr>
      <w:tr w:rsidR="00CD4FF2" w:rsidRPr="00984FD9" w14:paraId="7C72B891" w14:textId="77777777" w:rsidTr="001C3422">
        <w:trPr>
          <w:cantSplit/>
          <w:jc w:val="center"/>
        </w:trPr>
        <w:tc>
          <w:tcPr>
            <w:tcW w:w="787" w:type="pct"/>
            <w:vMerge w:val="restart"/>
          </w:tcPr>
          <w:p w14:paraId="69C7926E" w14:textId="77777777" w:rsidR="00CD4FF2" w:rsidRPr="00C537A9" w:rsidRDefault="00CD4FF2" w:rsidP="000C7392">
            <w:pPr>
              <w:pStyle w:val="Tabletext"/>
              <w:rPr>
                <w:lang w:val="es-ES" w:eastAsia="ko-KR"/>
              </w:rPr>
            </w:pPr>
          </w:p>
        </w:tc>
        <w:tc>
          <w:tcPr>
            <w:tcW w:w="2037" w:type="pct"/>
          </w:tcPr>
          <w:p w14:paraId="28496785" w14:textId="77777777" w:rsidR="00CD4FF2" w:rsidRPr="00C537A9" w:rsidRDefault="00CD4FF2" w:rsidP="000C7392">
            <w:pPr>
              <w:pStyle w:val="Tabletext"/>
              <w:rPr>
                <w:lang w:val="es-ES" w:eastAsia="ko-KR"/>
              </w:rPr>
            </w:pPr>
            <w:r w:rsidRPr="00C537A9">
              <w:rPr>
                <w:color w:val="000000"/>
                <w:lang w:val="es-ES" w:eastAsia="ko-KR"/>
              </w:rPr>
              <w:t>La propuesta de la Secretaría carece de medidas concretas. Fundamentar la metodología propuesta en los datos auditados de las actividades de la BR.</w:t>
            </w:r>
          </w:p>
        </w:tc>
        <w:tc>
          <w:tcPr>
            <w:tcW w:w="2176" w:type="pct"/>
          </w:tcPr>
          <w:p w14:paraId="23151FD3" w14:textId="77777777" w:rsidR="00CD4FF2" w:rsidRPr="00C537A9" w:rsidRDefault="00CD4FF2" w:rsidP="000C7392">
            <w:pPr>
              <w:pStyle w:val="Tabletext"/>
              <w:rPr>
                <w:lang w:val="es-ES" w:eastAsia="ko-KR"/>
              </w:rPr>
            </w:pPr>
            <w:r w:rsidRPr="00C537A9">
              <w:rPr>
                <w:color w:val="000000"/>
                <w:lang w:val="es-ES" w:eastAsia="ko-KR"/>
              </w:rPr>
              <w:t xml:space="preserve">Solicitar aclaraciones sobre los componentes de costos que deben recuperarse en la metodología. Concretamente, sobre cómo determinará la Secretaría las definiciones, los cálculos y las asignaciones de los costes directos e indirectos. </w:t>
            </w:r>
          </w:p>
        </w:tc>
      </w:tr>
      <w:tr w:rsidR="00CD4FF2" w:rsidRPr="00984FD9" w14:paraId="4DF4AD10" w14:textId="77777777" w:rsidTr="001C3422">
        <w:trPr>
          <w:cantSplit/>
          <w:jc w:val="center"/>
        </w:trPr>
        <w:tc>
          <w:tcPr>
            <w:tcW w:w="787" w:type="pct"/>
            <w:vMerge/>
          </w:tcPr>
          <w:p w14:paraId="581F877D" w14:textId="77777777" w:rsidR="00CD4FF2" w:rsidRPr="00C537A9" w:rsidRDefault="00CD4FF2" w:rsidP="000C7392">
            <w:pPr>
              <w:pStyle w:val="Tabletext"/>
              <w:rPr>
                <w:lang w:val="es-ES" w:eastAsia="ko-KR"/>
              </w:rPr>
            </w:pPr>
          </w:p>
        </w:tc>
        <w:tc>
          <w:tcPr>
            <w:tcW w:w="2037" w:type="pct"/>
          </w:tcPr>
          <w:p w14:paraId="4C9DA724" w14:textId="77777777" w:rsidR="00CD4FF2" w:rsidRPr="00C537A9" w:rsidRDefault="00CD4FF2" w:rsidP="000C7392">
            <w:pPr>
              <w:pStyle w:val="Tabletext"/>
              <w:rPr>
                <w:lang w:val="es-ES" w:eastAsia="ko-KR"/>
              </w:rPr>
            </w:pPr>
            <w:r w:rsidRPr="00C537A9">
              <w:rPr>
                <w:color w:val="000000"/>
                <w:lang w:val="es-ES" w:eastAsia="ko-KR"/>
              </w:rPr>
              <w:t xml:space="preserve">Algunos países indican que todos los costos directos o indirectos deben recuperarse mediante la recuperación de costos, y para que se incluyan los costos la Secretaría debe demostrar la relación entre los gastos generales y la ejecución de las </w:t>
            </w:r>
            <w:proofErr w:type="spellStart"/>
            <w:r w:rsidRPr="00C537A9">
              <w:rPr>
                <w:color w:val="000000"/>
                <w:lang w:val="es-ES" w:eastAsia="ko-KR"/>
              </w:rPr>
              <w:t>SNF</w:t>
            </w:r>
            <w:proofErr w:type="spellEnd"/>
            <w:r w:rsidRPr="00C537A9">
              <w:rPr>
                <w:color w:val="000000"/>
                <w:lang w:val="es-ES" w:eastAsia="ko-KR"/>
              </w:rPr>
              <w:t>.</w:t>
            </w:r>
          </w:p>
        </w:tc>
        <w:tc>
          <w:tcPr>
            <w:tcW w:w="2176" w:type="pct"/>
          </w:tcPr>
          <w:p w14:paraId="5721FD06" w14:textId="77777777" w:rsidR="00CD4FF2" w:rsidRPr="00C537A9" w:rsidRDefault="00CD4FF2" w:rsidP="000C7392">
            <w:pPr>
              <w:pStyle w:val="Tabletext"/>
              <w:rPr>
                <w:lang w:val="es-ES" w:eastAsia="ko-KR"/>
              </w:rPr>
            </w:pPr>
            <w:r w:rsidRPr="00C537A9">
              <w:rPr>
                <w:color w:val="000000"/>
                <w:lang w:val="es-ES" w:eastAsia="ko-KR"/>
              </w:rPr>
              <w:t xml:space="preserve">¿Cómo tiene previsto la Secretaría cuantificar las mejoras de eficiencia derivadas de la propuesta de reforma del </w:t>
            </w:r>
            <w:proofErr w:type="spellStart"/>
            <w:r w:rsidRPr="00C537A9">
              <w:rPr>
                <w:color w:val="000000"/>
                <w:lang w:val="es-ES" w:eastAsia="ko-KR"/>
              </w:rPr>
              <w:t>SNF</w:t>
            </w:r>
            <w:proofErr w:type="spellEnd"/>
            <w:r w:rsidRPr="00C537A9">
              <w:rPr>
                <w:color w:val="000000"/>
                <w:lang w:val="es-ES" w:eastAsia="ko-KR"/>
              </w:rPr>
              <w:t xml:space="preserve"> e informar al respecto?</w:t>
            </w:r>
          </w:p>
        </w:tc>
      </w:tr>
      <w:tr w:rsidR="00CD4FF2" w:rsidRPr="00C537A9" w14:paraId="3620BCB5" w14:textId="77777777" w:rsidTr="001C3422">
        <w:trPr>
          <w:cantSplit/>
          <w:jc w:val="center"/>
        </w:trPr>
        <w:tc>
          <w:tcPr>
            <w:tcW w:w="787" w:type="pct"/>
            <w:vMerge/>
          </w:tcPr>
          <w:p w14:paraId="3EA02F81" w14:textId="77777777" w:rsidR="00CD4FF2" w:rsidRPr="00C537A9" w:rsidRDefault="00CD4FF2" w:rsidP="000C7392">
            <w:pPr>
              <w:pStyle w:val="Tabletext"/>
              <w:rPr>
                <w:lang w:val="es-ES" w:eastAsia="ko-KR"/>
              </w:rPr>
            </w:pPr>
          </w:p>
        </w:tc>
        <w:tc>
          <w:tcPr>
            <w:tcW w:w="2037" w:type="pct"/>
          </w:tcPr>
          <w:p w14:paraId="224B48E6" w14:textId="77777777" w:rsidR="00CD4FF2" w:rsidRPr="00C537A9" w:rsidRDefault="00CD4FF2" w:rsidP="000C7392">
            <w:pPr>
              <w:pStyle w:val="Tabletext"/>
              <w:rPr>
                <w:lang w:val="es-ES" w:eastAsia="ko-KR"/>
              </w:rPr>
            </w:pPr>
            <w:r w:rsidRPr="00C537A9">
              <w:rPr>
                <w:color w:val="000000"/>
                <w:lang w:val="es-ES" w:eastAsia="ko-KR"/>
              </w:rPr>
              <w:t xml:space="preserve">La Res. 91 no menciona los gastos de capital, como la amortización. </w:t>
            </w:r>
          </w:p>
        </w:tc>
        <w:tc>
          <w:tcPr>
            <w:tcW w:w="2176" w:type="pct"/>
          </w:tcPr>
          <w:p w14:paraId="3D385BA6" w14:textId="77777777" w:rsidR="00CD4FF2" w:rsidRPr="00C537A9" w:rsidRDefault="00CD4FF2" w:rsidP="000C7392">
            <w:pPr>
              <w:pStyle w:val="Tabletext"/>
              <w:rPr>
                <w:lang w:val="es-ES" w:eastAsia="ko-KR"/>
              </w:rPr>
            </w:pPr>
            <w:r w:rsidRPr="00C537A9">
              <w:rPr>
                <w:color w:val="000000"/>
                <w:lang w:val="es-ES" w:eastAsia="ko-KR"/>
              </w:rPr>
              <w:t>¿Los gastos de capital son costos directos o indirectos? ¿Por qué se incluirían?</w:t>
            </w:r>
          </w:p>
        </w:tc>
      </w:tr>
      <w:tr w:rsidR="00CD4FF2" w:rsidRPr="00984FD9" w14:paraId="64DAC1A6" w14:textId="77777777" w:rsidTr="001C3422">
        <w:trPr>
          <w:cantSplit/>
          <w:jc w:val="center"/>
        </w:trPr>
        <w:tc>
          <w:tcPr>
            <w:tcW w:w="787" w:type="pct"/>
          </w:tcPr>
          <w:p w14:paraId="20F43795" w14:textId="77777777" w:rsidR="00CD4FF2" w:rsidRPr="00C537A9" w:rsidRDefault="00CD4FF2" w:rsidP="000C7392">
            <w:pPr>
              <w:pStyle w:val="Tabletext"/>
              <w:rPr>
                <w:lang w:val="es-ES" w:eastAsia="ko-KR"/>
              </w:rPr>
            </w:pPr>
          </w:p>
        </w:tc>
        <w:tc>
          <w:tcPr>
            <w:tcW w:w="2037" w:type="pct"/>
          </w:tcPr>
          <w:p w14:paraId="54052213" w14:textId="77777777" w:rsidR="00CD4FF2" w:rsidRPr="00C537A9" w:rsidRDefault="00CD4FF2" w:rsidP="000C7392">
            <w:pPr>
              <w:pStyle w:val="Tabletext"/>
              <w:rPr>
                <w:lang w:val="es-ES" w:eastAsia="ko-KR"/>
              </w:rPr>
            </w:pPr>
            <w:r w:rsidRPr="00C537A9">
              <w:rPr>
                <w:color w:val="000000"/>
                <w:lang w:val="es-ES" w:eastAsia="ko-KR"/>
              </w:rPr>
              <w:t xml:space="preserve">Algunos Miembros expresaron su preocupación por que unas pocas entidades multinacionales puedan beneficiarse de la gratuidad de las notificaciones. </w:t>
            </w:r>
          </w:p>
        </w:tc>
        <w:tc>
          <w:tcPr>
            <w:tcW w:w="2176" w:type="pct"/>
          </w:tcPr>
          <w:p w14:paraId="63F90FA9" w14:textId="77777777" w:rsidR="00CD4FF2" w:rsidRPr="00C537A9" w:rsidRDefault="00CD4FF2" w:rsidP="000C7392">
            <w:pPr>
              <w:pStyle w:val="Tabletext"/>
              <w:rPr>
                <w:lang w:val="es-ES" w:eastAsia="ko-KR"/>
              </w:rPr>
            </w:pPr>
            <w:r w:rsidRPr="00C537A9">
              <w:rPr>
                <w:color w:val="000000"/>
                <w:lang w:val="es-ES" w:eastAsia="ko-KR"/>
              </w:rPr>
              <w:t>¿Cuáles son las repercusiones financieras de la existencia de varias notificaciones gratuitas para la misma constelación de satélites?</w:t>
            </w:r>
          </w:p>
        </w:tc>
      </w:tr>
      <w:tr w:rsidR="00CD4FF2" w:rsidRPr="00C537A9" w14:paraId="45392338" w14:textId="77777777" w:rsidTr="001C3422">
        <w:trPr>
          <w:cantSplit/>
          <w:jc w:val="center"/>
        </w:trPr>
        <w:tc>
          <w:tcPr>
            <w:tcW w:w="5000" w:type="pct"/>
            <w:gridSpan w:val="3"/>
            <w:shd w:val="clear" w:color="auto" w:fill="EEECE1" w:themeFill="background2"/>
          </w:tcPr>
          <w:p w14:paraId="3743F5CA" w14:textId="77777777" w:rsidR="00CD4FF2" w:rsidRPr="00C537A9" w:rsidRDefault="00CD4FF2" w:rsidP="000C7392">
            <w:pPr>
              <w:pStyle w:val="Tabletext"/>
              <w:rPr>
                <w:b/>
                <w:bCs/>
                <w:lang w:val="es-ES" w:eastAsia="ko-KR"/>
              </w:rPr>
            </w:pPr>
            <w:r w:rsidRPr="00C537A9">
              <w:rPr>
                <w:b/>
                <w:bCs/>
                <w:color w:val="000000"/>
                <w:lang w:val="es-ES" w:eastAsia="ko-KR"/>
              </w:rPr>
              <w:t>Estructura de tasas predecible</w:t>
            </w:r>
          </w:p>
        </w:tc>
      </w:tr>
      <w:tr w:rsidR="00CD4FF2" w:rsidRPr="00984FD9" w14:paraId="24B032FF" w14:textId="77777777" w:rsidTr="001C3422">
        <w:trPr>
          <w:cantSplit/>
          <w:jc w:val="center"/>
        </w:trPr>
        <w:tc>
          <w:tcPr>
            <w:tcW w:w="787" w:type="pct"/>
          </w:tcPr>
          <w:p w14:paraId="3C08F735" w14:textId="77777777" w:rsidR="00CD4FF2" w:rsidRPr="00C537A9" w:rsidRDefault="00CD4FF2" w:rsidP="000C7392">
            <w:pPr>
              <w:pStyle w:val="Tabletext"/>
              <w:rPr>
                <w:lang w:val="es-ES" w:eastAsia="ko-KR"/>
              </w:rPr>
            </w:pPr>
          </w:p>
        </w:tc>
        <w:tc>
          <w:tcPr>
            <w:tcW w:w="2037" w:type="pct"/>
          </w:tcPr>
          <w:p w14:paraId="3F007A41" w14:textId="77777777" w:rsidR="00CD4FF2" w:rsidRPr="00C537A9" w:rsidRDefault="00CD4FF2" w:rsidP="000C7392">
            <w:pPr>
              <w:pStyle w:val="Tabletext"/>
              <w:rPr>
                <w:lang w:val="es-ES" w:eastAsia="ko-KR"/>
              </w:rPr>
            </w:pPr>
            <w:r w:rsidRPr="00C537A9">
              <w:rPr>
                <w:color w:val="000000"/>
                <w:lang w:val="es-ES" w:eastAsia="ko-KR"/>
              </w:rPr>
              <w:t xml:space="preserve">Los Estados Miembros parecen estar de acuerdo en que las fluctuaciones importantes impiden la planificación de las redes de satélite. </w:t>
            </w:r>
          </w:p>
        </w:tc>
        <w:tc>
          <w:tcPr>
            <w:tcW w:w="2176" w:type="pct"/>
          </w:tcPr>
          <w:p w14:paraId="105EECD4" w14:textId="77777777" w:rsidR="00CD4FF2" w:rsidRPr="00C537A9" w:rsidRDefault="00CD4FF2" w:rsidP="000C7392">
            <w:pPr>
              <w:pStyle w:val="Tabletext"/>
              <w:rPr>
                <w:lang w:val="es-ES" w:eastAsia="ko-KR"/>
              </w:rPr>
            </w:pPr>
            <w:r w:rsidRPr="00C537A9">
              <w:rPr>
                <w:color w:val="000000"/>
                <w:lang w:val="es-ES" w:eastAsia="ko-KR"/>
              </w:rPr>
              <w:t>¿Puede la UIT proponer una alternativa al ajuste anual para la planificación a largo plazo?</w:t>
            </w:r>
          </w:p>
        </w:tc>
      </w:tr>
      <w:tr w:rsidR="00CD4FF2" w:rsidRPr="00C537A9" w14:paraId="3D7083FE" w14:textId="77777777" w:rsidTr="001C3422">
        <w:trPr>
          <w:cantSplit/>
          <w:jc w:val="center"/>
        </w:trPr>
        <w:tc>
          <w:tcPr>
            <w:tcW w:w="5000" w:type="pct"/>
            <w:gridSpan w:val="3"/>
            <w:shd w:val="clear" w:color="auto" w:fill="EEECE1" w:themeFill="background2"/>
          </w:tcPr>
          <w:p w14:paraId="16A11A09" w14:textId="77777777" w:rsidR="00CD4FF2" w:rsidRPr="00C537A9" w:rsidRDefault="00CD4FF2" w:rsidP="000C7392">
            <w:pPr>
              <w:pStyle w:val="Tabletext"/>
              <w:rPr>
                <w:b/>
                <w:bCs/>
                <w:lang w:val="es-ES" w:eastAsia="ko-KR"/>
              </w:rPr>
            </w:pPr>
            <w:r w:rsidRPr="00C537A9">
              <w:rPr>
                <w:b/>
                <w:bCs/>
                <w:color w:val="000000"/>
                <w:lang w:val="es-ES" w:eastAsia="ko-KR"/>
              </w:rPr>
              <w:t>Otros</w:t>
            </w:r>
          </w:p>
        </w:tc>
      </w:tr>
      <w:tr w:rsidR="00CD4FF2" w:rsidRPr="00984FD9" w14:paraId="7B858575" w14:textId="77777777" w:rsidTr="001C3422">
        <w:trPr>
          <w:cantSplit/>
          <w:jc w:val="center"/>
        </w:trPr>
        <w:tc>
          <w:tcPr>
            <w:tcW w:w="787" w:type="pct"/>
            <w:vMerge w:val="restart"/>
          </w:tcPr>
          <w:p w14:paraId="20846E02" w14:textId="77777777" w:rsidR="00CD4FF2" w:rsidRPr="00C537A9" w:rsidRDefault="00CD4FF2" w:rsidP="000C7392">
            <w:pPr>
              <w:pStyle w:val="Tabletext"/>
              <w:rPr>
                <w:lang w:val="es-ES" w:eastAsia="ko-KR"/>
              </w:rPr>
            </w:pPr>
          </w:p>
        </w:tc>
        <w:tc>
          <w:tcPr>
            <w:tcW w:w="2037" w:type="pct"/>
          </w:tcPr>
          <w:p w14:paraId="137D0830" w14:textId="77777777" w:rsidR="00CD4FF2" w:rsidRPr="00C537A9" w:rsidRDefault="00CD4FF2" w:rsidP="000C7392">
            <w:pPr>
              <w:pStyle w:val="Tabletext"/>
              <w:rPr>
                <w:lang w:val="es-ES" w:eastAsia="ko-KR"/>
              </w:rPr>
            </w:pPr>
            <w:r w:rsidRPr="00C537A9">
              <w:rPr>
                <w:color w:val="000000"/>
                <w:lang w:val="es-ES" w:eastAsia="ko-KR"/>
              </w:rPr>
              <w:t xml:space="preserve">Algunos temas planteados por los Miembros pueden ser ajenos al mandato o la autoridad del GTC-RHF y la PP debería decidir sobre ellos. </w:t>
            </w:r>
          </w:p>
        </w:tc>
        <w:tc>
          <w:tcPr>
            <w:tcW w:w="2176" w:type="pct"/>
          </w:tcPr>
          <w:p w14:paraId="3EAFDB86" w14:textId="77777777" w:rsidR="00CD4FF2" w:rsidRPr="00C537A9" w:rsidRDefault="00CD4FF2" w:rsidP="000C7392">
            <w:pPr>
              <w:pStyle w:val="Tabletext"/>
              <w:rPr>
                <w:lang w:val="es-ES" w:eastAsia="ko-KR"/>
              </w:rPr>
            </w:pPr>
            <w:r w:rsidRPr="00C537A9">
              <w:rPr>
                <w:color w:val="000000"/>
                <w:lang w:val="es-ES" w:eastAsia="ko-KR"/>
              </w:rPr>
              <w:t xml:space="preserve">¿Qué recomendaciones se presentarán al Consejo? </w:t>
            </w:r>
          </w:p>
        </w:tc>
      </w:tr>
      <w:tr w:rsidR="00CD4FF2" w:rsidRPr="00984FD9" w14:paraId="57897864" w14:textId="77777777" w:rsidTr="001C3422">
        <w:trPr>
          <w:cantSplit/>
          <w:jc w:val="center"/>
        </w:trPr>
        <w:tc>
          <w:tcPr>
            <w:tcW w:w="787" w:type="pct"/>
            <w:vMerge/>
          </w:tcPr>
          <w:p w14:paraId="4C5DDB47" w14:textId="77777777" w:rsidR="00CD4FF2" w:rsidRPr="00C537A9" w:rsidRDefault="00CD4FF2" w:rsidP="000C7392">
            <w:pPr>
              <w:pStyle w:val="Tabletext"/>
              <w:rPr>
                <w:lang w:val="es-ES" w:eastAsia="ko-KR"/>
              </w:rPr>
            </w:pPr>
          </w:p>
        </w:tc>
        <w:tc>
          <w:tcPr>
            <w:tcW w:w="2037" w:type="pct"/>
          </w:tcPr>
          <w:p w14:paraId="47B223B6" w14:textId="77777777" w:rsidR="00CD4FF2" w:rsidRPr="00C537A9" w:rsidRDefault="00CD4FF2" w:rsidP="000C7392">
            <w:pPr>
              <w:pStyle w:val="Tabletext"/>
              <w:rPr>
                <w:lang w:val="es-ES" w:eastAsia="ko-KR"/>
              </w:rPr>
            </w:pPr>
            <w:r w:rsidRPr="00C537A9">
              <w:rPr>
                <w:color w:val="000000"/>
                <w:lang w:val="es-ES" w:eastAsia="ko-KR"/>
              </w:rPr>
              <w:t xml:space="preserve">Apoyo mixto a favor y en contra de la reactivación del Grupo de Expertos sobre el Acuerdo 482. </w:t>
            </w:r>
          </w:p>
        </w:tc>
        <w:tc>
          <w:tcPr>
            <w:tcW w:w="2176" w:type="pct"/>
          </w:tcPr>
          <w:p w14:paraId="1810CCB2" w14:textId="77777777" w:rsidR="00CD4FF2" w:rsidRPr="00C537A9" w:rsidRDefault="00CD4FF2" w:rsidP="000C7392">
            <w:pPr>
              <w:pStyle w:val="Tabletext"/>
              <w:rPr>
                <w:lang w:val="es-ES" w:eastAsia="ko-KR"/>
              </w:rPr>
            </w:pPr>
            <w:r w:rsidRPr="00C537A9">
              <w:rPr>
                <w:color w:val="000000"/>
                <w:lang w:val="es-ES" w:eastAsia="ko-KR"/>
              </w:rPr>
              <w:t xml:space="preserve">¿Existe un plan de contingencia de costes para desbloquear los 5,5 millones de ingresos de </w:t>
            </w:r>
            <w:proofErr w:type="spellStart"/>
            <w:r w:rsidRPr="00C537A9">
              <w:rPr>
                <w:color w:val="000000"/>
                <w:lang w:val="es-ES" w:eastAsia="ko-KR"/>
              </w:rPr>
              <w:t>SNF</w:t>
            </w:r>
            <w:proofErr w:type="spellEnd"/>
            <w:r w:rsidRPr="00C537A9">
              <w:rPr>
                <w:color w:val="000000"/>
                <w:lang w:val="es-ES" w:eastAsia="ko-KR"/>
              </w:rPr>
              <w:t xml:space="preserve"> diferidos?</w:t>
            </w:r>
          </w:p>
        </w:tc>
      </w:tr>
      <w:tr w:rsidR="00CD4FF2" w:rsidRPr="00984FD9" w14:paraId="139B13A4" w14:textId="77777777" w:rsidTr="001C3422">
        <w:trPr>
          <w:cantSplit/>
          <w:jc w:val="center"/>
        </w:trPr>
        <w:tc>
          <w:tcPr>
            <w:tcW w:w="787" w:type="pct"/>
            <w:vMerge/>
          </w:tcPr>
          <w:p w14:paraId="4FDC8937" w14:textId="77777777" w:rsidR="00CD4FF2" w:rsidRPr="00C537A9" w:rsidRDefault="00CD4FF2" w:rsidP="000C7392">
            <w:pPr>
              <w:pStyle w:val="Tabletext"/>
              <w:rPr>
                <w:lang w:val="es-ES" w:eastAsia="ko-KR"/>
              </w:rPr>
            </w:pPr>
          </w:p>
        </w:tc>
        <w:tc>
          <w:tcPr>
            <w:tcW w:w="2037" w:type="pct"/>
          </w:tcPr>
          <w:p w14:paraId="5A88EA9B" w14:textId="77777777" w:rsidR="00CD4FF2" w:rsidRPr="00C537A9" w:rsidRDefault="00CD4FF2" w:rsidP="000C7392">
            <w:pPr>
              <w:pStyle w:val="Tabletext"/>
              <w:rPr>
                <w:lang w:val="es-ES" w:eastAsia="ko-KR"/>
              </w:rPr>
            </w:pPr>
            <w:r w:rsidRPr="00C537A9">
              <w:rPr>
                <w:color w:val="000000"/>
                <w:lang w:val="es-ES" w:eastAsia="ko-KR"/>
              </w:rPr>
              <w:t>No apoya la inclusión de las contribuciones sobre gobernanza de las conferencias y asambleas del UIT-T y el UIT-D. Se propone limitar estos elementos a la PP, el Consejo y el UIT-R.</w:t>
            </w:r>
          </w:p>
        </w:tc>
        <w:tc>
          <w:tcPr>
            <w:tcW w:w="2176" w:type="pct"/>
          </w:tcPr>
          <w:p w14:paraId="519D1E2A" w14:textId="77777777" w:rsidR="00CD4FF2" w:rsidRPr="00C537A9" w:rsidRDefault="00CD4FF2" w:rsidP="000C7392">
            <w:pPr>
              <w:pStyle w:val="Tabletext"/>
              <w:rPr>
                <w:lang w:val="es-ES" w:eastAsia="ko-KR"/>
              </w:rPr>
            </w:pPr>
          </w:p>
        </w:tc>
      </w:tr>
      <w:tr w:rsidR="00CD4FF2" w:rsidRPr="00984FD9" w14:paraId="3E9F552D" w14:textId="77777777" w:rsidTr="001C3422">
        <w:trPr>
          <w:cantSplit/>
          <w:jc w:val="center"/>
        </w:trPr>
        <w:tc>
          <w:tcPr>
            <w:tcW w:w="787" w:type="pct"/>
            <w:vMerge/>
          </w:tcPr>
          <w:p w14:paraId="3F4D4103" w14:textId="77777777" w:rsidR="00CD4FF2" w:rsidRPr="00C537A9" w:rsidRDefault="00CD4FF2" w:rsidP="000C7392">
            <w:pPr>
              <w:pStyle w:val="Tabletext"/>
              <w:rPr>
                <w:lang w:val="es-ES" w:eastAsia="ko-KR"/>
              </w:rPr>
            </w:pPr>
          </w:p>
        </w:tc>
        <w:tc>
          <w:tcPr>
            <w:tcW w:w="2037" w:type="pct"/>
          </w:tcPr>
          <w:p w14:paraId="11C3E00B" w14:textId="77777777" w:rsidR="00CD4FF2" w:rsidRPr="00C537A9" w:rsidRDefault="00CD4FF2" w:rsidP="000C7392">
            <w:pPr>
              <w:pStyle w:val="Tabletext"/>
              <w:rPr>
                <w:lang w:val="es-ES" w:eastAsia="ko-KR"/>
              </w:rPr>
            </w:pPr>
            <w:r w:rsidRPr="00C537A9">
              <w:rPr>
                <w:color w:val="000000"/>
                <w:lang w:val="es-ES" w:eastAsia="ko-KR"/>
              </w:rPr>
              <w:t xml:space="preserve">Recomendaciones para mejorar el documento de la Secretaría de cara a la reunión de 2026 del Consejo mediante la inclusión de elementos del Informe de la DCI de 2025. </w:t>
            </w:r>
          </w:p>
        </w:tc>
        <w:tc>
          <w:tcPr>
            <w:tcW w:w="2176" w:type="pct"/>
          </w:tcPr>
          <w:p w14:paraId="2276B235" w14:textId="77777777" w:rsidR="00CD4FF2" w:rsidRPr="00C537A9" w:rsidRDefault="00CD4FF2" w:rsidP="000C7392">
            <w:pPr>
              <w:pStyle w:val="Tabletext"/>
              <w:rPr>
                <w:lang w:val="es-ES" w:eastAsia="ko-KR"/>
              </w:rPr>
            </w:pPr>
          </w:p>
        </w:tc>
      </w:tr>
      <w:tr w:rsidR="00CD4FF2" w:rsidRPr="00984FD9" w14:paraId="4FF9379A" w14:textId="77777777" w:rsidTr="001C3422">
        <w:trPr>
          <w:cantSplit/>
          <w:jc w:val="center"/>
        </w:trPr>
        <w:tc>
          <w:tcPr>
            <w:tcW w:w="787" w:type="pct"/>
            <w:vMerge/>
          </w:tcPr>
          <w:p w14:paraId="0193627D" w14:textId="77777777" w:rsidR="00CD4FF2" w:rsidRPr="00C537A9" w:rsidRDefault="00CD4FF2" w:rsidP="000C7392">
            <w:pPr>
              <w:pStyle w:val="Tabletext"/>
              <w:rPr>
                <w:lang w:val="es-ES" w:eastAsia="ko-KR"/>
              </w:rPr>
            </w:pPr>
          </w:p>
        </w:tc>
        <w:tc>
          <w:tcPr>
            <w:tcW w:w="2037" w:type="pct"/>
          </w:tcPr>
          <w:p w14:paraId="0E35FF4C" w14:textId="77777777" w:rsidR="00CD4FF2" w:rsidRPr="00C537A9" w:rsidRDefault="00CD4FF2" w:rsidP="000C7392">
            <w:pPr>
              <w:pStyle w:val="Tabletext"/>
              <w:rPr>
                <w:lang w:val="es-ES" w:eastAsia="ko-KR"/>
              </w:rPr>
            </w:pPr>
            <w:r w:rsidRPr="00C537A9">
              <w:rPr>
                <w:color w:val="000000"/>
                <w:lang w:val="es-ES" w:eastAsia="ko-KR"/>
              </w:rPr>
              <w:t xml:space="preserve">Los enfoques de los costes indirectos de los reguladores nacionales y de la UIT no son comparables. </w:t>
            </w:r>
          </w:p>
        </w:tc>
        <w:tc>
          <w:tcPr>
            <w:tcW w:w="2176" w:type="pct"/>
          </w:tcPr>
          <w:p w14:paraId="488FCEB1" w14:textId="77777777" w:rsidR="00CD4FF2" w:rsidRPr="00C537A9" w:rsidRDefault="00CD4FF2" w:rsidP="000C7392">
            <w:pPr>
              <w:pStyle w:val="Tabletext"/>
              <w:rPr>
                <w:lang w:val="es-ES" w:eastAsia="ko-KR"/>
              </w:rPr>
            </w:pPr>
          </w:p>
        </w:tc>
      </w:tr>
      <w:tr w:rsidR="00CD4FF2" w:rsidRPr="00984FD9" w14:paraId="1CB323F2" w14:textId="77777777" w:rsidTr="001C3422">
        <w:trPr>
          <w:cantSplit/>
          <w:jc w:val="center"/>
        </w:trPr>
        <w:tc>
          <w:tcPr>
            <w:tcW w:w="5000" w:type="pct"/>
            <w:gridSpan w:val="3"/>
            <w:shd w:val="clear" w:color="auto" w:fill="EEECE1" w:themeFill="background2"/>
          </w:tcPr>
          <w:p w14:paraId="26D6E244" w14:textId="77777777" w:rsidR="00CD4FF2" w:rsidRPr="00C537A9" w:rsidRDefault="00CD4FF2" w:rsidP="000C7392">
            <w:pPr>
              <w:pStyle w:val="Tabletext"/>
              <w:rPr>
                <w:b/>
                <w:bCs/>
                <w:lang w:val="es-ES" w:eastAsia="ko-KR"/>
              </w:rPr>
            </w:pPr>
            <w:r w:rsidRPr="00C537A9">
              <w:rPr>
                <w:b/>
                <w:bCs/>
                <w:color w:val="000000"/>
                <w:lang w:val="es-ES" w:eastAsia="ko-KR"/>
              </w:rPr>
              <w:t>¿Dónde va la recuperación de costes?</w:t>
            </w:r>
            <w:r w:rsidRPr="00C537A9">
              <w:rPr>
                <w:color w:val="000000"/>
                <w:lang w:val="es-ES" w:eastAsia="ko-KR"/>
              </w:rPr>
              <w:t xml:space="preserve"> </w:t>
            </w:r>
            <w:r w:rsidRPr="00C537A9">
              <w:rPr>
                <w:b/>
                <w:bCs/>
                <w:color w:val="000000"/>
                <w:lang w:val="es-ES" w:eastAsia="ko-KR"/>
              </w:rPr>
              <w:t>Tiene que ir a la BR.</w:t>
            </w:r>
            <w:r w:rsidRPr="00C537A9">
              <w:rPr>
                <w:color w:val="000000"/>
                <w:lang w:val="es-ES" w:eastAsia="ko-KR"/>
              </w:rPr>
              <w:t xml:space="preserve"> </w:t>
            </w:r>
          </w:p>
        </w:tc>
      </w:tr>
    </w:tbl>
    <w:p w14:paraId="1F76BB34" w14:textId="77777777" w:rsidR="00CD4FF2" w:rsidRPr="00C537A9" w:rsidRDefault="00CD4FF2" w:rsidP="000C7392">
      <w:pPr>
        <w:pStyle w:val="Tablefin"/>
        <w:rPr>
          <w:lang w:val="es-ES" w:eastAsia="ko-KR"/>
        </w:rPr>
      </w:pPr>
    </w:p>
    <w:p w14:paraId="28F88DE3" w14:textId="6FAE5792" w:rsidR="00CD4FF2" w:rsidRPr="00C537A9" w:rsidRDefault="00CD4FF2" w:rsidP="000C7392">
      <w:pPr>
        <w:pStyle w:val="Heading1"/>
        <w:rPr>
          <w:lang w:val="es-ES" w:eastAsia="ko-KR"/>
        </w:rPr>
      </w:pPr>
      <w:r w:rsidRPr="00C537A9">
        <w:rPr>
          <w:bCs/>
          <w:lang w:val="es-ES" w:eastAsia="ko-KR"/>
        </w:rPr>
        <w:t>14</w:t>
      </w:r>
      <w:r w:rsidRPr="00C537A9">
        <w:rPr>
          <w:lang w:val="es-ES" w:eastAsia="ko-KR"/>
        </w:rPr>
        <w:tab/>
      </w:r>
      <w:r w:rsidRPr="00C537A9">
        <w:rPr>
          <w:bCs/>
          <w:lang w:val="es-ES" w:eastAsia="ko-KR"/>
        </w:rPr>
        <w:t xml:space="preserve">Metodología para el examen y la revisión de la unidad contributiva (Documentos </w:t>
      </w:r>
      <w:hyperlink r:id="rId138"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-21/13</w:t>
        </w:r>
      </w:hyperlink>
      <w:r w:rsidRPr="00C537A9">
        <w:rPr>
          <w:lang w:val="es-ES" w:eastAsia="ko-KR"/>
        </w:rPr>
        <w:t xml:space="preserve"> y </w:t>
      </w:r>
      <w:hyperlink r:id="rId139"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-22/6</w:t>
        </w:r>
      </w:hyperlink>
      <w:r w:rsidRPr="00C537A9">
        <w:rPr>
          <w:bCs/>
          <w:lang w:val="es-ES" w:eastAsia="ko-KR"/>
        </w:rPr>
        <w:t>)</w:t>
      </w:r>
      <w:hyperlink r:id="rId140" w:history="1"/>
      <w:hyperlink r:id="rId141" w:history="1"/>
    </w:p>
    <w:p w14:paraId="626808B1" w14:textId="0E626ADD" w:rsidR="00CD4FF2" w:rsidRPr="00C537A9" w:rsidRDefault="00CD4FF2" w:rsidP="00973B55">
      <w:pPr>
        <w:jc w:val="both"/>
        <w:rPr>
          <w:lang w:val="es-ES" w:eastAsia="ko-KR"/>
        </w:rPr>
      </w:pPr>
      <w:r w:rsidRPr="00C537A9">
        <w:rPr>
          <w:lang w:val="es-ES" w:eastAsia="ko-KR"/>
        </w:rPr>
        <w:t>14.1</w:t>
      </w:r>
      <w:r w:rsidRPr="00C537A9">
        <w:rPr>
          <w:lang w:val="es-ES" w:eastAsia="ko-KR"/>
        </w:rPr>
        <w:tab/>
        <w:t>El Consejo de 2025 decidió no aumentar la unidad contributiva. Habida cuenta de las limitaciones financieras experimentadas por la UIT, el Consejo de 2025 encargó a la Secretaría que elaborara y presentara diferentes enfoques que podrían considerar los Miembros para revisar la unidad contributiva en el futuro. En la 21</w:t>
      </w:r>
      <w:r w:rsidR="0053224A">
        <w:rPr>
          <w:lang w:val="es-ES" w:eastAsia="ko-KR"/>
        </w:rPr>
        <w:t>.</w:t>
      </w:r>
      <w:r w:rsidRPr="00C537A9">
        <w:rPr>
          <w:lang w:val="es-ES" w:eastAsia="ko-KR"/>
        </w:rPr>
        <w:t>ª reunión, la Secretaría presentó tres enfoques, a saber: 1) ajustar la unidad contributiva para reflejar la inflación, 2) vincular los aumentos de la unidad contributiva con la mejora del rendimiento, y 3) alinear la unidad contributiva con la capacidad de la UIT para sufragar los costos asociados con los nuevos mandatos.</w:t>
      </w:r>
    </w:p>
    <w:p w14:paraId="4C22563A" w14:textId="77777777" w:rsidR="00CD4FF2" w:rsidRPr="00E50870" w:rsidRDefault="00CD4FF2" w:rsidP="00973B55">
      <w:pPr>
        <w:jc w:val="both"/>
        <w:rPr>
          <w:spacing w:val="-2"/>
          <w:lang w:val="es-ES" w:eastAsia="ko-KR"/>
        </w:rPr>
      </w:pPr>
      <w:r w:rsidRPr="00E50870">
        <w:rPr>
          <w:spacing w:val="-2"/>
          <w:lang w:val="es-ES" w:eastAsia="ko-KR"/>
        </w:rPr>
        <w:t>14.2</w:t>
      </w:r>
      <w:r w:rsidRPr="00E50870">
        <w:rPr>
          <w:spacing w:val="-2"/>
          <w:lang w:val="es-ES" w:eastAsia="ko-KR"/>
        </w:rPr>
        <w:tab/>
        <w:t xml:space="preserve">Pese a las opiniones divergentes sobre las medidas correctivas propuestas, los delegados se mantuvieron de acuerdo en que no se debería modificar el valor de la unidad contributiva. La mayoría de los delegados propusieron volver a sintonizar con el mandato fundamental de la UIT, mejorar la priorización de los programas y actividades en consonancia con la iniciativa </w:t>
      </w:r>
      <w:proofErr w:type="spellStart"/>
      <w:r w:rsidRPr="00E50870">
        <w:rPr>
          <w:spacing w:val="-2"/>
          <w:lang w:val="es-ES" w:eastAsia="ko-KR"/>
        </w:rPr>
        <w:t>ONU80</w:t>
      </w:r>
      <w:proofErr w:type="spellEnd"/>
      <w:r w:rsidRPr="00E50870">
        <w:rPr>
          <w:spacing w:val="-2"/>
          <w:lang w:val="es-ES" w:eastAsia="ko-KR"/>
        </w:rPr>
        <w:t xml:space="preserve">, aumentar la eficiencia e incorporar aún más la gestión basada en los resultados. Otros recomendaron modificar las metodologías para tener en cuenta los tres factores (inflación, rendimiento y cobertura de costes) simultáneamente, reconociendo que, si bien el valor de la unidad contributiva no ha cambiado, el volumen de trabajo de la UIT ha aumentado. </w:t>
      </w:r>
    </w:p>
    <w:p w14:paraId="5C52C66F" w14:textId="4F56C8CA" w:rsidR="00CD4FF2" w:rsidRPr="00C537A9" w:rsidRDefault="00CD4FF2" w:rsidP="00973B55">
      <w:pPr>
        <w:jc w:val="both"/>
        <w:rPr>
          <w:lang w:val="es-ES" w:eastAsia="ko-KR"/>
        </w:rPr>
      </w:pPr>
      <w:r w:rsidRPr="00C537A9">
        <w:rPr>
          <w:lang w:val="es-ES" w:eastAsia="ko-KR"/>
        </w:rPr>
        <w:t>14.3</w:t>
      </w:r>
      <w:r w:rsidRPr="00C537A9">
        <w:rPr>
          <w:lang w:val="es-ES" w:eastAsia="ko-KR"/>
        </w:rPr>
        <w:tab/>
        <w:t>La Secretaría dio las gracias a los delegados por sus comentarios y recordó a todos que la unidad contributiva se mantendrá en 318</w:t>
      </w:r>
      <w:r w:rsidR="0053224A">
        <w:rPr>
          <w:lang w:val="es-ES" w:eastAsia="ko-KR"/>
        </w:rPr>
        <w:t> </w:t>
      </w:r>
      <w:r w:rsidRPr="00C537A9">
        <w:rPr>
          <w:lang w:val="es-ES" w:eastAsia="ko-KR"/>
        </w:rPr>
        <w:t xml:space="preserve">000 CHF para el ciclo financiero 2028-2031. Tras reconocer que era necesario seguir examinando este tema, la Presidenta pidió a la Secretaría que presentara una metodología revisada a la siguiente reunión del GTC-RHF para proseguir el debate. </w:t>
      </w:r>
    </w:p>
    <w:p w14:paraId="6E938895" w14:textId="2C617067" w:rsidR="00CD4FF2" w:rsidRPr="00C537A9" w:rsidRDefault="00CD4FF2" w:rsidP="00973B55">
      <w:pPr>
        <w:jc w:val="both"/>
        <w:rPr>
          <w:lang w:val="es-ES" w:eastAsia="ko-KR"/>
        </w:rPr>
      </w:pPr>
      <w:r w:rsidRPr="00C537A9">
        <w:rPr>
          <w:lang w:val="es-ES" w:eastAsia="ko-KR"/>
        </w:rPr>
        <w:t>14.4</w:t>
      </w:r>
      <w:r w:rsidRPr="00C537A9">
        <w:rPr>
          <w:lang w:val="es-ES" w:eastAsia="ko-KR"/>
        </w:rPr>
        <w:tab/>
        <w:t>En la 22</w:t>
      </w:r>
      <w:r w:rsidR="0053224A">
        <w:rPr>
          <w:lang w:val="es-ES" w:eastAsia="ko-KR"/>
        </w:rPr>
        <w:t>.</w:t>
      </w:r>
      <w:r w:rsidRPr="00C537A9">
        <w:rPr>
          <w:lang w:val="es-ES" w:eastAsia="ko-KR"/>
        </w:rPr>
        <w:t xml:space="preserve">ª reunión, la Secretaría presentó el Documento </w:t>
      </w:r>
      <w:hyperlink r:id="rId142" w:history="1">
        <w:proofErr w:type="spellStart"/>
        <w:r w:rsidRPr="00C537A9">
          <w:rPr>
            <w:rStyle w:val="Hyperlink"/>
            <w:rFonts w:cs="Calibri"/>
            <w:lang w:val="es-ES" w:eastAsia="ko-KR"/>
          </w:rPr>
          <w:t>CWG</w:t>
        </w:r>
        <w:proofErr w:type="spellEnd"/>
        <w:r w:rsidRPr="00C537A9">
          <w:rPr>
            <w:rStyle w:val="Hyperlink"/>
            <w:rFonts w:cs="Calibri"/>
            <w:lang w:val="es-ES" w:eastAsia="ko-KR"/>
          </w:rPr>
          <w:t>-</w:t>
        </w:r>
        <w:proofErr w:type="spellStart"/>
        <w:r w:rsidRPr="00C537A9">
          <w:rPr>
            <w:rStyle w:val="Hyperlink"/>
            <w:rFonts w:cs="Calibri"/>
            <w:lang w:val="es-ES" w:eastAsia="ko-KR"/>
          </w:rPr>
          <w:t>FHR</w:t>
        </w:r>
        <w:proofErr w:type="spellEnd"/>
        <w:r w:rsidRPr="00C537A9">
          <w:rPr>
            <w:rStyle w:val="Hyperlink"/>
            <w:rFonts w:cs="Calibri"/>
            <w:lang w:val="es-ES" w:eastAsia="ko-KR"/>
          </w:rPr>
          <w:t>-22/INF/2</w:t>
        </w:r>
      </w:hyperlink>
      <w:r w:rsidRPr="00C537A9">
        <w:rPr>
          <w:lang w:val="es-ES" w:eastAsia="ko-KR"/>
        </w:rPr>
        <w:t xml:space="preserve">, con información detallada sobre los resultados de la carta circular en la que se pide a los Estados Miembros que comuniquen qué clase contributiva prefieren en principio de conformidad con la Decisión 5 (Rev. Bucarest, 2022). Hasta la fecha se habían recibido 38 respuestas, y solo dos Estados Miembros han solicitado cambios. Con esa información, la Secretaría preparará un </w:t>
      </w:r>
      <w:r w:rsidRPr="00C537A9">
        <w:rPr>
          <w:lang w:val="es-ES" w:eastAsia="ko-KR"/>
        </w:rPr>
        <w:lastRenderedPageBreak/>
        <w:t>proyecto de Plan Financiero para 2028-2031 que se presentará a la reunión conjunta del GTC</w:t>
      </w:r>
      <w:r w:rsidR="0053224A">
        <w:rPr>
          <w:lang w:val="es-ES" w:eastAsia="ko-KR"/>
        </w:rPr>
        <w:noBreakHyphen/>
      </w:r>
      <w:r w:rsidRPr="00C537A9">
        <w:rPr>
          <w:lang w:val="es-ES" w:eastAsia="ko-KR"/>
        </w:rPr>
        <w:t>RHF y el Grupo de Trabajo del Consejo sobre los Planes Estratégico y Financiero para 2028-2031 (</w:t>
      </w:r>
      <w:proofErr w:type="spellStart"/>
      <w:r w:rsidRPr="00C537A9">
        <w:rPr>
          <w:lang w:val="es-ES" w:eastAsia="ko-KR"/>
        </w:rPr>
        <w:t>GTC-PEF</w:t>
      </w:r>
      <w:proofErr w:type="spellEnd"/>
      <w:r w:rsidRPr="00C537A9">
        <w:rPr>
          <w:lang w:val="es-ES" w:eastAsia="ko-KR"/>
        </w:rPr>
        <w:t xml:space="preserve">), antes del Consejo de 2026. La Secretaría también presentó una metodología revisada con tres factores: ajuste por inflación, conexión con las mejoras de rendimiento y armonización con los costos de los nuevos mandatos aprobados por los Estados Miembros. La Secretaría afirmó que no proponía cambiar la unidad contributiva de inmediato, sino que buscaba proporcionar un marco estructurado para apoyar los debates y las decisiones futuras en la Conferencia de Plenipotenciarios de 2030. </w:t>
      </w:r>
      <w:hyperlink r:id="rId143" w:history="1"/>
    </w:p>
    <w:p w14:paraId="2CEBAA6D" w14:textId="77777777" w:rsidR="00CD4FF2" w:rsidRPr="00C537A9" w:rsidRDefault="00CD4FF2" w:rsidP="00973B55">
      <w:pPr>
        <w:jc w:val="both"/>
        <w:rPr>
          <w:rFonts w:cs="Calibri"/>
          <w:lang w:val="es-ES" w:eastAsia="ko-KR"/>
        </w:rPr>
      </w:pPr>
      <w:r w:rsidRPr="00C537A9">
        <w:rPr>
          <w:lang w:val="es-ES" w:eastAsia="ko-KR"/>
        </w:rPr>
        <w:t>14.5</w:t>
      </w:r>
      <w:r w:rsidRPr="00C537A9">
        <w:rPr>
          <w:lang w:val="es-ES" w:eastAsia="ko-KR"/>
        </w:rPr>
        <w:tab/>
        <w:t xml:space="preserve">Los delegados confirmaron que los tres factores propuestos constituían un buen punto de partida para el debate y solicitaron que se examinara detenidamente cómo podría repercutir en los Estados Miembros el aumento de los costes de las unidades contributivas. Varios delegados sugirieron que también se tuvieran en cuenta factores externos, como las fluctuaciones del tipo de cambio y la puntuación de los Estados Miembros en el índice de desarrollo humano. Los delegados también instaron a la UIT a centrarse más en trabajar en el marco de sus recursos existentes y a estudiar las repercusiones de la recuperación de costes. Antes de que la Presidenta concluyera este punto del orden del día, la Secretaria General declaró que la UIT desearía que los Estados Miembros consideraran la posibilidad de aumentar su número de unidades contributivas o, al menos, de mantener su contribución actual. </w:t>
      </w:r>
    </w:p>
    <w:p w14:paraId="67F5D975" w14:textId="4C889353" w:rsidR="00CD4FF2" w:rsidRPr="00C537A9" w:rsidRDefault="00CD4FF2" w:rsidP="000C7392">
      <w:pPr>
        <w:pStyle w:val="Heading1"/>
        <w:rPr>
          <w:lang w:val="es-ES" w:eastAsia="ko-KR"/>
        </w:rPr>
      </w:pPr>
      <w:r w:rsidRPr="00C537A9">
        <w:rPr>
          <w:bCs/>
          <w:lang w:val="es-ES" w:eastAsia="ko-KR"/>
        </w:rPr>
        <w:t>15</w:t>
      </w:r>
      <w:r w:rsidRPr="00C537A9">
        <w:rPr>
          <w:lang w:val="es-ES" w:eastAsia="ko-KR"/>
        </w:rPr>
        <w:tab/>
      </w:r>
      <w:r w:rsidRPr="00C537A9">
        <w:rPr>
          <w:bCs/>
          <w:lang w:val="es-ES" w:eastAsia="ko-KR"/>
        </w:rPr>
        <w:t>Participación de la Dependencia Común de Inspección en las reuniones del Consejo de la UIT (</w:t>
      </w:r>
      <w:r w:rsidRPr="00C537A9">
        <w:rPr>
          <w:lang w:val="es-ES" w:eastAsia="ko-KR"/>
        </w:rPr>
        <w:t xml:space="preserve">Documentos </w:t>
      </w:r>
      <w:hyperlink r:id="rId144"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-21/19</w:t>
        </w:r>
      </w:hyperlink>
      <w:r w:rsidRPr="00C537A9">
        <w:rPr>
          <w:lang w:val="es-ES" w:eastAsia="ko-KR"/>
        </w:rPr>
        <w:t xml:space="preserve"> y </w:t>
      </w:r>
      <w:hyperlink r:id="rId145"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-22/11</w:t>
        </w:r>
      </w:hyperlink>
      <w:r w:rsidRPr="00C537A9">
        <w:rPr>
          <w:bCs/>
          <w:lang w:val="es-ES" w:eastAsia="ko-KR"/>
        </w:rPr>
        <w:t>)</w:t>
      </w:r>
      <w:hyperlink r:id="rId146" w:history="1"/>
      <w:hyperlink r:id="rId147" w:history="1"/>
    </w:p>
    <w:p w14:paraId="5DA450BE" w14:textId="2E88BDCE" w:rsidR="00CD4FF2" w:rsidRPr="00C537A9" w:rsidRDefault="00CD4FF2" w:rsidP="00973B55">
      <w:pPr>
        <w:jc w:val="both"/>
        <w:rPr>
          <w:rFonts w:cs="Calibri"/>
          <w:lang w:val="es-ES" w:eastAsia="ko-KR"/>
        </w:rPr>
      </w:pPr>
      <w:r w:rsidRPr="00C537A9">
        <w:rPr>
          <w:lang w:val="es-ES" w:eastAsia="ko-KR"/>
        </w:rPr>
        <w:t>15.1</w:t>
      </w:r>
      <w:r w:rsidRPr="00C537A9">
        <w:rPr>
          <w:lang w:val="es-ES" w:eastAsia="ko-KR"/>
        </w:rPr>
        <w:tab/>
        <w:t>En la 21</w:t>
      </w:r>
      <w:r w:rsidR="0053224A">
        <w:rPr>
          <w:lang w:val="es-ES" w:eastAsia="ko-KR"/>
        </w:rPr>
        <w:t>.</w:t>
      </w:r>
      <w:r w:rsidRPr="00C537A9">
        <w:rPr>
          <w:lang w:val="es-ES" w:eastAsia="ko-KR"/>
        </w:rPr>
        <w:t>ª reunión, la Federación de Rusia presentó una contribución en la que expresaba su interés por invitar a la DCI a las reuniones del Consejo cuando se debatieran los informes de la Dependencia. En la contribución se indicaba que se trata de una práctica generalizada entre los organismos especializados del sistema de las Naciones Unidas con sede en Ginebra.</w:t>
      </w:r>
    </w:p>
    <w:p w14:paraId="03BA70CE" w14:textId="7AD7E906" w:rsidR="00CD4FF2" w:rsidRPr="00C537A9" w:rsidRDefault="00CD4FF2" w:rsidP="00973B55">
      <w:pPr>
        <w:jc w:val="both"/>
        <w:rPr>
          <w:rFonts w:cs="Calibri"/>
          <w:lang w:val="es-ES" w:eastAsia="ko-KR"/>
        </w:rPr>
      </w:pPr>
      <w:r w:rsidRPr="00C537A9">
        <w:rPr>
          <w:lang w:val="es-ES" w:eastAsia="ko-KR"/>
        </w:rPr>
        <w:t>15.2</w:t>
      </w:r>
      <w:r w:rsidRPr="00C537A9">
        <w:rPr>
          <w:lang w:val="es-ES" w:eastAsia="ko-KR"/>
        </w:rPr>
        <w:tab/>
        <w:t xml:space="preserve">Los delegados apoyaron ampliamente la propuesta de la Federación de Rusia de invitar a la DCI a participar en las reuniones del Consejo, y señalaron que la participación de la DCI podría mejorar la transparencia, la rendición de cuentas y la toma de decisiones dentro de la UIT. Unos pocos delegados pidieron aclaraciones sobre el alcance de la propuesta de participación de la DCI y si se </w:t>
      </w:r>
      <w:r w:rsidR="0053224A">
        <w:rPr>
          <w:lang w:val="es-ES" w:eastAsia="ko-KR"/>
        </w:rPr>
        <w:t xml:space="preserve">le </w:t>
      </w:r>
      <w:proofErr w:type="gramStart"/>
      <w:r w:rsidRPr="00C537A9">
        <w:rPr>
          <w:lang w:val="es-ES" w:eastAsia="ko-KR"/>
        </w:rPr>
        <w:t>permitiría</w:t>
      </w:r>
      <w:proofErr w:type="gramEnd"/>
      <w:r w:rsidRPr="00C537A9">
        <w:rPr>
          <w:lang w:val="es-ES" w:eastAsia="ko-KR"/>
        </w:rPr>
        <w:t xml:space="preserve"> que sus representantes intervinieran. </w:t>
      </w:r>
    </w:p>
    <w:p w14:paraId="228631E8" w14:textId="77777777" w:rsidR="00CD4FF2" w:rsidRPr="00C537A9" w:rsidRDefault="00CD4FF2" w:rsidP="00973B55">
      <w:pPr>
        <w:jc w:val="both"/>
        <w:rPr>
          <w:rFonts w:cs="Calibri"/>
          <w:lang w:val="es-ES" w:eastAsia="ko-KR"/>
        </w:rPr>
      </w:pPr>
      <w:r w:rsidRPr="00C537A9">
        <w:rPr>
          <w:lang w:val="es-ES" w:eastAsia="ko-KR"/>
        </w:rPr>
        <w:t>15.3</w:t>
      </w:r>
      <w:r w:rsidRPr="00C537A9">
        <w:rPr>
          <w:lang w:val="es-ES" w:eastAsia="ko-KR"/>
        </w:rPr>
        <w:tab/>
        <w:t xml:space="preserve">La Presidenta del GTC-RHF tomó nota del consenso general para invitar a la DCI a participar en las reuniones del Consejo; sin embargo, antes de tomar una decisión, la Presidenta invitó a la Secretaría a responder a las preguntas de los delegados. </w:t>
      </w:r>
    </w:p>
    <w:p w14:paraId="1135450F" w14:textId="48137581" w:rsidR="00CD4FF2" w:rsidRPr="00C537A9" w:rsidRDefault="00CD4FF2" w:rsidP="00973B55">
      <w:pPr>
        <w:jc w:val="both"/>
        <w:rPr>
          <w:rFonts w:cs="Calibri"/>
          <w:spacing w:val="-2"/>
          <w:lang w:val="es-ES" w:eastAsia="ko-KR"/>
        </w:rPr>
      </w:pPr>
      <w:r w:rsidRPr="00C537A9">
        <w:rPr>
          <w:lang w:val="es-ES" w:eastAsia="ko-KR"/>
        </w:rPr>
        <w:t>15.4</w:t>
      </w:r>
      <w:r w:rsidRPr="00C537A9">
        <w:rPr>
          <w:lang w:val="es-ES" w:eastAsia="ko-KR"/>
        </w:rPr>
        <w:tab/>
        <w:t>En la 22</w:t>
      </w:r>
      <w:r w:rsidR="0053224A">
        <w:rPr>
          <w:lang w:val="es-ES" w:eastAsia="ko-KR"/>
        </w:rPr>
        <w:t>.</w:t>
      </w:r>
      <w:r w:rsidRPr="00C537A9">
        <w:rPr>
          <w:lang w:val="es-ES" w:eastAsia="ko-KR"/>
        </w:rPr>
        <w:t xml:space="preserve">ª reunión, la Secretaría recomendó al Consejo encargar a la Secretaria General que invitara a la DCI a participar en las futuras reuniones del Consejo de la UIT en calidad de observador con carácter consultivo, limitándose únicamente a los puntos del orden del día conexos y sin apoyo financiero de la UIT. </w:t>
      </w:r>
    </w:p>
    <w:p w14:paraId="43A717A2" w14:textId="77777777" w:rsidR="00CD4FF2" w:rsidRPr="00C537A9" w:rsidRDefault="00CD4FF2" w:rsidP="00973B55">
      <w:pPr>
        <w:pBdr>
          <w:top w:val="single" w:sz="4" w:space="1" w:color="auto"/>
          <w:left w:val="single" w:sz="4" w:space="4" w:color="auto"/>
          <w:bottom w:val="single" w:sz="4" w:space="1" w:color="auto"/>
          <w:right w:val="single" w:sz="4" w:space="4" w:color="auto"/>
        </w:pBdr>
        <w:jc w:val="both"/>
        <w:rPr>
          <w:rFonts w:cs="Calibri"/>
          <w:lang w:val="es-ES" w:eastAsia="ko-KR"/>
        </w:rPr>
      </w:pPr>
      <w:r w:rsidRPr="00C537A9">
        <w:rPr>
          <w:lang w:val="es-ES" w:eastAsia="ko-KR"/>
        </w:rPr>
        <w:t>15.5</w:t>
      </w:r>
      <w:r w:rsidRPr="00C537A9">
        <w:rPr>
          <w:lang w:val="es-ES" w:eastAsia="ko-KR"/>
        </w:rPr>
        <w:tab/>
        <w:t xml:space="preserve">El GTC-RHF </w:t>
      </w:r>
      <w:r w:rsidRPr="00C537A9">
        <w:rPr>
          <w:b/>
          <w:bCs/>
          <w:lang w:val="es-ES" w:eastAsia="ko-KR"/>
        </w:rPr>
        <w:t xml:space="preserve">comunicará </w:t>
      </w:r>
      <w:r w:rsidRPr="00C537A9">
        <w:rPr>
          <w:lang w:val="es-ES" w:eastAsia="ko-KR"/>
        </w:rPr>
        <w:t xml:space="preserve">al Consejo de 2026 que no parece haber inconveniente en invitar a la DCI al Consejo. </w:t>
      </w:r>
    </w:p>
    <w:p w14:paraId="7C426AC1" w14:textId="77777777" w:rsidR="00CD4FF2" w:rsidRPr="00C537A9" w:rsidRDefault="00CD4FF2" w:rsidP="000C7392">
      <w:pPr>
        <w:pStyle w:val="Heading1"/>
        <w:rPr>
          <w:lang w:val="es-ES" w:eastAsia="ko-KR"/>
        </w:rPr>
      </w:pPr>
      <w:r w:rsidRPr="00C537A9">
        <w:rPr>
          <w:bCs/>
          <w:lang w:val="es-ES" w:eastAsia="ko-KR"/>
        </w:rPr>
        <w:lastRenderedPageBreak/>
        <w:t>16</w:t>
      </w:r>
      <w:r w:rsidRPr="00C537A9">
        <w:rPr>
          <w:lang w:val="es-ES" w:eastAsia="ko-KR"/>
        </w:rPr>
        <w:tab/>
      </w:r>
      <w:r w:rsidRPr="00C537A9">
        <w:rPr>
          <w:bCs/>
          <w:lang w:val="es-ES" w:eastAsia="ko-KR"/>
        </w:rPr>
        <w:t>Asignación y ejecución del presupuesto</w:t>
      </w:r>
    </w:p>
    <w:p w14:paraId="1B066434" w14:textId="5F3BE931" w:rsidR="00CD4FF2" w:rsidRPr="00C537A9" w:rsidRDefault="00CD4FF2" w:rsidP="000C7392">
      <w:pPr>
        <w:pStyle w:val="Headingb"/>
        <w:rPr>
          <w:lang w:val="es-ES" w:eastAsia="ko-KR"/>
        </w:rPr>
      </w:pPr>
      <w:r w:rsidRPr="00C537A9">
        <w:rPr>
          <w:bCs/>
          <w:lang w:val="es-ES" w:eastAsia="ko-KR"/>
        </w:rPr>
        <w:t>Contribución de la República Popular de China – Recomendaciones sobre el aumento de la eficacia en la ejecución del presupuesto de la Unión y la racionalización de los gastos (Documento</w:t>
      </w:r>
      <w:r w:rsidRPr="00C537A9">
        <w:rPr>
          <w:lang w:val="es-ES" w:eastAsia="ko-KR"/>
        </w:rPr>
        <w:t xml:space="preserve"> </w:t>
      </w:r>
      <w:hyperlink r:id="rId148"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-21/16</w:t>
        </w:r>
      </w:hyperlink>
      <w:r w:rsidRPr="00C537A9">
        <w:rPr>
          <w:bCs/>
          <w:lang w:val="es-ES" w:eastAsia="ko-KR"/>
        </w:rPr>
        <w:t>)</w:t>
      </w:r>
      <w:hyperlink r:id="rId149" w:history="1"/>
    </w:p>
    <w:p w14:paraId="5F3EDC8E" w14:textId="35AE75FB" w:rsidR="00CD4FF2" w:rsidRPr="00C537A9" w:rsidRDefault="00CD4FF2" w:rsidP="00973B55">
      <w:pPr>
        <w:jc w:val="both"/>
        <w:rPr>
          <w:lang w:val="es-ES" w:eastAsia="ko-KR"/>
        </w:rPr>
      </w:pPr>
      <w:r w:rsidRPr="00C537A9">
        <w:rPr>
          <w:lang w:val="es-ES" w:eastAsia="ko-KR"/>
        </w:rPr>
        <w:t>16.1</w:t>
      </w:r>
      <w:r w:rsidRPr="00C537A9">
        <w:rPr>
          <w:lang w:val="es-ES" w:eastAsia="ko-KR"/>
        </w:rPr>
        <w:tab/>
        <w:t>Durante la 21</w:t>
      </w:r>
      <w:r w:rsidR="0053224A">
        <w:rPr>
          <w:lang w:val="es-ES" w:eastAsia="ko-KR"/>
        </w:rPr>
        <w:t>.</w:t>
      </w:r>
      <w:r w:rsidRPr="00C537A9">
        <w:rPr>
          <w:lang w:val="es-ES" w:eastAsia="ko-KR"/>
        </w:rPr>
        <w:t>ª reunión del GTC-RHF, China presentó su contribución, Documento</w:t>
      </w:r>
      <w:r w:rsidR="00E50870">
        <w:rPr>
          <w:lang w:val="es-ES" w:eastAsia="ko-KR"/>
        </w:rPr>
        <w:t> </w:t>
      </w:r>
      <w:proofErr w:type="spellStart"/>
      <w:r>
        <w:fldChar w:fldCharType="begin"/>
      </w:r>
      <w:r w:rsidRPr="00984FD9">
        <w:rPr>
          <w:lang w:val="es-ES"/>
        </w:rPr>
        <w:instrText>HYPERLINK "https://www.itu.int/md/S25-CWGFHR21-C-0016/es"</w:instrText>
      </w:r>
      <w:r>
        <w:fldChar w:fldCharType="separate"/>
      </w:r>
      <w:r w:rsidRPr="00C537A9">
        <w:rPr>
          <w:rStyle w:val="Hyperlink"/>
          <w:lang w:val="es-ES" w:eastAsia="ko-KR"/>
        </w:rPr>
        <w:t>CWG</w:t>
      </w:r>
      <w:proofErr w:type="spellEnd"/>
      <w:r w:rsidR="0053224A">
        <w:rPr>
          <w:rStyle w:val="Hyperlink"/>
          <w:lang w:val="es-ES" w:eastAsia="ko-KR"/>
        </w:rPr>
        <w:noBreakHyphen/>
      </w:r>
      <w:proofErr w:type="spellStart"/>
      <w:r w:rsidRPr="00C537A9">
        <w:rPr>
          <w:rStyle w:val="Hyperlink"/>
          <w:lang w:val="es-ES" w:eastAsia="ko-KR"/>
        </w:rPr>
        <w:t>FHR</w:t>
      </w:r>
      <w:proofErr w:type="spellEnd"/>
      <w:r w:rsidRPr="00C537A9">
        <w:rPr>
          <w:rStyle w:val="Hyperlink"/>
          <w:lang w:val="es-ES" w:eastAsia="ko-KR"/>
        </w:rPr>
        <w:t>-2</w:t>
      </w:r>
      <w:r w:rsidR="000C7392">
        <w:rPr>
          <w:rStyle w:val="Hyperlink"/>
          <w:lang w:val="es-ES" w:eastAsia="ko-KR"/>
        </w:rPr>
        <w:t>1</w:t>
      </w:r>
      <w:r w:rsidRPr="00C537A9">
        <w:rPr>
          <w:rStyle w:val="Hyperlink"/>
          <w:lang w:val="es-ES" w:eastAsia="ko-KR"/>
        </w:rPr>
        <w:t>/16</w:t>
      </w:r>
      <w:r>
        <w:fldChar w:fldCharType="end"/>
      </w:r>
      <w:r w:rsidRPr="00C537A9">
        <w:rPr>
          <w:lang w:val="es-ES" w:eastAsia="ko-KR"/>
        </w:rPr>
        <w:t xml:space="preserve">, con recomendaciones para mejorar la eficiencia en la ejecución del presupuesto de la UIT. Entre otras cosas, se recomendaba establecer una lista de prioridades basada en las responsabilidades básicas, las metas estratégicas y los requisitos presupuestarios; y convocar un equipo de evaluación conjunto integrado por el CAIG y el </w:t>
      </w:r>
      <w:proofErr w:type="spellStart"/>
      <w:r w:rsidRPr="00C537A9">
        <w:rPr>
          <w:lang w:val="es-ES" w:eastAsia="ko-KR"/>
        </w:rPr>
        <w:t>GCIS</w:t>
      </w:r>
      <w:proofErr w:type="spellEnd"/>
      <w:r w:rsidRPr="00C537A9">
        <w:rPr>
          <w:lang w:val="es-ES" w:eastAsia="ko-KR"/>
        </w:rPr>
        <w:t xml:space="preserve"> para elaborar un mecanismo de evaluación de la eficacia y eficiencia de las medidas y realizar un examen exhaustivo de la necesidad y racionalidad de los gastos pertinentes en toda la Unión. Varios delegados apoyaron la propuesta de China, pero se mostraron preocupados por la posibilidad de que estas propuestas creen una capa adicional de burocracia, procesos y costos sin un beneficio claro. La Presidenta encargó a la Secretaría que, antes de la reunión del GTC-RHF de enero de 2026, examinara los planes operacionales y la ejecución estratégica del Documento </w:t>
      </w:r>
      <w:hyperlink r:id="rId150" w:history="1">
        <w:proofErr w:type="spellStart"/>
        <w:r w:rsidRPr="00C537A9">
          <w:rPr>
            <w:rStyle w:val="Hyperlink"/>
            <w:lang w:val="es-ES" w:eastAsia="ko-KR"/>
          </w:rPr>
          <w:t>C25</w:t>
        </w:r>
        <w:proofErr w:type="spellEnd"/>
        <w:r w:rsidRPr="00C537A9">
          <w:rPr>
            <w:rStyle w:val="Hyperlink"/>
            <w:lang w:val="es-ES" w:eastAsia="ko-KR"/>
          </w:rPr>
          <w:t>/35</w:t>
        </w:r>
      </w:hyperlink>
      <w:r w:rsidRPr="00C537A9">
        <w:rPr>
          <w:lang w:val="es-ES" w:eastAsia="ko-KR"/>
        </w:rPr>
        <w:t xml:space="preserve"> del Consejo para abordar la Propuesta 1 y realizara un ejercicio de correspondencia de los informes existentes para abordar la Propuesta 2.</w:t>
      </w:r>
      <w:hyperlink r:id="rId151" w:history="1"/>
      <w:hyperlink r:id="rId152" w:history="1"/>
    </w:p>
    <w:p w14:paraId="09A0203C" w14:textId="2256CBEA" w:rsidR="00CD4FF2" w:rsidRPr="00C537A9" w:rsidRDefault="00CD4FF2" w:rsidP="00973B55">
      <w:pPr>
        <w:pStyle w:val="Headingb"/>
        <w:jc w:val="both"/>
        <w:rPr>
          <w:lang w:val="es-ES" w:eastAsia="ko-KR"/>
        </w:rPr>
      </w:pPr>
      <w:r w:rsidRPr="00C537A9">
        <w:rPr>
          <w:bCs/>
          <w:lang w:val="es-ES" w:eastAsia="ko-KR"/>
        </w:rPr>
        <w:t xml:space="preserve">Contribución de los Estados Unidos de América – Fortalecimiento de la gestión financiera basada en los resultados en la UIT (Documento </w:t>
      </w:r>
      <w:hyperlink r:id="rId153"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-21/22</w:t>
        </w:r>
      </w:hyperlink>
      <w:r w:rsidRPr="00C537A9">
        <w:rPr>
          <w:bCs/>
          <w:lang w:val="es-ES" w:eastAsia="ko-KR"/>
        </w:rPr>
        <w:t>)</w:t>
      </w:r>
      <w:hyperlink r:id="rId154" w:history="1"/>
    </w:p>
    <w:p w14:paraId="5F015FCF" w14:textId="684BF690" w:rsidR="00CD4FF2" w:rsidRPr="00662DED" w:rsidRDefault="00CD4FF2" w:rsidP="00973B55">
      <w:pPr>
        <w:jc w:val="both"/>
        <w:rPr>
          <w:spacing w:val="-2"/>
          <w:lang w:val="es-ES" w:eastAsia="ko-KR"/>
        </w:rPr>
      </w:pPr>
      <w:r w:rsidRPr="00662DED">
        <w:rPr>
          <w:spacing w:val="-2"/>
          <w:lang w:val="es-ES" w:eastAsia="ko-KR"/>
        </w:rPr>
        <w:t>16.2</w:t>
      </w:r>
      <w:r w:rsidRPr="00662DED">
        <w:rPr>
          <w:spacing w:val="-2"/>
          <w:lang w:val="es-ES" w:eastAsia="ko-KR"/>
        </w:rPr>
        <w:tab/>
        <w:t xml:space="preserve">Los Estados Unidos presentaron el Documento </w:t>
      </w:r>
      <w:hyperlink r:id="rId155" w:history="1">
        <w:proofErr w:type="spellStart"/>
        <w:r w:rsidRPr="00662DED">
          <w:rPr>
            <w:rStyle w:val="Hyperlink"/>
            <w:spacing w:val="-2"/>
            <w:lang w:val="es-ES" w:eastAsia="ko-KR"/>
          </w:rPr>
          <w:t>CWG</w:t>
        </w:r>
        <w:proofErr w:type="spellEnd"/>
        <w:r w:rsidRPr="00662DED">
          <w:rPr>
            <w:rStyle w:val="Hyperlink"/>
            <w:spacing w:val="-2"/>
            <w:lang w:val="es-ES" w:eastAsia="ko-KR"/>
          </w:rPr>
          <w:t>-</w:t>
        </w:r>
        <w:proofErr w:type="spellStart"/>
        <w:r w:rsidRPr="00662DED">
          <w:rPr>
            <w:rStyle w:val="Hyperlink"/>
            <w:spacing w:val="-2"/>
            <w:lang w:val="es-ES" w:eastAsia="ko-KR"/>
          </w:rPr>
          <w:t>FHR</w:t>
        </w:r>
        <w:proofErr w:type="spellEnd"/>
        <w:r w:rsidRPr="00662DED">
          <w:rPr>
            <w:rStyle w:val="Hyperlink"/>
            <w:spacing w:val="-2"/>
            <w:lang w:val="es-ES" w:eastAsia="ko-KR"/>
          </w:rPr>
          <w:t>-21/22</w:t>
        </w:r>
      </w:hyperlink>
      <w:r w:rsidRPr="00662DED">
        <w:rPr>
          <w:spacing w:val="-2"/>
          <w:lang w:val="es-ES" w:eastAsia="ko-KR"/>
        </w:rPr>
        <w:t>, cuyo objetivo es mejorar las herramientas de gestión basada en los resultados en la UIT, solicitando para ello al GTC-RHF que desarrolle procesos para garantizar que todas las actividades propuestas por la UIT en apoyo del Plan Estratégico de la UIT fomentan la transparencia y la rendición de cuentas y cumplen los objetivos de gestión basada en los resultados de la Resolución 151</w:t>
      </w:r>
      <w:r w:rsidR="0053224A" w:rsidRPr="00662DED">
        <w:rPr>
          <w:spacing w:val="-2"/>
          <w:lang w:val="es-ES" w:eastAsia="ko-KR"/>
        </w:rPr>
        <w:t> </w:t>
      </w:r>
      <w:r w:rsidRPr="00662DED">
        <w:rPr>
          <w:spacing w:val="-2"/>
          <w:lang w:val="es-ES" w:eastAsia="ko-KR"/>
        </w:rPr>
        <w:t>(Rev.</w:t>
      </w:r>
      <w:r w:rsidR="0053224A" w:rsidRPr="00662DED">
        <w:rPr>
          <w:spacing w:val="-2"/>
          <w:lang w:val="es-ES" w:eastAsia="ko-KR"/>
        </w:rPr>
        <w:t> </w:t>
      </w:r>
      <w:r w:rsidRPr="00662DED">
        <w:rPr>
          <w:spacing w:val="-2"/>
          <w:lang w:val="es-ES" w:eastAsia="ko-KR"/>
        </w:rPr>
        <w:t>Bucarest,</w:t>
      </w:r>
      <w:r w:rsidR="00662DED">
        <w:rPr>
          <w:spacing w:val="-2"/>
          <w:lang w:val="es-ES" w:eastAsia="ko-KR"/>
        </w:rPr>
        <w:t> </w:t>
      </w:r>
      <w:r w:rsidRPr="00662DED">
        <w:rPr>
          <w:spacing w:val="-2"/>
          <w:lang w:val="es-ES" w:eastAsia="ko-KR"/>
        </w:rPr>
        <w:t xml:space="preserve">2022). Los delegados respaldaron la necesidad de transparencia y de armonización de las actividades en el marco de la gestión basada en los resultados y recomendaron abordar esta propuesta de manera similar a la propuesta anterior de la República Popular de China (Documento </w:t>
      </w:r>
      <w:hyperlink r:id="rId156" w:history="1">
        <w:proofErr w:type="spellStart"/>
        <w:r w:rsidRPr="00662DED">
          <w:rPr>
            <w:rStyle w:val="Hyperlink"/>
            <w:spacing w:val="-2"/>
            <w:lang w:val="es-ES" w:eastAsia="ko-KR"/>
          </w:rPr>
          <w:t>CWG</w:t>
        </w:r>
        <w:proofErr w:type="spellEnd"/>
        <w:r w:rsidRPr="00662DED">
          <w:rPr>
            <w:rStyle w:val="Hyperlink"/>
            <w:spacing w:val="-2"/>
            <w:lang w:val="es-ES" w:eastAsia="ko-KR"/>
          </w:rPr>
          <w:t>-</w:t>
        </w:r>
        <w:proofErr w:type="spellStart"/>
        <w:r w:rsidRPr="00662DED">
          <w:rPr>
            <w:rStyle w:val="Hyperlink"/>
            <w:spacing w:val="-2"/>
            <w:lang w:val="es-ES" w:eastAsia="ko-KR"/>
          </w:rPr>
          <w:t>FHR</w:t>
        </w:r>
        <w:proofErr w:type="spellEnd"/>
        <w:r w:rsidRPr="00662DED">
          <w:rPr>
            <w:rStyle w:val="Hyperlink"/>
            <w:spacing w:val="-2"/>
            <w:lang w:val="es-ES" w:eastAsia="ko-KR"/>
          </w:rPr>
          <w:t>-21/16</w:t>
        </w:r>
      </w:hyperlink>
      <w:r w:rsidRPr="00662DED">
        <w:rPr>
          <w:spacing w:val="-2"/>
          <w:lang w:val="es-ES" w:eastAsia="ko-KR"/>
        </w:rPr>
        <w:t>). La Presidenta estuvo de acuerdo y encargó a la Secretaría que examinara la propuesta de conformidad con el Documento</w:t>
      </w:r>
      <w:r w:rsidR="00662DED" w:rsidRPr="00662DED">
        <w:rPr>
          <w:spacing w:val="-2"/>
          <w:lang w:val="es-ES" w:eastAsia="ko-KR"/>
        </w:rPr>
        <w:t> </w:t>
      </w:r>
      <w:proofErr w:type="spellStart"/>
      <w:r w:rsidRPr="00662DED">
        <w:rPr>
          <w:spacing w:val="-2"/>
        </w:rPr>
        <w:fldChar w:fldCharType="begin"/>
      </w:r>
      <w:r w:rsidRPr="00662DED">
        <w:rPr>
          <w:spacing w:val="-2"/>
          <w:lang w:val="es-ES"/>
        </w:rPr>
        <w:instrText>HYPERLINK "https://www.itu.int/md/S25-CL-C-0035/es"</w:instrText>
      </w:r>
      <w:r w:rsidRPr="00662DED">
        <w:rPr>
          <w:spacing w:val="-2"/>
        </w:rPr>
      </w:r>
      <w:r w:rsidRPr="00662DED">
        <w:rPr>
          <w:spacing w:val="-2"/>
        </w:rPr>
        <w:fldChar w:fldCharType="separate"/>
      </w:r>
      <w:r w:rsidRPr="00662DED">
        <w:rPr>
          <w:rStyle w:val="Hyperlink"/>
          <w:spacing w:val="-2"/>
          <w:lang w:val="es-ES" w:eastAsia="ko-KR"/>
        </w:rPr>
        <w:t>C25</w:t>
      </w:r>
      <w:proofErr w:type="spellEnd"/>
      <w:r w:rsidRPr="00662DED">
        <w:rPr>
          <w:rStyle w:val="Hyperlink"/>
          <w:spacing w:val="-2"/>
          <w:lang w:val="es-ES" w:eastAsia="ko-KR"/>
        </w:rPr>
        <w:t>/35</w:t>
      </w:r>
      <w:r w:rsidRPr="00662DED">
        <w:rPr>
          <w:spacing w:val="-2"/>
        </w:rPr>
        <w:fldChar w:fldCharType="end"/>
      </w:r>
      <w:r w:rsidRPr="00662DED">
        <w:rPr>
          <w:spacing w:val="-2"/>
          <w:lang w:val="es-ES" w:eastAsia="ko-KR"/>
        </w:rPr>
        <w:t xml:space="preserve"> del Consejo y que realizara el ejercicio de correspondencia de los informes existentes.</w:t>
      </w:r>
      <w:hyperlink r:id="rId157" w:history="1"/>
      <w:hyperlink r:id="rId158" w:history="1"/>
      <w:hyperlink r:id="rId159" w:history="1"/>
    </w:p>
    <w:p w14:paraId="52C56303" w14:textId="0BC33CA0" w:rsidR="00CD4FF2" w:rsidRPr="00C537A9" w:rsidRDefault="00CD4FF2" w:rsidP="00973B55">
      <w:pPr>
        <w:pStyle w:val="Headingb"/>
        <w:jc w:val="both"/>
        <w:rPr>
          <w:lang w:val="es-ES" w:eastAsia="ko-KR"/>
        </w:rPr>
      </w:pPr>
      <w:r w:rsidRPr="00C537A9">
        <w:rPr>
          <w:bCs/>
          <w:lang w:val="es-ES" w:eastAsia="ko-KR"/>
        </w:rPr>
        <w:t xml:space="preserve">Asuntos presupuestarios: Asignación de los ahorros de 2025, Informe sobre la reducción global del presupuesto para 2026-2027 (Documento </w:t>
      </w:r>
      <w:hyperlink r:id="rId160"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-22/21</w:t>
        </w:r>
      </w:hyperlink>
      <w:r w:rsidRPr="00C537A9">
        <w:rPr>
          <w:bCs/>
          <w:lang w:val="es-ES" w:eastAsia="ko-KR"/>
        </w:rPr>
        <w:t>)</w:t>
      </w:r>
      <w:hyperlink r:id="rId161" w:history="1"/>
    </w:p>
    <w:p w14:paraId="7974499F" w14:textId="3705DE9A" w:rsidR="00CD4FF2" w:rsidRPr="00C537A9" w:rsidRDefault="00CD4FF2" w:rsidP="00973B55">
      <w:pPr>
        <w:jc w:val="both"/>
        <w:rPr>
          <w:lang w:val="es-ES" w:eastAsia="ko-KR"/>
        </w:rPr>
      </w:pPr>
      <w:r w:rsidRPr="00C537A9">
        <w:rPr>
          <w:lang w:val="es-ES" w:eastAsia="ko-KR"/>
        </w:rPr>
        <w:t>16.3</w:t>
      </w:r>
      <w:r w:rsidRPr="00C537A9">
        <w:rPr>
          <w:lang w:val="es-ES" w:eastAsia="ko-KR"/>
        </w:rPr>
        <w:tab/>
        <w:t>En la 22</w:t>
      </w:r>
      <w:r w:rsidR="00416C64">
        <w:rPr>
          <w:lang w:val="es-ES" w:eastAsia="ko-KR"/>
        </w:rPr>
        <w:t>.</w:t>
      </w:r>
      <w:r w:rsidRPr="00C537A9">
        <w:rPr>
          <w:lang w:val="es-ES" w:eastAsia="ko-KR"/>
        </w:rPr>
        <w:t xml:space="preserve">ª reunión del GTC-RHF, la Secretaría presentó el Documento </w:t>
      </w:r>
      <w:hyperlink r:id="rId162"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-22/21</w:t>
        </w:r>
      </w:hyperlink>
      <w:r w:rsidRPr="00C537A9">
        <w:rPr>
          <w:lang w:val="es-ES" w:eastAsia="ko-KR"/>
        </w:rPr>
        <w:t>, que contiene información actualizada sobre tres estrategias principales que la Secretaría está adoptando para amortiguar la reducción global de 6 008 millones CHF en el presupuesto para</w:t>
      </w:r>
      <w:r w:rsidR="00662DED">
        <w:rPr>
          <w:lang w:val="es-ES" w:eastAsia="ko-KR"/>
        </w:rPr>
        <w:t> </w:t>
      </w:r>
      <w:r w:rsidRPr="00C537A9">
        <w:rPr>
          <w:lang w:val="es-ES" w:eastAsia="ko-KR"/>
        </w:rPr>
        <w:t>2026-2027. Los ahorros se lograrán mediante: 1) la reducción del número de eventos iniciados por la UIT, la consolidación de los servicios compartidos y la mejora en la coordinación de los flujos de trabajo; 2) la disminución de los gastos de viaje del personal y de las consultorías de corta duración; y 3) el aumento de la eficiencia mediante la automatización y las herramientas digitales. La ejecución de este presupuesto reducido será objeto de un seguimiento estrecho basado en procesos de planificación mejorados, exámenes mensuales del presupuesto e informes periódicos al Consejo.</w:t>
      </w:r>
      <w:hyperlink r:id="rId163"/>
    </w:p>
    <w:p w14:paraId="7D39494D" w14:textId="77777777" w:rsidR="00CD4FF2" w:rsidRPr="00C537A9" w:rsidRDefault="00CD4FF2" w:rsidP="00973B55">
      <w:pPr>
        <w:jc w:val="both"/>
        <w:rPr>
          <w:lang w:val="es-ES" w:eastAsia="ko-KR"/>
        </w:rPr>
      </w:pPr>
      <w:r w:rsidRPr="00C537A9">
        <w:rPr>
          <w:lang w:val="es-ES" w:eastAsia="ko-KR"/>
        </w:rPr>
        <w:t>16.4</w:t>
      </w:r>
      <w:r w:rsidRPr="00C537A9">
        <w:rPr>
          <w:lang w:val="es-ES" w:eastAsia="ko-KR"/>
        </w:rPr>
        <w:tab/>
        <w:t xml:space="preserve">Los delegados expresaron su preocupación por la manera en que la UIT podría mantener el impacto de sus actividades, particularmente en el Sector de Radiocomunicaciones, con </w:t>
      </w:r>
      <w:r w:rsidRPr="00C537A9">
        <w:rPr>
          <w:lang w:val="es-ES" w:eastAsia="ko-KR"/>
        </w:rPr>
        <w:lastRenderedPageBreak/>
        <w:t>estas reducciones. La Secretaría explicó que un proceso de supervisión constante de dos años con presentación periódica de informes garantizaría la fidelidad de la labor en las esferas fundamentales del mandato. Los delegados también manifestaron su incomodidad con la propuesta de utilizar la IA y su posible incidencia en la calidad de la traducción. La Secretaría aseguró que la calidad de los documentos en los seis idiomas oficiales de la Unión es una prioridad fundamental que no se verá comprometida y que toda herramienta de IA nueva será examinada minuciosamente con las aportaciones de los Miembros antes de su despliegue.</w:t>
      </w:r>
    </w:p>
    <w:p w14:paraId="19BE0895" w14:textId="77777777" w:rsidR="00CD4FF2" w:rsidRPr="00C537A9" w:rsidRDefault="00CD4FF2" w:rsidP="00973B55">
      <w:pPr>
        <w:jc w:val="both"/>
        <w:rPr>
          <w:lang w:val="es-ES" w:eastAsia="ko-KR"/>
        </w:rPr>
      </w:pPr>
      <w:r w:rsidRPr="00C537A9">
        <w:rPr>
          <w:lang w:val="es-ES" w:eastAsia="ko-KR"/>
        </w:rPr>
        <w:t>16.5</w:t>
      </w:r>
      <w:r w:rsidRPr="00C537A9">
        <w:rPr>
          <w:lang w:val="es-ES" w:eastAsia="ko-KR"/>
        </w:rPr>
        <w:tab/>
        <w:t>Los delegados pidieron aclaraciones sobre la manera en que la Secretaría está reduciendo los gastos de viaje del personal. La Secretaría declaró que está mejorando los procesos de planificación de viajes para avisar con suficiente antelación de los desplazamientos necesarios y planificar menos viajes, salvo en los casos en que sean necesarios para apoyar las funciones básicas de la UIT.</w:t>
      </w:r>
    </w:p>
    <w:p w14:paraId="2A5C0E7A" w14:textId="77777777" w:rsidR="00CD4FF2" w:rsidRPr="00C537A9" w:rsidRDefault="00CD4FF2" w:rsidP="00973B55">
      <w:pPr>
        <w:pBdr>
          <w:top w:val="single" w:sz="4" w:space="1" w:color="auto"/>
          <w:left w:val="single" w:sz="4" w:space="4" w:color="auto"/>
          <w:bottom w:val="single" w:sz="4" w:space="1" w:color="auto"/>
          <w:right w:val="single" w:sz="4" w:space="4" w:color="auto"/>
        </w:pBdr>
        <w:jc w:val="both"/>
        <w:rPr>
          <w:lang w:val="es-ES" w:eastAsia="ko-KR"/>
        </w:rPr>
      </w:pPr>
      <w:r w:rsidRPr="00C537A9">
        <w:rPr>
          <w:lang w:val="es-ES" w:eastAsia="ko-KR"/>
        </w:rPr>
        <w:t>16.6</w:t>
      </w:r>
      <w:r w:rsidRPr="00C537A9">
        <w:rPr>
          <w:lang w:val="es-ES" w:eastAsia="ko-KR"/>
        </w:rPr>
        <w:tab/>
        <w:t xml:space="preserve">El GTC-RHF </w:t>
      </w:r>
      <w:r w:rsidRPr="00C537A9">
        <w:rPr>
          <w:b/>
          <w:bCs/>
          <w:lang w:val="es-ES" w:eastAsia="ko-KR"/>
        </w:rPr>
        <w:t xml:space="preserve">recomendó </w:t>
      </w:r>
      <w:r w:rsidRPr="00C537A9">
        <w:rPr>
          <w:lang w:val="es-ES" w:eastAsia="ko-KR"/>
        </w:rPr>
        <w:t>que la Secretaría examinara las cuestiones planteadas durante el debate sobre la reducción global del presupuesto para 2026-2027 y presentara un informe más detallado al Consejo de 2026.</w:t>
      </w:r>
    </w:p>
    <w:p w14:paraId="28A429B3" w14:textId="7CA129DF" w:rsidR="00CD4FF2" w:rsidRPr="00C537A9" w:rsidRDefault="00CD4FF2" w:rsidP="00973B55">
      <w:pPr>
        <w:pStyle w:val="Headingb"/>
        <w:jc w:val="both"/>
        <w:rPr>
          <w:lang w:val="es-ES" w:eastAsia="ko-KR"/>
        </w:rPr>
      </w:pPr>
      <w:r w:rsidRPr="00C537A9">
        <w:rPr>
          <w:bCs/>
          <w:lang w:val="es-ES" w:eastAsia="ko-KR"/>
        </w:rPr>
        <w:t xml:space="preserve">Contribución de la Federación de Rusia – Medidas para garantizar la armonización de los mandatos fundamentales en la asignación de recursos (Documento </w:t>
      </w:r>
      <w:hyperlink r:id="rId164"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-22/25</w:t>
        </w:r>
      </w:hyperlink>
      <w:r w:rsidRPr="00C537A9">
        <w:rPr>
          <w:bCs/>
          <w:lang w:val="es-ES" w:eastAsia="ko-KR"/>
        </w:rPr>
        <w:t>)</w:t>
      </w:r>
      <w:hyperlink r:id="rId165" w:history="1"/>
    </w:p>
    <w:p w14:paraId="3CE08787" w14:textId="42F8AF6E" w:rsidR="00CD4FF2" w:rsidRPr="00C537A9" w:rsidRDefault="00CD4FF2" w:rsidP="00973B55">
      <w:pPr>
        <w:jc w:val="both"/>
        <w:rPr>
          <w:lang w:val="es-ES" w:eastAsia="ko-KR"/>
        </w:rPr>
      </w:pPr>
      <w:r w:rsidRPr="00C537A9">
        <w:rPr>
          <w:lang w:val="es-ES" w:eastAsia="ko-KR"/>
        </w:rPr>
        <w:t>16.7</w:t>
      </w:r>
      <w:r w:rsidRPr="00C537A9">
        <w:rPr>
          <w:lang w:val="es-ES" w:eastAsia="ko-KR"/>
        </w:rPr>
        <w:tab/>
        <w:t xml:space="preserve">La Federación de Rusia presentó su contribución, Documento </w:t>
      </w:r>
      <w:hyperlink r:id="rId166"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-22/25</w:t>
        </w:r>
      </w:hyperlink>
      <w:r w:rsidRPr="00C537A9">
        <w:rPr>
          <w:lang w:val="es-ES" w:eastAsia="ko-KR"/>
        </w:rPr>
        <w:t xml:space="preserve">, que incluye varias propuestas para que el Consejo y la Conferencia de Plenipotenciarios las adopten a fin de armonizar mejor las actividades de la UIT con su mandato fundamental. Su declaración introductoria se presentó en el Documento </w:t>
      </w:r>
      <w:hyperlink r:id="rId167"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-22/INF/7</w:t>
        </w:r>
      </w:hyperlink>
      <w:r w:rsidRPr="00C537A9">
        <w:rPr>
          <w:lang w:val="es-ES" w:eastAsia="ko-KR"/>
        </w:rPr>
        <w:t>.</w:t>
      </w:r>
      <w:hyperlink r:id="rId168" w:history="1"/>
      <w:hyperlink r:id="rId169" w:history="1"/>
    </w:p>
    <w:p w14:paraId="0CBC152C" w14:textId="77777777" w:rsidR="00CD4FF2" w:rsidRPr="00C537A9" w:rsidRDefault="00CD4FF2" w:rsidP="00973B55">
      <w:pPr>
        <w:jc w:val="both"/>
        <w:rPr>
          <w:lang w:val="es-ES" w:eastAsia="ko-KR"/>
        </w:rPr>
      </w:pPr>
      <w:r w:rsidRPr="00C537A9">
        <w:rPr>
          <w:lang w:val="es-ES" w:eastAsia="ko-KR"/>
        </w:rPr>
        <w:t>16.8</w:t>
      </w:r>
      <w:r w:rsidRPr="00C537A9">
        <w:rPr>
          <w:lang w:val="es-ES" w:eastAsia="ko-KR"/>
        </w:rPr>
        <w:tab/>
        <w:t>Este debate dio lugar a varios puntos de discordia entre los delegados, a saber, priorización o terminación de las actividades de la UIT, definición de mandatos "básicos", validez temporal de las resoluciones y ampliación de las actividades.</w:t>
      </w:r>
    </w:p>
    <w:p w14:paraId="2684E545" w14:textId="77777777" w:rsidR="00CD4FF2" w:rsidRPr="00C537A9" w:rsidRDefault="00CD4FF2" w:rsidP="00973B55">
      <w:pPr>
        <w:pBdr>
          <w:top w:val="single" w:sz="4" w:space="1" w:color="auto"/>
          <w:left w:val="single" w:sz="4" w:space="4" w:color="auto"/>
          <w:bottom w:val="single" w:sz="4" w:space="1" w:color="auto"/>
          <w:right w:val="single" w:sz="4" w:space="4" w:color="auto"/>
        </w:pBdr>
        <w:jc w:val="both"/>
        <w:rPr>
          <w:lang w:val="es-ES" w:eastAsia="ko-KR"/>
        </w:rPr>
      </w:pPr>
      <w:r w:rsidRPr="00C537A9">
        <w:rPr>
          <w:lang w:val="es-ES" w:eastAsia="ko-KR"/>
        </w:rPr>
        <w:t>16.9</w:t>
      </w:r>
      <w:r w:rsidRPr="00C537A9">
        <w:rPr>
          <w:lang w:val="es-ES" w:eastAsia="ko-KR"/>
        </w:rPr>
        <w:tab/>
        <w:t xml:space="preserve">El GTC-RHF </w:t>
      </w:r>
      <w:r w:rsidRPr="00C537A9">
        <w:rPr>
          <w:b/>
          <w:bCs/>
          <w:lang w:val="es-ES" w:eastAsia="ko-KR"/>
        </w:rPr>
        <w:t xml:space="preserve">recomendó </w:t>
      </w:r>
      <w:r w:rsidRPr="00C537A9">
        <w:rPr>
          <w:lang w:val="es-ES" w:eastAsia="ko-KR"/>
        </w:rPr>
        <w:t>que la Secretaría facilitara un informe de todas las actividades de la Unión desde la última Conferencia de Plenipotenciarios, incluida una lista exhaustiva de cómo se han ejecutado las resoluciones adoptadas.</w:t>
      </w:r>
    </w:p>
    <w:p w14:paraId="535C48F4" w14:textId="6CAC6871" w:rsidR="00CD4FF2" w:rsidRPr="00C537A9" w:rsidRDefault="00CD4FF2" w:rsidP="000C7392">
      <w:pPr>
        <w:pStyle w:val="Heading1"/>
        <w:rPr>
          <w:lang w:val="es-ES" w:eastAsia="ko-KR"/>
        </w:rPr>
      </w:pPr>
      <w:r w:rsidRPr="00C537A9">
        <w:rPr>
          <w:bCs/>
          <w:lang w:val="es-ES" w:eastAsia="ko-KR"/>
        </w:rPr>
        <w:t>17</w:t>
      </w:r>
      <w:r w:rsidRPr="00C537A9">
        <w:rPr>
          <w:lang w:val="es-ES" w:eastAsia="ko-KR"/>
        </w:rPr>
        <w:tab/>
      </w:r>
      <w:r w:rsidRPr="00C537A9">
        <w:rPr>
          <w:bCs/>
          <w:lang w:val="es-ES" w:eastAsia="ko-KR"/>
        </w:rPr>
        <w:t>Refuerzo de la gestión de riesgos y de los sistemas de control interno (</w:t>
      </w:r>
      <w:r w:rsidRPr="00C537A9">
        <w:rPr>
          <w:lang w:val="es-ES" w:eastAsia="ko-KR"/>
        </w:rPr>
        <w:t xml:space="preserve">Documento </w:t>
      </w:r>
      <w:hyperlink r:id="rId170"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-22/20</w:t>
        </w:r>
      </w:hyperlink>
      <w:r w:rsidRPr="00C537A9">
        <w:rPr>
          <w:bCs/>
          <w:lang w:val="es-ES" w:eastAsia="ko-KR"/>
        </w:rPr>
        <w:t>)</w:t>
      </w:r>
      <w:hyperlink r:id="rId171" w:history="1"/>
    </w:p>
    <w:p w14:paraId="16679E05" w14:textId="2D2FB981" w:rsidR="00CD4FF2" w:rsidRPr="00C537A9" w:rsidRDefault="00CD4FF2" w:rsidP="00973B55">
      <w:pPr>
        <w:jc w:val="both"/>
        <w:rPr>
          <w:lang w:val="es-ES" w:eastAsia="ko-KR"/>
        </w:rPr>
      </w:pPr>
      <w:r w:rsidRPr="00C537A9">
        <w:rPr>
          <w:lang w:val="es-ES" w:eastAsia="ko-KR"/>
        </w:rPr>
        <w:t>17.1</w:t>
      </w:r>
      <w:r w:rsidRPr="00C537A9">
        <w:rPr>
          <w:lang w:val="es-ES" w:eastAsia="ko-KR"/>
        </w:rPr>
        <w:tab/>
        <w:t>En la 22</w:t>
      </w:r>
      <w:r w:rsidR="00416C64">
        <w:rPr>
          <w:lang w:val="es-ES" w:eastAsia="ko-KR"/>
        </w:rPr>
        <w:t>.</w:t>
      </w:r>
      <w:r w:rsidRPr="00C537A9">
        <w:rPr>
          <w:lang w:val="es-ES" w:eastAsia="ko-KR"/>
        </w:rPr>
        <w:t xml:space="preserve">ª reunión, la Secretaría informó a los delegados sobre el Grupo Especial sobre Gestión de Riesgos y Controles Internos, constituido recientemente y presidido por el Vicesecretario General. Los principales objetivos del Grupo Especial son: 1) fortalecer la implicación y la responsabilidad de la dirección respecto de las actividades de control interno y gestión de riesgos en toda la Unión para ofrecer más garantías sobre el logro de los objetivos; y 2) abordar los fallos de control identificados mediante recomendaciones de supervisión de manera oportuna y eficaz a fin de mitigar los riesgos subyacentes. Además, la Secretaría mencionó durante su intervención que se había contratado un consultor externo para examinar el marco de gestión de riesgos de la UIT y proporcionó una visión del registro de riesgos institucionales. </w:t>
      </w:r>
    </w:p>
    <w:p w14:paraId="2025F671" w14:textId="77777777" w:rsidR="00CD4FF2" w:rsidRPr="00C537A9" w:rsidRDefault="00CD4FF2" w:rsidP="00973B55">
      <w:pPr>
        <w:spacing w:after="120"/>
        <w:jc w:val="both"/>
        <w:rPr>
          <w:lang w:val="es-ES" w:eastAsia="ko-KR"/>
        </w:rPr>
      </w:pPr>
      <w:r w:rsidRPr="00C537A9">
        <w:rPr>
          <w:lang w:val="es-ES" w:eastAsia="ko-KR"/>
        </w:rPr>
        <w:t>17.2</w:t>
      </w:r>
      <w:r w:rsidRPr="00C537A9">
        <w:rPr>
          <w:lang w:val="es-ES" w:eastAsia="ko-KR"/>
        </w:rPr>
        <w:tab/>
        <w:t xml:space="preserve">Un delegado quiso entender mejor el marco de autoridad y su papel en la segunda línea de defensa de la UIT, en particular en relación con la seguridad de la información. Otro delegado pidió a la Secretaría que aclarase las funciones de las dos consultorías, y la Secretaría </w:t>
      </w:r>
      <w:r w:rsidRPr="00C537A9">
        <w:rPr>
          <w:lang w:val="es-ES" w:eastAsia="ko-KR"/>
        </w:rPr>
        <w:lastRenderedPageBreak/>
        <w:t xml:space="preserve">respondió que habían sido contratadas para elaborar el marco de delegación de autoridad y para realizar un diagnóstico del marco de gestión de riesgos de la UIT, respectivamente. Otros delegados preguntaron si los Estados Miembros podrían tener acceso al tablero de control del cumplimiento y alentaron además a la Secretaría a buscar el equilibrio entre la previsibilidad y la conservación de la inclusividad y la determinación de la Unión. </w:t>
      </w:r>
    </w:p>
    <w:p w14:paraId="6B6C119C" w14:textId="77777777" w:rsidR="00CD4FF2" w:rsidRPr="00C537A9" w:rsidRDefault="00CD4FF2" w:rsidP="00973B55">
      <w:pPr>
        <w:pBdr>
          <w:top w:val="single" w:sz="4" w:space="1" w:color="auto"/>
          <w:left w:val="single" w:sz="4" w:space="4" w:color="auto"/>
          <w:bottom w:val="single" w:sz="4" w:space="1" w:color="auto"/>
          <w:right w:val="single" w:sz="4" w:space="4" w:color="auto"/>
        </w:pBdr>
        <w:jc w:val="both"/>
        <w:rPr>
          <w:lang w:val="es-ES" w:eastAsia="ko-KR"/>
        </w:rPr>
      </w:pPr>
      <w:r w:rsidRPr="00C537A9">
        <w:rPr>
          <w:lang w:val="es-ES" w:eastAsia="ko-KR"/>
        </w:rPr>
        <w:t>17.3</w:t>
      </w:r>
      <w:r w:rsidRPr="00C537A9">
        <w:rPr>
          <w:lang w:val="es-ES" w:eastAsia="ko-KR"/>
        </w:rPr>
        <w:tab/>
        <w:t xml:space="preserve">El GTC-RHF </w:t>
      </w:r>
      <w:r w:rsidRPr="00C537A9">
        <w:rPr>
          <w:b/>
          <w:bCs/>
          <w:lang w:val="es-ES" w:eastAsia="ko-KR"/>
        </w:rPr>
        <w:t xml:space="preserve">recomendó </w:t>
      </w:r>
      <w:r w:rsidRPr="00C537A9">
        <w:rPr>
          <w:lang w:val="es-ES" w:eastAsia="ko-KR"/>
        </w:rPr>
        <w:t xml:space="preserve">a la Secretaría que tuviera en cuenta los informes de las reuniones anteriores del Consejo y del GTC-RHF al redactar su próximo informe al Consejo. </w:t>
      </w:r>
    </w:p>
    <w:p w14:paraId="2BEC6F3B" w14:textId="77777777" w:rsidR="00CD4FF2" w:rsidRPr="00C537A9" w:rsidRDefault="00CD4FF2" w:rsidP="00973B55">
      <w:pPr>
        <w:pBdr>
          <w:top w:val="single" w:sz="4" w:space="1" w:color="auto"/>
          <w:left w:val="single" w:sz="4" w:space="4" w:color="auto"/>
          <w:bottom w:val="single" w:sz="4" w:space="1" w:color="auto"/>
          <w:right w:val="single" w:sz="4" w:space="4" w:color="auto"/>
        </w:pBdr>
        <w:jc w:val="both"/>
        <w:rPr>
          <w:lang w:val="es-ES" w:eastAsia="ko-KR"/>
        </w:rPr>
      </w:pPr>
      <w:r w:rsidRPr="00C537A9">
        <w:rPr>
          <w:lang w:val="es-ES" w:eastAsia="ko-KR"/>
        </w:rPr>
        <w:t>17.4</w:t>
      </w:r>
      <w:r w:rsidRPr="00C537A9">
        <w:rPr>
          <w:lang w:val="es-ES" w:eastAsia="ko-KR"/>
        </w:rPr>
        <w:tab/>
        <w:t xml:space="preserve">Además, el GTC-RHF </w:t>
      </w:r>
      <w:r w:rsidRPr="00C537A9">
        <w:rPr>
          <w:b/>
          <w:bCs/>
          <w:lang w:val="es-ES" w:eastAsia="ko-KR"/>
        </w:rPr>
        <w:t xml:space="preserve">recomendó </w:t>
      </w:r>
      <w:r w:rsidRPr="00C537A9">
        <w:rPr>
          <w:lang w:val="es-ES" w:eastAsia="ko-KR"/>
        </w:rPr>
        <w:t xml:space="preserve">al Consejo que encargara a la Secretaría proporcionar a los consejeros los resultados, las recomendaciones y el plan de trabajo de los consultores recientemente contratados. </w:t>
      </w:r>
    </w:p>
    <w:p w14:paraId="2873F118" w14:textId="77777777" w:rsidR="00CD4FF2" w:rsidRPr="00C537A9" w:rsidRDefault="00CD4FF2" w:rsidP="000C7392">
      <w:pPr>
        <w:pStyle w:val="Heading1"/>
        <w:rPr>
          <w:lang w:val="es-ES" w:eastAsia="ko-KR"/>
        </w:rPr>
      </w:pPr>
      <w:r w:rsidRPr="00C537A9">
        <w:rPr>
          <w:bCs/>
          <w:lang w:val="es-ES" w:eastAsia="ko-KR"/>
        </w:rPr>
        <w:t>18</w:t>
      </w:r>
      <w:r w:rsidRPr="00C537A9">
        <w:rPr>
          <w:lang w:val="es-ES" w:eastAsia="ko-KR"/>
        </w:rPr>
        <w:tab/>
      </w:r>
      <w:r w:rsidRPr="00C537A9">
        <w:rPr>
          <w:bCs/>
          <w:lang w:val="es-ES" w:eastAsia="ko-KR"/>
        </w:rPr>
        <w:t>Examen de los Planes Estratégico, Financiero y Operacional de la UIT (presentación oral)</w:t>
      </w:r>
    </w:p>
    <w:p w14:paraId="02F4E437" w14:textId="1AEC467C" w:rsidR="00CD4FF2" w:rsidRPr="00C537A9" w:rsidRDefault="00CD4FF2" w:rsidP="00973B55">
      <w:pPr>
        <w:jc w:val="both"/>
        <w:rPr>
          <w:lang w:val="es-ES" w:eastAsia="ko-KR"/>
        </w:rPr>
      </w:pPr>
      <w:r w:rsidRPr="00C537A9">
        <w:rPr>
          <w:lang w:val="es-ES" w:eastAsia="ko-KR"/>
        </w:rPr>
        <w:t>18.1</w:t>
      </w:r>
      <w:r w:rsidRPr="00C537A9">
        <w:rPr>
          <w:lang w:val="es-ES" w:eastAsia="ko-KR"/>
        </w:rPr>
        <w:tab/>
        <w:t>En su 22</w:t>
      </w:r>
      <w:r w:rsidR="00416C64">
        <w:rPr>
          <w:lang w:val="es-ES" w:eastAsia="ko-KR"/>
        </w:rPr>
        <w:t>.</w:t>
      </w:r>
      <w:r w:rsidRPr="00C537A9">
        <w:rPr>
          <w:lang w:val="es-ES" w:eastAsia="ko-KR"/>
        </w:rPr>
        <w:t xml:space="preserve">ª reunión, la Secretaría anunció una reunión conjunta entre el </w:t>
      </w:r>
      <w:proofErr w:type="spellStart"/>
      <w:r w:rsidRPr="00C537A9">
        <w:rPr>
          <w:lang w:val="es-ES" w:eastAsia="ko-KR"/>
        </w:rPr>
        <w:t>GTC-PEF</w:t>
      </w:r>
      <w:proofErr w:type="spellEnd"/>
      <w:r w:rsidRPr="00C537A9">
        <w:rPr>
          <w:lang w:val="es-ES" w:eastAsia="ko-KR"/>
        </w:rPr>
        <w:t xml:space="preserve"> y el GTC-RHF para el lunes 27 de abril de 2026, la víspera del Consejo de 2026. Además, la Secretaría se refirió a las 42 respuestas de los Estados Miembros en las que confirmaban su compromiso de mantener sus unidades contributivas y explicó cómo se aprovecharía esa información para elaborar un plan financiero basado en el proyecto de plan estratégico. </w:t>
      </w:r>
    </w:p>
    <w:p w14:paraId="07E3B1D4" w14:textId="3DDDC0B4" w:rsidR="00CD4FF2" w:rsidRPr="00C537A9" w:rsidRDefault="00CD4FF2" w:rsidP="000C7392">
      <w:pPr>
        <w:pStyle w:val="Heading1"/>
        <w:rPr>
          <w:lang w:val="es-ES" w:eastAsia="ko-KR"/>
        </w:rPr>
      </w:pPr>
      <w:r w:rsidRPr="00C537A9">
        <w:rPr>
          <w:bCs/>
          <w:lang w:val="es-ES" w:eastAsia="ko-KR"/>
        </w:rPr>
        <w:t>19</w:t>
      </w:r>
      <w:r w:rsidRPr="00C537A9">
        <w:rPr>
          <w:lang w:val="es-ES" w:eastAsia="ko-KR"/>
        </w:rPr>
        <w:tab/>
      </w:r>
      <w:r w:rsidRPr="00C537A9">
        <w:rPr>
          <w:bCs/>
          <w:lang w:val="es-ES" w:eastAsia="ko-KR"/>
        </w:rPr>
        <w:t>Contribución de la Federación de Rusia – Propuestas de revisión de la Resolución 191 (Rev. Bucarest, 2022), Estrategia de coordinación de los trabajos de los tres Sectores de la Unión, de la PP</w:t>
      </w:r>
      <w:r w:rsidR="000C7392">
        <w:rPr>
          <w:bCs/>
          <w:lang w:val="es-ES" w:eastAsia="ko-KR"/>
        </w:rPr>
        <w:t xml:space="preserve"> </w:t>
      </w:r>
      <w:r w:rsidRPr="00C537A9">
        <w:rPr>
          <w:bCs/>
          <w:lang w:val="es-ES" w:eastAsia="ko-KR"/>
        </w:rPr>
        <w:t>(Documento</w:t>
      </w:r>
      <w:r w:rsidR="000C7392">
        <w:rPr>
          <w:bCs/>
          <w:lang w:val="es-ES" w:eastAsia="ko-KR"/>
        </w:rPr>
        <w:t> </w:t>
      </w:r>
      <w:proofErr w:type="spellStart"/>
      <w:r>
        <w:fldChar w:fldCharType="begin"/>
      </w:r>
      <w:r w:rsidRPr="00984FD9">
        <w:rPr>
          <w:lang w:val="es-ES"/>
        </w:rPr>
        <w:instrText>HYPERLINK "https://www.itu.int/md/S26-CWGFHR22-C-0026/es"</w:instrText>
      </w:r>
      <w:r>
        <w:fldChar w:fldCharType="separate"/>
      </w:r>
      <w:r w:rsidRPr="00C537A9">
        <w:rPr>
          <w:rStyle w:val="Hyperlink"/>
          <w:bCs/>
          <w:lang w:val="es-ES" w:eastAsia="ko-KR"/>
        </w:rPr>
        <w:t>CWG</w:t>
      </w:r>
      <w:proofErr w:type="spellEnd"/>
      <w:r w:rsidR="000C7392">
        <w:rPr>
          <w:rStyle w:val="Hyperlink"/>
          <w:bCs/>
          <w:lang w:val="es-ES" w:eastAsia="ko-KR"/>
        </w:rPr>
        <w:noBreakHyphen/>
      </w:r>
      <w:proofErr w:type="spellStart"/>
      <w:r w:rsidRPr="00C537A9">
        <w:rPr>
          <w:rStyle w:val="Hyperlink"/>
          <w:bCs/>
          <w:lang w:val="es-ES" w:eastAsia="ko-KR"/>
        </w:rPr>
        <w:t>FHR</w:t>
      </w:r>
      <w:proofErr w:type="spellEnd"/>
      <w:r w:rsidRPr="00C537A9">
        <w:rPr>
          <w:rStyle w:val="Hyperlink"/>
          <w:bCs/>
          <w:lang w:val="es-ES" w:eastAsia="ko-KR"/>
        </w:rPr>
        <w:t>-22/26</w:t>
      </w:r>
      <w:r>
        <w:fldChar w:fldCharType="end"/>
      </w:r>
      <w:r w:rsidRPr="00C537A9">
        <w:rPr>
          <w:bCs/>
          <w:lang w:val="es-ES" w:eastAsia="ko-KR"/>
        </w:rPr>
        <w:t>)</w:t>
      </w:r>
      <w:hyperlink r:id="rId172" w:history="1"/>
    </w:p>
    <w:p w14:paraId="4529CD10" w14:textId="706ABA76" w:rsidR="00CD4FF2" w:rsidRPr="00C537A9" w:rsidRDefault="00CD4FF2" w:rsidP="00973B55">
      <w:pPr>
        <w:jc w:val="both"/>
        <w:rPr>
          <w:lang w:val="es-ES" w:eastAsia="ko-KR"/>
        </w:rPr>
      </w:pPr>
      <w:r w:rsidRPr="00C537A9">
        <w:rPr>
          <w:lang w:val="es-ES" w:eastAsia="ko-KR"/>
        </w:rPr>
        <w:t>19.1</w:t>
      </w:r>
      <w:r w:rsidRPr="00C537A9">
        <w:rPr>
          <w:lang w:val="es-ES" w:eastAsia="ko-KR"/>
        </w:rPr>
        <w:tab/>
        <w:t>A fin de recabar información para sus trabajos de armonización de las Resoluciones de la Conferencia de Plenipotenciarios, la Federación de Rusia presentó una contribución a la 22</w:t>
      </w:r>
      <w:r w:rsidR="00416C64">
        <w:rPr>
          <w:lang w:val="es-ES" w:eastAsia="ko-KR"/>
        </w:rPr>
        <w:t>.</w:t>
      </w:r>
      <w:r w:rsidRPr="00C537A9">
        <w:rPr>
          <w:lang w:val="es-ES" w:eastAsia="ko-KR"/>
        </w:rPr>
        <w:t>ª</w:t>
      </w:r>
      <w:r w:rsidR="00183C33">
        <w:rPr>
          <w:lang w:val="es-ES" w:eastAsia="ko-KR"/>
        </w:rPr>
        <w:t> </w:t>
      </w:r>
      <w:r w:rsidRPr="00C537A9">
        <w:rPr>
          <w:lang w:val="es-ES" w:eastAsia="ko-KR"/>
        </w:rPr>
        <w:t xml:space="preserve">reunión con propuestas de modificación de la Resolución 191 (Rev. Bucarest, 2022) para incorporar los debates del Consejo de la UIT, el </w:t>
      </w:r>
      <w:proofErr w:type="spellStart"/>
      <w:r w:rsidRPr="00C537A9">
        <w:rPr>
          <w:lang w:val="es-ES" w:eastAsia="ko-KR"/>
        </w:rPr>
        <w:t>GCIS</w:t>
      </w:r>
      <w:proofErr w:type="spellEnd"/>
      <w:r w:rsidRPr="00C537A9">
        <w:rPr>
          <w:lang w:val="es-ES" w:eastAsia="ko-KR"/>
        </w:rPr>
        <w:t>, la Asamblea de Radiocomunicaciones de 2023 (AR-23), la Asamblea Mundial de Normalización de las Telecomunicaciones de 2024 (</w:t>
      </w:r>
      <w:proofErr w:type="spellStart"/>
      <w:r w:rsidRPr="00C537A9">
        <w:rPr>
          <w:lang w:val="es-ES" w:eastAsia="ko-KR"/>
        </w:rPr>
        <w:t>AMNT</w:t>
      </w:r>
      <w:proofErr w:type="spellEnd"/>
      <w:r w:rsidRPr="00C537A9">
        <w:rPr>
          <w:lang w:val="es-ES" w:eastAsia="ko-KR"/>
        </w:rPr>
        <w:t xml:space="preserve">-24) y la </w:t>
      </w:r>
      <w:proofErr w:type="spellStart"/>
      <w:r w:rsidRPr="00C537A9">
        <w:rPr>
          <w:lang w:val="es-ES" w:eastAsia="ko-KR"/>
        </w:rPr>
        <w:t>CMDT</w:t>
      </w:r>
      <w:proofErr w:type="spellEnd"/>
      <w:r w:rsidRPr="00C537A9">
        <w:rPr>
          <w:lang w:val="es-ES" w:eastAsia="ko-KR"/>
        </w:rPr>
        <w:t xml:space="preserve">-25. </w:t>
      </w:r>
    </w:p>
    <w:p w14:paraId="6FACAE60" w14:textId="77777777" w:rsidR="00CD4FF2" w:rsidRPr="00C537A9" w:rsidRDefault="00CD4FF2" w:rsidP="00973B55">
      <w:pPr>
        <w:jc w:val="both"/>
        <w:rPr>
          <w:lang w:val="es-ES" w:eastAsia="ko-KR"/>
        </w:rPr>
      </w:pPr>
      <w:r w:rsidRPr="00C537A9">
        <w:rPr>
          <w:lang w:val="es-ES" w:eastAsia="ko-KR"/>
        </w:rPr>
        <w:t>19.2</w:t>
      </w:r>
      <w:r w:rsidRPr="00C537A9">
        <w:rPr>
          <w:lang w:val="es-ES" w:eastAsia="ko-KR"/>
        </w:rPr>
        <w:tab/>
        <w:t xml:space="preserve">Los delegados se sumaron a la opinión de la Presidenta, que afirmaba que se habían presentado propuestas similares en la PP-14, la PP-18 y la PP-22 y que, aunque los delegados parecían estar de acuerdo en principio, la armonización seguía siendo difícil de ejecutar y desplegar. Un delegado recomendó reflexionar más detenidamente sobre la manera en que la Unión puede aumentar la eficacia de estos grupos, dado que la adición de más grupos intersectoriales o mixtos constituiría, en su opinión, un desafío. Tras un intenso debate y con la moderación de la Presidenta, se acordó que se debía invitar a todos los grupos de coordinación de la UIT (tanto a nivel de los Miembros como de la Secretaría) a examinar la Resolución 191 (Rev. Bucarest, 2022) y a formular observaciones para el Consejo de 2026. </w:t>
      </w:r>
    </w:p>
    <w:p w14:paraId="4EAA860C" w14:textId="16A354E7" w:rsidR="00CD4FF2" w:rsidRPr="00C537A9" w:rsidRDefault="00CD4FF2" w:rsidP="00973B55">
      <w:pPr>
        <w:pBdr>
          <w:top w:val="single" w:sz="4" w:space="1" w:color="auto"/>
          <w:left w:val="single" w:sz="4" w:space="4" w:color="auto"/>
          <w:bottom w:val="single" w:sz="4" w:space="1" w:color="auto"/>
          <w:right w:val="single" w:sz="4" w:space="4" w:color="auto"/>
        </w:pBdr>
        <w:jc w:val="both"/>
        <w:rPr>
          <w:lang w:val="es-ES" w:eastAsia="ko-KR"/>
        </w:rPr>
      </w:pPr>
      <w:r w:rsidRPr="00C537A9">
        <w:rPr>
          <w:lang w:val="es-ES" w:eastAsia="ko-KR"/>
        </w:rPr>
        <w:t>19.3</w:t>
      </w:r>
      <w:r w:rsidRPr="00C537A9">
        <w:rPr>
          <w:lang w:val="es-ES" w:eastAsia="ko-KR"/>
        </w:rPr>
        <w:tab/>
        <w:t xml:space="preserve">El GTC-RHF </w:t>
      </w:r>
      <w:r w:rsidRPr="00C537A9">
        <w:rPr>
          <w:b/>
          <w:bCs/>
          <w:lang w:val="es-ES" w:eastAsia="ko-KR"/>
        </w:rPr>
        <w:t xml:space="preserve">envió </w:t>
      </w:r>
      <w:r w:rsidRPr="00C537A9">
        <w:rPr>
          <w:lang w:val="es-ES" w:eastAsia="ko-KR"/>
        </w:rPr>
        <w:t xml:space="preserve">una declaración de coordinación en la que solicitaba a los Grupos Asesores de los Sectores, al </w:t>
      </w:r>
      <w:proofErr w:type="spellStart"/>
      <w:r w:rsidRPr="00C537A9">
        <w:rPr>
          <w:lang w:val="es-ES" w:eastAsia="ko-KR"/>
        </w:rPr>
        <w:t>GCIS</w:t>
      </w:r>
      <w:proofErr w:type="spellEnd"/>
      <w:r w:rsidRPr="00C537A9">
        <w:rPr>
          <w:lang w:val="es-ES" w:eastAsia="ko-KR"/>
        </w:rPr>
        <w:t xml:space="preserve">, al Comité de Coordinación y al </w:t>
      </w:r>
      <w:proofErr w:type="spellStart"/>
      <w:r w:rsidRPr="00C537A9">
        <w:rPr>
          <w:lang w:val="es-ES" w:eastAsia="ko-KR"/>
        </w:rPr>
        <w:t>GAEM</w:t>
      </w:r>
      <w:proofErr w:type="spellEnd"/>
      <w:r w:rsidRPr="00C537A9">
        <w:rPr>
          <w:lang w:val="es-ES" w:eastAsia="ko-KR"/>
        </w:rPr>
        <w:t xml:space="preserve"> que formularan recomendaciones para el Consejo de 2026 sobre cómo mejorar la ejecución de la Resolución</w:t>
      </w:r>
      <w:r w:rsidR="00662DED">
        <w:rPr>
          <w:lang w:val="es-ES" w:eastAsia="ko-KR"/>
        </w:rPr>
        <w:t> </w:t>
      </w:r>
      <w:r w:rsidRPr="00C537A9">
        <w:rPr>
          <w:lang w:val="es-ES" w:eastAsia="ko-KR"/>
        </w:rPr>
        <w:t>191 (Rev. Bucarest 2022).</w:t>
      </w:r>
    </w:p>
    <w:p w14:paraId="7EE546DC" w14:textId="5503B958" w:rsidR="00CD4FF2" w:rsidRPr="00C537A9" w:rsidRDefault="00CD4FF2" w:rsidP="000C7392">
      <w:pPr>
        <w:pStyle w:val="Heading1"/>
        <w:spacing w:before="240"/>
        <w:rPr>
          <w:lang w:val="es-ES" w:eastAsia="ko-KR"/>
        </w:rPr>
      </w:pPr>
      <w:r w:rsidRPr="00C537A9">
        <w:rPr>
          <w:bCs/>
          <w:lang w:val="es-ES" w:eastAsia="ko-KR"/>
        </w:rPr>
        <w:lastRenderedPageBreak/>
        <w:t>20</w:t>
      </w:r>
      <w:r w:rsidRPr="00C537A9">
        <w:rPr>
          <w:lang w:val="es-ES" w:eastAsia="ko-KR"/>
        </w:rPr>
        <w:tab/>
      </w:r>
      <w:r w:rsidRPr="00C537A9">
        <w:rPr>
          <w:bCs/>
          <w:lang w:val="es-ES" w:eastAsia="ko-KR"/>
        </w:rPr>
        <w:t>Supresión del Acuerdo 601 del Consejo sobre registro de IIN</w:t>
      </w:r>
      <w:r w:rsidR="000C7392">
        <w:rPr>
          <w:bCs/>
          <w:lang w:val="es-ES" w:eastAsia="ko-KR"/>
        </w:rPr>
        <w:t xml:space="preserve"> </w:t>
      </w:r>
      <w:r w:rsidRPr="00C537A9">
        <w:rPr>
          <w:bCs/>
          <w:lang w:val="es-ES" w:eastAsia="ko-KR"/>
        </w:rPr>
        <w:t>(Document</w:t>
      </w:r>
      <w:r w:rsidR="000C7392">
        <w:rPr>
          <w:bCs/>
          <w:lang w:val="es-ES" w:eastAsia="ko-KR"/>
        </w:rPr>
        <w:t>o </w:t>
      </w:r>
      <w:proofErr w:type="spellStart"/>
      <w:r>
        <w:fldChar w:fldCharType="begin"/>
      </w:r>
      <w:r w:rsidRPr="00984FD9">
        <w:rPr>
          <w:lang w:val="es-ES"/>
        </w:rPr>
        <w:instrText>HYPERLINK "https://www.itu.int/md/S26-CWGFHR22-C-0003/es"</w:instrText>
      </w:r>
      <w:r>
        <w:fldChar w:fldCharType="separate"/>
      </w:r>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-22/3</w:t>
      </w:r>
      <w:r>
        <w:fldChar w:fldCharType="end"/>
      </w:r>
      <w:r w:rsidRPr="00C537A9">
        <w:rPr>
          <w:bCs/>
          <w:lang w:val="es-ES" w:eastAsia="ko-KR"/>
        </w:rPr>
        <w:t>)</w:t>
      </w:r>
      <w:hyperlink r:id="rId173" w:history="1"/>
    </w:p>
    <w:p w14:paraId="3CDC5138" w14:textId="2F670B91" w:rsidR="00CD4FF2" w:rsidRPr="00C537A9" w:rsidRDefault="00CD4FF2" w:rsidP="00973B55">
      <w:pPr>
        <w:jc w:val="both"/>
        <w:rPr>
          <w:lang w:val="es-ES" w:eastAsia="ko-KR"/>
        </w:rPr>
      </w:pPr>
      <w:r w:rsidRPr="00C537A9">
        <w:rPr>
          <w:lang w:val="es-ES" w:eastAsia="ko-KR"/>
        </w:rPr>
        <w:t>20.1</w:t>
      </w:r>
      <w:r w:rsidRPr="00C537A9">
        <w:rPr>
          <w:lang w:val="es-ES" w:eastAsia="ko-KR"/>
        </w:rPr>
        <w:tab/>
        <w:t>En la 22</w:t>
      </w:r>
      <w:r w:rsidR="00416C64">
        <w:rPr>
          <w:lang w:val="es-ES" w:eastAsia="ko-KR"/>
        </w:rPr>
        <w:t>.</w:t>
      </w:r>
      <w:r w:rsidRPr="00C537A9">
        <w:rPr>
          <w:lang w:val="es-ES" w:eastAsia="ko-KR"/>
        </w:rPr>
        <w:t xml:space="preserve">ª reunión, la Secretaría presentó información actualizada sobre la aprobación de la Recomendación UIT-T </w:t>
      </w:r>
      <w:proofErr w:type="spellStart"/>
      <w:r w:rsidRPr="00C537A9">
        <w:rPr>
          <w:lang w:val="es-ES" w:eastAsia="ko-KR"/>
        </w:rPr>
        <w:t>E.118</w:t>
      </w:r>
      <w:proofErr w:type="spellEnd"/>
      <w:r w:rsidRPr="00C537A9">
        <w:rPr>
          <w:lang w:val="es-ES" w:eastAsia="ko-KR"/>
        </w:rPr>
        <w:t xml:space="preserve"> revisada y la derogación del Acuerdo 601 del Consejo tras la reunión de la Comisión de Estudio 2 del UIT-T celebrada el 5 de septiembre de 2025, cuyos miembros determinaron que ya no estaba justificado mantener el Acuerdo 601.</w:t>
      </w:r>
    </w:p>
    <w:p w14:paraId="6B24AF60" w14:textId="6F4E4865" w:rsidR="00CD4FF2" w:rsidRPr="00C537A9" w:rsidRDefault="00CD4FF2" w:rsidP="00973B55">
      <w:pPr>
        <w:jc w:val="both"/>
        <w:rPr>
          <w:lang w:val="es-ES" w:eastAsia="ko-KR"/>
        </w:rPr>
      </w:pPr>
      <w:r w:rsidRPr="00C537A9">
        <w:rPr>
          <w:lang w:val="es-ES" w:eastAsia="ko-KR"/>
        </w:rPr>
        <w:t>20.2</w:t>
      </w:r>
      <w:r w:rsidRPr="00C537A9">
        <w:rPr>
          <w:lang w:val="es-ES" w:eastAsia="ko-KR"/>
        </w:rPr>
        <w:tab/>
        <w:t xml:space="preserve">Los delegados cuestionaron la recomendación de la Comisión de Estudio, en particular las ramificaciones de eliminar un generador de ingresos teniendo en cuenta la situación financiera actual de la UIT (según el Documento </w:t>
      </w:r>
      <w:hyperlink r:id="rId174" w:history="1">
        <w:proofErr w:type="spellStart"/>
        <w:r w:rsidRPr="00C537A9">
          <w:rPr>
            <w:rStyle w:val="Hyperlink"/>
            <w:lang w:val="es-ES" w:eastAsia="ko-KR"/>
          </w:rPr>
          <w:t>C25</w:t>
        </w:r>
        <w:proofErr w:type="spellEnd"/>
        <w:r w:rsidRPr="00C537A9">
          <w:rPr>
            <w:rStyle w:val="Hyperlink"/>
            <w:lang w:val="es-ES" w:eastAsia="ko-KR"/>
          </w:rPr>
          <w:t>/38</w:t>
        </w:r>
      </w:hyperlink>
      <w:r w:rsidRPr="00C537A9">
        <w:rPr>
          <w:lang w:val="es-ES" w:eastAsia="ko-KR"/>
        </w:rPr>
        <w:t xml:space="preserve">). En respuesta, la Presidencia de la Comisión de Estudio 2 afirmó que la Comisión había estudiado detenidamente las ramificaciones de la pérdida de ingresos, pero determinó que se podría producir un problema jurídico si el Consejo no la deroga. </w:t>
      </w:r>
      <w:hyperlink r:id="rId175" w:history="1"/>
    </w:p>
    <w:p w14:paraId="7968F480" w14:textId="77777777" w:rsidR="00CD4FF2" w:rsidRPr="00C537A9" w:rsidRDefault="00CD4FF2" w:rsidP="00973B55">
      <w:pPr>
        <w:pBdr>
          <w:top w:val="single" w:sz="4" w:space="1" w:color="auto"/>
          <w:left w:val="single" w:sz="4" w:space="4" w:color="auto"/>
          <w:bottom w:val="single" w:sz="4" w:space="1" w:color="auto"/>
          <w:right w:val="single" w:sz="4" w:space="4" w:color="auto"/>
        </w:pBdr>
        <w:jc w:val="both"/>
        <w:rPr>
          <w:lang w:val="es-ES" w:eastAsia="ko-KR"/>
        </w:rPr>
      </w:pPr>
      <w:r w:rsidRPr="00C537A9">
        <w:rPr>
          <w:lang w:val="es-ES" w:eastAsia="ko-KR"/>
        </w:rPr>
        <w:t>20.3</w:t>
      </w:r>
      <w:r w:rsidRPr="00C537A9">
        <w:rPr>
          <w:lang w:val="es-ES" w:eastAsia="ko-KR"/>
        </w:rPr>
        <w:tab/>
        <w:t xml:space="preserve">El GTC-RHF </w:t>
      </w:r>
      <w:r w:rsidRPr="00C537A9">
        <w:rPr>
          <w:b/>
          <w:bCs/>
          <w:lang w:val="es-ES" w:eastAsia="ko-KR"/>
        </w:rPr>
        <w:t xml:space="preserve">recomendó </w:t>
      </w:r>
      <w:r w:rsidRPr="00C537A9">
        <w:rPr>
          <w:lang w:val="es-ES" w:eastAsia="ko-KR"/>
        </w:rPr>
        <w:t>a la Secretaría que presentara un informe actualizado al Consejo para que los consejeros pudieran decidir si procedía derogar el Acuerdo 601 del Consejo.</w:t>
      </w:r>
    </w:p>
    <w:p w14:paraId="4A78D1CE" w14:textId="54FF670C" w:rsidR="00CD4FF2" w:rsidRPr="00C537A9" w:rsidRDefault="00CD4FF2" w:rsidP="000C7392">
      <w:pPr>
        <w:pStyle w:val="Heading1"/>
        <w:spacing w:before="240"/>
        <w:rPr>
          <w:lang w:val="es-ES" w:eastAsia="ko-KR"/>
        </w:rPr>
      </w:pPr>
      <w:r w:rsidRPr="00C537A9">
        <w:rPr>
          <w:bCs/>
          <w:lang w:val="es-ES" w:eastAsia="ko-KR"/>
        </w:rPr>
        <w:t>21</w:t>
      </w:r>
      <w:r w:rsidRPr="00C537A9">
        <w:rPr>
          <w:lang w:val="es-ES" w:eastAsia="ko-KR"/>
        </w:rPr>
        <w:tab/>
      </w:r>
      <w:r w:rsidRPr="00C537A9">
        <w:rPr>
          <w:bCs/>
          <w:lang w:val="es-ES" w:eastAsia="ko-KR"/>
        </w:rPr>
        <w:t xml:space="preserve">Declaración de coordinación sobre los resultados de la tercera reunión del </w:t>
      </w:r>
      <w:proofErr w:type="spellStart"/>
      <w:r w:rsidRPr="00C537A9">
        <w:rPr>
          <w:bCs/>
          <w:lang w:val="es-ES" w:eastAsia="ko-KR"/>
        </w:rPr>
        <w:t>GTC-PEF</w:t>
      </w:r>
      <w:proofErr w:type="spellEnd"/>
      <w:r w:rsidRPr="00C537A9">
        <w:rPr>
          <w:bCs/>
          <w:lang w:val="es-ES" w:eastAsia="ko-KR"/>
        </w:rPr>
        <w:t xml:space="preserve"> (Documento </w:t>
      </w:r>
      <w:hyperlink r:id="rId176" w:history="1">
        <w:proofErr w:type="spellStart"/>
        <w:r w:rsidRPr="00C537A9">
          <w:rPr>
            <w:rStyle w:val="Hyperlink"/>
            <w:lang w:val="es-ES" w:eastAsia="ko-KR"/>
          </w:rPr>
          <w:t>CWG</w:t>
        </w:r>
        <w:proofErr w:type="spellEnd"/>
        <w:r w:rsidRPr="00C537A9">
          <w:rPr>
            <w:rStyle w:val="Hyperlink"/>
            <w:lang w:val="es-ES" w:eastAsia="ko-KR"/>
          </w:rPr>
          <w:t>-</w:t>
        </w:r>
        <w:proofErr w:type="spellStart"/>
        <w:r w:rsidRPr="00C537A9">
          <w:rPr>
            <w:rStyle w:val="Hyperlink"/>
            <w:lang w:val="es-ES" w:eastAsia="ko-KR"/>
          </w:rPr>
          <w:t>FHR</w:t>
        </w:r>
        <w:proofErr w:type="spellEnd"/>
        <w:r w:rsidRPr="00C537A9">
          <w:rPr>
            <w:rStyle w:val="Hyperlink"/>
            <w:lang w:val="es-ES" w:eastAsia="ko-KR"/>
          </w:rPr>
          <w:t>-21/24</w:t>
        </w:r>
      </w:hyperlink>
      <w:r w:rsidRPr="00C537A9">
        <w:rPr>
          <w:bCs/>
          <w:lang w:val="es-ES" w:eastAsia="ko-KR"/>
        </w:rPr>
        <w:t>)</w:t>
      </w:r>
      <w:hyperlink r:id="rId177" w:history="1"/>
    </w:p>
    <w:p w14:paraId="181596B1" w14:textId="65210EB9" w:rsidR="00CD4FF2" w:rsidRPr="00C537A9" w:rsidRDefault="00CD4FF2" w:rsidP="00973B55">
      <w:pPr>
        <w:jc w:val="both"/>
        <w:rPr>
          <w:rFonts w:cs="Calibri"/>
          <w:lang w:val="es-ES" w:eastAsia="ko-KR"/>
        </w:rPr>
      </w:pPr>
      <w:r w:rsidRPr="00C537A9">
        <w:rPr>
          <w:lang w:val="es-ES" w:eastAsia="ko-KR"/>
        </w:rPr>
        <w:t>21.1</w:t>
      </w:r>
      <w:r w:rsidRPr="00C537A9">
        <w:rPr>
          <w:lang w:val="es-ES" w:eastAsia="ko-KR"/>
        </w:rPr>
        <w:tab/>
        <w:t>En la declaración de coordinación, presentada a la 21</w:t>
      </w:r>
      <w:r w:rsidR="00416C64">
        <w:rPr>
          <w:lang w:val="es-ES" w:eastAsia="ko-KR"/>
        </w:rPr>
        <w:t>.</w:t>
      </w:r>
      <w:r w:rsidRPr="00C537A9">
        <w:rPr>
          <w:lang w:val="es-ES" w:eastAsia="ko-KR"/>
        </w:rPr>
        <w:t xml:space="preserve">ª reunión, se exponen los principales resultados de la tercera reunión del </w:t>
      </w:r>
      <w:proofErr w:type="spellStart"/>
      <w:r w:rsidRPr="00C537A9">
        <w:rPr>
          <w:lang w:val="es-ES" w:eastAsia="ko-KR"/>
        </w:rPr>
        <w:t>GTC-PEF</w:t>
      </w:r>
      <w:proofErr w:type="spellEnd"/>
      <w:r w:rsidRPr="00C537A9">
        <w:rPr>
          <w:lang w:val="es-ES" w:eastAsia="ko-KR"/>
        </w:rPr>
        <w:t xml:space="preserve">, se informa sobre los avances realizados en la preparación de los Planes Estratégico y Financiero y se solicitan comentarios. En particular, el </w:t>
      </w:r>
      <w:proofErr w:type="spellStart"/>
      <w:r w:rsidRPr="00C537A9">
        <w:rPr>
          <w:lang w:val="es-ES" w:eastAsia="ko-KR"/>
        </w:rPr>
        <w:t>GTC-PEF</w:t>
      </w:r>
      <w:proofErr w:type="spellEnd"/>
      <w:r w:rsidRPr="00C537A9">
        <w:rPr>
          <w:lang w:val="es-ES" w:eastAsia="ko-KR"/>
        </w:rPr>
        <w:t xml:space="preserve"> invita al GTC-RHF a examinar los indicadores de rendimiento propuestos a nivel de Impacto y Resultados, así como los proyectos de declaración de misión y visión antes del 1 de diciembre de 2025.</w:t>
      </w:r>
    </w:p>
    <w:p w14:paraId="0F42C963" w14:textId="43770E86" w:rsidR="00CD4FF2" w:rsidRPr="00C537A9" w:rsidRDefault="00CD4FF2" w:rsidP="00973B55">
      <w:pPr>
        <w:pBdr>
          <w:top w:val="single" w:sz="4" w:space="1" w:color="auto"/>
          <w:left w:val="single" w:sz="4" w:space="4" w:color="auto"/>
          <w:bottom w:val="single" w:sz="4" w:space="1" w:color="auto"/>
          <w:right w:val="single" w:sz="4" w:space="4" w:color="auto"/>
        </w:pBdr>
        <w:spacing w:after="120"/>
        <w:jc w:val="both"/>
        <w:rPr>
          <w:rFonts w:cs="Calibri"/>
          <w:lang w:val="es-ES" w:eastAsia="ko-KR"/>
        </w:rPr>
      </w:pPr>
      <w:r w:rsidRPr="00C537A9">
        <w:rPr>
          <w:lang w:val="es-ES" w:eastAsia="ko-KR"/>
        </w:rPr>
        <w:t>21.2</w:t>
      </w:r>
      <w:r w:rsidRPr="00C537A9">
        <w:rPr>
          <w:lang w:val="es-ES" w:eastAsia="ko-KR"/>
        </w:rPr>
        <w:tab/>
        <w:t xml:space="preserve">El GTC-RHF tomó nota del documento y expresó su intención de coordinarse con el </w:t>
      </w:r>
      <w:proofErr w:type="spellStart"/>
      <w:r w:rsidRPr="00C537A9">
        <w:rPr>
          <w:lang w:val="es-ES" w:eastAsia="ko-KR"/>
        </w:rPr>
        <w:t>GTC</w:t>
      </w:r>
      <w:r w:rsidR="00416C64">
        <w:rPr>
          <w:lang w:val="es-ES" w:eastAsia="ko-KR"/>
        </w:rPr>
        <w:noBreakHyphen/>
      </w:r>
      <w:r w:rsidRPr="00C537A9">
        <w:rPr>
          <w:lang w:val="es-ES" w:eastAsia="ko-KR"/>
        </w:rPr>
        <w:t>PEF</w:t>
      </w:r>
      <w:proofErr w:type="spellEnd"/>
      <w:r w:rsidRPr="00C537A9">
        <w:rPr>
          <w:lang w:val="es-ES" w:eastAsia="ko-KR"/>
        </w:rPr>
        <w:t xml:space="preserve"> para las próximas etapas. </w:t>
      </w:r>
    </w:p>
    <w:p w14:paraId="2B631B29" w14:textId="69195002" w:rsidR="00416C64" w:rsidRDefault="00CD4FF2" w:rsidP="00973B55">
      <w:pPr>
        <w:pStyle w:val="Normalaftertitle"/>
        <w:spacing w:before="2400"/>
        <w:rPr>
          <w:lang w:val="es-ES" w:eastAsia="ko-KR"/>
        </w:rPr>
      </w:pPr>
      <w:r w:rsidRPr="00C537A9">
        <w:rPr>
          <w:b/>
          <w:bCs/>
          <w:lang w:val="es-ES" w:eastAsia="ko-KR"/>
        </w:rPr>
        <w:t>Anexo</w:t>
      </w:r>
      <w:r w:rsidRPr="00C537A9">
        <w:rPr>
          <w:lang w:val="es-ES" w:eastAsia="ko-KR"/>
        </w:rPr>
        <w:t>: 1</w:t>
      </w:r>
      <w:r w:rsidR="00416C64">
        <w:rPr>
          <w:lang w:val="es-ES" w:eastAsia="ko-KR"/>
        </w:rPr>
        <w:br w:type="page"/>
      </w:r>
    </w:p>
    <w:p w14:paraId="4E00F76D" w14:textId="77777777" w:rsidR="00CD4FF2" w:rsidRPr="00C537A9" w:rsidRDefault="00CD4FF2" w:rsidP="000C7392">
      <w:pPr>
        <w:pStyle w:val="AnnexNo"/>
        <w:rPr>
          <w:lang w:val="es-ES" w:eastAsia="ko-KR"/>
        </w:rPr>
      </w:pPr>
      <w:r w:rsidRPr="00C537A9">
        <w:rPr>
          <w:lang w:val="es-ES" w:eastAsia="ko-KR"/>
        </w:rPr>
        <w:lastRenderedPageBreak/>
        <w:t>ANEXO A</w:t>
      </w:r>
    </w:p>
    <w:p w14:paraId="1620EA24" w14:textId="77777777" w:rsidR="00CD4FF2" w:rsidRPr="00C537A9" w:rsidRDefault="00CD4FF2" w:rsidP="000C7392">
      <w:pPr>
        <w:pStyle w:val="Annextitle"/>
        <w:rPr>
          <w:lang w:val="es-ES" w:eastAsia="ko-KR"/>
        </w:rPr>
      </w:pPr>
      <w:r w:rsidRPr="00C537A9">
        <w:rPr>
          <w:bCs/>
          <w:lang w:val="es-ES" w:eastAsia="ko-KR"/>
        </w:rPr>
        <w:t>Recomendaciones al Consejo</w:t>
      </w:r>
    </w:p>
    <w:p w14:paraId="07C31CE1" w14:textId="668CFCDA" w:rsidR="00CD4FF2" w:rsidRPr="00C537A9" w:rsidRDefault="00CD4FF2" w:rsidP="00973B55">
      <w:pPr>
        <w:pStyle w:val="Normalaftertitle"/>
        <w:jc w:val="both"/>
        <w:rPr>
          <w:lang w:val="es-ES" w:eastAsia="ko-KR"/>
        </w:rPr>
      </w:pPr>
      <w:r w:rsidRPr="00973B55">
        <w:rPr>
          <w:lang w:val="es-ES" w:eastAsia="ko-KR"/>
        </w:rPr>
        <w:t>1</w:t>
      </w:r>
      <w:r w:rsidRPr="00C537A9">
        <w:rPr>
          <w:lang w:val="es-ES" w:eastAsia="ko-KR"/>
        </w:rPr>
        <w:tab/>
        <w:t>El GTC-RHF recomienda al Consejo que se establezca como obligatoria la lectura del Código de Conducta de las Naciones Unidas antes de cualquier reunión, conferencia o asamblea de la Unión.</w:t>
      </w:r>
    </w:p>
    <w:p w14:paraId="6337A73F" w14:textId="18B4AE3C" w:rsidR="00CD4FF2" w:rsidRPr="00C537A9" w:rsidRDefault="00CD4FF2" w:rsidP="00973B55">
      <w:pPr>
        <w:jc w:val="both"/>
        <w:rPr>
          <w:lang w:val="es-ES" w:eastAsia="ko-KR"/>
        </w:rPr>
      </w:pPr>
      <w:r w:rsidRPr="00C537A9">
        <w:rPr>
          <w:lang w:val="es-ES" w:eastAsia="ko-KR"/>
        </w:rPr>
        <w:t>2</w:t>
      </w:r>
      <w:r w:rsidRPr="00C537A9">
        <w:rPr>
          <w:lang w:val="es-ES" w:eastAsia="ko-KR"/>
        </w:rPr>
        <w:tab/>
        <w:t>El GTC-RHF recomienda al Consejo que, en su reunión de 2026, invite a la Conferencia de Plenipotenciarios de 2026 (PP-26) a examinar el Artículo 34 y facilitar orientaciones para los Estados Miembros sobre cómo considerar el Artículo 34.</w:t>
      </w:r>
    </w:p>
    <w:p w14:paraId="69180EF9" w14:textId="5836085E" w:rsidR="00CD4FF2" w:rsidRPr="00C537A9" w:rsidRDefault="00CD4FF2" w:rsidP="00973B55">
      <w:pPr>
        <w:jc w:val="both"/>
        <w:rPr>
          <w:lang w:val="es-ES" w:eastAsia="ko-KR"/>
        </w:rPr>
      </w:pPr>
      <w:r w:rsidRPr="00662DED">
        <w:rPr>
          <w:lang w:val="es-ES" w:eastAsia="ko-KR"/>
        </w:rPr>
        <w:t>3</w:t>
      </w:r>
      <w:r w:rsidRPr="00C537A9">
        <w:rPr>
          <w:lang w:val="es-ES" w:eastAsia="ko-KR"/>
        </w:rPr>
        <w:tab/>
        <w:t>El GTC-RHF recomienda al Consejo que, en su reunión de 2026, asigne los 2</w:t>
      </w:r>
      <w:r w:rsidR="00416C64">
        <w:rPr>
          <w:lang w:val="es-ES" w:eastAsia="ko-KR"/>
        </w:rPr>
        <w:t> </w:t>
      </w:r>
      <w:r w:rsidRPr="00C537A9">
        <w:rPr>
          <w:lang w:val="es-ES" w:eastAsia="ko-KR"/>
        </w:rPr>
        <w:t>782</w:t>
      </w:r>
      <w:r w:rsidR="00416C64">
        <w:rPr>
          <w:lang w:val="es-ES" w:eastAsia="ko-KR"/>
        </w:rPr>
        <w:t> </w:t>
      </w:r>
      <w:r w:rsidRPr="00C537A9">
        <w:rPr>
          <w:lang w:val="es-ES" w:eastAsia="ko-KR"/>
        </w:rPr>
        <w:t>600 CHF al Fondo de Continuidad de las Actividades para que se utilicen únicamente a fin de compensar las reuniones celebradas en Ginebra.</w:t>
      </w:r>
    </w:p>
    <w:p w14:paraId="5B0366A8" w14:textId="77777777" w:rsidR="00CD4FF2" w:rsidRPr="00C537A9" w:rsidRDefault="00CD4FF2" w:rsidP="00973B55">
      <w:pPr>
        <w:jc w:val="both"/>
        <w:rPr>
          <w:lang w:val="es-ES" w:eastAsia="ko-KR"/>
        </w:rPr>
      </w:pPr>
      <w:r w:rsidRPr="00C537A9">
        <w:rPr>
          <w:lang w:val="es-ES" w:eastAsia="ko-KR"/>
        </w:rPr>
        <w:t>4</w:t>
      </w:r>
      <w:r w:rsidRPr="00C537A9">
        <w:rPr>
          <w:lang w:val="es-ES" w:eastAsia="ko-KR"/>
        </w:rPr>
        <w:tab/>
        <w:t>El GTC-RHF recomienda al Consejo que encargue a la Secretaría la presentación de un informe para el Consejo sobre las estructuras de gobernanza, las juntas de gobierno institucional de la UIT y sus repercusiones financieras.</w:t>
      </w:r>
    </w:p>
    <w:p w14:paraId="2BEBE0E8" w14:textId="7D935870" w:rsidR="00416C64" w:rsidRDefault="00CD4FF2" w:rsidP="00973B55">
      <w:pPr>
        <w:jc w:val="both"/>
        <w:rPr>
          <w:lang w:val="es-ES" w:eastAsia="ko-KR"/>
        </w:rPr>
      </w:pPr>
      <w:r w:rsidRPr="00C537A9">
        <w:rPr>
          <w:lang w:val="es-ES" w:eastAsia="ko-KR"/>
        </w:rPr>
        <w:t>El GTC-RHF recomienda al Consejo que solicite a la Secretaría que proporcione a los consejeros los resultados, las recomendaciones y el plan de trabajo de todos los consultores recientemente contratados.</w:t>
      </w:r>
    </w:p>
    <w:p w14:paraId="58EE7D3B" w14:textId="77777777" w:rsidR="00973B55" w:rsidRPr="000C7392" w:rsidRDefault="00973B55" w:rsidP="00973B55">
      <w:pPr>
        <w:jc w:val="both"/>
        <w:rPr>
          <w:lang w:val="es-ES" w:eastAsia="ko-KR"/>
        </w:rPr>
      </w:pPr>
    </w:p>
    <w:p w14:paraId="131FE732" w14:textId="77777777" w:rsidR="00416C64" w:rsidRDefault="00416C64">
      <w:pPr>
        <w:jc w:val="center"/>
      </w:pPr>
      <w:r>
        <w:t>______________</w:t>
      </w:r>
    </w:p>
    <w:sectPr w:rsidR="00416C64" w:rsidSect="00C538FC">
      <w:footerReference w:type="default" r:id="rId178"/>
      <w:headerReference w:type="first" r:id="rId179"/>
      <w:footerReference w:type="first" r:id="rId18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CC8AA" w14:textId="77777777" w:rsidR="00CD4FF2" w:rsidRDefault="00CD4FF2">
      <w:r>
        <w:separator/>
      </w:r>
    </w:p>
  </w:endnote>
  <w:endnote w:type="continuationSeparator" w:id="0">
    <w:p w14:paraId="2DCBFFD8" w14:textId="77777777" w:rsidR="00CD4FF2" w:rsidRDefault="00CD4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7EE5B272" w14:textId="77777777" w:rsidTr="00E31DCE">
      <w:trPr>
        <w:jc w:val="center"/>
      </w:trPr>
      <w:tc>
        <w:tcPr>
          <w:tcW w:w="1803" w:type="dxa"/>
          <w:vAlign w:val="center"/>
        </w:tcPr>
        <w:p w14:paraId="7FF41202" w14:textId="0F067F57" w:rsidR="003273A4" w:rsidRDefault="002946E2" w:rsidP="003273A4">
          <w:pPr>
            <w:pStyle w:val="Header"/>
            <w:jc w:val="left"/>
            <w:rPr>
              <w:noProof/>
            </w:rPr>
          </w:pPr>
          <w:r>
            <w:rPr>
              <w:noProof/>
            </w:rPr>
            <w:t xml:space="preserve">gDoc </w:t>
          </w:r>
          <w:r w:rsidR="000C7392">
            <w:rPr>
              <w:noProof/>
            </w:rPr>
            <w:t>2600684</w:t>
          </w:r>
        </w:p>
      </w:tc>
      <w:tc>
        <w:tcPr>
          <w:tcW w:w="8261" w:type="dxa"/>
        </w:tcPr>
        <w:p w14:paraId="5163DB6D" w14:textId="1B503EC5"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42194F">
            <w:rPr>
              <w:bCs/>
            </w:rPr>
            <w:t>50</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4CFBB50D"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6C6CD901" w14:textId="77777777" w:rsidTr="00E31DCE">
      <w:trPr>
        <w:jc w:val="center"/>
      </w:trPr>
      <w:tc>
        <w:tcPr>
          <w:tcW w:w="1803" w:type="dxa"/>
          <w:vAlign w:val="center"/>
        </w:tcPr>
        <w:p w14:paraId="36BC11E2"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6806EADC" w14:textId="263013FF"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CD4FF2">
            <w:rPr>
              <w:bCs/>
            </w:rPr>
            <w:t>50</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26CDE876"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0C315" w14:textId="77777777" w:rsidR="00CD4FF2" w:rsidRDefault="00CD4FF2">
      <w:r>
        <w:t>____________________</w:t>
      </w:r>
    </w:p>
  </w:footnote>
  <w:footnote w:type="continuationSeparator" w:id="0">
    <w:p w14:paraId="44D9FA40" w14:textId="77777777" w:rsidR="00CD4FF2" w:rsidRDefault="00CD4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51315" w14:textId="77777777" w:rsidR="001559F5" w:rsidRPr="00B1560D" w:rsidRDefault="00B1560D" w:rsidP="00B1560D">
    <w:pPr>
      <w:pStyle w:val="Header"/>
    </w:pPr>
    <w:r>
      <w:rPr>
        <w:noProof/>
      </w:rPr>
      <w:drawing>
        <wp:inline distT="0" distB="0" distL="0" distR="0" wp14:anchorId="51ECF0F0" wp14:editId="7373E94A">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6810EB"/>
    <w:multiLevelType w:val="hybridMultilevel"/>
    <w:tmpl w:val="49F00602"/>
    <w:lvl w:ilvl="0" w:tplc="9A6A392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81784"/>
    <w:multiLevelType w:val="hybridMultilevel"/>
    <w:tmpl w:val="CDF4B4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8D66ED"/>
    <w:multiLevelType w:val="hybridMultilevel"/>
    <w:tmpl w:val="B86450CC"/>
    <w:lvl w:ilvl="0" w:tplc="018235E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96162"/>
    <w:multiLevelType w:val="hybridMultilevel"/>
    <w:tmpl w:val="A8B24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C7887"/>
    <w:multiLevelType w:val="hybridMultilevel"/>
    <w:tmpl w:val="F99A3CA4"/>
    <w:lvl w:ilvl="0" w:tplc="599AEFB0">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C1B4D"/>
    <w:multiLevelType w:val="hybridMultilevel"/>
    <w:tmpl w:val="16CABF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270527B"/>
    <w:multiLevelType w:val="hybridMultilevel"/>
    <w:tmpl w:val="E34C74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F7012E"/>
    <w:multiLevelType w:val="multilevel"/>
    <w:tmpl w:val="614AD36E"/>
    <w:lvl w:ilvl="0">
      <w:start w:val="1"/>
      <w:numFmt w:val="decimal"/>
      <w:lvlText w:val="%1"/>
      <w:lvlJc w:val="left"/>
      <w:pPr>
        <w:ind w:left="360" w:hanging="360"/>
      </w:pPr>
      <w:rPr>
        <w:rFonts w:ascii="Calibri" w:hAnsi="Calibri" w:hint="default"/>
      </w:rPr>
    </w:lvl>
    <w:lvl w:ilvl="1">
      <w:start w:val="1"/>
      <w:numFmt w:val="bullet"/>
      <w:lvlText w:val=""/>
      <w:lvlJc w:val="left"/>
      <w:pPr>
        <w:ind w:left="360" w:firstLine="0"/>
      </w:pPr>
      <w:rPr>
        <w:rFonts w:ascii="Symbol" w:hAnsi="Symbol"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1080" w:hanging="108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440" w:hanging="144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800" w:hanging="180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9" w15:restartNumberingAfterBreak="0">
    <w:nsid w:val="2F9F22AC"/>
    <w:multiLevelType w:val="multilevel"/>
    <w:tmpl w:val="614AD36E"/>
    <w:lvl w:ilvl="0">
      <w:start w:val="1"/>
      <w:numFmt w:val="decimal"/>
      <w:lvlText w:val="%1"/>
      <w:lvlJc w:val="left"/>
      <w:pPr>
        <w:ind w:left="360" w:hanging="360"/>
      </w:pPr>
      <w:rPr>
        <w:rFonts w:ascii="Calibri" w:hAnsi="Calibri" w:hint="default"/>
      </w:rPr>
    </w:lvl>
    <w:lvl w:ilvl="1">
      <w:start w:val="1"/>
      <w:numFmt w:val="bullet"/>
      <w:lvlText w:val=""/>
      <w:lvlJc w:val="left"/>
      <w:pPr>
        <w:ind w:left="360" w:firstLine="0"/>
      </w:pPr>
      <w:rPr>
        <w:rFonts w:ascii="Symbol" w:hAnsi="Symbol"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1080" w:hanging="108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440" w:hanging="144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800" w:hanging="180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10" w15:restartNumberingAfterBreak="0">
    <w:nsid w:val="3CA30BDB"/>
    <w:multiLevelType w:val="hybridMultilevel"/>
    <w:tmpl w:val="1E8426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6EB6954"/>
    <w:multiLevelType w:val="hybridMultilevel"/>
    <w:tmpl w:val="FE5EF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DB5F0E"/>
    <w:multiLevelType w:val="multilevel"/>
    <w:tmpl w:val="6C36AFC6"/>
    <w:lvl w:ilvl="0">
      <w:start w:val="1"/>
      <w:numFmt w:val="decimal"/>
      <w:lvlText w:val="%1"/>
      <w:lvlJc w:val="left"/>
      <w:pPr>
        <w:ind w:left="360" w:hanging="360"/>
      </w:pPr>
      <w:rPr>
        <w:rFonts w:ascii="Calibri" w:hAnsi="Calibri" w:hint="default"/>
      </w:rPr>
    </w:lvl>
    <w:lvl w:ilvl="1">
      <w:start w:val="1"/>
      <w:numFmt w:val="decimal"/>
      <w:lvlText w:val="%1.%2"/>
      <w:lvlJc w:val="left"/>
      <w:pPr>
        <w:ind w:left="360" w:hanging="360"/>
      </w:pPr>
      <w:rPr>
        <w:rFonts w:ascii="Calibri" w:hAnsi="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1080" w:hanging="108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440" w:hanging="144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800" w:hanging="180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13" w15:restartNumberingAfterBreak="0">
    <w:nsid w:val="59375CFB"/>
    <w:multiLevelType w:val="multilevel"/>
    <w:tmpl w:val="861C4CAC"/>
    <w:lvl w:ilvl="0">
      <w:start w:val="1"/>
      <w:numFmt w:val="decimal"/>
      <w:lvlText w:val="%1"/>
      <w:lvlJc w:val="left"/>
      <w:pPr>
        <w:ind w:left="720" w:firstLine="0"/>
      </w:pPr>
      <w:rPr>
        <w:rFonts w:ascii="Calibri" w:hAnsi="Calibri" w:hint="default"/>
        <w:b/>
        <w:bCs/>
      </w:rPr>
    </w:lvl>
    <w:lvl w:ilvl="1">
      <w:start w:val="1"/>
      <w:numFmt w:val="decimal"/>
      <w:lvlText w:val="%1.%2"/>
      <w:lvlJc w:val="left"/>
      <w:pPr>
        <w:ind w:left="720" w:firstLine="0"/>
      </w:pPr>
      <w:rPr>
        <w:rFonts w:ascii="Calibri" w:hAnsi="Calibri" w:hint="default"/>
        <w:b w:val="0"/>
        <w:bCs/>
      </w:rPr>
    </w:lvl>
    <w:lvl w:ilvl="2">
      <w:start w:val="1"/>
      <w:numFmt w:val="decimal"/>
      <w:lvlText w:val="%1.%2.%3"/>
      <w:lvlJc w:val="left"/>
      <w:pPr>
        <w:ind w:left="720" w:firstLine="0"/>
      </w:pPr>
      <w:rPr>
        <w:rFonts w:ascii="Calibri" w:hAnsi="Calibri" w:hint="default"/>
      </w:rPr>
    </w:lvl>
    <w:lvl w:ilvl="3">
      <w:start w:val="1"/>
      <w:numFmt w:val="decimal"/>
      <w:lvlText w:val="%1.%2.%3.%4"/>
      <w:lvlJc w:val="left"/>
      <w:pPr>
        <w:ind w:left="720" w:firstLine="0"/>
      </w:pPr>
      <w:rPr>
        <w:rFonts w:ascii="Calibri" w:hAnsi="Calibri" w:hint="default"/>
      </w:rPr>
    </w:lvl>
    <w:lvl w:ilvl="4">
      <w:start w:val="1"/>
      <w:numFmt w:val="decimal"/>
      <w:lvlText w:val="%1.%2.%3.%4.%5"/>
      <w:lvlJc w:val="left"/>
      <w:pPr>
        <w:ind w:left="720" w:firstLine="0"/>
      </w:pPr>
      <w:rPr>
        <w:rFonts w:ascii="Calibri" w:hAnsi="Calibri" w:hint="default"/>
      </w:rPr>
    </w:lvl>
    <w:lvl w:ilvl="5">
      <w:start w:val="1"/>
      <w:numFmt w:val="decimal"/>
      <w:lvlText w:val="%1.%2.%3.%4.%5.%6"/>
      <w:lvlJc w:val="left"/>
      <w:pPr>
        <w:ind w:left="720" w:firstLine="0"/>
      </w:pPr>
      <w:rPr>
        <w:rFonts w:ascii="Calibri" w:hAnsi="Calibri" w:hint="default"/>
      </w:rPr>
    </w:lvl>
    <w:lvl w:ilvl="6">
      <w:start w:val="1"/>
      <w:numFmt w:val="decimal"/>
      <w:lvlText w:val="%1.%2.%3.%4.%5.%6.%7"/>
      <w:lvlJc w:val="left"/>
      <w:pPr>
        <w:ind w:left="720" w:firstLine="0"/>
      </w:pPr>
      <w:rPr>
        <w:rFonts w:ascii="Calibri" w:hAnsi="Calibri" w:hint="default"/>
      </w:rPr>
    </w:lvl>
    <w:lvl w:ilvl="7">
      <w:start w:val="1"/>
      <w:numFmt w:val="decimal"/>
      <w:lvlText w:val="%1.%2.%3.%4.%5.%6.%7.%8"/>
      <w:lvlJc w:val="left"/>
      <w:pPr>
        <w:ind w:left="720" w:firstLine="0"/>
      </w:pPr>
      <w:rPr>
        <w:rFonts w:ascii="Calibri" w:hAnsi="Calibri" w:hint="default"/>
      </w:rPr>
    </w:lvl>
    <w:lvl w:ilvl="8">
      <w:start w:val="1"/>
      <w:numFmt w:val="decimal"/>
      <w:lvlText w:val="%1.%2.%3.%4.%5.%6.%7.%8.%9"/>
      <w:lvlJc w:val="left"/>
      <w:pPr>
        <w:ind w:left="720" w:firstLine="0"/>
      </w:pPr>
      <w:rPr>
        <w:rFonts w:ascii="Calibri" w:hAnsi="Calibri" w:hint="default"/>
      </w:rPr>
    </w:lvl>
  </w:abstractNum>
  <w:abstractNum w:abstractNumId="14" w15:restartNumberingAfterBreak="0">
    <w:nsid w:val="5FF46786"/>
    <w:multiLevelType w:val="hybridMultilevel"/>
    <w:tmpl w:val="935490AC"/>
    <w:lvl w:ilvl="0" w:tplc="4ECA2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BC21B4"/>
    <w:multiLevelType w:val="multilevel"/>
    <w:tmpl w:val="97807A02"/>
    <w:lvl w:ilvl="0">
      <w:start w:val="1"/>
      <w:numFmt w:val="decimal"/>
      <w:lvlText w:val="%1"/>
      <w:lvlJc w:val="left"/>
      <w:pPr>
        <w:ind w:left="360" w:hanging="360"/>
      </w:pPr>
      <w:rPr>
        <w:rFonts w:ascii="Calibri" w:hAnsi="Calibri" w:hint="default"/>
      </w:rPr>
    </w:lvl>
    <w:lvl w:ilvl="1">
      <w:start w:val="2"/>
      <w:numFmt w:val="bullet"/>
      <w:lvlText w:val="-"/>
      <w:lvlJc w:val="left"/>
      <w:pPr>
        <w:ind w:left="720" w:hanging="360"/>
      </w:pPr>
      <w:rPr>
        <w:rFonts w:ascii="Calibri" w:eastAsia="Times New Roman" w:hAnsi="Calibri" w:cs="Calibri" w:hint="default"/>
      </w:rPr>
    </w:lvl>
    <w:lvl w:ilvl="2">
      <w:start w:val="1"/>
      <w:numFmt w:val="decimal"/>
      <w:lvlText w:val="%1.%2.%3"/>
      <w:lvlJc w:val="left"/>
      <w:pPr>
        <w:ind w:left="720" w:hanging="720"/>
      </w:pPr>
      <w:rPr>
        <w:rFonts w:ascii="Calibri" w:hAnsi="Calibri" w:hint="default"/>
      </w:rPr>
    </w:lvl>
    <w:lvl w:ilvl="3">
      <w:start w:val="1"/>
      <w:numFmt w:val="decimal"/>
      <w:lvlText w:val="%1.%2.%3.%4"/>
      <w:lvlJc w:val="left"/>
      <w:pPr>
        <w:ind w:left="1080" w:hanging="108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440" w:hanging="144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800" w:hanging="180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16" w15:restartNumberingAfterBreak="0">
    <w:nsid w:val="67963AEA"/>
    <w:multiLevelType w:val="multilevel"/>
    <w:tmpl w:val="D000207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0C1F0F"/>
    <w:multiLevelType w:val="hybridMultilevel"/>
    <w:tmpl w:val="985A32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4F777CB"/>
    <w:multiLevelType w:val="hybridMultilevel"/>
    <w:tmpl w:val="E68AC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334835"/>
    <w:multiLevelType w:val="multilevel"/>
    <w:tmpl w:val="B71A173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5809574">
    <w:abstractNumId w:val="0"/>
  </w:num>
  <w:num w:numId="2" w16cid:durableId="153495449">
    <w:abstractNumId w:val="13"/>
  </w:num>
  <w:num w:numId="3" w16cid:durableId="607544928">
    <w:abstractNumId w:val="12"/>
  </w:num>
  <w:num w:numId="4" w16cid:durableId="1171992222">
    <w:abstractNumId w:val="2"/>
  </w:num>
  <w:num w:numId="5" w16cid:durableId="179318392">
    <w:abstractNumId w:val="8"/>
  </w:num>
  <w:num w:numId="6" w16cid:durableId="1351105330">
    <w:abstractNumId w:val="9"/>
  </w:num>
  <w:num w:numId="7" w16cid:durableId="1350913269">
    <w:abstractNumId w:val="15"/>
  </w:num>
  <w:num w:numId="8" w16cid:durableId="544099621">
    <w:abstractNumId w:val="14"/>
  </w:num>
  <w:num w:numId="9" w16cid:durableId="1404991398">
    <w:abstractNumId w:val="4"/>
  </w:num>
  <w:num w:numId="10" w16cid:durableId="1182864337">
    <w:abstractNumId w:val="19"/>
  </w:num>
  <w:num w:numId="11" w16cid:durableId="931934271">
    <w:abstractNumId w:val="16"/>
  </w:num>
  <w:num w:numId="12" w16cid:durableId="1738361321">
    <w:abstractNumId w:val="5"/>
  </w:num>
  <w:num w:numId="13" w16cid:durableId="885798779">
    <w:abstractNumId w:val="1"/>
  </w:num>
  <w:num w:numId="14" w16cid:durableId="1320764021">
    <w:abstractNumId w:val="6"/>
  </w:num>
  <w:num w:numId="15" w16cid:durableId="1609922302">
    <w:abstractNumId w:val="17"/>
  </w:num>
  <w:num w:numId="16" w16cid:durableId="1537081547">
    <w:abstractNumId w:val="10"/>
  </w:num>
  <w:num w:numId="17" w16cid:durableId="241262154">
    <w:abstractNumId w:val="7"/>
  </w:num>
  <w:num w:numId="18" w16cid:durableId="258831549">
    <w:abstractNumId w:val="3"/>
  </w:num>
  <w:num w:numId="19" w16cid:durableId="1223980947">
    <w:abstractNumId w:val="11"/>
  </w:num>
  <w:num w:numId="20" w16cid:durableId="105358135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FF2"/>
    <w:rsid w:val="000007D1"/>
    <w:rsid w:val="0000149E"/>
    <w:rsid w:val="00024C11"/>
    <w:rsid w:val="0006007D"/>
    <w:rsid w:val="00093EEB"/>
    <w:rsid w:val="000B0D00"/>
    <w:rsid w:val="000B7C15"/>
    <w:rsid w:val="000C7392"/>
    <w:rsid w:val="000D1D0F"/>
    <w:rsid w:val="000D41F6"/>
    <w:rsid w:val="000E3F07"/>
    <w:rsid w:val="000F5290"/>
    <w:rsid w:val="000F5A95"/>
    <w:rsid w:val="0010165C"/>
    <w:rsid w:val="00146BFB"/>
    <w:rsid w:val="001559F5"/>
    <w:rsid w:val="00157AC4"/>
    <w:rsid w:val="0016169C"/>
    <w:rsid w:val="00183C33"/>
    <w:rsid w:val="001958F5"/>
    <w:rsid w:val="001B66DB"/>
    <w:rsid w:val="001B6E2B"/>
    <w:rsid w:val="001F14A2"/>
    <w:rsid w:val="00216A53"/>
    <w:rsid w:val="002523F4"/>
    <w:rsid w:val="00277DEA"/>
    <w:rsid w:val="002801AA"/>
    <w:rsid w:val="002946E2"/>
    <w:rsid w:val="002B1EB7"/>
    <w:rsid w:val="002C3F32"/>
    <w:rsid w:val="002C4676"/>
    <w:rsid w:val="002C70B0"/>
    <w:rsid w:val="002F3CC4"/>
    <w:rsid w:val="003032E2"/>
    <w:rsid w:val="0031104E"/>
    <w:rsid w:val="0031300A"/>
    <w:rsid w:val="003273A4"/>
    <w:rsid w:val="0034796E"/>
    <w:rsid w:val="00416C64"/>
    <w:rsid w:val="0042194F"/>
    <w:rsid w:val="004571B0"/>
    <w:rsid w:val="00465C35"/>
    <w:rsid w:val="00473962"/>
    <w:rsid w:val="004B5D49"/>
    <w:rsid w:val="004C2523"/>
    <w:rsid w:val="004D3A3C"/>
    <w:rsid w:val="004D423D"/>
    <w:rsid w:val="004E16B3"/>
    <w:rsid w:val="00512DB0"/>
    <w:rsid w:val="00513630"/>
    <w:rsid w:val="0053224A"/>
    <w:rsid w:val="00560125"/>
    <w:rsid w:val="00585553"/>
    <w:rsid w:val="005B34D9"/>
    <w:rsid w:val="005D0CCF"/>
    <w:rsid w:val="005D35A4"/>
    <w:rsid w:val="005F0915"/>
    <w:rsid w:val="005F3BCB"/>
    <w:rsid w:val="005F410F"/>
    <w:rsid w:val="0060149A"/>
    <w:rsid w:val="00601924"/>
    <w:rsid w:val="006447EA"/>
    <w:rsid w:val="0064481D"/>
    <w:rsid w:val="00645235"/>
    <w:rsid w:val="0064731F"/>
    <w:rsid w:val="00661DA5"/>
    <w:rsid w:val="00662DED"/>
    <w:rsid w:val="00664572"/>
    <w:rsid w:val="00666D09"/>
    <w:rsid w:val="00670579"/>
    <w:rsid w:val="006710F6"/>
    <w:rsid w:val="00677A97"/>
    <w:rsid w:val="006B3BE9"/>
    <w:rsid w:val="006C1B56"/>
    <w:rsid w:val="006D4761"/>
    <w:rsid w:val="00726872"/>
    <w:rsid w:val="00760F1C"/>
    <w:rsid w:val="007657F0"/>
    <w:rsid w:val="0077110E"/>
    <w:rsid w:val="0077252D"/>
    <w:rsid w:val="0078642C"/>
    <w:rsid w:val="007955DA"/>
    <w:rsid w:val="007E0CBE"/>
    <w:rsid w:val="007E5DD3"/>
    <w:rsid w:val="007F350B"/>
    <w:rsid w:val="0080016D"/>
    <w:rsid w:val="00820BE4"/>
    <w:rsid w:val="0082134B"/>
    <w:rsid w:val="008451E8"/>
    <w:rsid w:val="0084546D"/>
    <w:rsid w:val="008F6ABC"/>
    <w:rsid w:val="00913B9C"/>
    <w:rsid w:val="00927F93"/>
    <w:rsid w:val="00956E77"/>
    <w:rsid w:val="00973B55"/>
    <w:rsid w:val="00984FD9"/>
    <w:rsid w:val="009A338E"/>
    <w:rsid w:val="009A76A8"/>
    <w:rsid w:val="009F4811"/>
    <w:rsid w:val="00A01F4F"/>
    <w:rsid w:val="00A109AF"/>
    <w:rsid w:val="00A64F7F"/>
    <w:rsid w:val="00A94438"/>
    <w:rsid w:val="00AA390C"/>
    <w:rsid w:val="00AB4AD1"/>
    <w:rsid w:val="00AD5A4D"/>
    <w:rsid w:val="00AF0EAC"/>
    <w:rsid w:val="00B0200A"/>
    <w:rsid w:val="00B060DF"/>
    <w:rsid w:val="00B1560D"/>
    <w:rsid w:val="00B574DB"/>
    <w:rsid w:val="00B826C2"/>
    <w:rsid w:val="00B8298E"/>
    <w:rsid w:val="00BB6FD8"/>
    <w:rsid w:val="00BD0723"/>
    <w:rsid w:val="00BD2518"/>
    <w:rsid w:val="00BF1D1C"/>
    <w:rsid w:val="00C20C59"/>
    <w:rsid w:val="00C2727F"/>
    <w:rsid w:val="00C4421B"/>
    <w:rsid w:val="00C538FC"/>
    <w:rsid w:val="00C55B1F"/>
    <w:rsid w:val="00CD4FF2"/>
    <w:rsid w:val="00CF1A67"/>
    <w:rsid w:val="00D2750E"/>
    <w:rsid w:val="00D375E0"/>
    <w:rsid w:val="00D50A36"/>
    <w:rsid w:val="00D62446"/>
    <w:rsid w:val="00DA4EA2"/>
    <w:rsid w:val="00DC3D3E"/>
    <w:rsid w:val="00DE2C90"/>
    <w:rsid w:val="00DE3B24"/>
    <w:rsid w:val="00DE7376"/>
    <w:rsid w:val="00E06947"/>
    <w:rsid w:val="00E11319"/>
    <w:rsid w:val="00E21444"/>
    <w:rsid w:val="00E34072"/>
    <w:rsid w:val="00E3592D"/>
    <w:rsid w:val="00E50870"/>
    <w:rsid w:val="00E50D76"/>
    <w:rsid w:val="00E8018B"/>
    <w:rsid w:val="00E92DE8"/>
    <w:rsid w:val="00EB1212"/>
    <w:rsid w:val="00ED65AB"/>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1F7FFB"/>
  <w15:docId w15:val="{E249093C-3CC5-4B25-A0A3-D6484055C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link w:val="Heading1Char"/>
    <w:uiPriority w:val="9"/>
    <w:qFormat/>
    <w:rsid w:val="000F5A95"/>
    <w:pPr>
      <w:keepNext/>
      <w:keepLines/>
      <w:spacing w:before="360"/>
      <w:ind w:left="567" w:hanging="567"/>
      <w:outlineLvl w:val="0"/>
    </w:pPr>
    <w:rPr>
      <w:b/>
      <w:sz w:val="28"/>
    </w:rPr>
  </w:style>
  <w:style w:type="paragraph" w:styleId="Heading2">
    <w:name w:val="heading 2"/>
    <w:basedOn w:val="Heading1"/>
    <w:next w:val="Normal"/>
    <w:link w:val="Heading2Char"/>
    <w:uiPriority w:val="9"/>
    <w:qFormat/>
    <w:rsid w:val="000F5A95"/>
    <w:pPr>
      <w:spacing w:before="200"/>
      <w:outlineLvl w:val="1"/>
    </w:pPr>
    <w:rPr>
      <w:sz w:val="24"/>
    </w:rPr>
  </w:style>
  <w:style w:type="paragraph" w:styleId="Heading3">
    <w:name w:val="heading 3"/>
    <w:basedOn w:val="Heading1"/>
    <w:next w:val="Normal"/>
    <w:link w:val="Heading3Char"/>
    <w:uiPriority w:val="9"/>
    <w:qFormat/>
    <w:rsid w:val="000F5A95"/>
    <w:pPr>
      <w:spacing w:before="200"/>
      <w:outlineLvl w:val="2"/>
    </w:pPr>
    <w:rPr>
      <w:sz w:val="24"/>
    </w:rPr>
  </w:style>
  <w:style w:type="paragraph" w:styleId="Heading4">
    <w:name w:val="heading 4"/>
    <w:basedOn w:val="Heading3"/>
    <w:next w:val="Normal"/>
    <w:link w:val="Heading4Char"/>
    <w:uiPriority w:val="9"/>
    <w:qFormat/>
    <w:rsid w:val="000F5A95"/>
    <w:pPr>
      <w:ind w:left="1134" w:hanging="1134"/>
      <w:outlineLvl w:val="3"/>
    </w:pPr>
  </w:style>
  <w:style w:type="paragraph" w:styleId="Heading5">
    <w:name w:val="heading 5"/>
    <w:basedOn w:val="Heading4"/>
    <w:next w:val="Normal"/>
    <w:link w:val="Heading5Char"/>
    <w:uiPriority w:val="9"/>
    <w:qFormat/>
    <w:rsid w:val="000F5A95"/>
    <w:pPr>
      <w:outlineLvl w:val="4"/>
    </w:pPr>
  </w:style>
  <w:style w:type="paragraph" w:styleId="Heading6">
    <w:name w:val="heading 6"/>
    <w:basedOn w:val="Heading4"/>
    <w:next w:val="Normal"/>
    <w:link w:val="Heading6Char"/>
    <w:uiPriority w:val="9"/>
    <w:qFormat/>
    <w:rsid w:val="000F5A95"/>
    <w:pPr>
      <w:outlineLvl w:val="5"/>
    </w:pPr>
  </w:style>
  <w:style w:type="paragraph" w:styleId="Heading7">
    <w:name w:val="heading 7"/>
    <w:basedOn w:val="Heading4"/>
    <w:next w:val="Normal"/>
    <w:link w:val="Heading7Char"/>
    <w:uiPriority w:val="9"/>
    <w:qFormat/>
    <w:rsid w:val="000F5A95"/>
    <w:pPr>
      <w:ind w:left="1701" w:hanging="1701"/>
      <w:outlineLvl w:val="6"/>
    </w:pPr>
  </w:style>
  <w:style w:type="paragraph" w:styleId="Heading8">
    <w:name w:val="heading 8"/>
    <w:basedOn w:val="Heading4"/>
    <w:next w:val="Normal"/>
    <w:link w:val="Heading8Char"/>
    <w:uiPriority w:val="9"/>
    <w:qFormat/>
    <w:rsid w:val="000F5A95"/>
    <w:pPr>
      <w:ind w:left="1701" w:hanging="1701"/>
      <w:outlineLvl w:val="7"/>
    </w:pPr>
  </w:style>
  <w:style w:type="paragraph" w:styleId="Heading9">
    <w:name w:val="heading 9"/>
    <w:basedOn w:val="Heading4"/>
    <w:next w:val="Normal"/>
    <w:link w:val="Heading9Char"/>
    <w:uiPriority w:val="9"/>
    <w:qFormat/>
    <w:rsid w:val="000F5A9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link w:val="FooterChar"/>
    <w:uiPriority w:val="99"/>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qFormat/>
    <w:rsid w:val="000F5A95"/>
    <w:pPr>
      <w:keepNext/>
      <w:keepLines/>
      <w:spacing w:before="720"/>
      <w:jc w:val="center"/>
    </w:pPr>
    <w:rPr>
      <w:caps/>
      <w:sz w:val="28"/>
    </w:rPr>
  </w:style>
  <w:style w:type="paragraph" w:customStyle="1" w:styleId="Annextitle">
    <w:name w:val="Annex_title"/>
    <w:basedOn w:val="Normal"/>
    <w:next w:val="Normalaftertitle"/>
    <w:qFormat/>
    <w:rsid w:val="000F5A95"/>
    <w:pPr>
      <w:keepNext/>
      <w:keepLines/>
      <w:spacing w:before="240" w:after="240"/>
      <w:jc w:val="center"/>
    </w:pPr>
    <w:rPr>
      <w:b/>
      <w:sz w:val="28"/>
    </w:rPr>
  </w:style>
  <w:style w:type="paragraph" w:customStyle="1" w:styleId="Annexref">
    <w:name w:val="Annex_ref"/>
    <w:basedOn w:val="Normal"/>
    <w:next w:val="Annextitle"/>
    <w:qFormat/>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qFormat/>
    <w:rsid w:val="000F5A95"/>
    <w:pPr>
      <w:spacing w:before="80"/>
      <w:ind w:left="567" w:hanging="567"/>
    </w:pPr>
  </w:style>
  <w:style w:type="paragraph" w:customStyle="1" w:styleId="enumlev2">
    <w:name w:val="enumlev2"/>
    <w:basedOn w:val="enumlev1"/>
    <w:qFormat/>
    <w:rsid w:val="000F5A95"/>
    <w:pPr>
      <w:ind w:left="1134"/>
    </w:pPr>
  </w:style>
  <w:style w:type="paragraph" w:customStyle="1" w:styleId="enumlev3">
    <w:name w:val="enumlev3"/>
    <w:basedOn w:val="enumlev2"/>
    <w:qFormat/>
    <w:rsid w:val="000F5A95"/>
    <w:pPr>
      <w:ind w:left="1701"/>
    </w:pPr>
  </w:style>
  <w:style w:type="paragraph" w:customStyle="1" w:styleId="Artheading">
    <w:name w:val="Art_heading"/>
    <w:basedOn w:val="Normal"/>
    <w:next w:val="Normalaftertitle"/>
    <w:qFormat/>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qFormat/>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qFormat/>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qFormat/>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qFormat/>
    <w:rsid w:val="000F5A95"/>
  </w:style>
  <w:style w:type="paragraph" w:customStyle="1" w:styleId="Chaptitle">
    <w:name w:val="Chap_title"/>
    <w:basedOn w:val="Arttitle"/>
    <w:next w:val="Normalaftertitle"/>
    <w:qFormat/>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qFormat/>
    <w:rsid w:val="000F5A95"/>
    <w:pPr>
      <w:spacing w:after="240"/>
      <w:jc w:val="center"/>
    </w:pPr>
  </w:style>
  <w:style w:type="paragraph" w:customStyle="1" w:styleId="Figuretitle">
    <w:name w:val="Figure_title"/>
    <w:basedOn w:val="Tabletitle"/>
    <w:next w:val="Normalaftertitle"/>
    <w:qFormat/>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qFormat/>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1B66DB"/>
    <w:pPr>
      <w:framePr w:hSpace="181" w:wrap="around" w:vAnchor="page" w:hAnchor="page" w:x="1589" w:y="2314"/>
      <w:spacing w:before="840"/>
    </w:pPr>
    <w:rPr>
      <w:rFonts w:cstheme="minorHAnsi"/>
      <w:b/>
      <w:sz w:val="32"/>
      <w:szCs w:val="32"/>
      <w:lang w:val="es-ES"/>
    </w:rPr>
  </w:style>
  <w:style w:type="paragraph" w:customStyle="1" w:styleId="Data">
    <w:name w:val="Data"/>
    <w:basedOn w:val="Subject"/>
    <w:next w:val="Subject"/>
    <w:rsid w:val="000F5A95"/>
  </w:style>
  <w:style w:type="character" w:styleId="Hyperlink">
    <w:name w:val="Hyperlink"/>
    <w:aliases w:val="CEO_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uiPriority w:val="99"/>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qFormat/>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 w:type="paragraph" w:styleId="Revision">
    <w:name w:val="Revision"/>
    <w:hidden/>
    <w:uiPriority w:val="99"/>
    <w:semiHidden/>
    <w:rsid w:val="00CD4FF2"/>
    <w:rPr>
      <w:rFonts w:ascii="Calibri" w:hAnsi="Calibri"/>
      <w:sz w:val="24"/>
      <w:lang w:val="en-GB" w:eastAsia="en-US"/>
    </w:rPr>
  </w:style>
  <w:style w:type="character" w:customStyle="1" w:styleId="Heading1Char">
    <w:name w:val="Heading 1 Char"/>
    <w:basedOn w:val="DefaultParagraphFont"/>
    <w:link w:val="Heading1"/>
    <w:uiPriority w:val="9"/>
    <w:rsid w:val="00CD4FF2"/>
    <w:rPr>
      <w:rFonts w:ascii="Calibri" w:hAnsi="Calibri"/>
      <w:b/>
      <w:sz w:val="28"/>
      <w:lang w:val="fr-FR" w:eastAsia="en-US"/>
    </w:rPr>
  </w:style>
  <w:style w:type="character" w:customStyle="1" w:styleId="Heading2Char">
    <w:name w:val="Heading 2 Char"/>
    <w:basedOn w:val="DefaultParagraphFont"/>
    <w:link w:val="Heading2"/>
    <w:uiPriority w:val="9"/>
    <w:rsid w:val="00CD4FF2"/>
    <w:rPr>
      <w:rFonts w:ascii="Calibri" w:hAnsi="Calibri"/>
      <w:b/>
      <w:sz w:val="24"/>
      <w:lang w:val="fr-FR" w:eastAsia="en-US"/>
    </w:rPr>
  </w:style>
  <w:style w:type="character" w:customStyle="1" w:styleId="Heading3Char">
    <w:name w:val="Heading 3 Char"/>
    <w:basedOn w:val="DefaultParagraphFont"/>
    <w:link w:val="Heading3"/>
    <w:uiPriority w:val="9"/>
    <w:rsid w:val="00CD4FF2"/>
    <w:rPr>
      <w:rFonts w:ascii="Calibri" w:hAnsi="Calibri"/>
      <w:b/>
      <w:sz w:val="24"/>
      <w:lang w:val="fr-FR" w:eastAsia="en-US"/>
    </w:rPr>
  </w:style>
  <w:style w:type="character" w:customStyle="1" w:styleId="Heading4Char">
    <w:name w:val="Heading 4 Char"/>
    <w:basedOn w:val="DefaultParagraphFont"/>
    <w:link w:val="Heading4"/>
    <w:uiPriority w:val="9"/>
    <w:rsid w:val="00CD4FF2"/>
    <w:rPr>
      <w:rFonts w:ascii="Calibri" w:hAnsi="Calibri"/>
      <w:b/>
      <w:sz w:val="24"/>
      <w:lang w:val="fr-FR" w:eastAsia="en-US"/>
    </w:rPr>
  </w:style>
  <w:style w:type="character" w:customStyle="1" w:styleId="Heading5Char">
    <w:name w:val="Heading 5 Char"/>
    <w:basedOn w:val="DefaultParagraphFont"/>
    <w:link w:val="Heading5"/>
    <w:uiPriority w:val="9"/>
    <w:rsid w:val="00CD4FF2"/>
    <w:rPr>
      <w:rFonts w:ascii="Calibri" w:hAnsi="Calibri"/>
      <w:b/>
      <w:sz w:val="24"/>
      <w:lang w:val="fr-FR" w:eastAsia="en-US"/>
    </w:rPr>
  </w:style>
  <w:style w:type="character" w:customStyle="1" w:styleId="Heading6Char">
    <w:name w:val="Heading 6 Char"/>
    <w:basedOn w:val="DefaultParagraphFont"/>
    <w:link w:val="Heading6"/>
    <w:uiPriority w:val="9"/>
    <w:rsid w:val="00CD4FF2"/>
    <w:rPr>
      <w:rFonts w:ascii="Calibri" w:hAnsi="Calibri"/>
      <w:b/>
      <w:sz w:val="24"/>
      <w:lang w:val="fr-FR" w:eastAsia="en-US"/>
    </w:rPr>
  </w:style>
  <w:style w:type="character" w:customStyle="1" w:styleId="Heading7Char">
    <w:name w:val="Heading 7 Char"/>
    <w:basedOn w:val="DefaultParagraphFont"/>
    <w:link w:val="Heading7"/>
    <w:uiPriority w:val="9"/>
    <w:rsid w:val="00CD4FF2"/>
    <w:rPr>
      <w:rFonts w:ascii="Calibri" w:hAnsi="Calibri"/>
      <w:b/>
      <w:sz w:val="24"/>
      <w:lang w:val="fr-FR" w:eastAsia="en-US"/>
    </w:rPr>
  </w:style>
  <w:style w:type="character" w:customStyle="1" w:styleId="Heading8Char">
    <w:name w:val="Heading 8 Char"/>
    <w:basedOn w:val="DefaultParagraphFont"/>
    <w:link w:val="Heading8"/>
    <w:uiPriority w:val="9"/>
    <w:rsid w:val="00CD4FF2"/>
    <w:rPr>
      <w:rFonts w:ascii="Calibri" w:hAnsi="Calibri"/>
      <w:b/>
      <w:sz w:val="24"/>
      <w:lang w:val="fr-FR" w:eastAsia="en-US"/>
    </w:rPr>
  </w:style>
  <w:style w:type="character" w:customStyle="1" w:styleId="Heading9Char">
    <w:name w:val="Heading 9 Char"/>
    <w:basedOn w:val="DefaultParagraphFont"/>
    <w:link w:val="Heading9"/>
    <w:uiPriority w:val="9"/>
    <w:rsid w:val="00CD4FF2"/>
    <w:rPr>
      <w:rFonts w:ascii="Calibri" w:hAnsi="Calibri"/>
      <w:b/>
      <w:sz w:val="24"/>
      <w:lang w:val="fr-FR" w:eastAsia="en-US"/>
    </w:rPr>
  </w:style>
  <w:style w:type="paragraph" w:styleId="Title">
    <w:name w:val="Title"/>
    <w:basedOn w:val="Normal"/>
    <w:next w:val="Normal"/>
    <w:link w:val="TitleChar"/>
    <w:uiPriority w:val="10"/>
    <w:qFormat/>
    <w:rsid w:val="00CD4FF2"/>
    <w:pPr>
      <w:tabs>
        <w:tab w:val="clear" w:pos="567"/>
        <w:tab w:val="clear" w:pos="1134"/>
        <w:tab w:val="clear" w:pos="1701"/>
        <w:tab w:val="clear" w:pos="2268"/>
        <w:tab w:val="clear" w:pos="2835"/>
      </w:tabs>
      <w:spacing w:after="80"/>
      <w:contextualSpacing/>
      <w:jc w:val="both"/>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CD4FF2"/>
    <w:rPr>
      <w:rFonts w:asciiTheme="majorHAnsi" w:eastAsiaTheme="majorEastAsia" w:hAnsiTheme="majorHAnsi" w:cstheme="majorBidi"/>
      <w:spacing w:val="-10"/>
      <w:kern w:val="28"/>
      <w:sz w:val="56"/>
      <w:szCs w:val="56"/>
      <w:lang w:val="en-GB" w:eastAsia="en-US"/>
    </w:rPr>
  </w:style>
  <w:style w:type="paragraph" w:styleId="Subtitle0">
    <w:name w:val="Subtitle"/>
    <w:basedOn w:val="Normal"/>
    <w:next w:val="Normal"/>
    <w:link w:val="SubtitleChar"/>
    <w:uiPriority w:val="11"/>
    <w:qFormat/>
    <w:rsid w:val="00CD4FF2"/>
    <w:pPr>
      <w:numPr>
        <w:ilvl w:val="1"/>
      </w:numPr>
      <w:tabs>
        <w:tab w:val="clear" w:pos="567"/>
        <w:tab w:val="clear" w:pos="1134"/>
        <w:tab w:val="clear" w:pos="1701"/>
        <w:tab w:val="clear" w:pos="2268"/>
        <w:tab w:val="clear" w:pos="2835"/>
      </w:tabs>
      <w:jc w:val="both"/>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0"/>
    <w:uiPriority w:val="11"/>
    <w:rsid w:val="00CD4FF2"/>
    <w:rPr>
      <w:rFonts w:ascii="Calibri" w:eastAsiaTheme="majorEastAsia" w:hAnsi="Calibri" w:cstheme="majorBidi"/>
      <w:color w:val="595959" w:themeColor="text1" w:themeTint="A6"/>
      <w:spacing w:val="15"/>
      <w:sz w:val="28"/>
      <w:szCs w:val="28"/>
      <w:lang w:val="en-GB" w:eastAsia="en-US"/>
    </w:rPr>
  </w:style>
  <w:style w:type="paragraph" w:styleId="Quote">
    <w:name w:val="Quote"/>
    <w:basedOn w:val="Normal"/>
    <w:next w:val="Normal"/>
    <w:link w:val="QuoteChar"/>
    <w:uiPriority w:val="29"/>
    <w:qFormat/>
    <w:rsid w:val="00CD4FF2"/>
    <w:pPr>
      <w:tabs>
        <w:tab w:val="clear" w:pos="567"/>
        <w:tab w:val="clear" w:pos="1134"/>
        <w:tab w:val="clear" w:pos="1701"/>
        <w:tab w:val="clear" w:pos="2268"/>
        <w:tab w:val="clear" w:pos="2835"/>
      </w:tabs>
      <w:spacing w:before="160"/>
      <w:jc w:val="center"/>
    </w:pPr>
    <w:rPr>
      <w:i/>
      <w:iCs/>
      <w:color w:val="404040" w:themeColor="text1" w:themeTint="BF"/>
      <w:lang w:val="en-GB"/>
    </w:rPr>
  </w:style>
  <w:style w:type="character" w:customStyle="1" w:styleId="QuoteChar">
    <w:name w:val="Quote Char"/>
    <w:basedOn w:val="DefaultParagraphFont"/>
    <w:link w:val="Quote"/>
    <w:uiPriority w:val="29"/>
    <w:rsid w:val="00CD4FF2"/>
    <w:rPr>
      <w:rFonts w:ascii="Calibri" w:hAnsi="Calibri"/>
      <w:i/>
      <w:iCs/>
      <w:color w:val="404040" w:themeColor="text1" w:themeTint="BF"/>
      <w:sz w:val="24"/>
      <w:lang w:val="en-GB" w:eastAsia="en-US"/>
    </w:rPr>
  </w:style>
  <w:style w:type="paragraph" w:styleId="ListParagraph">
    <w:name w:val="List Paragraph"/>
    <w:basedOn w:val="Normal"/>
    <w:link w:val="ListParagraphChar"/>
    <w:uiPriority w:val="34"/>
    <w:qFormat/>
    <w:rsid w:val="00CD4FF2"/>
    <w:pPr>
      <w:tabs>
        <w:tab w:val="clear" w:pos="567"/>
        <w:tab w:val="clear" w:pos="1134"/>
        <w:tab w:val="clear" w:pos="1701"/>
        <w:tab w:val="clear" w:pos="2268"/>
        <w:tab w:val="clear" w:pos="2835"/>
      </w:tabs>
      <w:ind w:left="720"/>
      <w:contextualSpacing/>
      <w:jc w:val="both"/>
    </w:pPr>
    <w:rPr>
      <w:lang w:val="en-GB"/>
    </w:rPr>
  </w:style>
  <w:style w:type="character" w:styleId="IntenseEmphasis">
    <w:name w:val="Intense Emphasis"/>
    <w:basedOn w:val="DefaultParagraphFont"/>
    <w:uiPriority w:val="21"/>
    <w:qFormat/>
    <w:rsid w:val="00CD4FF2"/>
    <w:rPr>
      <w:i/>
      <w:iCs/>
      <w:color w:val="365F91" w:themeColor="accent1" w:themeShade="BF"/>
    </w:rPr>
  </w:style>
  <w:style w:type="paragraph" w:styleId="IntenseQuote">
    <w:name w:val="Intense Quote"/>
    <w:basedOn w:val="Normal"/>
    <w:next w:val="Normal"/>
    <w:link w:val="IntenseQuoteChar"/>
    <w:uiPriority w:val="30"/>
    <w:qFormat/>
    <w:rsid w:val="00CD4FF2"/>
    <w:pPr>
      <w:pBdr>
        <w:top w:val="single" w:sz="4" w:space="10" w:color="365F91" w:themeColor="accent1" w:themeShade="BF"/>
        <w:bottom w:val="single" w:sz="4" w:space="10" w:color="365F91" w:themeColor="accent1" w:themeShade="BF"/>
      </w:pBdr>
      <w:tabs>
        <w:tab w:val="clear" w:pos="567"/>
        <w:tab w:val="clear" w:pos="1134"/>
        <w:tab w:val="clear" w:pos="1701"/>
        <w:tab w:val="clear" w:pos="2268"/>
        <w:tab w:val="clear" w:pos="2835"/>
      </w:tabs>
      <w:spacing w:before="360" w:after="360"/>
      <w:ind w:left="864" w:right="864"/>
      <w:jc w:val="center"/>
    </w:pPr>
    <w:rPr>
      <w:i/>
      <w:iCs/>
      <w:color w:val="365F91" w:themeColor="accent1" w:themeShade="BF"/>
      <w:lang w:val="en-GB"/>
    </w:rPr>
  </w:style>
  <w:style w:type="character" w:customStyle="1" w:styleId="IntenseQuoteChar">
    <w:name w:val="Intense Quote Char"/>
    <w:basedOn w:val="DefaultParagraphFont"/>
    <w:link w:val="IntenseQuote"/>
    <w:uiPriority w:val="30"/>
    <w:rsid w:val="00CD4FF2"/>
    <w:rPr>
      <w:rFonts w:ascii="Calibri" w:hAnsi="Calibri"/>
      <w:i/>
      <w:iCs/>
      <w:color w:val="365F91" w:themeColor="accent1" w:themeShade="BF"/>
      <w:sz w:val="24"/>
      <w:lang w:val="en-GB" w:eastAsia="en-US"/>
    </w:rPr>
  </w:style>
  <w:style w:type="character" w:styleId="IntenseReference">
    <w:name w:val="Intense Reference"/>
    <w:basedOn w:val="DefaultParagraphFont"/>
    <w:uiPriority w:val="32"/>
    <w:qFormat/>
    <w:rsid w:val="00CD4FF2"/>
    <w:rPr>
      <w:b/>
      <w:bCs/>
      <w:smallCaps/>
      <w:color w:val="365F91" w:themeColor="accent1" w:themeShade="BF"/>
      <w:spacing w:val="5"/>
    </w:rPr>
  </w:style>
  <w:style w:type="character" w:styleId="CommentReference">
    <w:name w:val="annotation reference"/>
    <w:basedOn w:val="DefaultParagraphFont"/>
    <w:uiPriority w:val="99"/>
    <w:semiHidden/>
    <w:unhideWhenUsed/>
    <w:rsid w:val="00CD4FF2"/>
    <w:rPr>
      <w:sz w:val="16"/>
      <w:szCs w:val="16"/>
    </w:rPr>
  </w:style>
  <w:style w:type="paragraph" w:styleId="CommentText">
    <w:name w:val="annotation text"/>
    <w:basedOn w:val="Normal"/>
    <w:link w:val="CommentTextChar"/>
    <w:uiPriority w:val="99"/>
    <w:unhideWhenUsed/>
    <w:rsid w:val="00CD4FF2"/>
    <w:pPr>
      <w:tabs>
        <w:tab w:val="clear" w:pos="567"/>
        <w:tab w:val="clear" w:pos="1134"/>
        <w:tab w:val="clear" w:pos="1701"/>
        <w:tab w:val="clear" w:pos="2268"/>
        <w:tab w:val="clear" w:pos="2835"/>
      </w:tabs>
      <w:jc w:val="both"/>
    </w:pPr>
    <w:rPr>
      <w:sz w:val="20"/>
      <w:lang w:val="en-GB"/>
    </w:rPr>
  </w:style>
  <w:style w:type="character" w:customStyle="1" w:styleId="CommentTextChar">
    <w:name w:val="Comment Text Char"/>
    <w:basedOn w:val="DefaultParagraphFont"/>
    <w:link w:val="CommentText"/>
    <w:uiPriority w:val="99"/>
    <w:rsid w:val="00CD4FF2"/>
    <w:rPr>
      <w:rFonts w:ascii="Calibri" w:hAnsi="Calibri"/>
      <w:lang w:val="en-GB" w:eastAsia="en-US"/>
    </w:rPr>
  </w:style>
  <w:style w:type="paragraph" w:styleId="CommentSubject">
    <w:name w:val="annotation subject"/>
    <w:basedOn w:val="CommentText"/>
    <w:next w:val="CommentText"/>
    <w:link w:val="CommentSubjectChar"/>
    <w:uiPriority w:val="99"/>
    <w:semiHidden/>
    <w:unhideWhenUsed/>
    <w:rsid w:val="00CD4FF2"/>
    <w:rPr>
      <w:b/>
      <w:bCs/>
    </w:rPr>
  </w:style>
  <w:style w:type="character" w:customStyle="1" w:styleId="CommentSubjectChar">
    <w:name w:val="Comment Subject Char"/>
    <w:basedOn w:val="CommentTextChar"/>
    <w:link w:val="CommentSubject"/>
    <w:uiPriority w:val="99"/>
    <w:semiHidden/>
    <w:rsid w:val="00CD4FF2"/>
    <w:rPr>
      <w:rFonts w:ascii="Calibri" w:hAnsi="Calibri"/>
      <w:b/>
      <w:bCs/>
      <w:lang w:val="en-GB" w:eastAsia="en-US"/>
    </w:rPr>
  </w:style>
  <w:style w:type="paragraph" w:customStyle="1" w:styleId="NumberedParagraph">
    <w:name w:val="Numbered Paragraph"/>
    <w:basedOn w:val="ListParagraph"/>
    <w:link w:val="NumberedParagraphChar"/>
    <w:rsid w:val="00CD4FF2"/>
    <w:pPr>
      <w:spacing w:after="120"/>
      <w:ind w:left="0"/>
      <w:contextualSpacing w:val="0"/>
    </w:pPr>
    <w:rPr>
      <w:rFonts w:cs="Calibri"/>
    </w:rPr>
  </w:style>
  <w:style w:type="character" w:customStyle="1" w:styleId="ListParagraphChar">
    <w:name w:val="List Paragraph Char"/>
    <w:basedOn w:val="DefaultParagraphFont"/>
    <w:link w:val="ListParagraph"/>
    <w:uiPriority w:val="34"/>
    <w:rsid w:val="00CD4FF2"/>
    <w:rPr>
      <w:rFonts w:ascii="Calibri" w:hAnsi="Calibri"/>
      <w:sz w:val="24"/>
      <w:lang w:val="en-GB" w:eastAsia="en-US"/>
    </w:rPr>
  </w:style>
  <w:style w:type="character" w:customStyle="1" w:styleId="NumberedParagraphChar">
    <w:name w:val="Numbered Paragraph Char"/>
    <w:basedOn w:val="ListParagraphChar"/>
    <w:link w:val="NumberedParagraph"/>
    <w:rsid w:val="00CD4FF2"/>
    <w:rPr>
      <w:rFonts w:ascii="Calibri" w:hAnsi="Calibri" w:cs="Calibri"/>
      <w:sz w:val="24"/>
      <w:lang w:val="en-GB" w:eastAsia="en-US"/>
    </w:rPr>
  </w:style>
  <w:style w:type="paragraph" w:customStyle="1" w:styleId="ChairAction">
    <w:name w:val="Chair Action"/>
    <w:basedOn w:val="NumberedParagraph"/>
    <w:link w:val="ChairActionChar"/>
    <w:rsid w:val="00CD4FF2"/>
    <w:pPr>
      <w:pBdr>
        <w:top w:val="single" w:sz="4" w:space="1" w:color="auto"/>
        <w:left w:val="single" w:sz="4" w:space="4" w:color="auto"/>
        <w:bottom w:val="single" w:sz="4" w:space="1" w:color="auto"/>
        <w:right w:val="single" w:sz="4" w:space="4" w:color="auto"/>
      </w:pBdr>
    </w:pPr>
  </w:style>
  <w:style w:type="character" w:customStyle="1" w:styleId="ChairActionChar">
    <w:name w:val="Chair Action Char"/>
    <w:basedOn w:val="ListParagraphChar"/>
    <w:link w:val="ChairAction"/>
    <w:rsid w:val="00CD4FF2"/>
    <w:rPr>
      <w:rFonts w:ascii="Calibri" w:hAnsi="Calibri" w:cs="Calibri"/>
      <w:sz w:val="24"/>
      <w:lang w:val="en-GB" w:eastAsia="en-US"/>
    </w:rPr>
  </w:style>
  <w:style w:type="paragraph" w:customStyle="1" w:styleId="Summary">
    <w:name w:val="Summary"/>
    <w:basedOn w:val="Normal"/>
    <w:link w:val="SummaryChar"/>
    <w:rsid w:val="00CD4FF2"/>
    <w:pPr>
      <w:keepLines/>
      <w:tabs>
        <w:tab w:val="clear" w:pos="567"/>
        <w:tab w:val="clear" w:pos="1134"/>
        <w:tab w:val="clear" w:pos="1701"/>
        <w:tab w:val="clear" w:pos="2268"/>
        <w:tab w:val="clear" w:pos="2835"/>
      </w:tabs>
      <w:overflowPunct/>
      <w:autoSpaceDE/>
      <w:autoSpaceDN/>
      <w:adjustRightInd/>
      <w:spacing w:after="120"/>
      <w:jc w:val="both"/>
      <w:textAlignment w:val="auto"/>
    </w:pPr>
    <w:rPr>
      <w:rFonts w:eastAsiaTheme="minorHAnsi" w:cstheme="minorBidi"/>
      <w:kern w:val="2"/>
      <w:szCs w:val="22"/>
      <w:lang w:val="en-US"/>
      <w14:ligatures w14:val="standardContextual"/>
    </w:rPr>
  </w:style>
  <w:style w:type="character" w:customStyle="1" w:styleId="SummaryChar">
    <w:name w:val="Summary Char"/>
    <w:basedOn w:val="DefaultParagraphFont"/>
    <w:link w:val="Summary"/>
    <w:rsid w:val="00CD4FF2"/>
    <w:rPr>
      <w:rFonts w:ascii="Calibri" w:eastAsiaTheme="minorHAnsi" w:hAnsi="Calibri" w:cstheme="minorBidi"/>
      <w:kern w:val="2"/>
      <w:sz w:val="24"/>
      <w:szCs w:val="22"/>
      <w:lang w:eastAsia="en-US"/>
      <w14:ligatures w14:val="standardContextual"/>
    </w:rPr>
  </w:style>
  <w:style w:type="character" w:styleId="Mention">
    <w:name w:val="Mention"/>
    <w:basedOn w:val="DefaultParagraphFont"/>
    <w:uiPriority w:val="99"/>
    <w:unhideWhenUsed/>
    <w:rsid w:val="00CD4FF2"/>
    <w:rPr>
      <w:color w:val="2B579A"/>
      <w:shd w:val="clear" w:color="auto" w:fill="E1DFDD"/>
    </w:rPr>
  </w:style>
  <w:style w:type="character" w:customStyle="1" w:styleId="FooterChar">
    <w:name w:val="Footer Char"/>
    <w:basedOn w:val="DefaultParagraphFont"/>
    <w:link w:val="Footer"/>
    <w:uiPriority w:val="99"/>
    <w:rsid w:val="00CD4FF2"/>
    <w:rPr>
      <w:rFonts w:ascii="Calibri" w:hAnsi="Calibri"/>
      <w:caps/>
      <w:noProof/>
      <w:sz w:val="16"/>
      <w:lang w:val="fr-FR" w:eastAsia="en-US"/>
    </w:rPr>
  </w:style>
  <w:style w:type="paragraph" w:customStyle="1" w:styleId="Tablefin">
    <w:name w:val="Table_fin"/>
    <w:basedOn w:val="Tabletext"/>
    <w:rsid w:val="00CD4FF2"/>
    <w:pPr>
      <w:tabs>
        <w:tab w:val="clear" w:pos="284"/>
        <w:tab w:val="clear" w:pos="567"/>
        <w:tab w:val="clear" w:pos="851"/>
      </w:tabs>
      <w:spacing w:before="0" w:after="0"/>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itu.int/md/S26-CWGFHR22-C-0014/en" TargetMode="External"/><Relationship Id="rId21" Type="http://schemas.openxmlformats.org/officeDocument/2006/relationships/hyperlink" Target="https://www.itu.int/md/S26-CWGFHR22-C-0007/es" TargetMode="External"/><Relationship Id="rId42" Type="http://schemas.openxmlformats.org/officeDocument/2006/relationships/hyperlink" Target="https://www.itu.int/md/S25-CWGFHR21-C-0006/en" TargetMode="External"/><Relationship Id="rId63" Type="http://schemas.openxmlformats.org/officeDocument/2006/relationships/hyperlink" Target="https://www.itu.int/md/S26-CWGFHR22-C-0023/es" TargetMode="External"/><Relationship Id="rId84" Type="http://schemas.openxmlformats.org/officeDocument/2006/relationships/hyperlink" Target="https://www.itu.int/md/S26-CWGFHR22-C-0019/es" TargetMode="External"/><Relationship Id="rId138" Type="http://schemas.openxmlformats.org/officeDocument/2006/relationships/hyperlink" Target="https://www.itu.int/md/S25-CWGFHR21-C-0013/es" TargetMode="External"/><Relationship Id="rId159" Type="http://schemas.openxmlformats.org/officeDocument/2006/relationships/hyperlink" Target="https://www.itu.int/md/S25-CL-C-0035/en" TargetMode="External"/><Relationship Id="rId170" Type="http://schemas.openxmlformats.org/officeDocument/2006/relationships/hyperlink" Target="https://www.itu.int/md/S26-CWGFHR22-C-0020/es" TargetMode="External"/><Relationship Id="rId107" Type="http://schemas.openxmlformats.org/officeDocument/2006/relationships/hyperlink" Target="https://www.itu.int/md/S26-CWGFHR22-C-0030/es" TargetMode="External"/><Relationship Id="rId11" Type="http://schemas.openxmlformats.org/officeDocument/2006/relationships/hyperlink" Target="https://www.itu.int/md/S26-CWGFHR22-INF-0004/en" TargetMode="External"/><Relationship Id="rId32" Type="http://schemas.openxmlformats.org/officeDocument/2006/relationships/hyperlink" Target="https://www.itu.int/md/S26-CWGFHR22-C-0031/en" TargetMode="External"/><Relationship Id="rId53" Type="http://schemas.openxmlformats.org/officeDocument/2006/relationships/hyperlink" Target="https://www.itu.int/md/S26-CWGFHR22-C-0008/en" TargetMode="External"/><Relationship Id="rId74" Type="http://schemas.openxmlformats.org/officeDocument/2006/relationships/hyperlink" Target="https://www.itu.int/md/S26-CWGFHR22-C-0009/es" TargetMode="External"/><Relationship Id="rId128" Type="http://schemas.openxmlformats.org/officeDocument/2006/relationships/hyperlink" Target="https://www.itu.int/md/S26-CWGFHR22-C-0002/es" TargetMode="External"/><Relationship Id="rId149" Type="http://schemas.openxmlformats.org/officeDocument/2006/relationships/hyperlink" Target="https://www.itu.int/md/S25-CWGFHR21-C-0016/en" TargetMode="External"/><Relationship Id="rId5" Type="http://schemas.openxmlformats.org/officeDocument/2006/relationships/footnotes" Target="footnotes.xml"/><Relationship Id="rId95" Type="http://schemas.openxmlformats.org/officeDocument/2006/relationships/hyperlink" Target="https://www.itu.int/md/S26-CWGFHR22-C-0012/en" TargetMode="External"/><Relationship Id="rId160" Type="http://schemas.openxmlformats.org/officeDocument/2006/relationships/hyperlink" Target="https://www.itu.int/md/S26-CWGFHR22-C-0021/es" TargetMode="External"/><Relationship Id="rId181" Type="http://schemas.openxmlformats.org/officeDocument/2006/relationships/fontTable" Target="fontTable.xml"/><Relationship Id="rId22" Type="http://schemas.openxmlformats.org/officeDocument/2006/relationships/hyperlink" Target="https://www.itu.int/md/S25-CWGFHR21-C-0003/en" TargetMode="External"/><Relationship Id="rId43" Type="http://schemas.openxmlformats.org/officeDocument/2006/relationships/hyperlink" Target="https://www.itu.int/md/S26-CWGFHR22-C-0008/en" TargetMode="External"/><Relationship Id="rId64" Type="http://schemas.openxmlformats.org/officeDocument/2006/relationships/hyperlink" Target="https://www.itu.int/md/S26-CWGFHR22-C-0028/es" TargetMode="External"/><Relationship Id="rId118" Type="http://schemas.openxmlformats.org/officeDocument/2006/relationships/hyperlink" Target="https://www.itu.int/md/S25-CL-C-0084/es" TargetMode="External"/><Relationship Id="rId139" Type="http://schemas.openxmlformats.org/officeDocument/2006/relationships/hyperlink" Target="https://www.itu.int/md/S26-CWGFHR22-C-0006/es" TargetMode="External"/><Relationship Id="rId85" Type="http://schemas.openxmlformats.org/officeDocument/2006/relationships/hyperlink" Target="https://www.itu.int/md/S25-CWGFHR21-C-0008/en" TargetMode="External"/><Relationship Id="rId150" Type="http://schemas.openxmlformats.org/officeDocument/2006/relationships/hyperlink" Target="https://www.itu.int/md/S25-CL-C-0035/es" TargetMode="External"/><Relationship Id="rId171" Type="http://schemas.openxmlformats.org/officeDocument/2006/relationships/hyperlink" Target="https://www.itu.int/md/S26-CWGFHR22-C-0020/en" TargetMode="External"/><Relationship Id="rId12" Type="http://schemas.openxmlformats.org/officeDocument/2006/relationships/hyperlink" Target="https://www.itu.int/md/S25-CWGFHR21-C-0002/es" TargetMode="External"/><Relationship Id="rId33" Type="http://schemas.openxmlformats.org/officeDocument/2006/relationships/hyperlink" Target="https://www.itu.int/md/S26-CWGFHR22-C-0004/es" TargetMode="External"/><Relationship Id="rId108" Type="http://schemas.openxmlformats.org/officeDocument/2006/relationships/hyperlink" Target="https://www.itu.int/md/S26-CWGFHR22-C-0030/en" TargetMode="External"/><Relationship Id="rId129" Type="http://schemas.openxmlformats.org/officeDocument/2006/relationships/hyperlink" Target="https://www.itu.int/md/S26-CWGFHR22-C-0002/en" TargetMode="External"/><Relationship Id="rId54" Type="http://schemas.openxmlformats.org/officeDocument/2006/relationships/hyperlink" Target="https://www.itu.int/md/S26-CWGFHR22-C-0005/en" TargetMode="External"/><Relationship Id="rId75" Type="http://schemas.openxmlformats.org/officeDocument/2006/relationships/hyperlink" Target="https://www.itu.int/md/S25-CWGFHR21-C-0007/en" TargetMode="External"/><Relationship Id="rId96" Type="http://schemas.openxmlformats.org/officeDocument/2006/relationships/hyperlink" Target="https://www.itu.int/md/S25-CL-C-0085/en" TargetMode="External"/><Relationship Id="rId140" Type="http://schemas.openxmlformats.org/officeDocument/2006/relationships/hyperlink" Target="https://www.itu.int/md/S25-CWGFHR21-C-0013/en" TargetMode="External"/><Relationship Id="rId161" Type="http://schemas.openxmlformats.org/officeDocument/2006/relationships/hyperlink" Target="https://www.itu.int/md/S26-CWGFHR22-C-0021/en" TargetMode="External"/><Relationship Id="rId182" Type="http://schemas.openxmlformats.org/officeDocument/2006/relationships/theme" Target="theme/theme1.xml"/><Relationship Id="rId6" Type="http://schemas.openxmlformats.org/officeDocument/2006/relationships/endnotes" Target="endnotes.xml"/><Relationship Id="rId23" Type="http://schemas.openxmlformats.org/officeDocument/2006/relationships/hyperlink" Target="https://www.itu.int/md/S26-CWGFHR22-C-0013/en" TargetMode="External"/><Relationship Id="rId119" Type="http://schemas.openxmlformats.org/officeDocument/2006/relationships/hyperlink" Target="https://www.itu.int/md/S25-CL-C-0084/en" TargetMode="External"/><Relationship Id="rId44" Type="http://schemas.openxmlformats.org/officeDocument/2006/relationships/hyperlink" Target="https://www.itu.int/md/S26-CWGFHR22-C-0005/en" TargetMode="External"/><Relationship Id="rId60" Type="http://schemas.openxmlformats.org/officeDocument/2006/relationships/hyperlink" Target="https://www.itu.int/md/S26-CWGFHR22-C-0008/en" TargetMode="External"/><Relationship Id="rId65" Type="http://schemas.openxmlformats.org/officeDocument/2006/relationships/hyperlink" Target="https://www.itu.int/md/S25-CWGFHR21-C-0010/en" TargetMode="External"/><Relationship Id="rId81" Type="http://schemas.openxmlformats.org/officeDocument/2006/relationships/hyperlink" Target="https://www.itu.int/md/S25-CWGFHR21-C-0023/es" TargetMode="External"/><Relationship Id="rId86" Type="http://schemas.openxmlformats.org/officeDocument/2006/relationships/hyperlink" Target="https://www.itu.int/md/S26-CWGFHR22-C-0019/en" TargetMode="External"/><Relationship Id="rId130" Type="http://schemas.openxmlformats.org/officeDocument/2006/relationships/hyperlink" Target="https://www.itu.int/md/S26-CWGFHR22-C-0027/es" TargetMode="External"/><Relationship Id="rId135" Type="http://schemas.openxmlformats.org/officeDocument/2006/relationships/hyperlink" Target="https://www.itu.int/md/S26-CWGFHR22-C-0032/en" TargetMode="External"/><Relationship Id="rId151" Type="http://schemas.openxmlformats.org/officeDocument/2006/relationships/hyperlink" Target="https://www.itu.int/md/S25-CWGFHR21-C-0016/en" TargetMode="External"/><Relationship Id="rId156" Type="http://schemas.openxmlformats.org/officeDocument/2006/relationships/hyperlink" Target="https://www.itu.int/md/S25-CWGFHR21-C-0016/es" TargetMode="External"/><Relationship Id="rId177" Type="http://schemas.openxmlformats.org/officeDocument/2006/relationships/hyperlink" Target="https://www.itu.int/md/S25-CWGFHR21-C-0024/en" TargetMode="External"/><Relationship Id="rId172" Type="http://schemas.openxmlformats.org/officeDocument/2006/relationships/hyperlink" Target="https://www.itu.int/md/S26-CWGFHR22-C-0026/en" TargetMode="External"/><Relationship Id="rId13" Type="http://schemas.openxmlformats.org/officeDocument/2006/relationships/hyperlink" Target="https://www.itu.int/md/S25-CWGFHR21-INF-0002/es" TargetMode="External"/><Relationship Id="rId18" Type="http://schemas.openxmlformats.org/officeDocument/2006/relationships/hyperlink" Target="https://www.itu.int/en/ethics/pages/default.aspx" TargetMode="External"/><Relationship Id="rId39" Type="http://schemas.openxmlformats.org/officeDocument/2006/relationships/hyperlink" Target="https://www.itu.int/md/S26-CWGFHR22-C-0008/es" TargetMode="External"/><Relationship Id="rId109" Type="http://schemas.openxmlformats.org/officeDocument/2006/relationships/hyperlink" Target="https://www.itu.int/md/S26-CWGFHR22-C-0030/es" TargetMode="External"/><Relationship Id="rId34" Type="http://schemas.openxmlformats.org/officeDocument/2006/relationships/hyperlink" Target="https://www.itu.int/md/S26-CWGFHR22-C-0004/en" TargetMode="External"/><Relationship Id="rId50" Type="http://schemas.openxmlformats.org/officeDocument/2006/relationships/hyperlink" Target="https://www.itu.int/md/S26-CWGFHR22-C-0008/es" TargetMode="External"/><Relationship Id="rId55" Type="http://schemas.openxmlformats.org/officeDocument/2006/relationships/hyperlink" Target="https://www.itu.int/md/S26-CWGFHR22-C-0024/en" TargetMode="External"/><Relationship Id="rId76" Type="http://schemas.openxmlformats.org/officeDocument/2006/relationships/hyperlink" Target="https://www.itu.int/md/S26-CWGFHR22-C-0009/en" TargetMode="External"/><Relationship Id="rId97" Type="http://schemas.openxmlformats.org/officeDocument/2006/relationships/hyperlink" Target="https://www.itu.int/md/S26-CWGFHR22-C-0010/es" TargetMode="External"/><Relationship Id="rId104" Type="http://schemas.openxmlformats.org/officeDocument/2006/relationships/hyperlink" Target="https://www.itu.int/md/S25-CWGFHR21-C-0011/en" TargetMode="External"/><Relationship Id="rId120" Type="http://schemas.openxmlformats.org/officeDocument/2006/relationships/hyperlink" Target="https://www.itu.int/md/S25-CWGFHR21-C-0020/es" TargetMode="External"/><Relationship Id="rId125" Type="http://schemas.openxmlformats.org/officeDocument/2006/relationships/hyperlink" Target="https://www.itu.int/md/S25-CWGFHR21-C-0020/en" TargetMode="External"/><Relationship Id="rId141" Type="http://schemas.openxmlformats.org/officeDocument/2006/relationships/hyperlink" Target="https://www.itu.int/md/S26-CWGFHR22-C-0006/en" TargetMode="External"/><Relationship Id="rId146" Type="http://schemas.openxmlformats.org/officeDocument/2006/relationships/hyperlink" Target="https://www.itu.int/md/S25-CWGFHR21-C-0019/en" TargetMode="External"/><Relationship Id="rId167" Type="http://schemas.openxmlformats.org/officeDocument/2006/relationships/hyperlink" Target="https://www.itu.int/md/S26-CWGFHR22-INF-0007/es" TargetMode="External"/><Relationship Id="rId7" Type="http://schemas.openxmlformats.org/officeDocument/2006/relationships/hyperlink" Target="https://www.itu.int/md/S25-CWGFHR21-C-0025/es" TargetMode="External"/><Relationship Id="rId71" Type="http://schemas.openxmlformats.org/officeDocument/2006/relationships/hyperlink" Target="https://www.itu.int/md/S26-CWGFHR22-C-0028/es" TargetMode="External"/><Relationship Id="rId92" Type="http://schemas.openxmlformats.org/officeDocument/2006/relationships/hyperlink" Target="https://www.itu.int/md/S26-CWGFHR22-C-0012/es" TargetMode="External"/><Relationship Id="rId162" Type="http://schemas.openxmlformats.org/officeDocument/2006/relationships/hyperlink" Target="https://www.itu.int/md/S26-CWGFHR22-C-0021/es" TargetMode="External"/><Relationship Id="rId2" Type="http://schemas.openxmlformats.org/officeDocument/2006/relationships/styles" Target="styles.xml"/><Relationship Id="rId29" Type="http://schemas.openxmlformats.org/officeDocument/2006/relationships/hyperlink" Target="https://www.itu.int/md/S26-CWGFHR22-C-0031/es" TargetMode="External"/><Relationship Id="rId24" Type="http://schemas.openxmlformats.org/officeDocument/2006/relationships/hyperlink" Target="https://www.itu.int/md/S26-CWGFHR22-C-0007/en" TargetMode="External"/><Relationship Id="rId40" Type="http://schemas.openxmlformats.org/officeDocument/2006/relationships/hyperlink" Target="https://www.itu.int/md/S26-CWGFHR22-C-0005/es" TargetMode="External"/><Relationship Id="rId45" Type="http://schemas.openxmlformats.org/officeDocument/2006/relationships/hyperlink" Target="https://www.itu.int/md/S25-CWGFHR21-C-0018/es" TargetMode="External"/><Relationship Id="rId66" Type="http://schemas.openxmlformats.org/officeDocument/2006/relationships/hyperlink" Target="https://www.itu.int/md/S26-CWGFHR22-C-0013/en" TargetMode="External"/><Relationship Id="rId87" Type="http://schemas.openxmlformats.org/officeDocument/2006/relationships/hyperlink" Target="https://www.itu.int/md/S25-CL-C-0095/es" TargetMode="External"/><Relationship Id="rId110" Type="http://schemas.openxmlformats.org/officeDocument/2006/relationships/hyperlink" Target="https://www.itu.int/md/S26-CWGFHR22-C-0030/en" TargetMode="External"/><Relationship Id="rId115" Type="http://schemas.openxmlformats.org/officeDocument/2006/relationships/hyperlink" Target="https://www.itu.int/md/S26-CWGFHR22-C-0030/en" TargetMode="External"/><Relationship Id="rId131" Type="http://schemas.openxmlformats.org/officeDocument/2006/relationships/hyperlink" Target="https://www.itu.int/md/S26-CWGFHR22-C-0027/en" TargetMode="External"/><Relationship Id="rId136" Type="http://schemas.openxmlformats.org/officeDocument/2006/relationships/hyperlink" Target="https://www.itu.int/md/S26-CWGFHR22-C-0033/es" TargetMode="External"/><Relationship Id="rId157" Type="http://schemas.openxmlformats.org/officeDocument/2006/relationships/hyperlink" Target="https://www.itu.int/md/S25-CWGFHR21-C-0022/en" TargetMode="External"/><Relationship Id="rId178" Type="http://schemas.openxmlformats.org/officeDocument/2006/relationships/footer" Target="footer1.xml"/><Relationship Id="rId61" Type="http://schemas.openxmlformats.org/officeDocument/2006/relationships/hyperlink" Target="https://www.itu.int/md/S25-CWGFHR21-C-0010/es" TargetMode="External"/><Relationship Id="rId82" Type="http://schemas.openxmlformats.org/officeDocument/2006/relationships/hyperlink" Target="https://www.itu.int/md/S25-CWGFHR21-C-0023/en" TargetMode="External"/><Relationship Id="rId152" Type="http://schemas.openxmlformats.org/officeDocument/2006/relationships/hyperlink" Target="https://www.itu.int/md/S25-CL-C-0035/en" TargetMode="External"/><Relationship Id="rId173" Type="http://schemas.openxmlformats.org/officeDocument/2006/relationships/hyperlink" Target="https://www.itu.int/md/S26-CWGFHR22-C-0003/en" TargetMode="External"/><Relationship Id="rId19" Type="http://schemas.openxmlformats.org/officeDocument/2006/relationships/hyperlink" Target="https://www.itu.int/md/S25-CWGFHR21-C-0003/es" TargetMode="External"/><Relationship Id="rId14" Type="http://schemas.openxmlformats.org/officeDocument/2006/relationships/hyperlink" Target="https://www.itu.int/md/S25-CWGFHR21-C-0002/en" TargetMode="External"/><Relationship Id="rId30" Type="http://schemas.openxmlformats.org/officeDocument/2006/relationships/hyperlink" Target="https://www.itu.int/md/S25-CWGFHR21-C-0004/en" TargetMode="External"/><Relationship Id="rId35" Type="http://schemas.openxmlformats.org/officeDocument/2006/relationships/hyperlink" Target="https://www.itu.int/md/S26-CWGFHR22-C-0031/es" TargetMode="External"/><Relationship Id="rId56" Type="http://schemas.openxmlformats.org/officeDocument/2006/relationships/hyperlink" Target="https://www.itu.int/md/S26-CWGFHR22-C-0024/en" TargetMode="External"/><Relationship Id="rId77" Type="http://schemas.openxmlformats.org/officeDocument/2006/relationships/hyperlink" Target="https://www.itu.int/md/S25-CWGFHR21-C-0015/es" TargetMode="External"/><Relationship Id="rId100" Type="http://schemas.openxmlformats.org/officeDocument/2006/relationships/hyperlink" Target="https://www.itu.int/md/S26-CWGFHR22-C-0012/en" TargetMode="External"/><Relationship Id="rId105" Type="http://schemas.openxmlformats.org/officeDocument/2006/relationships/hyperlink" Target="https://www.itu.int/md/S26-CWGFHR22-C-0015/en" TargetMode="External"/><Relationship Id="rId126" Type="http://schemas.openxmlformats.org/officeDocument/2006/relationships/hyperlink" Target="http://council.itu.int/2026/wp-content/uploads/sites/6/2025/12/Satellite-Network-Filings-cwg-fhr-16-December-2025.pptx" TargetMode="External"/><Relationship Id="rId147" Type="http://schemas.openxmlformats.org/officeDocument/2006/relationships/hyperlink" Target="https://www.itu.int/md/S26-CWGFHR22-C-0011/en" TargetMode="External"/><Relationship Id="rId168" Type="http://schemas.openxmlformats.org/officeDocument/2006/relationships/hyperlink" Target="https://www.itu.int/md/S26-CWGFHR22-C-0025/en" TargetMode="External"/><Relationship Id="rId8" Type="http://schemas.openxmlformats.org/officeDocument/2006/relationships/hyperlink" Target="https://www.itu.int/md/S26-CWGFHR22-C-0036/es" TargetMode="External"/><Relationship Id="rId51" Type="http://schemas.openxmlformats.org/officeDocument/2006/relationships/hyperlink" Target="https://www.itu.int/md/S26-CWGFHR22-C-0005/es" TargetMode="External"/><Relationship Id="rId72" Type="http://schemas.openxmlformats.org/officeDocument/2006/relationships/hyperlink" Target="https://www.itu.int/md/S26-CWGFHR22-C-0028/en" TargetMode="External"/><Relationship Id="rId93" Type="http://schemas.openxmlformats.org/officeDocument/2006/relationships/hyperlink" Target="https://www.itu.int/md/S25-CL-C-0085/en" TargetMode="External"/><Relationship Id="rId98" Type="http://schemas.openxmlformats.org/officeDocument/2006/relationships/hyperlink" Target="https://www.itu.int/md/S26-CWGFHR22-C-0010/en" TargetMode="External"/><Relationship Id="rId121" Type="http://schemas.openxmlformats.org/officeDocument/2006/relationships/hyperlink" Target="https://www.itu.int/md/S26-CWGFHR22-C-0002/es" TargetMode="External"/><Relationship Id="rId142" Type="http://schemas.openxmlformats.org/officeDocument/2006/relationships/hyperlink" Target="https://www.itu.int/md/S26-CWGFHR22-INF-0002/es" TargetMode="External"/><Relationship Id="rId163" Type="http://schemas.openxmlformats.org/officeDocument/2006/relationships/hyperlink" Target="https://www.itu.int/md/S26-CWGFHR22-C-0021/en" TargetMode="External"/><Relationship Id="rId3" Type="http://schemas.openxmlformats.org/officeDocument/2006/relationships/settings" Target="settings.xml"/><Relationship Id="rId25" Type="http://schemas.openxmlformats.org/officeDocument/2006/relationships/hyperlink" Target="https://www.itu.int/md/S26-CWGFHR22-C-0007/es" TargetMode="External"/><Relationship Id="rId46" Type="http://schemas.openxmlformats.org/officeDocument/2006/relationships/hyperlink" Target="https://www.itu.int/md/S25-CWGFHR21-C-0021/es" TargetMode="External"/><Relationship Id="rId67" Type="http://schemas.openxmlformats.org/officeDocument/2006/relationships/hyperlink" Target="https://www.itu.int/md/S26-CWGFHR22-C-0023/en" TargetMode="External"/><Relationship Id="rId116" Type="http://schemas.openxmlformats.org/officeDocument/2006/relationships/hyperlink" Target="https://www.itu.int/md/S26-CWGFHR22-C-0014/es" TargetMode="External"/><Relationship Id="rId137" Type="http://schemas.openxmlformats.org/officeDocument/2006/relationships/hyperlink" Target="https://www.itu.int/md/S26-CWGFHR22-C-0033/en" TargetMode="External"/><Relationship Id="rId158" Type="http://schemas.openxmlformats.org/officeDocument/2006/relationships/hyperlink" Target="https://www.itu.int/md/S25-CWGFHR21-C-0016/en" TargetMode="External"/><Relationship Id="rId20" Type="http://schemas.openxmlformats.org/officeDocument/2006/relationships/hyperlink" Target="https://www.itu.int/md/S26-CWGFHR22-C-0013/es" TargetMode="External"/><Relationship Id="rId41" Type="http://schemas.openxmlformats.org/officeDocument/2006/relationships/hyperlink" Target="https://www.itu.int/md/S25-CWGFHR21-C-0005/en" TargetMode="External"/><Relationship Id="rId62" Type="http://schemas.openxmlformats.org/officeDocument/2006/relationships/hyperlink" Target="https://www.itu.int/md/S26-CWGFHR22-C-0013/es" TargetMode="External"/><Relationship Id="rId83" Type="http://schemas.openxmlformats.org/officeDocument/2006/relationships/hyperlink" Target="https://www.itu.int/md/S25-CWGFHR21-C-0008/es" TargetMode="External"/><Relationship Id="rId88" Type="http://schemas.openxmlformats.org/officeDocument/2006/relationships/hyperlink" Target="https://www.itu.int/md/S25-CL-C-0095/en" TargetMode="External"/><Relationship Id="rId111" Type="http://schemas.openxmlformats.org/officeDocument/2006/relationships/hyperlink" Target="https://www.itu.int/md/S26-CWGFHR22-C-0017/es" TargetMode="External"/><Relationship Id="rId132" Type="http://schemas.openxmlformats.org/officeDocument/2006/relationships/hyperlink" Target="https://www.itu.int/md/S26-CWGFHR22-C-0029/es" TargetMode="External"/><Relationship Id="rId153" Type="http://schemas.openxmlformats.org/officeDocument/2006/relationships/hyperlink" Target="https://www.itu.int/md/S25-CWGFHR21-C-0022/es" TargetMode="External"/><Relationship Id="rId174" Type="http://schemas.openxmlformats.org/officeDocument/2006/relationships/hyperlink" Target="https://www.itu.int/md/S25-CL-C-0038/es" TargetMode="External"/><Relationship Id="rId179" Type="http://schemas.openxmlformats.org/officeDocument/2006/relationships/header" Target="header1.xml"/><Relationship Id="rId15" Type="http://schemas.openxmlformats.org/officeDocument/2006/relationships/hyperlink" Target="https://www.itu.int/md/S25-CWGFHR21-INF-0002/en" TargetMode="External"/><Relationship Id="rId36" Type="http://schemas.openxmlformats.org/officeDocument/2006/relationships/hyperlink" Target="https://www.itu.int/md/S26-CWGFHR22-C-0031/en" TargetMode="External"/><Relationship Id="rId57" Type="http://schemas.openxmlformats.org/officeDocument/2006/relationships/hyperlink" Target="https://www.itu.int/md/S26-CWGFHR22-C-0008/es" TargetMode="External"/><Relationship Id="rId106" Type="http://schemas.openxmlformats.org/officeDocument/2006/relationships/hyperlink" Target="https://www.itu.int/md/S26-CWGFHR22-C-0017/en" TargetMode="External"/><Relationship Id="rId127" Type="http://schemas.openxmlformats.org/officeDocument/2006/relationships/hyperlink" Target="http://council.itu.int/2026/wp-content/uploads/sites/6/2025/12/Satellite-Network-Filings-cwg-fhr-16-December-2025.pptx" TargetMode="External"/><Relationship Id="rId10" Type="http://schemas.openxmlformats.org/officeDocument/2006/relationships/hyperlink" Target="https://www.itu.int/md/S25-CWGFHR21-INF-0003/en" TargetMode="External"/><Relationship Id="rId31" Type="http://schemas.openxmlformats.org/officeDocument/2006/relationships/hyperlink" Target="https://www.itu.int/md/S26-CWGFHR22-C-0004/en" TargetMode="External"/><Relationship Id="rId52" Type="http://schemas.openxmlformats.org/officeDocument/2006/relationships/hyperlink" Target="https://www.itu.int/md/S26-CWGFHR22-C-0022/en" TargetMode="External"/><Relationship Id="rId73" Type="http://schemas.openxmlformats.org/officeDocument/2006/relationships/hyperlink" Target="https://www.itu.int/md/S25-CWGFHR21-C-0007/es" TargetMode="External"/><Relationship Id="rId78" Type="http://schemas.openxmlformats.org/officeDocument/2006/relationships/hyperlink" Target="https://www.itu.int/md/S25-CWGFHR21-C-0015/en" TargetMode="External"/><Relationship Id="rId94" Type="http://schemas.openxmlformats.org/officeDocument/2006/relationships/hyperlink" Target="https://www.itu.int/md/S26-CWGFHR22-C-0010/en" TargetMode="External"/><Relationship Id="rId99" Type="http://schemas.openxmlformats.org/officeDocument/2006/relationships/hyperlink" Target="https://www.itu.int/md/S26-CWGFHR22-C-0012/en" TargetMode="External"/><Relationship Id="rId101" Type="http://schemas.openxmlformats.org/officeDocument/2006/relationships/hyperlink" Target="https://www.itu.int/md/S25-CWGFHR21-C-0011/es" TargetMode="External"/><Relationship Id="rId122" Type="http://schemas.openxmlformats.org/officeDocument/2006/relationships/hyperlink" Target="https://www.itu.int/md/S25-CWGFHR21-C-0020/en" TargetMode="External"/><Relationship Id="rId143" Type="http://schemas.openxmlformats.org/officeDocument/2006/relationships/hyperlink" Target="https://www.itu.int/md/S26-CWGFHR22-INF-0002/en" TargetMode="External"/><Relationship Id="rId148" Type="http://schemas.openxmlformats.org/officeDocument/2006/relationships/hyperlink" Target="https://www.itu.int/md/S25-CWGFHR21-C-0016/es" TargetMode="External"/><Relationship Id="rId164" Type="http://schemas.openxmlformats.org/officeDocument/2006/relationships/hyperlink" Target="https://www.itu.int/md/S26-CWGFHR22-C-0025/es" TargetMode="External"/><Relationship Id="rId169" Type="http://schemas.openxmlformats.org/officeDocument/2006/relationships/hyperlink" Target="https://www.itu.int/md/S26-CWGFHR22-INF-0007/en" TargetMode="External"/><Relationship Id="rId4" Type="http://schemas.openxmlformats.org/officeDocument/2006/relationships/webSettings" Target="webSettings.xml"/><Relationship Id="rId9" Type="http://schemas.openxmlformats.org/officeDocument/2006/relationships/hyperlink" Target="https://www.itu.int/md/S23-CL-C-0129/es" TargetMode="External"/><Relationship Id="rId180" Type="http://schemas.openxmlformats.org/officeDocument/2006/relationships/footer" Target="footer2.xml"/><Relationship Id="rId26" Type="http://schemas.openxmlformats.org/officeDocument/2006/relationships/hyperlink" Target="https://www.itu.int/md/S26-CWGFHR22-C-0007/en" TargetMode="External"/><Relationship Id="rId47" Type="http://schemas.openxmlformats.org/officeDocument/2006/relationships/hyperlink" Target="https://www.itu.int/md/S25-CWGFHR21-C-0018/en" TargetMode="External"/><Relationship Id="rId68" Type="http://schemas.openxmlformats.org/officeDocument/2006/relationships/hyperlink" Target="https://www.itu.int/md/S26-CWGFHR22-C-0028/en" TargetMode="External"/><Relationship Id="rId89" Type="http://schemas.openxmlformats.org/officeDocument/2006/relationships/hyperlink" Target="https://www.itu.int/md/S26-CWGFHR22-C-0019/es" TargetMode="External"/><Relationship Id="rId112" Type="http://schemas.openxmlformats.org/officeDocument/2006/relationships/hyperlink" Target="https://www.itu.int/md/S26-CWGFHR22-C-0030/es" TargetMode="External"/><Relationship Id="rId133" Type="http://schemas.openxmlformats.org/officeDocument/2006/relationships/hyperlink" Target="https://www.itu.int/md/S26-CWGFHR22-C-0029/en" TargetMode="External"/><Relationship Id="rId154" Type="http://schemas.openxmlformats.org/officeDocument/2006/relationships/hyperlink" Target="https://www.itu.int/md/S25-CWGFHR21-C-0022/en" TargetMode="External"/><Relationship Id="rId175" Type="http://schemas.openxmlformats.org/officeDocument/2006/relationships/hyperlink" Target="https://www.itu.int/md/S25-CL-C-0038/en" TargetMode="External"/><Relationship Id="rId16" Type="http://schemas.openxmlformats.org/officeDocument/2006/relationships/hyperlink" Target="https://www.itu.int/md/S25-CWGFHR21-C-0002/en" TargetMode="External"/><Relationship Id="rId37" Type="http://schemas.openxmlformats.org/officeDocument/2006/relationships/hyperlink" Target="https://www.itu.int/md/S25-CWGFHR21-C-0005/es" TargetMode="External"/><Relationship Id="rId58" Type="http://schemas.openxmlformats.org/officeDocument/2006/relationships/hyperlink" Target="https://www.itu.int/md/S26-CWGFHR22-C-0008/en" TargetMode="External"/><Relationship Id="rId79" Type="http://schemas.openxmlformats.org/officeDocument/2006/relationships/hyperlink" Target="https://www.itu.int/md/S25-CWGFHR21-C-0017/es" TargetMode="External"/><Relationship Id="rId102" Type="http://schemas.openxmlformats.org/officeDocument/2006/relationships/hyperlink" Target="https://www.itu.int/md/S26-CWGFHR22-C-0015/es" TargetMode="External"/><Relationship Id="rId123" Type="http://schemas.openxmlformats.org/officeDocument/2006/relationships/hyperlink" Target="https://www.itu.int/md/S26-CWGFHR22-C-0002/en" TargetMode="External"/><Relationship Id="rId144" Type="http://schemas.openxmlformats.org/officeDocument/2006/relationships/hyperlink" Target="https://www.itu.int/md/S25-CWGFHR21-C-0019/es" TargetMode="External"/><Relationship Id="rId90" Type="http://schemas.openxmlformats.org/officeDocument/2006/relationships/hyperlink" Target="https://www.itu.int/md/S26-CWGFHR22-C-0019/en" TargetMode="External"/><Relationship Id="rId165" Type="http://schemas.openxmlformats.org/officeDocument/2006/relationships/hyperlink" Target="https://www.itu.int/md/S26-CWGFHR22-C-0025/en" TargetMode="External"/><Relationship Id="rId27" Type="http://schemas.openxmlformats.org/officeDocument/2006/relationships/hyperlink" Target="https://www.itu.int/md/S25-CWGFHR21-C-0004/es" TargetMode="External"/><Relationship Id="rId48" Type="http://schemas.openxmlformats.org/officeDocument/2006/relationships/hyperlink" Target="https://www.itu.int/md/S25-CWGFHR21-C-0021/en" TargetMode="External"/><Relationship Id="rId69" Type="http://schemas.openxmlformats.org/officeDocument/2006/relationships/hyperlink" Target="https://www.itu.int/md/S26-CWGFHR22-C-0023/es" TargetMode="External"/><Relationship Id="rId113" Type="http://schemas.openxmlformats.org/officeDocument/2006/relationships/hyperlink" Target="https://www.itu.int/md/S26-CWGFHR22-C-0015/en" TargetMode="External"/><Relationship Id="rId134" Type="http://schemas.openxmlformats.org/officeDocument/2006/relationships/hyperlink" Target="https://www.itu.int/md/S26-CWGFHR22-C-0032/es" TargetMode="External"/><Relationship Id="rId80" Type="http://schemas.openxmlformats.org/officeDocument/2006/relationships/hyperlink" Target="https://www.itu.int/md/S25-CWGFHR21-C-0017/en" TargetMode="External"/><Relationship Id="rId155" Type="http://schemas.openxmlformats.org/officeDocument/2006/relationships/hyperlink" Target="https://www.itu.int/md/S25-CWGFHR21-C-0022/es" TargetMode="External"/><Relationship Id="rId176" Type="http://schemas.openxmlformats.org/officeDocument/2006/relationships/hyperlink" Target="https://www.itu.int/md/S25-CWGFHR21-C-0024/es" TargetMode="External"/><Relationship Id="rId17" Type="http://schemas.openxmlformats.org/officeDocument/2006/relationships/hyperlink" Target="https://www.itu.int/en/ethics/pages/default.aspx" TargetMode="External"/><Relationship Id="rId38" Type="http://schemas.openxmlformats.org/officeDocument/2006/relationships/hyperlink" Target="https://www.itu.int/md/S25-CWGFHR21-C-0006/es" TargetMode="External"/><Relationship Id="rId59" Type="http://schemas.openxmlformats.org/officeDocument/2006/relationships/hyperlink" Target="https://www.itu.int/md/S26-CWGFHR22-C-0008/es" TargetMode="External"/><Relationship Id="rId103" Type="http://schemas.openxmlformats.org/officeDocument/2006/relationships/hyperlink" Target="https://www.itu.int/md/S26-CWGFHR22-C-0017/es" TargetMode="External"/><Relationship Id="rId124" Type="http://schemas.openxmlformats.org/officeDocument/2006/relationships/hyperlink" Target="https://www.itu.int/md/S25-CWGFHR21-C-0020/es" TargetMode="External"/><Relationship Id="rId70" Type="http://schemas.openxmlformats.org/officeDocument/2006/relationships/hyperlink" Target="https://www.itu.int/md/S26-CWGFHR22-C-0023/en" TargetMode="External"/><Relationship Id="rId91" Type="http://schemas.openxmlformats.org/officeDocument/2006/relationships/hyperlink" Target="https://www.itu.int/md/S26-CWGFHR22-C-0010/es" TargetMode="External"/><Relationship Id="rId145" Type="http://schemas.openxmlformats.org/officeDocument/2006/relationships/hyperlink" Target="https://www.itu.int/md/S26-CWGFHR22-C-0011/es" TargetMode="External"/><Relationship Id="rId166" Type="http://schemas.openxmlformats.org/officeDocument/2006/relationships/hyperlink" Target="https://www.itu.int/md/S26-CWGFHR22-C-0025/es" TargetMode="External"/><Relationship Id="rId1" Type="http://schemas.openxmlformats.org/officeDocument/2006/relationships/numbering" Target="numbering.xml"/><Relationship Id="rId28" Type="http://schemas.openxmlformats.org/officeDocument/2006/relationships/hyperlink" Target="https://www.itu.int/md/S26-CWGFHR22-C-0004/es" TargetMode="External"/><Relationship Id="rId49" Type="http://schemas.openxmlformats.org/officeDocument/2006/relationships/hyperlink" Target="https://www.itu.int/md/S26-CWGFHR22-C-0022/es" TargetMode="External"/><Relationship Id="rId114" Type="http://schemas.openxmlformats.org/officeDocument/2006/relationships/hyperlink" Target="https://www.itu.int/md/S26-CWGFHR22-C-0017/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da\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11</TotalTime>
  <Pages>25</Pages>
  <Words>11926</Words>
  <Characters>76164</Characters>
  <Application>Microsoft Office Word</Application>
  <DocSecurity>0</DocSecurity>
  <Lines>1269</Lines>
  <Paragraphs>356</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Informe sobre los resultados de las reuniones 21.ª y 22.ª del Grupo de Trabajo del Consejo sobre recursos humanos y financieros</vt:lpstr>
    </vt:vector>
  </TitlesOfParts>
  <Manager>Secretaría General - Pool</Manager>
  <Company>International Telecommunication Union</Company>
  <LinksUpToDate>false</LinksUpToDate>
  <CharactersWithSpaces>87734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sobre los resultados de las reuniones 21.ª y 22.ª del Grupo de Trabajo del Consejo sobre recursos humanos y financieros</dc:title>
  <dc:subject>Consejo 2026 de la UIT</dc:subject>
  <cp:keywords>C26; C2026; Council 2026; PP26</cp:keywords>
  <dc:description/>
  <cp:lastPrinted>2006-03-24T09:51:00Z</cp:lastPrinted>
  <dcterms:created xsi:type="dcterms:W3CDTF">2026-04-08T15:22:00Z</dcterms:created>
  <dcterms:modified xsi:type="dcterms:W3CDTF">2026-04-08T15:32:00Z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