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6B7453" w14:paraId="27019F64" w14:textId="77777777" w:rsidTr="00954C49">
        <w:trPr>
          <w:cantSplit/>
          <w:trHeight w:val="23"/>
        </w:trPr>
        <w:tc>
          <w:tcPr>
            <w:tcW w:w="3969" w:type="dxa"/>
            <w:vMerge w:val="restart"/>
            <w:tcMar>
              <w:left w:w="0" w:type="dxa"/>
            </w:tcMar>
          </w:tcPr>
          <w:p w14:paraId="61645E1B" w14:textId="34DF153D" w:rsidR="00AD3606" w:rsidRPr="006B7453" w:rsidRDefault="00AD3606" w:rsidP="00954C49">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6B7453">
              <w:rPr>
                <w:b/>
              </w:rPr>
              <w:t xml:space="preserve">Agenda item: </w:t>
            </w:r>
            <w:r w:rsidR="00951E61" w:rsidRPr="006B7453">
              <w:rPr>
                <w:b/>
              </w:rPr>
              <w:t>ADM 1</w:t>
            </w:r>
          </w:p>
        </w:tc>
        <w:tc>
          <w:tcPr>
            <w:tcW w:w="5245" w:type="dxa"/>
          </w:tcPr>
          <w:p w14:paraId="627B15D6" w14:textId="34DDDB7C" w:rsidR="00AD3606" w:rsidRPr="006B7453" w:rsidRDefault="00AD3606" w:rsidP="00954C49">
            <w:pPr>
              <w:tabs>
                <w:tab w:val="left" w:pos="851"/>
              </w:tabs>
              <w:spacing w:before="0" w:line="240" w:lineRule="atLeast"/>
              <w:jc w:val="right"/>
              <w:rPr>
                <w:b/>
              </w:rPr>
            </w:pPr>
            <w:r w:rsidRPr="006B7453">
              <w:rPr>
                <w:b/>
              </w:rPr>
              <w:t>Document C2</w:t>
            </w:r>
            <w:r w:rsidR="00DE532B" w:rsidRPr="006B7453">
              <w:rPr>
                <w:b/>
              </w:rPr>
              <w:t>6</w:t>
            </w:r>
            <w:r w:rsidRPr="006B7453">
              <w:rPr>
                <w:b/>
              </w:rPr>
              <w:t>/</w:t>
            </w:r>
            <w:r w:rsidR="009142C6" w:rsidRPr="006B7453">
              <w:rPr>
                <w:b/>
              </w:rPr>
              <w:t>50</w:t>
            </w:r>
            <w:r w:rsidRPr="006B7453">
              <w:rPr>
                <w:b/>
              </w:rPr>
              <w:t>-E</w:t>
            </w:r>
          </w:p>
        </w:tc>
      </w:tr>
      <w:tr w:rsidR="00AD3606" w:rsidRPr="006B7453" w14:paraId="65AB0567" w14:textId="77777777" w:rsidTr="00954C49">
        <w:trPr>
          <w:cantSplit/>
        </w:trPr>
        <w:tc>
          <w:tcPr>
            <w:tcW w:w="3969" w:type="dxa"/>
            <w:vMerge/>
          </w:tcPr>
          <w:p w14:paraId="044C8158" w14:textId="77777777" w:rsidR="00AD3606" w:rsidRPr="006B7453" w:rsidRDefault="00AD3606" w:rsidP="00954C49">
            <w:pPr>
              <w:tabs>
                <w:tab w:val="left" w:pos="851"/>
              </w:tabs>
              <w:spacing w:line="240" w:lineRule="atLeast"/>
              <w:rPr>
                <w:b/>
              </w:rPr>
            </w:pPr>
            <w:bookmarkStart w:id="6" w:name="ddate" w:colFirst="1" w:colLast="1"/>
            <w:bookmarkEnd w:id="0"/>
            <w:bookmarkEnd w:id="1"/>
          </w:p>
        </w:tc>
        <w:tc>
          <w:tcPr>
            <w:tcW w:w="5245" w:type="dxa"/>
          </w:tcPr>
          <w:p w14:paraId="060AC16C" w14:textId="651B822B" w:rsidR="00AD3606" w:rsidRPr="006B7453" w:rsidRDefault="0060023F" w:rsidP="00954C49">
            <w:pPr>
              <w:tabs>
                <w:tab w:val="left" w:pos="851"/>
              </w:tabs>
              <w:spacing w:before="0"/>
              <w:jc w:val="right"/>
              <w:rPr>
                <w:b/>
              </w:rPr>
            </w:pPr>
            <w:r w:rsidRPr="006B7453">
              <w:rPr>
                <w:b/>
              </w:rPr>
              <w:t>27 March</w:t>
            </w:r>
            <w:r w:rsidR="009142C6" w:rsidRPr="006B7453">
              <w:rPr>
                <w:b/>
              </w:rPr>
              <w:t xml:space="preserve"> 2026</w:t>
            </w:r>
          </w:p>
        </w:tc>
      </w:tr>
      <w:tr w:rsidR="00AD3606" w:rsidRPr="006B7453" w14:paraId="2FF439A4" w14:textId="77777777" w:rsidTr="00954C49">
        <w:trPr>
          <w:cantSplit/>
          <w:trHeight w:val="23"/>
        </w:trPr>
        <w:tc>
          <w:tcPr>
            <w:tcW w:w="3969" w:type="dxa"/>
            <w:vMerge/>
          </w:tcPr>
          <w:p w14:paraId="6CFB30F5" w14:textId="77777777" w:rsidR="00AD3606" w:rsidRPr="006B7453" w:rsidRDefault="00AD3606" w:rsidP="00954C49">
            <w:pPr>
              <w:tabs>
                <w:tab w:val="left" w:pos="851"/>
              </w:tabs>
              <w:spacing w:line="240" w:lineRule="atLeast"/>
              <w:rPr>
                <w:b/>
              </w:rPr>
            </w:pPr>
            <w:bookmarkStart w:id="7" w:name="dorlang" w:colFirst="1" w:colLast="1"/>
            <w:bookmarkEnd w:id="6"/>
          </w:p>
        </w:tc>
        <w:tc>
          <w:tcPr>
            <w:tcW w:w="5245" w:type="dxa"/>
          </w:tcPr>
          <w:p w14:paraId="7B922076" w14:textId="77777777" w:rsidR="00AD3606" w:rsidRPr="006B7453" w:rsidRDefault="00AD3606" w:rsidP="00954C49">
            <w:pPr>
              <w:tabs>
                <w:tab w:val="left" w:pos="851"/>
              </w:tabs>
              <w:spacing w:before="0" w:line="240" w:lineRule="atLeast"/>
              <w:jc w:val="right"/>
              <w:rPr>
                <w:b/>
              </w:rPr>
            </w:pPr>
            <w:r w:rsidRPr="006B7453">
              <w:rPr>
                <w:b/>
              </w:rPr>
              <w:t>Original: English</w:t>
            </w:r>
          </w:p>
        </w:tc>
      </w:tr>
      <w:tr w:rsidR="00472BAD" w:rsidRPr="006B7453" w14:paraId="6693A6D9" w14:textId="77777777" w:rsidTr="00954C49">
        <w:trPr>
          <w:cantSplit/>
          <w:trHeight w:val="23"/>
        </w:trPr>
        <w:tc>
          <w:tcPr>
            <w:tcW w:w="3969" w:type="dxa"/>
          </w:tcPr>
          <w:p w14:paraId="47541C46" w14:textId="77777777" w:rsidR="00472BAD" w:rsidRPr="006B7453" w:rsidRDefault="00472BAD" w:rsidP="00954C49">
            <w:pPr>
              <w:tabs>
                <w:tab w:val="left" w:pos="851"/>
              </w:tabs>
              <w:spacing w:line="240" w:lineRule="atLeast"/>
              <w:rPr>
                <w:b/>
              </w:rPr>
            </w:pPr>
          </w:p>
        </w:tc>
        <w:tc>
          <w:tcPr>
            <w:tcW w:w="5245" w:type="dxa"/>
          </w:tcPr>
          <w:p w14:paraId="00CD7F27" w14:textId="77777777" w:rsidR="00472BAD" w:rsidRPr="006B7453" w:rsidRDefault="00472BAD" w:rsidP="00954C49">
            <w:pPr>
              <w:tabs>
                <w:tab w:val="left" w:pos="851"/>
              </w:tabs>
              <w:spacing w:before="0" w:line="240" w:lineRule="atLeast"/>
              <w:jc w:val="right"/>
              <w:rPr>
                <w:b/>
              </w:rPr>
            </w:pPr>
          </w:p>
        </w:tc>
      </w:tr>
      <w:tr w:rsidR="00AD3606" w:rsidRPr="006B7453" w14:paraId="21388443" w14:textId="77777777" w:rsidTr="00954C49">
        <w:trPr>
          <w:cantSplit/>
        </w:trPr>
        <w:tc>
          <w:tcPr>
            <w:tcW w:w="9214" w:type="dxa"/>
            <w:gridSpan w:val="2"/>
            <w:tcMar>
              <w:left w:w="0" w:type="dxa"/>
            </w:tcMar>
          </w:tcPr>
          <w:p w14:paraId="4974CF10" w14:textId="69A4AC70" w:rsidR="00AD3606" w:rsidRPr="006B7453" w:rsidRDefault="00951E61" w:rsidP="00951E61">
            <w:pPr>
              <w:pStyle w:val="Source"/>
              <w:framePr w:hSpace="0" w:wrap="auto" w:vAnchor="margin" w:hAnchor="text" w:yAlign="inline"/>
            </w:pPr>
            <w:bookmarkStart w:id="8" w:name="dsource" w:colFirst="0" w:colLast="0"/>
            <w:bookmarkEnd w:id="7"/>
            <w:r w:rsidRPr="006B7453">
              <w:t>Report by the Chair of the Council Working Group on financial and human resources</w:t>
            </w:r>
          </w:p>
        </w:tc>
      </w:tr>
      <w:tr w:rsidR="00AD3606" w:rsidRPr="006B7453" w14:paraId="2008114E" w14:textId="77777777" w:rsidTr="00954C49">
        <w:trPr>
          <w:cantSplit/>
        </w:trPr>
        <w:tc>
          <w:tcPr>
            <w:tcW w:w="9214" w:type="dxa"/>
            <w:gridSpan w:val="2"/>
            <w:tcMar>
              <w:left w:w="0" w:type="dxa"/>
            </w:tcMar>
          </w:tcPr>
          <w:p w14:paraId="1036C3F4" w14:textId="19C6CF1A" w:rsidR="00AD3606" w:rsidRPr="006B7453" w:rsidRDefault="00C75C56" w:rsidP="00951E61">
            <w:pPr>
              <w:pStyle w:val="Subtitle"/>
              <w:framePr w:hSpace="0" w:wrap="auto" w:hAnchor="text" w:xAlign="left" w:yAlign="inline"/>
            </w:pPr>
            <w:bookmarkStart w:id="9" w:name="dtitle1" w:colFirst="0" w:colLast="0"/>
            <w:bookmarkEnd w:id="8"/>
            <w:r w:rsidRPr="006B7453">
              <w:t>REPORT ON THE OUTCOMES OF THE 21</w:t>
            </w:r>
            <w:r w:rsidRPr="006B7453">
              <w:rPr>
                <w:vertAlign w:val="superscript"/>
              </w:rPr>
              <w:t>st</w:t>
            </w:r>
            <w:r w:rsidRPr="006B7453">
              <w:t xml:space="preserve"> AND 22</w:t>
            </w:r>
            <w:r w:rsidRPr="006B7453">
              <w:rPr>
                <w:vertAlign w:val="superscript"/>
              </w:rPr>
              <w:t>nd</w:t>
            </w:r>
            <w:r w:rsidRPr="006B7453">
              <w:t xml:space="preserve"> MEETINGS OF THE COUNCIL WORKING GROUP ON FINANCIAL AND HUMAN RESOURCES</w:t>
            </w:r>
          </w:p>
        </w:tc>
      </w:tr>
      <w:tr w:rsidR="00AD3606" w:rsidRPr="006B7453" w14:paraId="58526C68" w14:textId="77777777" w:rsidTr="00954C49">
        <w:trPr>
          <w:cantSplit/>
        </w:trPr>
        <w:tc>
          <w:tcPr>
            <w:tcW w:w="9214" w:type="dxa"/>
            <w:gridSpan w:val="2"/>
            <w:tcBorders>
              <w:top w:val="single" w:sz="4" w:space="0" w:color="auto"/>
              <w:bottom w:val="single" w:sz="4" w:space="0" w:color="auto"/>
            </w:tcBorders>
            <w:tcMar>
              <w:left w:w="0" w:type="dxa"/>
            </w:tcMar>
          </w:tcPr>
          <w:p w14:paraId="708C9082" w14:textId="77777777" w:rsidR="00AD3606" w:rsidRPr="006B7453" w:rsidRDefault="00F16BAB" w:rsidP="00954C49">
            <w:pPr>
              <w:spacing w:before="160"/>
              <w:rPr>
                <w:b/>
                <w:bCs/>
                <w:sz w:val="26"/>
                <w:szCs w:val="26"/>
              </w:rPr>
            </w:pPr>
            <w:r w:rsidRPr="006B7453">
              <w:rPr>
                <w:b/>
                <w:bCs/>
                <w:sz w:val="26"/>
                <w:szCs w:val="26"/>
              </w:rPr>
              <w:t>Purpose</w:t>
            </w:r>
          </w:p>
          <w:p w14:paraId="739B1E4A" w14:textId="74892704" w:rsidR="009142C6" w:rsidRPr="006B7453" w:rsidRDefault="009142C6" w:rsidP="00C75C56">
            <w:pPr>
              <w:jc w:val="both"/>
            </w:pPr>
            <w:r w:rsidRPr="006B7453">
              <w:t>This document presents the recommendations from the deliberations of the meetings of the CWG-FHR, which were held on 10-12 September 2025 and 14-16 January 2026, respectively. The full reports of these meetings can be accessed at the following under Documents</w:t>
            </w:r>
            <w:r w:rsidR="0073609B" w:rsidRPr="006B7453">
              <w:t> </w:t>
            </w:r>
            <w:hyperlink r:id="rId11" w:history="1">
              <w:r w:rsidRPr="006B7453">
                <w:rPr>
                  <w:rStyle w:val="Hyperlink"/>
                </w:rPr>
                <w:t>CWG</w:t>
              </w:r>
              <w:r w:rsidRPr="006B7453">
                <w:rPr>
                  <w:rStyle w:val="Hyperlink"/>
                </w:rPr>
                <w:noBreakHyphen/>
                <w:t>FHR-21/25</w:t>
              </w:r>
            </w:hyperlink>
            <w:r w:rsidRPr="006B7453">
              <w:t xml:space="preserve"> and </w:t>
            </w:r>
            <w:hyperlink r:id="rId12" w:history="1">
              <w:r w:rsidRPr="006B7453">
                <w:rPr>
                  <w:rStyle w:val="Hyperlink"/>
                </w:rPr>
                <w:t>CWG-FHR-22/36</w:t>
              </w:r>
            </w:hyperlink>
            <w:r w:rsidRPr="006B7453">
              <w:t>.</w:t>
            </w:r>
          </w:p>
          <w:p w14:paraId="5B90CDC0" w14:textId="5F3D6891" w:rsidR="00AD3606" w:rsidRPr="006B7453" w:rsidRDefault="009142C6" w:rsidP="0073609B">
            <w:pPr>
              <w:jc w:val="both"/>
            </w:pPr>
            <w:r w:rsidRPr="006B7453">
              <w:t>Council delegates should refer to these reports for an expansion of the various views expressed during the discussions.</w:t>
            </w:r>
          </w:p>
          <w:p w14:paraId="5D3228C6" w14:textId="77777777" w:rsidR="00AD3606" w:rsidRPr="006B7453" w:rsidRDefault="00AD3606" w:rsidP="00954C49">
            <w:pPr>
              <w:spacing w:before="160"/>
              <w:rPr>
                <w:b/>
                <w:bCs/>
                <w:sz w:val="26"/>
                <w:szCs w:val="26"/>
              </w:rPr>
            </w:pPr>
            <w:r w:rsidRPr="006B7453">
              <w:rPr>
                <w:b/>
                <w:bCs/>
                <w:sz w:val="26"/>
                <w:szCs w:val="26"/>
              </w:rPr>
              <w:t>Action required</w:t>
            </w:r>
            <w:r w:rsidR="00F16BAB" w:rsidRPr="006B7453">
              <w:rPr>
                <w:b/>
                <w:bCs/>
                <w:sz w:val="26"/>
                <w:szCs w:val="26"/>
              </w:rPr>
              <w:t xml:space="preserve"> by the Council</w:t>
            </w:r>
          </w:p>
          <w:p w14:paraId="28EB3C66" w14:textId="7867EF68" w:rsidR="009142C6" w:rsidRPr="006B7453" w:rsidRDefault="009142C6" w:rsidP="0073609B">
            <w:pPr>
              <w:jc w:val="both"/>
            </w:pPr>
            <w:r w:rsidRPr="006B7453">
              <w:t xml:space="preserve">The Council is invited to </w:t>
            </w:r>
            <w:r w:rsidRPr="006B7453">
              <w:rPr>
                <w:b/>
                <w:bCs/>
              </w:rPr>
              <w:t>take note</w:t>
            </w:r>
            <w:r w:rsidRPr="006B7453">
              <w:t xml:space="preserve"> of the work of the CWG-FHR and </w:t>
            </w:r>
            <w:r w:rsidRPr="006B7453">
              <w:rPr>
                <w:b/>
                <w:bCs/>
              </w:rPr>
              <w:t>consider</w:t>
            </w:r>
            <w:r w:rsidRPr="006B7453">
              <w:t xml:space="preserve"> the recommendations identified in </w:t>
            </w:r>
            <w:r w:rsidR="00951E61" w:rsidRPr="006B7453">
              <w:t xml:space="preserve">Annex </w:t>
            </w:r>
            <w:r w:rsidRPr="006B7453">
              <w:t xml:space="preserve">A of the report. </w:t>
            </w:r>
          </w:p>
          <w:p w14:paraId="5563AED1" w14:textId="77777777" w:rsidR="00722551" w:rsidRPr="006B7453" w:rsidRDefault="00722551" w:rsidP="00954C49">
            <w:pPr>
              <w:spacing w:before="160"/>
              <w:rPr>
                <w:b/>
                <w:bCs/>
                <w:sz w:val="26"/>
                <w:szCs w:val="26"/>
              </w:rPr>
            </w:pPr>
            <w:r w:rsidRPr="006B7453">
              <w:rPr>
                <w:b/>
                <w:bCs/>
                <w:sz w:val="26"/>
                <w:szCs w:val="26"/>
              </w:rPr>
              <w:t>Relevant link</w:t>
            </w:r>
            <w:r w:rsidR="00176F47" w:rsidRPr="006B7453">
              <w:rPr>
                <w:b/>
                <w:bCs/>
                <w:sz w:val="26"/>
                <w:szCs w:val="26"/>
              </w:rPr>
              <w:t>(s)</w:t>
            </w:r>
            <w:r w:rsidRPr="006B7453">
              <w:rPr>
                <w:b/>
                <w:bCs/>
                <w:sz w:val="26"/>
                <w:szCs w:val="26"/>
              </w:rPr>
              <w:t xml:space="preserve"> with the Strategic Plan</w:t>
            </w:r>
          </w:p>
          <w:p w14:paraId="6C365A58" w14:textId="51E16308" w:rsidR="00722551" w:rsidRPr="006B7453" w:rsidRDefault="009142C6" w:rsidP="009142C6">
            <w:r w:rsidRPr="006B7453">
              <w:t>Convening platforms; excellence in human resources and organizational innovation.</w:t>
            </w:r>
          </w:p>
          <w:p w14:paraId="7C34DAAD" w14:textId="77777777" w:rsidR="00722551" w:rsidRPr="006B7453" w:rsidRDefault="00722551" w:rsidP="00954C49">
            <w:pPr>
              <w:spacing w:before="160"/>
              <w:rPr>
                <w:b/>
                <w:bCs/>
                <w:sz w:val="26"/>
                <w:szCs w:val="26"/>
              </w:rPr>
            </w:pPr>
            <w:r w:rsidRPr="006B7453">
              <w:rPr>
                <w:b/>
                <w:bCs/>
                <w:sz w:val="26"/>
                <w:szCs w:val="26"/>
              </w:rPr>
              <w:t>Financial implications</w:t>
            </w:r>
          </w:p>
          <w:p w14:paraId="6F337FC7" w14:textId="77777777" w:rsidR="009142C6" w:rsidRPr="006B7453" w:rsidRDefault="009142C6" w:rsidP="009142C6">
            <w:pPr>
              <w:spacing w:before="160"/>
              <w:rPr>
                <w:szCs w:val="24"/>
              </w:rPr>
            </w:pPr>
            <w:r w:rsidRPr="006B7453">
              <w:rPr>
                <w:szCs w:val="24"/>
              </w:rPr>
              <w:t>Within the allocated budget 2025-2026.</w:t>
            </w:r>
          </w:p>
          <w:p w14:paraId="6DAA204C" w14:textId="77777777" w:rsidR="00C0458D" w:rsidRPr="006B7453" w:rsidRDefault="00C0458D" w:rsidP="00954C49">
            <w:r w:rsidRPr="006B7453">
              <w:t>_______________</w:t>
            </w:r>
          </w:p>
          <w:p w14:paraId="32A5FBF2" w14:textId="77777777" w:rsidR="00AD3606" w:rsidRPr="006B7453" w:rsidRDefault="00AD3606" w:rsidP="00954C49">
            <w:pPr>
              <w:spacing w:before="160"/>
              <w:rPr>
                <w:b/>
                <w:bCs/>
                <w:sz w:val="26"/>
                <w:szCs w:val="26"/>
              </w:rPr>
            </w:pPr>
            <w:r w:rsidRPr="006B7453">
              <w:rPr>
                <w:b/>
                <w:bCs/>
                <w:sz w:val="26"/>
                <w:szCs w:val="26"/>
              </w:rPr>
              <w:t>References</w:t>
            </w:r>
          </w:p>
          <w:p w14:paraId="24BF41F7" w14:textId="73752CB7" w:rsidR="00AD3606" w:rsidRPr="006B7453" w:rsidRDefault="009142C6" w:rsidP="009142C6">
            <w:pPr>
              <w:spacing w:after="160"/>
              <w:rPr>
                <w:i/>
                <w:iCs/>
                <w:sz w:val="22"/>
                <w:szCs w:val="22"/>
              </w:rPr>
            </w:pPr>
            <w:hyperlink r:id="rId13" w:history="1">
              <w:r w:rsidRPr="006B7453">
                <w:rPr>
                  <w:rStyle w:val="Hyperlink"/>
                  <w:i/>
                  <w:iCs/>
                  <w:sz w:val="22"/>
                  <w:szCs w:val="22"/>
                </w:rPr>
                <w:t>Council Decision 563</w:t>
              </w:r>
            </w:hyperlink>
            <w:r w:rsidRPr="006B7453">
              <w:rPr>
                <w:rStyle w:val="Hyperlink"/>
                <w:i/>
                <w:iCs/>
                <w:sz w:val="22"/>
                <w:szCs w:val="22"/>
              </w:rPr>
              <w:t xml:space="preserve"> (Mod. 2023)</w:t>
            </w:r>
          </w:p>
        </w:tc>
      </w:tr>
    </w:tbl>
    <w:p w14:paraId="6D15BD27" w14:textId="77777777" w:rsidR="00E227F3" w:rsidRPr="006B7453"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bookmarkEnd w:id="5"/>
    <w:bookmarkEnd w:id="10"/>
    <w:p w14:paraId="48FF9A73" w14:textId="77777777" w:rsidR="00951E61" w:rsidRPr="006B7453" w:rsidRDefault="00951E61">
      <w:pPr>
        <w:tabs>
          <w:tab w:val="clear" w:pos="567"/>
          <w:tab w:val="clear" w:pos="1134"/>
          <w:tab w:val="clear" w:pos="1701"/>
          <w:tab w:val="clear" w:pos="2268"/>
          <w:tab w:val="clear" w:pos="2835"/>
        </w:tabs>
        <w:overflowPunct/>
        <w:autoSpaceDE/>
        <w:autoSpaceDN/>
        <w:adjustRightInd/>
        <w:spacing w:before="0"/>
        <w:textAlignment w:val="auto"/>
        <w:rPr>
          <w:rFonts w:cs="Calibri"/>
        </w:rPr>
      </w:pPr>
      <w:r w:rsidRPr="006B7453">
        <w:rPr>
          <w:rFonts w:cs="Calibri"/>
        </w:rPr>
        <w:br w:type="page"/>
      </w:r>
    </w:p>
    <w:p w14:paraId="55B0426D" w14:textId="23FB1DEA" w:rsidR="009142C6" w:rsidRPr="006B7453" w:rsidRDefault="009142C6" w:rsidP="0073609B">
      <w:pPr>
        <w:jc w:val="both"/>
        <w:rPr>
          <w:rFonts w:cs="Calibri"/>
        </w:rPr>
      </w:pPr>
      <w:r w:rsidRPr="006B7453">
        <w:rPr>
          <w:rFonts w:cs="Calibri"/>
        </w:rPr>
        <w:lastRenderedPageBreak/>
        <w:t>The Council Working Group on Financial and Human Resources (CWG-FHR) is chaired by Ms</w:t>
      </w:r>
      <w:r w:rsidR="0073609B" w:rsidRPr="006B7453">
        <w:rPr>
          <w:rFonts w:cs="Calibri"/>
        </w:rPr>
        <w:t> </w:t>
      </w:r>
      <w:r w:rsidRPr="006B7453">
        <w:rPr>
          <w:rFonts w:cs="Calibri"/>
        </w:rPr>
        <w:t>Vernita D. Harris, (United States of America) assisted by six Vice-Chairs as follows: AFR – Ms Seynabou Cisse Seck (Senegal); AMS – Mr Ronaldo Moura (Brazil); ARB – Ms Noha Gaafar (Egypt); ASP – Ms Min Jung Park (Korea (Republic of)); CIS – Mr Erzhan Meiramov (Kazakhstan); EUR – Mr Szabolcs Szentléleky (Hungary).</w:t>
      </w:r>
    </w:p>
    <w:p w14:paraId="71ACA9E3" w14:textId="10620777" w:rsidR="009142C6" w:rsidRPr="006B7453" w:rsidRDefault="00951E61" w:rsidP="00182053">
      <w:pPr>
        <w:pStyle w:val="Heading1"/>
        <w:spacing w:before="240"/>
      </w:pPr>
      <w:r w:rsidRPr="006B7453">
        <w:t>1</w:t>
      </w:r>
      <w:r w:rsidRPr="006B7453">
        <w:tab/>
      </w:r>
      <w:r w:rsidR="009142C6" w:rsidRPr="006B7453">
        <w:t>Statement by the Staff Council (oral presentation)</w:t>
      </w:r>
    </w:p>
    <w:p w14:paraId="07FE6FAA" w14:textId="207FBEC6" w:rsidR="009142C6" w:rsidRPr="006B7453" w:rsidRDefault="009142C6" w:rsidP="0073609B">
      <w:pPr>
        <w:jc w:val="both"/>
      </w:pPr>
      <w:r w:rsidRPr="006B7453">
        <w:t>1.1</w:t>
      </w:r>
      <w:r w:rsidRPr="006B7453">
        <w:tab/>
        <w:t>At the 21</w:t>
      </w:r>
      <w:r w:rsidRPr="006B7453">
        <w:rPr>
          <w:vertAlign w:val="superscript"/>
        </w:rPr>
        <w:t>st</w:t>
      </w:r>
      <w:r w:rsidRPr="006B7453">
        <w:t xml:space="preserve"> meeting of the CWG-FHR in September 2025, a statement was made by the President of the Staff Council, Mr Onder Cetinkaya.</w:t>
      </w:r>
      <w:r w:rsidR="00FC2633" w:rsidRPr="006B7453">
        <w:t xml:space="preserve"> </w:t>
      </w:r>
      <w:r w:rsidRPr="006B7453">
        <w:t>The statement is available as Document</w:t>
      </w:r>
      <w:r w:rsidR="0073609B" w:rsidRPr="006B7453">
        <w:t> </w:t>
      </w:r>
      <w:hyperlink r:id="rId14" w:history="1">
        <w:r w:rsidRPr="006B7453">
          <w:rPr>
            <w:rStyle w:val="Hyperlink"/>
            <w:rFonts w:eastAsia="Aptos"/>
          </w:rPr>
          <w:t>CWG-FHR-21/INF/3</w:t>
        </w:r>
      </w:hyperlink>
      <w:r w:rsidRPr="006B7453">
        <w:t>.</w:t>
      </w:r>
    </w:p>
    <w:p w14:paraId="470E8C86" w14:textId="5E295F08" w:rsidR="009142C6" w:rsidRPr="006B7453" w:rsidRDefault="009142C6" w:rsidP="0073609B">
      <w:pPr>
        <w:jc w:val="both"/>
      </w:pPr>
      <w:r w:rsidRPr="006B7453">
        <w:t>1.2</w:t>
      </w:r>
      <w:r w:rsidRPr="006B7453">
        <w:tab/>
        <w:t>At the 22</w:t>
      </w:r>
      <w:r w:rsidRPr="006B7453">
        <w:rPr>
          <w:vertAlign w:val="superscript"/>
        </w:rPr>
        <w:t>nd</w:t>
      </w:r>
      <w:r w:rsidRPr="006B7453">
        <w:t xml:space="preserve"> meeting of the CWG-FHR in January 2026, a statement was made by the President of the Staff Council, Mr Onder Cetinkaya.</w:t>
      </w:r>
      <w:r w:rsidR="00FC2633" w:rsidRPr="006B7453">
        <w:t xml:space="preserve"> </w:t>
      </w:r>
      <w:r w:rsidRPr="006B7453">
        <w:t xml:space="preserve">The statement is available as </w:t>
      </w:r>
      <w:r w:rsidRPr="006B7453">
        <w:rPr>
          <w:rFonts w:eastAsia="Aptos"/>
        </w:rPr>
        <w:t>Document</w:t>
      </w:r>
      <w:r w:rsidR="0073609B" w:rsidRPr="006B7453">
        <w:rPr>
          <w:rFonts w:eastAsia="Aptos"/>
        </w:rPr>
        <w:t> </w:t>
      </w:r>
      <w:hyperlink r:id="rId15" w:history="1">
        <w:r w:rsidRPr="006B7453">
          <w:rPr>
            <w:rStyle w:val="Hyperlink"/>
            <w:rFonts w:eastAsia="Aptos"/>
          </w:rPr>
          <w:t>CWG-FHR-22/INF/4</w:t>
        </w:r>
      </w:hyperlink>
      <w:r w:rsidRPr="006B7453">
        <w:t>.</w:t>
      </w:r>
    </w:p>
    <w:p w14:paraId="1431BA43" w14:textId="0848C2E3" w:rsidR="009142C6" w:rsidRPr="006B7453" w:rsidRDefault="009142C6" w:rsidP="0073609B">
      <w:pPr>
        <w:pBdr>
          <w:top w:val="single" w:sz="4" w:space="1" w:color="auto"/>
          <w:left w:val="single" w:sz="4" w:space="4" w:color="auto"/>
          <w:bottom w:val="single" w:sz="4" w:space="1" w:color="auto"/>
          <w:right w:val="single" w:sz="4" w:space="4" w:color="auto"/>
        </w:pBdr>
        <w:jc w:val="both"/>
      </w:pPr>
      <w:r w:rsidRPr="006B7453">
        <w:t>1.3</w:t>
      </w:r>
      <w:r w:rsidRPr="006B7453">
        <w:tab/>
        <w:t xml:space="preserve">The CWG-FHR </w:t>
      </w:r>
      <w:r w:rsidRPr="006B7453">
        <w:rPr>
          <w:b/>
        </w:rPr>
        <w:t>recommended</w:t>
      </w:r>
      <w:r w:rsidRPr="006B7453">
        <w:t xml:space="preserve"> the </w:t>
      </w:r>
      <w:r w:rsidR="007E5CA9" w:rsidRPr="006B7453">
        <w:t>secretariat</w:t>
      </w:r>
      <w:r w:rsidRPr="006B7453">
        <w:t xml:space="preserve"> insert a dedicated section in the Human Resources Management Report addressing issues in the regional and area offices.</w:t>
      </w:r>
    </w:p>
    <w:p w14:paraId="2BFBFE07" w14:textId="742F9AFB" w:rsidR="009142C6" w:rsidRPr="006B7453" w:rsidRDefault="009142C6" w:rsidP="00182053">
      <w:pPr>
        <w:pStyle w:val="Heading1"/>
        <w:spacing w:before="240"/>
      </w:pPr>
      <w:r w:rsidRPr="006B7453">
        <w:t>2</w:t>
      </w:r>
      <w:r w:rsidRPr="006B7453">
        <w:tab/>
        <w:t xml:space="preserve">ITU Events Code of Conduct </w:t>
      </w:r>
      <w:r w:rsidR="0073609B" w:rsidRPr="006B7453">
        <w:br/>
      </w:r>
      <w:r w:rsidRPr="006B7453">
        <w:t xml:space="preserve">(Documents </w:t>
      </w:r>
      <w:hyperlink r:id="rId16" w:history="1">
        <w:r w:rsidRPr="006B7453">
          <w:rPr>
            <w:rStyle w:val="Hyperlink"/>
            <w:rFonts w:cs="Times New Roman Bold"/>
            <w:spacing w:val="-2"/>
          </w:rPr>
          <w:t>CWG-FHR-21/2</w:t>
        </w:r>
      </w:hyperlink>
      <w:r w:rsidRPr="006B7453">
        <w:t xml:space="preserve">, </w:t>
      </w:r>
      <w:hyperlink r:id="rId17" w:history="1">
        <w:r w:rsidRPr="006B7453">
          <w:rPr>
            <w:rStyle w:val="Hyperlink"/>
            <w:rFonts w:cs="Times New Roman Bold"/>
            <w:spacing w:val="-2"/>
          </w:rPr>
          <w:t>CWG-FHR-21/INF/2</w:t>
        </w:r>
      </w:hyperlink>
      <w:r w:rsidRPr="006B7453">
        <w:t>, and oral presentation)</w:t>
      </w:r>
    </w:p>
    <w:p w14:paraId="7D4D1C32" w14:textId="63FD6451" w:rsidR="009142C6" w:rsidRPr="006B7453" w:rsidRDefault="009142C6" w:rsidP="0073609B">
      <w:pPr>
        <w:jc w:val="both"/>
      </w:pPr>
      <w:r w:rsidRPr="006B7453">
        <w:t>2.1</w:t>
      </w:r>
      <w:r w:rsidRPr="006B7453">
        <w:tab/>
        <w:t>At the 21</w:t>
      </w:r>
      <w:r w:rsidRPr="006B7453">
        <w:rPr>
          <w:vertAlign w:val="superscript"/>
        </w:rPr>
        <w:t>st</w:t>
      </w:r>
      <w:r w:rsidRPr="006B7453">
        <w:t xml:space="preserve"> meeting of the CWG-FHR in September 2025, the </w:t>
      </w:r>
      <w:r w:rsidR="007E5CA9" w:rsidRPr="006B7453">
        <w:t>secretariat</w:t>
      </w:r>
      <w:r w:rsidRPr="006B7453">
        <w:t xml:space="preserve"> presented a document (</w:t>
      </w:r>
      <w:hyperlink r:id="rId18">
        <w:r w:rsidRPr="006B7453">
          <w:rPr>
            <w:rStyle w:val="Hyperlink"/>
          </w:rPr>
          <w:t>CWG-FHR-21/2</w:t>
        </w:r>
      </w:hyperlink>
      <w:r w:rsidRPr="006B7453">
        <w:t>) that outlined a formal complaint and resolution process. This proposal drew concern from delegates.</w:t>
      </w:r>
      <w:r w:rsidR="00FC2633" w:rsidRPr="006B7453">
        <w:t xml:space="preserve"> </w:t>
      </w:r>
      <w:r w:rsidRPr="006B7453">
        <w:t xml:space="preserve">The primary objections </w:t>
      </w:r>
      <w:r w:rsidR="00743663" w:rsidRPr="006B7453">
        <w:t>centred</w:t>
      </w:r>
      <w:r w:rsidRPr="006B7453">
        <w:t xml:space="preserve"> on a proposed role for the Oversight Unit in handling complaints, which delegates argued conflicted with the authority of Member States to discipline their own delegates.</w:t>
      </w:r>
      <w:r w:rsidR="00FC2633" w:rsidRPr="006B7453">
        <w:t xml:space="preserve"> </w:t>
      </w:r>
      <w:r w:rsidRPr="006B7453">
        <w:t>Additional concerns were raised about the lack of due process for alleged offenders and the potential for the plan to become a legally binding document.</w:t>
      </w:r>
      <w:r w:rsidR="00FC2633" w:rsidRPr="006B7453">
        <w:t xml:space="preserve"> </w:t>
      </w:r>
      <w:r w:rsidRPr="006B7453">
        <w:t>Throughout this discussion, several delegates asserted that the existing UN Code of Conduct was sufficient and requested metrics on past violations.</w:t>
      </w:r>
    </w:p>
    <w:p w14:paraId="123F9936" w14:textId="66834A4D" w:rsidR="009142C6" w:rsidRPr="006B7453" w:rsidRDefault="009142C6" w:rsidP="0073609B">
      <w:pPr>
        <w:jc w:val="both"/>
      </w:pPr>
      <w:r w:rsidRPr="006B7453">
        <w:t>2.2</w:t>
      </w:r>
      <w:r w:rsidRPr="006B7453">
        <w:tab/>
        <w:t>Recognizing the concerns, the Chair concluded that the proposal required revision.</w:t>
      </w:r>
      <w:r w:rsidR="00FC2633" w:rsidRPr="006B7453">
        <w:t xml:space="preserve"> </w:t>
      </w:r>
      <w:r w:rsidRPr="006B7453">
        <w:t xml:space="preserve">She requested the </w:t>
      </w:r>
      <w:r w:rsidR="007E5CA9" w:rsidRPr="006B7453">
        <w:t>secretariat</w:t>
      </w:r>
      <w:r w:rsidRPr="006B7453">
        <w:t xml:space="preserve"> remove the Oversight Unit from the process and to work on a revised implementation plan to be presented at the 22</w:t>
      </w:r>
      <w:r w:rsidRPr="006B7453">
        <w:rPr>
          <w:vertAlign w:val="superscript"/>
        </w:rPr>
        <w:t>nd</w:t>
      </w:r>
      <w:r w:rsidRPr="006B7453">
        <w:t xml:space="preserve"> meeting of the CWG-FHR.</w:t>
      </w:r>
      <w:r w:rsidR="00FC2633" w:rsidRPr="006B7453">
        <w:t xml:space="preserve"> </w:t>
      </w:r>
      <w:r w:rsidRPr="006B7453">
        <w:t>Additionally, the Chair reaffirmed that the existing UN Code of Conduct remained in effect.</w:t>
      </w:r>
    </w:p>
    <w:p w14:paraId="2CE56796" w14:textId="35598CBD" w:rsidR="009142C6" w:rsidRPr="006B7453" w:rsidRDefault="009142C6" w:rsidP="0073609B">
      <w:pPr>
        <w:jc w:val="both"/>
      </w:pPr>
      <w:r w:rsidRPr="006B7453">
        <w:t>2.3</w:t>
      </w:r>
      <w:r w:rsidRPr="006B7453">
        <w:tab/>
        <w:t>At the 22</w:t>
      </w:r>
      <w:r w:rsidRPr="006B7453">
        <w:rPr>
          <w:vertAlign w:val="superscript"/>
        </w:rPr>
        <w:t>nd</w:t>
      </w:r>
      <w:r w:rsidRPr="006B7453">
        <w:t xml:space="preserve"> meeting of CWG-FHR, the </w:t>
      </w:r>
      <w:r w:rsidR="007E5CA9" w:rsidRPr="006B7453">
        <w:t>secretariat</w:t>
      </w:r>
      <w:r w:rsidRPr="006B7453">
        <w:t xml:space="preserve"> provided an update on the revised implementation via an oral presentation.</w:t>
      </w:r>
      <w:r w:rsidR="00FC2633" w:rsidRPr="006B7453">
        <w:t xml:space="preserve"> </w:t>
      </w:r>
      <w:r w:rsidRPr="006B7453">
        <w:t>The new plan focuses on proactive prevention and clear reporting, featuring two main initiatives:</w:t>
      </w:r>
    </w:p>
    <w:p w14:paraId="77C3BD74" w14:textId="77777777" w:rsidR="009142C6" w:rsidRPr="006B7453" w:rsidRDefault="009142C6" w:rsidP="009142C6">
      <w:pPr>
        <w:rPr>
          <w:rFonts w:cs="Calibri"/>
        </w:rPr>
      </w:pPr>
      <w:r w:rsidRPr="006B7453">
        <w:rPr>
          <w:rFonts w:ascii="Symbol" w:eastAsia="Symbol" w:hAnsi="Symbol" w:cs="Symbol"/>
        </w:rPr>
        <w:t>-</w:t>
      </w:r>
      <w:r w:rsidRPr="006B7453">
        <w:rPr>
          <w:rFonts w:cs="Calibri"/>
        </w:rPr>
        <w:tab/>
        <w:t>An awareness-raising video to be included with event information.</w:t>
      </w:r>
    </w:p>
    <w:p w14:paraId="2B4814C9" w14:textId="77777777" w:rsidR="009142C6" w:rsidRPr="006B7453" w:rsidRDefault="009142C6" w:rsidP="009142C6">
      <w:pPr>
        <w:rPr>
          <w:rFonts w:cs="Calibri"/>
        </w:rPr>
      </w:pPr>
      <w:r w:rsidRPr="006B7453">
        <w:rPr>
          <w:rFonts w:ascii="Symbol" w:eastAsia="Symbol" w:hAnsi="Symbol" w:cs="Symbol"/>
        </w:rPr>
        <w:t>-</w:t>
      </w:r>
      <w:r w:rsidRPr="006B7453">
        <w:tab/>
      </w:r>
      <w:r w:rsidRPr="006B7453">
        <w:rPr>
          <w:rFonts w:cs="Calibri"/>
        </w:rPr>
        <w:t>A new, confidential reporting line for participants to raise concerns or seek advice.</w:t>
      </w:r>
    </w:p>
    <w:p w14:paraId="0752306D" w14:textId="0A3C3D2F" w:rsidR="009142C6" w:rsidRPr="006B7453" w:rsidRDefault="009142C6" w:rsidP="0073609B">
      <w:pPr>
        <w:jc w:val="both"/>
      </w:pPr>
      <w:r w:rsidRPr="006B7453">
        <w:t>2.4</w:t>
      </w:r>
      <w:r w:rsidRPr="006B7453">
        <w:tab/>
        <w:t xml:space="preserve">The </w:t>
      </w:r>
      <w:r w:rsidR="007E5CA9" w:rsidRPr="006B7453">
        <w:t>secretariat</w:t>
      </w:r>
      <w:r w:rsidRPr="006B7453">
        <w:t xml:space="preserve"> informed delegates that both resources have been added to the ITU's </w:t>
      </w:r>
      <w:hyperlink r:id="rId19" w:history="1">
        <w:r w:rsidRPr="006B7453">
          <w:rPr>
            <w:rStyle w:val="Hyperlink"/>
          </w:rPr>
          <w:t>ethics website</w:t>
        </w:r>
      </w:hyperlink>
      <w:r w:rsidRPr="006B7453">
        <w:t xml:space="preserve"> and will also be linked on individual event pages.</w:t>
      </w:r>
      <w:r w:rsidR="00FC2633" w:rsidRPr="006B7453">
        <w:t xml:space="preserve"> </w:t>
      </w:r>
      <w:r w:rsidRPr="006B7453">
        <w:t>The CWG-FHR Chair noted that at the World Telecommunication Development Conference (WTDC-25) the Code of Conduct was read aloud to participants before Plenary.</w:t>
      </w:r>
      <w:r w:rsidR="00FC2633" w:rsidRPr="006B7453">
        <w:t xml:space="preserve"> </w:t>
      </w:r>
      <w:r w:rsidRPr="006B7453">
        <w:t>During this update, one delegate reiterated a concern about taking up meeting time for this and again noted that previous requests for data on violations and false accusations had not been answered.</w:t>
      </w:r>
    </w:p>
    <w:p w14:paraId="77186B0F" w14:textId="5492B5F1" w:rsidR="009142C6" w:rsidRPr="006B7453" w:rsidRDefault="009142C6" w:rsidP="009142C6">
      <w:pPr>
        <w:pBdr>
          <w:top w:val="single" w:sz="4" w:space="1" w:color="auto"/>
          <w:left w:val="single" w:sz="4" w:space="4" w:color="auto"/>
          <w:bottom w:val="single" w:sz="4" w:space="1" w:color="auto"/>
          <w:right w:val="single" w:sz="4" w:space="4" w:color="auto"/>
        </w:pBdr>
      </w:pPr>
      <w:r w:rsidRPr="006B7453">
        <w:t>2.5</w:t>
      </w:r>
      <w:r w:rsidRPr="006B7453">
        <w:tab/>
        <w:t xml:space="preserve">The CWG-FHR </w:t>
      </w:r>
      <w:r w:rsidRPr="006B7453">
        <w:rPr>
          <w:b/>
          <w:bCs/>
        </w:rPr>
        <w:t>recommends</w:t>
      </w:r>
      <w:r w:rsidRPr="006B7453">
        <w:t xml:space="preserve"> Council instruct the UN Code of Conduct be read before any Union meeting, conference, or assembly.</w:t>
      </w:r>
      <w:r w:rsidR="00FC2633" w:rsidRPr="006B7453">
        <w:t xml:space="preserve"> </w:t>
      </w:r>
    </w:p>
    <w:p w14:paraId="102C4A51" w14:textId="0CD483DF" w:rsidR="009142C6" w:rsidRPr="006B7453" w:rsidRDefault="009142C6" w:rsidP="0073609B">
      <w:pPr>
        <w:pStyle w:val="Heading1"/>
      </w:pPr>
      <w:r w:rsidRPr="006B7453">
        <w:lastRenderedPageBreak/>
        <w:t>3</w:t>
      </w:r>
      <w:r w:rsidRPr="006B7453">
        <w:tab/>
        <w:t xml:space="preserve">Methodology for provision of estimates of the financial implications of proposed decisions and resolutions at ITU conferences and assemblies (Documents </w:t>
      </w:r>
      <w:hyperlink r:id="rId20" w:history="1">
        <w:r w:rsidRPr="006B7453">
          <w:rPr>
            <w:rStyle w:val="Hyperlink"/>
          </w:rPr>
          <w:t>CWG-FHR-21/3</w:t>
        </w:r>
      </w:hyperlink>
      <w:r w:rsidRPr="006B7453">
        <w:t xml:space="preserve"> and </w:t>
      </w:r>
      <w:hyperlink r:id="rId21" w:history="1">
        <w:r w:rsidRPr="006B7453">
          <w:rPr>
            <w:rStyle w:val="Hyperlink"/>
          </w:rPr>
          <w:t>CWG-FHR-22/13</w:t>
        </w:r>
      </w:hyperlink>
      <w:r w:rsidRPr="006B7453">
        <w:t xml:space="preserve">) and Annual budgetary implications of addressing the WTDC 2025 Resolutions </w:t>
      </w:r>
      <w:r w:rsidR="004A6B1B" w:rsidRPr="006B7453">
        <w:br/>
      </w:r>
      <w:r w:rsidRPr="006B7453">
        <w:t xml:space="preserve">(Document </w:t>
      </w:r>
      <w:hyperlink r:id="rId22" w:history="1">
        <w:r w:rsidRPr="006B7453">
          <w:rPr>
            <w:rStyle w:val="Hyperlink"/>
          </w:rPr>
          <w:t>CWG-FHR-22/7</w:t>
        </w:r>
      </w:hyperlink>
      <w:r w:rsidRPr="006B7453">
        <w:t>)</w:t>
      </w:r>
    </w:p>
    <w:p w14:paraId="0E2BBB01" w14:textId="77777777" w:rsidR="009142C6" w:rsidRPr="006B7453" w:rsidRDefault="009142C6" w:rsidP="0073609B">
      <w:pPr>
        <w:jc w:val="both"/>
      </w:pPr>
      <w:r w:rsidRPr="006B7453">
        <w:t>3.1</w:t>
      </w:r>
      <w:r w:rsidRPr="006B7453">
        <w:tab/>
        <w:t>Delegates at the 21</w:t>
      </w:r>
      <w:r w:rsidRPr="006B7453">
        <w:rPr>
          <w:vertAlign w:val="superscript"/>
        </w:rPr>
        <w:t>st</w:t>
      </w:r>
      <w:r w:rsidRPr="006B7453">
        <w:t xml:space="preserve"> and 22</w:t>
      </w:r>
      <w:r w:rsidRPr="006B7453">
        <w:rPr>
          <w:vertAlign w:val="superscript"/>
        </w:rPr>
        <w:t>nd</w:t>
      </w:r>
      <w:r w:rsidRPr="006B7453">
        <w:t xml:space="preserve"> meetings of the CWG-FHR discussed establishing a formal methodology to assess the financial implications of proposed decisions and resolutions at ITU conferences, in line with Article 34 of the Convention.</w:t>
      </w:r>
    </w:p>
    <w:p w14:paraId="3EB1C3F8" w14:textId="64050755" w:rsidR="009142C6" w:rsidRPr="006B7453" w:rsidRDefault="009142C6" w:rsidP="0073609B">
      <w:pPr>
        <w:jc w:val="both"/>
      </w:pPr>
      <w:r w:rsidRPr="006B7453">
        <w:t>3.2</w:t>
      </w:r>
      <w:r w:rsidRPr="006B7453">
        <w:tab/>
        <w:t>During the 21</w:t>
      </w:r>
      <w:r w:rsidRPr="006B7453">
        <w:rPr>
          <w:vertAlign w:val="superscript"/>
        </w:rPr>
        <w:t>st</w:t>
      </w:r>
      <w:r w:rsidRPr="006B7453">
        <w:t xml:space="preserve"> meeting, the </w:t>
      </w:r>
      <w:r w:rsidR="007E5CA9" w:rsidRPr="006B7453">
        <w:t>secretariat</w:t>
      </w:r>
      <w:r w:rsidRPr="006B7453">
        <w:t xml:space="preserve"> presented delegates with a calculation model leveraging WTDC-25 proposals from the European Conference of Postal and Telecommunications Administrations (CEPT) as practical examples.</w:t>
      </w:r>
      <w:r w:rsidR="00FC2633" w:rsidRPr="006B7453">
        <w:t xml:space="preserve"> </w:t>
      </w:r>
      <w:r w:rsidRPr="006B7453">
        <w:t>This led to a significant debate among delegates who raised numerous concerns about the proposed process.</w:t>
      </w:r>
      <w:r w:rsidR="00FC2633" w:rsidRPr="006B7453">
        <w:t xml:space="preserve"> </w:t>
      </w:r>
      <w:r w:rsidRPr="006B7453">
        <w:t>Key issues included the timing and accuracy of cost estimates (especially when proposals are subject to change), the potential for increased bureaucracy that could hinder decision-making, and the need for a clearer definition of what constitutes a "financial implication."</w:t>
      </w:r>
      <w:r w:rsidR="00FC2633" w:rsidRPr="006B7453">
        <w:t xml:space="preserve"> </w:t>
      </w:r>
      <w:r w:rsidRPr="006B7453">
        <w:t>A proposed workflow from the Chair was met with further concerns about committee authority.</w:t>
      </w:r>
      <w:r w:rsidR="00FC2633" w:rsidRPr="006B7453">
        <w:t xml:space="preserve"> </w:t>
      </w:r>
      <w:r w:rsidRPr="006B7453">
        <w:t>The most critical outcome was the decision that the proposed methodology would not be implemented for WTDC-25, and the Chair called for Member States to submit new proposals on the matter.</w:t>
      </w:r>
    </w:p>
    <w:p w14:paraId="44B7DA2F" w14:textId="3DFCA032" w:rsidR="009142C6" w:rsidRPr="006B7453" w:rsidRDefault="009142C6" w:rsidP="0073609B">
      <w:pPr>
        <w:jc w:val="both"/>
        <w:rPr>
          <w:spacing w:val="-2"/>
        </w:rPr>
      </w:pPr>
      <w:r w:rsidRPr="006B7453">
        <w:rPr>
          <w:spacing w:val="-2"/>
        </w:rPr>
        <w:t>3.3</w:t>
      </w:r>
      <w:r w:rsidRPr="006B7453">
        <w:rPr>
          <w:spacing w:val="-2"/>
        </w:rPr>
        <w:tab/>
        <w:t>The 22</w:t>
      </w:r>
      <w:r w:rsidRPr="006B7453">
        <w:rPr>
          <w:spacing w:val="-2"/>
          <w:vertAlign w:val="superscript"/>
        </w:rPr>
        <w:t>nd</w:t>
      </w:r>
      <w:r w:rsidRPr="006B7453">
        <w:rPr>
          <w:spacing w:val="-2"/>
        </w:rPr>
        <w:t xml:space="preserve"> meeting continued the </w:t>
      </w:r>
      <w:r w:rsidR="00951E61" w:rsidRPr="006B7453">
        <w:rPr>
          <w:spacing w:val="-2"/>
        </w:rPr>
        <w:t>conversation;</w:t>
      </w:r>
      <w:r w:rsidRPr="006B7453">
        <w:rPr>
          <w:spacing w:val="-2"/>
        </w:rPr>
        <w:t xml:space="preserve"> there were no new contributions on the methodology for provision of estimates.</w:t>
      </w:r>
      <w:r w:rsidR="00FC2633" w:rsidRPr="006B7453">
        <w:rPr>
          <w:spacing w:val="-2"/>
        </w:rPr>
        <w:t xml:space="preserve"> </w:t>
      </w:r>
      <w:r w:rsidRPr="006B7453">
        <w:rPr>
          <w:spacing w:val="-2"/>
        </w:rPr>
        <w:t>Delegates reiterated their scepticism, arguing that pre-conference cost assessments would be ineffective as final text rarely mirrors initial proposals.</w:t>
      </w:r>
      <w:r w:rsidR="00FC2633" w:rsidRPr="006B7453">
        <w:rPr>
          <w:spacing w:val="-2"/>
        </w:rPr>
        <w:t xml:space="preserve"> </w:t>
      </w:r>
      <w:r w:rsidRPr="006B7453">
        <w:rPr>
          <w:spacing w:val="-2"/>
        </w:rPr>
        <w:t>Alternative approaches were suggested, such as prioritizing and realigning existing resources rather than generating new cost estimates.</w:t>
      </w:r>
      <w:r w:rsidR="00FC2633" w:rsidRPr="006B7453">
        <w:rPr>
          <w:spacing w:val="-2"/>
        </w:rPr>
        <w:t xml:space="preserve"> </w:t>
      </w:r>
      <w:r w:rsidRPr="006B7453">
        <w:rPr>
          <w:spacing w:val="-2"/>
        </w:rPr>
        <w:t xml:space="preserve">Additionally, the Director of the Telecommunication Development Bureau (BDT) presented Document </w:t>
      </w:r>
      <w:hyperlink r:id="rId23" w:history="1">
        <w:r w:rsidRPr="006B7453">
          <w:rPr>
            <w:rStyle w:val="Hyperlink"/>
            <w:spacing w:val="-2"/>
          </w:rPr>
          <w:t>CWG-FHR-22/7</w:t>
        </w:r>
      </w:hyperlink>
      <w:r w:rsidRPr="006B7453">
        <w:rPr>
          <w:spacing w:val="-2"/>
        </w:rPr>
        <w:t xml:space="preserve"> in response to a request from WTDC-25 participants to seek guidance from CWG-FHR on the most effective methodology/mechanism to fund the newly identified activities, estimated at MCHF 4.208. </w:t>
      </w:r>
    </w:p>
    <w:p w14:paraId="5C3A15CA" w14:textId="2B04B92A" w:rsidR="009142C6" w:rsidRPr="006B7453" w:rsidRDefault="009142C6" w:rsidP="0073609B">
      <w:pPr>
        <w:jc w:val="both"/>
        <w:rPr>
          <w:spacing w:val="-3"/>
        </w:rPr>
      </w:pPr>
      <w:r w:rsidRPr="006B7453">
        <w:rPr>
          <w:spacing w:val="-3"/>
        </w:rPr>
        <w:t>3.4</w:t>
      </w:r>
      <w:r w:rsidRPr="006B7453">
        <w:rPr>
          <w:spacing w:val="-3"/>
        </w:rPr>
        <w:tab/>
        <w:t xml:space="preserve">Hearing the discussion, the BDT Director took the floor and proposed </w:t>
      </w:r>
      <w:r w:rsidR="00D3750F" w:rsidRPr="006B7453">
        <w:rPr>
          <w:spacing w:val="-3"/>
        </w:rPr>
        <w:t>s</w:t>
      </w:r>
      <w:r w:rsidR="007E5CA9" w:rsidRPr="006B7453">
        <w:rPr>
          <w:spacing w:val="-3"/>
        </w:rPr>
        <w:t>ecretariat</w:t>
      </w:r>
      <w:r w:rsidRPr="006B7453">
        <w:rPr>
          <w:spacing w:val="-3"/>
        </w:rPr>
        <w:t xml:space="preserve"> submit to the Telecommunication Development Advisory Group (TDAG) a comprehensive analysis of what resources the BDT has and what resources are required per their mandate.</w:t>
      </w:r>
      <w:r w:rsidR="00FC2633" w:rsidRPr="006B7453">
        <w:rPr>
          <w:spacing w:val="-3"/>
        </w:rPr>
        <w:t xml:space="preserve"> </w:t>
      </w:r>
      <w:r w:rsidRPr="006B7453">
        <w:rPr>
          <w:spacing w:val="-3"/>
        </w:rPr>
        <w:t>The BDT Director’s rationale was rooted in needing to streamline the resolutions which make up the Bureau’s mandate.</w:t>
      </w:r>
      <w:r w:rsidR="00FC2633" w:rsidRPr="006B7453">
        <w:rPr>
          <w:spacing w:val="-3"/>
        </w:rPr>
        <w:t xml:space="preserve"> </w:t>
      </w:r>
      <w:r w:rsidRPr="006B7453">
        <w:rPr>
          <w:spacing w:val="-3"/>
        </w:rPr>
        <w:t xml:space="preserve">Delegates expressed concern regarding the accuracy of the estimates since the Budget Committee finished their work before the resolutions of other committees were completed. </w:t>
      </w:r>
    </w:p>
    <w:p w14:paraId="3B62C29F" w14:textId="0EED8F60" w:rsidR="009142C6" w:rsidRPr="006B7453" w:rsidRDefault="009142C6" w:rsidP="0073609B">
      <w:pPr>
        <w:pBdr>
          <w:top w:val="single" w:sz="4" w:space="1" w:color="auto"/>
          <w:left w:val="single" w:sz="4" w:space="4" w:color="auto"/>
          <w:bottom w:val="single" w:sz="4" w:space="1" w:color="auto"/>
          <w:right w:val="single" w:sz="4" w:space="4" w:color="auto"/>
        </w:pBdr>
        <w:jc w:val="both"/>
      </w:pPr>
      <w:r w:rsidRPr="006B7453">
        <w:t>3.5</w:t>
      </w:r>
      <w:r w:rsidRPr="006B7453">
        <w:tab/>
        <w:t>Agreeing with the BDT Director’s proposal, the CWG-FHR</w:t>
      </w:r>
      <w:r w:rsidRPr="006B7453">
        <w:rPr>
          <w:b/>
          <w:bCs/>
        </w:rPr>
        <w:t xml:space="preserve"> recommended</w:t>
      </w:r>
      <w:r w:rsidRPr="006B7453">
        <w:t xml:space="preserve"> the BDT Director in partnership with the General </w:t>
      </w:r>
      <w:r w:rsidR="007E5CA9" w:rsidRPr="006B7453">
        <w:t>Secretariat</w:t>
      </w:r>
      <w:r w:rsidRPr="006B7453">
        <w:t>, including Chief of Finance, support TDAG in this activity provide a comparative analysis of what resources the Telecommunication Development Sector (ITU-D) has and does not have and where new resolutions can be streamlined into existing work.</w:t>
      </w:r>
      <w:r w:rsidR="00FC2633" w:rsidRPr="006B7453">
        <w:t xml:space="preserve"> </w:t>
      </w:r>
      <w:r w:rsidRPr="006B7453">
        <w:t xml:space="preserve">The </w:t>
      </w:r>
      <w:r w:rsidR="00D3750F" w:rsidRPr="006B7453">
        <w:t>s</w:t>
      </w:r>
      <w:r w:rsidR="007E5CA9" w:rsidRPr="006B7453">
        <w:t>ecretariat</w:t>
      </w:r>
      <w:r w:rsidRPr="006B7453">
        <w:t xml:space="preserve"> will also hold an information session on 3</w:t>
      </w:r>
      <w:r w:rsidR="0073609B" w:rsidRPr="006B7453">
        <w:t> </w:t>
      </w:r>
      <w:r w:rsidRPr="006B7453">
        <w:t>March 2026 about the cost estimations considering the financial implications of WTDC-25.</w:t>
      </w:r>
    </w:p>
    <w:p w14:paraId="56D1183D" w14:textId="021B4E23" w:rsidR="009142C6" w:rsidRPr="006B7453" w:rsidRDefault="009142C6" w:rsidP="0073609B">
      <w:pPr>
        <w:pBdr>
          <w:top w:val="single" w:sz="4" w:space="1" w:color="auto"/>
          <w:left w:val="single" w:sz="4" w:space="4" w:color="auto"/>
          <w:bottom w:val="single" w:sz="4" w:space="1" w:color="auto"/>
          <w:right w:val="single" w:sz="4" w:space="4" w:color="auto"/>
        </w:pBdr>
        <w:jc w:val="both"/>
      </w:pPr>
      <w:r w:rsidRPr="006B7453">
        <w:t>3.6</w:t>
      </w:r>
      <w:r w:rsidRPr="006B7453">
        <w:tab/>
        <w:t xml:space="preserve">Additionally, the CWG-FHR </w:t>
      </w:r>
      <w:r w:rsidRPr="006B7453">
        <w:rPr>
          <w:b/>
          <w:bCs/>
        </w:rPr>
        <w:t>recommends</w:t>
      </w:r>
      <w:r w:rsidRPr="006B7453">
        <w:t xml:space="preserve"> Council 2026 invite the Plenipotentiary Conference 2026 (PP-26) to examine Article 34 and provide Member States direction on how Article 34 is to be considered.</w:t>
      </w:r>
      <w:r w:rsidR="00FC2633" w:rsidRPr="006B7453">
        <w:t xml:space="preserve"> </w:t>
      </w:r>
    </w:p>
    <w:p w14:paraId="2E9BCB21" w14:textId="77777777" w:rsidR="009142C6" w:rsidRPr="006B7453" w:rsidRDefault="009142C6" w:rsidP="0073609B">
      <w:pPr>
        <w:pBdr>
          <w:top w:val="single" w:sz="4" w:space="1" w:color="auto"/>
          <w:left w:val="single" w:sz="4" w:space="4" w:color="auto"/>
          <w:bottom w:val="single" w:sz="4" w:space="1" w:color="auto"/>
          <w:right w:val="single" w:sz="4" w:space="4" w:color="auto"/>
        </w:pBdr>
        <w:jc w:val="both"/>
      </w:pPr>
      <w:r w:rsidRPr="006B7453">
        <w:t>3.7</w:t>
      </w:r>
      <w:r w:rsidRPr="006B7453">
        <w:tab/>
        <w:t xml:space="preserve">CWG-FHR </w:t>
      </w:r>
      <w:r w:rsidRPr="006B7453">
        <w:rPr>
          <w:b/>
          <w:bCs/>
        </w:rPr>
        <w:t>sent</w:t>
      </w:r>
      <w:r w:rsidRPr="006B7453">
        <w:t xml:space="preserve"> a liaison statement to TDAG inviting it to assess the estimates of the financial implications of the WTDC in time for Council 2026. </w:t>
      </w:r>
    </w:p>
    <w:p w14:paraId="2705180B" w14:textId="10F0A516" w:rsidR="009142C6" w:rsidRPr="006B7453" w:rsidRDefault="009142C6" w:rsidP="0073609B">
      <w:pPr>
        <w:pStyle w:val="Heading1"/>
      </w:pPr>
      <w:r w:rsidRPr="006B7453">
        <w:lastRenderedPageBreak/>
        <w:t>4</w:t>
      </w:r>
      <w:r w:rsidRPr="006B7453">
        <w:tab/>
        <w:t xml:space="preserve">Strengthening ITU regional presence (Documents </w:t>
      </w:r>
      <w:hyperlink r:id="rId24" w:history="1">
        <w:r w:rsidRPr="006B7453">
          <w:rPr>
            <w:rStyle w:val="Hyperlink"/>
          </w:rPr>
          <w:t>CWG-FHR-21/4</w:t>
        </w:r>
      </w:hyperlink>
      <w:r w:rsidRPr="006B7453">
        <w:t xml:space="preserve">, </w:t>
      </w:r>
      <w:hyperlink r:id="rId25" w:history="1">
        <w:r w:rsidRPr="006B7453">
          <w:rPr>
            <w:rStyle w:val="Hyperlink"/>
          </w:rPr>
          <w:t>CWG</w:t>
        </w:r>
        <w:r w:rsidR="00862040" w:rsidRPr="006B7453">
          <w:rPr>
            <w:rStyle w:val="Hyperlink"/>
          </w:rPr>
          <w:noBreakHyphen/>
        </w:r>
        <w:r w:rsidRPr="006B7453">
          <w:rPr>
            <w:rStyle w:val="Hyperlink"/>
          </w:rPr>
          <w:t>FHR-22/4</w:t>
        </w:r>
      </w:hyperlink>
      <w:r w:rsidRPr="006B7453">
        <w:t xml:space="preserve">, and </w:t>
      </w:r>
      <w:hyperlink r:id="rId26" w:history="1">
        <w:r w:rsidRPr="006B7453">
          <w:rPr>
            <w:rStyle w:val="Hyperlink"/>
          </w:rPr>
          <w:t>CWG-FHR-22/31</w:t>
        </w:r>
      </w:hyperlink>
      <w:r w:rsidRPr="006B7453">
        <w:t>)</w:t>
      </w:r>
    </w:p>
    <w:p w14:paraId="097822C9" w14:textId="5526C635" w:rsidR="009142C6" w:rsidRPr="006B7453" w:rsidRDefault="009142C6" w:rsidP="00862040">
      <w:pPr>
        <w:jc w:val="both"/>
      </w:pPr>
      <w:r w:rsidRPr="006B7453">
        <w:t>4.1</w:t>
      </w:r>
      <w:r w:rsidRPr="006B7453">
        <w:tab/>
        <w:t>An Intersectoral Task Force, led by the Deputy Secretary-General, was formed to conduct a 10-month review of the ITU's regional presence, running from July 2025 to April 2026.</w:t>
      </w:r>
      <w:r w:rsidR="00FC2633" w:rsidRPr="006B7453">
        <w:t xml:space="preserve"> </w:t>
      </w:r>
      <w:r w:rsidRPr="006B7453">
        <w:t>This review is structured into four phases: 1) preliminary assessment; 2) data collection and initial analysis; 3) detailed analysis and drafting; and 4) validation and reporting.</w:t>
      </w:r>
    </w:p>
    <w:p w14:paraId="60DB22C1" w14:textId="6432C34C" w:rsidR="009142C6" w:rsidRPr="006B7453" w:rsidRDefault="009142C6" w:rsidP="00862040">
      <w:pPr>
        <w:jc w:val="both"/>
      </w:pPr>
      <w:r w:rsidRPr="006B7453">
        <w:t>4.2</w:t>
      </w:r>
      <w:r w:rsidRPr="006B7453">
        <w:tab/>
        <w:t>The BDT completed the first phase by developing separate surveys for the ITU membership and ITU staff.</w:t>
      </w:r>
      <w:r w:rsidR="00FC2633" w:rsidRPr="006B7453">
        <w:t xml:space="preserve"> </w:t>
      </w:r>
      <w:r w:rsidRPr="006B7453">
        <w:t>The surveys opened for responses for one month and the interim results were presented during WTDC-25 in Baku, Azerbaijan.</w:t>
      </w:r>
      <w:r w:rsidR="00FC2633" w:rsidRPr="006B7453">
        <w:t xml:space="preserve"> </w:t>
      </w:r>
      <w:r w:rsidRPr="006B7453">
        <w:t xml:space="preserve">Additionally, a report on the interim results, Document </w:t>
      </w:r>
      <w:hyperlink r:id="rId27" w:history="1">
        <w:r w:rsidRPr="006B7453">
          <w:rPr>
            <w:rStyle w:val="Hyperlink"/>
          </w:rPr>
          <w:t>CWG-FHR-22/4</w:t>
        </w:r>
      </w:hyperlink>
      <w:r w:rsidRPr="006B7453">
        <w:t>, was prepared for the 22</w:t>
      </w:r>
      <w:r w:rsidRPr="006B7453">
        <w:rPr>
          <w:vertAlign w:val="superscript"/>
        </w:rPr>
        <w:t>nd</w:t>
      </w:r>
      <w:r w:rsidRPr="006B7453">
        <w:t xml:space="preserve"> meeting of CWG-FHR.</w:t>
      </w:r>
    </w:p>
    <w:p w14:paraId="51D1269F" w14:textId="31BD6F91" w:rsidR="009142C6" w:rsidRPr="006B7453" w:rsidRDefault="009142C6" w:rsidP="00862040">
      <w:pPr>
        <w:jc w:val="both"/>
      </w:pPr>
      <w:r w:rsidRPr="006B7453">
        <w:t>4.3</w:t>
      </w:r>
      <w:r w:rsidRPr="006B7453">
        <w:tab/>
        <w:t>During the 22</w:t>
      </w:r>
      <w:r w:rsidRPr="006B7453">
        <w:rPr>
          <w:vertAlign w:val="superscript"/>
        </w:rPr>
        <w:t>nd</w:t>
      </w:r>
      <w:r w:rsidRPr="006B7453">
        <w:t xml:space="preserve"> meeting of CWG-FHR, several delegates expressed concerns about the remaining timeline, particularly how all four phases would be finalized in time for Council 2026 and requested more insight into the survey results.</w:t>
      </w:r>
      <w:r w:rsidR="00FC2633" w:rsidRPr="006B7453">
        <w:t xml:space="preserve"> </w:t>
      </w:r>
      <w:r w:rsidRPr="006B7453">
        <w:t>Delegates also asked for the results of the Staff Survey.</w:t>
      </w:r>
    </w:p>
    <w:p w14:paraId="5FC379CD" w14:textId="2624D0F5" w:rsidR="009142C6" w:rsidRPr="006B7453" w:rsidRDefault="009142C6" w:rsidP="00862040">
      <w:pPr>
        <w:jc w:val="both"/>
      </w:pPr>
      <w:r w:rsidRPr="006B7453">
        <w:t>4.4</w:t>
      </w:r>
      <w:r w:rsidRPr="006B7453">
        <w:tab/>
        <w:t xml:space="preserve">The Regional Commonwealth in the Field of Communications (RCC) Executive Committee, Armenia, Belarus, Center for Global IT-Cooperation, Kyrgyzstan, Russian Federation, Tajikistan, and Uzbekistan submitted a contribution, Document </w:t>
      </w:r>
      <w:hyperlink r:id="rId28" w:history="1">
        <w:r w:rsidRPr="006B7453">
          <w:rPr>
            <w:rStyle w:val="Hyperlink"/>
          </w:rPr>
          <w:t>CWG-FHR-22/31</w:t>
        </w:r>
      </w:hyperlink>
      <w:r w:rsidRPr="006B7453">
        <w:t>, to the 22</w:t>
      </w:r>
      <w:r w:rsidRPr="006B7453">
        <w:rPr>
          <w:vertAlign w:val="superscript"/>
        </w:rPr>
        <w:t>nd</w:t>
      </w:r>
      <w:r w:rsidRPr="006B7453">
        <w:t xml:space="preserve"> CWG-FHR meeting, which provides a consolidated assessment on the effectiveness of the work of the ITU Regional Office for CIS and key conclusions on several aspects of its activities.</w:t>
      </w:r>
      <w:r w:rsidR="00FC2633" w:rsidRPr="006B7453">
        <w:t xml:space="preserve"> </w:t>
      </w:r>
      <w:r w:rsidRPr="006B7453">
        <w:t>This contribution also invited the CWG-FHR to consider six distinct proposals to strengthen ITU regional presence and cooperation in the CIS region.</w:t>
      </w:r>
      <w:r w:rsidR="00FC2633" w:rsidRPr="006B7453">
        <w:t xml:space="preserve"> </w:t>
      </w:r>
      <w:r w:rsidRPr="006B7453">
        <w:t>The Chair requested that the RCC’s proposals be considered in the final report on ITU regional presence.</w:t>
      </w:r>
    </w:p>
    <w:p w14:paraId="692497B8" w14:textId="45985001" w:rsidR="009142C6" w:rsidRPr="006B7453" w:rsidRDefault="009142C6" w:rsidP="00862040">
      <w:pPr>
        <w:pBdr>
          <w:top w:val="single" w:sz="4" w:space="1" w:color="auto"/>
          <w:left w:val="single" w:sz="4" w:space="4" w:color="auto"/>
          <w:bottom w:val="single" w:sz="4" w:space="1" w:color="auto"/>
          <w:right w:val="single" w:sz="4" w:space="4" w:color="auto"/>
        </w:pBdr>
        <w:jc w:val="both"/>
      </w:pPr>
      <w:r w:rsidRPr="006B7453">
        <w:t>4.5</w:t>
      </w:r>
      <w:r w:rsidRPr="006B7453">
        <w:tab/>
        <w:t xml:space="preserve">The CWG-FHR </w:t>
      </w:r>
      <w:r w:rsidRPr="006B7453">
        <w:rPr>
          <w:b/>
          <w:bCs/>
        </w:rPr>
        <w:t>recommended</w:t>
      </w:r>
      <w:r w:rsidRPr="006B7453">
        <w:t xml:space="preserve"> the </w:t>
      </w:r>
      <w:r w:rsidR="00D3750F" w:rsidRPr="006B7453">
        <w:t>s</w:t>
      </w:r>
      <w:r w:rsidR="007E5CA9" w:rsidRPr="006B7453">
        <w:t>ecretariat</w:t>
      </w:r>
      <w:r w:rsidRPr="006B7453">
        <w:t xml:space="preserve"> post the results of the Staff Survey to the CWG-FHR website.</w:t>
      </w:r>
    </w:p>
    <w:p w14:paraId="3BDD5D6A" w14:textId="03D140A3" w:rsidR="009142C6" w:rsidRPr="006B7453" w:rsidRDefault="009142C6" w:rsidP="00862040">
      <w:pPr>
        <w:pBdr>
          <w:top w:val="single" w:sz="4" w:space="1" w:color="auto"/>
          <w:left w:val="single" w:sz="4" w:space="4" w:color="auto"/>
          <w:bottom w:val="single" w:sz="4" w:space="1" w:color="auto"/>
          <w:right w:val="single" w:sz="4" w:space="4" w:color="auto"/>
        </w:pBdr>
        <w:jc w:val="both"/>
      </w:pPr>
      <w:r w:rsidRPr="006B7453">
        <w:t>4.6</w:t>
      </w:r>
      <w:r w:rsidRPr="006B7453">
        <w:tab/>
        <w:t xml:space="preserve">The CWG-FHR </w:t>
      </w:r>
      <w:r w:rsidRPr="006B7453">
        <w:rPr>
          <w:b/>
          <w:bCs/>
        </w:rPr>
        <w:t>recommended</w:t>
      </w:r>
      <w:r w:rsidRPr="006B7453">
        <w:t xml:space="preserve"> the </w:t>
      </w:r>
      <w:r w:rsidR="00D3750F" w:rsidRPr="006B7453">
        <w:t>s</w:t>
      </w:r>
      <w:r w:rsidR="007E5CA9" w:rsidRPr="006B7453">
        <w:t>ecretariat</w:t>
      </w:r>
      <w:r w:rsidRPr="006B7453">
        <w:t xml:space="preserve"> conduct an information session prior to Council 2026 to update Member States on the Regional Presence initiative and to reflect Member State feedback in the </w:t>
      </w:r>
      <w:r w:rsidR="00D3750F" w:rsidRPr="006B7453">
        <w:t>s</w:t>
      </w:r>
      <w:r w:rsidR="007E5CA9" w:rsidRPr="006B7453">
        <w:t>ecretariat</w:t>
      </w:r>
      <w:r w:rsidRPr="006B7453">
        <w:t>’s final report to Council 2026.</w:t>
      </w:r>
    </w:p>
    <w:p w14:paraId="06D2FC93" w14:textId="184254C2" w:rsidR="009142C6" w:rsidRPr="006B7453" w:rsidRDefault="009142C6" w:rsidP="00862040">
      <w:pPr>
        <w:pStyle w:val="Heading1"/>
        <w:ind w:right="-113"/>
        <w:rPr>
          <w:rFonts w:cs="Times New Roman Bold"/>
          <w:spacing w:val="-2"/>
        </w:rPr>
      </w:pPr>
      <w:r w:rsidRPr="006B7453">
        <w:rPr>
          <w:rFonts w:cs="Times New Roman Bold"/>
          <w:spacing w:val="-2"/>
        </w:rPr>
        <w:t>5</w:t>
      </w:r>
      <w:r w:rsidRPr="006B7453">
        <w:rPr>
          <w:rFonts w:cs="Times New Roman Bold"/>
          <w:spacing w:val="-2"/>
        </w:rPr>
        <w:tab/>
        <w:t xml:space="preserve">Union’s Headquarters premises project and campus strategic plan (Documents </w:t>
      </w:r>
      <w:hyperlink r:id="rId29" w:history="1">
        <w:r w:rsidRPr="006B7453">
          <w:rPr>
            <w:rStyle w:val="Hyperlink"/>
            <w:rFonts w:cs="Times New Roman Bold"/>
            <w:spacing w:val="-2"/>
          </w:rPr>
          <w:t>CWG-FHR-21/5(Rev.1)</w:t>
        </w:r>
      </w:hyperlink>
      <w:r w:rsidRPr="006B7453">
        <w:rPr>
          <w:rFonts w:cs="Times New Roman Bold"/>
          <w:spacing w:val="-2"/>
        </w:rPr>
        <w:t xml:space="preserve">, </w:t>
      </w:r>
      <w:hyperlink r:id="rId30" w:history="1">
        <w:r w:rsidRPr="006B7453">
          <w:rPr>
            <w:rStyle w:val="Hyperlink"/>
            <w:rFonts w:cs="Times New Roman Bold"/>
            <w:spacing w:val="-2"/>
          </w:rPr>
          <w:t>CWG-FHR-21/6</w:t>
        </w:r>
      </w:hyperlink>
      <w:r w:rsidRPr="006B7453">
        <w:rPr>
          <w:rFonts w:cs="Times New Roman Bold"/>
          <w:spacing w:val="-2"/>
        </w:rPr>
        <w:t xml:space="preserve">, </w:t>
      </w:r>
      <w:hyperlink r:id="rId31" w:history="1">
        <w:r w:rsidRPr="006B7453">
          <w:rPr>
            <w:rStyle w:val="Hyperlink"/>
            <w:rFonts w:cs="Times New Roman Bold"/>
            <w:spacing w:val="-2"/>
          </w:rPr>
          <w:t>CWG-FHR-22/8(R</w:t>
        </w:r>
        <w:bookmarkStart w:id="11" w:name="_Hlt222310251"/>
        <w:bookmarkStart w:id="12" w:name="_Hlt222310252"/>
        <w:r w:rsidRPr="006B7453">
          <w:rPr>
            <w:rStyle w:val="Hyperlink"/>
            <w:rFonts w:cs="Times New Roman Bold"/>
            <w:spacing w:val="-2"/>
          </w:rPr>
          <w:t>e</w:t>
        </w:r>
        <w:bookmarkEnd w:id="11"/>
        <w:bookmarkEnd w:id="12"/>
        <w:r w:rsidRPr="006B7453">
          <w:rPr>
            <w:rStyle w:val="Hyperlink"/>
            <w:rFonts w:cs="Times New Roman Bold"/>
            <w:spacing w:val="-2"/>
          </w:rPr>
          <w:t>v.1)</w:t>
        </w:r>
      </w:hyperlink>
      <w:r w:rsidRPr="006B7453">
        <w:rPr>
          <w:rFonts w:cs="Times New Roman Bold"/>
          <w:spacing w:val="-2"/>
        </w:rPr>
        <w:t xml:space="preserve">, and </w:t>
      </w:r>
      <w:hyperlink r:id="rId32" w:history="1">
        <w:r w:rsidRPr="006B7453">
          <w:rPr>
            <w:rStyle w:val="Hyperlink"/>
            <w:rFonts w:cs="Times New Roman Bold"/>
            <w:spacing w:val="-2"/>
          </w:rPr>
          <w:t>CWG-FHR-22-5(Rev.1)</w:t>
        </w:r>
      </w:hyperlink>
      <w:r w:rsidRPr="006B7453">
        <w:rPr>
          <w:rFonts w:cs="Times New Roman Bold"/>
          <w:spacing w:val="-2"/>
        </w:rPr>
        <w:t>)</w:t>
      </w:r>
    </w:p>
    <w:p w14:paraId="673034D1" w14:textId="522D4E42" w:rsidR="009142C6" w:rsidRPr="006B7453" w:rsidRDefault="009142C6" w:rsidP="00862040">
      <w:pPr>
        <w:jc w:val="both"/>
      </w:pPr>
      <w:r w:rsidRPr="006B7453">
        <w:t>5.1</w:t>
      </w:r>
      <w:r w:rsidRPr="006B7453">
        <w:tab/>
        <w:t xml:space="preserve">The </w:t>
      </w:r>
      <w:r w:rsidR="00D3750F" w:rsidRPr="006B7453">
        <w:t>s</w:t>
      </w:r>
      <w:r w:rsidR="007E5CA9" w:rsidRPr="006B7453">
        <w:t>ecretariat</w:t>
      </w:r>
      <w:r w:rsidRPr="006B7453">
        <w:t>’s update at the 21</w:t>
      </w:r>
      <w:r w:rsidRPr="006B7453">
        <w:rPr>
          <w:vertAlign w:val="superscript"/>
        </w:rPr>
        <w:t>st</w:t>
      </w:r>
      <w:r w:rsidRPr="006B7453">
        <w:t xml:space="preserve"> CWG-FHR meeting focused on the campus strategic plan and its supporting activities to ensure the ITU Campus is both fit for purpose and future.</w:t>
      </w:r>
      <w:r w:rsidR="00FC2633" w:rsidRPr="006B7453">
        <w:t xml:space="preserve"> </w:t>
      </w:r>
      <w:r w:rsidRPr="006B7453">
        <w:t xml:space="preserve">In preparation for examining Resolution 212 (Rev. Bucharest, 2022) at PP-26, the </w:t>
      </w:r>
      <w:r w:rsidR="00D3750F" w:rsidRPr="006B7453">
        <w:t>s</w:t>
      </w:r>
      <w:r w:rsidR="007E5CA9" w:rsidRPr="006B7453">
        <w:t>ecretariat</w:t>
      </w:r>
      <w:r w:rsidRPr="006B7453">
        <w:t xml:space="preserve"> informed delegates of the ITU’s study of the Geneva Campus as well as three future campus scenarios.</w:t>
      </w:r>
      <w:r w:rsidR="00FC2633" w:rsidRPr="006B7453">
        <w:t xml:space="preserve"> </w:t>
      </w:r>
      <w:r w:rsidRPr="006B7453">
        <w:t xml:space="preserve">Emphasizing the need for the entire campus until 2032, the </w:t>
      </w:r>
      <w:r w:rsidR="001D73DE" w:rsidRPr="006B7453">
        <w:t>s</w:t>
      </w:r>
      <w:r w:rsidR="007E5CA9" w:rsidRPr="006B7453">
        <w:t>ecretariat</w:t>
      </w:r>
      <w:r w:rsidRPr="006B7453">
        <w:t xml:space="preserve"> underscored that there is no need to choose a scenario by PP-26.</w:t>
      </w:r>
      <w:r w:rsidR="00FC2633" w:rsidRPr="006B7453">
        <w:t xml:space="preserve"> </w:t>
      </w:r>
      <w:r w:rsidRPr="006B7453">
        <w:t xml:space="preserve">However, the </w:t>
      </w:r>
      <w:r w:rsidR="001D73DE" w:rsidRPr="006B7453">
        <w:t>s</w:t>
      </w:r>
      <w:r w:rsidR="007E5CA9" w:rsidRPr="006B7453">
        <w:t>ecretariat</w:t>
      </w:r>
      <w:r w:rsidRPr="006B7453">
        <w:t xml:space="preserve"> does need delegates to revise Resolution 212 (Rev. Bucharest, 2022) to allow for continued campus strategic plan development processes. </w:t>
      </w:r>
    </w:p>
    <w:p w14:paraId="3F673694" w14:textId="54F56249" w:rsidR="009142C6" w:rsidRPr="006B7453" w:rsidRDefault="009142C6" w:rsidP="00862040">
      <w:pPr>
        <w:jc w:val="both"/>
        <w:rPr>
          <w:spacing w:val="-2"/>
        </w:rPr>
      </w:pPr>
      <w:r w:rsidRPr="006B7453">
        <w:rPr>
          <w:spacing w:val="-2"/>
        </w:rPr>
        <w:t>5.2</w:t>
      </w:r>
      <w:r w:rsidRPr="006B7453">
        <w:rPr>
          <w:spacing w:val="-2"/>
        </w:rPr>
        <w:tab/>
        <w:t xml:space="preserve">In response, a delegate from Switzerland reminded the Council Working Group that when an </w:t>
      </w:r>
      <w:r w:rsidRPr="006B7453">
        <w:rPr>
          <w:rFonts w:eastAsia="Aptos" w:cs="Arial"/>
          <w:spacing w:val="-2"/>
          <w:kern w:val="2"/>
          <w:szCs w:val="22"/>
          <w14:ligatures w14:val="standardContextual"/>
        </w:rPr>
        <w:t>international organization benefits from advantageous conditions from the host state, like a zero percent interest loan, the rentable surface area of a building financially supported by such loan is limited to ensure fair competition.</w:t>
      </w:r>
      <w:r w:rsidR="00FC2633" w:rsidRPr="006B7453">
        <w:rPr>
          <w:rFonts w:eastAsia="Aptos" w:cs="Arial"/>
          <w:spacing w:val="-2"/>
          <w:kern w:val="2"/>
          <w:szCs w:val="22"/>
          <w14:ligatures w14:val="standardContextual"/>
        </w:rPr>
        <w:t xml:space="preserve"> </w:t>
      </w:r>
      <w:r w:rsidRPr="006B7453">
        <w:rPr>
          <w:spacing w:val="-2"/>
        </w:rPr>
        <w:t xml:space="preserve">Other delegates asked for clarification on the </w:t>
      </w:r>
      <w:r w:rsidRPr="006B7453">
        <w:rPr>
          <w:spacing w:val="-2"/>
        </w:rPr>
        <w:lastRenderedPageBreak/>
        <w:t>connection between the campus projects and the meeting hub initiative.</w:t>
      </w:r>
      <w:r w:rsidR="00FC2633" w:rsidRPr="006B7453">
        <w:rPr>
          <w:spacing w:val="-2"/>
        </w:rPr>
        <w:t xml:space="preserve"> </w:t>
      </w:r>
      <w:r w:rsidRPr="006B7453">
        <w:rPr>
          <w:spacing w:val="-2"/>
        </w:rPr>
        <w:t xml:space="preserve">One delegate suggested that campus investments be balanced with the ITU </w:t>
      </w:r>
      <w:r w:rsidRPr="006B7453">
        <w:rPr>
          <w:rFonts w:eastAsia="Aptos" w:cs="Arial"/>
          <w:spacing w:val="-2"/>
          <w:kern w:val="2"/>
          <w:szCs w:val="22"/>
          <w14:ligatures w14:val="standardContextual"/>
        </w:rPr>
        <w:t>regional presence discussions so that strengthening Geneva does not come at the expense of impacting the region.</w:t>
      </w:r>
    </w:p>
    <w:p w14:paraId="75A5A0E2" w14:textId="53E1971C" w:rsidR="009142C6" w:rsidRPr="006B7453" w:rsidRDefault="009142C6" w:rsidP="00862040">
      <w:pPr>
        <w:jc w:val="both"/>
      </w:pPr>
      <w:r w:rsidRPr="006B7453">
        <w:rPr>
          <w:rFonts w:eastAsia="Aptos" w:cs="Arial"/>
          <w:kern w:val="2"/>
          <w:szCs w:val="22"/>
          <w14:ligatures w14:val="standardContextual"/>
        </w:rPr>
        <w:t>5.3</w:t>
      </w:r>
      <w:r w:rsidRPr="006B7453">
        <w:rPr>
          <w:rFonts w:eastAsia="Aptos" w:cs="Arial"/>
          <w:kern w:val="2"/>
          <w:szCs w:val="22"/>
          <w14:ligatures w14:val="standardContextual"/>
        </w:rPr>
        <w:tab/>
        <w:t>Additionally, at the 21</w:t>
      </w:r>
      <w:r w:rsidRPr="006B7453">
        <w:rPr>
          <w:rFonts w:eastAsia="Aptos" w:cs="Arial"/>
          <w:kern w:val="2"/>
          <w:szCs w:val="22"/>
          <w:vertAlign w:val="superscript"/>
          <w14:ligatures w14:val="standardContextual"/>
        </w:rPr>
        <w:t>st</w:t>
      </w:r>
      <w:r w:rsidRPr="006B7453">
        <w:rPr>
          <w:rFonts w:eastAsia="Aptos" w:cs="Arial"/>
          <w:kern w:val="2"/>
          <w:szCs w:val="22"/>
          <w14:ligatures w14:val="standardContextual"/>
        </w:rPr>
        <w:t xml:space="preserve"> meeting, there were two Member State contributions.</w:t>
      </w:r>
      <w:r w:rsidR="00FC2633" w:rsidRPr="006B7453">
        <w:rPr>
          <w:rFonts w:eastAsia="Aptos" w:cs="Arial"/>
          <w:kern w:val="2"/>
          <w:szCs w:val="22"/>
          <w14:ligatures w14:val="standardContextual"/>
        </w:rPr>
        <w:t xml:space="preserve"> </w:t>
      </w:r>
      <w:r w:rsidRPr="006B7453">
        <w:rPr>
          <w:rFonts w:eastAsia="Aptos" w:cs="Arial"/>
          <w:kern w:val="2"/>
          <w:szCs w:val="22"/>
          <w14:ligatures w14:val="standardContextual"/>
        </w:rPr>
        <w:t xml:space="preserve">A contribution (Document </w:t>
      </w:r>
      <w:hyperlink r:id="rId33" w:history="1">
        <w:r w:rsidRPr="006B7453">
          <w:rPr>
            <w:rStyle w:val="Hyperlink"/>
            <w:rFonts w:eastAsia="Aptos" w:cs="Arial"/>
            <w:kern w:val="2"/>
            <w:szCs w:val="22"/>
            <w14:ligatures w14:val="standardContextual"/>
          </w:rPr>
          <w:t>CWG-FHR-21/18</w:t>
        </w:r>
      </w:hyperlink>
      <w:r w:rsidRPr="006B7453">
        <w:rPr>
          <w:rFonts w:eastAsia="Aptos" w:cs="Arial"/>
          <w:kern w:val="2"/>
          <w:szCs w:val="22"/>
          <w14:ligatures w14:val="standardContextual"/>
        </w:rPr>
        <w:t>) from South Africa formally requested the Risk Register be presented at the next CWG-FHR meeting to help facilitate comprehensive monitoring of risk management strategies and mitigation measures.</w:t>
      </w:r>
      <w:r w:rsidR="00FC2633" w:rsidRPr="006B7453">
        <w:rPr>
          <w:rFonts w:eastAsia="Aptos" w:cs="Arial"/>
          <w:kern w:val="2"/>
          <w:szCs w:val="22"/>
          <w14:ligatures w14:val="standardContextual"/>
        </w:rPr>
        <w:t xml:space="preserve"> </w:t>
      </w:r>
      <w:r w:rsidRPr="006B7453">
        <w:rPr>
          <w:rFonts w:eastAsia="Aptos" w:cs="Arial"/>
          <w:kern w:val="2"/>
          <w:szCs w:val="22"/>
          <w14:ligatures w14:val="standardContextual"/>
        </w:rPr>
        <w:t>The Chair noted this request and asked the Member State Advisory Group (MSAG) Chair to report strategic risks at future Council and CWG-FHR meetings.</w:t>
      </w:r>
      <w:r w:rsidR="00FC2633" w:rsidRPr="006B7453">
        <w:rPr>
          <w:rFonts w:eastAsia="Aptos" w:cs="Arial"/>
          <w:kern w:val="2"/>
          <w:szCs w:val="22"/>
          <w14:ligatures w14:val="standardContextual"/>
        </w:rPr>
        <w:t xml:space="preserve"> </w:t>
      </w:r>
      <w:r w:rsidRPr="006B7453">
        <w:rPr>
          <w:rFonts w:eastAsia="Aptos" w:cs="Arial"/>
          <w:kern w:val="2"/>
          <w:szCs w:val="22"/>
          <w14:ligatures w14:val="standardContextual"/>
        </w:rPr>
        <w:t xml:space="preserve">The other contribution (Document </w:t>
      </w:r>
      <w:hyperlink r:id="rId34" w:history="1">
        <w:r w:rsidRPr="006B7453">
          <w:rPr>
            <w:rStyle w:val="Hyperlink"/>
            <w:rFonts w:eastAsia="Aptos" w:cs="Arial"/>
            <w:kern w:val="2"/>
            <w:szCs w:val="22"/>
            <w14:ligatures w14:val="standardContextual"/>
          </w:rPr>
          <w:t>CWG-FHR-21/21</w:t>
        </w:r>
      </w:hyperlink>
      <w:r w:rsidRPr="006B7453">
        <w:rPr>
          <w:rFonts w:eastAsia="Aptos" w:cs="Arial"/>
          <w:kern w:val="2"/>
          <w:szCs w:val="22"/>
          <w14:ligatures w14:val="standardContextual"/>
        </w:rPr>
        <w:t>) came from the RCC and Tajikistan.</w:t>
      </w:r>
      <w:r w:rsidR="00FC2633" w:rsidRPr="006B7453">
        <w:rPr>
          <w:rFonts w:eastAsia="Aptos" w:cs="Arial"/>
          <w:kern w:val="2"/>
          <w:szCs w:val="22"/>
          <w14:ligatures w14:val="standardContextual"/>
        </w:rPr>
        <w:t xml:space="preserve"> </w:t>
      </w:r>
      <w:r w:rsidRPr="006B7453">
        <w:rPr>
          <w:rFonts w:eastAsia="Aptos" w:cs="Arial"/>
          <w:kern w:val="2"/>
          <w:szCs w:val="22"/>
          <w14:ligatures w14:val="standardContextual"/>
        </w:rPr>
        <w:t xml:space="preserve">The contribution proposed streamlining previous Council and Plenipotentiary resolutions, revising relevant resolutions and </w:t>
      </w:r>
      <w:r w:rsidR="00862040" w:rsidRPr="006B7453">
        <w:rPr>
          <w:rFonts w:eastAsia="Aptos" w:cs="Arial"/>
          <w:kern w:val="2"/>
          <w:szCs w:val="22"/>
          <w14:ligatures w14:val="standardContextual"/>
        </w:rPr>
        <w:t>decisions</w:t>
      </w:r>
      <w:r w:rsidRPr="006B7453">
        <w:rPr>
          <w:rFonts w:eastAsia="Aptos" w:cs="Arial"/>
          <w:kern w:val="2"/>
          <w:szCs w:val="22"/>
          <w14:ligatures w14:val="standardContextual"/>
        </w:rPr>
        <w:t xml:space="preserve"> to retain the Tower building, preserving key meeting rooms and historical elements, and requesting the Secretary-General present a conceptual project that better meets Member and Staff needs.</w:t>
      </w:r>
      <w:r w:rsidR="00FC2633" w:rsidRPr="006B7453">
        <w:rPr>
          <w:rFonts w:eastAsia="Aptos" w:cs="Arial"/>
          <w:kern w:val="2"/>
          <w:szCs w:val="22"/>
          <w14:ligatures w14:val="standardContextual"/>
        </w:rPr>
        <w:t xml:space="preserve"> </w:t>
      </w:r>
    </w:p>
    <w:p w14:paraId="6E19E520" w14:textId="2E9187E0" w:rsidR="009142C6" w:rsidRPr="006B7453" w:rsidRDefault="009142C6" w:rsidP="00862040">
      <w:pPr>
        <w:jc w:val="both"/>
      </w:pPr>
      <w:r w:rsidRPr="006B7453">
        <w:t>5.4</w:t>
      </w:r>
      <w:r w:rsidRPr="006B7453">
        <w:tab/>
        <w:t>At the 22</w:t>
      </w:r>
      <w:r w:rsidRPr="006B7453">
        <w:rPr>
          <w:vertAlign w:val="superscript"/>
        </w:rPr>
        <w:t>nd</w:t>
      </w:r>
      <w:r w:rsidRPr="006B7453">
        <w:t xml:space="preserve"> meeting, the Chair, after informal consultations with RCC and the Kyrgyz Republic, presented Document </w:t>
      </w:r>
      <w:hyperlink r:id="rId35" w:history="1">
        <w:r w:rsidRPr="006B7453">
          <w:rPr>
            <w:rStyle w:val="Hyperlink"/>
          </w:rPr>
          <w:t>CWG-FHR-22/22</w:t>
        </w:r>
      </w:hyperlink>
      <w:r w:rsidRPr="006B7453">
        <w:t xml:space="preserve"> clarifying for delegates that discussion was no longer necessary as the </w:t>
      </w:r>
      <w:r w:rsidR="001D73DE" w:rsidRPr="006B7453">
        <w:t>s</w:t>
      </w:r>
      <w:r w:rsidR="007E5CA9" w:rsidRPr="006B7453">
        <w:t>ecretariat</w:t>
      </w:r>
      <w:r w:rsidRPr="006B7453">
        <w:t xml:space="preserve"> revised Document</w:t>
      </w:r>
      <w:r w:rsidR="00A039D1">
        <w:t>s</w:t>
      </w:r>
      <w:r w:rsidRPr="006B7453">
        <w:t xml:space="preserve"> </w:t>
      </w:r>
      <w:hyperlink r:id="rId36" w:history="1">
        <w:r w:rsidRPr="00A039D1">
          <w:rPr>
            <w:rStyle w:val="Hyperlink"/>
          </w:rPr>
          <w:t>CWG-FHR-22/8</w:t>
        </w:r>
      </w:hyperlink>
      <w:r w:rsidRPr="006B7453">
        <w:t xml:space="preserve"> and </w:t>
      </w:r>
      <w:hyperlink r:id="rId37" w:history="1">
        <w:r w:rsidRPr="00A039D1">
          <w:rPr>
            <w:rStyle w:val="Hyperlink"/>
          </w:rPr>
          <w:t>CWG-FHR-22/5</w:t>
        </w:r>
      </w:hyperlink>
      <w:r w:rsidRPr="006B7453">
        <w:t xml:space="preserve"> to include the missing information from the 21</w:t>
      </w:r>
      <w:r w:rsidRPr="006B7453">
        <w:rPr>
          <w:vertAlign w:val="superscript"/>
        </w:rPr>
        <w:t>st</w:t>
      </w:r>
      <w:r w:rsidRPr="006B7453">
        <w:t xml:space="preserve"> meeting of CWG-FHR. Next, the </w:t>
      </w:r>
      <w:r w:rsidR="001D73DE" w:rsidRPr="006B7453">
        <w:t>s</w:t>
      </w:r>
      <w:r w:rsidR="007E5CA9" w:rsidRPr="006B7453">
        <w:t>ecretariat</w:t>
      </w:r>
      <w:r w:rsidRPr="006B7453">
        <w:t xml:space="preserve"> informed CWG-FHR that the overall schedule for the Headquarters premise project was on track, and that they are now in the concept design stage after completing the feasibility study.</w:t>
      </w:r>
      <w:r w:rsidR="00FC2633" w:rsidRPr="006B7453">
        <w:t xml:space="preserve"> </w:t>
      </w:r>
      <w:r w:rsidRPr="006B7453">
        <w:t xml:space="preserve">It was also noted that the </w:t>
      </w:r>
      <w:r w:rsidR="001D73DE" w:rsidRPr="006B7453">
        <w:t>s</w:t>
      </w:r>
      <w:r w:rsidR="007E5CA9" w:rsidRPr="006B7453">
        <w:t>ecretariat</w:t>
      </w:r>
      <w:r w:rsidRPr="006B7453">
        <w:t xml:space="preserve"> has procured project management services from Cumming Group &amp; JAM Management Consortium.</w:t>
      </w:r>
      <w:r w:rsidR="00FC2633" w:rsidRPr="006B7453">
        <w:t xml:space="preserve"> </w:t>
      </w:r>
      <w:r w:rsidRPr="006B7453">
        <w:t xml:space="preserve">The </w:t>
      </w:r>
      <w:r w:rsidR="001D73DE" w:rsidRPr="006B7453">
        <w:t>s</w:t>
      </w:r>
      <w:r w:rsidR="007E5CA9" w:rsidRPr="006B7453">
        <w:t>ecretariat</w:t>
      </w:r>
      <w:r w:rsidRPr="006B7453">
        <w:t xml:space="preserve"> also spoke to their close partnership with the host country, Switzerland, as well as the greater Neighbourhood Effort to ensure ITU is harmonized within the neighbourhood and meets UN security requirements.</w:t>
      </w:r>
      <w:r w:rsidR="00FC2633" w:rsidRPr="006B7453">
        <w:t xml:space="preserve"> </w:t>
      </w:r>
      <w:r w:rsidRPr="006B7453">
        <w:t>Revisiting the key update from the 21</w:t>
      </w:r>
      <w:r w:rsidRPr="006B7453">
        <w:rPr>
          <w:vertAlign w:val="superscript"/>
        </w:rPr>
        <w:t>st</w:t>
      </w:r>
      <w:r w:rsidRPr="006B7453">
        <w:t xml:space="preserve"> meeting, the </w:t>
      </w:r>
      <w:r w:rsidR="001D73DE" w:rsidRPr="006B7453">
        <w:t>s</w:t>
      </w:r>
      <w:r w:rsidR="007E5CA9" w:rsidRPr="006B7453">
        <w:t>ecretariat</w:t>
      </w:r>
      <w:r w:rsidRPr="006B7453">
        <w:t xml:space="preserve"> reported on the development strategy for future funding and capital planning to confirm the ITU’s Campus is fit for purpose.</w:t>
      </w:r>
      <w:r w:rsidR="00FC2633" w:rsidRPr="006B7453">
        <w:t xml:space="preserve"> </w:t>
      </w:r>
      <w:r w:rsidRPr="006B7453">
        <w:t xml:space="preserve">The </w:t>
      </w:r>
      <w:r w:rsidR="001D73DE" w:rsidRPr="006B7453">
        <w:t>s</w:t>
      </w:r>
      <w:r w:rsidR="007E5CA9" w:rsidRPr="006B7453">
        <w:t>ecretariat</w:t>
      </w:r>
      <w:r w:rsidRPr="006B7453">
        <w:t xml:space="preserve"> concluded stating they will continue to work with real estate experts, who previously worked with the World Intellectual Property Organization (WIPO), and present a more substantial report to Council 2026 ahead of the re-examination of Resolution 212 (Rev.</w:t>
      </w:r>
      <w:r w:rsidR="00182053" w:rsidRPr="006B7453">
        <w:t> </w:t>
      </w:r>
      <w:r w:rsidRPr="006B7453">
        <w:t>Bucharest, 2022) at PP-26.</w:t>
      </w:r>
    </w:p>
    <w:p w14:paraId="7277F389" w14:textId="4093D1E6" w:rsidR="009142C6" w:rsidRPr="006B7453" w:rsidRDefault="009142C6" w:rsidP="00862040">
      <w:pPr>
        <w:jc w:val="both"/>
      </w:pPr>
      <w:r w:rsidRPr="006B7453">
        <w:t>5.5</w:t>
      </w:r>
      <w:r w:rsidRPr="006B7453">
        <w:tab/>
        <w:t xml:space="preserve">The MSAG Chair followed the </w:t>
      </w:r>
      <w:r w:rsidR="001D73DE" w:rsidRPr="006B7453">
        <w:t>s</w:t>
      </w:r>
      <w:r w:rsidR="007E5CA9" w:rsidRPr="006B7453">
        <w:t>ecretariat</w:t>
      </w:r>
      <w:r w:rsidRPr="006B7453">
        <w:t xml:space="preserve"> with their report (Document </w:t>
      </w:r>
      <w:hyperlink r:id="rId38" w:history="1">
        <w:r w:rsidRPr="006B7453">
          <w:rPr>
            <w:rStyle w:val="Hyperlink"/>
          </w:rPr>
          <w:t>CWG-FHR-22/24</w:t>
        </w:r>
      </w:hyperlink>
      <w:r w:rsidRPr="006B7453">
        <w:t>) confirming all risks on the project are being actively examined on a periodic basis and the current reserve funds are (for now) sufficient.</w:t>
      </w:r>
      <w:r w:rsidR="00FC2633" w:rsidRPr="006B7453">
        <w:t xml:space="preserve"> </w:t>
      </w:r>
      <w:r w:rsidRPr="006B7453">
        <w:t>Additionally, the MSAG Chair informed delegates that the Risk Register will remain a standing agenda item and the MSAG’s ongoing review of the Registry will incorporate insights from the newly hired project management team and knowledge of the Geneva market.</w:t>
      </w:r>
      <w:r w:rsidR="00FC2633" w:rsidRPr="006B7453">
        <w:t xml:space="preserve"> </w:t>
      </w:r>
    </w:p>
    <w:p w14:paraId="7EC6B2CC" w14:textId="4688F089" w:rsidR="009142C6" w:rsidRPr="006B7453" w:rsidRDefault="009142C6" w:rsidP="00862040">
      <w:pPr>
        <w:jc w:val="both"/>
      </w:pPr>
      <w:r w:rsidRPr="006B7453">
        <w:t>5.6</w:t>
      </w:r>
      <w:r w:rsidRPr="006B7453">
        <w:tab/>
        <w:t>Delegates asked a variety of clarifying questions pertaining to the concept behind the Neighbourhood Master Plan, and the Building Installation and Multi-year Cost Plan.</w:t>
      </w:r>
      <w:r w:rsidR="00FC2633" w:rsidRPr="006B7453">
        <w:t xml:space="preserve"> </w:t>
      </w:r>
      <w:r w:rsidRPr="006B7453">
        <w:t xml:space="preserve">Other inquiries surfaced around the newly proposed government framework for the Headquarters Building effort and on how the </w:t>
      </w:r>
      <w:r w:rsidR="001D73DE" w:rsidRPr="006B7453">
        <w:t>s</w:t>
      </w:r>
      <w:r w:rsidR="007E5CA9" w:rsidRPr="006B7453">
        <w:t>ecretariat</w:t>
      </w:r>
      <w:r w:rsidRPr="006B7453">
        <w:t xml:space="preserve"> plans to address funding gaps, such as the one left by the withdrawal of United Arab Emirates’s sponsorship.</w:t>
      </w:r>
      <w:r w:rsidR="00FC2633" w:rsidRPr="006B7453">
        <w:t xml:space="preserve"> </w:t>
      </w:r>
    </w:p>
    <w:p w14:paraId="27C628D5" w14:textId="745C41FC" w:rsidR="009142C6" w:rsidRPr="006B7453" w:rsidRDefault="009142C6" w:rsidP="00862040">
      <w:pPr>
        <w:jc w:val="both"/>
      </w:pPr>
      <w:r w:rsidRPr="006B7453">
        <w:t>5.7</w:t>
      </w:r>
      <w:r w:rsidRPr="006B7453">
        <w:tab/>
        <w:t>One delegate requested scenario analysis of low-cost station locations.</w:t>
      </w:r>
      <w:r w:rsidR="00FC2633" w:rsidRPr="006B7453">
        <w:t xml:space="preserve"> </w:t>
      </w:r>
      <w:r w:rsidRPr="006B7453">
        <w:t xml:space="preserve">The </w:t>
      </w:r>
      <w:r w:rsidR="001D73DE" w:rsidRPr="006B7453">
        <w:t>s</w:t>
      </w:r>
      <w:r w:rsidR="007E5CA9" w:rsidRPr="006B7453">
        <w:t>ecretariat</w:t>
      </w:r>
      <w:r w:rsidRPr="006B7453">
        <w:t xml:space="preserve"> responded confirming an effort involving Human Resources as well as Administration and Finance has already commenced to assess all jobs within the ITU and their necessity to a specific duty station, regional location, or area office.</w:t>
      </w:r>
      <w:r w:rsidR="00FC2633" w:rsidRPr="006B7453">
        <w:t xml:space="preserve"> </w:t>
      </w:r>
      <w:r w:rsidRPr="006B7453">
        <w:t>It is the ITU’s intent to save costs and help to strengthen regional presence as well as ITU’s overall global positioning.</w:t>
      </w:r>
      <w:r w:rsidR="00FC2633" w:rsidRPr="006B7453">
        <w:t xml:space="preserve"> </w:t>
      </w:r>
    </w:p>
    <w:p w14:paraId="78193C6E" w14:textId="79A2BDFA" w:rsidR="009142C6" w:rsidRPr="006B7453" w:rsidRDefault="009142C6" w:rsidP="00862040">
      <w:pPr>
        <w:pBdr>
          <w:top w:val="single" w:sz="4" w:space="1" w:color="auto"/>
          <w:left w:val="single" w:sz="4" w:space="4" w:color="auto"/>
          <w:bottom w:val="single" w:sz="4" w:space="1" w:color="auto"/>
          <w:right w:val="single" w:sz="4" w:space="4" w:color="auto"/>
        </w:pBdr>
        <w:jc w:val="both"/>
      </w:pPr>
      <w:r w:rsidRPr="006B7453">
        <w:lastRenderedPageBreak/>
        <w:t>5.8</w:t>
      </w:r>
      <w:r w:rsidRPr="006B7453">
        <w:tab/>
        <w:t xml:space="preserve">The CWG-FHR </w:t>
      </w:r>
      <w:r w:rsidRPr="006B7453">
        <w:rPr>
          <w:b/>
          <w:bCs/>
        </w:rPr>
        <w:t>recommended</w:t>
      </w:r>
      <w:r w:rsidRPr="006B7453">
        <w:t xml:space="preserve"> the </w:t>
      </w:r>
      <w:r w:rsidR="001D73DE" w:rsidRPr="006B7453">
        <w:t>s</w:t>
      </w:r>
      <w:r w:rsidR="007E5CA9" w:rsidRPr="006B7453">
        <w:t>ecretariat</w:t>
      </w:r>
      <w:r w:rsidRPr="006B7453">
        <w:t xml:space="preserve"> submit an updated report to Council.</w:t>
      </w:r>
      <w:r w:rsidR="00FC2633" w:rsidRPr="006B7453">
        <w:t xml:space="preserve"> </w:t>
      </w:r>
      <w:r w:rsidRPr="006B7453">
        <w:t xml:space="preserve">The report should include the Neighbourhood Plan, further information on the Campus Maintenance Plan, and additional information on the mitigation strategy for the MCHF 5 reduction. </w:t>
      </w:r>
    </w:p>
    <w:p w14:paraId="06DFDE7D" w14:textId="01703050" w:rsidR="009142C6" w:rsidRPr="006B7453" w:rsidRDefault="009142C6" w:rsidP="00862040">
      <w:pPr>
        <w:pStyle w:val="Heading1"/>
      </w:pPr>
      <w:r w:rsidRPr="006B7453">
        <w:t>6</w:t>
      </w:r>
      <w:r w:rsidRPr="006B7453">
        <w:tab/>
        <w:t xml:space="preserve">Analysis of Council Decisions 588 (C16), 619 (C19, last amended C21), and 640 (C24) (Document </w:t>
      </w:r>
      <w:hyperlink r:id="rId39" w:history="1">
        <w:r w:rsidRPr="006B7453">
          <w:rPr>
            <w:rStyle w:val="Hyperlink"/>
          </w:rPr>
          <w:t>CWG-FHR-22/18(Rev.1)</w:t>
        </w:r>
      </w:hyperlink>
      <w:r w:rsidRPr="006B7453">
        <w:t>)</w:t>
      </w:r>
    </w:p>
    <w:p w14:paraId="55671017" w14:textId="24D4E710" w:rsidR="009142C6" w:rsidRPr="006B7453" w:rsidRDefault="009142C6" w:rsidP="00862040">
      <w:pPr>
        <w:jc w:val="both"/>
      </w:pPr>
      <w:r w:rsidRPr="006B7453">
        <w:t>6.1</w:t>
      </w:r>
      <w:r w:rsidRPr="006B7453">
        <w:tab/>
        <w:t>At the 22</w:t>
      </w:r>
      <w:r w:rsidRPr="006B7453">
        <w:rPr>
          <w:vertAlign w:val="superscript"/>
        </w:rPr>
        <w:t>nd</w:t>
      </w:r>
      <w:r w:rsidRPr="006B7453">
        <w:t xml:space="preserve"> meeting of the CWG-FHR, the </w:t>
      </w:r>
      <w:r w:rsidR="001D73DE" w:rsidRPr="006B7453">
        <w:t>s</w:t>
      </w:r>
      <w:r w:rsidR="007E5CA9" w:rsidRPr="006B7453">
        <w:t>ecretariat</w:t>
      </w:r>
      <w:r w:rsidRPr="006B7453">
        <w:t xml:space="preserve"> presented analysis of Council Decisions 588 (C16), 619 (C19, last amended C21), and 640 (C24) along with proposed revisions to Decision 640.</w:t>
      </w:r>
      <w:r w:rsidR="00FC2633" w:rsidRPr="006B7453">
        <w:t xml:space="preserve"> </w:t>
      </w:r>
      <w:r w:rsidRPr="006B7453">
        <w:t>This analysis was in response to a request from the 21</w:t>
      </w:r>
      <w:r w:rsidRPr="006B7453">
        <w:rPr>
          <w:vertAlign w:val="superscript"/>
        </w:rPr>
        <w:t>st</w:t>
      </w:r>
      <w:r w:rsidRPr="006B7453">
        <w:t xml:space="preserve"> CWG-FHR meeting.</w:t>
      </w:r>
      <w:r w:rsidR="00FC2633" w:rsidRPr="006B7453">
        <w:t xml:space="preserve"> </w:t>
      </w:r>
    </w:p>
    <w:p w14:paraId="6DE12269" w14:textId="4C34E81D" w:rsidR="009142C6" w:rsidRPr="006B7453" w:rsidRDefault="009142C6" w:rsidP="00862040">
      <w:pPr>
        <w:jc w:val="both"/>
      </w:pPr>
      <w:r w:rsidRPr="006B7453">
        <w:t>6.2</w:t>
      </w:r>
      <w:r w:rsidRPr="006B7453">
        <w:tab/>
        <w:t xml:space="preserve">Many delegates requested the </w:t>
      </w:r>
      <w:r w:rsidR="001D73DE" w:rsidRPr="006B7453">
        <w:t>s</w:t>
      </w:r>
      <w:r w:rsidR="007E5CA9" w:rsidRPr="006B7453">
        <w:t>ecretariat</w:t>
      </w:r>
      <w:r w:rsidRPr="006B7453">
        <w:t xml:space="preserve"> provide a tracked changes version of the draft revision of Decision 640 to Council 2026.</w:t>
      </w:r>
      <w:r w:rsidR="00FC2633" w:rsidRPr="006B7453">
        <w:t xml:space="preserve"> </w:t>
      </w:r>
      <w:r w:rsidRPr="006B7453">
        <w:t xml:space="preserve">One delegate reminded the CWG that the output from Council 2025 was to have the </w:t>
      </w:r>
      <w:r w:rsidR="001D73DE" w:rsidRPr="006B7453">
        <w:t>s</w:t>
      </w:r>
      <w:r w:rsidR="007E5CA9" w:rsidRPr="006B7453">
        <w:t>ecretariat</w:t>
      </w:r>
      <w:r w:rsidRPr="006B7453">
        <w:t xml:space="preserve"> perform a comprehensive study, and the information provided in Document </w:t>
      </w:r>
      <w:hyperlink r:id="rId40" w:history="1">
        <w:r w:rsidRPr="006B7453">
          <w:rPr>
            <w:rStyle w:val="Hyperlink"/>
          </w:rPr>
          <w:t>CWG-FHR-22/18(Rev.1)</w:t>
        </w:r>
      </w:hyperlink>
      <w:r w:rsidRPr="006B7453">
        <w:t xml:space="preserve"> is insufficient.</w:t>
      </w:r>
      <w:r w:rsidR="00FC2633" w:rsidRPr="006B7453">
        <w:t xml:space="preserve"> </w:t>
      </w:r>
      <w:r w:rsidRPr="006B7453">
        <w:t xml:space="preserve">Therefore, the delegate posed the need for the </w:t>
      </w:r>
      <w:r w:rsidR="001D73DE" w:rsidRPr="006B7453">
        <w:t>s</w:t>
      </w:r>
      <w:r w:rsidR="007E5CA9" w:rsidRPr="006B7453">
        <w:t>ecretariat</w:t>
      </w:r>
      <w:r w:rsidRPr="006B7453">
        <w:t xml:space="preserve"> to submit to Council 2026 a paragraph-by-paragraph analysis of the three decisions, highlighting which provisions remain relevant and which are obsolete.</w:t>
      </w:r>
      <w:r w:rsidR="00FC2633" w:rsidRPr="006B7453">
        <w:t xml:space="preserve"> </w:t>
      </w:r>
      <w:r w:rsidRPr="006B7453">
        <w:t xml:space="preserve">The delegate concluded how the analysis could still be useful since delegates will have to review Resolution 212 (Rev. Bucharest, 2022) at Plenipotentiary. </w:t>
      </w:r>
    </w:p>
    <w:p w14:paraId="70F21119" w14:textId="7CE00C4A" w:rsidR="009142C6" w:rsidRPr="006B7453" w:rsidRDefault="009142C6" w:rsidP="00862040">
      <w:pPr>
        <w:jc w:val="both"/>
      </w:pPr>
      <w:r w:rsidRPr="006B7453">
        <w:t>6.3</w:t>
      </w:r>
      <w:r w:rsidRPr="006B7453">
        <w:tab/>
        <w:t>A few delegates spoke to the terminology proposed in the draft Decision 640 revision, particularly the term campus.</w:t>
      </w:r>
      <w:r w:rsidR="00FC2633" w:rsidRPr="006B7453">
        <w:t xml:space="preserve"> </w:t>
      </w:r>
      <w:r w:rsidRPr="006B7453">
        <w:t>One delegate offered campus was not multi-country friendly and suggested a more neutral and well know term.</w:t>
      </w:r>
      <w:r w:rsidR="00FC2633" w:rsidRPr="006B7453">
        <w:t xml:space="preserve"> </w:t>
      </w:r>
      <w:r w:rsidRPr="006B7453">
        <w:t xml:space="preserve">Another delegate encouraged the </w:t>
      </w:r>
      <w:r w:rsidR="001D73DE" w:rsidRPr="006B7453">
        <w:t>s</w:t>
      </w:r>
      <w:r w:rsidR="007E5CA9" w:rsidRPr="006B7453">
        <w:t>ecretariat</w:t>
      </w:r>
      <w:r w:rsidRPr="006B7453">
        <w:t xml:space="preserve"> to leverage the terminology stated in the ITU Convention. </w:t>
      </w:r>
    </w:p>
    <w:p w14:paraId="1186EF23" w14:textId="700B38A2" w:rsidR="009142C6" w:rsidRPr="006B7453" w:rsidRDefault="009142C6" w:rsidP="00862040">
      <w:pPr>
        <w:pBdr>
          <w:top w:val="single" w:sz="4" w:space="1" w:color="auto"/>
          <w:left w:val="single" w:sz="4" w:space="4" w:color="auto"/>
          <w:bottom w:val="single" w:sz="4" w:space="1" w:color="auto"/>
          <w:right w:val="single" w:sz="4" w:space="4" w:color="auto"/>
        </w:pBdr>
        <w:jc w:val="both"/>
      </w:pPr>
      <w:r w:rsidRPr="006B7453">
        <w:t>6.4</w:t>
      </w:r>
      <w:r w:rsidRPr="006B7453">
        <w:tab/>
        <w:t xml:space="preserve">The CWG-FHR </w:t>
      </w:r>
      <w:r w:rsidRPr="006B7453">
        <w:rPr>
          <w:b/>
        </w:rPr>
        <w:t>recommend</w:t>
      </w:r>
      <w:r w:rsidRPr="006B7453">
        <w:t xml:space="preserve"> the </w:t>
      </w:r>
      <w:r w:rsidR="001D73DE" w:rsidRPr="006B7453">
        <w:t>s</w:t>
      </w:r>
      <w:r w:rsidR="007E5CA9" w:rsidRPr="006B7453">
        <w:t>ecretariat</w:t>
      </w:r>
      <w:r w:rsidRPr="006B7453">
        <w:t xml:space="preserve"> present a paragraph-by-paragraph comparative analysis of Decision 588, Decision 619, and Decision 640 to Council 2026 ahead of Plenipotentiary 2026.</w:t>
      </w:r>
    </w:p>
    <w:p w14:paraId="0090B95B" w14:textId="0947CE0A" w:rsidR="009142C6" w:rsidRPr="006B7453" w:rsidRDefault="009142C6" w:rsidP="00862040">
      <w:pPr>
        <w:pBdr>
          <w:top w:val="single" w:sz="4" w:space="1" w:color="auto"/>
          <w:left w:val="single" w:sz="4" w:space="4" w:color="auto"/>
          <w:bottom w:val="single" w:sz="4" w:space="1" w:color="auto"/>
          <w:right w:val="single" w:sz="4" w:space="4" w:color="auto"/>
        </w:pBdr>
        <w:jc w:val="both"/>
      </w:pPr>
      <w:r w:rsidRPr="006B7453">
        <w:t>6.5</w:t>
      </w:r>
      <w:r w:rsidRPr="006B7453">
        <w:tab/>
        <w:t xml:space="preserve">The CWG-FHR also </w:t>
      </w:r>
      <w:r w:rsidRPr="006B7453">
        <w:rPr>
          <w:b/>
        </w:rPr>
        <w:t>recommended</w:t>
      </w:r>
      <w:r w:rsidRPr="006B7453">
        <w:t xml:space="preserve"> the </w:t>
      </w:r>
      <w:r w:rsidR="001D73DE" w:rsidRPr="006B7453">
        <w:t>s</w:t>
      </w:r>
      <w:r w:rsidR="007E5CA9" w:rsidRPr="006B7453">
        <w:t>ecretariat</w:t>
      </w:r>
      <w:r w:rsidRPr="006B7453">
        <w:t xml:space="preserve"> review the ITU naming convention for the headquarters.</w:t>
      </w:r>
      <w:r w:rsidR="00FC2633" w:rsidRPr="006B7453">
        <w:t xml:space="preserve"> </w:t>
      </w:r>
    </w:p>
    <w:p w14:paraId="2E2E32A0" w14:textId="7B635D33" w:rsidR="009142C6" w:rsidRPr="006B7453" w:rsidRDefault="009142C6" w:rsidP="00862040">
      <w:pPr>
        <w:pStyle w:val="Heading1"/>
      </w:pPr>
      <w:r w:rsidRPr="006B7453">
        <w:t>7</w:t>
      </w:r>
      <w:r w:rsidRPr="006B7453">
        <w:tab/>
        <w:t>Business continuity for ITU meetings (2028</w:t>
      </w:r>
      <w:r w:rsidR="00862040" w:rsidRPr="006B7453">
        <w:t>-</w:t>
      </w:r>
      <w:r w:rsidRPr="006B7453">
        <w:t xml:space="preserve">2029) </w:t>
      </w:r>
      <w:r w:rsidR="00862040" w:rsidRPr="006B7453">
        <w:br/>
      </w:r>
      <w:r w:rsidRPr="006B7453">
        <w:t xml:space="preserve">(Documents </w:t>
      </w:r>
      <w:hyperlink r:id="rId41" w:history="1">
        <w:r w:rsidRPr="006B7453">
          <w:rPr>
            <w:rStyle w:val="Hyperlink"/>
          </w:rPr>
          <w:t>CWG-FHR-21/10</w:t>
        </w:r>
      </w:hyperlink>
      <w:r w:rsidRPr="006B7453">
        <w:t xml:space="preserve">, </w:t>
      </w:r>
      <w:hyperlink r:id="rId42" w:history="1">
        <w:r w:rsidRPr="006B7453">
          <w:rPr>
            <w:rStyle w:val="Hyperlink"/>
          </w:rPr>
          <w:t>CWG-FHR-22/13</w:t>
        </w:r>
      </w:hyperlink>
      <w:r w:rsidRPr="006B7453">
        <w:t xml:space="preserve">, </w:t>
      </w:r>
      <w:hyperlink r:id="rId43" w:history="1">
        <w:r w:rsidRPr="006B7453">
          <w:rPr>
            <w:rStyle w:val="Hyperlink"/>
          </w:rPr>
          <w:t>CWG-FHR-22/23</w:t>
        </w:r>
      </w:hyperlink>
      <w:r w:rsidRPr="006B7453">
        <w:t xml:space="preserve">, and </w:t>
      </w:r>
      <w:hyperlink r:id="rId44" w:history="1">
        <w:r w:rsidRPr="006B7453">
          <w:rPr>
            <w:rStyle w:val="Hyperlink"/>
          </w:rPr>
          <w:t>CWG-FHR-22/28</w:t>
        </w:r>
      </w:hyperlink>
      <w:r w:rsidRPr="006B7453">
        <w:t>)</w:t>
      </w:r>
    </w:p>
    <w:p w14:paraId="3D58E8FC" w14:textId="3A51BA4C" w:rsidR="009142C6" w:rsidRPr="006B7453" w:rsidRDefault="009142C6" w:rsidP="00862040">
      <w:pPr>
        <w:jc w:val="both"/>
      </w:pPr>
      <w:r w:rsidRPr="006B7453">
        <w:t>7.1</w:t>
      </w:r>
      <w:r w:rsidRPr="006B7453">
        <w:tab/>
        <w:t xml:space="preserve">Building upon previous reports to CWG-FHR, the </w:t>
      </w:r>
      <w:r w:rsidR="001D73DE" w:rsidRPr="006B7453">
        <w:t>s</w:t>
      </w:r>
      <w:r w:rsidR="007E5CA9" w:rsidRPr="006B7453">
        <w:t>ecretariat</w:t>
      </w:r>
      <w:r w:rsidRPr="006B7453">
        <w:t xml:space="preserve"> provided an update on the ITU’s plan for the approximately 60 statutory ITU meetings annually held at headquarters during the construction period.</w:t>
      </w:r>
      <w:r w:rsidR="00FC2633" w:rsidRPr="006B7453">
        <w:t xml:space="preserve"> </w:t>
      </w:r>
      <w:r w:rsidRPr="006B7453">
        <w:t xml:space="preserve">With construction slated to begin in 2028 and the Geneva International Conference Centre (CICG) undergoing nearly simultaneously renovations, the </w:t>
      </w:r>
      <w:r w:rsidR="001D73DE" w:rsidRPr="006B7453">
        <w:t>s</w:t>
      </w:r>
      <w:r w:rsidR="007E5CA9" w:rsidRPr="006B7453">
        <w:t>ecretariat</w:t>
      </w:r>
      <w:r w:rsidRPr="006B7453">
        <w:t xml:space="preserve"> spoke to the consideration of renting rooms from various UN or international entities within Geneva.</w:t>
      </w:r>
      <w:r w:rsidR="00FC2633" w:rsidRPr="006B7453">
        <w:t xml:space="preserve"> </w:t>
      </w:r>
      <w:r w:rsidRPr="006B7453">
        <w:t xml:space="preserve">The </w:t>
      </w:r>
      <w:r w:rsidR="001D73DE" w:rsidRPr="006B7453">
        <w:t>s</w:t>
      </w:r>
      <w:r w:rsidR="007E5CA9" w:rsidRPr="006B7453">
        <w:t>ecretariat</w:t>
      </w:r>
      <w:r w:rsidRPr="006B7453">
        <w:t xml:space="preserve"> also informed delegates that due to current budget estimates, holding 2028-2029 technical meetings at the Palexpo would not be financially possible. Concluding their update, the </w:t>
      </w:r>
      <w:r w:rsidR="001D73DE" w:rsidRPr="006B7453">
        <w:t>s</w:t>
      </w:r>
      <w:r w:rsidR="007E5CA9" w:rsidRPr="006B7453">
        <w:t>ecretariat</w:t>
      </w:r>
      <w:r w:rsidRPr="006B7453">
        <w:t xml:space="preserve"> offered the possibility of virtual meetings while also reaffirming their efforts to leverage ITU Meeting Hubs. </w:t>
      </w:r>
    </w:p>
    <w:p w14:paraId="16EEE29E" w14:textId="5BF4C3F0" w:rsidR="009142C6" w:rsidRPr="006B7453" w:rsidRDefault="009142C6" w:rsidP="00862040">
      <w:pPr>
        <w:jc w:val="both"/>
      </w:pPr>
      <w:r w:rsidRPr="006B7453">
        <w:t>7.2</w:t>
      </w:r>
      <w:r w:rsidRPr="006B7453">
        <w:tab/>
        <w:t>Many delegates took the floor at the 21</w:t>
      </w:r>
      <w:r w:rsidRPr="006B7453">
        <w:rPr>
          <w:vertAlign w:val="superscript"/>
        </w:rPr>
        <w:t>st</w:t>
      </w:r>
      <w:r w:rsidRPr="006B7453">
        <w:t xml:space="preserve"> CWG-FHR meeting to raise questions about financial strategy, feasibility, and long-term planning.</w:t>
      </w:r>
      <w:r w:rsidR="00FC2633" w:rsidRPr="006B7453">
        <w:t xml:space="preserve"> </w:t>
      </w:r>
      <w:r w:rsidRPr="006B7453">
        <w:t xml:space="preserve">Delegates questioned why Palexpo, </w:t>
      </w:r>
      <w:r w:rsidRPr="006B7453">
        <w:lastRenderedPageBreak/>
        <w:t>previously presented as the most practical option, was no longer considered feasible.</w:t>
      </w:r>
      <w:r w:rsidR="00FC2633" w:rsidRPr="006B7453">
        <w:t xml:space="preserve"> </w:t>
      </w:r>
      <w:r w:rsidRPr="006B7453">
        <w:t xml:space="preserve">There was also considerable </w:t>
      </w:r>
      <w:r w:rsidR="006B7453" w:rsidRPr="006B7453">
        <w:t>scepticism</w:t>
      </w:r>
      <w:r w:rsidRPr="006B7453">
        <w:t xml:space="preserve"> about relying on other UN or international facilities to host meetings due to various restrictions around availability and existing ITU regulations.</w:t>
      </w:r>
      <w:r w:rsidR="00FC2633" w:rsidRPr="006B7453">
        <w:t xml:space="preserve"> </w:t>
      </w:r>
      <w:r w:rsidRPr="006B7453">
        <w:t>Some delegates expressed interest in having “meeting hubs” and requested additional clarification for how such a process would work.</w:t>
      </w:r>
      <w:r w:rsidR="00FC2633" w:rsidRPr="006B7453">
        <w:t xml:space="preserve"> </w:t>
      </w:r>
      <w:r w:rsidRPr="006B7453">
        <w:t>Delegates requested a comprehensive list of all affected meetings, as well as prioritization of key meetings, to better assess which could potentially be held in a virtual or hybrid format.</w:t>
      </w:r>
    </w:p>
    <w:p w14:paraId="65787D6B" w14:textId="05DCCECC" w:rsidR="009142C6" w:rsidRPr="006B7453" w:rsidRDefault="009142C6" w:rsidP="00862040">
      <w:pPr>
        <w:jc w:val="both"/>
      </w:pPr>
      <w:r w:rsidRPr="006B7453">
        <w:t>7.3</w:t>
      </w:r>
      <w:r w:rsidRPr="006B7453">
        <w:tab/>
        <w:t>The delegate from Switzerland reiterated Switzerland’s support to maintaining business continuity of the Union during this transitional period.</w:t>
      </w:r>
      <w:r w:rsidR="00FC2633" w:rsidRPr="006B7453">
        <w:t xml:space="preserve"> </w:t>
      </w:r>
      <w:r w:rsidRPr="006B7453">
        <w:t>The Swiss delegate noted the relevant provisions of Plenipotentiary Resolution 5 (Kyoto, 1994) remain applicable and asked if paragraph 51 of the Convention – The Council shall hold an ordinary session annually at the seat of the Union – will be applied during the construction period.</w:t>
      </w:r>
    </w:p>
    <w:p w14:paraId="5A7070A6" w14:textId="794DB7C9" w:rsidR="009142C6" w:rsidRPr="006B7453" w:rsidRDefault="009142C6" w:rsidP="00862040">
      <w:pPr>
        <w:jc w:val="both"/>
      </w:pPr>
      <w:r w:rsidRPr="006B7453">
        <w:t>7.4</w:t>
      </w:r>
      <w:r w:rsidRPr="006B7453">
        <w:tab/>
        <w:t>During the 22</w:t>
      </w:r>
      <w:r w:rsidRPr="006B7453">
        <w:rPr>
          <w:vertAlign w:val="superscript"/>
        </w:rPr>
        <w:t>nd</w:t>
      </w:r>
      <w:r w:rsidRPr="006B7453">
        <w:t xml:space="preserve"> meeting of the Council Working Group on Financial and Human Resources, the </w:t>
      </w:r>
      <w:r w:rsidR="001D73DE" w:rsidRPr="006B7453">
        <w:t>s</w:t>
      </w:r>
      <w:r w:rsidR="007E5CA9" w:rsidRPr="006B7453">
        <w:t>ecretariat</w:t>
      </w:r>
      <w:r w:rsidRPr="006B7453">
        <w:t xml:space="preserve"> provided a second update on business continuity modalities for the 2028-2029 period.</w:t>
      </w:r>
      <w:r w:rsidR="00FC2633" w:rsidRPr="006B7453">
        <w:t xml:space="preserve"> </w:t>
      </w:r>
      <w:r w:rsidRPr="006B7453">
        <w:t xml:space="preserve">The </w:t>
      </w:r>
      <w:r w:rsidR="001D73DE" w:rsidRPr="006B7453">
        <w:t>s</w:t>
      </w:r>
      <w:r w:rsidR="007E5CA9" w:rsidRPr="006B7453">
        <w:t>ecretariat</w:t>
      </w:r>
      <w:r w:rsidRPr="006B7453">
        <w:t xml:space="preserve"> reaffirmed that both Council 2028 and 2029 should be held in Geneva in Popov, but in the case the Tower is unavailable, the ITU has reserved rooms in CICG.</w:t>
      </w:r>
      <w:r w:rsidR="00FC2633" w:rsidRPr="006B7453">
        <w:t xml:space="preserve"> </w:t>
      </w:r>
      <w:r w:rsidRPr="006B7453">
        <w:t xml:space="preserve">Additionally, the </w:t>
      </w:r>
      <w:r w:rsidR="001D73DE" w:rsidRPr="006B7453">
        <w:t>s</w:t>
      </w:r>
      <w:r w:rsidR="007E5CA9" w:rsidRPr="006B7453">
        <w:t>ecretariat</w:t>
      </w:r>
      <w:r w:rsidRPr="006B7453">
        <w:t xml:space="preserve"> noted that both United Arab Emirates and Kenya have expressed interest to host ITU meetings during the disruption and encouraged these Members to submit formal proposals to Council 2026.</w:t>
      </w:r>
    </w:p>
    <w:p w14:paraId="269E7709" w14:textId="5058A3A0" w:rsidR="009142C6" w:rsidRPr="006B7453" w:rsidRDefault="009142C6" w:rsidP="00862040">
      <w:pPr>
        <w:jc w:val="both"/>
      </w:pPr>
      <w:r w:rsidRPr="006B7453">
        <w:t>7.5</w:t>
      </w:r>
      <w:r w:rsidRPr="006B7453">
        <w:tab/>
        <w:t xml:space="preserve">Switzerland presented a contribution, Document </w:t>
      </w:r>
      <w:hyperlink r:id="rId45" w:history="1">
        <w:r w:rsidRPr="006B7453">
          <w:rPr>
            <w:rStyle w:val="Hyperlink"/>
          </w:rPr>
          <w:t>CWG-FHR-22/23</w:t>
        </w:r>
      </w:hyperlink>
      <w:r w:rsidRPr="006B7453">
        <w:t>, stating that the ITU will benefit from a two-year waiver of repayments (totalling CHF 2</w:t>
      </w:r>
      <w:r w:rsidR="00862040" w:rsidRPr="006B7453">
        <w:t> </w:t>
      </w:r>
      <w:r w:rsidRPr="006B7453">
        <w:t>782</w:t>
      </w:r>
      <w:r w:rsidR="00862040" w:rsidRPr="006B7453">
        <w:t> </w:t>
      </w:r>
      <w:r w:rsidRPr="006B7453">
        <w:t>600) on the eligible real-estate loans previously granted by the Swiss Confederation.</w:t>
      </w:r>
      <w:r w:rsidR="00FC2633" w:rsidRPr="006B7453">
        <w:t xml:space="preserve"> </w:t>
      </w:r>
      <w:r w:rsidRPr="006B7453">
        <w:t>It was emphasized that the objective of this contribution is to earmark the CHF 2</w:t>
      </w:r>
      <w:r w:rsidR="00EE65F5">
        <w:t> </w:t>
      </w:r>
      <w:r w:rsidRPr="006B7453">
        <w:t>782</w:t>
      </w:r>
      <w:r w:rsidR="00EE65F5">
        <w:t> </w:t>
      </w:r>
      <w:r w:rsidRPr="006B7453">
        <w:t>600 in savings to cover the costs arising from holding meetings in Switzerland while the ITU headquarters buildings and the CICG are partially or fully unavailable.</w:t>
      </w:r>
    </w:p>
    <w:p w14:paraId="284948DF" w14:textId="10320A39" w:rsidR="009142C6" w:rsidRPr="006B7453" w:rsidRDefault="009142C6" w:rsidP="00862040">
      <w:pPr>
        <w:jc w:val="both"/>
      </w:pPr>
      <w:r w:rsidRPr="006B7453">
        <w:t>7.6</w:t>
      </w:r>
      <w:r w:rsidRPr="006B7453">
        <w:tab/>
        <w:t xml:space="preserve">The Russian Federation provided comments on the business continuity update (Document </w:t>
      </w:r>
      <w:hyperlink r:id="rId46" w:history="1">
        <w:r w:rsidRPr="006B7453">
          <w:rPr>
            <w:rStyle w:val="Hyperlink"/>
          </w:rPr>
          <w:t>CWG-FHR-22/28</w:t>
        </w:r>
      </w:hyperlink>
      <w:r w:rsidRPr="006B7453">
        <w:t>).</w:t>
      </w:r>
      <w:r w:rsidR="00FC2633" w:rsidRPr="006B7453">
        <w:t xml:space="preserve"> </w:t>
      </w:r>
      <w:r w:rsidRPr="006B7453">
        <w:t>These comments acknowledge the high degree of uncertainty for 2028 and recommend continued assessment of the various options to avoid a situation where a decision will be made immediately before the period of unavailability of the ITU premises.</w:t>
      </w:r>
    </w:p>
    <w:p w14:paraId="1E7D5A1F" w14:textId="77777777" w:rsidR="009142C6" w:rsidRPr="006B7453" w:rsidRDefault="009142C6" w:rsidP="00862040">
      <w:pPr>
        <w:jc w:val="both"/>
      </w:pPr>
      <w:r w:rsidRPr="006B7453">
        <w:t>7.7</w:t>
      </w:r>
      <w:r w:rsidRPr="006B7453">
        <w:tab/>
        <w:t>Delegates still had questions on procedural issues and long-term planning but repeatedly expressed their gratitude towards the Swiss government for its generous contribution.</w:t>
      </w:r>
    </w:p>
    <w:p w14:paraId="49F71933" w14:textId="68C7EDF9" w:rsidR="009142C6" w:rsidRPr="006B7453" w:rsidRDefault="009142C6" w:rsidP="00862040">
      <w:pPr>
        <w:pBdr>
          <w:top w:val="single" w:sz="4" w:space="1" w:color="auto"/>
          <w:left w:val="single" w:sz="4" w:space="4" w:color="auto"/>
          <w:bottom w:val="single" w:sz="4" w:space="1" w:color="auto"/>
          <w:right w:val="single" w:sz="4" w:space="4" w:color="auto"/>
        </w:pBdr>
        <w:jc w:val="both"/>
      </w:pPr>
      <w:r w:rsidRPr="006B7453">
        <w:t>7.8</w:t>
      </w:r>
      <w:r w:rsidRPr="006B7453">
        <w:tab/>
        <w:t xml:space="preserve">The CWG-FHR </w:t>
      </w:r>
      <w:r w:rsidRPr="006B7453">
        <w:rPr>
          <w:b/>
          <w:bCs/>
        </w:rPr>
        <w:t>recommends</w:t>
      </w:r>
      <w:r w:rsidRPr="006B7453">
        <w:t xml:space="preserve"> to Council 2026 that the CHF 2</w:t>
      </w:r>
      <w:r w:rsidR="00862040" w:rsidRPr="006B7453">
        <w:t> </w:t>
      </w:r>
      <w:r w:rsidRPr="006B7453">
        <w:t>782</w:t>
      </w:r>
      <w:r w:rsidR="00862040" w:rsidRPr="006B7453">
        <w:t> </w:t>
      </w:r>
      <w:r w:rsidRPr="006B7453">
        <w:t>600 be dedicated to the Business Continuity Fund and only used to offset meetings in Geneva.</w:t>
      </w:r>
    </w:p>
    <w:p w14:paraId="278E8D60" w14:textId="03CD58AC" w:rsidR="009142C6" w:rsidRPr="006B7453" w:rsidRDefault="009142C6" w:rsidP="00862040">
      <w:pPr>
        <w:pBdr>
          <w:top w:val="single" w:sz="4" w:space="1" w:color="auto"/>
          <w:left w:val="single" w:sz="4" w:space="4" w:color="auto"/>
          <w:bottom w:val="single" w:sz="4" w:space="1" w:color="auto"/>
          <w:right w:val="single" w:sz="4" w:space="4" w:color="auto"/>
        </w:pBdr>
        <w:jc w:val="both"/>
      </w:pPr>
      <w:r w:rsidRPr="006B7453">
        <w:t>7.9</w:t>
      </w:r>
      <w:r w:rsidRPr="006B7453">
        <w:tab/>
        <w:t xml:space="preserve">The CWG-FHR also </w:t>
      </w:r>
      <w:r w:rsidRPr="006B7453">
        <w:rPr>
          <w:b/>
          <w:bCs/>
        </w:rPr>
        <w:t>recommended</w:t>
      </w:r>
      <w:r w:rsidRPr="006B7453">
        <w:t xml:space="preserve"> the </w:t>
      </w:r>
      <w:r w:rsidR="001D73DE" w:rsidRPr="006B7453">
        <w:t>s</w:t>
      </w:r>
      <w:r w:rsidR="007E5CA9" w:rsidRPr="006B7453">
        <w:t>ecretariat</w:t>
      </w:r>
      <w:r w:rsidRPr="006B7453">
        <w:t xml:space="preserve"> update the business continuity report ahead of Council 2026 based on delegates’ feedback and questions.</w:t>
      </w:r>
    </w:p>
    <w:p w14:paraId="7AB3906C" w14:textId="4B166020" w:rsidR="009142C6" w:rsidRPr="006B7453" w:rsidRDefault="009142C6" w:rsidP="00862040">
      <w:pPr>
        <w:pStyle w:val="Heading1"/>
      </w:pPr>
      <w:r w:rsidRPr="006B7453">
        <w:t>8</w:t>
      </w:r>
      <w:r w:rsidRPr="006B7453">
        <w:tab/>
        <w:t xml:space="preserve">Bidding and selection process for hosting ITU conferences </w:t>
      </w:r>
      <w:r w:rsidR="00862040" w:rsidRPr="006B7453">
        <w:br/>
      </w:r>
      <w:r w:rsidRPr="006B7453">
        <w:t xml:space="preserve">(Documents </w:t>
      </w:r>
      <w:hyperlink r:id="rId47" w:history="1">
        <w:r w:rsidRPr="006B7453">
          <w:rPr>
            <w:rStyle w:val="Hyperlink"/>
          </w:rPr>
          <w:t>CWG-FHR-21/7</w:t>
        </w:r>
      </w:hyperlink>
      <w:r w:rsidRPr="006B7453">
        <w:t xml:space="preserve"> and </w:t>
      </w:r>
      <w:hyperlink r:id="rId48" w:history="1">
        <w:r w:rsidRPr="006B7453">
          <w:rPr>
            <w:rStyle w:val="Hyperlink"/>
          </w:rPr>
          <w:t>CWG-FHR-22/9</w:t>
        </w:r>
      </w:hyperlink>
      <w:r w:rsidRPr="006B7453">
        <w:t>)</w:t>
      </w:r>
    </w:p>
    <w:p w14:paraId="55B87C37" w14:textId="769E0150" w:rsidR="009142C6" w:rsidRPr="006B7453" w:rsidRDefault="009142C6" w:rsidP="00862040">
      <w:pPr>
        <w:jc w:val="both"/>
      </w:pPr>
      <w:r w:rsidRPr="006B7453">
        <w:t>8.1</w:t>
      </w:r>
      <w:r w:rsidRPr="006B7453">
        <w:tab/>
        <w:t xml:space="preserve">Council 2025 requested the </w:t>
      </w:r>
      <w:r w:rsidR="001D73DE" w:rsidRPr="006B7453">
        <w:t>s</w:t>
      </w:r>
      <w:r w:rsidR="007E5CA9" w:rsidRPr="006B7453">
        <w:t>ecretariat</w:t>
      </w:r>
      <w:r w:rsidRPr="006B7453">
        <w:t xml:space="preserve"> develop a formal, transparent and collaborative bidding process for hosting future ITU conferences.</w:t>
      </w:r>
      <w:r w:rsidR="00FC2633" w:rsidRPr="006B7453">
        <w:t xml:space="preserve"> </w:t>
      </w:r>
      <w:r w:rsidRPr="006B7453">
        <w:t xml:space="preserve">In response, the </w:t>
      </w:r>
      <w:r w:rsidR="001D73DE" w:rsidRPr="006B7453">
        <w:t>s</w:t>
      </w:r>
      <w:r w:rsidR="007E5CA9" w:rsidRPr="006B7453">
        <w:t>ecretariat</w:t>
      </w:r>
      <w:r w:rsidRPr="006B7453">
        <w:t xml:space="preserve"> presented a document outlining the current practice for selecting dates and host countries for statutory </w:t>
      </w:r>
      <w:r w:rsidRPr="006B7453">
        <w:lastRenderedPageBreak/>
        <w:t>conferences and assemblies held outside ITU Headquarters in Geneva, noting there is currently no codified formal process for selecting a host from multiple candidatures.</w:t>
      </w:r>
      <w:r w:rsidR="00FC2633" w:rsidRPr="006B7453">
        <w:t xml:space="preserve"> </w:t>
      </w:r>
      <w:r w:rsidRPr="006B7453">
        <w:t xml:space="preserve">The report also provided results from an initial benchmarking exercise aimed at understanding practices in the selection of Member State hosts for conferences within the wider UN System. </w:t>
      </w:r>
    </w:p>
    <w:p w14:paraId="18828284" w14:textId="4E952D3F" w:rsidR="009142C6" w:rsidRPr="006B7453" w:rsidRDefault="009142C6" w:rsidP="00862040">
      <w:pPr>
        <w:pStyle w:val="Headingb"/>
      </w:pPr>
      <w:r w:rsidRPr="006B7453">
        <w:t xml:space="preserve">Contribution by India – Bidding process for hosting ITU conferences </w:t>
      </w:r>
      <w:r w:rsidR="00862040" w:rsidRPr="006B7453">
        <w:br/>
      </w:r>
      <w:r w:rsidRPr="006B7453">
        <w:t xml:space="preserve">(Document </w:t>
      </w:r>
      <w:hyperlink r:id="rId49" w:history="1">
        <w:r w:rsidRPr="006B7453">
          <w:rPr>
            <w:rStyle w:val="Hyperlink"/>
          </w:rPr>
          <w:t>CWG-FHR-21/15</w:t>
        </w:r>
      </w:hyperlink>
      <w:r w:rsidRPr="006B7453">
        <w:t>)</w:t>
      </w:r>
    </w:p>
    <w:p w14:paraId="61D5C011" w14:textId="37B83EAE" w:rsidR="009142C6" w:rsidRPr="006B7453" w:rsidRDefault="009142C6" w:rsidP="00762C6D">
      <w:pPr>
        <w:jc w:val="both"/>
      </w:pPr>
      <w:r w:rsidRPr="006B7453">
        <w:t>8.2</w:t>
      </w:r>
      <w:r w:rsidRPr="006B7453">
        <w:tab/>
        <w:t>India’s contribution proposed several benchmarks for candidature including the availability of venue, infrastructure, accommodation capacity, connectivity/internet, and information and communication technology (ICT) readiness.</w:t>
      </w:r>
      <w:r w:rsidR="00FC2633" w:rsidRPr="006B7453">
        <w:t xml:space="preserve"> </w:t>
      </w:r>
      <w:r w:rsidRPr="006B7453">
        <w:t xml:space="preserve">Their proposal also stressed that if the Council receives multiple qualified bids, the first-come-first-qualified principle may be applied, and that in accordance with Article 1 of the Convention, the conference date and location be determined at least five years in advance. </w:t>
      </w:r>
    </w:p>
    <w:p w14:paraId="1BB2F2B8" w14:textId="77777777" w:rsidR="009142C6" w:rsidRPr="006B7453" w:rsidRDefault="009142C6" w:rsidP="00862040">
      <w:pPr>
        <w:pStyle w:val="Headingb"/>
      </w:pPr>
      <w:r w:rsidRPr="006B7453">
        <w:t xml:space="preserve">Contribution by the People’s Republic of China – Recommendations on improving bidding for hosting future ITU conferences and assemblies (Document </w:t>
      </w:r>
      <w:hyperlink r:id="rId50" w:history="1">
        <w:r w:rsidRPr="006B7453">
          <w:rPr>
            <w:rStyle w:val="Hyperlink"/>
          </w:rPr>
          <w:t>CWG-FHR-21/17</w:t>
        </w:r>
      </w:hyperlink>
      <w:r w:rsidRPr="006B7453">
        <w:t>)</w:t>
      </w:r>
    </w:p>
    <w:p w14:paraId="3B16338B" w14:textId="38E2FCD8" w:rsidR="009142C6" w:rsidRPr="006B7453" w:rsidRDefault="009142C6" w:rsidP="00762C6D">
      <w:pPr>
        <w:jc w:val="both"/>
      </w:pPr>
      <w:r w:rsidRPr="006B7453">
        <w:t>8.3</w:t>
      </w:r>
      <w:r w:rsidRPr="006B7453">
        <w:tab/>
        <w:t>The People’s Republic of China contribution proposed six areas for improvement of the ITU’s current working methods to select a host country: 1) improving standardization and transparency, 2) specified deadlines for submission of invitations, 3) invitations to host be submitted in written format, 4) notification to all Member States when a bid is selected, 5)</w:t>
      </w:r>
      <w:r w:rsidR="00762C6D" w:rsidRPr="006B7453">
        <w:t> </w:t>
      </w:r>
      <w:r w:rsidRPr="006B7453">
        <w:t xml:space="preserve">established minimum requirements for hosting, and 6) execute site visits before formally reviewing invitations for hosting. </w:t>
      </w:r>
    </w:p>
    <w:p w14:paraId="48EED08E" w14:textId="77777777" w:rsidR="009142C6" w:rsidRPr="006B7453" w:rsidRDefault="009142C6" w:rsidP="00762C6D">
      <w:pPr>
        <w:pStyle w:val="Headingb"/>
      </w:pPr>
      <w:r w:rsidRPr="006B7453">
        <w:t xml:space="preserve">Contribution by the United States of America – Considerations for the development of formal processes and procedures for bidding to host ITU conferences &amp; assemblies (Document </w:t>
      </w:r>
      <w:hyperlink r:id="rId51" w:history="1">
        <w:r w:rsidRPr="006B7453">
          <w:rPr>
            <w:rStyle w:val="Hyperlink"/>
          </w:rPr>
          <w:t>CWG-FHR-21/23</w:t>
        </w:r>
      </w:hyperlink>
      <w:r w:rsidRPr="006B7453">
        <w:t xml:space="preserve">) </w:t>
      </w:r>
    </w:p>
    <w:p w14:paraId="0CC3B5ED" w14:textId="77777777" w:rsidR="009142C6" w:rsidRPr="006B7453" w:rsidRDefault="009142C6" w:rsidP="00762C6D">
      <w:pPr>
        <w:jc w:val="both"/>
        <w:rPr>
          <w:b/>
        </w:rPr>
      </w:pPr>
      <w:r w:rsidRPr="006B7453">
        <w:t>8.4</w:t>
      </w:r>
      <w:r w:rsidRPr="006B7453">
        <w:tab/>
        <w:t>The United States’ contribution proposed the ITU develop a bidding process for hosting ITU conferences and assemblies via a request for proposals that covers key elements such as deliverables and specifications, payment terms, and financial obligations. Further, their contribution proposes the establishment of a correspondence group to help finalize the new bidding process by the next session of Council in April 2026.</w:t>
      </w:r>
    </w:p>
    <w:p w14:paraId="4B26EC82" w14:textId="549E5F3C" w:rsidR="009142C6" w:rsidRPr="006B7453" w:rsidRDefault="009142C6" w:rsidP="00762C6D">
      <w:pPr>
        <w:jc w:val="both"/>
      </w:pPr>
      <w:r w:rsidRPr="006B7453">
        <w:t>8.5</w:t>
      </w:r>
      <w:r w:rsidRPr="006B7453">
        <w:tab/>
        <w:t>Delegates at the 21</w:t>
      </w:r>
      <w:r w:rsidRPr="006B7453">
        <w:rPr>
          <w:vertAlign w:val="superscript"/>
        </w:rPr>
        <w:t>st</w:t>
      </w:r>
      <w:r w:rsidRPr="006B7453">
        <w:t xml:space="preserve"> meeting were split between the three proposals.</w:t>
      </w:r>
      <w:r w:rsidR="00FC2633" w:rsidRPr="006B7453">
        <w:t xml:space="preserve"> </w:t>
      </w:r>
      <w:r w:rsidRPr="006B7453">
        <w:t>Some preferred China’s approach of improving bidding process through existing mechanisms within the ITU and cited concerns of excessively formalizing the process or discouraging developing countries from applying to host.</w:t>
      </w:r>
      <w:r w:rsidR="00FC2633" w:rsidRPr="006B7453">
        <w:t xml:space="preserve"> </w:t>
      </w:r>
      <w:r w:rsidRPr="006B7453">
        <w:t>Others favoured India and the United States’ proposals to have a more codified framework with a clear set of criteria.</w:t>
      </w:r>
      <w:r w:rsidR="00FC2633" w:rsidRPr="006B7453">
        <w:t xml:space="preserve"> </w:t>
      </w:r>
      <w:r w:rsidRPr="006B7453">
        <w:t>There was also a split between delegates about whether a correspondence group should be established.</w:t>
      </w:r>
      <w:r w:rsidR="00FC2633" w:rsidRPr="006B7453">
        <w:t xml:space="preserve"> </w:t>
      </w:r>
      <w:r w:rsidRPr="006B7453">
        <w:t>However, all the delegates agreed that there is a need for better standardization and transparency as well as a clear timeline in the bidding process.</w:t>
      </w:r>
    </w:p>
    <w:p w14:paraId="2F4C25E6" w14:textId="2C714352" w:rsidR="009142C6" w:rsidRPr="006B7453" w:rsidRDefault="009142C6" w:rsidP="00762C6D">
      <w:pPr>
        <w:jc w:val="both"/>
      </w:pPr>
      <w:r w:rsidRPr="006B7453">
        <w:t>8.6</w:t>
      </w:r>
      <w:r w:rsidRPr="006B7453">
        <w:tab/>
        <w:t xml:space="preserve">Recognizing the lack of consensus, the Chair requested the </w:t>
      </w:r>
      <w:r w:rsidR="001D73DE" w:rsidRPr="006B7453">
        <w:t>s</w:t>
      </w:r>
      <w:r w:rsidR="007E5CA9" w:rsidRPr="006B7453">
        <w:t>ecretariat</w:t>
      </w:r>
      <w:r w:rsidRPr="006B7453">
        <w:t xml:space="preserve"> revise their initial analysis considering the discussion and proposals for the meeting as well as hold an information session.</w:t>
      </w:r>
      <w:r w:rsidR="00FC2633" w:rsidRPr="006B7453">
        <w:t xml:space="preserve"> </w:t>
      </w:r>
      <w:r w:rsidRPr="006B7453">
        <w:t xml:space="preserve">That information session was held virtually on 30 October 2025 and introduced the ITU’s new Host Country Web Portal to delegates. </w:t>
      </w:r>
    </w:p>
    <w:p w14:paraId="1756A6E6" w14:textId="2EC36553" w:rsidR="009142C6" w:rsidRPr="006B7453" w:rsidRDefault="009142C6" w:rsidP="00762C6D">
      <w:pPr>
        <w:jc w:val="both"/>
      </w:pPr>
      <w:r w:rsidRPr="006B7453">
        <w:t>8.7</w:t>
      </w:r>
      <w:r w:rsidRPr="006B7453">
        <w:tab/>
        <w:t>At the 22</w:t>
      </w:r>
      <w:r w:rsidRPr="006B7453">
        <w:rPr>
          <w:vertAlign w:val="superscript"/>
        </w:rPr>
        <w:t>nd</w:t>
      </w:r>
      <w:r w:rsidRPr="006B7453">
        <w:t xml:space="preserve"> meeting, the </w:t>
      </w:r>
      <w:r w:rsidR="001D73DE" w:rsidRPr="006B7453">
        <w:t>s</w:t>
      </w:r>
      <w:r w:rsidR="007E5CA9" w:rsidRPr="006B7453">
        <w:t>ecretariat</w:t>
      </w:r>
      <w:r w:rsidRPr="006B7453">
        <w:t xml:space="preserve"> presented a proposed process for the selection of host countries for ITU conferences and assemblies and provided an update on modifications to the Host Country Web Portal based on discussions during the information session. </w:t>
      </w:r>
    </w:p>
    <w:p w14:paraId="724D7DD3" w14:textId="119F88B2" w:rsidR="009142C6" w:rsidRPr="006B7453" w:rsidRDefault="009142C6" w:rsidP="00762C6D">
      <w:pPr>
        <w:jc w:val="both"/>
      </w:pPr>
      <w:r w:rsidRPr="006B7453">
        <w:lastRenderedPageBreak/>
        <w:t>8.8</w:t>
      </w:r>
      <w:r w:rsidRPr="006B7453">
        <w:tab/>
        <w:t xml:space="preserve">While delegates applauded the </w:t>
      </w:r>
      <w:r w:rsidR="001D73DE" w:rsidRPr="006B7453">
        <w:t>s</w:t>
      </w:r>
      <w:r w:rsidR="007E5CA9" w:rsidRPr="006B7453">
        <w:t>ecretariat</w:t>
      </w:r>
      <w:r w:rsidRPr="006B7453">
        <w:t xml:space="preserve">’s Web Portal, appreciating how it improves transparency, they also noted the </w:t>
      </w:r>
      <w:r w:rsidR="001D73DE" w:rsidRPr="006B7453">
        <w:t>s</w:t>
      </w:r>
      <w:r w:rsidR="007E5CA9" w:rsidRPr="006B7453">
        <w:t>ecretariat</w:t>
      </w:r>
      <w:r w:rsidRPr="006B7453">
        <w:t>’s proposed process does not meet the intent of Council 2025</w:t>
      </w:r>
      <w:r w:rsidR="00351B07">
        <w:t>'</w:t>
      </w:r>
      <w:r w:rsidRPr="006B7453">
        <w:t>s request for a selection process among multiple candidatures.</w:t>
      </w:r>
      <w:r w:rsidR="00FC2633" w:rsidRPr="006B7453">
        <w:t xml:space="preserve"> </w:t>
      </w:r>
      <w:r w:rsidRPr="006B7453">
        <w:t xml:space="preserve">As a result, several delegates requested the </w:t>
      </w:r>
      <w:r w:rsidR="001D73DE" w:rsidRPr="006B7453">
        <w:t>s</w:t>
      </w:r>
      <w:r w:rsidR="007E5CA9" w:rsidRPr="006B7453">
        <w:t>ecretariat</w:t>
      </w:r>
      <w:r w:rsidRPr="006B7453">
        <w:t xml:space="preserve"> revise their proposed process to include a timeline or solicitation window for host country bids, cost information, and a mechanism for feedback for Member States that are unsuccessful in their bid. </w:t>
      </w:r>
    </w:p>
    <w:p w14:paraId="21E0F14E" w14:textId="77777777" w:rsidR="009142C6" w:rsidRPr="006B7453" w:rsidRDefault="009142C6" w:rsidP="00762C6D">
      <w:pPr>
        <w:jc w:val="both"/>
        <w:rPr>
          <w:b/>
        </w:rPr>
      </w:pPr>
      <w:r w:rsidRPr="006B7453">
        <w:t>8.9</w:t>
      </w:r>
      <w:r w:rsidRPr="006B7453">
        <w:tab/>
        <w:t>India reaffirmed its support</w:t>
      </w:r>
      <w:r w:rsidRPr="006B7453">
        <w:rPr>
          <w:bCs/>
        </w:rPr>
        <w:t xml:space="preserve"> to continue discussing these issues and thanked CWG-FHR for noting India’s proposal to host the 2030 Plenipotentiary Conference.</w:t>
      </w:r>
    </w:p>
    <w:p w14:paraId="4D95F54F" w14:textId="328A9D03" w:rsidR="009142C6" w:rsidRPr="006B7453" w:rsidRDefault="009142C6" w:rsidP="00762C6D">
      <w:pPr>
        <w:pBdr>
          <w:top w:val="single" w:sz="4" w:space="1" w:color="auto"/>
          <w:left w:val="single" w:sz="4" w:space="4" w:color="auto"/>
          <w:bottom w:val="single" w:sz="4" w:space="1" w:color="auto"/>
          <w:right w:val="single" w:sz="4" w:space="4" w:color="auto"/>
        </w:pBdr>
        <w:jc w:val="both"/>
      </w:pPr>
      <w:r w:rsidRPr="006B7453">
        <w:t>8.10</w:t>
      </w:r>
      <w:r w:rsidRPr="006B7453">
        <w:tab/>
        <w:t xml:space="preserve">The CWG-FHR </w:t>
      </w:r>
      <w:r w:rsidRPr="006B7453">
        <w:rPr>
          <w:b/>
        </w:rPr>
        <w:t>recommended</w:t>
      </w:r>
      <w:r w:rsidRPr="006B7453">
        <w:t xml:space="preserve"> the </w:t>
      </w:r>
      <w:r w:rsidR="001D73DE" w:rsidRPr="006B7453">
        <w:t>s</w:t>
      </w:r>
      <w:r w:rsidR="007E5CA9" w:rsidRPr="006B7453">
        <w:t>ecretariat</w:t>
      </w:r>
      <w:r w:rsidRPr="006B7453">
        <w:t xml:space="preserve"> review the transcripts, meeting reports, and contributions from Council 2025 and the September 2025 and January 2026 CWG-FHR meetings and present a document to Council 2026 that has a selection process that includes a timeline and generic costs.</w:t>
      </w:r>
    </w:p>
    <w:p w14:paraId="0CF0A57A" w14:textId="5E2C5563" w:rsidR="009142C6" w:rsidRPr="006B7453" w:rsidRDefault="009142C6" w:rsidP="009142C6">
      <w:pPr>
        <w:pBdr>
          <w:top w:val="single" w:sz="4" w:space="1" w:color="auto"/>
          <w:left w:val="single" w:sz="4" w:space="4" w:color="auto"/>
          <w:bottom w:val="single" w:sz="4" w:space="1" w:color="auto"/>
          <w:right w:val="single" w:sz="4" w:space="4" w:color="auto"/>
        </w:pBdr>
      </w:pPr>
      <w:r w:rsidRPr="006B7453">
        <w:t>8.11</w:t>
      </w:r>
      <w:r w:rsidRPr="006B7453">
        <w:tab/>
        <w:t xml:space="preserve">The CWG-FHR </w:t>
      </w:r>
      <w:r w:rsidRPr="006B7453">
        <w:rPr>
          <w:b/>
        </w:rPr>
        <w:t>invites</w:t>
      </w:r>
      <w:r w:rsidRPr="006B7453">
        <w:t xml:space="preserve"> Council to note India’s proposal to host Plenipotentiary 2030.</w:t>
      </w:r>
      <w:r w:rsidR="00FC2633" w:rsidRPr="006B7453">
        <w:t xml:space="preserve"> </w:t>
      </w:r>
    </w:p>
    <w:p w14:paraId="7F903BD3" w14:textId="574768B2" w:rsidR="009142C6" w:rsidRPr="006B7453" w:rsidRDefault="009142C6" w:rsidP="00762C6D">
      <w:pPr>
        <w:pStyle w:val="Heading1"/>
      </w:pPr>
      <w:r w:rsidRPr="006B7453">
        <w:t>9</w:t>
      </w:r>
      <w:r w:rsidRPr="006B7453">
        <w:tab/>
        <w:t xml:space="preserve">Reducing financial burdens on host countries </w:t>
      </w:r>
      <w:r w:rsidR="00762C6D" w:rsidRPr="006B7453">
        <w:br/>
      </w:r>
      <w:r w:rsidRPr="006B7453">
        <w:t xml:space="preserve">(Documents </w:t>
      </w:r>
      <w:hyperlink r:id="rId52" w:history="1">
        <w:r w:rsidRPr="006B7453">
          <w:rPr>
            <w:rStyle w:val="Hyperlink"/>
          </w:rPr>
          <w:t>CWG-FHR-21/8</w:t>
        </w:r>
      </w:hyperlink>
      <w:r w:rsidRPr="006B7453">
        <w:t xml:space="preserve"> and </w:t>
      </w:r>
      <w:hyperlink r:id="rId53" w:history="1">
        <w:r w:rsidRPr="006B7453">
          <w:rPr>
            <w:rStyle w:val="Hyperlink"/>
          </w:rPr>
          <w:t>CWG-FHR-22/19</w:t>
        </w:r>
      </w:hyperlink>
      <w:r w:rsidRPr="006B7453">
        <w:t>)</w:t>
      </w:r>
    </w:p>
    <w:p w14:paraId="5B5412A6" w14:textId="4E3667FE" w:rsidR="009142C6" w:rsidRPr="006B7453" w:rsidRDefault="009142C6" w:rsidP="00762C6D">
      <w:pPr>
        <w:jc w:val="both"/>
      </w:pPr>
      <w:r w:rsidRPr="006B7453">
        <w:t>9.1</w:t>
      </w:r>
      <w:r w:rsidRPr="006B7453">
        <w:tab/>
        <w:t>At the 21</w:t>
      </w:r>
      <w:r w:rsidRPr="006B7453">
        <w:rPr>
          <w:vertAlign w:val="superscript"/>
        </w:rPr>
        <w:t>st</w:t>
      </w:r>
      <w:r w:rsidRPr="006B7453">
        <w:t xml:space="preserve"> meeting, the </w:t>
      </w:r>
      <w:r w:rsidR="001D73DE" w:rsidRPr="006B7453">
        <w:t>s</w:t>
      </w:r>
      <w:r w:rsidR="007E5CA9" w:rsidRPr="006B7453">
        <w:t>ecretariat</w:t>
      </w:r>
      <w:r w:rsidRPr="006B7453">
        <w:t xml:space="preserve"> offered their assessment of the </w:t>
      </w:r>
      <w:r w:rsidRPr="006B7453">
        <w:rPr>
          <w:rFonts w:eastAsia="Aptos"/>
        </w:rPr>
        <w:t xml:space="preserve">feasibility of three proposals to reduce costs to ITU host countries and facilitate broader participation which were first presented to the Council in June 2025 in multi-country contribution Document </w:t>
      </w:r>
      <w:hyperlink r:id="rId54" w:history="1">
        <w:r w:rsidRPr="006B7453">
          <w:rPr>
            <w:rFonts w:eastAsia="Aptos"/>
            <w:color w:val="0070C0"/>
            <w:u w:val="single"/>
          </w:rPr>
          <w:t>C25/95</w:t>
        </w:r>
      </w:hyperlink>
      <w:r w:rsidRPr="006B7453">
        <w:rPr>
          <w:rFonts w:eastAsia="Aptos"/>
        </w:rPr>
        <w:t>.</w:t>
      </w:r>
      <w:r w:rsidR="00FC2633" w:rsidRPr="006B7453">
        <w:rPr>
          <w:rFonts w:eastAsia="Aptos"/>
        </w:rPr>
        <w:t xml:space="preserve"> </w:t>
      </w:r>
      <w:r w:rsidRPr="006B7453">
        <w:rPr>
          <w:rFonts w:eastAsia="Aptos"/>
        </w:rPr>
        <w:t>The proposals included: 1) utilizing local and/or national interpretation resources; 2) local provision of IT equipment and devices; and 3) transition to digitalized registration and accreditation conference processes.</w:t>
      </w:r>
    </w:p>
    <w:p w14:paraId="435C5407" w14:textId="07208DB8" w:rsidR="009142C6" w:rsidRPr="006B7453" w:rsidRDefault="009142C6" w:rsidP="00762C6D">
      <w:pPr>
        <w:jc w:val="both"/>
      </w:pPr>
      <w:r w:rsidRPr="006B7453">
        <w:t>9.2</w:t>
      </w:r>
      <w:r w:rsidRPr="006B7453">
        <w:tab/>
        <w:t>Delegates widely supported these cost-saving measures, emphasizing that they would open opportunities for more countries, particularly developing countries, to host ITU events.</w:t>
      </w:r>
      <w:r w:rsidR="00FC2633" w:rsidRPr="006B7453">
        <w:t xml:space="preserve"> </w:t>
      </w:r>
      <w:r w:rsidRPr="006B7453">
        <w:t>Delegates raised questions about the specific financial savings and the technical criteria for local procurement.</w:t>
      </w:r>
      <w:r w:rsidR="00FC2633" w:rsidRPr="006B7453">
        <w:t xml:space="preserve"> </w:t>
      </w:r>
      <w:r w:rsidRPr="006B7453">
        <w:t>There was strong encouragement for the ITU to collaborate with academic institutions to expand the pool of qualified interpreters, with delegates stressing that the quality of interpretation must remain a priority.</w:t>
      </w:r>
      <w:r w:rsidR="00FC2633" w:rsidRPr="006B7453">
        <w:t xml:space="preserve"> </w:t>
      </w:r>
      <w:r w:rsidRPr="006B7453">
        <w:t xml:space="preserve">In response, the </w:t>
      </w:r>
      <w:r w:rsidR="001D73DE" w:rsidRPr="006B7453">
        <w:t>s</w:t>
      </w:r>
      <w:r w:rsidR="007E5CA9" w:rsidRPr="006B7453">
        <w:t>ecretariat</w:t>
      </w:r>
      <w:r w:rsidRPr="006B7453">
        <w:t xml:space="preserve"> reaffirmed its commitment to quality interpretation and promised to provide more detailed information on digitalization, security, and technical guidelines at the next meeting.</w:t>
      </w:r>
      <w:r w:rsidR="00FC2633" w:rsidRPr="006B7453">
        <w:t xml:space="preserve"> </w:t>
      </w:r>
      <w:r w:rsidRPr="006B7453">
        <w:t xml:space="preserve">In preparation for the January 2026 CWG-FHR meeting, the Chair instructed the </w:t>
      </w:r>
      <w:r w:rsidR="001D73DE" w:rsidRPr="006B7453">
        <w:t>s</w:t>
      </w:r>
      <w:r w:rsidR="007E5CA9" w:rsidRPr="006B7453">
        <w:t>ecretariat</w:t>
      </w:r>
      <w:r w:rsidRPr="006B7453">
        <w:t xml:space="preserve"> to review the model Host Country Agreement based on this discussion and Romania’s contribution to Council 2023.</w:t>
      </w:r>
    </w:p>
    <w:p w14:paraId="481075B2" w14:textId="38CC1AFE" w:rsidR="009142C6" w:rsidRPr="00EE65F5" w:rsidRDefault="009142C6" w:rsidP="00762C6D">
      <w:pPr>
        <w:jc w:val="both"/>
        <w:rPr>
          <w:spacing w:val="-2"/>
        </w:rPr>
      </w:pPr>
      <w:r w:rsidRPr="00EE65F5">
        <w:rPr>
          <w:spacing w:val="-2"/>
        </w:rPr>
        <w:t>9.3</w:t>
      </w:r>
      <w:r w:rsidRPr="00EE65F5">
        <w:rPr>
          <w:spacing w:val="-2"/>
        </w:rPr>
        <w:tab/>
        <w:t>At the 22</w:t>
      </w:r>
      <w:r w:rsidRPr="00EE65F5">
        <w:rPr>
          <w:spacing w:val="-2"/>
          <w:vertAlign w:val="superscript"/>
        </w:rPr>
        <w:t>nd</w:t>
      </w:r>
      <w:r w:rsidRPr="00EE65F5">
        <w:rPr>
          <w:spacing w:val="-2"/>
        </w:rPr>
        <w:t xml:space="preserve"> meeting, the </w:t>
      </w:r>
      <w:r w:rsidR="001D73DE" w:rsidRPr="00EE65F5">
        <w:rPr>
          <w:spacing w:val="-2"/>
        </w:rPr>
        <w:t>s</w:t>
      </w:r>
      <w:r w:rsidR="007E5CA9" w:rsidRPr="00EE65F5">
        <w:rPr>
          <w:spacing w:val="-2"/>
        </w:rPr>
        <w:t>ecretariat</w:t>
      </w:r>
      <w:r w:rsidRPr="00EE65F5">
        <w:rPr>
          <w:spacing w:val="-2"/>
        </w:rPr>
        <w:t xml:space="preserve"> presented Document </w:t>
      </w:r>
      <w:hyperlink r:id="rId55" w:history="1">
        <w:r w:rsidRPr="00EE65F5">
          <w:rPr>
            <w:rStyle w:val="Hyperlink"/>
            <w:spacing w:val="-2"/>
          </w:rPr>
          <w:t>CWG-FHR-22/19</w:t>
        </w:r>
      </w:hyperlink>
      <w:r w:rsidRPr="00EE65F5">
        <w:rPr>
          <w:spacing w:val="-2"/>
        </w:rPr>
        <w:t xml:space="preserve"> to provide additional updates on the cost reduction proposals for ITU host countries.</w:t>
      </w:r>
      <w:r w:rsidR="00FC2633" w:rsidRPr="00EE65F5">
        <w:rPr>
          <w:spacing w:val="-2"/>
        </w:rPr>
        <w:t xml:space="preserve"> </w:t>
      </w:r>
      <w:r w:rsidRPr="00EE65F5">
        <w:rPr>
          <w:spacing w:val="-2"/>
        </w:rPr>
        <w:t>A formal proposal for Member States to collaborate on the creation of a pool of local and national conference interpreters has been prepared and presented to the Council Working Group on the use of the six official languages of the Union (CWG-LANG) for consideration.</w:t>
      </w:r>
      <w:r w:rsidR="00FC2633" w:rsidRPr="00EE65F5">
        <w:rPr>
          <w:spacing w:val="-2"/>
        </w:rPr>
        <w:t xml:space="preserve"> </w:t>
      </w:r>
      <w:r w:rsidRPr="00EE65F5">
        <w:rPr>
          <w:spacing w:val="-2"/>
        </w:rPr>
        <w:t>The pool should be finalized by early 2027, but there may be some challenges finding suitably qualified interpreters in all six official languages.</w:t>
      </w:r>
      <w:r w:rsidR="00FC2633" w:rsidRPr="00EE65F5">
        <w:rPr>
          <w:spacing w:val="-2"/>
        </w:rPr>
        <w:t xml:space="preserve"> </w:t>
      </w:r>
      <w:r w:rsidRPr="00EE65F5">
        <w:rPr>
          <w:spacing w:val="-2"/>
        </w:rPr>
        <w:t>Remote simultaneous interpretation and AI-based interpretation and captioning are also being considered.</w:t>
      </w:r>
      <w:r w:rsidR="00FC2633" w:rsidRPr="00EE65F5">
        <w:rPr>
          <w:spacing w:val="-2"/>
        </w:rPr>
        <w:t xml:space="preserve"> </w:t>
      </w:r>
      <w:r w:rsidRPr="00EE65F5">
        <w:rPr>
          <w:spacing w:val="-2"/>
        </w:rPr>
        <w:t xml:space="preserve">For the local provision of IT equipment and devices, the ITU is </w:t>
      </w:r>
      <w:r w:rsidR="00BF59C9" w:rsidRPr="00EE65F5">
        <w:rPr>
          <w:spacing w:val="-2"/>
        </w:rPr>
        <w:t>analysing</w:t>
      </w:r>
      <w:r w:rsidRPr="00EE65F5">
        <w:rPr>
          <w:spacing w:val="-2"/>
        </w:rPr>
        <w:t xml:space="preserve"> the feasibility of mapping minimum technical specifications and developing a pre-qualified vendor pool in collaboration with host countries.</w:t>
      </w:r>
      <w:r w:rsidR="00FC2633" w:rsidRPr="00EE65F5">
        <w:rPr>
          <w:spacing w:val="-2"/>
        </w:rPr>
        <w:t xml:space="preserve"> </w:t>
      </w:r>
      <w:r w:rsidRPr="00EE65F5">
        <w:rPr>
          <w:spacing w:val="-2"/>
        </w:rPr>
        <w:t>The ITU also plans to start piloting hybrid support models by 2027 to reduce reliance on ITU’s private cloud infrastructure.</w:t>
      </w:r>
      <w:r w:rsidR="00FC2633" w:rsidRPr="00EE65F5">
        <w:rPr>
          <w:spacing w:val="-2"/>
        </w:rPr>
        <w:t xml:space="preserve"> </w:t>
      </w:r>
      <w:r w:rsidRPr="00EE65F5">
        <w:rPr>
          <w:spacing w:val="-2"/>
        </w:rPr>
        <w:t>Finally, the ITU is exploring transitioning to fully digital accreditation for conferences.</w:t>
      </w:r>
    </w:p>
    <w:p w14:paraId="3A800FBF" w14:textId="5B704270" w:rsidR="009142C6" w:rsidRPr="006B7453" w:rsidRDefault="009142C6" w:rsidP="00762C6D">
      <w:pPr>
        <w:jc w:val="both"/>
      </w:pPr>
      <w:r w:rsidRPr="006B7453">
        <w:lastRenderedPageBreak/>
        <w:t>9.4</w:t>
      </w:r>
      <w:r w:rsidRPr="006B7453">
        <w:tab/>
        <w:t>Delegates praised the broader proposals to reduce financial burdens on host countries though one delegate emphasized that these measures should be neutral and benefit any Member State.</w:t>
      </w:r>
      <w:r w:rsidR="00FC2633" w:rsidRPr="006B7453">
        <w:t xml:space="preserve"> </w:t>
      </w:r>
      <w:r w:rsidRPr="006B7453">
        <w:t>Delegates expressed significant caution regarding the use of AI interpretation, recommending a gradual implementation starting with smaller meetings to assess its accuracy before deploying it more widely.</w:t>
      </w:r>
      <w:r w:rsidR="00FC2633" w:rsidRPr="006B7453">
        <w:t xml:space="preserve"> </w:t>
      </w:r>
      <w:r w:rsidRPr="006B7453">
        <w:t xml:space="preserve">The </w:t>
      </w:r>
      <w:r w:rsidR="003537CB" w:rsidRPr="006B7453">
        <w:t>s</w:t>
      </w:r>
      <w:r w:rsidR="007E5CA9" w:rsidRPr="006B7453">
        <w:t>ecretariat</w:t>
      </w:r>
      <w:r w:rsidRPr="006B7453">
        <w:t xml:space="preserve"> agreed with this cautious approach, confirming that AI is not yet ready for technical or governing body meetings, but that testing will continue.</w:t>
      </w:r>
      <w:r w:rsidR="00FC2633" w:rsidRPr="006B7453">
        <w:t xml:space="preserve"> </w:t>
      </w:r>
      <w:r w:rsidRPr="006B7453">
        <w:t>Delegates also noted the importance of using interpreters that understand the highly technical aspects and terminology of the ITU’s work.</w:t>
      </w:r>
      <w:r w:rsidR="00FC2633" w:rsidRPr="006B7453">
        <w:t xml:space="preserve"> </w:t>
      </w:r>
      <w:r w:rsidRPr="006B7453">
        <w:t xml:space="preserve">The </w:t>
      </w:r>
      <w:r w:rsidR="003537CB" w:rsidRPr="006B7453">
        <w:t>s</w:t>
      </w:r>
      <w:r w:rsidR="007E5CA9" w:rsidRPr="006B7453">
        <w:t>ecretariat</w:t>
      </w:r>
      <w:r w:rsidRPr="006B7453">
        <w:t xml:space="preserve"> affirmed that the ITU would handle the training, qualification, and selection of interpreters to ensure quality.</w:t>
      </w:r>
    </w:p>
    <w:p w14:paraId="5DE8E34F" w14:textId="463328AE" w:rsidR="009142C6" w:rsidRPr="006B7453" w:rsidRDefault="009142C6" w:rsidP="00762C6D">
      <w:pPr>
        <w:pBdr>
          <w:top w:val="single" w:sz="4" w:space="1" w:color="auto"/>
          <w:left w:val="single" w:sz="4" w:space="4" w:color="auto"/>
          <w:bottom w:val="single" w:sz="4" w:space="1" w:color="auto"/>
          <w:right w:val="single" w:sz="4" w:space="4" w:color="auto"/>
        </w:pBdr>
        <w:jc w:val="both"/>
      </w:pPr>
      <w:r w:rsidRPr="006B7453">
        <w:t>9.5</w:t>
      </w:r>
      <w:r w:rsidRPr="006B7453">
        <w:tab/>
        <w:t xml:space="preserve">The CWG-FHR </w:t>
      </w:r>
      <w:r w:rsidRPr="006B7453">
        <w:rPr>
          <w:b/>
          <w:bCs/>
        </w:rPr>
        <w:t>recommended</w:t>
      </w:r>
      <w:r w:rsidRPr="006B7453">
        <w:t xml:space="preserve"> the </w:t>
      </w:r>
      <w:r w:rsidR="003537CB" w:rsidRPr="006B7453">
        <w:t>s</w:t>
      </w:r>
      <w:r w:rsidR="007E5CA9" w:rsidRPr="006B7453">
        <w:t>ecretariat</w:t>
      </w:r>
      <w:r w:rsidRPr="006B7453">
        <w:t xml:space="preserve"> provide an update to Council 2026 on the discussions within CWG-FHR pertaining to reducing financial burdens on host countries </w:t>
      </w:r>
    </w:p>
    <w:p w14:paraId="26A79F6D" w14:textId="66E84BE7" w:rsidR="009142C6" w:rsidRPr="006B7453" w:rsidRDefault="009142C6" w:rsidP="00762C6D">
      <w:pPr>
        <w:pStyle w:val="Heading1"/>
      </w:pPr>
      <w:r w:rsidRPr="006B7453">
        <w:t>10</w:t>
      </w:r>
      <w:r w:rsidRPr="006B7453">
        <w:tab/>
        <w:t xml:space="preserve">Improving human resources management </w:t>
      </w:r>
      <w:r w:rsidR="00762C6D" w:rsidRPr="006B7453">
        <w:br/>
      </w:r>
      <w:r w:rsidRPr="006B7453">
        <w:t>(Document</w:t>
      </w:r>
      <w:r w:rsidR="00762C6D" w:rsidRPr="006B7453">
        <w:t>s</w:t>
      </w:r>
      <w:r w:rsidRPr="006B7453">
        <w:t xml:space="preserve"> </w:t>
      </w:r>
      <w:hyperlink r:id="rId56" w:history="1">
        <w:r w:rsidRPr="006B7453">
          <w:rPr>
            <w:rStyle w:val="Hyperlink"/>
          </w:rPr>
          <w:t>C25/85(Rev.1)</w:t>
        </w:r>
      </w:hyperlink>
      <w:r w:rsidRPr="006B7453">
        <w:t xml:space="preserve">, </w:t>
      </w:r>
      <w:hyperlink r:id="rId57" w:history="1">
        <w:r w:rsidRPr="006B7453">
          <w:rPr>
            <w:rStyle w:val="Hyperlink"/>
          </w:rPr>
          <w:t>CWG-FHR-22/10</w:t>
        </w:r>
      </w:hyperlink>
      <w:r w:rsidRPr="006B7453">
        <w:t xml:space="preserve">, and </w:t>
      </w:r>
      <w:hyperlink r:id="rId58" w:history="1">
        <w:r w:rsidRPr="006B7453">
          <w:rPr>
            <w:rStyle w:val="Hyperlink"/>
          </w:rPr>
          <w:t>CWG-FHR-22/12</w:t>
        </w:r>
      </w:hyperlink>
      <w:r w:rsidRPr="006B7453">
        <w:t>)</w:t>
      </w:r>
    </w:p>
    <w:p w14:paraId="079BE09C" w14:textId="78305B1E" w:rsidR="009142C6" w:rsidRPr="006B7453" w:rsidRDefault="009142C6" w:rsidP="00762C6D">
      <w:pPr>
        <w:jc w:val="both"/>
      </w:pPr>
      <w:r w:rsidRPr="006B7453">
        <w:t>10.1</w:t>
      </w:r>
      <w:r w:rsidRPr="006B7453">
        <w:tab/>
        <w:t>At the 21</w:t>
      </w:r>
      <w:r w:rsidRPr="006B7453">
        <w:rPr>
          <w:vertAlign w:val="superscript"/>
        </w:rPr>
        <w:t>st</w:t>
      </w:r>
      <w:r w:rsidRPr="006B7453">
        <w:t xml:space="preserve"> meeting, a delegate from the People’s Republic of China presented </w:t>
      </w:r>
      <w:r w:rsidR="00762C6D" w:rsidRPr="006B7453">
        <w:t>Document </w:t>
      </w:r>
      <w:hyperlink r:id="rId59" w:history="1">
        <w:r w:rsidRPr="006B7453">
          <w:rPr>
            <w:rStyle w:val="Hyperlink"/>
          </w:rPr>
          <w:t>C25/85(Rev.1)</w:t>
        </w:r>
      </w:hyperlink>
      <w:r w:rsidRPr="006B7453">
        <w:t>, originally a contribution to Council 2025 addressing ITU’s human resources practices and proposing modifications to two Council resolutions.</w:t>
      </w:r>
      <w:r w:rsidR="00FC2633" w:rsidRPr="006B7453">
        <w:t xml:space="preserve"> </w:t>
      </w:r>
      <w:r w:rsidRPr="006B7453">
        <w:t>Council 2025 transferred the document to CWG-FHR for further discussion.</w:t>
      </w:r>
      <w:r w:rsidR="00FC2633" w:rsidRPr="006B7453">
        <w:t xml:space="preserve"> </w:t>
      </w:r>
      <w:r w:rsidRPr="006B7453">
        <w:t>No delegates took the floor to comment so the Chair elected to re-address the contribution at the 22</w:t>
      </w:r>
      <w:r w:rsidRPr="006B7453">
        <w:rPr>
          <w:vertAlign w:val="superscript"/>
        </w:rPr>
        <w:t>nd</w:t>
      </w:r>
      <w:r w:rsidRPr="006B7453">
        <w:t xml:space="preserve"> meeting in January following the </w:t>
      </w:r>
      <w:r w:rsidR="003537CB" w:rsidRPr="006B7453">
        <w:t>s</w:t>
      </w:r>
      <w:r w:rsidR="007E5CA9" w:rsidRPr="006B7453">
        <w:t>ecretariat</w:t>
      </w:r>
      <w:r w:rsidRPr="006B7453">
        <w:t xml:space="preserve">’s updated Human Resources report. </w:t>
      </w:r>
    </w:p>
    <w:p w14:paraId="02046325" w14:textId="20FD3F99" w:rsidR="009142C6" w:rsidRPr="00EE65F5" w:rsidRDefault="009142C6" w:rsidP="00762C6D">
      <w:pPr>
        <w:jc w:val="both"/>
        <w:rPr>
          <w:spacing w:val="-2"/>
        </w:rPr>
      </w:pPr>
      <w:r w:rsidRPr="00EE65F5">
        <w:rPr>
          <w:spacing w:val="-2"/>
        </w:rPr>
        <w:t>10.2</w:t>
      </w:r>
      <w:r w:rsidRPr="00EE65F5">
        <w:rPr>
          <w:spacing w:val="-2"/>
        </w:rPr>
        <w:tab/>
        <w:t xml:space="preserve">In January 2026, the </w:t>
      </w:r>
      <w:r w:rsidR="007E5CA9" w:rsidRPr="00EE65F5">
        <w:rPr>
          <w:spacing w:val="-2"/>
        </w:rPr>
        <w:t>Secretariat</w:t>
      </w:r>
      <w:r w:rsidRPr="00EE65F5">
        <w:rPr>
          <w:spacing w:val="-2"/>
        </w:rPr>
        <w:t xml:space="preserve"> presented their response to the recommendations contained in </w:t>
      </w:r>
      <w:r w:rsidR="00762C6D" w:rsidRPr="00EE65F5">
        <w:rPr>
          <w:spacing w:val="-2"/>
        </w:rPr>
        <w:t>Document </w:t>
      </w:r>
      <w:r w:rsidRPr="00EE65F5">
        <w:rPr>
          <w:spacing w:val="-2"/>
        </w:rPr>
        <w:t>C25/85(Rev.1).</w:t>
      </w:r>
      <w:r w:rsidR="00FC2633" w:rsidRPr="00EE65F5">
        <w:rPr>
          <w:spacing w:val="-2"/>
        </w:rPr>
        <w:t xml:space="preserve"> </w:t>
      </w:r>
      <w:r w:rsidRPr="00EE65F5">
        <w:rPr>
          <w:spacing w:val="-2"/>
        </w:rPr>
        <w:t xml:space="preserve">Document </w:t>
      </w:r>
      <w:hyperlink r:id="rId60" w:history="1">
        <w:r w:rsidRPr="00EE65F5">
          <w:rPr>
            <w:rStyle w:val="Hyperlink"/>
            <w:spacing w:val="-2"/>
          </w:rPr>
          <w:t>CWG-FHR-22/10</w:t>
        </w:r>
      </w:hyperlink>
      <w:r w:rsidRPr="00EE65F5">
        <w:rPr>
          <w:spacing w:val="-2"/>
        </w:rPr>
        <w:t xml:space="preserve"> confirmed implementation of the </w:t>
      </w:r>
      <w:r w:rsidR="003537CB" w:rsidRPr="00EE65F5">
        <w:rPr>
          <w:spacing w:val="-2"/>
        </w:rPr>
        <w:t>s</w:t>
      </w:r>
      <w:r w:rsidR="007E5CA9" w:rsidRPr="00EE65F5">
        <w:rPr>
          <w:spacing w:val="-2"/>
        </w:rPr>
        <w:t>ecretariat</w:t>
      </w:r>
      <w:r w:rsidRPr="00EE65F5">
        <w:rPr>
          <w:spacing w:val="-2"/>
        </w:rPr>
        <w:t>’s restructuring effort and reassured delegates of ongoing engagement with departmental leadership and the Coordination Committee.</w:t>
      </w:r>
      <w:r w:rsidR="00FC2633" w:rsidRPr="00EE65F5">
        <w:rPr>
          <w:spacing w:val="-2"/>
        </w:rPr>
        <w:t xml:space="preserve"> </w:t>
      </w:r>
      <w:r w:rsidRPr="00EE65F5">
        <w:rPr>
          <w:spacing w:val="-2"/>
        </w:rPr>
        <w:t xml:space="preserve">Additionally, the </w:t>
      </w:r>
      <w:r w:rsidR="003537CB" w:rsidRPr="00EE65F5">
        <w:rPr>
          <w:spacing w:val="-2"/>
        </w:rPr>
        <w:t>s</w:t>
      </w:r>
      <w:r w:rsidR="007E5CA9" w:rsidRPr="00EE65F5">
        <w:rPr>
          <w:spacing w:val="-2"/>
        </w:rPr>
        <w:t>ecretariat</w:t>
      </w:r>
      <w:r w:rsidRPr="00EE65F5">
        <w:rPr>
          <w:spacing w:val="-2"/>
        </w:rPr>
        <w:t xml:space="preserve"> confirmed any major organizational changes requiring the Council’s approval would be duly submitted for consideration.</w:t>
      </w:r>
      <w:r w:rsidR="00FC2633" w:rsidRPr="00EE65F5">
        <w:rPr>
          <w:spacing w:val="-2"/>
        </w:rPr>
        <w:t xml:space="preserve"> </w:t>
      </w:r>
      <w:r w:rsidRPr="00EE65F5">
        <w:rPr>
          <w:spacing w:val="-2"/>
        </w:rPr>
        <w:t>The Human Resources Management Department (HRMD) also confirmed all external vacancy notices under the regular budget are communicated to Member States.</w:t>
      </w:r>
      <w:r w:rsidR="00FC2633" w:rsidRPr="00EE65F5">
        <w:rPr>
          <w:spacing w:val="-2"/>
        </w:rPr>
        <w:t xml:space="preserve"> </w:t>
      </w:r>
    </w:p>
    <w:p w14:paraId="7D5C24D5" w14:textId="209EE0DB" w:rsidR="009142C6" w:rsidRPr="006B7453" w:rsidRDefault="009142C6" w:rsidP="00762C6D">
      <w:pPr>
        <w:jc w:val="both"/>
        <w:rPr>
          <w:spacing w:val="2"/>
        </w:rPr>
      </w:pPr>
      <w:r w:rsidRPr="006B7453">
        <w:rPr>
          <w:spacing w:val="2"/>
        </w:rPr>
        <w:t>10.3</w:t>
      </w:r>
      <w:r w:rsidRPr="006B7453">
        <w:rPr>
          <w:spacing w:val="2"/>
        </w:rPr>
        <w:tab/>
        <w:t xml:space="preserve">In conjunction with their response, the </w:t>
      </w:r>
      <w:r w:rsidR="003537CB" w:rsidRPr="006B7453">
        <w:rPr>
          <w:spacing w:val="2"/>
        </w:rPr>
        <w:t>s</w:t>
      </w:r>
      <w:r w:rsidR="007E5CA9" w:rsidRPr="006B7453">
        <w:rPr>
          <w:spacing w:val="2"/>
        </w:rPr>
        <w:t>ecretariat</w:t>
      </w:r>
      <w:r w:rsidRPr="006B7453">
        <w:rPr>
          <w:spacing w:val="2"/>
        </w:rPr>
        <w:t xml:space="preserve"> also presented Document</w:t>
      </w:r>
      <w:r w:rsidR="00762C6D" w:rsidRPr="006B7453">
        <w:rPr>
          <w:spacing w:val="2"/>
        </w:rPr>
        <w:t> </w:t>
      </w:r>
      <w:hyperlink r:id="rId61" w:history="1">
        <w:r w:rsidRPr="006B7453">
          <w:rPr>
            <w:rStyle w:val="Hyperlink"/>
            <w:spacing w:val="2"/>
          </w:rPr>
          <w:t>CWG</w:t>
        </w:r>
        <w:r w:rsidR="00762C6D" w:rsidRPr="006B7453">
          <w:rPr>
            <w:rStyle w:val="Hyperlink"/>
            <w:spacing w:val="2"/>
          </w:rPr>
          <w:noBreakHyphen/>
        </w:r>
        <w:r w:rsidRPr="006B7453">
          <w:rPr>
            <w:rStyle w:val="Hyperlink"/>
            <w:spacing w:val="2"/>
          </w:rPr>
          <w:t>FHR-22/12</w:t>
        </w:r>
      </w:hyperlink>
      <w:r w:rsidRPr="006B7453">
        <w:rPr>
          <w:spacing w:val="2"/>
        </w:rPr>
        <w:t xml:space="preserve"> which provided an update on the ITU’s People and Culture Initiatives in four key areas: leadership, well-being, rewards and recognition, and employee engagement.</w:t>
      </w:r>
    </w:p>
    <w:p w14:paraId="52FDE788" w14:textId="77D6CF33" w:rsidR="009142C6" w:rsidRPr="006B7453" w:rsidRDefault="009142C6" w:rsidP="00762C6D">
      <w:pPr>
        <w:jc w:val="both"/>
      </w:pPr>
      <w:r w:rsidRPr="006B7453">
        <w:t>10.4</w:t>
      </w:r>
      <w:r w:rsidRPr="006B7453">
        <w:tab/>
        <w:t xml:space="preserve">Several delegates agreed with the request for further clarification on the specific plans for restructuring the General </w:t>
      </w:r>
      <w:r w:rsidR="007E5CA9" w:rsidRPr="006B7453">
        <w:t>Secretariat</w:t>
      </w:r>
      <w:r w:rsidRPr="006B7453">
        <w:t xml:space="preserve"> be presented to Council.</w:t>
      </w:r>
      <w:r w:rsidR="00FC2633" w:rsidRPr="006B7453">
        <w:t xml:space="preserve"> </w:t>
      </w:r>
      <w:r w:rsidRPr="006B7453">
        <w:t>Additionally, a delegate asked who determines whether an organizational change is considered “major.”</w:t>
      </w:r>
      <w:r w:rsidR="00FC2633" w:rsidRPr="006B7453">
        <w:t xml:space="preserve"> </w:t>
      </w:r>
      <w:r w:rsidRPr="006B7453">
        <w:t>Delegates also requested insight in the Employee Engagement Survey results and suggested alternative mechanisms tied to campus decentralization and workforce rationalization.</w:t>
      </w:r>
      <w:r w:rsidR="00FC2633" w:rsidRPr="006B7453">
        <w:t xml:space="preserve"> </w:t>
      </w:r>
      <w:r w:rsidRPr="006B7453">
        <w:t xml:space="preserve">A delegate also asked if the Ombudsman would present an annual report to Council. </w:t>
      </w:r>
    </w:p>
    <w:p w14:paraId="71A82964" w14:textId="46FFDE96" w:rsidR="009142C6" w:rsidRPr="006B7453" w:rsidRDefault="009142C6" w:rsidP="00762C6D">
      <w:pPr>
        <w:pBdr>
          <w:top w:val="single" w:sz="4" w:space="1" w:color="auto"/>
          <w:left w:val="single" w:sz="4" w:space="4" w:color="auto"/>
          <w:bottom w:val="single" w:sz="4" w:space="1" w:color="auto"/>
          <w:right w:val="single" w:sz="4" w:space="4" w:color="auto"/>
        </w:pBdr>
        <w:jc w:val="both"/>
      </w:pPr>
      <w:r w:rsidRPr="006B7453">
        <w:t>10.5</w:t>
      </w:r>
      <w:r w:rsidRPr="006B7453">
        <w:tab/>
        <w:t xml:space="preserve">The CWG-FHR </w:t>
      </w:r>
      <w:r w:rsidRPr="006B7453">
        <w:rPr>
          <w:b/>
          <w:bCs/>
        </w:rPr>
        <w:t>recommended</w:t>
      </w:r>
      <w:r w:rsidRPr="006B7453">
        <w:t xml:space="preserve"> the </w:t>
      </w:r>
      <w:r w:rsidR="003537CB" w:rsidRPr="006B7453">
        <w:t>s</w:t>
      </w:r>
      <w:r w:rsidR="007E5CA9" w:rsidRPr="006B7453">
        <w:t>ecretariat</w:t>
      </w:r>
      <w:r w:rsidRPr="006B7453">
        <w:t xml:space="preserve"> post the results of Employee Engagement Survey as an Information Document, and to report on the plan for restructuring the General </w:t>
      </w:r>
      <w:r w:rsidR="007E5CA9" w:rsidRPr="006B7453">
        <w:t>Secretariat</w:t>
      </w:r>
      <w:r w:rsidRPr="006B7453">
        <w:t>, considering the Dahlberg recommendations.</w:t>
      </w:r>
    </w:p>
    <w:p w14:paraId="5B48CB20" w14:textId="7AEADACD" w:rsidR="009142C6" w:rsidRPr="006B7453" w:rsidRDefault="009142C6" w:rsidP="00762C6D">
      <w:pPr>
        <w:pBdr>
          <w:top w:val="single" w:sz="4" w:space="1" w:color="auto"/>
          <w:left w:val="single" w:sz="4" w:space="4" w:color="auto"/>
          <w:bottom w:val="single" w:sz="4" w:space="1" w:color="auto"/>
          <w:right w:val="single" w:sz="4" w:space="4" w:color="auto"/>
        </w:pBdr>
        <w:jc w:val="both"/>
      </w:pPr>
      <w:r w:rsidRPr="006B7453">
        <w:t>10.6</w:t>
      </w:r>
      <w:r w:rsidRPr="006B7453">
        <w:tab/>
        <w:t>The CWG-FHR</w:t>
      </w:r>
      <w:r w:rsidRPr="006B7453">
        <w:rPr>
          <w:b/>
          <w:bCs/>
        </w:rPr>
        <w:t xml:space="preserve"> invites</w:t>
      </w:r>
      <w:r w:rsidRPr="006B7453">
        <w:t xml:space="preserve"> Council to instruct the </w:t>
      </w:r>
      <w:r w:rsidR="003537CB" w:rsidRPr="006B7453">
        <w:t>s</w:t>
      </w:r>
      <w:r w:rsidR="007E5CA9" w:rsidRPr="006B7453">
        <w:t>ecretariat</w:t>
      </w:r>
      <w:r w:rsidRPr="006B7453">
        <w:t xml:space="preserve"> to prepare a report addressing what “major” organizational change criteria means for further discussion at Plenipotentiary 2026.</w:t>
      </w:r>
    </w:p>
    <w:p w14:paraId="12A576C0" w14:textId="0181EE41" w:rsidR="009142C6" w:rsidRPr="006B7453" w:rsidRDefault="009142C6" w:rsidP="00762C6D">
      <w:pPr>
        <w:pBdr>
          <w:top w:val="single" w:sz="4" w:space="1" w:color="auto"/>
          <w:left w:val="single" w:sz="4" w:space="4" w:color="auto"/>
          <w:bottom w:val="single" w:sz="4" w:space="1" w:color="auto"/>
          <w:right w:val="single" w:sz="4" w:space="4" w:color="auto"/>
        </w:pBdr>
        <w:jc w:val="both"/>
      </w:pPr>
      <w:r w:rsidRPr="006B7453">
        <w:lastRenderedPageBreak/>
        <w:t>10.7</w:t>
      </w:r>
      <w:r w:rsidRPr="006B7453">
        <w:tab/>
        <w:t xml:space="preserve">The CWG-FHR </w:t>
      </w:r>
      <w:r w:rsidRPr="006B7453">
        <w:rPr>
          <w:b/>
          <w:bCs/>
        </w:rPr>
        <w:t xml:space="preserve">invites </w:t>
      </w:r>
      <w:r w:rsidRPr="006B7453">
        <w:t xml:space="preserve">Council to request the </w:t>
      </w:r>
      <w:r w:rsidR="003537CB" w:rsidRPr="006B7453">
        <w:t>s</w:t>
      </w:r>
      <w:r w:rsidR="007E5CA9" w:rsidRPr="006B7453">
        <w:t>ecretariat</w:t>
      </w:r>
      <w:r w:rsidRPr="006B7453">
        <w:t xml:space="preserve"> prepare an impact assessment on the “People and Culture Initiatives” to better understand how it has changed the ITU staff’s level of satisfaction.</w:t>
      </w:r>
    </w:p>
    <w:p w14:paraId="77C236A0" w14:textId="77777777" w:rsidR="009142C6" w:rsidRPr="006B7453" w:rsidRDefault="009142C6" w:rsidP="00762C6D">
      <w:pPr>
        <w:pStyle w:val="Heading1"/>
      </w:pPr>
      <w:r w:rsidRPr="006B7453">
        <w:t>11</w:t>
      </w:r>
      <w:r w:rsidRPr="006B7453">
        <w:tab/>
        <w:t xml:space="preserve">ITU website and transformation process (Documents </w:t>
      </w:r>
      <w:hyperlink r:id="rId62" w:history="1">
        <w:r w:rsidRPr="006B7453">
          <w:rPr>
            <w:rStyle w:val="Hyperlink"/>
          </w:rPr>
          <w:t>CWG-FHR-21/11</w:t>
        </w:r>
      </w:hyperlink>
      <w:r w:rsidRPr="006B7453">
        <w:t xml:space="preserve">, </w:t>
      </w:r>
      <w:hyperlink r:id="rId63" w:history="1">
        <w:r w:rsidRPr="006B7453">
          <w:rPr>
            <w:rStyle w:val="Hyperlink"/>
          </w:rPr>
          <w:t>CWG-FHR-22/15</w:t>
        </w:r>
      </w:hyperlink>
      <w:r w:rsidRPr="006B7453">
        <w:t xml:space="preserve">, </w:t>
      </w:r>
      <w:hyperlink r:id="rId64" w:history="1">
        <w:r w:rsidRPr="006B7453">
          <w:rPr>
            <w:rStyle w:val="Hyperlink"/>
          </w:rPr>
          <w:t>CWG-FHR-22/17</w:t>
        </w:r>
      </w:hyperlink>
      <w:r w:rsidRPr="006B7453">
        <w:t xml:space="preserve">) </w:t>
      </w:r>
    </w:p>
    <w:p w14:paraId="70B69B79" w14:textId="04280CC3" w:rsidR="009142C6" w:rsidRPr="006B7453" w:rsidRDefault="009142C6" w:rsidP="00762C6D">
      <w:pPr>
        <w:jc w:val="both"/>
      </w:pPr>
      <w:r w:rsidRPr="006B7453">
        <w:t>11.1</w:t>
      </w:r>
      <w:r w:rsidRPr="006B7453">
        <w:tab/>
        <w:t xml:space="preserve">The </w:t>
      </w:r>
      <w:r w:rsidR="003537CB" w:rsidRPr="006B7453">
        <w:t>s</w:t>
      </w:r>
      <w:r w:rsidR="007E5CA9" w:rsidRPr="006B7453">
        <w:t>ecretariat</w:t>
      </w:r>
      <w:r w:rsidRPr="006B7453">
        <w:t xml:space="preserve"> updated delegates on the Transformation Team’s progress at the 21</w:t>
      </w:r>
      <w:r w:rsidRPr="006B7453">
        <w:rPr>
          <w:vertAlign w:val="superscript"/>
        </w:rPr>
        <w:t>st</w:t>
      </w:r>
      <w:r w:rsidRPr="006B7453">
        <w:t xml:space="preserve"> meeting, citing the content cleanup phase was advancing well with the analysis of the Telecommunication Standardization Sector (ITU-T) content having been fully completed.</w:t>
      </w:r>
      <w:r w:rsidR="00FC2633" w:rsidRPr="006B7453">
        <w:t xml:space="preserve"> </w:t>
      </w:r>
      <w:r w:rsidRPr="006B7453">
        <w:t xml:space="preserve">Additionally, the </w:t>
      </w:r>
      <w:r w:rsidR="003537CB" w:rsidRPr="006B7453">
        <w:t>s</w:t>
      </w:r>
      <w:r w:rsidR="007E5CA9" w:rsidRPr="006B7453">
        <w:t>ecretariat</w:t>
      </w:r>
      <w:r w:rsidRPr="006B7453">
        <w:t xml:space="preserve"> confirmed selection of the Information Architecture and Taxonomy vendor. </w:t>
      </w:r>
    </w:p>
    <w:p w14:paraId="28775AD5" w14:textId="77DD5D4C" w:rsidR="009142C6" w:rsidRPr="006B7453" w:rsidRDefault="009142C6" w:rsidP="00762C6D">
      <w:pPr>
        <w:jc w:val="both"/>
      </w:pPr>
      <w:r w:rsidRPr="006B7453">
        <w:t>11.2</w:t>
      </w:r>
      <w:r w:rsidRPr="006B7453">
        <w:tab/>
        <w:t xml:space="preserve">The CWG-FHR Chair thanked the </w:t>
      </w:r>
      <w:r w:rsidR="003537CB" w:rsidRPr="006B7453">
        <w:t>s</w:t>
      </w:r>
      <w:r w:rsidR="007E5CA9" w:rsidRPr="006B7453">
        <w:t>ecretariat</w:t>
      </w:r>
      <w:r w:rsidRPr="006B7453">
        <w:t xml:space="preserve"> for their update and recommended that Phase Two Request for Proposal (RFP) efforts be put on pause until the ITU’s information architecture and taxonomy have been established. </w:t>
      </w:r>
    </w:p>
    <w:p w14:paraId="05E46A2F" w14:textId="70B47A06" w:rsidR="009142C6" w:rsidRPr="006B7453" w:rsidRDefault="009142C6" w:rsidP="00762C6D">
      <w:pPr>
        <w:jc w:val="both"/>
      </w:pPr>
      <w:r w:rsidRPr="006B7453">
        <w:t>11.3</w:t>
      </w:r>
      <w:r w:rsidRPr="006B7453">
        <w:tab/>
        <w:t>Delegates raised questions pertaining to the timeline and funding of the effort, particularly how the unsuccessful tender process impacts the proposed timeline.</w:t>
      </w:r>
      <w:r w:rsidR="00FC2633" w:rsidRPr="006B7453">
        <w:t xml:space="preserve"> </w:t>
      </w:r>
      <w:r w:rsidRPr="006B7453">
        <w:t xml:space="preserve">Further, delegates informed the </w:t>
      </w:r>
      <w:r w:rsidR="003537CB" w:rsidRPr="006B7453">
        <w:t>s</w:t>
      </w:r>
      <w:r w:rsidR="007E5CA9" w:rsidRPr="006B7453">
        <w:t>ecretariat</w:t>
      </w:r>
      <w:r w:rsidRPr="006B7453">
        <w:t xml:space="preserve"> that ITU’s content repositories are not all translated across the six languages and that the ITU’s website remains challenging to navigate with search being an area to which the Transformation Team should prioritize improving.</w:t>
      </w:r>
      <w:r w:rsidR="00FC2633" w:rsidRPr="006B7453">
        <w:t xml:space="preserve"> </w:t>
      </w:r>
    </w:p>
    <w:p w14:paraId="26CA4785" w14:textId="7A923F49" w:rsidR="009142C6" w:rsidRPr="006B7453" w:rsidRDefault="009142C6" w:rsidP="00762C6D">
      <w:pPr>
        <w:jc w:val="both"/>
      </w:pPr>
      <w:r w:rsidRPr="006B7453">
        <w:t>11.4</w:t>
      </w:r>
      <w:r w:rsidRPr="006B7453">
        <w:tab/>
        <w:t>At the 22</w:t>
      </w:r>
      <w:r w:rsidRPr="006B7453">
        <w:rPr>
          <w:vertAlign w:val="superscript"/>
        </w:rPr>
        <w:t>nd</w:t>
      </w:r>
      <w:r w:rsidRPr="006B7453">
        <w:t xml:space="preserve"> meeting, the </w:t>
      </w:r>
      <w:r w:rsidR="003537CB" w:rsidRPr="006B7453">
        <w:t>s</w:t>
      </w:r>
      <w:r w:rsidR="007E5CA9" w:rsidRPr="006B7453">
        <w:t>ecretariat</w:t>
      </w:r>
      <w:r w:rsidRPr="006B7453">
        <w:t xml:space="preserve"> provided updates on both the ITU Transformation and the ITU new website project.</w:t>
      </w:r>
      <w:r w:rsidR="00FC2633" w:rsidRPr="006B7453">
        <w:t xml:space="preserve"> </w:t>
      </w:r>
      <w:r w:rsidRPr="006B7453">
        <w:t xml:space="preserve">Regarding the ITU Transformation, the </w:t>
      </w:r>
      <w:r w:rsidR="003537CB" w:rsidRPr="006B7453">
        <w:t>s</w:t>
      </w:r>
      <w:r w:rsidR="007E5CA9" w:rsidRPr="006B7453">
        <w:t>ecretariat</w:t>
      </w:r>
      <w:r w:rsidRPr="006B7453">
        <w:t xml:space="preserve"> highlighted the Transformation Dashboard, and the creation of a Transformation Task Force directed to advance priorities, monitor progress, and remove obstacles to delivering results by Council 2026 and PP-26.</w:t>
      </w:r>
      <w:r w:rsidR="00FC2633" w:rsidRPr="006B7453">
        <w:t xml:space="preserve"> </w:t>
      </w:r>
      <w:r w:rsidRPr="006B7453">
        <w:t xml:space="preserve">For the website, the </w:t>
      </w:r>
      <w:r w:rsidR="003537CB" w:rsidRPr="006B7453">
        <w:t>s</w:t>
      </w:r>
      <w:r w:rsidR="007E5CA9" w:rsidRPr="006B7453">
        <w:t>ecretariat</w:t>
      </w:r>
      <w:r w:rsidRPr="006B7453">
        <w:t xml:space="preserve"> noted the effort was on track with the minimum viable product anticipated for delivery prior to PP-26.</w:t>
      </w:r>
      <w:r w:rsidR="00FC2633" w:rsidRPr="006B7453">
        <w:t xml:space="preserve"> </w:t>
      </w:r>
      <w:r w:rsidRPr="006B7453">
        <w:t xml:space="preserve">Also, the </w:t>
      </w:r>
      <w:r w:rsidR="003537CB" w:rsidRPr="006B7453">
        <w:t>s</w:t>
      </w:r>
      <w:r w:rsidR="007E5CA9" w:rsidRPr="006B7453">
        <w:t>ecretariat</w:t>
      </w:r>
      <w:r w:rsidRPr="006B7453">
        <w:t xml:space="preserve"> noted following FHR’s 22</w:t>
      </w:r>
      <w:r w:rsidRPr="006B7453">
        <w:rPr>
          <w:vertAlign w:val="superscript"/>
        </w:rPr>
        <w:t>nd</w:t>
      </w:r>
      <w:r w:rsidRPr="006B7453">
        <w:t xml:space="preserve"> meeting that the Inter-Sectoral Coordination Group on issues of mutual interest (ISCG) website has been updated to reflect changes in format and document publication procedures. </w:t>
      </w:r>
    </w:p>
    <w:p w14:paraId="1610CC6A" w14:textId="77777777" w:rsidR="009142C6" w:rsidRPr="006B7453" w:rsidRDefault="009142C6" w:rsidP="00762C6D">
      <w:pPr>
        <w:pStyle w:val="Headingb"/>
      </w:pPr>
      <w:r w:rsidRPr="006B7453">
        <w:t xml:space="preserve">Contribution by the People’s Republic of China – Comments and recommendations on transformation (Document </w:t>
      </w:r>
      <w:hyperlink r:id="rId65" w:history="1">
        <w:r w:rsidRPr="006B7453">
          <w:rPr>
            <w:rStyle w:val="Hyperlink"/>
          </w:rPr>
          <w:t>CWG-FHR-22/30</w:t>
        </w:r>
      </w:hyperlink>
      <w:r w:rsidRPr="006B7453">
        <w:t>)</w:t>
      </w:r>
    </w:p>
    <w:p w14:paraId="1D7EC937" w14:textId="1F49C7C6" w:rsidR="009142C6" w:rsidRPr="006B7453" w:rsidRDefault="009142C6" w:rsidP="00762C6D">
      <w:pPr>
        <w:jc w:val="both"/>
      </w:pPr>
      <w:r w:rsidRPr="006B7453">
        <w:t>11.5</w:t>
      </w:r>
      <w:r w:rsidRPr="006B7453">
        <w:tab/>
        <w:t xml:space="preserve">The People’s Republic of China contribution (Document </w:t>
      </w:r>
      <w:hyperlink r:id="rId66" w:history="1">
        <w:r w:rsidRPr="006B7453">
          <w:rPr>
            <w:rStyle w:val="Hyperlink"/>
          </w:rPr>
          <w:t>CWG-FHR-22/30</w:t>
        </w:r>
      </w:hyperlink>
      <w:r w:rsidRPr="006B7453">
        <w:t>) detailed their understanding of the ITU transformation effort and provided four recommendations:</w:t>
      </w:r>
      <w:r w:rsidR="00FC2633" w:rsidRPr="006B7453">
        <w:t xml:space="preserve"> </w:t>
      </w:r>
      <w:r w:rsidRPr="006B7453">
        <w:t>1)</w:t>
      </w:r>
      <w:r w:rsidR="00762C6D" w:rsidRPr="006B7453">
        <w:t> </w:t>
      </w:r>
      <w:r w:rsidRPr="006B7453">
        <w:t xml:space="preserve">enhance predictability, 2) break down budget planning, 3) streamline the list of initiatives to identify 1-2 top priority objectives, and 4) simplify the format for reporting, placing greater emphasis on substantive progress and outstanding challenges rather than descriptive content. </w:t>
      </w:r>
    </w:p>
    <w:p w14:paraId="23F9FA21" w14:textId="51679ED6" w:rsidR="009142C6" w:rsidRPr="006B7453" w:rsidRDefault="009142C6" w:rsidP="00762C6D">
      <w:pPr>
        <w:jc w:val="both"/>
      </w:pPr>
      <w:r w:rsidRPr="006B7453">
        <w:t>11.6</w:t>
      </w:r>
      <w:r w:rsidRPr="006B7453">
        <w:tab/>
        <w:t>Delegates expressed their general support for Document CWG-FHR-22/30 but had concerns with the recommended prioritization.</w:t>
      </w:r>
      <w:r w:rsidR="00FC2633" w:rsidRPr="006B7453">
        <w:t xml:space="preserve"> </w:t>
      </w:r>
      <w:r w:rsidRPr="006B7453">
        <w:t xml:space="preserve">Delegates also welcomed additional reporting, particularly on the budget requirements in lead to Council 2026. </w:t>
      </w:r>
    </w:p>
    <w:p w14:paraId="47FD91D7" w14:textId="36BD12C9" w:rsidR="009142C6" w:rsidRPr="006B7453" w:rsidRDefault="009142C6" w:rsidP="00762C6D">
      <w:pPr>
        <w:pBdr>
          <w:top w:val="single" w:sz="4" w:space="1" w:color="auto"/>
          <w:left w:val="single" w:sz="4" w:space="4" w:color="auto"/>
          <w:bottom w:val="single" w:sz="4" w:space="1" w:color="auto"/>
          <w:right w:val="single" w:sz="4" w:space="4" w:color="auto"/>
        </w:pBdr>
        <w:jc w:val="both"/>
      </w:pPr>
      <w:r w:rsidRPr="006B7453">
        <w:t>11.7</w:t>
      </w:r>
      <w:r w:rsidRPr="006B7453">
        <w:tab/>
        <w:t xml:space="preserve">The CWG-FHR </w:t>
      </w:r>
      <w:r w:rsidRPr="006B7453">
        <w:rPr>
          <w:b/>
          <w:bCs/>
        </w:rPr>
        <w:t>recommended</w:t>
      </w:r>
      <w:r w:rsidRPr="006B7453">
        <w:t xml:space="preserve"> the </w:t>
      </w:r>
      <w:r w:rsidR="003537CB" w:rsidRPr="006B7453">
        <w:t>s</w:t>
      </w:r>
      <w:r w:rsidR="007E5CA9" w:rsidRPr="006B7453">
        <w:t>ecretariat</w:t>
      </w:r>
      <w:r w:rsidRPr="006B7453">
        <w:t xml:space="preserve"> revise the report ahead of Council 2026 considering all questions received on Documents </w:t>
      </w:r>
      <w:hyperlink r:id="rId67" w:history="1">
        <w:r w:rsidRPr="006B7453">
          <w:rPr>
            <w:rStyle w:val="Hyperlink"/>
          </w:rPr>
          <w:t>CWG-FHR-22/15</w:t>
        </w:r>
      </w:hyperlink>
      <w:r w:rsidRPr="006B7453">
        <w:t xml:space="preserve"> and </w:t>
      </w:r>
      <w:hyperlink r:id="rId68" w:history="1">
        <w:r w:rsidRPr="006B7453">
          <w:rPr>
            <w:rStyle w:val="Hyperlink"/>
          </w:rPr>
          <w:t>CWG-FHR-22/17</w:t>
        </w:r>
      </w:hyperlink>
      <w:r w:rsidRPr="006B7453">
        <w:t xml:space="preserve">. The CWG-FHR also noted general support for the points outlined in Document </w:t>
      </w:r>
      <w:hyperlink r:id="rId69" w:history="1">
        <w:r w:rsidRPr="006B7453">
          <w:rPr>
            <w:rStyle w:val="Hyperlink"/>
          </w:rPr>
          <w:t>CWG-FHR-22/30</w:t>
        </w:r>
      </w:hyperlink>
      <w:r w:rsidRPr="006B7453">
        <w:t xml:space="preserve">, except regarding prioritization. </w:t>
      </w:r>
    </w:p>
    <w:p w14:paraId="12A4CDD3" w14:textId="77777777" w:rsidR="009142C6" w:rsidRPr="006B7453" w:rsidRDefault="009142C6" w:rsidP="00762C6D">
      <w:pPr>
        <w:pStyle w:val="Heading1"/>
      </w:pPr>
      <w:r w:rsidRPr="006B7453">
        <w:lastRenderedPageBreak/>
        <w:t>12</w:t>
      </w:r>
      <w:r w:rsidRPr="006B7453">
        <w:tab/>
        <w:t xml:space="preserve">Strengthening ITU’s internal digital foundations for transformation – Strategy, enterprise architecture, ICT governance and IT operating model (Document </w:t>
      </w:r>
      <w:hyperlink r:id="rId70" w:history="1">
        <w:r w:rsidRPr="006B7453">
          <w:rPr>
            <w:rStyle w:val="Hyperlink"/>
          </w:rPr>
          <w:t>CWG-FHR-22/14</w:t>
        </w:r>
      </w:hyperlink>
      <w:r w:rsidRPr="006B7453">
        <w:t xml:space="preserve">) </w:t>
      </w:r>
    </w:p>
    <w:p w14:paraId="5778D04C" w14:textId="57D8B4CB" w:rsidR="009142C6" w:rsidRPr="006B7453" w:rsidRDefault="009142C6" w:rsidP="00762C6D">
      <w:pPr>
        <w:jc w:val="both"/>
      </w:pPr>
      <w:r w:rsidRPr="006B7453">
        <w:t>12.1</w:t>
      </w:r>
      <w:r w:rsidRPr="006B7453">
        <w:tab/>
        <w:t>At the 22</w:t>
      </w:r>
      <w:r w:rsidRPr="006B7453">
        <w:rPr>
          <w:vertAlign w:val="superscript"/>
        </w:rPr>
        <w:t>nd</w:t>
      </w:r>
      <w:r w:rsidRPr="006B7453">
        <w:t xml:space="preserve"> meeting, the </w:t>
      </w:r>
      <w:r w:rsidR="003537CB" w:rsidRPr="006B7453">
        <w:t>s</w:t>
      </w:r>
      <w:r w:rsidR="007E5CA9" w:rsidRPr="006B7453">
        <w:t>ecretariat</w:t>
      </w:r>
      <w:r w:rsidRPr="006B7453">
        <w:t xml:space="preserve"> provided an update on the launch of four interconnected and foundational digital elements within the General </w:t>
      </w:r>
      <w:r w:rsidR="007E5CA9" w:rsidRPr="006B7453">
        <w:t>Secretariat</w:t>
      </w:r>
      <w:r w:rsidRPr="006B7453">
        <w:t>.</w:t>
      </w:r>
      <w:r w:rsidR="00FC2633" w:rsidRPr="006B7453">
        <w:t xml:space="preserve"> </w:t>
      </w:r>
      <w:r w:rsidRPr="006B7453">
        <w:t xml:space="preserve">These elements constitute the internal digital foundations required to support ITU’s organizational transformation, strengthen transparency and accountability in ICT investments, and respond to the expectations expressed by Member States, including in the Switzerland contribution (Document </w:t>
      </w:r>
      <w:hyperlink r:id="rId71" w:history="1">
        <w:r w:rsidRPr="006B7453">
          <w:rPr>
            <w:rStyle w:val="Hyperlink"/>
            <w:rFonts w:cs="Calibri"/>
          </w:rPr>
          <w:t>C25/84</w:t>
        </w:r>
      </w:hyperlink>
      <w:r w:rsidRPr="006B7453">
        <w:t>), as well as recommendations from the Independent Management Advisory Committee (IMAC) and other oversight mechanisms.</w:t>
      </w:r>
    </w:p>
    <w:p w14:paraId="50DBD9BC" w14:textId="3835F6AE" w:rsidR="009142C6" w:rsidRPr="006B7453" w:rsidRDefault="009142C6" w:rsidP="00762C6D">
      <w:pPr>
        <w:jc w:val="both"/>
      </w:pPr>
      <w:r w:rsidRPr="006B7453">
        <w:t>12.2</w:t>
      </w:r>
      <w:r w:rsidRPr="006B7453">
        <w:tab/>
        <w:t xml:space="preserve">Delegates responded urging the </w:t>
      </w:r>
      <w:r w:rsidR="003537CB" w:rsidRPr="006B7453">
        <w:t>s</w:t>
      </w:r>
      <w:r w:rsidR="007E5CA9" w:rsidRPr="006B7453">
        <w:t>ecretariat</w:t>
      </w:r>
      <w:r w:rsidRPr="006B7453">
        <w:t xml:space="preserve"> to more closely involve Member States and expressed their concern for the financial implications of such a large-scale transformation effort.</w:t>
      </w:r>
      <w:r w:rsidR="00FC2633" w:rsidRPr="006B7453">
        <w:t xml:space="preserve"> </w:t>
      </w:r>
      <w:r w:rsidRPr="006B7453">
        <w:t xml:space="preserve">Others intervened to recommend the </w:t>
      </w:r>
      <w:r w:rsidR="003537CB" w:rsidRPr="006B7453">
        <w:t>s</w:t>
      </w:r>
      <w:r w:rsidR="007E5CA9" w:rsidRPr="006B7453">
        <w:t>ecretariat</w:t>
      </w:r>
      <w:r w:rsidRPr="006B7453">
        <w:t xml:space="preserve"> avoid fragmented transformation efforts across the Sector but also to prioritize the upgrade of the Radiocommunication Sector (ITU-R) software.</w:t>
      </w:r>
      <w:r w:rsidR="00FC2633" w:rsidRPr="006B7453">
        <w:t xml:space="preserve"> </w:t>
      </w:r>
      <w:r w:rsidRPr="006B7453">
        <w:t xml:space="preserve">One delegate did pose to the group that the CWG should toe the line between delegating direction and allowing for </w:t>
      </w:r>
      <w:r w:rsidR="003537CB" w:rsidRPr="006B7453">
        <w:t>s</w:t>
      </w:r>
      <w:r w:rsidR="007E5CA9" w:rsidRPr="006B7453">
        <w:t>ecretariat</w:t>
      </w:r>
      <w:r w:rsidRPr="006B7453">
        <w:t xml:space="preserve"> autonomy. </w:t>
      </w:r>
    </w:p>
    <w:p w14:paraId="1D3CF13E" w14:textId="77777777" w:rsidR="009142C6" w:rsidRPr="006B7453" w:rsidRDefault="009142C6" w:rsidP="00762C6D">
      <w:pPr>
        <w:pBdr>
          <w:top w:val="single" w:sz="4" w:space="1" w:color="auto"/>
          <w:left w:val="single" w:sz="4" w:space="4" w:color="auto"/>
          <w:bottom w:val="single" w:sz="4" w:space="1" w:color="auto"/>
          <w:right w:val="single" w:sz="4" w:space="4" w:color="auto"/>
        </w:pBdr>
        <w:jc w:val="both"/>
      </w:pPr>
      <w:r w:rsidRPr="006B7453">
        <w:t>12.3</w:t>
      </w:r>
      <w:r w:rsidRPr="006B7453">
        <w:tab/>
        <w:t xml:space="preserve">The CWG-FHR Chair </w:t>
      </w:r>
      <w:r w:rsidRPr="006B7453">
        <w:rPr>
          <w:b/>
          <w:bCs/>
        </w:rPr>
        <w:t>invited</w:t>
      </w:r>
      <w:r w:rsidRPr="006B7453">
        <w:t xml:space="preserve"> concerned Member States to submit contributions to Council 2026 describing what they would like to know regarding the implementation of IT, data and information governance.</w:t>
      </w:r>
    </w:p>
    <w:p w14:paraId="45FF993C" w14:textId="42C19EDE" w:rsidR="009142C6" w:rsidRPr="006B7453" w:rsidRDefault="009142C6" w:rsidP="00762C6D">
      <w:pPr>
        <w:pBdr>
          <w:top w:val="single" w:sz="4" w:space="1" w:color="auto"/>
          <w:left w:val="single" w:sz="4" w:space="4" w:color="auto"/>
          <w:bottom w:val="single" w:sz="4" w:space="1" w:color="auto"/>
          <w:right w:val="single" w:sz="4" w:space="4" w:color="auto"/>
        </w:pBdr>
        <w:jc w:val="both"/>
      </w:pPr>
      <w:r w:rsidRPr="006B7453">
        <w:t>12.4</w:t>
      </w:r>
      <w:r w:rsidRPr="006B7453">
        <w:tab/>
        <w:t xml:space="preserve">The CWG-FHR </w:t>
      </w:r>
      <w:r w:rsidRPr="006B7453">
        <w:rPr>
          <w:b/>
          <w:bCs/>
        </w:rPr>
        <w:t xml:space="preserve">recommends </w:t>
      </w:r>
      <w:r w:rsidRPr="006B7453">
        <w:t xml:space="preserve">Council instruct the </w:t>
      </w:r>
      <w:r w:rsidR="003537CB" w:rsidRPr="006B7453">
        <w:t>s</w:t>
      </w:r>
      <w:r w:rsidR="007E5CA9" w:rsidRPr="006B7453">
        <w:t>ecretariat</w:t>
      </w:r>
      <w:r w:rsidRPr="006B7453">
        <w:t xml:space="preserve"> to provide a report to Council on the governance structures, corporate governance boards within the ITU, and their financial implications.</w:t>
      </w:r>
    </w:p>
    <w:p w14:paraId="025A471B" w14:textId="16A8215D" w:rsidR="009142C6" w:rsidRPr="006B7453" w:rsidRDefault="009142C6" w:rsidP="009142C6">
      <w:pPr>
        <w:pStyle w:val="Heading1"/>
      </w:pPr>
      <w:r w:rsidRPr="006B7453">
        <w:t>13</w:t>
      </w:r>
      <w:r w:rsidRPr="006B7453">
        <w:tab/>
        <w:t xml:space="preserve">Satellite network filings </w:t>
      </w:r>
      <w:r w:rsidR="00762C6D" w:rsidRPr="006B7453">
        <w:br/>
      </w:r>
      <w:r w:rsidRPr="006B7453">
        <w:t xml:space="preserve">(Documents </w:t>
      </w:r>
      <w:hyperlink r:id="rId72" w:history="1">
        <w:r w:rsidRPr="006B7453">
          <w:rPr>
            <w:rStyle w:val="Hyperlink"/>
          </w:rPr>
          <w:t>CWG-FHR-21/20</w:t>
        </w:r>
      </w:hyperlink>
      <w:r w:rsidR="00762C6D" w:rsidRPr="006B7453">
        <w:t xml:space="preserve"> and</w:t>
      </w:r>
      <w:r w:rsidRPr="006B7453">
        <w:t xml:space="preserve"> </w:t>
      </w:r>
      <w:hyperlink r:id="rId73" w:history="1">
        <w:r w:rsidRPr="006B7453">
          <w:rPr>
            <w:rStyle w:val="Hyperlink"/>
          </w:rPr>
          <w:t>CWG-FHR-22/2</w:t>
        </w:r>
      </w:hyperlink>
      <w:r w:rsidRPr="006B7453">
        <w:t>)</w:t>
      </w:r>
    </w:p>
    <w:p w14:paraId="5C667933" w14:textId="5D6CFCC8" w:rsidR="009142C6" w:rsidRPr="006B7453" w:rsidRDefault="009142C6" w:rsidP="00762C6D">
      <w:pPr>
        <w:jc w:val="both"/>
      </w:pPr>
      <w:r w:rsidRPr="006B7453">
        <w:t>13.1</w:t>
      </w:r>
      <w:r w:rsidRPr="006B7453">
        <w:tab/>
        <w:t>At the 21</w:t>
      </w:r>
      <w:r w:rsidRPr="006B7453">
        <w:rPr>
          <w:vertAlign w:val="superscript"/>
        </w:rPr>
        <w:t>st</w:t>
      </w:r>
      <w:r w:rsidRPr="006B7453">
        <w:t xml:space="preserve"> meeting, the </w:t>
      </w:r>
      <w:r w:rsidR="003537CB" w:rsidRPr="006B7453">
        <w:t>s</w:t>
      </w:r>
      <w:r w:rsidR="007E5CA9" w:rsidRPr="006B7453">
        <w:t>ecretariat</w:t>
      </w:r>
      <w:r w:rsidRPr="006B7453">
        <w:t xml:space="preserve"> stated additional time was needed to address the instructions of Council 2025 and promised to have a document for discussion at the January 2026 meeting.</w:t>
      </w:r>
      <w:r w:rsidR="00FC2633" w:rsidRPr="006B7453">
        <w:t xml:space="preserve"> </w:t>
      </w:r>
      <w:r w:rsidRPr="006B7453">
        <w:t xml:space="preserve">The Chair noted the </w:t>
      </w:r>
      <w:r w:rsidR="003537CB" w:rsidRPr="006B7453">
        <w:t>s</w:t>
      </w:r>
      <w:r w:rsidR="007E5CA9" w:rsidRPr="006B7453">
        <w:t>ecretariat</w:t>
      </w:r>
      <w:r w:rsidRPr="006B7453">
        <w:t>’s statement and gave the floor to the United States to introduce their contribution, reminding delegates that substantive discussions will occur in January.</w:t>
      </w:r>
      <w:r w:rsidR="00FC2633" w:rsidRPr="006B7453">
        <w:t xml:space="preserve"> </w:t>
      </w:r>
      <w:r w:rsidRPr="006B7453">
        <w:t xml:space="preserve">The United States’ contribution (Document </w:t>
      </w:r>
      <w:hyperlink r:id="rId74" w:history="1">
        <w:r w:rsidRPr="006B7453">
          <w:rPr>
            <w:rStyle w:val="Hyperlink"/>
          </w:rPr>
          <w:t>CWG-FHR-21/20</w:t>
        </w:r>
      </w:hyperlink>
      <w:r w:rsidRPr="006B7453">
        <w:t xml:space="preserve">) provided additional information for the </w:t>
      </w:r>
      <w:r w:rsidR="003537CB" w:rsidRPr="006B7453">
        <w:t>s</w:t>
      </w:r>
      <w:r w:rsidR="007E5CA9" w:rsidRPr="006B7453">
        <w:t>ecretariat</w:t>
      </w:r>
      <w:r w:rsidRPr="006B7453">
        <w:t xml:space="preserve"> to consider and so the presenting delegate concluded not reaching a conclusion on the matter during the meeting was acceptable. Several delegates supported the United States’ contribution.</w:t>
      </w:r>
      <w:r w:rsidR="00FC2633" w:rsidRPr="006B7453">
        <w:t xml:space="preserve"> </w:t>
      </w:r>
    </w:p>
    <w:p w14:paraId="624481AE" w14:textId="35B4B156" w:rsidR="009142C6" w:rsidRPr="006B7453" w:rsidRDefault="009142C6" w:rsidP="00762C6D">
      <w:pPr>
        <w:jc w:val="both"/>
      </w:pPr>
      <w:r w:rsidRPr="006B7453">
        <w:t>13.2</w:t>
      </w:r>
      <w:r w:rsidRPr="006B7453">
        <w:tab/>
        <w:t>Further, one delegate reminded the group of Council 2025’s mandate, particularly that CWG-FHR was instructed to clearly define direct and indirect costs.</w:t>
      </w:r>
      <w:r w:rsidR="00FC2633" w:rsidRPr="006B7453">
        <w:t xml:space="preserve"> </w:t>
      </w:r>
      <w:r w:rsidRPr="006B7453">
        <w:t>Other delegates also offered recommendations such as maintaining the free filing capabilities and undergoing workload analysis to calculate indirect costs with more fidelity.</w:t>
      </w:r>
      <w:r w:rsidR="00FC2633" w:rsidRPr="006B7453">
        <w:t xml:space="preserve"> </w:t>
      </w:r>
      <w:r w:rsidRPr="006B7453">
        <w:t xml:space="preserve">The Chair urged the </w:t>
      </w:r>
      <w:r w:rsidR="003537CB" w:rsidRPr="006B7453">
        <w:t>s</w:t>
      </w:r>
      <w:r w:rsidR="007E5CA9" w:rsidRPr="006B7453">
        <w:t>ecretariat</w:t>
      </w:r>
      <w:r w:rsidRPr="006B7453">
        <w:t xml:space="preserve"> to take note of the discussion and reported that the </w:t>
      </w:r>
      <w:r w:rsidR="003537CB" w:rsidRPr="006B7453">
        <w:t>s</w:t>
      </w:r>
      <w:r w:rsidR="007E5CA9" w:rsidRPr="006B7453">
        <w:t>ecretariat</w:t>
      </w:r>
      <w:r w:rsidRPr="006B7453">
        <w:t xml:space="preserve"> would host an information session in December 2025.</w:t>
      </w:r>
      <w:r w:rsidR="00FC2633" w:rsidRPr="006B7453">
        <w:t xml:space="preserve"> </w:t>
      </w:r>
      <w:r w:rsidRPr="006B7453">
        <w:t xml:space="preserve">That </w:t>
      </w:r>
      <w:hyperlink r:id="rId75" w:history="1">
        <w:r w:rsidRPr="006B7453">
          <w:rPr>
            <w:rStyle w:val="Hyperlink"/>
          </w:rPr>
          <w:t>information session</w:t>
        </w:r>
      </w:hyperlink>
      <w:r w:rsidRPr="006B7453">
        <w:t xml:space="preserve"> was held on 16 December 2025. </w:t>
      </w:r>
    </w:p>
    <w:p w14:paraId="792FCD1E" w14:textId="0C69DBB2" w:rsidR="009142C6" w:rsidRPr="000F5BB7" w:rsidRDefault="009142C6" w:rsidP="00762C6D">
      <w:pPr>
        <w:jc w:val="both"/>
        <w:rPr>
          <w:spacing w:val="-2"/>
        </w:rPr>
      </w:pPr>
      <w:r w:rsidRPr="000F5BB7">
        <w:rPr>
          <w:spacing w:val="-2"/>
        </w:rPr>
        <w:t>13.3</w:t>
      </w:r>
      <w:r w:rsidRPr="000F5BB7">
        <w:rPr>
          <w:spacing w:val="-2"/>
        </w:rPr>
        <w:tab/>
        <w:t xml:space="preserve">In January, the </w:t>
      </w:r>
      <w:r w:rsidR="003537CB" w:rsidRPr="000F5BB7">
        <w:rPr>
          <w:spacing w:val="-2"/>
        </w:rPr>
        <w:t>s</w:t>
      </w:r>
      <w:r w:rsidR="007E5CA9" w:rsidRPr="000F5BB7">
        <w:rPr>
          <w:spacing w:val="-2"/>
        </w:rPr>
        <w:t>ecretariat</w:t>
      </w:r>
      <w:r w:rsidRPr="000F5BB7">
        <w:rPr>
          <w:spacing w:val="-2"/>
        </w:rPr>
        <w:t xml:space="preserve"> presented their proposed cost recovery model for Satellite Network Filings (SNF) in Document </w:t>
      </w:r>
      <w:hyperlink r:id="rId76" w:history="1">
        <w:r w:rsidRPr="000F5BB7">
          <w:rPr>
            <w:rStyle w:val="Hyperlink"/>
            <w:spacing w:val="-2"/>
          </w:rPr>
          <w:t>CWG-FHR-22/2</w:t>
        </w:r>
      </w:hyperlink>
      <w:r w:rsidRPr="000F5BB7">
        <w:rPr>
          <w:spacing w:val="-2"/>
        </w:rPr>
        <w:t>.</w:t>
      </w:r>
      <w:r w:rsidR="00FC2633" w:rsidRPr="000F5BB7">
        <w:rPr>
          <w:spacing w:val="-2"/>
        </w:rPr>
        <w:t xml:space="preserve"> </w:t>
      </w:r>
      <w:r w:rsidRPr="000F5BB7">
        <w:rPr>
          <w:spacing w:val="-2"/>
        </w:rPr>
        <w:t>The new methodology aligns with Resolution 91 (Rev. Guadalajara, 2010) and aims to help calculate the total annual SNF expenditure by assessing direct and indirect costs.</w:t>
      </w:r>
      <w:r w:rsidR="00FC2633" w:rsidRPr="000F5BB7">
        <w:rPr>
          <w:spacing w:val="-2"/>
        </w:rPr>
        <w:t xml:space="preserve"> </w:t>
      </w:r>
      <w:r w:rsidRPr="000F5BB7">
        <w:rPr>
          <w:spacing w:val="-2"/>
        </w:rPr>
        <w:t xml:space="preserve">The calculation of indirect costs includes </w:t>
      </w:r>
      <w:r w:rsidRPr="000F5BB7">
        <w:rPr>
          <w:spacing w:val="-2"/>
        </w:rPr>
        <w:lastRenderedPageBreak/>
        <w:t>expenses like human resources recruiting but excludes general overhead such as Microsoft 365.</w:t>
      </w:r>
      <w:r w:rsidR="00FC2633" w:rsidRPr="000F5BB7">
        <w:rPr>
          <w:spacing w:val="-2"/>
        </w:rPr>
        <w:t xml:space="preserve"> </w:t>
      </w:r>
      <w:r w:rsidRPr="000F5BB7">
        <w:rPr>
          <w:spacing w:val="-2"/>
        </w:rPr>
        <w:t xml:space="preserve">The </w:t>
      </w:r>
      <w:r w:rsidR="003537CB" w:rsidRPr="000F5BB7">
        <w:rPr>
          <w:spacing w:val="-2"/>
        </w:rPr>
        <w:t>s</w:t>
      </w:r>
      <w:r w:rsidR="007E5CA9" w:rsidRPr="000F5BB7">
        <w:rPr>
          <w:spacing w:val="-2"/>
        </w:rPr>
        <w:t>ecretariat</w:t>
      </w:r>
      <w:r w:rsidRPr="000F5BB7">
        <w:rPr>
          <w:spacing w:val="-2"/>
        </w:rPr>
        <w:t xml:space="preserve"> affirmed their preference to ensure Membership contributory units do not fund costs that should be funded by cost recovery.</w:t>
      </w:r>
      <w:r w:rsidR="00FC2633" w:rsidRPr="000F5BB7">
        <w:rPr>
          <w:spacing w:val="-2"/>
        </w:rPr>
        <w:t xml:space="preserve"> </w:t>
      </w:r>
      <w:r w:rsidRPr="000F5BB7">
        <w:rPr>
          <w:spacing w:val="-2"/>
        </w:rPr>
        <w:t>They acknowledged the difficulty in predicting SNF costs but stressed their commitment to accurate cost recovery calculations.</w:t>
      </w:r>
      <w:r w:rsidR="00FC2633" w:rsidRPr="000F5BB7">
        <w:rPr>
          <w:spacing w:val="-2"/>
        </w:rPr>
        <w:t xml:space="preserve"> </w:t>
      </w:r>
      <w:r w:rsidRPr="000F5BB7">
        <w:rPr>
          <w:spacing w:val="-2"/>
        </w:rPr>
        <w:t xml:space="preserve">In closing, the </w:t>
      </w:r>
      <w:r w:rsidR="003537CB" w:rsidRPr="000F5BB7">
        <w:rPr>
          <w:spacing w:val="-2"/>
        </w:rPr>
        <w:t>s</w:t>
      </w:r>
      <w:r w:rsidR="007E5CA9" w:rsidRPr="000F5BB7">
        <w:rPr>
          <w:spacing w:val="-2"/>
        </w:rPr>
        <w:t>ecretariat</w:t>
      </w:r>
      <w:r w:rsidRPr="000F5BB7">
        <w:rPr>
          <w:spacing w:val="-2"/>
        </w:rPr>
        <w:t xml:space="preserve"> informed delegates that consideration of cost recovery will continue through 2026 and 2027, with a target for Council 2027 to implement a path forward beginning 1 January 2028.</w:t>
      </w:r>
    </w:p>
    <w:p w14:paraId="6E7FBFAC" w14:textId="77777777" w:rsidR="009142C6" w:rsidRPr="006B7453" w:rsidRDefault="009142C6" w:rsidP="00762C6D">
      <w:pPr>
        <w:pStyle w:val="Headingb"/>
      </w:pPr>
      <w:r w:rsidRPr="006B7453">
        <w:t xml:space="preserve">Contribution by the Russian Federation – Comments on the satellite network filings – Methodology update (Document </w:t>
      </w:r>
      <w:hyperlink r:id="rId77" w:history="1">
        <w:r w:rsidRPr="006B7453">
          <w:rPr>
            <w:rStyle w:val="Hyperlink"/>
          </w:rPr>
          <w:t>CWG-FHR-22/27</w:t>
        </w:r>
      </w:hyperlink>
      <w:r w:rsidRPr="006B7453">
        <w:t>)</w:t>
      </w:r>
    </w:p>
    <w:p w14:paraId="35E90E0A" w14:textId="3D221FAC" w:rsidR="009142C6" w:rsidRPr="006B7453" w:rsidRDefault="009142C6" w:rsidP="00762C6D">
      <w:pPr>
        <w:jc w:val="both"/>
      </w:pPr>
      <w:r w:rsidRPr="006B7453">
        <w:t>13.4</w:t>
      </w:r>
      <w:r w:rsidRPr="006B7453">
        <w:tab/>
        <w:t xml:space="preserve">The Russian Federation’s contribution addressed the lack of clear formulas in the </w:t>
      </w:r>
      <w:r w:rsidR="003537CB" w:rsidRPr="006B7453">
        <w:t>s</w:t>
      </w:r>
      <w:r w:rsidR="007E5CA9" w:rsidRPr="006B7453">
        <w:t>ecretariat</w:t>
      </w:r>
      <w:r w:rsidRPr="006B7453">
        <w:t xml:space="preserve">’s presented methodology, requesting the </w:t>
      </w:r>
      <w:r w:rsidR="003537CB" w:rsidRPr="006B7453">
        <w:t>s</w:t>
      </w:r>
      <w:r w:rsidR="007E5CA9" w:rsidRPr="006B7453">
        <w:t>ecretariat</w:t>
      </w:r>
      <w:r w:rsidRPr="006B7453">
        <w:t xml:space="preserve"> provide clear and detailed information, including specific formulas, inputs and assumptions, for calculating direct, indirect and capital costs to be covered by ITU’s regular budget.</w:t>
      </w:r>
      <w:r w:rsidR="00FC2633" w:rsidRPr="006B7453">
        <w:t xml:space="preserve"> </w:t>
      </w:r>
      <w:r w:rsidRPr="006B7453">
        <w:t>Additionally, the contribution requested the ITU budget is created without increasing the SNF fee and underscored the belief that free filings should be covered by Membership contributory units, as it is a core mandate of the Union.</w:t>
      </w:r>
    </w:p>
    <w:p w14:paraId="64845625" w14:textId="77777777" w:rsidR="009142C6" w:rsidRPr="006B7453" w:rsidRDefault="009142C6" w:rsidP="00762C6D">
      <w:pPr>
        <w:pStyle w:val="Headingb"/>
      </w:pPr>
      <w:r w:rsidRPr="006B7453">
        <w:t xml:space="preserve">Contribution by the Global Satellite Operators Association – Satellite network filings (Document </w:t>
      </w:r>
      <w:hyperlink r:id="rId78" w:history="1">
        <w:r w:rsidRPr="006B7453">
          <w:rPr>
            <w:rStyle w:val="Hyperlink"/>
          </w:rPr>
          <w:t>CWG-FHR-22/29</w:t>
        </w:r>
      </w:hyperlink>
      <w:r w:rsidRPr="006B7453">
        <w:t>)</w:t>
      </w:r>
    </w:p>
    <w:p w14:paraId="43E9C500" w14:textId="6F93BD15" w:rsidR="009142C6" w:rsidRPr="006B7453" w:rsidRDefault="009142C6" w:rsidP="00762C6D">
      <w:pPr>
        <w:jc w:val="both"/>
      </w:pPr>
      <w:r w:rsidRPr="006B7453">
        <w:t>13.5</w:t>
      </w:r>
      <w:r w:rsidRPr="006B7453">
        <w:tab/>
        <w:t>The Global Satellite Operators Association</w:t>
      </w:r>
      <w:r w:rsidR="00E35C9F" w:rsidRPr="006B7453">
        <w:t>’s</w:t>
      </w:r>
      <w:r w:rsidRPr="006B7453">
        <w:t xml:space="preserve"> (GSOA) contribution challenged the treatment of indirect costs, arguing the </w:t>
      </w:r>
      <w:r w:rsidR="003537CB" w:rsidRPr="006B7453">
        <w:t>s</w:t>
      </w:r>
      <w:r w:rsidR="007E5CA9" w:rsidRPr="006B7453">
        <w:t>ecretariat</w:t>
      </w:r>
      <w:r w:rsidRPr="006B7453">
        <w:t>’s supporting analysis was not relevant based on the ITU’s distinct mandate and specific operational processes.</w:t>
      </w:r>
      <w:r w:rsidR="00FC2633" w:rsidRPr="006B7453">
        <w:t xml:space="preserve"> </w:t>
      </w:r>
      <w:r w:rsidRPr="006B7453">
        <w:t xml:space="preserve">Additionally, GSOA </w:t>
      </w:r>
      <w:r w:rsidR="00E35C9F" w:rsidRPr="006B7453">
        <w:t>analysed</w:t>
      </w:r>
      <w:r w:rsidRPr="006B7453">
        <w:t xml:space="preserve"> the three proposed options pertaining to free entitlement, emphasizing that SNF activities while initiated by individual administrations, support global spectrum and orbital resource management, meaning their benefits extend far beyond a single administration.</w:t>
      </w:r>
      <w:r w:rsidR="00FC2633" w:rsidRPr="006B7453">
        <w:t xml:space="preserve"> </w:t>
      </w:r>
      <w:r w:rsidRPr="006B7453">
        <w:t xml:space="preserve">The contribution also reflected on the </w:t>
      </w:r>
      <w:r w:rsidR="003537CB" w:rsidRPr="006B7453">
        <w:t>s</w:t>
      </w:r>
      <w:r w:rsidR="007E5CA9" w:rsidRPr="006B7453">
        <w:t>ecretariat</w:t>
      </w:r>
      <w:r w:rsidRPr="006B7453">
        <w:t>’s proposed “true-up, true-down” mechanism and noted while presented as a form of reconciliation, such mechanism passes considerable risk to satellite operators and their administrations.</w:t>
      </w:r>
      <w:r w:rsidR="00FC2633" w:rsidRPr="006B7453">
        <w:t xml:space="preserve"> </w:t>
      </w:r>
      <w:r w:rsidRPr="006B7453">
        <w:t>The delegate also reaffirmed that SNF cost recovery is not budget recovery.</w:t>
      </w:r>
      <w:r w:rsidR="00FC2633" w:rsidRPr="006B7453">
        <w:t xml:space="preserve"> </w:t>
      </w:r>
    </w:p>
    <w:p w14:paraId="38500B34" w14:textId="77777777" w:rsidR="009142C6" w:rsidRPr="006B7453" w:rsidRDefault="009142C6" w:rsidP="00762C6D">
      <w:pPr>
        <w:pStyle w:val="Headingb"/>
      </w:pPr>
      <w:r w:rsidRPr="006B7453">
        <w:t xml:space="preserve">Contribution by the United States of America – Comments and proposals on satellite network filings and cost recovery (Document </w:t>
      </w:r>
      <w:hyperlink r:id="rId79" w:history="1">
        <w:r w:rsidRPr="006B7453">
          <w:rPr>
            <w:rStyle w:val="Hyperlink"/>
          </w:rPr>
          <w:t>CWG-FHR-22/32</w:t>
        </w:r>
      </w:hyperlink>
      <w:r w:rsidRPr="006B7453">
        <w:t>)</w:t>
      </w:r>
    </w:p>
    <w:p w14:paraId="71CAA753" w14:textId="1CF5856C" w:rsidR="009142C6" w:rsidRPr="006B7453" w:rsidRDefault="009142C6" w:rsidP="00762C6D">
      <w:pPr>
        <w:jc w:val="both"/>
      </w:pPr>
      <w:r w:rsidRPr="006B7453">
        <w:t>13.6</w:t>
      </w:r>
      <w:r w:rsidRPr="006B7453">
        <w:tab/>
        <w:t>The United States’ contribution noted that the direct and indirect costs of processing free filings should be funded by the ITU regular budget, as in line with Resolution 91 (Rev.</w:t>
      </w:r>
      <w:r w:rsidR="00762C6D" w:rsidRPr="006B7453">
        <w:t> </w:t>
      </w:r>
      <w:r w:rsidRPr="006B7453">
        <w:t>Guadalajara, 2010).</w:t>
      </w:r>
      <w:r w:rsidR="00FC2633" w:rsidRPr="006B7453">
        <w:t xml:space="preserve"> </w:t>
      </w:r>
      <w:r w:rsidRPr="006B7453">
        <w:t xml:space="preserve">While the contribution thanked the </w:t>
      </w:r>
      <w:r w:rsidR="003537CB" w:rsidRPr="006B7453">
        <w:t>s</w:t>
      </w:r>
      <w:r w:rsidR="007E5CA9" w:rsidRPr="006B7453">
        <w:t>ecretariat</w:t>
      </w:r>
      <w:r w:rsidRPr="006B7453">
        <w:t xml:space="preserve"> for its ongoing work for establishing a methodology, it also called for greater detail on cost components to be recovered by the methodology, particularly how will costs be identified as well as allocated.</w:t>
      </w:r>
      <w:r w:rsidR="00FC2633" w:rsidRPr="006B7453">
        <w:t xml:space="preserve"> </w:t>
      </w:r>
      <w:r w:rsidRPr="006B7453">
        <w:t>The delegate emphasized how it is important to prorate across the expected user base and how the cost of the software should be recovered of its use lifetime.</w:t>
      </w:r>
      <w:r w:rsidR="00FC2633" w:rsidRPr="006B7453">
        <w:t xml:space="preserve"> </w:t>
      </w:r>
      <w:r w:rsidRPr="006B7453">
        <w:t>Lastly, the contribution requested insight into how efficiency gains will be measured and reported.</w:t>
      </w:r>
      <w:r w:rsidR="00FC2633" w:rsidRPr="006B7453">
        <w:t xml:space="preserve"> </w:t>
      </w:r>
    </w:p>
    <w:p w14:paraId="4589049A" w14:textId="3CC07147" w:rsidR="009142C6" w:rsidRPr="006B7453" w:rsidRDefault="009142C6" w:rsidP="00762C6D">
      <w:pPr>
        <w:pStyle w:val="Headingb"/>
      </w:pPr>
      <w:r w:rsidRPr="006B7453">
        <w:t xml:space="preserve">Contribution by Tanzania, Kenya, and Nigeria – Contribution to the Report by the Secretary-General on satellite network filings – Methodology updated </w:t>
      </w:r>
      <w:r w:rsidR="00762C6D" w:rsidRPr="006B7453">
        <w:br/>
      </w:r>
      <w:r w:rsidRPr="006B7453">
        <w:t xml:space="preserve">(Document </w:t>
      </w:r>
      <w:hyperlink r:id="rId80" w:history="1">
        <w:r w:rsidRPr="006B7453">
          <w:rPr>
            <w:rStyle w:val="Hyperlink"/>
          </w:rPr>
          <w:t>CWG-FHR-22/33</w:t>
        </w:r>
      </w:hyperlink>
      <w:r w:rsidRPr="006B7453">
        <w:t xml:space="preserve">) </w:t>
      </w:r>
    </w:p>
    <w:p w14:paraId="34824FBA" w14:textId="292CEF4A" w:rsidR="009142C6" w:rsidRPr="006B7453" w:rsidRDefault="009142C6" w:rsidP="00762C6D">
      <w:pPr>
        <w:jc w:val="both"/>
      </w:pPr>
      <w:r w:rsidRPr="006B7453">
        <w:t>13.7</w:t>
      </w:r>
      <w:r w:rsidRPr="006B7453">
        <w:tab/>
        <w:t>The multi-country contribution by Tanzania, Kenya, and Nigeria drew attention to how free filings do not consider nuances of developing countries and proposed free entitlement for regional satellite initiatives to promote equitable access.</w:t>
      </w:r>
      <w:r w:rsidR="00FC2633" w:rsidRPr="006B7453">
        <w:t xml:space="preserve"> </w:t>
      </w:r>
      <w:r w:rsidRPr="006B7453">
        <w:t xml:space="preserve">Additionally, the proposal </w:t>
      </w:r>
      <w:r w:rsidRPr="006B7453">
        <w:lastRenderedPageBreak/>
        <w:t>stressed that free entitlement is to be applied to complete satellite systems and should exclude filings for modifications.</w:t>
      </w:r>
      <w:r w:rsidR="00FC2633" w:rsidRPr="006B7453">
        <w:t xml:space="preserve"> </w:t>
      </w:r>
    </w:p>
    <w:p w14:paraId="6412090A" w14:textId="77777777" w:rsidR="009142C6" w:rsidRPr="006B7453" w:rsidRDefault="009142C6" w:rsidP="00762C6D">
      <w:pPr>
        <w:pStyle w:val="Headingb"/>
      </w:pPr>
      <w:r w:rsidRPr="006B7453">
        <w:t>Discussion</w:t>
      </w:r>
    </w:p>
    <w:p w14:paraId="22F1ABA9" w14:textId="793F9DC0" w:rsidR="009142C6" w:rsidRPr="006B7453" w:rsidRDefault="009142C6" w:rsidP="00762C6D">
      <w:pPr>
        <w:jc w:val="both"/>
      </w:pPr>
      <w:r w:rsidRPr="006B7453">
        <w:t>13.8</w:t>
      </w:r>
      <w:r w:rsidRPr="006B7453">
        <w:tab/>
        <w:t>During the 22</w:t>
      </w:r>
      <w:r w:rsidRPr="006B7453">
        <w:rPr>
          <w:vertAlign w:val="superscript"/>
        </w:rPr>
        <w:t>nd</w:t>
      </w:r>
      <w:r w:rsidRPr="006B7453">
        <w:t xml:space="preserve"> CWG-FHR meeting, delegates debated three proposals regarding the SNF cost recovery model. One delegate supported contributions from GSOA and the United States, agreeing that the </w:t>
      </w:r>
      <w:r w:rsidR="003537CB" w:rsidRPr="006B7453">
        <w:t>s</w:t>
      </w:r>
      <w:r w:rsidR="007E5CA9" w:rsidRPr="006B7453">
        <w:t>ecretariat</w:t>
      </w:r>
      <w:r w:rsidRPr="006B7453">
        <w:t>'s proposals needed better efficiency metrics.</w:t>
      </w:r>
      <w:r w:rsidR="00FC2633" w:rsidRPr="006B7453">
        <w:t xml:space="preserve"> </w:t>
      </w:r>
      <w:r w:rsidRPr="006B7453">
        <w:t>Another delegate questioned reopening the Expert Group on Decision 482 and sought clarity on the definition and limitations of "free filings."</w:t>
      </w:r>
      <w:r w:rsidR="00FC2633" w:rsidRPr="006B7453">
        <w:t xml:space="preserve"> </w:t>
      </w:r>
      <w:r w:rsidRPr="006B7453">
        <w:t>A different delegate emphasized the urgency of making a decision, noting the rising number of satellite filings makes the current situation unsustainable.</w:t>
      </w:r>
      <w:r w:rsidR="00FC2633" w:rsidRPr="006B7453">
        <w:t xml:space="preserve"> </w:t>
      </w:r>
    </w:p>
    <w:p w14:paraId="2C5342DE" w14:textId="7A34EFD9" w:rsidR="009142C6" w:rsidRPr="006B7453" w:rsidRDefault="009142C6" w:rsidP="00762C6D">
      <w:pPr>
        <w:jc w:val="both"/>
      </w:pPr>
      <w:r w:rsidRPr="006B7453">
        <w:t>13.9</w:t>
      </w:r>
      <w:r w:rsidRPr="006B7453">
        <w:tab/>
        <w:t>A key point of contention was the definition and transparency of direct and indirect costs, with one delegate requesting a clear breakdown and the use of a sample filing for illustration.</w:t>
      </w:r>
      <w:r w:rsidR="00FC2633" w:rsidRPr="006B7453">
        <w:t xml:space="preserve"> </w:t>
      </w:r>
      <w:r w:rsidRPr="006B7453">
        <w:t xml:space="preserve">They also suggested the </w:t>
      </w:r>
      <w:r w:rsidR="003537CB" w:rsidRPr="006B7453">
        <w:t>s</w:t>
      </w:r>
      <w:r w:rsidR="007E5CA9" w:rsidRPr="006B7453">
        <w:t>ecretariat</w:t>
      </w:r>
      <w:r w:rsidRPr="006B7453">
        <w:t xml:space="preserve"> send annual reminders about free entitlements to encourage their use by developing nations.</w:t>
      </w:r>
      <w:r w:rsidR="00FC2633" w:rsidRPr="006B7453">
        <w:t xml:space="preserve"> </w:t>
      </w:r>
      <w:r w:rsidRPr="006B7453">
        <w:t xml:space="preserve">Another delegate questioned who currently pays for free entitlements and their total cost to the Union in recent years. </w:t>
      </w:r>
    </w:p>
    <w:p w14:paraId="11391BA3" w14:textId="748AF30C" w:rsidR="009142C6" w:rsidRPr="006B7453" w:rsidRDefault="009142C6" w:rsidP="00762C6D">
      <w:pPr>
        <w:jc w:val="both"/>
      </w:pPr>
      <w:r w:rsidRPr="006B7453">
        <w:t>13.10</w:t>
      </w:r>
      <w:r w:rsidRPr="006B7453">
        <w:tab/>
        <w:t>One delegate supported the reform but called for more detail on the baseline methodology.</w:t>
      </w:r>
      <w:r w:rsidR="00FC2633" w:rsidRPr="006B7453">
        <w:t xml:space="preserve"> </w:t>
      </w:r>
      <w:r w:rsidRPr="006B7453">
        <w:t>Another expressed concern about capital costs and suggested that free entitlements, while important for equitable access, could have monetary limits.</w:t>
      </w:r>
      <w:r w:rsidR="00FC2633" w:rsidRPr="006B7453">
        <w:t xml:space="preserve"> </w:t>
      </w:r>
      <w:r w:rsidRPr="006B7453">
        <w:t xml:space="preserve">A delegate supported the </w:t>
      </w:r>
      <w:r w:rsidR="003537CB" w:rsidRPr="006B7453">
        <w:t>s</w:t>
      </w:r>
      <w:r w:rsidR="007E5CA9" w:rsidRPr="006B7453">
        <w:t>ecretariat</w:t>
      </w:r>
      <w:r w:rsidRPr="006B7453">
        <w:t xml:space="preserve">'s methodology and periodic reviews but opposed removing free entitlements for developing countries, </w:t>
      </w:r>
      <w:r w:rsidR="00E35C9F" w:rsidRPr="006B7453">
        <w:t xml:space="preserve">least developed countries </w:t>
      </w:r>
      <w:r w:rsidRPr="006B7453">
        <w:t xml:space="preserve">(LDCs), </w:t>
      </w:r>
      <w:r w:rsidR="00E35C9F" w:rsidRPr="006B7453">
        <w:t xml:space="preserve">landlocked developing countries </w:t>
      </w:r>
      <w:r w:rsidRPr="006B7453">
        <w:t xml:space="preserve">(LLDCs), and </w:t>
      </w:r>
      <w:r w:rsidR="00E35C9F" w:rsidRPr="006B7453">
        <w:t xml:space="preserve">small island developing </w:t>
      </w:r>
      <w:r w:rsidRPr="006B7453">
        <w:t>States (SIDS).</w:t>
      </w:r>
      <w:r w:rsidR="00FC2633" w:rsidRPr="006B7453">
        <w:t xml:space="preserve"> </w:t>
      </w:r>
    </w:p>
    <w:p w14:paraId="56E5FFA6" w14:textId="5E0CC880" w:rsidR="009142C6" w:rsidRPr="006B7453" w:rsidRDefault="009142C6" w:rsidP="00762C6D">
      <w:pPr>
        <w:jc w:val="both"/>
      </w:pPr>
      <w:r w:rsidRPr="006B7453">
        <w:t>13.11</w:t>
      </w:r>
      <w:r w:rsidRPr="006B7453">
        <w:tab/>
        <w:t>Another delegate supported the U.S. contribution, emphasizing that free entitlements are a core ITU principle, and their costs should be covered by contributory units, not cost recovery.</w:t>
      </w:r>
      <w:r w:rsidR="00FC2633" w:rsidRPr="006B7453">
        <w:t xml:space="preserve"> </w:t>
      </w:r>
      <w:r w:rsidRPr="006B7453">
        <w:t>They also stressed the need for fee stability and transparency to avoid surprise increases for Member States.</w:t>
      </w:r>
      <w:r w:rsidR="00FC2633" w:rsidRPr="006B7453">
        <w:t xml:space="preserve"> </w:t>
      </w:r>
      <w:r w:rsidRPr="006B7453">
        <w:t xml:space="preserve">A delegate highlighted a Joint Inspection Unit (JIU) report, asking if the </w:t>
      </w:r>
      <w:r w:rsidR="003537CB" w:rsidRPr="006B7453">
        <w:t>s</w:t>
      </w:r>
      <w:r w:rsidR="007E5CA9" w:rsidRPr="006B7453">
        <w:t>ecretariat</w:t>
      </w:r>
      <w:r w:rsidRPr="006B7453">
        <w:t xml:space="preserve"> had a contingency plan for the MCHF 5.5 in deferred SNF revenue.</w:t>
      </w:r>
      <w:r w:rsidR="00FC2633" w:rsidRPr="006B7453">
        <w:t xml:space="preserve"> </w:t>
      </w:r>
      <w:r w:rsidRPr="006B7453">
        <w:t>A delegate firmly stated the discussion was about cost recovery, not revenue generation, and questioned the necessity of reinstating the Expert Group on Decision 482.</w:t>
      </w:r>
      <w:r w:rsidR="00FC2633" w:rsidRPr="006B7453">
        <w:t xml:space="preserve"> </w:t>
      </w:r>
      <w:r w:rsidRPr="006B7453">
        <w:t xml:space="preserve">A delegate also requested the </w:t>
      </w:r>
      <w:r w:rsidR="003537CB" w:rsidRPr="006B7453">
        <w:t>s</w:t>
      </w:r>
      <w:r w:rsidR="007E5CA9" w:rsidRPr="006B7453">
        <w:t>ecretariat</w:t>
      </w:r>
      <w:r w:rsidRPr="006B7453">
        <w:t xml:space="preserve"> provide a cost-benefit analysis for the proposed cost recovery model.</w:t>
      </w:r>
    </w:p>
    <w:p w14:paraId="508D6F6D" w14:textId="0195B7BE" w:rsidR="009142C6" w:rsidRPr="006B7453" w:rsidRDefault="009142C6" w:rsidP="00762C6D">
      <w:pPr>
        <w:jc w:val="both"/>
      </w:pPr>
      <w:r w:rsidRPr="006B7453">
        <w:t>13.12</w:t>
      </w:r>
      <w:r w:rsidRPr="006B7453">
        <w:tab/>
        <w:t xml:space="preserve">In response to delegates, the </w:t>
      </w:r>
      <w:r w:rsidR="003537CB" w:rsidRPr="006B7453">
        <w:t>s</w:t>
      </w:r>
      <w:r w:rsidR="007E5CA9" w:rsidRPr="006B7453">
        <w:t>ecretariat</w:t>
      </w:r>
      <w:r w:rsidRPr="006B7453">
        <w:t xml:space="preserve"> acknowledged the process is ongoing and more information would be provided to Council 2026.</w:t>
      </w:r>
      <w:r w:rsidR="00FC2633" w:rsidRPr="006B7453">
        <w:t xml:space="preserve"> </w:t>
      </w:r>
      <w:r w:rsidRPr="006B7453">
        <w:t>They reported that free entitlements cost the ITU's regular budget approximately MCHF</w:t>
      </w:r>
      <w:r w:rsidR="00E35C9F">
        <w:t> </w:t>
      </w:r>
      <w:r w:rsidRPr="006B7453">
        <w:t>1.2-1.5 annually.</w:t>
      </w:r>
      <w:r w:rsidR="00FC2633" w:rsidRPr="006B7453">
        <w:t xml:space="preserve"> </w:t>
      </w:r>
      <w:r w:rsidRPr="006B7453">
        <w:t>The Director of the Radiocommunications Bureau (BR) warned that without modernized software and increased staff, the BR's backlog would worsen due to the increasing number and complexity of filings.</w:t>
      </w:r>
      <w:r w:rsidR="00FC2633" w:rsidRPr="006B7453">
        <w:t xml:space="preserve"> </w:t>
      </w:r>
      <w:r w:rsidRPr="006B7453">
        <w:t>He gave an example of a recent filing involving over 200</w:t>
      </w:r>
      <w:r w:rsidR="00762C6D" w:rsidRPr="006B7453">
        <w:t> </w:t>
      </w:r>
      <w:r w:rsidRPr="006B7453">
        <w:t xml:space="preserve">000 satellites. </w:t>
      </w:r>
    </w:p>
    <w:p w14:paraId="5CF8868E" w14:textId="19F7EDD0" w:rsidR="009142C6" w:rsidRPr="006B7453" w:rsidRDefault="009142C6" w:rsidP="00762C6D">
      <w:pPr>
        <w:pBdr>
          <w:top w:val="single" w:sz="4" w:space="1" w:color="auto"/>
          <w:left w:val="single" w:sz="4" w:space="4" w:color="auto"/>
          <w:bottom w:val="single" w:sz="4" w:space="1" w:color="auto"/>
          <w:right w:val="single" w:sz="4" w:space="4" w:color="auto"/>
        </w:pBdr>
        <w:jc w:val="both"/>
      </w:pPr>
      <w:r w:rsidRPr="006B7453">
        <w:t>13.13</w:t>
      </w:r>
      <w:r w:rsidRPr="006B7453">
        <w:tab/>
        <w:t>The CWG-FHR Chair summarized the discussions, acknowledging that the CWG-FHR was unable to meet the Council 2025’s asks despite valiant efforts.</w:t>
      </w:r>
      <w:r w:rsidR="00FC2633" w:rsidRPr="006B7453">
        <w:t xml:space="preserve"> </w:t>
      </w:r>
      <w:r w:rsidRPr="006B7453">
        <w:t xml:space="preserve">Without agreement on Resolution 91 (Rev. Guadalajara, 2010), the Chair expressed it is challenging to move forward on developing a methodology and stated her reluctance to endorse the </w:t>
      </w:r>
      <w:r w:rsidR="003537CB" w:rsidRPr="006B7453">
        <w:t>s</w:t>
      </w:r>
      <w:r w:rsidR="007E5CA9" w:rsidRPr="006B7453">
        <w:t>ecretariat</w:t>
      </w:r>
      <w:r w:rsidRPr="006B7453">
        <w:t>'s methodology at that time.</w:t>
      </w:r>
      <w:r w:rsidR="00FC2633" w:rsidRPr="006B7453">
        <w:t xml:space="preserve"> </w:t>
      </w:r>
      <w:r w:rsidRPr="006B7453">
        <w:t>The Chair also expressed the working group’s belief that the Expert Group on Decision 482 did not need to be reconvened.</w:t>
      </w:r>
      <w:r w:rsidR="00FC2633" w:rsidRPr="006B7453">
        <w:t xml:space="preserve"> </w:t>
      </w:r>
      <w:r w:rsidRPr="006B7453">
        <w:t xml:space="preserve">She concluded by </w:t>
      </w:r>
      <w:r w:rsidRPr="006B7453">
        <w:rPr>
          <w:b/>
          <w:bCs/>
        </w:rPr>
        <w:t>committing</w:t>
      </w:r>
      <w:r w:rsidRPr="006B7453">
        <w:t xml:space="preserve"> to providing a detailed chart (below) of all questions and concerns to the </w:t>
      </w:r>
      <w:r w:rsidR="003537CB" w:rsidRPr="006B7453">
        <w:t>s</w:t>
      </w:r>
      <w:r w:rsidR="007E5CA9" w:rsidRPr="006B7453">
        <w:t>ecretariat</w:t>
      </w:r>
      <w:r w:rsidRPr="006B7453">
        <w:t>, Council 2026, and Plenipotentiary 2026.</w:t>
      </w:r>
      <w:r w:rsidR="00FC2633" w:rsidRPr="006B7453">
        <w:t xml:space="preserve"> </w:t>
      </w:r>
    </w:p>
    <w:p w14:paraId="7FF066CB" w14:textId="34CFAD5A" w:rsidR="009142C6" w:rsidRPr="006B7453" w:rsidRDefault="009142C6" w:rsidP="00762C6D">
      <w:pPr>
        <w:pStyle w:val="Headingb"/>
      </w:pPr>
      <w:r w:rsidRPr="006B7453">
        <w:lastRenderedPageBreak/>
        <w:t xml:space="preserve">Theming of </w:t>
      </w:r>
      <w:r w:rsidR="00762C6D" w:rsidRPr="006B7453">
        <w:t xml:space="preserve">delegate comments/questions relating </w:t>
      </w:r>
      <w:r w:rsidRPr="006B7453">
        <w:t xml:space="preserve">to </w:t>
      </w:r>
      <w:r w:rsidR="00762C6D" w:rsidRPr="006B7453">
        <w:t>satellite network fillings</w:t>
      </w:r>
    </w:p>
    <w:p w14:paraId="44A482F1" w14:textId="590D6847" w:rsidR="009142C6" w:rsidRPr="006B7453" w:rsidRDefault="009142C6" w:rsidP="00762C6D">
      <w:pPr>
        <w:jc w:val="both"/>
      </w:pPr>
      <w:r w:rsidRPr="006B7453">
        <w:t>The chart below captures the comments and questions raised by delegates during the 22</w:t>
      </w:r>
      <w:r w:rsidRPr="006B7453">
        <w:rPr>
          <w:vertAlign w:val="superscript"/>
        </w:rPr>
        <w:t>nd</w:t>
      </w:r>
      <w:r w:rsidR="00762C6D" w:rsidRPr="006B7453">
        <w:t> </w:t>
      </w:r>
      <w:r w:rsidRPr="006B7453">
        <w:t>meeting of the CWG-FHR.</w:t>
      </w:r>
      <w:r w:rsidR="00FC2633" w:rsidRPr="006B7453">
        <w:t xml:space="preserve"> </w:t>
      </w:r>
      <w:r w:rsidRPr="006B7453">
        <w:t>This chart was e-mailed to interested delegates for feedback on 15</w:t>
      </w:r>
      <w:r w:rsidR="00762C6D" w:rsidRPr="006B7453">
        <w:t> </w:t>
      </w:r>
      <w:r w:rsidRPr="006B7453">
        <w:t>January 2026 by the CWG-FHR Chair.</w:t>
      </w:r>
      <w:r w:rsidR="00FC2633" w:rsidRPr="006B7453">
        <w:t xml:space="preserve"> </w:t>
      </w:r>
    </w:p>
    <w:p w14:paraId="76402181" w14:textId="77777777" w:rsidR="009142C6" w:rsidRPr="006B7453" w:rsidRDefault="009142C6" w:rsidP="00E66FAB">
      <w:pPr>
        <w:spacing w:before="0"/>
      </w:pPr>
    </w:p>
    <w:tbl>
      <w:tblPr>
        <w:tblStyle w:val="TableGrid"/>
        <w:tblW w:w="9639" w:type="dxa"/>
        <w:jc w:val="center"/>
        <w:tblLayout w:type="fixed"/>
        <w:tblCellMar>
          <w:left w:w="57" w:type="dxa"/>
          <w:right w:w="57" w:type="dxa"/>
        </w:tblCellMar>
        <w:tblLook w:val="04A0" w:firstRow="1" w:lastRow="0" w:firstColumn="1" w:lastColumn="0" w:noHBand="0" w:noVBand="1"/>
      </w:tblPr>
      <w:tblGrid>
        <w:gridCol w:w="1517"/>
        <w:gridCol w:w="3927"/>
        <w:gridCol w:w="4195"/>
      </w:tblGrid>
      <w:tr w:rsidR="009142C6" w:rsidRPr="006B7453" w14:paraId="1C7656E5" w14:textId="77777777" w:rsidTr="002D6865">
        <w:trPr>
          <w:cantSplit/>
          <w:tblHeader/>
          <w:jc w:val="center"/>
        </w:trPr>
        <w:tc>
          <w:tcPr>
            <w:tcW w:w="787" w:type="pct"/>
            <w:shd w:val="clear" w:color="auto" w:fill="DBE5F1" w:themeFill="accent1" w:themeFillTint="33"/>
          </w:tcPr>
          <w:p w14:paraId="1552366C" w14:textId="77777777" w:rsidR="009142C6" w:rsidRPr="006B7453" w:rsidRDefault="009142C6" w:rsidP="002D6865">
            <w:pPr>
              <w:pStyle w:val="Tablehead"/>
            </w:pPr>
            <w:r w:rsidRPr="006B7453">
              <w:t>Theme</w:t>
            </w:r>
          </w:p>
        </w:tc>
        <w:tc>
          <w:tcPr>
            <w:tcW w:w="2037" w:type="pct"/>
            <w:shd w:val="clear" w:color="auto" w:fill="DBE5F1" w:themeFill="accent1" w:themeFillTint="33"/>
          </w:tcPr>
          <w:p w14:paraId="0DFE77B9" w14:textId="0E2FEFFF" w:rsidR="009142C6" w:rsidRPr="006B7453" w:rsidRDefault="009142C6" w:rsidP="002D6865">
            <w:pPr>
              <w:pStyle w:val="Tablehead"/>
            </w:pPr>
            <w:r w:rsidRPr="006B7453">
              <w:t>Views/</w:t>
            </w:r>
            <w:r w:rsidR="002D6865" w:rsidRPr="006B7453">
              <w:t>issues expressed</w:t>
            </w:r>
          </w:p>
        </w:tc>
        <w:tc>
          <w:tcPr>
            <w:tcW w:w="2176" w:type="pct"/>
            <w:shd w:val="clear" w:color="auto" w:fill="DBE5F1" w:themeFill="accent1" w:themeFillTint="33"/>
          </w:tcPr>
          <w:p w14:paraId="7643A74E" w14:textId="6165179E" w:rsidR="009142C6" w:rsidRPr="006B7453" w:rsidRDefault="009142C6" w:rsidP="002D6865">
            <w:pPr>
              <w:pStyle w:val="Tablehead"/>
            </w:pPr>
            <w:r w:rsidRPr="006B7453">
              <w:t xml:space="preserve">Outstanding </w:t>
            </w:r>
            <w:r w:rsidR="002D6865" w:rsidRPr="006B7453">
              <w:t>questions/issues</w:t>
            </w:r>
          </w:p>
        </w:tc>
      </w:tr>
      <w:tr w:rsidR="009142C6" w:rsidRPr="006B7453" w14:paraId="594288E0" w14:textId="77777777" w:rsidTr="002D6865">
        <w:trPr>
          <w:cantSplit/>
          <w:jc w:val="center"/>
        </w:trPr>
        <w:tc>
          <w:tcPr>
            <w:tcW w:w="5000" w:type="pct"/>
            <w:gridSpan w:val="3"/>
            <w:shd w:val="clear" w:color="auto" w:fill="EEECE1" w:themeFill="background2"/>
          </w:tcPr>
          <w:p w14:paraId="02F056E7" w14:textId="77777777" w:rsidR="009142C6" w:rsidRPr="006B7453" w:rsidRDefault="009142C6" w:rsidP="002D6865">
            <w:pPr>
              <w:pStyle w:val="Tabletext"/>
              <w:rPr>
                <w:b/>
                <w:bCs/>
              </w:rPr>
            </w:pPr>
            <w:r w:rsidRPr="006B7453">
              <w:rPr>
                <w:b/>
                <w:bCs/>
              </w:rPr>
              <w:t>Where does ITU need to go next?</w:t>
            </w:r>
          </w:p>
        </w:tc>
      </w:tr>
      <w:tr w:rsidR="009142C6" w:rsidRPr="006B7453" w14:paraId="667493A8" w14:textId="77777777" w:rsidTr="002D6865">
        <w:trPr>
          <w:cantSplit/>
          <w:jc w:val="center"/>
        </w:trPr>
        <w:tc>
          <w:tcPr>
            <w:tcW w:w="787" w:type="pct"/>
          </w:tcPr>
          <w:p w14:paraId="6889D29D" w14:textId="77777777" w:rsidR="009142C6" w:rsidRPr="006B7453" w:rsidRDefault="009142C6" w:rsidP="002D6865">
            <w:pPr>
              <w:pStyle w:val="Tabletext"/>
            </w:pPr>
          </w:p>
        </w:tc>
        <w:tc>
          <w:tcPr>
            <w:tcW w:w="2037" w:type="pct"/>
          </w:tcPr>
          <w:p w14:paraId="56B252E5" w14:textId="1AE9FEE1" w:rsidR="009142C6" w:rsidRPr="006B7453" w:rsidRDefault="009142C6" w:rsidP="002D6865">
            <w:pPr>
              <w:pStyle w:val="Tabletext"/>
            </w:pPr>
            <w:r w:rsidRPr="006B7453">
              <w:t>General membership view that collected cost recovery fees (e.g. SNF) should go directly to support the Bureau’s work that attributes for such fees and not to the general fund.</w:t>
            </w:r>
            <w:r w:rsidR="00FC2633" w:rsidRPr="006B7453">
              <w:t xml:space="preserve"> </w:t>
            </w:r>
            <w:r w:rsidRPr="006B7453">
              <w:t>It should not be a budget recovery mechanism.</w:t>
            </w:r>
          </w:p>
        </w:tc>
        <w:tc>
          <w:tcPr>
            <w:tcW w:w="2176" w:type="pct"/>
          </w:tcPr>
          <w:p w14:paraId="122311F5" w14:textId="77777777" w:rsidR="009142C6" w:rsidRPr="006B7453" w:rsidRDefault="009142C6" w:rsidP="002D6865">
            <w:pPr>
              <w:pStyle w:val="Tabletext"/>
            </w:pPr>
            <w:r w:rsidRPr="006B7453">
              <w:t>Where does the ITU currently attribute those fees?</w:t>
            </w:r>
          </w:p>
        </w:tc>
      </w:tr>
      <w:tr w:rsidR="009142C6" w:rsidRPr="006B7453" w14:paraId="4EF33306" w14:textId="77777777" w:rsidTr="002D6865">
        <w:trPr>
          <w:cantSplit/>
          <w:jc w:val="center"/>
        </w:trPr>
        <w:tc>
          <w:tcPr>
            <w:tcW w:w="5000" w:type="pct"/>
            <w:gridSpan w:val="3"/>
            <w:shd w:val="clear" w:color="auto" w:fill="EEECE1" w:themeFill="background2"/>
          </w:tcPr>
          <w:p w14:paraId="215181F4" w14:textId="4D47F82C" w:rsidR="009142C6" w:rsidRPr="006B7453" w:rsidRDefault="009142C6" w:rsidP="002D6865">
            <w:pPr>
              <w:pStyle w:val="Tabletext"/>
              <w:rPr>
                <w:b/>
                <w:bCs/>
              </w:rPr>
            </w:pPr>
            <w:r w:rsidRPr="006B7453">
              <w:rPr>
                <w:b/>
                <w:bCs/>
              </w:rPr>
              <w:t xml:space="preserve">Free </w:t>
            </w:r>
            <w:r w:rsidR="00E66FAB" w:rsidRPr="006B7453">
              <w:rPr>
                <w:b/>
                <w:bCs/>
              </w:rPr>
              <w:t>filing</w:t>
            </w:r>
          </w:p>
        </w:tc>
      </w:tr>
      <w:tr w:rsidR="009142C6" w:rsidRPr="006B7453" w14:paraId="1A0E7B62" w14:textId="77777777" w:rsidTr="002D6865">
        <w:trPr>
          <w:cantSplit/>
          <w:jc w:val="center"/>
        </w:trPr>
        <w:tc>
          <w:tcPr>
            <w:tcW w:w="787" w:type="pct"/>
            <w:vMerge w:val="restart"/>
          </w:tcPr>
          <w:p w14:paraId="62F94EA9" w14:textId="77777777" w:rsidR="009142C6" w:rsidRPr="006B7453" w:rsidRDefault="009142C6" w:rsidP="002D6865">
            <w:pPr>
              <w:pStyle w:val="Tabletext"/>
            </w:pPr>
          </w:p>
        </w:tc>
        <w:tc>
          <w:tcPr>
            <w:tcW w:w="2037" w:type="pct"/>
          </w:tcPr>
          <w:p w14:paraId="114B8F4D" w14:textId="63CDC453" w:rsidR="009142C6" w:rsidRPr="006B7453" w:rsidRDefault="009142C6" w:rsidP="002D6865">
            <w:pPr>
              <w:pStyle w:val="Tabletext"/>
            </w:pPr>
            <w:r w:rsidRPr="006B7453">
              <w:t>The cost of free filings should be covered by Member State contributions.</w:t>
            </w:r>
            <w:r w:rsidR="00FC2633" w:rsidRPr="006B7453">
              <w:t xml:space="preserve"> </w:t>
            </w:r>
            <w:r w:rsidRPr="006B7453">
              <w:t>(Multiple countries).</w:t>
            </w:r>
            <w:r w:rsidR="00FC2633" w:rsidRPr="006B7453">
              <w:t xml:space="preserve"> </w:t>
            </w:r>
            <w:r w:rsidRPr="006B7453">
              <w:t>Others thought free filings should be funded by cost recovery and not the ITU regular budget. (As a result of Res. 91)</w:t>
            </w:r>
          </w:p>
        </w:tc>
        <w:tc>
          <w:tcPr>
            <w:tcW w:w="2176" w:type="pct"/>
          </w:tcPr>
          <w:p w14:paraId="1AC531A6" w14:textId="22035D9F" w:rsidR="009142C6" w:rsidRPr="006B7453" w:rsidRDefault="009142C6" w:rsidP="002D6865">
            <w:pPr>
              <w:pStyle w:val="Tabletext"/>
            </w:pPr>
            <w:r w:rsidRPr="006B7453">
              <w:t>What does a free filing entail and cost?</w:t>
            </w:r>
            <w:r w:rsidR="00FC2633" w:rsidRPr="006B7453">
              <w:t xml:space="preserve"> </w:t>
            </w:r>
            <w:r w:rsidRPr="006B7453">
              <w:t>Who pays for free filings now?</w:t>
            </w:r>
            <w:r w:rsidR="00FC2633" w:rsidRPr="006B7453">
              <w:t xml:space="preserve"> </w:t>
            </w:r>
            <w:r w:rsidRPr="006B7453">
              <w:t>Should free filings have cost limits and who determines the cost?</w:t>
            </w:r>
          </w:p>
        </w:tc>
      </w:tr>
      <w:tr w:rsidR="009142C6" w:rsidRPr="006B7453" w14:paraId="1D0C720D" w14:textId="77777777" w:rsidTr="002D6865">
        <w:trPr>
          <w:cantSplit/>
          <w:jc w:val="center"/>
        </w:trPr>
        <w:tc>
          <w:tcPr>
            <w:tcW w:w="787" w:type="pct"/>
            <w:vMerge/>
          </w:tcPr>
          <w:p w14:paraId="38A01C6B" w14:textId="77777777" w:rsidR="009142C6" w:rsidRPr="006B7453" w:rsidRDefault="009142C6" w:rsidP="002D6865">
            <w:pPr>
              <w:pStyle w:val="Tabletext"/>
            </w:pPr>
          </w:p>
        </w:tc>
        <w:tc>
          <w:tcPr>
            <w:tcW w:w="2037" w:type="pct"/>
          </w:tcPr>
          <w:p w14:paraId="716F0916" w14:textId="77777777" w:rsidR="009142C6" w:rsidRPr="006B7453" w:rsidRDefault="009142C6" w:rsidP="002D6865">
            <w:pPr>
              <w:pStyle w:val="Tabletext"/>
            </w:pPr>
            <w:r w:rsidRPr="006B7453">
              <w:t>Free filings are a core function of the ITU’s mandate. (Multiple countries)</w:t>
            </w:r>
          </w:p>
        </w:tc>
        <w:tc>
          <w:tcPr>
            <w:tcW w:w="2176" w:type="pct"/>
          </w:tcPr>
          <w:p w14:paraId="4BBC977D" w14:textId="77777777" w:rsidR="009142C6" w:rsidRPr="006B7453" w:rsidRDefault="009142C6" w:rsidP="002D6865">
            <w:pPr>
              <w:pStyle w:val="Tabletext"/>
            </w:pPr>
            <w:r w:rsidRPr="006B7453">
              <w:t xml:space="preserve">Does the purpose for which free filings were originally convened still stand or not? </w:t>
            </w:r>
          </w:p>
        </w:tc>
      </w:tr>
      <w:tr w:rsidR="009142C6" w:rsidRPr="006B7453" w14:paraId="1FB9EF4F" w14:textId="77777777" w:rsidTr="002D6865">
        <w:trPr>
          <w:cantSplit/>
          <w:jc w:val="center"/>
        </w:trPr>
        <w:tc>
          <w:tcPr>
            <w:tcW w:w="787" w:type="pct"/>
            <w:vMerge/>
          </w:tcPr>
          <w:p w14:paraId="018015D2" w14:textId="77777777" w:rsidR="009142C6" w:rsidRPr="006B7453" w:rsidRDefault="009142C6" w:rsidP="002D6865">
            <w:pPr>
              <w:pStyle w:val="Tabletext"/>
            </w:pPr>
          </w:p>
        </w:tc>
        <w:tc>
          <w:tcPr>
            <w:tcW w:w="2037" w:type="pct"/>
          </w:tcPr>
          <w:p w14:paraId="29D1DC80" w14:textId="77777777" w:rsidR="009142C6" w:rsidRPr="006B7453" w:rsidRDefault="009142C6" w:rsidP="002D6865">
            <w:pPr>
              <w:pStyle w:val="Tabletext"/>
            </w:pPr>
            <w:r w:rsidRPr="006B7453">
              <w:t>Free filings do not currently take into account considerations of developing countries and should remain in place to support developing countries, at minimum.</w:t>
            </w:r>
          </w:p>
        </w:tc>
        <w:tc>
          <w:tcPr>
            <w:tcW w:w="2176" w:type="pct"/>
          </w:tcPr>
          <w:p w14:paraId="7304F1B7" w14:textId="77777777" w:rsidR="009142C6" w:rsidRPr="006B7453" w:rsidRDefault="009142C6" w:rsidP="002D6865">
            <w:pPr>
              <w:pStyle w:val="Tabletext"/>
            </w:pPr>
          </w:p>
        </w:tc>
      </w:tr>
      <w:tr w:rsidR="009142C6" w:rsidRPr="006B7453" w14:paraId="7EEC8343" w14:textId="77777777" w:rsidTr="002D6865">
        <w:trPr>
          <w:cantSplit/>
          <w:jc w:val="center"/>
        </w:trPr>
        <w:tc>
          <w:tcPr>
            <w:tcW w:w="787" w:type="pct"/>
            <w:vMerge/>
          </w:tcPr>
          <w:p w14:paraId="3B1E6245" w14:textId="77777777" w:rsidR="009142C6" w:rsidRPr="006B7453" w:rsidRDefault="009142C6" w:rsidP="002D6865">
            <w:pPr>
              <w:pStyle w:val="Tabletext"/>
            </w:pPr>
          </w:p>
        </w:tc>
        <w:tc>
          <w:tcPr>
            <w:tcW w:w="2037" w:type="pct"/>
          </w:tcPr>
          <w:p w14:paraId="17ACD03A" w14:textId="77777777" w:rsidR="009142C6" w:rsidRPr="006B7453" w:rsidRDefault="009142C6" w:rsidP="002D6865">
            <w:pPr>
              <w:pStyle w:val="Tabletext"/>
            </w:pPr>
            <w:r w:rsidRPr="006B7453">
              <w:t xml:space="preserve">Propose free filing allowance for regional satellite initiative for equitable access. </w:t>
            </w:r>
          </w:p>
        </w:tc>
        <w:tc>
          <w:tcPr>
            <w:tcW w:w="2176" w:type="pct"/>
          </w:tcPr>
          <w:p w14:paraId="5BBD0EC5" w14:textId="77777777" w:rsidR="009142C6" w:rsidRPr="006B7453" w:rsidRDefault="009142C6" w:rsidP="002D6865">
            <w:pPr>
              <w:pStyle w:val="Tabletext"/>
            </w:pPr>
            <w:r w:rsidRPr="006B7453">
              <w:t>Do we need to differentiate between developed and developing countries?</w:t>
            </w:r>
          </w:p>
        </w:tc>
      </w:tr>
      <w:tr w:rsidR="009142C6" w:rsidRPr="006B7453" w14:paraId="3C1F0DC2" w14:textId="77777777" w:rsidTr="002D6865">
        <w:trPr>
          <w:cantSplit/>
          <w:jc w:val="center"/>
        </w:trPr>
        <w:tc>
          <w:tcPr>
            <w:tcW w:w="787" w:type="pct"/>
            <w:vMerge/>
          </w:tcPr>
          <w:p w14:paraId="5274B087" w14:textId="77777777" w:rsidR="009142C6" w:rsidRPr="006B7453" w:rsidRDefault="009142C6" w:rsidP="002D6865">
            <w:pPr>
              <w:pStyle w:val="Tabletext"/>
            </w:pPr>
          </w:p>
        </w:tc>
        <w:tc>
          <w:tcPr>
            <w:tcW w:w="2037" w:type="pct"/>
          </w:tcPr>
          <w:p w14:paraId="61A50960" w14:textId="7672C8AD" w:rsidR="009142C6" w:rsidRPr="006B7453" w:rsidRDefault="009142C6" w:rsidP="002D6865">
            <w:pPr>
              <w:pStyle w:val="Tabletext"/>
            </w:pPr>
            <w:r w:rsidRPr="006B7453">
              <w:t>Free filings should be applied to complete satellite systems. Exclude free filings for modifications.</w:t>
            </w:r>
            <w:r w:rsidR="00FC2633" w:rsidRPr="006B7453">
              <w:t xml:space="preserve"> </w:t>
            </w:r>
          </w:p>
        </w:tc>
        <w:tc>
          <w:tcPr>
            <w:tcW w:w="2176" w:type="pct"/>
          </w:tcPr>
          <w:p w14:paraId="13659C04" w14:textId="1C377369" w:rsidR="009142C6" w:rsidRPr="006B7453" w:rsidRDefault="009142C6" w:rsidP="002D6865">
            <w:pPr>
              <w:pStyle w:val="Tabletext"/>
            </w:pPr>
          </w:p>
        </w:tc>
      </w:tr>
      <w:tr w:rsidR="009142C6" w:rsidRPr="006B7453" w14:paraId="432F2B95" w14:textId="77777777" w:rsidTr="002D6865">
        <w:trPr>
          <w:cantSplit/>
          <w:jc w:val="center"/>
        </w:trPr>
        <w:tc>
          <w:tcPr>
            <w:tcW w:w="787" w:type="pct"/>
            <w:vMerge/>
          </w:tcPr>
          <w:p w14:paraId="0E5FB02F" w14:textId="77777777" w:rsidR="009142C6" w:rsidRPr="006B7453" w:rsidRDefault="009142C6" w:rsidP="002D6865">
            <w:pPr>
              <w:pStyle w:val="Tabletext"/>
            </w:pPr>
          </w:p>
        </w:tc>
        <w:tc>
          <w:tcPr>
            <w:tcW w:w="2037" w:type="pct"/>
          </w:tcPr>
          <w:p w14:paraId="07F6B359" w14:textId="77777777" w:rsidR="009142C6" w:rsidRPr="006B7453" w:rsidRDefault="009142C6" w:rsidP="002D6865">
            <w:pPr>
              <w:pStyle w:val="Tabletext"/>
            </w:pPr>
            <w:r w:rsidRPr="006B7453">
              <w:t>Continue free filing discussions through consultations with the Expert Group on DEC482.</w:t>
            </w:r>
          </w:p>
        </w:tc>
        <w:tc>
          <w:tcPr>
            <w:tcW w:w="2176" w:type="pct"/>
          </w:tcPr>
          <w:p w14:paraId="1E4B209F" w14:textId="77777777" w:rsidR="009142C6" w:rsidRPr="006B7453" w:rsidRDefault="009142C6" w:rsidP="002D6865">
            <w:pPr>
              <w:pStyle w:val="Tabletext"/>
            </w:pPr>
          </w:p>
        </w:tc>
      </w:tr>
      <w:tr w:rsidR="009142C6" w:rsidRPr="006B7453" w14:paraId="312DADE7" w14:textId="77777777" w:rsidTr="002D6865">
        <w:trPr>
          <w:cantSplit/>
          <w:jc w:val="center"/>
        </w:trPr>
        <w:tc>
          <w:tcPr>
            <w:tcW w:w="787" w:type="pct"/>
            <w:vMerge/>
          </w:tcPr>
          <w:p w14:paraId="03A7D956" w14:textId="77777777" w:rsidR="009142C6" w:rsidRPr="006B7453" w:rsidRDefault="009142C6" w:rsidP="002D6865">
            <w:pPr>
              <w:pStyle w:val="Tabletext"/>
            </w:pPr>
          </w:p>
        </w:tc>
        <w:tc>
          <w:tcPr>
            <w:tcW w:w="2037" w:type="pct"/>
          </w:tcPr>
          <w:p w14:paraId="5949626D" w14:textId="77777777" w:rsidR="009142C6" w:rsidRPr="006B7453" w:rsidRDefault="009142C6" w:rsidP="002D6865">
            <w:pPr>
              <w:pStyle w:val="Tabletext"/>
            </w:pPr>
            <w:r w:rsidRPr="006B7453">
              <w:t>Suggest ITU send annual reminders to countries, especially developing countries, to use their free filing.</w:t>
            </w:r>
          </w:p>
        </w:tc>
        <w:tc>
          <w:tcPr>
            <w:tcW w:w="2176" w:type="pct"/>
          </w:tcPr>
          <w:p w14:paraId="6F51D38D" w14:textId="77777777" w:rsidR="009142C6" w:rsidRPr="006B7453" w:rsidRDefault="009142C6" w:rsidP="002D6865">
            <w:pPr>
              <w:pStyle w:val="Tabletext"/>
            </w:pPr>
          </w:p>
        </w:tc>
      </w:tr>
      <w:tr w:rsidR="009142C6" w:rsidRPr="006B7453" w14:paraId="075B4A58" w14:textId="77777777" w:rsidTr="002D6865">
        <w:trPr>
          <w:cantSplit/>
          <w:jc w:val="center"/>
        </w:trPr>
        <w:tc>
          <w:tcPr>
            <w:tcW w:w="787" w:type="pct"/>
            <w:vMerge/>
          </w:tcPr>
          <w:p w14:paraId="40753D20" w14:textId="77777777" w:rsidR="009142C6" w:rsidRPr="006B7453" w:rsidRDefault="009142C6" w:rsidP="002D6865">
            <w:pPr>
              <w:pStyle w:val="Tabletext"/>
            </w:pPr>
          </w:p>
        </w:tc>
        <w:tc>
          <w:tcPr>
            <w:tcW w:w="2037" w:type="pct"/>
          </w:tcPr>
          <w:p w14:paraId="6CB6D608" w14:textId="77777777" w:rsidR="009142C6" w:rsidRPr="006B7453" w:rsidRDefault="009142C6" w:rsidP="002D6865">
            <w:pPr>
              <w:pStyle w:val="Tabletext"/>
            </w:pPr>
            <w:r w:rsidRPr="006B7453">
              <w:t xml:space="preserve">Some Members supported the multi-country contribution’s proposal for preventing misuse of free filings. </w:t>
            </w:r>
          </w:p>
        </w:tc>
        <w:tc>
          <w:tcPr>
            <w:tcW w:w="2176" w:type="pct"/>
          </w:tcPr>
          <w:p w14:paraId="3D3DCFD7" w14:textId="77777777" w:rsidR="009142C6" w:rsidRPr="006B7453" w:rsidRDefault="009142C6" w:rsidP="002D6865">
            <w:pPr>
              <w:pStyle w:val="Tabletext"/>
            </w:pPr>
          </w:p>
        </w:tc>
      </w:tr>
      <w:tr w:rsidR="009142C6" w:rsidRPr="006B7453" w14:paraId="2CC02103" w14:textId="77777777" w:rsidTr="002D6865">
        <w:trPr>
          <w:cantSplit/>
          <w:jc w:val="center"/>
        </w:trPr>
        <w:tc>
          <w:tcPr>
            <w:tcW w:w="5000" w:type="pct"/>
            <w:gridSpan w:val="3"/>
            <w:shd w:val="clear" w:color="auto" w:fill="EEECE1" w:themeFill="background2"/>
          </w:tcPr>
          <w:p w14:paraId="543FC046" w14:textId="77777777" w:rsidR="009142C6" w:rsidRPr="006B7453" w:rsidRDefault="009142C6" w:rsidP="00E66FAB">
            <w:pPr>
              <w:pStyle w:val="Tabletext"/>
              <w:keepNext/>
              <w:rPr>
                <w:b/>
                <w:bCs/>
              </w:rPr>
            </w:pPr>
            <w:r w:rsidRPr="006B7453">
              <w:rPr>
                <w:b/>
                <w:bCs/>
              </w:rPr>
              <w:lastRenderedPageBreak/>
              <w:t>Transparency</w:t>
            </w:r>
          </w:p>
        </w:tc>
      </w:tr>
      <w:tr w:rsidR="009142C6" w:rsidRPr="006B7453" w14:paraId="53516F26" w14:textId="77777777" w:rsidTr="002D6865">
        <w:trPr>
          <w:cantSplit/>
          <w:jc w:val="center"/>
        </w:trPr>
        <w:tc>
          <w:tcPr>
            <w:tcW w:w="787" w:type="pct"/>
            <w:vMerge w:val="restart"/>
          </w:tcPr>
          <w:p w14:paraId="61BF32ED" w14:textId="77777777" w:rsidR="009142C6" w:rsidRPr="006B7453" w:rsidRDefault="009142C6" w:rsidP="002D6865">
            <w:pPr>
              <w:pStyle w:val="Tabletext"/>
            </w:pPr>
          </w:p>
        </w:tc>
        <w:tc>
          <w:tcPr>
            <w:tcW w:w="2037" w:type="pct"/>
          </w:tcPr>
          <w:p w14:paraId="7F1188D5" w14:textId="577F293A" w:rsidR="009142C6" w:rsidRPr="006B7453" w:rsidRDefault="007E5CA9" w:rsidP="002D6865">
            <w:pPr>
              <w:pStyle w:val="Tabletext"/>
            </w:pPr>
            <w:r w:rsidRPr="006B7453">
              <w:t>Secretariat</w:t>
            </w:r>
            <w:r w:rsidR="009142C6" w:rsidRPr="006B7453">
              <w:t>’s proposal lacks specific measures. Ground the proposed methodology on audited data from BR operations.</w:t>
            </w:r>
          </w:p>
        </w:tc>
        <w:tc>
          <w:tcPr>
            <w:tcW w:w="2176" w:type="pct"/>
          </w:tcPr>
          <w:p w14:paraId="5EBB524E" w14:textId="3E9BA70F" w:rsidR="009142C6" w:rsidRPr="006B7453" w:rsidRDefault="009142C6" w:rsidP="002D6865">
            <w:pPr>
              <w:pStyle w:val="Tabletext"/>
            </w:pPr>
            <w:r w:rsidRPr="006B7453">
              <w:t xml:space="preserve">Seeking clarification on the cost components to be recovered in the methodology. Specifically, how will </w:t>
            </w:r>
            <w:r w:rsidR="003537CB" w:rsidRPr="006B7453">
              <w:t>s</w:t>
            </w:r>
            <w:r w:rsidR="007E5CA9" w:rsidRPr="006B7453">
              <w:t>ecretariat</w:t>
            </w:r>
            <w:r w:rsidRPr="006B7453">
              <w:t xml:space="preserve"> determine definitions, calculations and allocations for direct costs and indirect costs. </w:t>
            </w:r>
          </w:p>
        </w:tc>
      </w:tr>
      <w:tr w:rsidR="009142C6" w:rsidRPr="006B7453" w14:paraId="04E9DF26" w14:textId="77777777" w:rsidTr="002D6865">
        <w:trPr>
          <w:cantSplit/>
          <w:jc w:val="center"/>
        </w:trPr>
        <w:tc>
          <w:tcPr>
            <w:tcW w:w="787" w:type="pct"/>
            <w:vMerge/>
          </w:tcPr>
          <w:p w14:paraId="7621E576" w14:textId="77777777" w:rsidR="009142C6" w:rsidRPr="006B7453" w:rsidRDefault="009142C6" w:rsidP="002D6865">
            <w:pPr>
              <w:pStyle w:val="Tabletext"/>
            </w:pPr>
          </w:p>
        </w:tc>
        <w:tc>
          <w:tcPr>
            <w:tcW w:w="2037" w:type="pct"/>
          </w:tcPr>
          <w:p w14:paraId="0D6CC5D9" w14:textId="31DDBA86" w:rsidR="009142C6" w:rsidRPr="006B7453" w:rsidRDefault="009142C6" w:rsidP="002D6865">
            <w:pPr>
              <w:pStyle w:val="Tabletext"/>
            </w:pPr>
            <w:r w:rsidRPr="006B7453">
              <w:t xml:space="preserve">Some countries indicate that any direct or indirect costs must be recovered via cost </w:t>
            </w:r>
            <w:r w:rsidR="00E35C9F" w:rsidRPr="006B7453">
              <w:t>recovery,</w:t>
            </w:r>
            <w:r w:rsidRPr="006B7453">
              <w:t xml:space="preserve"> and the </w:t>
            </w:r>
            <w:r w:rsidR="003537CB" w:rsidRPr="006B7453">
              <w:t>s</w:t>
            </w:r>
            <w:r w:rsidR="007E5CA9" w:rsidRPr="006B7453">
              <w:t>ecretariat</w:t>
            </w:r>
            <w:r w:rsidRPr="006B7453">
              <w:t xml:space="preserve"> must demonstrate the link between overhead costs and SNF delivery for those costs to be included.</w:t>
            </w:r>
          </w:p>
        </w:tc>
        <w:tc>
          <w:tcPr>
            <w:tcW w:w="2176" w:type="pct"/>
          </w:tcPr>
          <w:p w14:paraId="20EED18D" w14:textId="5849C260" w:rsidR="009142C6" w:rsidRPr="006B7453" w:rsidRDefault="009142C6" w:rsidP="002D6865">
            <w:pPr>
              <w:pStyle w:val="Tabletext"/>
            </w:pPr>
            <w:r w:rsidRPr="006B7453">
              <w:t xml:space="preserve">How does the </w:t>
            </w:r>
            <w:r w:rsidR="003537CB" w:rsidRPr="006B7453">
              <w:t>s</w:t>
            </w:r>
            <w:r w:rsidR="007E5CA9" w:rsidRPr="006B7453">
              <w:t>ecretariat</w:t>
            </w:r>
            <w:r w:rsidRPr="006B7453">
              <w:t xml:space="preserve"> intend to measure and report on the efficiency gains from the suggested SNF reform?</w:t>
            </w:r>
          </w:p>
        </w:tc>
      </w:tr>
      <w:tr w:rsidR="009142C6" w:rsidRPr="006B7453" w14:paraId="34E516DA" w14:textId="77777777" w:rsidTr="002D6865">
        <w:trPr>
          <w:cantSplit/>
          <w:jc w:val="center"/>
        </w:trPr>
        <w:tc>
          <w:tcPr>
            <w:tcW w:w="787" w:type="pct"/>
            <w:vMerge/>
          </w:tcPr>
          <w:p w14:paraId="1B226EE0" w14:textId="77777777" w:rsidR="009142C6" w:rsidRPr="006B7453" w:rsidRDefault="009142C6" w:rsidP="002D6865">
            <w:pPr>
              <w:pStyle w:val="Tabletext"/>
            </w:pPr>
          </w:p>
        </w:tc>
        <w:tc>
          <w:tcPr>
            <w:tcW w:w="2037" w:type="pct"/>
          </w:tcPr>
          <w:p w14:paraId="13045873" w14:textId="77777777" w:rsidR="009142C6" w:rsidRPr="006B7453" w:rsidRDefault="009142C6" w:rsidP="002D6865">
            <w:pPr>
              <w:pStyle w:val="Tabletext"/>
            </w:pPr>
            <w:r w:rsidRPr="006B7453">
              <w:t xml:space="preserve">Res. 91 does not mention capital costs such as depreciation. </w:t>
            </w:r>
          </w:p>
        </w:tc>
        <w:tc>
          <w:tcPr>
            <w:tcW w:w="2176" w:type="pct"/>
          </w:tcPr>
          <w:p w14:paraId="28C1FBC9" w14:textId="77777777" w:rsidR="009142C6" w:rsidRPr="006B7453" w:rsidRDefault="009142C6" w:rsidP="002D6865">
            <w:pPr>
              <w:pStyle w:val="Tabletext"/>
            </w:pPr>
            <w:r w:rsidRPr="006B7453">
              <w:t>Are capital costs, direct or indirect? Why would they be included?</w:t>
            </w:r>
          </w:p>
        </w:tc>
      </w:tr>
      <w:tr w:rsidR="009142C6" w:rsidRPr="006B7453" w14:paraId="5FA217EA" w14:textId="77777777" w:rsidTr="002D6865">
        <w:trPr>
          <w:cantSplit/>
          <w:jc w:val="center"/>
        </w:trPr>
        <w:tc>
          <w:tcPr>
            <w:tcW w:w="787" w:type="pct"/>
          </w:tcPr>
          <w:p w14:paraId="53AA71F3" w14:textId="77777777" w:rsidR="009142C6" w:rsidRPr="006B7453" w:rsidRDefault="009142C6" w:rsidP="002D6865">
            <w:pPr>
              <w:pStyle w:val="Tabletext"/>
            </w:pPr>
          </w:p>
        </w:tc>
        <w:tc>
          <w:tcPr>
            <w:tcW w:w="2037" w:type="pct"/>
          </w:tcPr>
          <w:p w14:paraId="4CE25F6D" w14:textId="77777777" w:rsidR="009142C6" w:rsidRPr="006B7453" w:rsidRDefault="009142C6" w:rsidP="002D6865">
            <w:pPr>
              <w:pStyle w:val="Tabletext"/>
            </w:pPr>
            <w:r w:rsidRPr="006B7453">
              <w:t xml:space="preserve">Some Members expressed concern that a limited number of multi-national entities may benefit from free filings. </w:t>
            </w:r>
          </w:p>
        </w:tc>
        <w:tc>
          <w:tcPr>
            <w:tcW w:w="2176" w:type="pct"/>
          </w:tcPr>
          <w:p w14:paraId="2B54648C" w14:textId="6315C5D1" w:rsidR="009142C6" w:rsidRPr="006B7453" w:rsidRDefault="009142C6" w:rsidP="002D6865">
            <w:pPr>
              <w:pStyle w:val="Tabletext"/>
            </w:pPr>
            <w:r w:rsidRPr="006B7453">
              <w:t>What are the financial implications of free filings that were part of the same satellite constellation?</w:t>
            </w:r>
          </w:p>
        </w:tc>
      </w:tr>
      <w:tr w:rsidR="009142C6" w:rsidRPr="006B7453" w14:paraId="032300EA" w14:textId="77777777" w:rsidTr="002D6865">
        <w:trPr>
          <w:cantSplit/>
          <w:jc w:val="center"/>
        </w:trPr>
        <w:tc>
          <w:tcPr>
            <w:tcW w:w="5000" w:type="pct"/>
            <w:gridSpan w:val="3"/>
            <w:shd w:val="clear" w:color="auto" w:fill="EEECE1" w:themeFill="background2"/>
          </w:tcPr>
          <w:p w14:paraId="687C49AB" w14:textId="77777777" w:rsidR="009142C6" w:rsidRPr="006B7453" w:rsidRDefault="009142C6" w:rsidP="002D6865">
            <w:pPr>
              <w:pStyle w:val="Tabletext"/>
              <w:rPr>
                <w:b/>
                <w:bCs/>
              </w:rPr>
            </w:pPr>
            <w:r w:rsidRPr="006B7453">
              <w:rPr>
                <w:b/>
                <w:bCs/>
              </w:rPr>
              <w:t>Predictable Fee Structure</w:t>
            </w:r>
          </w:p>
        </w:tc>
      </w:tr>
      <w:tr w:rsidR="009142C6" w:rsidRPr="006B7453" w14:paraId="5E03C76C" w14:textId="77777777" w:rsidTr="002D6865">
        <w:trPr>
          <w:cantSplit/>
          <w:jc w:val="center"/>
        </w:trPr>
        <w:tc>
          <w:tcPr>
            <w:tcW w:w="787" w:type="pct"/>
          </w:tcPr>
          <w:p w14:paraId="70E6B1AD" w14:textId="77777777" w:rsidR="009142C6" w:rsidRPr="006B7453" w:rsidRDefault="009142C6" w:rsidP="002D6865">
            <w:pPr>
              <w:pStyle w:val="Tabletext"/>
            </w:pPr>
          </w:p>
        </w:tc>
        <w:tc>
          <w:tcPr>
            <w:tcW w:w="2037" w:type="pct"/>
          </w:tcPr>
          <w:p w14:paraId="5D3B1B2E" w14:textId="77777777" w:rsidR="009142C6" w:rsidRPr="006B7453" w:rsidRDefault="009142C6" w:rsidP="002D6865">
            <w:pPr>
              <w:pStyle w:val="Tabletext"/>
            </w:pPr>
            <w:r w:rsidRPr="006B7453">
              <w:t xml:space="preserve">Member States seem to agree that major fluctuations inhibit satellite network planning, </w:t>
            </w:r>
          </w:p>
        </w:tc>
        <w:tc>
          <w:tcPr>
            <w:tcW w:w="2176" w:type="pct"/>
          </w:tcPr>
          <w:p w14:paraId="3F8EA2AE" w14:textId="77777777" w:rsidR="009142C6" w:rsidRPr="006B7453" w:rsidRDefault="009142C6" w:rsidP="002D6865">
            <w:pPr>
              <w:pStyle w:val="Tabletext"/>
            </w:pPr>
            <w:r w:rsidRPr="006B7453">
              <w:t>Can ITU propose something other than an annual adjustment for long-term planning purposes?</w:t>
            </w:r>
          </w:p>
        </w:tc>
      </w:tr>
      <w:tr w:rsidR="009142C6" w:rsidRPr="006B7453" w14:paraId="5BD38088" w14:textId="77777777" w:rsidTr="002D6865">
        <w:trPr>
          <w:cantSplit/>
          <w:jc w:val="center"/>
        </w:trPr>
        <w:tc>
          <w:tcPr>
            <w:tcW w:w="5000" w:type="pct"/>
            <w:gridSpan w:val="3"/>
            <w:shd w:val="clear" w:color="auto" w:fill="EEECE1" w:themeFill="background2"/>
          </w:tcPr>
          <w:p w14:paraId="52066EBF" w14:textId="77777777" w:rsidR="009142C6" w:rsidRPr="006B7453" w:rsidRDefault="009142C6" w:rsidP="002D6865">
            <w:pPr>
              <w:pStyle w:val="Tabletext"/>
              <w:rPr>
                <w:b/>
                <w:bCs/>
              </w:rPr>
            </w:pPr>
            <w:r w:rsidRPr="006B7453">
              <w:rPr>
                <w:b/>
                <w:bCs/>
              </w:rPr>
              <w:t>Other</w:t>
            </w:r>
          </w:p>
        </w:tc>
      </w:tr>
      <w:tr w:rsidR="009142C6" w:rsidRPr="006B7453" w14:paraId="1914C94A" w14:textId="77777777" w:rsidTr="002D6865">
        <w:trPr>
          <w:cantSplit/>
          <w:jc w:val="center"/>
        </w:trPr>
        <w:tc>
          <w:tcPr>
            <w:tcW w:w="787" w:type="pct"/>
            <w:vMerge w:val="restart"/>
          </w:tcPr>
          <w:p w14:paraId="5BF6D7DE" w14:textId="77777777" w:rsidR="009142C6" w:rsidRPr="006B7453" w:rsidRDefault="009142C6" w:rsidP="002D6865">
            <w:pPr>
              <w:pStyle w:val="Tabletext"/>
            </w:pPr>
          </w:p>
        </w:tc>
        <w:tc>
          <w:tcPr>
            <w:tcW w:w="2037" w:type="pct"/>
          </w:tcPr>
          <w:p w14:paraId="27C44028" w14:textId="316D9068" w:rsidR="009142C6" w:rsidRPr="006B7453" w:rsidRDefault="009142C6" w:rsidP="002D6865">
            <w:pPr>
              <w:pStyle w:val="Tabletext"/>
            </w:pPr>
            <w:r w:rsidRPr="006B7453">
              <w:t>Some points made by Members may go beyond FHR mandate/authority and should be decided by PP.</w:t>
            </w:r>
            <w:r w:rsidR="00FC2633" w:rsidRPr="006B7453">
              <w:t xml:space="preserve"> </w:t>
            </w:r>
          </w:p>
        </w:tc>
        <w:tc>
          <w:tcPr>
            <w:tcW w:w="2176" w:type="pct"/>
          </w:tcPr>
          <w:p w14:paraId="2EDE1693" w14:textId="77777777" w:rsidR="009142C6" w:rsidRPr="006B7453" w:rsidRDefault="009142C6" w:rsidP="002D6865">
            <w:pPr>
              <w:pStyle w:val="Tabletext"/>
            </w:pPr>
            <w:r w:rsidRPr="006B7453">
              <w:t xml:space="preserve">What recommendations will go to Council? </w:t>
            </w:r>
          </w:p>
        </w:tc>
      </w:tr>
      <w:tr w:rsidR="009142C6" w:rsidRPr="006B7453" w14:paraId="40DA0346" w14:textId="77777777" w:rsidTr="002D6865">
        <w:trPr>
          <w:cantSplit/>
          <w:jc w:val="center"/>
        </w:trPr>
        <w:tc>
          <w:tcPr>
            <w:tcW w:w="787" w:type="pct"/>
            <w:vMerge/>
          </w:tcPr>
          <w:p w14:paraId="4D7AE516" w14:textId="77777777" w:rsidR="009142C6" w:rsidRPr="006B7453" w:rsidRDefault="009142C6" w:rsidP="002D6865">
            <w:pPr>
              <w:pStyle w:val="Tabletext"/>
            </w:pPr>
          </w:p>
        </w:tc>
        <w:tc>
          <w:tcPr>
            <w:tcW w:w="2037" w:type="pct"/>
          </w:tcPr>
          <w:p w14:paraId="7EB36896" w14:textId="77777777" w:rsidR="009142C6" w:rsidRPr="006B7453" w:rsidRDefault="009142C6" w:rsidP="002D6865">
            <w:pPr>
              <w:pStyle w:val="Tabletext"/>
            </w:pPr>
            <w:r w:rsidRPr="006B7453">
              <w:t xml:space="preserve">Mixed support for and against reopening the Expert Group on Decision 482. </w:t>
            </w:r>
          </w:p>
        </w:tc>
        <w:tc>
          <w:tcPr>
            <w:tcW w:w="2176" w:type="pct"/>
          </w:tcPr>
          <w:p w14:paraId="43C03C67" w14:textId="5DBEFC49" w:rsidR="009142C6" w:rsidRPr="006B7453" w:rsidRDefault="009142C6" w:rsidP="002D6865">
            <w:pPr>
              <w:pStyle w:val="Tabletext"/>
            </w:pPr>
            <w:r w:rsidRPr="006B7453">
              <w:t>Is there a cost contingency plan to unlock the 5.5</w:t>
            </w:r>
            <w:r w:rsidR="00D67B7B">
              <w:t> </w:t>
            </w:r>
            <w:r w:rsidRPr="006B7453">
              <w:t>M of deferred SNF revenue?</w:t>
            </w:r>
          </w:p>
        </w:tc>
      </w:tr>
      <w:tr w:rsidR="009142C6" w:rsidRPr="006B7453" w14:paraId="13634F06" w14:textId="77777777" w:rsidTr="002D6865">
        <w:trPr>
          <w:cantSplit/>
          <w:jc w:val="center"/>
        </w:trPr>
        <w:tc>
          <w:tcPr>
            <w:tcW w:w="787" w:type="pct"/>
            <w:vMerge/>
          </w:tcPr>
          <w:p w14:paraId="06BC75B1" w14:textId="77777777" w:rsidR="009142C6" w:rsidRPr="006B7453" w:rsidRDefault="009142C6" w:rsidP="002D6865">
            <w:pPr>
              <w:pStyle w:val="Tabletext"/>
            </w:pPr>
          </w:p>
        </w:tc>
        <w:tc>
          <w:tcPr>
            <w:tcW w:w="2037" w:type="pct"/>
          </w:tcPr>
          <w:p w14:paraId="06FBB1F0" w14:textId="77777777" w:rsidR="009142C6" w:rsidRPr="006B7453" w:rsidRDefault="009142C6" w:rsidP="002D6865">
            <w:pPr>
              <w:pStyle w:val="Tabletext"/>
            </w:pPr>
            <w:r w:rsidRPr="006B7453">
              <w:t>Does not support including governance inputs from ITU-T and ITU-D conferences and assemblies. Suggest limiting these elements to PP, Council, and ITU-R.</w:t>
            </w:r>
          </w:p>
        </w:tc>
        <w:tc>
          <w:tcPr>
            <w:tcW w:w="2176" w:type="pct"/>
          </w:tcPr>
          <w:p w14:paraId="00E6053B" w14:textId="77777777" w:rsidR="009142C6" w:rsidRPr="006B7453" w:rsidRDefault="009142C6" w:rsidP="002D6865">
            <w:pPr>
              <w:pStyle w:val="Tabletext"/>
            </w:pPr>
          </w:p>
        </w:tc>
      </w:tr>
      <w:tr w:rsidR="009142C6" w:rsidRPr="006B7453" w14:paraId="6336519B" w14:textId="77777777" w:rsidTr="002D6865">
        <w:trPr>
          <w:cantSplit/>
          <w:jc w:val="center"/>
        </w:trPr>
        <w:tc>
          <w:tcPr>
            <w:tcW w:w="787" w:type="pct"/>
            <w:vMerge/>
          </w:tcPr>
          <w:p w14:paraId="63DB618F" w14:textId="77777777" w:rsidR="009142C6" w:rsidRPr="006B7453" w:rsidRDefault="009142C6" w:rsidP="002D6865">
            <w:pPr>
              <w:pStyle w:val="Tabletext"/>
            </w:pPr>
          </w:p>
        </w:tc>
        <w:tc>
          <w:tcPr>
            <w:tcW w:w="2037" w:type="pct"/>
          </w:tcPr>
          <w:p w14:paraId="723AA21F" w14:textId="0215A7CC" w:rsidR="009142C6" w:rsidRPr="006B7453" w:rsidRDefault="009142C6" w:rsidP="002D6865">
            <w:pPr>
              <w:pStyle w:val="Tabletext"/>
            </w:pPr>
            <w:r w:rsidRPr="006B7453">
              <w:t xml:space="preserve">Recommendations to strengthen the </w:t>
            </w:r>
            <w:r w:rsidR="003537CB" w:rsidRPr="006B7453">
              <w:t>s</w:t>
            </w:r>
            <w:r w:rsidR="007E5CA9" w:rsidRPr="006B7453">
              <w:t>ecretariat</w:t>
            </w:r>
            <w:r w:rsidRPr="006B7453">
              <w:t xml:space="preserve">’s document ahead of Council-26 by including elements of the 2025 JIU Report. </w:t>
            </w:r>
          </w:p>
        </w:tc>
        <w:tc>
          <w:tcPr>
            <w:tcW w:w="2176" w:type="pct"/>
          </w:tcPr>
          <w:p w14:paraId="4E6A6876" w14:textId="77777777" w:rsidR="009142C6" w:rsidRPr="006B7453" w:rsidRDefault="009142C6" w:rsidP="002D6865">
            <w:pPr>
              <w:pStyle w:val="Tabletext"/>
            </w:pPr>
          </w:p>
        </w:tc>
      </w:tr>
      <w:tr w:rsidR="009142C6" w:rsidRPr="006B7453" w14:paraId="32CF1DE5" w14:textId="77777777" w:rsidTr="002D6865">
        <w:trPr>
          <w:cantSplit/>
          <w:jc w:val="center"/>
        </w:trPr>
        <w:tc>
          <w:tcPr>
            <w:tcW w:w="787" w:type="pct"/>
            <w:vMerge/>
          </w:tcPr>
          <w:p w14:paraId="35E57FE0" w14:textId="77777777" w:rsidR="009142C6" w:rsidRPr="006B7453" w:rsidRDefault="009142C6" w:rsidP="002D6865">
            <w:pPr>
              <w:pStyle w:val="Tabletext"/>
            </w:pPr>
          </w:p>
        </w:tc>
        <w:tc>
          <w:tcPr>
            <w:tcW w:w="2037" w:type="pct"/>
          </w:tcPr>
          <w:p w14:paraId="406782AD" w14:textId="77777777" w:rsidR="009142C6" w:rsidRPr="006B7453" w:rsidRDefault="009142C6" w:rsidP="002D6865">
            <w:pPr>
              <w:pStyle w:val="Tabletext"/>
            </w:pPr>
            <w:r w:rsidRPr="006B7453">
              <w:t xml:space="preserve">Comparing the approach to indirect costs by national regulators to those of the ITU is not comparable. </w:t>
            </w:r>
          </w:p>
        </w:tc>
        <w:tc>
          <w:tcPr>
            <w:tcW w:w="2176" w:type="pct"/>
          </w:tcPr>
          <w:p w14:paraId="5E0CF991" w14:textId="77777777" w:rsidR="009142C6" w:rsidRPr="006B7453" w:rsidRDefault="009142C6" w:rsidP="002D6865">
            <w:pPr>
              <w:pStyle w:val="Tabletext"/>
            </w:pPr>
          </w:p>
        </w:tc>
      </w:tr>
      <w:tr w:rsidR="009142C6" w:rsidRPr="006B7453" w14:paraId="6CB5FBC6" w14:textId="77777777" w:rsidTr="002D6865">
        <w:trPr>
          <w:cantSplit/>
          <w:jc w:val="center"/>
        </w:trPr>
        <w:tc>
          <w:tcPr>
            <w:tcW w:w="5000" w:type="pct"/>
            <w:gridSpan w:val="3"/>
            <w:shd w:val="clear" w:color="auto" w:fill="EEECE1" w:themeFill="background2"/>
          </w:tcPr>
          <w:p w14:paraId="4EBABB73" w14:textId="77777777" w:rsidR="009142C6" w:rsidRPr="006B7453" w:rsidRDefault="009142C6" w:rsidP="002D6865">
            <w:pPr>
              <w:pStyle w:val="Tabletext"/>
              <w:rPr>
                <w:b/>
                <w:bCs/>
              </w:rPr>
            </w:pPr>
            <w:r w:rsidRPr="006B7453">
              <w:rPr>
                <w:b/>
                <w:bCs/>
              </w:rPr>
              <w:t xml:space="preserve">Where does CR go? It needs to go to BR. </w:t>
            </w:r>
          </w:p>
        </w:tc>
      </w:tr>
    </w:tbl>
    <w:p w14:paraId="1282B681" w14:textId="77777777" w:rsidR="00E66FAB" w:rsidRDefault="00E66FAB" w:rsidP="00E66FAB">
      <w:pPr>
        <w:pStyle w:val="Tablefin"/>
      </w:pPr>
    </w:p>
    <w:p w14:paraId="459403D5" w14:textId="16533E1E" w:rsidR="009142C6" w:rsidRPr="006B7453" w:rsidRDefault="009142C6" w:rsidP="002D6865">
      <w:pPr>
        <w:pStyle w:val="Heading1"/>
      </w:pPr>
      <w:r w:rsidRPr="006B7453">
        <w:lastRenderedPageBreak/>
        <w:t>14</w:t>
      </w:r>
      <w:r w:rsidRPr="006B7453">
        <w:tab/>
        <w:t xml:space="preserve">Methodology for review and revision of the contributory unit </w:t>
      </w:r>
      <w:r w:rsidR="002D6865" w:rsidRPr="006B7453">
        <w:br/>
      </w:r>
      <w:r w:rsidRPr="006B7453">
        <w:t xml:space="preserve">(Document </w:t>
      </w:r>
      <w:hyperlink r:id="rId81" w:history="1">
        <w:r w:rsidRPr="006B7453">
          <w:rPr>
            <w:rStyle w:val="Hyperlink"/>
          </w:rPr>
          <w:t>CWG-FHR-21/13</w:t>
        </w:r>
      </w:hyperlink>
      <w:r w:rsidRPr="006B7453">
        <w:t xml:space="preserve"> and </w:t>
      </w:r>
      <w:hyperlink r:id="rId82" w:history="1">
        <w:r w:rsidRPr="006B7453">
          <w:rPr>
            <w:rStyle w:val="Hyperlink"/>
          </w:rPr>
          <w:t>CWG-FHR-22/6</w:t>
        </w:r>
      </w:hyperlink>
      <w:r w:rsidRPr="006B7453">
        <w:t>)</w:t>
      </w:r>
    </w:p>
    <w:p w14:paraId="5A63CAC2" w14:textId="695E9A3E" w:rsidR="009142C6" w:rsidRPr="006B7453" w:rsidRDefault="009142C6" w:rsidP="002D6865">
      <w:pPr>
        <w:jc w:val="both"/>
      </w:pPr>
      <w:r w:rsidRPr="006B7453">
        <w:t>14.1</w:t>
      </w:r>
      <w:r w:rsidRPr="006B7453">
        <w:tab/>
        <w:t xml:space="preserve">Council 2025 decided not to increase the contributory unit. Noting the ITU’s experienced financial constraints, Council 2025 instructed the </w:t>
      </w:r>
      <w:r w:rsidR="003537CB" w:rsidRPr="006B7453">
        <w:t>s</w:t>
      </w:r>
      <w:r w:rsidR="007E5CA9" w:rsidRPr="006B7453">
        <w:t>ecretariat</w:t>
      </w:r>
      <w:r w:rsidRPr="006B7453">
        <w:t xml:space="preserve"> to develop and present possible approaches for Membership consideration of revisions to the contributory unit moving forward.</w:t>
      </w:r>
      <w:r w:rsidR="00FC2633" w:rsidRPr="006B7453">
        <w:t xml:space="preserve"> </w:t>
      </w:r>
      <w:r w:rsidRPr="006B7453">
        <w:t>At the 21</w:t>
      </w:r>
      <w:r w:rsidRPr="006B7453">
        <w:rPr>
          <w:vertAlign w:val="superscript"/>
        </w:rPr>
        <w:t>st</w:t>
      </w:r>
      <w:r w:rsidRPr="006B7453">
        <w:t xml:space="preserve"> meeting, the </w:t>
      </w:r>
      <w:r w:rsidR="003537CB" w:rsidRPr="006B7453">
        <w:t>s</w:t>
      </w:r>
      <w:r w:rsidR="007E5CA9" w:rsidRPr="006B7453">
        <w:t>ecretariat</w:t>
      </w:r>
      <w:r w:rsidRPr="006B7453">
        <w:t xml:space="preserve"> presented three approaches: 1) adjusting the contributory unit to reflect inflation, 2) linking contributory unit increases to performance improvements, and 3) aligning the contributory unit with ITU’s capacity to meet costs associated with new mandates.</w:t>
      </w:r>
    </w:p>
    <w:p w14:paraId="41666026" w14:textId="4B6A8BFC" w:rsidR="009142C6" w:rsidRPr="006B7453" w:rsidRDefault="009142C6" w:rsidP="002D6865">
      <w:pPr>
        <w:jc w:val="both"/>
      </w:pPr>
      <w:r w:rsidRPr="006B7453">
        <w:t>14.2</w:t>
      </w:r>
      <w:r w:rsidRPr="006B7453">
        <w:tab/>
        <w:t>Delegates despite divergent in their view of the proposed remedies, maintained consensus that the value of the contributory unit should not change.</w:t>
      </w:r>
      <w:r w:rsidR="00FC2633" w:rsidRPr="006B7453">
        <w:t xml:space="preserve"> </w:t>
      </w:r>
      <w:r w:rsidRPr="006B7453">
        <w:t>Most delegates proposed alignment back to the ITU’s core mandate, enhanced prioritization of programs/activities in alignment with UN80, increased efficiency, and greater embrace of results-based management.</w:t>
      </w:r>
      <w:r w:rsidR="00FC2633" w:rsidRPr="006B7453">
        <w:t xml:space="preserve"> </w:t>
      </w:r>
      <w:r w:rsidRPr="006B7453">
        <w:t>Others recommended modifying the methodologies to consider three factors (inflation, performance, and cost coverage) simultaneously, recognizing that while the value of a contributory unit has not changed, the volume of work before the ITU has increased.</w:t>
      </w:r>
      <w:r w:rsidR="00FC2633" w:rsidRPr="006B7453">
        <w:t xml:space="preserve"> </w:t>
      </w:r>
    </w:p>
    <w:p w14:paraId="0F836C52" w14:textId="2498A9A4" w:rsidR="009142C6" w:rsidRPr="006B7453" w:rsidRDefault="009142C6" w:rsidP="002D6865">
      <w:pPr>
        <w:jc w:val="both"/>
      </w:pPr>
      <w:r w:rsidRPr="006B7453">
        <w:t>14.3</w:t>
      </w:r>
      <w:r w:rsidRPr="006B7453">
        <w:tab/>
        <w:t xml:space="preserve">The </w:t>
      </w:r>
      <w:r w:rsidR="003537CB" w:rsidRPr="006B7453">
        <w:t>s</w:t>
      </w:r>
      <w:r w:rsidR="007E5CA9" w:rsidRPr="006B7453">
        <w:t>ecretariat</w:t>
      </w:r>
      <w:r w:rsidRPr="006B7453">
        <w:t xml:space="preserve"> intervened thanking delegates for their feedback and reminding all that the contributory unit will remain at CHF 318</w:t>
      </w:r>
      <w:r w:rsidR="002D6865" w:rsidRPr="006B7453">
        <w:t> </w:t>
      </w:r>
      <w:r w:rsidRPr="006B7453">
        <w:t>000 for the 2028-2031 financial cycle.</w:t>
      </w:r>
      <w:r w:rsidR="00FC2633" w:rsidRPr="006B7453">
        <w:t xml:space="preserve"> </w:t>
      </w:r>
      <w:r w:rsidRPr="006B7453">
        <w:t xml:space="preserve">Recognizing further discussion was needed, the Chair requested the </w:t>
      </w:r>
      <w:r w:rsidR="003537CB" w:rsidRPr="006B7453">
        <w:t>s</w:t>
      </w:r>
      <w:r w:rsidR="007E5CA9" w:rsidRPr="006B7453">
        <w:t>ecretariat</w:t>
      </w:r>
      <w:r w:rsidRPr="006B7453">
        <w:t xml:space="preserve"> bring a revised methodology to the next CWG-FHR meeting for continued discussion. </w:t>
      </w:r>
    </w:p>
    <w:p w14:paraId="3FDF4973" w14:textId="65435F8A" w:rsidR="009142C6" w:rsidRPr="006B7453" w:rsidRDefault="009142C6" w:rsidP="002D6865">
      <w:pPr>
        <w:jc w:val="both"/>
      </w:pPr>
      <w:r w:rsidRPr="006B7453">
        <w:t>14.4</w:t>
      </w:r>
      <w:r w:rsidRPr="006B7453">
        <w:tab/>
        <w:t>At the 22</w:t>
      </w:r>
      <w:r w:rsidRPr="006B7453">
        <w:rPr>
          <w:vertAlign w:val="superscript"/>
        </w:rPr>
        <w:t>nd</w:t>
      </w:r>
      <w:r w:rsidRPr="006B7453">
        <w:t xml:space="preserve"> meeting, the </w:t>
      </w:r>
      <w:r w:rsidR="003537CB" w:rsidRPr="006B7453">
        <w:t>s</w:t>
      </w:r>
      <w:r w:rsidR="007E5CA9" w:rsidRPr="006B7453">
        <w:t>ecretariat</w:t>
      </w:r>
      <w:r w:rsidRPr="006B7453">
        <w:t xml:space="preserve"> presented Document </w:t>
      </w:r>
      <w:hyperlink r:id="rId83" w:history="1">
        <w:r w:rsidRPr="006B7453">
          <w:rPr>
            <w:rStyle w:val="Hyperlink"/>
            <w:rFonts w:cs="Calibri"/>
          </w:rPr>
          <w:t>CWG-FHR-22/INF/2</w:t>
        </w:r>
      </w:hyperlink>
      <w:r w:rsidRPr="006B7453">
        <w:t xml:space="preserve"> which details the results of the circular letter asking Member States to declare their preliminary choice for a class of contribution in line with Decision 5 (Rev. Bucharest, 2022).</w:t>
      </w:r>
      <w:r w:rsidR="00FC2633" w:rsidRPr="006B7453">
        <w:t xml:space="preserve"> </w:t>
      </w:r>
      <w:r w:rsidRPr="006B7453">
        <w:t>Thirty-eight responses had been received so far with only two Member States requesting changes.</w:t>
      </w:r>
      <w:r w:rsidR="00FC2633" w:rsidRPr="006B7453">
        <w:t xml:space="preserve"> </w:t>
      </w:r>
      <w:r w:rsidRPr="006B7453">
        <w:t xml:space="preserve">With that information, the </w:t>
      </w:r>
      <w:r w:rsidR="003537CB" w:rsidRPr="006B7453">
        <w:t>s</w:t>
      </w:r>
      <w:r w:rsidR="007E5CA9" w:rsidRPr="006B7453">
        <w:t>ecretariat</w:t>
      </w:r>
      <w:r w:rsidRPr="006B7453">
        <w:t xml:space="preserve"> will prepare a draft financial plan for 2028-2031 to be presented at the joint CWG-FHR and Council Working Group on Strategic and Financial Plans 2028-2031 (CWG-SFP) meeting ahead of Council 2026.</w:t>
      </w:r>
      <w:r w:rsidR="00FC2633" w:rsidRPr="006B7453">
        <w:t xml:space="preserve"> </w:t>
      </w:r>
      <w:r w:rsidRPr="006B7453">
        <w:t xml:space="preserve">The </w:t>
      </w:r>
      <w:r w:rsidR="003537CB" w:rsidRPr="006B7453">
        <w:t>s</w:t>
      </w:r>
      <w:r w:rsidR="007E5CA9" w:rsidRPr="006B7453">
        <w:t>ecretariat</w:t>
      </w:r>
      <w:r w:rsidRPr="006B7453">
        <w:t xml:space="preserve"> also presented a revised methodology with three factors: adjustment for inflation, linkage to performance improvements, and alignment with the costs of new mandates approved by Member States.</w:t>
      </w:r>
      <w:r w:rsidR="00FC2633" w:rsidRPr="006B7453">
        <w:t xml:space="preserve"> </w:t>
      </w:r>
      <w:r w:rsidRPr="006B7453">
        <w:t xml:space="preserve">The </w:t>
      </w:r>
      <w:r w:rsidR="003537CB" w:rsidRPr="006B7453">
        <w:t>s</w:t>
      </w:r>
      <w:r w:rsidR="007E5CA9" w:rsidRPr="006B7453">
        <w:t>ecretariat</w:t>
      </w:r>
      <w:r w:rsidRPr="006B7453">
        <w:t xml:space="preserve"> affirmed they are not proposing an immediate change to the contributory unit rather looking to provide a structured framework to support discussions and future decisions at the 2030 Plenipotentiary Conference. </w:t>
      </w:r>
    </w:p>
    <w:p w14:paraId="74119B70" w14:textId="5370E561" w:rsidR="009142C6" w:rsidRPr="006B7453" w:rsidRDefault="009142C6" w:rsidP="002D6865">
      <w:pPr>
        <w:jc w:val="both"/>
        <w:rPr>
          <w:rFonts w:cs="Calibri"/>
        </w:rPr>
      </w:pPr>
      <w:r w:rsidRPr="006B7453">
        <w:t>14.5</w:t>
      </w:r>
      <w:r w:rsidRPr="006B7453">
        <w:tab/>
      </w:r>
      <w:r w:rsidRPr="006B7453">
        <w:rPr>
          <w:rFonts w:cs="Calibri"/>
        </w:rPr>
        <w:t>Delegates confirmed the three proposed factors were a good starting point for discussion and requested careful consideration about how rising contributory unit costs could impact Member States.</w:t>
      </w:r>
      <w:r w:rsidR="00FC2633" w:rsidRPr="006B7453">
        <w:rPr>
          <w:rFonts w:cs="Calibri"/>
        </w:rPr>
        <w:t xml:space="preserve"> </w:t>
      </w:r>
      <w:r w:rsidRPr="006B7453">
        <w:rPr>
          <w:rFonts w:cs="Calibri"/>
        </w:rPr>
        <w:t>Several delegates suggested adding consideration of external factors, such as current exchange fluctuations and the Member States’ Human Development Index score.</w:t>
      </w:r>
      <w:r w:rsidR="00FC2633" w:rsidRPr="006B7453">
        <w:rPr>
          <w:rFonts w:cs="Calibri"/>
        </w:rPr>
        <w:t xml:space="preserve"> </w:t>
      </w:r>
      <w:r w:rsidRPr="006B7453">
        <w:rPr>
          <w:rFonts w:cs="Calibri"/>
        </w:rPr>
        <w:t>Delegates also urged the ITU to focus more on working within their existing recourses and to explore the impact of cost recovery.</w:t>
      </w:r>
      <w:r w:rsidR="00FC2633" w:rsidRPr="006B7453">
        <w:rPr>
          <w:rFonts w:cs="Calibri"/>
        </w:rPr>
        <w:t xml:space="preserve"> </w:t>
      </w:r>
      <w:r w:rsidRPr="006B7453">
        <w:rPr>
          <w:rFonts w:cs="Calibri"/>
        </w:rPr>
        <w:t>Before the Chair concluded on the agenda item, the Secretary-General stated that the ITU would like Member States to consider increasing their number of contributory units or at least maintaining their current contribution.</w:t>
      </w:r>
      <w:r w:rsidR="00FC2633" w:rsidRPr="006B7453">
        <w:rPr>
          <w:rFonts w:cs="Calibri"/>
        </w:rPr>
        <w:t xml:space="preserve"> </w:t>
      </w:r>
    </w:p>
    <w:p w14:paraId="25B625CD" w14:textId="0D28A3AA" w:rsidR="009142C6" w:rsidRPr="006B7453" w:rsidRDefault="009142C6" w:rsidP="002D6865">
      <w:pPr>
        <w:pStyle w:val="Heading1"/>
      </w:pPr>
      <w:r w:rsidRPr="006B7453">
        <w:lastRenderedPageBreak/>
        <w:t>15</w:t>
      </w:r>
      <w:r w:rsidRPr="006B7453">
        <w:tab/>
        <w:t>Participation of the Joint Inspection Unit in ITU Council Sessions (Document</w:t>
      </w:r>
      <w:r w:rsidR="002D6865" w:rsidRPr="006B7453">
        <w:t>s</w:t>
      </w:r>
      <w:r w:rsidRPr="006B7453">
        <w:t xml:space="preserve"> </w:t>
      </w:r>
      <w:hyperlink r:id="rId84" w:history="1">
        <w:r w:rsidRPr="006B7453">
          <w:rPr>
            <w:rStyle w:val="Hyperlink"/>
          </w:rPr>
          <w:t>CWG-FHR-21/19</w:t>
        </w:r>
      </w:hyperlink>
      <w:r w:rsidRPr="006B7453">
        <w:t xml:space="preserve"> and </w:t>
      </w:r>
      <w:hyperlink r:id="rId85" w:history="1">
        <w:r w:rsidRPr="006B7453">
          <w:rPr>
            <w:rStyle w:val="Hyperlink"/>
          </w:rPr>
          <w:t>CWG-FHR-22/11</w:t>
        </w:r>
      </w:hyperlink>
      <w:r w:rsidRPr="006B7453">
        <w:t>)</w:t>
      </w:r>
    </w:p>
    <w:p w14:paraId="57D502C9" w14:textId="3BA05DFE" w:rsidR="009142C6" w:rsidRPr="006B7453" w:rsidRDefault="009142C6" w:rsidP="002D6865">
      <w:pPr>
        <w:jc w:val="both"/>
        <w:rPr>
          <w:rFonts w:cs="Calibri"/>
        </w:rPr>
      </w:pPr>
      <w:r w:rsidRPr="006B7453">
        <w:t>15.1</w:t>
      </w:r>
      <w:r w:rsidRPr="006B7453">
        <w:tab/>
      </w:r>
      <w:r w:rsidRPr="006B7453">
        <w:rPr>
          <w:rFonts w:cs="Calibri"/>
        </w:rPr>
        <w:t>At the 21</w:t>
      </w:r>
      <w:r w:rsidRPr="006B7453">
        <w:rPr>
          <w:rFonts w:cs="Calibri"/>
          <w:vertAlign w:val="superscript"/>
        </w:rPr>
        <w:t>st</w:t>
      </w:r>
      <w:r w:rsidRPr="006B7453">
        <w:rPr>
          <w:rFonts w:cs="Calibri"/>
        </w:rPr>
        <w:t xml:space="preserve"> meeting, the Russian Federation submitted a contribution expressing interest in inviting the JIU to Council meetings when discussing reports of the Unit.</w:t>
      </w:r>
      <w:r w:rsidR="00FC2633" w:rsidRPr="006B7453">
        <w:rPr>
          <w:rFonts w:cs="Calibri"/>
        </w:rPr>
        <w:t xml:space="preserve"> </w:t>
      </w:r>
      <w:r w:rsidRPr="006B7453">
        <w:rPr>
          <w:rFonts w:cs="Calibri"/>
        </w:rPr>
        <w:t>The contribution stated that such practice is widely used among Geneva-based UN System specialized agencies.</w:t>
      </w:r>
    </w:p>
    <w:p w14:paraId="21D8C6A4" w14:textId="2109D1CD" w:rsidR="009142C6" w:rsidRPr="006B7453" w:rsidRDefault="009142C6" w:rsidP="002D6865">
      <w:pPr>
        <w:jc w:val="both"/>
        <w:rPr>
          <w:rFonts w:cs="Calibri"/>
        </w:rPr>
      </w:pPr>
      <w:r w:rsidRPr="006B7453">
        <w:t>15.2</w:t>
      </w:r>
      <w:r w:rsidRPr="006B7453">
        <w:tab/>
      </w:r>
      <w:r w:rsidRPr="006B7453">
        <w:rPr>
          <w:rFonts w:cs="Calibri"/>
        </w:rPr>
        <w:t>Delegates widely supported the Russian Federation’s proposal to invite the JIU to participate in Council meetings, noting JIU’s involvement could improve transparency, accountability, and decision-making within the ITU.</w:t>
      </w:r>
      <w:r w:rsidR="00FC2633" w:rsidRPr="006B7453">
        <w:rPr>
          <w:rFonts w:cs="Calibri"/>
        </w:rPr>
        <w:t xml:space="preserve"> </w:t>
      </w:r>
      <w:r w:rsidRPr="006B7453">
        <w:rPr>
          <w:rFonts w:cs="Calibri"/>
        </w:rPr>
        <w:t xml:space="preserve">Few delegates sought clarification on the extent of JIU’s proposed participation and if they would be permitted to make any interventions. </w:t>
      </w:r>
    </w:p>
    <w:p w14:paraId="14495174" w14:textId="128C4BF3" w:rsidR="009142C6" w:rsidRPr="006B7453" w:rsidRDefault="009142C6" w:rsidP="002D6865">
      <w:pPr>
        <w:jc w:val="both"/>
        <w:rPr>
          <w:rFonts w:cs="Calibri"/>
        </w:rPr>
      </w:pPr>
      <w:r w:rsidRPr="006B7453">
        <w:t>15.3</w:t>
      </w:r>
      <w:r w:rsidRPr="006B7453">
        <w:tab/>
      </w:r>
      <w:r w:rsidRPr="006B7453">
        <w:rPr>
          <w:rFonts w:cs="Calibri"/>
        </w:rPr>
        <w:t xml:space="preserve">The CWG-FHR Chair noted general agreement on inviting JIU to participate in Council sessions; however, before deciding, the Chair invited the </w:t>
      </w:r>
      <w:r w:rsidR="003537CB" w:rsidRPr="006B7453">
        <w:rPr>
          <w:rFonts w:cs="Calibri"/>
        </w:rPr>
        <w:t>s</w:t>
      </w:r>
      <w:r w:rsidR="007E5CA9" w:rsidRPr="006B7453">
        <w:rPr>
          <w:rFonts w:cs="Calibri"/>
        </w:rPr>
        <w:t>ecretariat</w:t>
      </w:r>
      <w:r w:rsidRPr="006B7453">
        <w:rPr>
          <w:rFonts w:cs="Calibri"/>
        </w:rPr>
        <w:t xml:space="preserve"> to address delegates’ questions. </w:t>
      </w:r>
    </w:p>
    <w:p w14:paraId="5BC69ABE" w14:textId="5E429061" w:rsidR="009142C6" w:rsidRPr="006B7453" w:rsidRDefault="009142C6" w:rsidP="002D6865">
      <w:pPr>
        <w:jc w:val="both"/>
        <w:rPr>
          <w:rFonts w:cs="Calibri"/>
          <w:spacing w:val="-2"/>
        </w:rPr>
      </w:pPr>
      <w:r w:rsidRPr="006B7453">
        <w:rPr>
          <w:spacing w:val="-2"/>
        </w:rPr>
        <w:t>15.4</w:t>
      </w:r>
      <w:r w:rsidRPr="006B7453">
        <w:rPr>
          <w:spacing w:val="-2"/>
        </w:rPr>
        <w:tab/>
      </w:r>
      <w:r w:rsidRPr="006B7453">
        <w:rPr>
          <w:rFonts w:cs="Calibri"/>
          <w:spacing w:val="-2"/>
        </w:rPr>
        <w:t>At the 22</w:t>
      </w:r>
      <w:r w:rsidRPr="006B7453">
        <w:rPr>
          <w:rFonts w:cs="Calibri"/>
          <w:spacing w:val="-2"/>
          <w:vertAlign w:val="superscript"/>
        </w:rPr>
        <w:t>nd</w:t>
      </w:r>
      <w:r w:rsidRPr="006B7453">
        <w:rPr>
          <w:rFonts w:cs="Calibri"/>
          <w:spacing w:val="-2"/>
        </w:rPr>
        <w:t xml:space="preserve"> meeting, the </w:t>
      </w:r>
      <w:r w:rsidR="003537CB" w:rsidRPr="006B7453">
        <w:rPr>
          <w:rFonts w:cs="Calibri"/>
          <w:spacing w:val="-2"/>
        </w:rPr>
        <w:t>s</w:t>
      </w:r>
      <w:r w:rsidR="007E5CA9" w:rsidRPr="006B7453">
        <w:rPr>
          <w:rFonts w:cs="Calibri"/>
          <w:spacing w:val="-2"/>
        </w:rPr>
        <w:t>ecretariat</w:t>
      </w:r>
      <w:r w:rsidRPr="006B7453">
        <w:rPr>
          <w:rFonts w:cs="Calibri"/>
          <w:spacing w:val="-2"/>
        </w:rPr>
        <w:t xml:space="preserve"> recommended Council instruct the Secretary-General to invite JIU to participate in future ITU Council sessions as an observer in an advisory capacity, limiting to only related agenda items related and with no financial support from the ITU. </w:t>
      </w:r>
    </w:p>
    <w:p w14:paraId="6D2B4F6D" w14:textId="0B317013" w:rsidR="009142C6" w:rsidRPr="006B7453" w:rsidRDefault="009142C6" w:rsidP="002D6865">
      <w:pPr>
        <w:pBdr>
          <w:top w:val="single" w:sz="4" w:space="1" w:color="auto"/>
          <w:left w:val="single" w:sz="4" w:space="4" w:color="auto"/>
          <w:bottom w:val="single" w:sz="4" w:space="1" w:color="auto"/>
          <w:right w:val="single" w:sz="4" w:space="4" w:color="auto"/>
        </w:pBdr>
        <w:jc w:val="both"/>
        <w:rPr>
          <w:rFonts w:cs="Calibri"/>
        </w:rPr>
      </w:pPr>
      <w:r w:rsidRPr="006B7453">
        <w:t>15.5</w:t>
      </w:r>
      <w:r w:rsidRPr="006B7453">
        <w:tab/>
      </w:r>
      <w:r w:rsidRPr="006B7453">
        <w:rPr>
          <w:rFonts w:cs="Calibri"/>
        </w:rPr>
        <w:t xml:space="preserve">The CWG-FHR </w:t>
      </w:r>
      <w:r w:rsidRPr="006B7453">
        <w:t xml:space="preserve">will </w:t>
      </w:r>
      <w:r w:rsidRPr="006B7453">
        <w:rPr>
          <w:b/>
          <w:bCs/>
        </w:rPr>
        <w:t>report</w:t>
      </w:r>
      <w:r w:rsidRPr="006B7453">
        <w:t xml:space="preserve"> to Council 2026 that there does not appear to be any harm in inviting the JIU to Council.</w:t>
      </w:r>
      <w:r w:rsidR="00FC2633" w:rsidRPr="006B7453">
        <w:t xml:space="preserve"> </w:t>
      </w:r>
    </w:p>
    <w:p w14:paraId="6D501A0D" w14:textId="77777777" w:rsidR="009142C6" w:rsidRPr="006B7453" w:rsidRDefault="009142C6" w:rsidP="002D6865">
      <w:pPr>
        <w:pStyle w:val="Heading1"/>
      </w:pPr>
      <w:r w:rsidRPr="006B7453">
        <w:t>16</w:t>
      </w:r>
      <w:r w:rsidRPr="006B7453">
        <w:tab/>
        <w:t>Budget implementation and allocation</w:t>
      </w:r>
    </w:p>
    <w:p w14:paraId="35044861" w14:textId="77777777" w:rsidR="009142C6" w:rsidRPr="006B7453" w:rsidRDefault="009142C6" w:rsidP="002D6865">
      <w:pPr>
        <w:pStyle w:val="Headingb"/>
      </w:pPr>
      <w:r w:rsidRPr="006B7453">
        <w:t xml:space="preserve">Contribution by the People’s Republic of China – Recommendations on enhancing efficiency in the implementation of the budget of the Union and rationalization of expenditures (Document </w:t>
      </w:r>
      <w:hyperlink r:id="rId86" w:history="1">
        <w:r w:rsidRPr="006B7453">
          <w:rPr>
            <w:rStyle w:val="Hyperlink"/>
          </w:rPr>
          <w:t>CWG-FHR-21/16</w:t>
        </w:r>
      </w:hyperlink>
      <w:r w:rsidRPr="006B7453">
        <w:t>)</w:t>
      </w:r>
    </w:p>
    <w:p w14:paraId="00597B32" w14:textId="1DF6D908" w:rsidR="009142C6" w:rsidRPr="006B7453" w:rsidRDefault="009142C6" w:rsidP="001278CB">
      <w:pPr>
        <w:jc w:val="both"/>
      </w:pPr>
      <w:r w:rsidRPr="006B7453">
        <w:t>16.1</w:t>
      </w:r>
      <w:r w:rsidRPr="006B7453">
        <w:tab/>
        <w:t>During the 21</w:t>
      </w:r>
      <w:r w:rsidRPr="006B7453">
        <w:rPr>
          <w:vertAlign w:val="superscript"/>
        </w:rPr>
        <w:t>st</w:t>
      </w:r>
      <w:r w:rsidRPr="006B7453">
        <w:t xml:space="preserve"> meeting of CWG-FHR, China introduced their contribution, Document</w:t>
      </w:r>
      <w:r w:rsidR="001278CB" w:rsidRPr="006B7453">
        <w:t> </w:t>
      </w:r>
      <w:hyperlink r:id="rId87" w:history="1">
        <w:r w:rsidRPr="006B7453">
          <w:rPr>
            <w:rStyle w:val="Hyperlink"/>
          </w:rPr>
          <w:t>CWG-FHR-22/16</w:t>
        </w:r>
      </w:hyperlink>
      <w:r w:rsidRPr="006B7453">
        <w:t>, on recommendations to enhance efficiency in the ITU’s budget implementation.</w:t>
      </w:r>
      <w:r w:rsidR="00FC2633" w:rsidRPr="006B7453">
        <w:t xml:space="preserve"> </w:t>
      </w:r>
      <w:r w:rsidRPr="006B7453">
        <w:t>These recommendations included establishing a priority list based on core responsibilities, strategic goals, and budget requirements; and establishing a joint assessment team composed of the IMAC and the ISCG to develop a mechanism for evaluating the effectiveness and efficiency of measures and conduct a comprehensive review of the necessity and rationality of relevant expenditures across the Union.</w:t>
      </w:r>
      <w:r w:rsidR="00FC2633" w:rsidRPr="006B7453">
        <w:t xml:space="preserve"> </w:t>
      </w:r>
      <w:r w:rsidRPr="006B7453">
        <w:t>Several delegates supported China’s proposal, but shared concern that these proposals may create an additional layer of bureaucracy, process, and cost without clear benefit.</w:t>
      </w:r>
      <w:r w:rsidR="00FC2633" w:rsidRPr="006B7453">
        <w:t xml:space="preserve"> </w:t>
      </w:r>
      <w:r w:rsidRPr="006B7453">
        <w:t xml:space="preserve">The Chair instructed the </w:t>
      </w:r>
      <w:r w:rsidR="003537CB" w:rsidRPr="006B7453">
        <w:t>s</w:t>
      </w:r>
      <w:r w:rsidR="007E5CA9" w:rsidRPr="006B7453">
        <w:t>ecretariat</w:t>
      </w:r>
      <w:r w:rsidRPr="006B7453">
        <w:t>, ahead of the January 2026 meeting of CWG-FHR, to review the Operational Plans and Strategic Implementation in Council</w:t>
      </w:r>
      <w:r w:rsidRPr="006B7453">
        <w:rPr>
          <w:rFonts w:eastAsia="Aptos"/>
          <w:kern w:val="2"/>
          <w:szCs w:val="24"/>
          <w14:ligatures w14:val="standardContextual"/>
        </w:rPr>
        <w:t xml:space="preserve"> </w:t>
      </w:r>
      <w:r w:rsidRPr="006B7453">
        <w:t xml:space="preserve">Document </w:t>
      </w:r>
      <w:hyperlink r:id="rId88" w:history="1">
        <w:r w:rsidRPr="006B7453">
          <w:rPr>
            <w:rStyle w:val="Hyperlink"/>
          </w:rPr>
          <w:t>C25/35</w:t>
        </w:r>
      </w:hyperlink>
      <w:r w:rsidRPr="006B7453">
        <w:t xml:space="preserve"> to address Proposal 1 and conduct a mapping exercise of existing reports to address Proposal 2.</w:t>
      </w:r>
    </w:p>
    <w:p w14:paraId="0D6CD2C3" w14:textId="77777777" w:rsidR="009142C6" w:rsidRPr="006B7453" w:rsidRDefault="009142C6" w:rsidP="001278CB">
      <w:pPr>
        <w:pStyle w:val="Headingb"/>
      </w:pPr>
      <w:r w:rsidRPr="006B7453">
        <w:t xml:space="preserve">Contribution by the United States of America – Strengthening results-based financial management of the ITU (Document </w:t>
      </w:r>
      <w:hyperlink r:id="rId89" w:history="1">
        <w:r w:rsidRPr="006B7453">
          <w:rPr>
            <w:rStyle w:val="Hyperlink"/>
          </w:rPr>
          <w:t>CWG-FHR-21/22</w:t>
        </w:r>
      </w:hyperlink>
      <w:r w:rsidRPr="006B7453">
        <w:t>)</w:t>
      </w:r>
    </w:p>
    <w:p w14:paraId="22DE3661" w14:textId="2D203B74" w:rsidR="009142C6" w:rsidRPr="006B7453" w:rsidRDefault="009142C6" w:rsidP="001278CB">
      <w:pPr>
        <w:jc w:val="both"/>
      </w:pPr>
      <w:r w:rsidRPr="006B7453">
        <w:t>16.2</w:t>
      </w:r>
      <w:r w:rsidRPr="006B7453">
        <w:tab/>
        <w:t xml:space="preserve">The United States introduced Document </w:t>
      </w:r>
      <w:hyperlink r:id="rId90" w:history="1">
        <w:r w:rsidRPr="006B7453">
          <w:rPr>
            <w:rStyle w:val="Hyperlink"/>
          </w:rPr>
          <w:t>CWG-FHR-21/22</w:t>
        </w:r>
      </w:hyperlink>
      <w:r w:rsidRPr="006B7453">
        <w:t>, which seeks to enhance tools for results-based management within the ITU by requesting that CWG-FHR develop processes to help ensure that all proposed ITU activities in support of the ITU Strategic Plan further transparency and accountability and meet the results-based management goals of Resolution</w:t>
      </w:r>
      <w:r w:rsidR="001278CB" w:rsidRPr="006B7453">
        <w:t> </w:t>
      </w:r>
      <w:r w:rsidRPr="006B7453">
        <w:t>151 (Rev. Bucharest, 2022).</w:t>
      </w:r>
      <w:r w:rsidR="00FC2633" w:rsidRPr="006B7453">
        <w:t xml:space="preserve"> </w:t>
      </w:r>
      <w:r w:rsidRPr="006B7453">
        <w:t xml:space="preserve">Delegates supported the need for transparency and </w:t>
      </w:r>
      <w:r w:rsidRPr="006B7453">
        <w:lastRenderedPageBreak/>
        <w:t xml:space="preserve">aligning activities within results-based management and recommended that this proposal be treated similarly to the previous proposal (Document </w:t>
      </w:r>
      <w:hyperlink r:id="rId91" w:history="1">
        <w:r w:rsidRPr="006B7453">
          <w:rPr>
            <w:rStyle w:val="Hyperlink"/>
          </w:rPr>
          <w:t>CWG-FHR-21/16</w:t>
        </w:r>
      </w:hyperlink>
      <w:r w:rsidRPr="006B7453">
        <w:t>) made by the People’s Republic of China.</w:t>
      </w:r>
      <w:r w:rsidR="00FC2633" w:rsidRPr="006B7453">
        <w:t xml:space="preserve"> </w:t>
      </w:r>
      <w:r w:rsidRPr="006B7453">
        <w:t xml:space="preserve">The Chair agreed and instructed the </w:t>
      </w:r>
      <w:r w:rsidR="003537CB" w:rsidRPr="006B7453">
        <w:t>s</w:t>
      </w:r>
      <w:r w:rsidR="007E5CA9" w:rsidRPr="006B7453">
        <w:t>ecretariat</w:t>
      </w:r>
      <w:r w:rsidRPr="006B7453">
        <w:t xml:space="preserve"> to review the proposal in line with Council Document</w:t>
      </w:r>
      <w:r w:rsidR="00FC2633" w:rsidRPr="006B7453">
        <w:t xml:space="preserve"> </w:t>
      </w:r>
      <w:hyperlink r:id="rId92" w:history="1">
        <w:r w:rsidRPr="006B7453">
          <w:rPr>
            <w:rStyle w:val="Hyperlink"/>
          </w:rPr>
          <w:t>C25/35</w:t>
        </w:r>
      </w:hyperlink>
      <w:r w:rsidRPr="006B7453">
        <w:t xml:space="preserve"> and conduct the mapping exercise of existing reports.</w:t>
      </w:r>
    </w:p>
    <w:p w14:paraId="396F0784" w14:textId="16E23E15" w:rsidR="009142C6" w:rsidRPr="006B7453" w:rsidRDefault="009142C6" w:rsidP="001278CB">
      <w:pPr>
        <w:pStyle w:val="Headingb"/>
      </w:pPr>
      <w:r w:rsidRPr="006B7453">
        <w:t xml:space="preserve">Budget </w:t>
      </w:r>
      <w:r w:rsidR="001278CB" w:rsidRPr="006B7453">
        <w:t>matters</w:t>
      </w:r>
      <w:r w:rsidRPr="006B7453">
        <w:t>:</w:t>
      </w:r>
      <w:r w:rsidR="00FC2633" w:rsidRPr="006B7453">
        <w:t xml:space="preserve"> </w:t>
      </w:r>
      <w:r w:rsidRPr="006B7453">
        <w:t xml:space="preserve">Allocations of 2025 savings, Report on the global reduction of the budget 2026-2027 (Document </w:t>
      </w:r>
      <w:hyperlink r:id="rId93" w:history="1">
        <w:r w:rsidRPr="006B7453">
          <w:rPr>
            <w:rStyle w:val="Hyperlink"/>
          </w:rPr>
          <w:t>CWG-FHR-22/21</w:t>
        </w:r>
      </w:hyperlink>
      <w:r w:rsidRPr="006B7453">
        <w:t>)</w:t>
      </w:r>
    </w:p>
    <w:p w14:paraId="73802DC3" w14:textId="565DA417" w:rsidR="009142C6" w:rsidRPr="006B7453" w:rsidRDefault="009142C6" w:rsidP="001278CB">
      <w:pPr>
        <w:jc w:val="both"/>
      </w:pPr>
      <w:r w:rsidRPr="006B7453">
        <w:t>16.3</w:t>
      </w:r>
      <w:r w:rsidRPr="006B7453">
        <w:tab/>
        <w:t>At the 22</w:t>
      </w:r>
      <w:r w:rsidRPr="006B7453">
        <w:rPr>
          <w:vertAlign w:val="superscript"/>
        </w:rPr>
        <w:t>nd</w:t>
      </w:r>
      <w:r w:rsidRPr="006B7453">
        <w:t xml:space="preserve"> CWG-FHR meeting, the </w:t>
      </w:r>
      <w:r w:rsidR="003537CB" w:rsidRPr="006B7453">
        <w:t>s</w:t>
      </w:r>
      <w:r w:rsidR="007E5CA9" w:rsidRPr="006B7453">
        <w:t>ecretariat</w:t>
      </w:r>
      <w:r w:rsidRPr="006B7453">
        <w:t xml:space="preserve"> presented Document </w:t>
      </w:r>
      <w:hyperlink r:id="rId94">
        <w:r w:rsidRPr="006B7453">
          <w:rPr>
            <w:rStyle w:val="Hyperlink"/>
          </w:rPr>
          <w:t>CWG-FHR-22/21</w:t>
        </w:r>
      </w:hyperlink>
      <w:r w:rsidRPr="006B7453">
        <w:t xml:space="preserve">, which provides an update on three main strategies the </w:t>
      </w:r>
      <w:r w:rsidR="003537CB" w:rsidRPr="006B7453">
        <w:t>s</w:t>
      </w:r>
      <w:r w:rsidR="007E5CA9" w:rsidRPr="006B7453">
        <w:t>ecretariat</w:t>
      </w:r>
      <w:r w:rsidRPr="006B7453">
        <w:t xml:space="preserve"> is adopting to absorb the MCHF 6</w:t>
      </w:r>
      <w:r w:rsidR="001278CB" w:rsidRPr="006B7453">
        <w:t> </w:t>
      </w:r>
      <w:r w:rsidRPr="006B7453">
        <w:t>008 global reduction for the 2026-2027 budget.</w:t>
      </w:r>
      <w:r w:rsidR="00FC2633" w:rsidRPr="006B7453">
        <w:t xml:space="preserve"> </w:t>
      </w:r>
      <w:r w:rsidRPr="006B7453">
        <w:t>Savings will be achieved by: 1)</w:t>
      </w:r>
      <w:r w:rsidR="001278CB" w:rsidRPr="006B7453">
        <w:t> </w:t>
      </w:r>
      <w:r w:rsidRPr="006B7453">
        <w:t>reducing the number of ITU-initiated events, consolidating shared services, and improving coordination of workstreams; 2) reducing the cost of staff travel and short-term consultancies; and 3) increasing efficiency through automation and digital tools.</w:t>
      </w:r>
      <w:r w:rsidR="00FC2633" w:rsidRPr="006B7453">
        <w:t xml:space="preserve"> </w:t>
      </w:r>
      <w:r w:rsidRPr="006B7453">
        <w:t>The implementation of this reduced budget will be closely monitored through improved planning processes, monthly budget reviews, and regular reporting to the Council.</w:t>
      </w:r>
    </w:p>
    <w:p w14:paraId="176897BD" w14:textId="2C9A7072" w:rsidR="009142C6" w:rsidRPr="006B7453" w:rsidRDefault="009142C6" w:rsidP="001278CB">
      <w:pPr>
        <w:jc w:val="both"/>
      </w:pPr>
      <w:r w:rsidRPr="006B7453">
        <w:t>16.4</w:t>
      </w:r>
      <w:r w:rsidRPr="006B7453">
        <w:tab/>
        <w:t>Delegates raised concerns about how the ITU would maintain the impact of its activities, particularly in the Radiocommunications Sector, under these reductions.</w:t>
      </w:r>
      <w:r w:rsidR="00FC2633" w:rsidRPr="006B7453">
        <w:t xml:space="preserve"> </w:t>
      </w:r>
      <w:r w:rsidRPr="006B7453">
        <w:t xml:space="preserve">The </w:t>
      </w:r>
      <w:r w:rsidR="003537CB" w:rsidRPr="006B7453">
        <w:t>s</w:t>
      </w:r>
      <w:r w:rsidR="007E5CA9" w:rsidRPr="006B7453">
        <w:t>ecretariat</w:t>
      </w:r>
      <w:r w:rsidRPr="006B7453">
        <w:t xml:space="preserve"> explained that a constant, two-year monitoring process with regular reporting would ensure the fidelity of work in core mandated areas.</w:t>
      </w:r>
      <w:r w:rsidR="00FC2633" w:rsidRPr="006B7453">
        <w:t xml:space="preserve"> </w:t>
      </w:r>
      <w:r w:rsidRPr="006B7453">
        <w:t xml:space="preserve">Delegates also </w:t>
      </w:r>
      <w:r w:rsidR="00F75000" w:rsidRPr="006B7453">
        <w:t>signalled</w:t>
      </w:r>
      <w:r w:rsidRPr="006B7453">
        <w:t xml:space="preserve"> discomfort about the proposed use of AI and its potential impact on translation quality.</w:t>
      </w:r>
      <w:r w:rsidR="00FC2633" w:rsidRPr="006B7453">
        <w:t xml:space="preserve"> </w:t>
      </w:r>
      <w:r w:rsidRPr="006B7453">
        <w:t xml:space="preserve">The </w:t>
      </w:r>
      <w:r w:rsidR="003537CB" w:rsidRPr="006B7453">
        <w:t>s</w:t>
      </w:r>
      <w:r w:rsidR="007E5CA9" w:rsidRPr="006B7453">
        <w:t>ecretariat</w:t>
      </w:r>
      <w:r w:rsidRPr="006B7453">
        <w:t xml:space="preserve"> reassured that the quality of documents in all six official languages is a core priority that will not be compromised and that any new AI tools will be thoroughly vetted with Member input before implementation.</w:t>
      </w:r>
    </w:p>
    <w:p w14:paraId="2291F7EB" w14:textId="77279ECC" w:rsidR="009142C6" w:rsidRPr="006B7453" w:rsidRDefault="009142C6" w:rsidP="001278CB">
      <w:pPr>
        <w:jc w:val="both"/>
      </w:pPr>
      <w:r w:rsidRPr="006B7453">
        <w:t>16.5</w:t>
      </w:r>
      <w:r w:rsidRPr="006B7453">
        <w:tab/>
        <w:t xml:space="preserve">Delegates asked for clarification on how the </w:t>
      </w:r>
      <w:r w:rsidR="003537CB" w:rsidRPr="006B7453">
        <w:t>s</w:t>
      </w:r>
      <w:r w:rsidR="007E5CA9" w:rsidRPr="006B7453">
        <w:t>ecretariat</w:t>
      </w:r>
      <w:r w:rsidRPr="006B7453">
        <w:t xml:space="preserve"> is achieving the reduction in staff travel costs.</w:t>
      </w:r>
      <w:r w:rsidR="00FC2633" w:rsidRPr="006B7453">
        <w:t xml:space="preserve"> </w:t>
      </w:r>
      <w:r w:rsidRPr="006B7453">
        <w:t xml:space="preserve">The </w:t>
      </w:r>
      <w:r w:rsidR="003537CB" w:rsidRPr="006B7453">
        <w:t>s</w:t>
      </w:r>
      <w:r w:rsidR="007E5CA9" w:rsidRPr="006B7453">
        <w:t>ecretariat</w:t>
      </w:r>
      <w:r w:rsidRPr="006B7453">
        <w:t xml:space="preserve"> stated that they are improving travel planning processes to provide sufficient advanced notice of required travel as well as planning for less travel except in cases where travel is needed to support the ITU’s core functions.</w:t>
      </w:r>
    </w:p>
    <w:p w14:paraId="54E0A612" w14:textId="1DA2718B" w:rsidR="009142C6" w:rsidRPr="006B7453" w:rsidRDefault="009142C6" w:rsidP="001278CB">
      <w:pPr>
        <w:pBdr>
          <w:top w:val="single" w:sz="4" w:space="1" w:color="auto"/>
          <w:left w:val="single" w:sz="4" w:space="4" w:color="auto"/>
          <w:bottom w:val="single" w:sz="4" w:space="1" w:color="auto"/>
          <w:right w:val="single" w:sz="4" w:space="4" w:color="auto"/>
        </w:pBdr>
        <w:jc w:val="both"/>
      </w:pPr>
      <w:r w:rsidRPr="006B7453">
        <w:t>16.6</w:t>
      </w:r>
      <w:r w:rsidRPr="006B7453">
        <w:tab/>
        <w:t xml:space="preserve">The CWG-FHR </w:t>
      </w:r>
      <w:r w:rsidRPr="006B7453">
        <w:rPr>
          <w:b/>
          <w:bCs/>
        </w:rPr>
        <w:t>recommended</w:t>
      </w:r>
      <w:r w:rsidRPr="006B7453">
        <w:t xml:space="preserve"> the </w:t>
      </w:r>
      <w:r w:rsidR="003537CB" w:rsidRPr="006B7453">
        <w:t>s</w:t>
      </w:r>
      <w:r w:rsidR="007E5CA9" w:rsidRPr="006B7453">
        <w:t>ecretariat</w:t>
      </w:r>
      <w:r w:rsidRPr="006B7453">
        <w:t xml:space="preserve"> review the questions raised during the discussion on the global reduction of the budget 2026-2027 and provide a more detailed report to Council 2026.</w:t>
      </w:r>
    </w:p>
    <w:p w14:paraId="196236ED" w14:textId="77777777" w:rsidR="009142C6" w:rsidRPr="006B7453" w:rsidRDefault="009142C6" w:rsidP="001278CB">
      <w:pPr>
        <w:pStyle w:val="Headingb"/>
      </w:pPr>
      <w:r w:rsidRPr="006B7453">
        <w:t xml:space="preserve">Contribution by the Russian Federation – Measures to ensure core mandate alignment in resources allocation (Document </w:t>
      </w:r>
      <w:hyperlink r:id="rId95" w:history="1">
        <w:r w:rsidRPr="006B7453">
          <w:rPr>
            <w:rStyle w:val="Hyperlink"/>
          </w:rPr>
          <w:t>CWG-FHR-22/25</w:t>
        </w:r>
      </w:hyperlink>
      <w:r w:rsidRPr="006B7453">
        <w:t>)</w:t>
      </w:r>
    </w:p>
    <w:p w14:paraId="67E1F172" w14:textId="12C4F0FA" w:rsidR="009142C6" w:rsidRPr="006B7453" w:rsidRDefault="009142C6" w:rsidP="001278CB">
      <w:pPr>
        <w:jc w:val="both"/>
      </w:pPr>
      <w:r w:rsidRPr="006B7453">
        <w:t>16.7</w:t>
      </w:r>
      <w:r w:rsidRPr="006B7453">
        <w:tab/>
        <w:t xml:space="preserve">The Russian Federation introduced their contribution, Document </w:t>
      </w:r>
      <w:hyperlink r:id="rId96" w:history="1">
        <w:r w:rsidRPr="006B7453">
          <w:rPr>
            <w:rStyle w:val="Hyperlink"/>
          </w:rPr>
          <w:t>CWG-FHR-22/25</w:t>
        </w:r>
      </w:hyperlink>
      <w:r w:rsidRPr="006B7453">
        <w:t>, outlining a series of proposals to Council and Plenipotentiary to adopt to better align the ITU’s activities with its core mandate.</w:t>
      </w:r>
      <w:r w:rsidR="00FC2633" w:rsidRPr="006B7453">
        <w:t xml:space="preserve"> </w:t>
      </w:r>
      <w:r w:rsidRPr="006B7453">
        <w:t>Their introductory statement was submitted as Document</w:t>
      </w:r>
      <w:r w:rsidR="001278CB" w:rsidRPr="006B7453">
        <w:t> </w:t>
      </w:r>
      <w:hyperlink r:id="rId97" w:history="1">
        <w:r w:rsidRPr="006B7453">
          <w:rPr>
            <w:rStyle w:val="Hyperlink"/>
          </w:rPr>
          <w:t>CWG-FHR-22/INF/7</w:t>
        </w:r>
      </w:hyperlink>
      <w:r w:rsidRPr="006B7453">
        <w:t>.</w:t>
      </w:r>
    </w:p>
    <w:p w14:paraId="61F889F7" w14:textId="77777777" w:rsidR="009142C6" w:rsidRPr="006B7453" w:rsidRDefault="009142C6" w:rsidP="001278CB">
      <w:pPr>
        <w:jc w:val="both"/>
      </w:pPr>
      <w:r w:rsidRPr="006B7453">
        <w:t>16.8</w:t>
      </w:r>
      <w:r w:rsidRPr="006B7453">
        <w:tab/>
        <w:t>This discussion resulted in several points of contention among delegates, including prioritization versus termination of ITU activities, defining “core” mandates, time-based validity of resolutions, and mission creep.</w:t>
      </w:r>
    </w:p>
    <w:p w14:paraId="16D1A39F" w14:textId="7483E20B" w:rsidR="009142C6" w:rsidRPr="006B7453" w:rsidRDefault="009142C6" w:rsidP="001278CB">
      <w:pPr>
        <w:pBdr>
          <w:top w:val="single" w:sz="4" w:space="1" w:color="auto"/>
          <w:left w:val="single" w:sz="4" w:space="4" w:color="auto"/>
          <w:bottom w:val="single" w:sz="4" w:space="1" w:color="auto"/>
          <w:right w:val="single" w:sz="4" w:space="4" w:color="auto"/>
        </w:pBdr>
        <w:jc w:val="both"/>
      </w:pPr>
      <w:r w:rsidRPr="006B7453">
        <w:t>16.9</w:t>
      </w:r>
      <w:r w:rsidRPr="006B7453">
        <w:tab/>
        <w:t xml:space="preserve">The CWG-FHR </w:t>
      </w:r>
      <w:r w:rsidRPr="006B7453">
        <w:rPr>
          <w:b/>
          <w:bCs/>
        </w:rPr>
        <w:t>recommended</w:t>
      </w:r>
      <w:r w:rsidRPr="006B7453">
        <w:t xml:space="preserve"> the </w:t>
      </w:r>
      <w:r w:rsidR="003537CB" w:rsidRPr="006B7453">
        <w:t>s</w:t>
      </w:r>
      <w:r w:rsidR="007E5CA9" w:rsidRPr="006B7453">
        <w:t>ecretariat</w:t>
      </w:r>
      <w:r w:rsidRPr="006B7453">
        <w:t xml:space="preserve"> provide a report of all the Union’s activities since the last Plenipotentiary Conference, including a comprehensive list of how the adopted resolutions have been executed.</w:t>
      </w:r>
    </w:p>
    <w:p w14:paraId="323AC5FA" w14:textId="77777777" w:rsidR="009142C6" w:rsidRPr="006B7453" w:rsidRDefault="009142C6" w:rsidP="001278CB">
      <w:pPr>
        <w:pStyle w:val="Heading1"/>
      </w:pPr>
      <w:r w:rsidRPr="006B7453">
        <w:lastRenderedPageBreak/>
        <w:t>17</w:t>
      </w:r>
      <w:r w:rsidRPr="006B7453">
        <w:tab/>
        <w:t xml:space="preserve">Strengthening risk management and the internal control system (Document </w:t>
      </w:r>
      <w:hyperlink r:id="rId98" w:history="1">
        <w:r w:rsidRPr="006B7453">
          <w:rPr>
            <w:rStyle w:val="Hyperlink"/>
          </w:rPr>
          <w:t>CWG-FHR-22/20</w:t>
        </w:r>
      </w:hyperlink>
      <w:r w:rsidRPr="006B7453">
        <w:t>)</w:t>
      </w:r>
    </w:p>
    <w:p w14:paraId="13C9DB4B" w14:textId="39C0A28C" w:rsidR="009142C6" w:rsidRPr="006B7453" w:rsidRDefault="009142C6" w:rsidP="001278CB">
      <w:pPr>
        <w:jc w:val="both"/>
      </w:pPr>
      <w:r w:rsidRPr="006B7453">
        <w:t>17.1</w:t>
      </w:r>
      <w:r w:rsidRPr="006B7453">
        <w:tab/>
        <w:t>During the 22</w:t>
      </w:r>
      <w:r w:rsidRPr="006B7453">
        <w:rPr>
          <w:vertAlign w:val="superscript"/>
        </w:rPr>
        <w:t>nd</w:t>
      </w:r>
      <w:r w:rsidRPr="006B7453">
        <w:t xml:space="preserve"> meeting the </w:t>
      </w:r>
      <w:r w:rsidR="003537CB" w:rsidRPr="006B7453">
        <w:t>s</w:t>
      </w:r>
      <w:r w:rsidR="007E5CA9" w:rsidRPr="006B7453">
        <w:t>ecretariat</w:t>
      </w:r>
      <w:r w:rsidRPr="006B7453">
        <w:t xml:space="preserve"> informed delegates of the newly formed Risk Management and Internal Controls Task Force chaired by the Deputy Secretary-General.</w:t>
      </w:r>
      <w:r w:rsidR="00FC2633" w:rsidRPr="006B7453">
        <w:t xml:space="preserve"> </w:t>
      </w:r>
      <w:r w:rsidRPr="006B7453">
        <w:t xml:space="preserve">The main objectives of the Task Force are to: 1) reinforce managerial ownership and accountability for risk and internal control activities across the organization to provide greater assurance regarding the attainment of objectives; and 2) address control weaknesses identified through oversight recommendations in a timely and effective manner to mitigate the underlying risks. Additionally, the </w:t>
      </w:r>
      <w:r w:rsidR="003537CB" w:rsidRPr="006B7453">
        <w:t>s</w:t>
      </w:r>
      <w:r w:rsidR="007E5CA9" w:rsidRPr="006B7453">
        <w:t>ecretariat</w:t>
      </w:r>
      <w:r w:rsidRPr="006B7453">
        <w:t>’s update mentioned the retainment of an external consultancy to review ITU’s risk management framework and provided a view of the Corporate Risk Register.</w:t>
      </w:r>
      <w:r w:rsidR="00FC2633" w:rsidRPr="006B7453">
        <w:t xml:space="preserve"> </w:t>
      </w:r>
    </w:p>
    <w:p w14:paraId="41EE8D0F" w14:textId="3E4A696F" w:rsidR="009142C6" w:rsidRPr="006B7453" w:rsidRDefault="009142C6" w:rsidP="001278CB">
      <w:pPr>
        <w:spacing w:after="120"/>
        <w:jc w:val="both"/>
      </w:pPr>
      <w:r w:rsidRPr="006B7453">
        <w:t>17.2</w:t>
      </w:r>
      <w:r w:rsidRPr="006B7453">
        <w:tab/>
        <w:t xml:space="preserve">One delegate sought to further understand the authority framework and its role in ITU’s second line of </w:t>
      </w:r>
      <w:r w:rsidR="00B7048E" w:rsidRPr="006B7453">
        <w:t>defence</w:t>
      </w:r>
      <w:r w:rsidRPr="006B7453">
        <w:t>, particularly relating to information security.</w:t>
      </w:r>
      <w:r w:rsidR="00FC2633" w:rsidRPr="006B7453">
        <w:t xml:space="preserve"> </w:t>
      </w:r>
      <w:r w:rsidRPr="006B7453">
        <w:t xml:space="preserve">Another delegate asked the </w:t>
      </w:r>
      <w:r w:rsidR="003537CB" w:rsidRPr="006B7453">
        <w:t>s</w:t>
      </w:r>
      <w:r w:rsidR="007E5CA9" w:rsidRPr="006B7453">
        <w:t>ecretariat</w:t>
      </w:r>
      <w:r w:rsidRPr="006B7453">
        <w:t xml:space="preserve"> to clarify the roles of the two consultancies, and the </w:t>
      </w:r>
      <w:r w:rsidR="003537CB" w:rsidRPr="006B7453">
        <w:t>s</w:t>
      </w:r>
      <w:r w:rsidR="007E5CA9" w:rsidRPr="006B7453">
        <w:t>ecretariat</w:t>
      </w:r>
      <w:r w:rsidRPr="006B7453">
        <w:t xml:space="preserve"> replied stating one was hired to develop the delegation of authority framework while the other was hired to conduct a diagnostic review of the ITU’s risk management framework.</w:t>
      </w:r>
      <w:r w:rsidR="00FC2633" w:rsidRPr="006B7453">
        <w:t xml:space="preserve"> </w:t>
      </w:r>
      <w:r w:rsidRPr="006B7453">
        <w:t xml:space="preserve">Other delegates inquired if Member States could have access to the Compliance Dashboard and also encouraged the </w:t>
      </w:r>
      <w:r w:rsidR="003537CB" w:rsidRPr="006B7453">
        <w:t>s</w:t>
      </w:r>
      <w:r w:rsidR="007E5CA9" w:rsidRPr="006B7453">
        <w:t>ecretariat</w:t>
      </w:r>
      <w:r w:rsidRPr="006B7453">
        <w:t xml:space="preserve"> to balance predictability with the preservation of the Union’s inclusivity and resolve. </w:t>
      </w:r>
    </w:p>
    <w:p w14:paraId="77A656DB" w14:textId="4494171B" w:rsidR="009142C6" w:rsidRPr="006B7453" w:rsidRDefault="009142C6" w:rsidP="001278CB">
      <w:pPr>
        <w:pBdr>
          <w:top w:val="single" w:sz="4" w:space="1" w:color="auto"/>
          <w:left w:val="single" w:sz="4" w:space="4" w:color="auto"/>
          <w:bottom w:val="single" w:sz="4" w:space="1" w:color="auto"/>
          <w:right w:val="single" w:sz="4" w:space="4" w:color="auto"/>
        </w:pBdr>
        <w:jc w:val="both"/>
      </w:pPr>
      <w:r w:rsidRPr="006B7453">
        <w:t>17.3</w:t>
      </w:r>
      <w:r w:rsidRPr="006B7453">
        <w:tab/>
        <w:t xml:space="preserve">The CWG-FHR </w:t>
      </w:r>
      <w:r w:rsidRPr="006B7453">
        <w:rPr>
          <w:b/>
          <w:bCs/>
        </w:rPr>
        <w:t>recommended</w:t>
      </w:r>
      <w:r w:rsidRPr="006B7453">
        <w:t xml:space="preserve"> the </w:t>
      </w:r>
      <w:r w:rsidR="003537CB" w:rsidRPr="006B7453">
        <w:t>s</w:t>
      </w:r>
      <w:r w:rsidR="007E5CA9" w:rsidRPr="006B7453">
        <w:t>ecretariat</w:t>
      </w:r>
      <w:r w:rsidRPr="006B7453">
        <w:t xml:space="preserve"> consider previous Council and CWG-FHR meeting reports when drafting their next report to Council.</w:t>
      </w:r>
      <w:r w:rsidR="00FC2633" w:rsidRPr="006B7453">
        <w:t xml:space="preserve"> </w:t>
      </w:r>
    </w:p>
    <w:p w14:paraId="435F0AAA" w14:textId="640C9471" w:rsidR="009142C6" w:rsidRPr="006B7453" w:rsidRDefault="009142C6" w:rsidP="001278CB">
      <w:pPr>
        <w:pBdr>
          <w:top w:val="single" w:sz="4" w:space="1" w:color="auto"/>
          <w:left w:val="single" w:sz="4" w:space="4" w:color="auto"/>
          <w:bottom w:val="single" w:sz="4" w:space="1" w:color="auto"/>
          <w:right w:val="single" w:sz="4" w:space="4" w:color="auto"/>
        </w:pBdr>
        <w:jc w:val="both"/>
      </w:pPr>
      <w:r w:rsidRPr="006B7453">
        <w:t>17.4</w:t>
      </w:r>
      <w:r w:rsidRPr="006B7453">
        <w:tab/>
        <w:t xml:space="preserve">Additionally, the CWG-FHR </w:t>
      </w:r>
      <w:r w:rsidRPr="006B7453">
        <w:rPr>
          <w:b/>
          <w:bCs/>
        </w:rPr>
        <w:t>recommends</w:t>
      </w:r>
      <w:r w:rsidRPr="006B7453">
        <w:t xml:space="preserve"> </w:t>
      </w:r>
      <w:r w:rsidR="005A014B" w:rsidRPr="006B7453">
        <w:t xml:space="preserve">the </w:t>
      </w:r>
      <w:r w:rsidRPr="006B7453">
        <w:t xml:space="preserve">Council request the </w:t>
      </w:r>
      <w:r w:rsidR="003537CB" w:rsidRPr="006B7453">
        <w:t>s</w:t>
      </w:r>
      <w:r w:rsidR="007E5CA9" w:rsidRPr="006B7453">
        <w:t>ecretariat</w:t>
      </w:r>
      <w:r w:rsidRPr="006B7453">
        <w:t xml:space="preserve"> to provide Councillors the results, recommendations, and statement of works for the recently hired consultants. </w:t>
      </w:r>
    </w:p>
    <w:p w14:paraId="30E6A349" w14:textId="0C60FE9F" w:rsidR="009142C6" w:rsidRPr="006B7453" w:rsidRDefault="009142C6" w:rsidP="001278CB">
      <w:pPr>
        <w:pStyle w:val="Heading1"/>
      </w:pPr>
      <w:r w:rsidRPr="006B7453">
        <w:t>18</w:t>
      </w:r>
      <w:r w:rsidRPr="006B7453">
        <w:tab/>
        <w:t xml:space="preserve">Review of ITU strategic, financial and operational plans </w:t>
      </w:r>
      <w:r w:rsidR="001278CB" w:rsidRPr="006B7453">
        <w:br/>
      </w:r>
      <w:r w:rsidRPr="006B7453">
        <w:t>(oral presentation)</w:t>
      </w:r>
    </w:p>
    <w:p w14:paraId="1B12FE84" w14:textId="2433B43C" w:rsidR="009142C6" w:rsidRPr="006B7453" w:rsidRDefault="009142C6" w:rsidP="001278CB">
      <w:pPr>
        <w:jc w:val="both"/>
      </w:pPr>
      <w:r w:rsidRPr="006B7453">
        <w:rPr>
          <w:rFonts w:cs="Calibri"/>
        </w:rPr>
        <w:t>18.1</w:t>
      </w:r>
      <w:r w:rsidRPr="006B7453">
        <w:tab/>
        <w:t>At the 22</w:t>
      </w:r>
      <w:r w:rsidRPr="006B7453">
        <w:rPr>
          <w:vertAlign w:val="superscript"/>
        </w:rPr>
        <w:t>nd</w:t>
      </w:r>
      <w:r w:rsidRPr="006B7453">
        <w:t xml:space="preserve"> meeting, the </w:t>
      </w:r>
      <w:r w:rsidR="005A014B" w:rsidRPr="006B7453">
        <w:t>s</w:t>
      </w:r>
      <w:r w:rsidR="007E5CA9" w:rsidRPr="006B7453">
        <w:t>ecretariat</w:t>
      </w:r>
      <w:r w:rsidRPr="006B7453">
        <w:t xml:space="preserve"> announced a joint meeting between CWG-SFP and CWG-FHR scheduled for Monday, 27 April 2026, the day before Council 2026.</w:t>
      </w:r>
      <w:r w:rsidR="00FC2633" w:rsidRPr="006B7453">
        <w:t xml:space="preserve"> </w:t>
      </w:r>
      <w:r w:rsidRPr="006B7453">
        <w:t xml:space="preserve">Additionally, the </w:t>
      </w:r>
      <w:r w:rsidR="005A014B" w:rsidRPr="006B7453">
        <w:t>s</w:t>
      </w:r>
      <w:r w:rsidR="007E5CA9" w:rsidRPr="006B7453">
        <w:t>ecretariat</w:t>
      </w:r>
      <w:r w:rsidRPr="006B7453">
        <w:t xml:space="preserve"> spoke to the forty-two replies received from Member States confirming their commitment to maintaining their contributory units and how that information will be leveraged to put forth a financial plan based on the draft strategic plan. </w:t>
      </w:r>
    </w:p>
    <w:p w14:paraId="10F1D244" w14:textId="2B978C53" w:rsidR="009142C6" w:rsidRPr="006B7453" w:rsidRDefault="009142C6" w:rsidP="001278CB">
      <w:pPr>
        <w:pStyle w:val="Heading1"/>
      </w:pPr>
      <w:r w:rsidRPr="006B7453">
        <w:t>19</w:t>
      </w:r>
      <w:r w:rsidRPr="006B7453">
        <w:tab/>
        <w:t xml:space="preserve">Contribution by Russian Federation – Proposals for the revision of PP Resolution 191 (Rev. Bucharest, 2022) – Strategy for the coordination of efforts among the three Sectors of the Union </w:t>
      </w:r>
      <w:r w:rsidR="001278CB" w:rsidRPr="006B7453">
        <w:br/>
      </w:r>
      <w:r w:rsidRPr="006B7453">
        <w:t xml:space="preserve">(Document </w:t>
      </w:r>
      <w:hyperlink r:id="rId99" w:history="1">
        <w:r w:rsidRPr="006B7453">
          <w:rPr>
            <w:rStyle w:val="Hyperlink"/>
            <w:bCs/>
          </w:rPr>
          <w:t>CWG-FHR-22/26</w:t>
        </w:r>
      </w:hyperlink>
      <w:r w:rsidRPr="006B7453">
        <w:t>)</w:t>
      </w:r>
    </w:p>
    <w:p w14:paraId="281C3AB2" w14:textId="7D282105" w:rsidR="009142C6" w:rsidRPr="006B7453" w:rsidRDefault="009142C6" w:rsidP="001278CB">
      <w:pPr>
        <w:jc w:val="both"/>
      </w:pPr>
      <w:r w:rsidRPr="006B7453">
        <w:t>19.1</w:t>
      </w:r>
      <w:r w:rsidRPr="006B7453">
        <w:tab/>
        <w:t>Seeking feedback on their efforts to harmonize the resolutions of the Plenipotentiary Conference, the Russian Federation submitted a contribution at the 22</w:t>
      </w:r>
      <w:r w:rsidRPr="006B7453">
        <w:rPr>
          <w:vertAlign w:val="superscript"/>
        </w:rPr>
        <w:t>nd</w:t>
      </w:r>
      <w:r w:rsidRPr="006B7453">
        <w:t xml:space="preserve"> meeting proposing modifications to Resolution 191 (Rev. Bucharest, 2022) which consider the discussions of the ITU Council, the ISCG, the 2023 Radio Assembly (RA-23), the 2024 World Telecommunication Standardization Assembly (WTSA-24) and WTDC-25.</w:t>
      </w:r>
      <w:r w:rsidR="00FC2633" w:rsidRPr="006B7453">
        <w:t xml:space="preserve"> </w:t>
      </w:r>
    </w:p>
    <w:p w14:paraId="5E0476C9" w14:textId="114772BF" w:rsidR="009142C6" w:rsidRPr="006B7453" w:rsidRDefault="009142C6" w:rsidP="001278CB">
      <w:pPr>
        <w:jc w:val="both"/>
      </w:pPr>
      <w:r w:rsidRPr="006B7453">
        <w:lastRenderedPageBreak/>
        <w:t>19.2</w:t>
      </w:r>
      <w:r w:rsidRPr="006B7453">
        <w:tab/>
        <w:t>Delegates echoed the Chair’s sentiments that similar proposals have come up at PP-14, PP-18, and PP-22 and while delegates appear to agree in principle, harmonization has remained difficult to execute and implement.</w:t>
      </w:r>
      <w:r w:rsidR="00FC2633" w:rsidRPr="006B7453">
        <w:t xml:space="preserve"> </w:t>
      </w:r>
      <w:r w:rsidRPr="006B7453">
        <w:t>A delegate recommended more thought be given to how the Union can make these groups more effective, as they cautioned adding more inter-sector or joint groups would be challenging.</w:t>
      </w:r>
      <w:r w:rsidR="00FC2633" w:rsidRPr="006B7453">
        <w:t xml:space="preserve"> </w:t>
      </w:r>
      <w:r w:rsidRPr="006B7453">
        <w:t xml:space="preserve">Through robust discussion and facilitation by the Chair, consensus was reached that all ITU coordination groups (at both the Membership and </w:t>
      </w:r>
      <w:r w:rsidR="005A014B" w:rsidRPr="006B7453">
        <w:t>s</w:t>
      </w:r>
      <w:r w:rsidR="007E5CA9" w:rsidRPr="006B7453">
        <w:t>ecretariat</w:t>
      </w:r>
      <w:r w:rsidRPr="006B7453">
        <w:t xml:space="preserve">-level) should be invited to review Resolution 191 (Rev. Bucharest, 2022) and provide comments to Council 2026. </w:t>
      </w:r>
    </w:p>
    <w:p w14:paraId="6C4DD8BB" w14:textId="77777777" w:rsidR="009142C6" w:rsidRPr="006B7453" w:rsidRDefault="009142C6" w:rsidP="001278CB">
      <w:pPr>
        <w:pBdr>
          <w:top w:val="single" w:sz="4" w:space="1" w:color="auto"/>
          <w:left w:val="single" w:sz="4" w:space="4" w:color="auto"/>
          <w:bottom w:val="single" w:sz="4" w:space="1" w:color="auto"/>
          <w:right w:val="single" w:sz="4" w:space="4" w:color="auto"/>
        </w:pBdr>
        <w:jc w:val="both"/>
      </w:pPr>
      <w:r w:rsidRPr="006B7453">
        <w:t>19.3</w:t>
      </w:r>
      <w:r w:rsidRPr="006B7453">
        <w:tab/>
        <w:t xml:space="preserve">CWG-FHR </w:t>
      </w:r>
      <w:r w:rsidRPr="006B7453">
        <w:rPr>
          <w:b/>
        </w:rPr>
        <w:t>sent</w:t>
      </w:r>
      <w:r w:rsidRPr="006B7453">
        <w:t xml:space="preserve"> a liaison statement requesting the Sector Advisory Groups, ISCG, Coordination Committee and MSAG provide recommendations to Council 2026 on improving the implementation of Resolution 191 (Rev. Bucharest 2022).</w:t>
      </w:r>
    </w:p>
    <w:p w14:paraId="359702F3" w14:textId="6FEF295C" w:rsidR="009142C6" w:rsidRPr="006B7453" w:rsidRDefault="009142C6" w:rsidP="009142C6">
      <w:pPr>
        <w:pStyle w:val="Heading1"/>
      </w:pPr>
      <w:r w:rsidRPr="006B7453">
        <w:t>20</w:t>
      </w:r>
      <w:r w:rsidRPr="006B7453">
        <w:tab/>
        <w:t xml:space="preserve">Abrogation of the Council Decision 601 on IIN Registration </w:t>
      </w:r>
      <w:r w:rsidR="001278CB" w:rsidRPr="006B7453">
        <w:br/>
      </w:r>
      <w:r w:rsidRPr="006B7453">
        <w:t xml:space="preserve">(Document </w:t>
      </w:r>
      <w:hyperlink r:id="rId100" w:history="1">
        <w:r w:rsidRPr="006B7453">
          <w:rPr>
            <w:rStyle w:val="Hyperlink"/>
          </w:rPr>
          <w:t>CWG-FHR-22/3</w:t>
        </w:r>
      </w:hyperlink>
      <w:r w:rsidRPr="006B7453">
        <w:t>)</w:t>
      </w:r>
    </w:p>
    <w:p w14:paraId="7D5902D6" w14:textId="2CBD2E25" w:rsidR="009142C6" w:rsidRPr="006B7453" w:rsidRDefault="009142C6" w:rsidP="001278CB">
      <w:pPr>
        <w:jc w:val="both"/>
      </w:pPr>
      <w:r w:rsidRPr="006B7453">
        <w:t>20.1</w:t>
      </w:r>
      <w:r w:rsidRPr="006B7453">
        <w:tab/>
        <w:t>At the 22</w:t>
      </w:r>
      <w:r w:rsidRPr="006B7453">
        <w:rPr>
          <w:vertAlign w:val="superscript"/>
        </w:rPr>
        <w:t>nd</w:t>
      </w:r>
      <w:r w:rsidRPr="006B7453">
        <w:t xml:space="preserve"> meeting, the </w:t>
      </w:r>
      <w:r w:rsidR="005A014B" w:rsidRPr="006B7453">
        <w:t>s</w:t>
      </w:r>
      <w:r w:rsidR="007E5CA9" w:rsidRPr="006B7453">
        <w:t>ecretariat</w:t>
      </w:r>
      <w:r w:rsidRPr="006B7453">
        <w:t xml:space="preserve"> presented an update on approval of the revised Recommendation </w:t>
      </w:r>
      <w:r w:rsidR="00DE363D" w:rsidRPr="006B7453">
        <w:t>ITU</w:t>
      </w:r>
      <w:r w:rsidR="00DE363D" w:rsidRPr="006B7453">
        <w:noBreakHyphen/>
        <w:t xml:space="preserve">T E.118 </w:t>
      </w:r>
      <w:r w:rsidRPr="006B7453">
        <w:t xml:space="preserve">and the abrogation of Council Decision 601 following ITU-T Study Group 2’s </w:t>
      </w:r>
      <w:r w:rsidR="00DE363D">
        <w:t xml:space="preserve">on </w:t>
      </w:r>
      <w:r w:rsidRPr="006B7453">
        <w:t>5 September 2025 meeting where members identified there was no longer a justification to continue Decision 601.</w:t>
      </w:r>
    </w:p>
    <w:p w14:paraId="5ACEB9E3" w14:textId="2C5BD5D5" w:rsidR="009142C6" w:rsidRPr="006B7453" w:rsidRDefault="009142C6" w:rsidP="001278CB">
      <w:pPr>
        <w:jc w:val="both"/>
      </w:pPr>
      <w:r w:rsidRPr="006B7453">
        <w:t>20.2</w:t>
      </w:r>
      <w:r w:rsidRPr="006B7453">
        <w:tab/>
        <w:t>Delegates questioned the Study Group’s recommendation, particularly the ramifications of eliminating a revenue generator considering the ITU’s current financial standing (per</w:t>
      </w:r>
      <w:r w:rsidR="001278CB" w:rsidRPr="006B7453">
        <w:t xml:space="preserve"> Document</w:t>
      </w:r>
      <w:r w:rsidRPr="006B7453">
        <w:t xml:space="preserve"> </w:t>
      </w:r>
      <w:hyperlink r:id="rId101" w:history="1">
        <w:r w:rsidRPr="006B7453">
          <w:rPr>
            <w:rStyle w:val="Hyperlink"/>
          </w:rPr>
          <w:t>C25/38</w:t>
        </w:r>
      </w:hyperlink>
      <w:r w:rsidRPr="006B7453">
        <w:t>).</w:t>
      </w:r>
      <w:r w:rsidR="00FC2633" w:rsidRPr="006B7453">
        <w:t xml:space="preserve"> </w:t>
      </w:r>
      <w:r w:rsidRPr="006B7453">
        <w:t xml:space="preserve">The Study Group 2 Chair responded affirming the group extensively considered the ramifications of the revenue loss but determine if Council does not abrogate it, there could be a legal problem. </w:t>
      </w:r>
    </w:p>
    <w:p w14:paraId="47BE13E7" w14:textId="677AB2D9" w:rsidR="009142C6" w:rsidRPr="006B7453" w:rsidRDefault="009142C6" w:rsidP="001278CB">
      <w:pPr>
        <w:pBdr>
          <w:top w:val="single" w:sz="4" w:space="1" w:color="auto"/>
          <w:left w:val="single" w:sz="4" w:space="4" w:color="auto"/>
          <w:bottom w:val="single" w:sz="4" w:space="1" w:color="auto"/>
          <w:right w:val="single" w:sz="4" w:space="4" w:color="auto"/>
        </w:pBdr>
        <w:jc w:val="both"/>
      </w:pPr>
      <w:r w:rsidRPr="006B7453">
        <w:t>20.3</w:t>
      </w:r>
      <w:r w:rsidRPr="006B7453">
        <w:tab/>
        <w:t xml:space="preserve">The CWG-FHR </w:t>
      </w:r>
      <w:r w:rsidRPr="006B7453">
        <w:rPr>
          <w:b/>
          <w:bCs/>
        </w:rPr>
        <w:t>recommended</w:t>
      </w:r>
      <w:r w:rsidRPr="006B7453">
        <w:t xml:space="preserve"> the </w:t>
      </w:r>
      <w:r w:rsidR="005A014B" w:rsidRPr="006B7453">
        <w:t>s</w:t>
      </w:r>
      <w:r w:rsidR="007E5CA9" w:rsidRPr="006B7453">
        <w:t>ecretariat</w:t>
      </w:r>
      <w:r w:rsidRPr="006B7453">
        <w:t xml:space="preserve"> provide an updated report to Council so Councillors can decide whether to abrogate Council Decision 601.</w:t>
      </w:r>
    </w:p>
    <w:p w14:paraId="5DB79A3D" w14:textId="1EE7B022" w:rsidR="009142C6" w:rsidRPr="006B7453" w:rsidRDefault="009142C6" w:rsidP="009142C6">
      <w:pPr>
        <w:pStyle w:val="Heading1"/>
      </w:pPr>
      <w:r w:rsidRPr="006B7453">
        <w:t>21</w:t>
      </w:r>
      <w:r w:rsidRPr="006B7453">
        <w:tab/>
        <w:t xml:space="preserve">Liaison </w:t>
      </w:r>
      <w:r w:rsidR="001278CB" w:rsidRPr="006B7453">
        <w:t xml:space="preserve">statement </w:t>
      </w:r>
      <w:r w:rsidRPr="006B7453">
        <w:t>on the outcomes of the 3</w:t>
      </w:r>
      <w:r w:rsidRPr="006B7453">
        <w:rPr>
          <w:vertAlign w:val="superscript"/>
        </w:rPr>
        <w:t>rd</w:t>
      </w:r>
      <w:r w:rsidRPr="006B7453">
        <w:t xml:space="preserve"> CWG-SFP meeting (Document </w:t>
      </w:r>
      <w:hyperlink r:id="rId102" w:history="1">
        <w:r w:rsidRPr="006B7453">
          <w:rPr>
            <w:rStyle w:val="Hyperlink"/>
          </w:rPr>
          <w:t>CWG-FHR-21/24</w:t>
        </w:r>
      </w:hyperlink>
      <w:r w:rsidRPr="006B7453">
        <w:t>)</w:t>
      </w:r>
    </w:p>
    <w:p w14:paraId="67A50DBE" w14:textId="39673A1B" w:rsidR="009142C6" w:rsidRPr="006B7453" w:rsidRDefault="009142C6" w:rsidP="001278CB">
      <w:pPr>
        <w:jc w:val="both"/>
        <w:rPr>
          <w:rFonts w:cs="Calibri"/>
        </w:rPr>
      </w:pPr>
      <w:r w:rsidRPr="006B7453">
        <w:t>21.1</w:t>
      </w:r>
      <w:r w:rsidRPr="006B7453">
        <w:tab/>
      </w:r>
      <w:r w:rsidRPr="006B7453">
        <w:rPr>
          <w:rFonts w:cs="Calibri"/>
        </w:rPr>
        <w:t>Submitted to the 21</w:t>
      </w:r>
      <w:r w:rsidRPr="006B7453">
        <w:rPr>
          <w:rFonts w:cs="Calibri"/>
          <w:vertAlign w:val="superscript"/>
        </w:rPr>
        <w:t>st</w:t>
      </w:r>
      <w:r w:rsidRPr="006B7453">
        <w:rPr>
          <w:rFonts w:cs="Calibri"/>
        </w:rPr>
        <w:t xml:space="preserve"> meeting, the liaison statement shares the key outcomes of CWG</w:t>
      </w:r>
      <w:r w:rsidR="001278CB" w:rsidRPr="006B7453">
        <w:rPr>
          <w:rFonts w:cs="Calibri"/>
        </w:rPr>
        <w:noBreakHyphen/>
      </w:r>
      <w:r w:rsidRPr="006B7453">
        <w:rPr>
          <w:rFonts w:cs="Calibri"/>
        </w:rPr>
        <w:t>SFP’s third meeting, provides a progress report on their efforts to prepare the strategic and financial plans, and seeks feedback.</w:t>
      </w:r>
      <w:r w:rsidR="00FC2633" w:rsidRPr="006B7453">
        <w:rPr>
          <w:rFonts w:cs="Calibri"/>
        </w:rPr>
        <w:t xml:space="preserve"> </w:t>
      </w:r>
      <w:r w:rsidRPr="006B7453">
        <w:rPr>
          <w:rFonts w:cs="Calibri"/>
        </w:rPr>
        <w:t>Particularly, CWG-SFP invites CWG-FHR to review the proposed performance indicators for Impact and Outcome level as well as the draft mission and vision statements by 1 December 2025.</w:t>
      </w:r>
    </w:p>
    <w:p w14:paraId="420D2E54" w14:textId="77777777" w:rsidR="009142C6" w:rsidRPr="006B7453" w:rsidRDefault="009142C6" w:rsidP="001278CB">
      <w:pPr>
        <w:pBdr>
          <w:top w:val="single" w:sz="4" w:space="1" w:color="auto"/>
          <w:left w:val="single" w:sz="4" w:space="4" w:color="auto"/>
          <w:bottom w:val="single" w:sz="4" w:space="1" w:color="auto"/>
          <w:right w:val="single" w:sz="4" w:space="4" w:color="auto"/>
        </w:pBdr>
        <w:spacing w:after="120"/>
        <w:jc w:val="both"/>
        <w:rPr>
          <w:rFonts w:cs="Calibri"/>
        </w:rPr>
      </w:pPr>
      <w:r w:rsidRPr="006B7453">
        <w:rPr>
          <w:rFonts w:cs="Calibri"/>
        </w:rPr>
        <w:t>21.2</w:t>
      </w:r>
      <w:r w:rsidRPr="006B7453">
        <w:tab/>
      </w:r>
      <w:r w:rsidRPr="006B7453">
        <w:rPr>
          <w:rFonts w:cs="Calibri"/>
        </w:rPr>
        <w:t xml:space="preserve">CWG-FHR noted the document and expressed intent to coordinate with CWG-SFP on next steps. </w:t>
      </w:r>
    </w:p>
    <w:p w14:paraId="0EB73378" w14:textId="102D6EA5" w:rsidR="009142C6" w:rsidRPr="006B7453" w:rsidRDefault="00EA6BE7" w:rsidP="00EA6BE7">
      <w:pPr>
        <w:pStyle w:val="Normalaftertitle"/>
        <w:spacing w:before="1800"/>
      </w:pPr>
      <w:r w:rsidRPr="006B7453">
        <w:rPr>
          <w:b/>
          <w:bCs/>
        </w:rPr>
        <w:t xml:space="preserve">Annex: </w:t>
      </w:r>
      <w:r w:rsidRPr="006B7453">
        <w:t>1</w:t>
      </w:r>
      <w:r w:rsidR="009142C6" w:rsidRPr="006B7453">
        <w:br w:type="page"/>
      </w:r>
    </w:p>
    <w:p w14:paraId="253E4C1A" w14:textId="77777777" w:rsidR="009142C6" w:rsidRPr="006B7453" w:rsidRDefault="009142C6" w:rsidP="001278CB">
      <w:pPr>
        <w:pStyle w:val="AnnexNo"/>
      </w:pPr>
      <w:r w:rsidRPr="006B7453">
        <w:lastRenderedPageBreak/>
        <w:t>ANNEX A</w:t>
      </w:r>
    </w:p>
    <w:p w14:paraId="57E3E6DC" w14:textId="10819D20" w:rsidR="009142C6" w:rsidRPr="006B7453" w:rsidRDefault="001278CB" w:rsidP="001278CB">
      <w:pPr>
        <w:pStyle w:val="Annextitle"/>
      </w:pPr>
      <w:r w:rsidRPr="006B7453">
        <w:t xml:space="preserve">Recommendations to </w:t>
      </w:r>
      <w:r w:rsidR="004C39F6" w:rsidRPr="006B7453">
        <w:t xml:space="preserve">the </w:t>
      </w:r>
      <w:r w:rsidRPr="006B7453">
        <w:t>Council</w:t>
      </w:r>
    </w:p>
    <w:p w14:paraId="27D707E1" w14:textId="5EB2ECE2" w:rsidR="009142C6" w:rsidRPr="006B7453" w:rsidRDefault="00951E61" w:rsidP="001278CB">
      <w:pPr>
        <w:jc w:val="both"/>
      </w:pPr>
      <w:r w:rsidRPr="006B7453">
        <w:t>1</w:t>
      </w:r>
      <w:r w:rsidRPr="006B7453">
        <w:tab/>
      </w:r>
      <w:r w:rsidR="009142C6" w:rsidRPr="006B7453">
        <w:t xml:space="preserve">The CWG-FHR recommends </w:t>
      </w:r>
      <w:r w:rsidR="004C39F6" w:rsidRPr="006B7453">
        <w:t xml:space="preserve">the </w:t>
      </w:r>
      <w:r w:rsidR="009142C6" w:rsidRPr="006B7453">
        <w:t>Council instruct the UN Code of Conduct be read before any Union meeting, conference, or assembly.</w:t>
      </w:r>
      <w:r w:rsidR="00FC2633" w:rsidRPr="006B7453">
        <w:t xml:space="preserve"> </w:t>
      </w:r>
    </w:p>
    <w:p w14:paraId="7F561229" w14:textId="4DA591AF" w:rsidR="009142C6" w:rsidRPr="006B7453" w:rsidRDefault="00951E61" w:rsidP="001278CB">
      <w:pPr>
        <w:jc w:val="both"/>
      </w:pPr>
      <w:r w:rsidRPr="006B7453">
        <w:t>2</w:t>
      </w:r>
      <w:r w:rsidRPr="006B7453">
        <w:tab/>
      </w:r>
      <w:r w:rsidR="009142C6" w:rsidRPr="006B7453">
        <w:t>The CWG-FHR recommends Council 2026 invite the Plenipotentiary Conference 2026 (PP-26) to examine Article 34 and provide Member States direction on how Article 34 is to be considered.</w:t>
      </w:r>
      <w:r w:rsidR="00FC2633" w:rsidRPr="006B7453">
        <w:t xml:space="preserve"> </w:t>
      </w:r>
    </w:p>
    <w:p w14:paraId="24039D6A" w14:textId="2F1DAF37" w:rsidR="009142C6" w:rsidRPr="006B7453" w:rsidRDefault="00951E61" w:rsidP="001278CB">
      <w:pPr>
        <w:jc w:val="both"/>
      </w:pPr>
      <w:r w:rsidRPr="006B7453">
        <w:t>3</w:t>
      </w:r>
      <w:r w:rsidRPr="006B7453">
        <w:tab/>
      </w:r>
      <w:r w:rsidR="009142C6" w:rsidRPr="006B7453">
        <w:t>The CWG-FHR recommends to Council 2026 that the CHF 2</w:t>
      </w:r>
      <w:r w:rsidR="00DE363D">
        <w:t> </w:t>
      </w:r>
      <w:r w:rsidR="009142C6" w:rsidRPr="006B7453">
        <w:t>782</w:t>
      </w:r>
      <w:r w:rsidR="00DE363D">
        <w:t> </w:t>
      </w:r>
      <w:r w:rsidR="009142C6" w:rsidRPr="006B7453">
        <w:t>600 be dedicated to the Business Continuity Fund and only used to offset meetings in Geneva.</w:t>
      </w:r>
    </w:p>
    <w:p w14:paraId="39BAC25A" w14:textId="3E4218C2" w:rsidR="009142C6" w:rsidRPr="006B7453" w:rsidRDefault="00951E61" w:rsidP="001278CB">
      <w:pPr>
        <w:jc w:val="both"/>
      </w:pPr>
      <w:r w:rsidRPr="006B7453">
        <w:t>4</w:t>
      </w:r>
      <w:r w:rsidRPr="006B7453">
        <w:tab/>
      </w:r>
      <w:r w:rsidR="009142C6" w:rsidRPr="006B7453">
        <w:t xml:space="preserve">The CWG-FHR recommends </w:t>
      </w:r>
      <w:r w:rsidR="00D45F5D" w:rsidRPr="006B7453">
        <w:t xml:space="preserve">the </w:t>
      </w:r>
      <w:r w:rsidR="009142C6" w:rsidRPr="006B7453">
        <w:t xml:space="preserve">Council instruct the </w:t>
      </w:r>
      <w:r w:rsidR="004C39F6" w:rsidRPr="006B7453">
        <w:t>s</w:t>
      </w:r>
      <w:r w:rsidR="007E5CA9" w:rsidRPr="006B7453">
        <w:t>ecretariat</w:t>
      </w:r>
      <w:r w:rsidR="009142C6" w:rsidRPr="006B7453">
        <w:t xml:space="preserve"> to provide a report to Council on the governance structures, corporate governance boards within the ITU, and their financial implications.</w:t>
      </w:r>
    </w:p>
    <w:p w14:paraId="54D597D7" w14:textId="571BED04" w:rsidR="00182053" w:rsidRPr="006B7453" w:rsidRDefault="009142C6" w:rsidP="003345F5">
      <w:pPr>
        <w:jc w:val="both"/>
      </w:pPr>
      <w:r w:rsidRPr="006B7453">
        <w:t xml:space="preserve">The CWG-FHR recommends </w:t>
      </w:r>
      <w:r w:rsidR="00D45F5D" w:rsidRPr="006B7453">
        <w:t xml:space="preserve">the </w:t>
      </w:r>
      <w:r w:rsidRPr="006B7453">
        <w:t xml:space="preserve">Council request the </w:t>
      </w:r>
      <w:r w:rsidR="004C39F6" w:rsidRPr="006B7453">
        <w:t>s</w:t>
      </w:r>
      <w:r w:rsidR="007E5CA9" w:rsidRPr="006B7453">
        <w:t>ecretariat</w:t>
      </w:r>
      <w:r w:rsidRPr="006B7453">
        <w:t xml:space="preserve"> to provide Councillors the results, recommendations, and statement of works for all recently hired consultants</w:t>
      </w:r>
      <w:r w:rsidR="24DFEFE0" w:rsidRPr="006B7453">
        <w:t>.</w:t>
      </w:r>
      <w:r w:rsidRPr="006B7453">
        <w:t xml:space="preserve"> </w:t>
      </w:r>
    </w:p>
    <w:p w14:paraId="212227A1" w14:textId="77777777" w:rsidR="00182053" w:rsidRPr="006B7453" w:rsidRDefault="00182053" w:rsidP="00182053"/>
    <w:p w14:paraId="510D28D7" w14:textId="77777777" w:rsidR="00182053" w:rsidRPr="006B7453" w:rsidRDefault="00182053">
      <w:pPr>
        <w:jc w:val="center"/>
      </w:pPr>
      <w:r w:rsidRPr="006B7453">
        <w:t>______________</w:t>
      </w:r>
    </w:p>
    <w:sectPr w:rsidR="00182053" w:rsidRPr="006B7453" w:rsidSect="00AD3606">
      <w:footerReference w:type="default" r:id="rId103"/>
      <w:headerReference w:type="first" r:id="rId104"/>
      <w:footerReference w:type="first" r:id="rId105"/>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8A909" w14:textId="77777777" w:rsidR="008734F7" w:rsidRDefault="008734F7">
      <w:r>
        <w:separator/>
      </w:r>
    </w:p>
  </w:endnote>
  <w:endnote w:type="continuationSeparator" w:id="0">
    <w:p w14:paraId="6E2C3ED5" w14:textId="77777777" w:rsidR="008734F7" w:rsidRDefault="00873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3F43724F" w14:textId="77777777" w:rsidTr="003345F5">
      <w:trPr>
        <w:jc w:val="center"/>
      </w:trPr>
      <w:tc>
        <w:tcPr>
          <w:tcW w:w="1803" w:type="dxa"/>
          <w:vAlign w:val="center"/>
        </w:tcPr>
        <w:p w14:paraId="6595CA0F" w14:textId="77777777" w:rsidR="00EE49E8" w:rsidRDefault="00C6520B" w:rsidP="00EE49E8">
          <w:pPr>
            <w:pStyle w:val="Header"/>
            <w:jc w:val="left"/>
            <w:rPr>
              <w:noProof/>
            </w:rPr>
          </w:pPr>
          <w:r>
            <w:rPr>
              <w:noProof/>
            </w:rPr>
            <w:t>gDoc #</w:t>
          </w:r>
        </w:p>
      </w:tc>
      <w:tc>
        <w:tcPr>
          <w:tcW w:w="8261" w:type="dxa"/>
        </w:tcPr>
        <w:p w14:paraId="3E7590DE" w14:textId="004A6855"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9142C6">
            <w:rPr>
              <w:bCs/>
            </w:rPr>
            <w:t>50</w:t>
          </w:r>
          <w:r w:rsidRPr="00623AE3">
            <w:rPr>
              <w:bCs/>
            </w:rPr>
            <w:t>-E</w:t>
          </w:r>
          <w:r>
            <w:rPr>
              <w:bCs/>
            </w:rPr>
            <w:tab/>
          </w:r>
          <w:r>
            <w:fldChar w:fldCharType="begin"/>
          </w:r>
          <w:r>
            <w:instrText>PAGE</w:instrText>
          </w:r>
          <w:r>
            <w:fldChar w:fldCharType="separate"/>
          </w:r>
          <w:r>
            <w:t>1</w:t>
          </w:r>
          <w:r>
            <w:rPr>
              <w:noProof/>
            </w:rPr>
            <w:fldChar w:fldCharType="end"/>
          </w:r>
        </w:p>
      </w:tc>
    </w:tr>
  </w:tbl>
  <w:p w14:paraId="19851C7D"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26FC2068" w14:textId="77777777" w:rsidTr="006B77F1">
      <w:trPr>
        <w:jc w:val="center"/>
      </w:trPr>
      <w:tc>
        <w:tcPr>
          <w:tcW w:w="1803" w:type="dxa"/>
          <w:vAlign w:val="center"/>
        </w:tcPr>
        <w:p w14:paraId="7478A3BA" w14:textId="77777777" w:rsidR="00EE49E8" w:rsidRPr="006B77F1" w:rsidRDefault="00DE532B" w:rsidP="00EE49E8">
          <w:pPr>
            <w:pStyle w:val="Header"/>
            <w:jc w:val="left"/>
            <w:rPr>
              <w:noProof/>
            </w:rPr>
          </w:pPr>
          <w:hyperlink r:id="rId1" w:history="1">
            <w:r>
              <w:rPr>
                <w:rStyle w:val="Hyperlink"/>
                <w:u w:val="none"/>
              </w:rPr>
              <w:t>council.itu.int/2026</w:t>
            </w:r>
          </w:hyperlink>
        </w:p>
      </w:tc>
      <w:tc>
        <w:tcPr>
          <w:tcW w:w="8261" w:type="dxa"/>
        </w:tcPr>
        <w:p w14:paraId="532E017E" w14:textId="41913429"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9142C6">
            <w:rPr>
              <w:bCs/>
            </w:rPr>
            <w:t>50</w:t>
          </w:r>
          <w:r w:rsidRPr="00623AE3">
            <w:rPr>
              <w:bCs/>
            </w:rPr>
            <w:t>-E</w:t>
          </w:r>
          <w:r>
            <w:rPr>
              <w:bCs/>
            </w:rPr>
            <w:tab/>
          </w:r>
          <w:r>
            <w:fldChar w:fldCharType="begin"/>
          </w:r>
          <w:r>
            <w:instrText>PAGE</w:instrText>
          </w:r>
          <w:r>
            <w:fldChar w:fldCharType="separate"/>
          </w:r>
          <w:r>
            <w:t>1</w:t>
          </w:r>
          <w:r>
            <w:rPr>
              <w:noProof/>
            </w:rPr>
            <w:fldChar w:fldCharType="end"/>
          </w:r>
        </w:p>
      </w:tc>
    </w:tr>
  </w:tbl>
  <w:p w14:paraId="31740342"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3D828" w14:textId="77777777" w:rsidR="008734F7" w:rsidRDefault="008734F7">
      <w:r>
        <w:t>____________________</w:t>
      </w:r>
    </w:p>
  </w:footnote>
  <w:footnote w:type="continuationSeparator" w:id="0">
    <w:p w14:paraId="673784B8" w14:textId="77777777" w:rsidR="008734F7" w:rsidRDefault="00873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68EF" w14:textId="24152C43" w:rsidR="00AD3606" w:rsidRPr="00512087" w:rsidRDefault="00512087" w:rsidP="0049369C">
    <w:pPr>
      <w:pStyle w:val="Header"/>
    </w:pPr>
    <w:r>
      <w:rPr>
        <w:noProof/>
      </w:rPr>
      <w:drawing>
        <wp:inline distT="0" distB="0" distL="0" distR="0" wp14:anchorId="5B4FCA86" wp14:editId="1FAECDCE">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6810EB"/>
    <w:multiLevelType w:val="hybridMultilevel"/>
    <w:tmpl w:val="49F00602"/>
    <w:lvl w:ilvl="0" w:tplc="9A6A392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81784"/>
    <w:multiLevelType w:val="hybridMultilevel"/>
    <w:tmpl w:val="CDF4B4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8D66ED"/>
    <w:multiLevelType w:val="hybridMultilevel"/>
    <w:tmpl w:val="B86450CC"/>
    <w:lvl w:ilvl="0" w:tplc="018235E4">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96162"/>
    <w:multiLevelType w:val="hybridMultilevel"/>
    <w:tmpl w:val="A8B24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EC7887"/>
    <w:multiLevelType w:val="hybridMultilevel"/>
    <w:tmpl w:val="F99A3CA4"/>
    <w:lvl w:ilvl="0" w:tplc="599AEFB0">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3C1B4D"/>
    <w:multiLevelType w:val="hybridMultilevel"/>
    <w:tmpl w:val="16CABF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270527B"/>
    <w:multiLevelType w:val="hybridMultilevel"/>
    <w:tmpl w:val="E34C74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F7012E"/>
    <w:multiLevelType w:val="multilevel"/>
    <w:tmpl w:val="614AD36E"/>
    <w:lvl w:ilvl="0">
      <w:start w:val="1"/>
      <w:numFmt w:val="decimal"/>
      <w:lvlText w:val="%1"/>
      <w:lvlJc w:val="left"/>
      <w:pPr>
        <w:ind w:left="360" w:hanging="360"/>
      </w:pPr>
      <w:rPr>
        <w:rFonts w:ascii="Calibri" w:hAnsi="Calibri" w:hint="default"/>
      </w:rPr>
    </w:lvl>
    <w:lvl w:ilvl="1">
      <w:start w:val="1"/>
      <w:numFmt w:val="bullet"/>
      <w:lvlText w:val=""/>
      <w:lvlJc w:val="left"/>
      <w:pPr>
        <w:ind w:left="360" w:firstLine="0"/>
      </w:pPr>
      <w:rPr>
        <w:rFonts w:ascii="Symbol" w:hAnsi="Symbol"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1080" w:hanging="108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440" w:hanging="144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800" w:hanging="1800"/>
      </w:pPr>
      <w:rPr>
        <w:rFonts w:ascii="Calibri" w:hAnsi="Calibri" w:hint="default"/>
      </w:rPr>
    </w:lvl>
    <w:lvl w:ilvl="8">
      <w:start w:val="1"/>
      <w:numFmt w:val="decimal"/>
      <w:lvlText w:val="%1.%2.%3.%4.%5.%6.%7.%8.%9"/>
      <w:lvlJc w:val="left"/>
      <w:pPr>
        <w:ind w:left="1800" w:hanging="1800"/>
      </w:pPr>
      <w:rPr>
        <w:rFonts w:ascii="Calibri" w:hAnsi="Calibri" w:hint="default"/>
      </w:rPr>
    </w:lvl>
  </w:abstractNum>
  <w:abstractNum w:abstractNumId="9" w15:restartNumberingAfterBreak="0">
    <w:nsid w:val="2F9F22AC"/>
    <w:multiLevelType w:val="multilevel"/>
    <w:tmpl w:val="614AD36E"/>
    <w:lvl w:ilvl="0">
      <w:start w:val="1"/>
      <w:numFmt w:val="decimal"/>
      <w:lvlText w:val="%1"/>
      <w:lvlJc w:val="left"/>
      <w:pPr>
        <w:ind w:left="360" w:hanging="360"/>
      </w:pPr>
      <w:rPr>
        <w:rFonts w:ascii="Calibri" w:hAnsi="Calibri" w:hint="default"/>
      </w:rPr>
    </w:lvl>
    <w:lvl w:ilvl="1">
      <w:start w:val="1"/>
      <w:numFmt w:val="bullet"/>
      <w:lvlText w:val=""/>
      <w:lvlJc w:val="left"/>
      <w:pPr>
        <w:ind w:left="360" w:firstLine="0"/>
      </w:pPr>
      <w:rPr>
        <w:rFonts w:ascii="Symbol" w:hAnsi="Symbol"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1080" w:hanging="108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440" w:hanging="144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800" w:hanging="1800"/>
      </w:pPr>
      <w:rPr>
        <w:rFonts w:ascii="Calibri" w:hAnsi="Calibri" w:hint="default"/>
      </w:rPr>
    </w:lvl>
    <w:lvl w:ilvl="8">
      <w:start w:val="1"/>
      <w:numFmt w:val="decimal"/>
      <w:lvlText w:val="%1.%2.%3.%4.%5.%6.%7.%8.%9"/>
      <w:lvlJc w:val="left"/>
      <w:pPr>
        <w:ind w:left="1800" w:hanging="1800"/>
      </w:pPr>
      <w:rPr>
        <w:rFonts w:ascii="Calibri" w:hAnsi="Calibri" w:hint="default"/>
      </w:rPr>
    </w:lvl>
  </w:abstractNum>
  <w:abstractNum w:abstractNumId="10" w15:restartNumberingAfterBreak="0">
    <w:nsid w:val="3CA30BDB"/>
    <w:multiLevelType w:val="hybridMultilevel"/>
    <w:tmpl w:val="1E8426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6EB6954"/>
    <w:multiLevelType w:val="hybridMultilevel"/>
    <w:tmpl w:val="FE5EF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DB5F0E"/>
    <w:multiLevelType w:val="multilevel"/>
    <w:tmpl w:val="6C36AFC6"/>
    <w:lvl w:ilvl="0">
      <w:start w:val="1"/>
      <w:numFmt w:val="decimal"/>
      <w:lvlText w:val="%1"/>
      <w:lvlJc w:val="left"/>
      <w:pPr>
        <w:ind w:left="360" w:hanging="360"/>
      </w:pPr>
      <w:rPr>
        <w:rFonts w:ascii="Calibri" w:hAnsi="Calibri" w:hint="default"/>
      </w:rPr>
    </w:lvl>
    <w:lvl w:ilvl="1">
      <w:start w:val="1"/>
      <w:numFmt w:val="decimal"/>
      <w:lvlText w:val="%1.%2"/>
      <w:lvlJc w:val="left"/>
      <w:pPr>
        <w:ind w:left="360" w:hanging="360"/>
      </w:pPr>
      <w:rPr>
        <w:rFonts w:ascii="Calibri" w:hAnsi="Calibri"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1080" w:hanging="108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440" w:hanging="144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800" w:hanging="1800"/>
      </w:pPr>
      <w:rPr>
        <w:rFonts w:ascii="Calibri" w:hAnsi="Calibri" w:hint="default"/>
      </w:rPr>
    </w:lvl>
    <w:lvl w:ilvl="8">
      <w:start w:val="1"/>
      <w:numFmt w:val="decimal"/>
      <w:lvlText w:val="%1.%2.%3.%4.%5.%6.%7.%8.%9"/>
      <w:lvlJc w:val="left"/>
      <w:pPr>
        <w:ind w:left="1800" w:hanging="1800"/>
      </w:pPr>
      <w:rPr>
        <w:rFonts w:ascii="Calibri" w:hAnsi="Calibri" w:hint="default"/>
      </w:rPr>
    </w:lvl>
  </w:abstractNum>
  <w:abstractNum w:abstractNumId="13" w15:restartNumberingAfterBreak="0">
    <w:nsid w:val="59375CFB"/>
    <w:multiLevelType w:val="multilevel"/>
    <w:tmpl w:val="861C4CAC"/>
    <w:lvl w:ilvl="0">
      <w:start w:val="1"/>
      <w:numFmt w:val="decimal"/>
      <w:lvlText w:val="%1"/>
      <w:lvlJc w:val="left"/>
      <w:pPr>
        <w:ind w:left="720" w:firstLine="0"/>
      </w:pPr>
      <w:rPr>
        <w:rFonts w:ascii="Calibri" w:hAnsi="Calibri" w:hint="default"/>
        <w:b/>
        <w:bCs/>
      </w:rPr>
    </w:lvl>
    <w:lvl w:ilvl="1">
      <w:start w:val="1"/>
      <w:numFmt w:val="decimal"/>
      <w:lvlText w:val="%1.%2"/>
      <w:lvlJc w:val="left"/>
      <w:pPr>
        <w:ind w:left="720" w:firstLine="0"/>
      </w:pPr>
      <w:rPr>
        <w:rFonts w:ascii="Calibri" w:hAnsi="Calibri" w:hint="default"/>
        <w:b w:val="0"/>
        <w:bCs/>
      </w:rPr>
    </w:lvl>
    <w:lvl w:ilvl="2">
      <w:start w:val="1"/>
      <w:numFmt w:val="decimal"/>
      <w:lvlText w:val="%1.%2.%3"/>
      <w:lvlJc w:val="left"/>
      <w:pPr>
        <w:ind w:left="720" w:firstLine="0"/>
      </w:pPr>
      <w:rPr>
        <w:rFonts w:ascii="Calibri" w:hAnsi="Calibri" w:hint="default"/>
      </w:rPr>
    </w:lvl>
    <w:lvl w:ilvl="3">
      <w:start w:val="1"/>
      <w:numFmt w:val="decimal"/>
      <w:lvlText w:val="%1.%2.%3.%4"/>
      <w:lvlJc w:val="left"/>
      <w:pPr>
        <w:ind w:left="720" w:firstLine="0"/>
      </w:pPr>
      <w:rPr>
        <w:rFonts w:ascii="Calibri" w:hAnsi="Calibri" w:hint="default"/>
      </w:rPr>
    </w:lvl>
    <w:lvl w:ilvl="4">
      <w:start w:val="1"/>
      <w:numFmt w:val="decimal"/>
      <w:lvlText w:val="%1.%2.%3.%4.%5"/>
      <w:lvlJc w:val="left"/>
      <w:pPr>
        <w:ind w:left="720" w:firstLine="0"/>
      </w:pPr>
      <w:rPr>
        <w:rFonts w:ascii="Calibri" w:hAnsi="Calibri" w:hint="default"/>
      </w:rPr>
    </w:lvl>
    <w:lvl w:ilvl="5">
      <w:start w:val="1"/>
      <w:numFmt w:val="decimal"/>
      <w:lvlText w:val="%1.%2.%3.%4.%5.%6"/>
      <w:lvlJc w:val="left"/>
      <w:pPr>
        <w:ind w:left="720" w:firstLine="0"/>
      </w:pPr>
      <w:rPr>
        <w:rFonts w:ascii="Calibri" w:hAnsi="Calibri" w:hint="default"/>
      </w:rPr>
    </w:lvl>
    <w:lvl w:ilvl="6">
      <w:start w:val="1"/>
      <w:numFmt w:val="decimal"/>
      <w:lvlText w:val="%1.%2.%3.%4.%5.%6.%7"/>
      <w:lvlJc w:val="left"/>
      <w:pPr>
        <w:ind w:left="720" w:firstLine="0"/>
      </w:pPr>
      <w:rPr>
        <w:rFonts w:ascii="Calibri" w:hAnsi="Calibri" w:hint="default"/>
      </w:rPr>
    </w:lvl>
    <w:lvl w:ilvl="7">
      <w:start w:val="1"/>
      <w:numFmt w:val="decimal"/>
      <w:lvlText w:val="%1.%2.%3.%4.%5.%6.%7.%8"/>
      <w:lvlJc w:val="left"/>
      <w:pPr>
        <w:ind w:left="720" w:firstLine="0"/>
      </w:pPr>
      <w:rPr>
        <w:rFonts w:ascii="Calibri" w:hAnsi="Calibri" w:hint="default"/>
      </w:rPr>
    </w:lvl>
    <w:lvl w:ilvl="8">
      <w:start w:val="1"/>
      <w:numFmt w:val="decimal"/>
      <w:lvlText w:val="%1.%2.%3.%4.%5.%6.%7.%8.%9"/>
      <w:lvlJc w:val="left"/>
      <w:pPr>
        <w:ind w:left="720" w:firstLine="0"/>
      </w:pPr>
      <w:rPr>
        <w:rFonts w:ascii="Calibri" w:hAnsi="Calibri" w:hint="default"/>
      </w:rPr>
    </w:lvl>
  </w:abstractNum>
  <w:abstractNum w:abstractNumId="14" w15:restartNumberingAfterBreak="0">
    <w:nsid w:val="5FF46786"/>
    <w:multiLevelType w:val="hybridMultilevel"/>
    <w:tmpl w:val="935490AC"/>
    <w:lvl w:ilvl="0" w:tplc="4ECA2B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BC21B4"/>
    <w:multiLevelType w:val="multilevel"/>
    <w:tmpl w:val="97807A02"/>
    <w:lvl w:ilvl="0">
      <w:start w:val="1"/>
      <w:numFmt w:val="decimal"/>
      <w:lvlText w:val="%1"/>
      <w:lvlJc w:val="left"/>
      <w:pPr>
        <w:ind w:left="360" w:hanging="360"/>
      </w:pPr>
      <w:rPr>
        <w:rFonts w:ascii="Calibri" w:hAnsi="Calibri" w:hint="default"/>
      </w:rPr>
    </w:lvl>
    <w:lvl w:ilvl="1">
      <w:start w:val="2"/>
      <w:numFmt w:val="bullet"/>
      <w:lvlText w:val="-"/>
      <w:lvlJc w:val="left"/>
      <w:pPr>
        <w:ind w:left="720" w:hanging="360"/>
      </w:pPr>
      <w:rPr>
        <w:rFonts w:ascii="Calibri" w:eastAsia="Times New Roman" w:hAnsi="Calibri" w:cs="Calibri"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1080" w:hanging="108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440" w:hanging="144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800" w:hanging="1800"/>
      </w:pPr>
      <w:rPr>
        <w:rFonts w:ascii="Calibri" w:hAnsi="Calibri" w:hint="default"/>
      </w:rPr>
    </w:lvl>
    <w:lvl w:ilvl="8">
      <w:start w:val="1"/>
      <w:numFmt w:val="decimal"/>
      <w:lvlText w:val="%1.%2.%3.%4.%5.%6.%7.%8.%9"/>
      <w:lvlJc w:val="left"/>
      <w:pPr>
        <w:ind w:left="1800" w:hanging="1800"/>
      </w:pPr>
      <w:rPr>
        <w:rFonts w:ascii="Calibri" w:hAnsi="Calibri" w:hint="default"/>
      </w:rPr>
    </w:lvl>
  </w:abstractNum>
  <w:abstractNum w:abstractNumId="16" w15:restartNumberingAfterBreak="0">
    <w:nsid w:val="67963AEA"/>
    <w:multiLevelType w:val="multilevel"/>
    <w:tmpl w:val="D000207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E0C1F0F"/>
    <w:multiLevelType w:val="hybridMultilevel"/>
    <w:tmpl w:val="985A32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4F777CB"/>
    <w:multiLevelType w:val="hybridMultilevel"/>
    <w:tmpl w:val="E68AC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334835"/>
    <w:multiLevelType w:val="multilevel"/>
    <w:tmpl w:val="B71A173E"/>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74816267">
    <w:abstractNumId w:val="0"/>
  </w:num>
  <w:num w:numId="2" w16cid:durableId="890073441">
    <w:abstractNumId w:val="13"/>
  </w:num>
  <w:num w:numId="3" w16cid:durableId="1482114098">
    <w:abstractNumId w:val="12"/>
  </w:num>
  <w:num w:numId="4" w16cid:durableId="984286381">
    <w:abstractNumId w:val="2"/>
  </w:num>
  <w:num w:numId="5" w16cid:durableId="1868562534">
    <w:abstractNumId w:val="8"/>
  </w:num>
  <w:num w:numId="6" w16cid:durableId="1236210116">
    <w:abstractNumId w:val="9"/>
  </w:num>
  <w:num w:numId="7" w16cid:durableId="931007263">
    <w:abstractNumId w:val="15"/>
  </w:num>
  <w:num w:numId="8" w16cid:durableId="1286038158">
    <w:abstractNumId w:val="14"/>
  </w:num>
  <w:num w:numId="9" w16cid:durableId="983698412">
    <w:abstractNumId w:val="4"/>
  </w:num>
  <w:num w:numId="10" w16cid:durableId="108553119">
    <w:abstractNumId w:val="19"/>
  </w:num>
  <w:num w:numId="11" w16cid:durableId="1239902909">
    <w:abstractNumId w:val="16"/>
  </w:num>
  <w:num w:numId="12" w16cid:durableId="1693648610">
    <w:abstractNumId w:val="5"/>
  </w:num>
  <w:num w:numId="13" w16cid:durableId="418648066">
    <w:abstractNumId w:val="1"/>
  </w:num>
  <w:num w:numId="14" w16cid:durableId="217282088">
    <w:abstractNumId w:val="6"/>
  </w:num>
  <w:num w:numId="15" w16cid:durableId="1667586039">
    <w:abstractNumId w:val="17"/>
  </w:num>
  <w:num w:numId="16" w16cid:durableId="1129014006">
    <w:abstractNumId w:val="10"/>
  </w:num>
  <w:num w:numId="17" w16cid:durableId="297035179">
    <w:abstractNumId w:val="7"/>
  </w:num>
  <w:num w:numId="18" w16cid:durableId="402798975">
    <w:abstractNumId w:val="3"/>
  </w:num>
  <w:num w:numId="19" w16cid:durableId="741870120">
    <w:abstractNumId w:val="11"/>
  </w:num>
  <w:num w:numId="20" w16cid:durableId="3445244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28"/>
    <w:rsid w:val="00003A13"/>
    <w:rsid w:val="00005FAD"/>
    <w:rsid w:val="000210D4"/>
    <w:rsid w:val="0006007D"/>
    <w:rsid w:val="00063016"/>
    <w:rsid w:val="00066795"/>
    <w:rsid w:val="00076AF6"/>
    <w:rsid w:val="00085CF2"/>
    <w:rsid w:val="00092CF5"/>
    <w:rsid w:val="000B1705"/>
    <w:rsid w:val="000D75B2"/>
    <w:rsid w:val="000E372C"/>
    <w:rsid w:val="000F5BB7"/>
    <w:rsid w:val="000F5DDB"/>
    <w:rsid w:val="001121F5"/>
    <w:rsid w:val="001278CB"/>
    <w:rsid w:val="00135247"/>
    <w:rsid w:val="001400DC"/>
    <w:rsid w:val="00140CE1"/>
    <w:rsid w:val="0015189A"/>
    <w:rsid w:val="0017539C"/>
    <w:rsid w:val="00175AC2"/>
    <w:rsid w:val="0017609F"/>
    <w:rsid w:val="00176F47"/>
    <w:rsid w:val="00182053"/>
    <w:rsid w:val="001A3154"/>
    <w:rsid w:val="001A7D1D"/>
    <w:rsid w:val="001B51DD"/>
    <w:rsid w:val="001C2EFA"/>
    <w:rsid w:val="001C628E"/>
    <w:rsid w:val="001D04CF"/>
    <w:rsid w:val="001D73DE"/>
    <w:rsid w:val="001E0F7B"/>
    <w:rsid w:val="001F5569"/>
    <w:rsid w:val="0020487B"/>
    <w:rsid w:val="002119FD"/>
    <w:rsid w:val="002130E0"/>
    <w:rsid w:val="00221F46"/>
    <w:rsid w:val="00264425"/>
    <w:rsid w:val="00265875"/>
    <w:rsid w:val="0027303B"/>
    <w:rsid w:val="00277DEA"/>
    <w:rsid w:val="0028109B"/>
    <w:rsid w:val="002817CB"/>
    <w:rsid w:val="002916B4"/>
    <w:rsid w:val="002A0615"/>
    <w:rsid w:val="002A133E"/>
    <w:rsid w:val="002A2188"/>
    <w:rsid w:val="002B1F58"/>
    <w:rsid w:val="002C1C7A"/>
    <w:rsid w:val="002C3F32"/>
    <w:rsid w:val="002C54E2"/>
    <w:rsid w:val="002D6865"/>
    <w:rsid w:val="0030160F"/>
    <w:rsid w:val="00320223"/>
    <w:rsid w:val="00322D0D"/>
    <w:rsid w:val="003345F5"/>
    <w:rsid w:val="00334C4D"/>
    <w:rsid w:val="00341D38"/>
    <w:rsid w:val="00351B07"/>
    <w:rsid w:val="003537CB"/>
    <w:rsid w:val="00361465"/>
    <w:rsid w:val="00384755"/>
    <w:rsid w:val="003877F5"/>
    <w:rsid w:val="003936D3"/>
    <w:rsid w:val="003942D4"/>
    <w:rsid w:val="003958A8"/>
    <w:rsid w:val="003B29C2"/>
    <w:rsid w:val="003B4FAF"/>
    <w:rsid w:val="003C2533"/>
    <w:rsid w:val="003D5A7F"/>
    <w:rsid w:val="003F0228"/>
    <w:rsid w:val="0040435A"/>
    <w:rsid w:val="00416A24"/>
    <w:rsid w:val="00431D9E"/>
    <w:rsid w:val="00433CE8"/>
    <w:rsid w:val="00434A5C"/>
    <w:rsid w:val="00453079"/>
    <w:rsid w:val="004544D9"/>
    <w:rsid w:val="00472BAD"/>
    <w:rsid w:val="00484009"/>
    <w:rsid w:val="00487C8F"/>
    <w:rsid w:val="00490E72"/>
    <w:rsid w:val="00491157"/>
    <w:rsid w:val="00491BA9"/>
    <w:rsid w:val="004921C8"/>
    <w:rsid w:val="0049369C"/>
    <w:rsid w:val="00495615"/>
    <w:rsid w:val="00495B0B"/>
    <w:rsid w:val="004A1B8B"/>
    <w:rsid w:val="004A6B1B"/>
    <w:rsid w:val="004C39F6"/>
    <w:rsid w:val="004D1851"/>
    <w:rsid w:val="004D599D"/>
    <w:rsid w:val="004E2EA5"/>
    <w:rsid w:val="004E3AEB"/>
    <w:rsid w:val="0050223C"/>
    <w:rsid w:val="00512087"/>
    <w:rsid w:val="005243FF"/>
    <w:rsid w:val="00537BE4"/>
    <w:rsid w:val="00564FBC"/>
    <w:rsid w:val="005800BC"/>
    <w:rsid w:val="00582442"/>
    <w:rsid w:val="00596D4E"/>
    <w:rsid w:val="005A014B"/>
    <w:rsid w:val="005C3E2D"/>
    <w:rsid w:val="005F3269"/>
    <w:rsid w:val="0060023F"/>
    <w:rsid w:val="0061071E"/>
    <w:rsid w:val="00623AE3"/>
    <w:rsid w:val="0064737F"/>
    <w:rsid w:val="006535F1"/>
    <w:rsid w:val="0065557D"/>
    <w:rsid w:val="00660D50"/>
    <w:rsid w:val="00662984"/>
    <w:rsid w:val="006716BB"/>
    <w:rsid w:val="00682167"/>
    <w:rsid w:val="00693483"/>
    <w:rsid w:val="006A2F4B"/>
    <w:rsid w:val="006B1859"/>
    <w:rsid w:val="006B6680"/>
    <w:rsid w:val="006B6DCC"/>
    <w:rsid w:val="006B7453"/>
    <w:rsid w:val="006B77F1"/>
    <w:rsid w:val="00702DEF"/>
    <w:rsid w:val="00706861"/>
    <w:rsid w:val="00720631"/>
    <w:rsid w:val="00722551"/>
    <w:rsid w:val="00734BD6"/>
    <w:rsid w:val="0073609B"/>
    <w:rsid w:val="00743663"/>
    <w:rsid w:val="0075051B"/>
    <w:rsid w:val="00762C6D"/>
    <w:rsid w:val="00765C89"/>
    <w:rsid w:val="0077110E"/>
    <w:rsid w:val="00793188"/>
    <w:rsid w:val="00794D34"/>
    <w:rsid w:val="007A3FCD"/>
    <w:rsid w:val="007B19CF"/>
    <w:rsid w:val="007D01AF"/>
    <w:rsid w:val="007E5CA9"/>
    <w:rsid w:val="00813E5E"/>
    <w:rsid w:val="0083581B"/>
    <w:rsid w:val="0084546D"/>
    <w:rsid w:val="00862040"/>
    <w:rsid w:val="00863874"/>
    <w:rsid w:val="00864AFF"/>
    <w:rsid w:val="00865925"/>
    <w:rsid w:val="0086644E"/>
    <w:rsid w:val="008734F7"/>
    <w:rsid w:val="0089225F"/>
    <w:rsid w:val="008A3520"/>
    <w:rsid w:val="008B4A6A"/>
    <w:rsid w:val="008C7E27"/>
    <w:rsid w:val="008F5867"/>
    <w:rsid w:val="008F7448"/>
    <w:rsid w:val="0090147A"/>
    <w:rsid w:val="009142C6"/>
    <w:rsid w:val="009173EF"/>
    <w:rsid w:val="00932906"/>
    <w:rsid w:val="00951E61"/>
    <w:rsid w:val="00954C49"/>
    <w:rsid w:val="00961B0B"/>
    <w:rsid w:val="00962D33"/>
    <w:rsid w:val="009842A1"/>
    <w:rsid w:val="009A76A8"/>
    <w:rsid w:val="009B38C3"/>
    <w:rsid w:val="009E17BD"/>
    <w:rsid w:val="009E485A"/>
    <w:rsid w:val="00A039D1"/>
    <w:rsid w:val="00A04CEC"/>
    <w:rsid w:val="00A109AF"/>
    <w:rsid w:val="00A27F92"/>
    <w:rsid w:val="00A32257"/>
    <w:rsid w:val="00A36D20"/>
    <w:rsid w:val="00A514A4"/>
    <w:rsid w:val="00A55622"/>
    <w:rsid w:val="00A83502"/>
    <w:rsid w:val="00A94BAB"/>
    <w:rsid w:val="00AD15B3"/>
    <w:rsid w:val="00AD3606"/>
    <w:rsid w:val="00AD4A3D"/>
    <w:rsid w:val="00AF457F"/>
    <w:rsid w:val="00AF6E49"/>
    <w:rsid w:val="00B04A67"/>
    <w:rsid w:val="00B0583C"/>
    <w:rsid w:val="00B05EA9"/>
    <w:rsid w:val="00B12D94"/>
    <w:rsid w:val="00B31AF4"/>
    <w:rsid w:val="00B40A81"/>
    <w:rsid w:val="00B44910"/>
    <w:rsid w:val="00B51DBB"/>
    <w:rsid w:val="00B7048E"/>
    <w:rsid w:val="00B72267"/>
    <w:rsid w:val="00B76EB6"/>
    <w:rsid w:val="00B7737B"/>
    <w:rsid w:val="00B824C8"/>
    <w:rsid w:val="00B84B9D"/>
    <w:rsid w:val="00B9131F"/>
    <w:rsid w:val="00BA507C"/>
    <w:rsid w:val="00BB0646"/>
    <w:rsid w:val="00BC251A"/>
    <w:rsid w:val="00BC4A20"/>
    <w:rsid w:val="00BC6FF8"/>
    <w:rsid w:val="00BD032B"/>
    <w:rsid w:val="00BD1854"/>
    <w:rsid w:val="00BE01C6"/>
    <w:rsid w:val="00BE2640"/>
    <w:rsid w:val="00BF1FDE"/>
    <w:rsid w:val="00BF59C9"/>
    <w:rsid w:val="00C01189"/>
    <w:rsid w:val="00C0458D"/>
    <w:rsid w:val="00C374DE"/>
    <w:rsid w:val="00C47AD4"/>
    <w:rsid w:val="00C52D81"/>
    <w:rsid w:val="00C55198"/>
    <w:rsid w:val="00C6520B"/>
    <w:rsid w:val="00C75C56"/>
    <w:rsid w:val="00C907C5"/>
    <w:rsid w:val="00CA6393"/>
    <w:rsid w:val="00CA7995"/>
    <w:rsid w:val="00CB18FF"/>
    <w:rsid w:val="00CD0C08"/>
    <w:rsid w:val="00CE03FB"/>
    <w:rsid w:val="00CE433C"/>
    <w:rsid w:val="00CF0161"/>
    <w:rsid w:val="00CF33F3"/>
    <w:rsid w:val="00CF4A2B"/>
    <w:rsid w:val="00D024CA"/>
    <w:rsid w:val="00D06183"/>
    <w:rsid w:val="00D22C42"/>
    <w:rsid w:val="00D30359"/>
    <w:rsid w:val="00D3750F"/>
    <w:rsid w:val="00D45F5D"/>
    <w:rsid w:val="00D65041"/>
    <w:rsid w:val="00D67B7B"/>
    <w:rsid w:val="00DB1936"/>
    <w:rsid w:val="00DB384B"/>
    <w:rsid w:val="00DE363D"/>
    <w:rsid w:val="00DE532B"/>
    <w:rsid w:val="00DF0189"/>
    <w:rsid w:val="00E04857"/>
    <w:rsid w:val="00E06FD5"/>
    <w:rsid w:val="00E10E80"/>
    <w:rsid w:val="00E124F0"/>
    <w:rsid w:val="00E227F3"/>
    <w:rsid w:val="00E35C9F"/>
    <w:rsid w:val="00E545C6"/>
    <w:rsid w:val="00E60F04"/>
    <w:rsid w:val="00E65B24"/>
    <w:rsid w:val="00E65C94"/>
    <w:rsid w:val="00E66FAB"/>
    <w:rsid w:val="00E854E4"/>
    <w:rsid w:val="00E86DBF"/>
    <w:rsid w:val="00E969AF"/>
    <w:rsid w:val="00EA6BE7"/>
    <w:rsid w:val="00EB0D6F"/>
    <w:rsid w:val="00EB2232"/>
    <w:rsid w:val="00EC5337"/>
    <w:rsid w:val="00EE49E8"/>
    <w:rsid w:val="00EE65F5"/>
    <w:rsid w:val="00EF1FE1"/>
    <w:rsid w:val="00F00B33"/>
    <w:rsid w:val="00F16BAB"/>
    <w:rsid w:val="00F2150A"/>
    <w:rsid w:val="00F231D8"/>
    <w:rsid w:val="00F44C00"/>
    <w:rsid w:val="00F45D2C"/>
    <w:rsid w:val="00F46C5F"/>
    <w:rsid w:val="00F632C0"/>
    <w:rsid w:val="00F641E1"/>
    <w:rsid w:val="00F64BFB"/>
    <w:rsid w:val="00F75000"/>
    <w:rsid w:val="00F94A63"/>
    <w:rsid w:val="00FA1C28"/>
    <w:rsid w:val="00FB1279"/>
    <w:rsid w:val="00FB6B76"/>
    <w:rsid w:val="00FB7596"/>
    <w:rsid w:val="00FC2633"/>
    <w:rsid w:val="00FE4077"/>
    <w:rsid w:val="00FE500D"/>
    <w:rsid w:val="00FE77D2"/>
    <w:rsid w:val="00FF39B1"/>
    <w:rsid w:val="077217CF"/>
    <w:rsid w:val="24DFEFE0"/>
    <w:rsid w:val="3A0DC1E9"/>
    <w:rsid w:val="3C9CF680"/>
    <w:rsid w:val="6F9F97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DA2C7"/>
  <w15:docId w15:val="{CBB292BD-1F73-46AB-BA92-4AF1B9392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uiPriority w:val="9"/>
    <w:qFormat/>
    <w:rsid w:val="00B9131F"/>
    <w:pPr>
      <w:keepNext/>
      <w:keepLines/>
      <w:spacing w:before="360"/>
      <w:ind w:left="567" w:hanging="567"/>
      <w:outlineLvl w:val="0"/>
    </w:pPr>
    <w:rPr>
      <w:b/>
      <w:sz w:val="28"/>
    </w:rPr>
  </w:style>
  <w:style w:type="paragraph" w:styleId="Heading2">
    <w:name w:val="heading 2"/>
    <w:basedOn w:val="Heading1"/>
    <w:next w:val="Normal"/>
    <w:link w:val="Heading2Char"/>
    <w:uiPriority w:val="9"/>
    <w:qFormat/>
    <w:rsid w:val="00B9131F"/>
    <w:pPr>
      <w:spacing w:before="240"/>
      <w:outlineLvl w:val="1"/>
    </w:pPr>
    <w:rPr>
      <w:sz w:val="24"/>
    </w:rPr>
  </w:style>
  <w:style w:type="paragraph" w:styleId="Heading3">
    <w:name w:val="heading 3"/>
    <w:basedOn w:val="Heading1"/>
    <w:next w:val="Normal"/>
    <w:link w:val="Heading3Char"/>
    <w:uiPriority w:val="9"/>
    <w:qFormat/>
    <w:rsid w:val="00B9131F"/>
    <w:pPr>
      <w:spacing w:before="200"/>
      <w:outlineLvl w:val="2"/>
    </w:pPr>
    <w:rPr>
      <w:sz w:val="24"/>
    </w:rPr>
  </w:style>
  <w:style w:type="paragraph" w:styleId="Heading4">
    <w:name w:val="heading 4"/>
    <w:basedOn w:val="Heading3"/>
    <w:next w:val="Normal"/>
    <w:link w:val="Heading4Char"/>
    <w:uiPriority w:val="9"/>
    <w:qFormat/>
    <w:rsid w:val="00B9131F"/>
    <w:pPr>
      <w:ind w:left="1134" w:hanging="1134"/>
      <w:outlineLvl w:val="3"/>
    </w:pPr>
  </w:style>
  <w:style w:type="paragraph" w:styleId="Heading5">
    <w:name w:val="heading 5"/>
    <w:basedOn w:val="Heading4"/>
    <w:next w:val="Normal"/>
    <w:link w:val="Heading5Char"/>
    <w:uiPriority w:val="9"/>
    <w:qFormat/>
    <w:rsid w:val="00B9131F"/>
    <w:pPr>
      <w:outlineLvl w:val="4"/>
    </w:pPr>
  </w:style>
  <w:style w:type="paragraph" w:styleId="Heading6">
    <w:name w:val="heading 6"/>
    <w:basedOn w:val="Heading4"/>
    <w:next w:val="Normal"/>
    <w:link w:val="Heading6Char"/>
    <w:uiPriority w:val="9"/>
    <w:qFormat/>
    <w:rsid w:val="00B9131F"/>
    <w:pPr>
      <w:outlineLvl w:val="5"/>
    </w:pPr>
  </w:style>
  <w:style w:type="paragraph" w:styleId="Heading7">
    <w:name w:val="heading 7"/>
    <w:basedOn w:val="Heading4"/>
    <w:next w:val="Normal"/>
    <w:link w:val="Heading7Char"/>
    <w:uiPriority w:val="9"/>
    <w:qFormat/>
    <w:rsid w:val="00813E5E"/>
    <w:pPr>
      <w:ind w:left="1701" w:hanging="1701"/>
      <w:outlineLvl w:val="6"/>
    </w:pPr>
  </w:style>
  <w:style w:type="paragraph" w:styleId="Heading8">
    <w:name w:val="heading 8"/>
    <w:basedOn w:val="Heading4"/>
    <w:next w:val="Normal"/>
    <w:link w:val="Heading8Char"/>
    <w:uiPriority w:val="9"/>
    <w:qFormat/>
    <w:rsid w:val="00B9131F"/>
    <w:pPr>
      <w:ind w:left="1701" w:hanging="1701"/>
      <w:outlineLvl w:val="7"/>
    </w:pPr>
  </w:style>
  <w:style w:type="paragraph" w:styleId="Heading9">
    <w:name w:val="heading 9"/>
    <w:basedOn w:val="Heading4"/>
    <w:next w:val="Normal"/>
    <w:link w:val="Heading9Char"/>
    <w:uiPriority w:val="9"/>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link w:val="FooterChar"/>
    <w:uiPriority w:val="99"/>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C54E2"/>
    <w:pPr>
      <w:framePr w:hSpace="180" w:wrap="around" w:vAnchor="page" w:hAnchor="margin" w:y="2101"/>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CEO_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uiPriority w:val="99"/>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page" w:x="1821" w:y="2317"/>
      <w:spacing w:before="120" w:after="120"/>
    </w:pPr>
    <w:rPr>
      <w:sz w:val="32"/>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E66FAB"/>
    <w:pPr>
      <w:tabs>
        <w:tab w:val="clear" w:pos="567"/>
        <w:tab w:val="clear" w:pos="1134"/>
        <w:tab w:val="clear" w:pos="1701"/>
        <w:tab w:val="clear" w:pos="2268"/>
        <w:tab w:val="clear" w:pos="2835"/>
      </w:tabs>
      <w:spacing w:before="40" w:after="4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E66FAB"/>
    <w:pPr>
      <w:spacing w:before="80" w:after="8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styleId="Revision">
    <w:name w:val="Revision"/>
    <w:hidden/>
    <w:uiPriority w:val="99"/>
    <w:semiHidden/>
    <w:rsid w:val="009142C6"/>
    <w:rPr>
      <w:rFonts w:ascii="Calibri" w:hAnsi="Calibri"/>
      <w:sz w:val="24"/>
      <w:lang w:val="en-GB" w:eastAsia="en-US"/>
    </w:rPr>
  </w:style>
  <w:style w:type="character" w:customStyle="1" w:styleId="Heading1Char">
    <w:name w:val="Heading 1 Char"/>
    <w:basedOn w:val="DefaultParagraphFont"/>
    <w:link w:val="Heading1"/>
    <w:uiPriority w:val="9"/>
    <w:rsid w:val="009142C6"/>
    <w:rPr>
      <w:rFonts w:ascii="Calibri" w:hAnsi="Calibri"/>
      <w:b/>
      <w:sz w:val="28"/>
      <w:lang w:val="en-GB" w:eastAsia="en-US"/>
    </w:rPr>
  </w:style>
  <w:style w:type="character" w:customStyle="1" w:styleId="Heading2Char">
    <w:name w:val="Heading 2 Char"/>
    <w:basedOn w:val="DefaultParagraphFont"/>
    <w:link w:val="Heading2"/>
    <w:uiPriority w:val="9"/>
    <w:rsid w:val="009142C6"/>
    <w:rPr>
      <w:rFonts w:ascii="Calibri" w:hAnsi="Calibri"/>
      <w:b/>
      <w:sz w:val="24"/>
      <w:lang w:val="en-GB" w:eastAsia="en-US"/>
    </w:rPr>
  </w:style>
  <w:style w:type="character" w:customStyle="1" w:styleId="Heading3Char">
    <w:name w:val="Heading 3 Char"/>
    <w:basedOn w:val="DefaultParagraphFont"/>
    <w:link w:val="Heading3"/>
    <w:uiPriority w:val="9"/>
    <w:rsid w:val="009142C6"/>
    <w:rPr>
      <w:rFonts w:ascii="Calibri" w:hAnsi="Calibri"/>
      <w:b/>
      <w:sz w:val="24"/>
      <w:lang w:val="en-GB" w:eastAsia="en-US"/>
    </w:rPr>
  </w:style>
  <w:style w:type="character" w:customStyle="1" w:styleId="Heading4Char">
    <w:name w:val="Heading 4 Char"/>
    <w:basedOn w:val="DefaultParagraphFont"/>
    <w:link w:val="Heading4"/>
    <w:uiPriority w:val="9"/>
    <w:rsid w:val="009142C6"/>
    <w:rPr>
      <w:rFonts w:ascii="Calibri" w:hAnsi="Calibri"/>
      <w:b/>
      <w:sz w:val="24"/>
      <w:lang w:val="en-GB" w:eastAsia="en-US"/>
    </w:rPr>
  </w:style>
  <w:style w:type="character" w:customStyle="1" w:styleId="Heading5Char">
    <w:name w:val="Heading 5 Char"/>
    <w:basedOn w:val="DefaultParagraphFont"/>
    <w:link w:val="Heading5"/>
    <w:uiPriority w:val="9"/>
    <w:rsid w:val="009142C6"/>
    <w:rPr>
      <w:rFonts w:ascii="Calibri" w:hAnsi="Calibri"/>
      <w:b/>
      <w:sz w:val="24"/>
      <w:lang w:val="en-GB" w:eastAsia="en-US"/>
    </w:rPr>
  </w:style>
  <w:style w:type="character" w:customStyle="1" w:styleId="Heading6Char">
    <w:name w:val="Heading 6 Char"/>
    <w:basedOn w:val="DefaultParagraphFont"/>
    <w:link w:val="Heading6"/>
    <w:uiPriority w:val="9"/>
    <w:rsid w:val="009142C6"/>
    <w:rPr>
      <w:rFonts w:ascii="Calibri" w:hAnsi="Calibri"/>
      <w:b/>
      <w:sz w:val="24"/>
      <w:lang w:val="en-GB" w:eastAsia="en-US"/>
    </w:rPr>
  </w:style>
  <w:style w:type="character" w:customStyle="1" w:styleId="Heading7Char">
    <w:name w:val="Heading 7 Char"/>
    <w:basedOn w:val="DefaultParagraphFont"/>
    <w:link w:val="Heading7"/>
    <w:uiPriority w:val="9"/>
    <w:rsid w:val="009142C6"/>
    <w:rPr>
      <w:rFonts w:ascii="Calibri" w:hAnsi="Calibri"/>
      <w:b/>
      <w:sz w:val="24"/>
      <w:lang w:val="en-GB" w:eastAsia="en-US"/>
    </w:rPr>
  </w:style>
  <w:style w:type="character" w:customStyle="1" w:styleId="Heading8Char">
    <w:name w:val="Heading 8 Char"/>
    <w:basedOn w:val="DefaultParagraphFont"/>
    <w:link w:val="Heading8"/>
    <w:uiPriority w:val="9"/>
    <w:rsid w:val="009142C6"/>
    <w:rPr>
      <w:rFonts w:ascii="Calibri" w:hAnsi="Calibri"/>
      <w:b/>
      <w:sz w:val="24"/>
      <w:lang w:val="en-GB" w:eastAsia="en-US"/>
    </w:rPr>
  </w:style>
  <w:style w:type="character" w:customStyle="1" w:styleId="Heading9Char">
    <w:name w:val="Heading 9 Char"/>
    <w:basedOn w:val="DefaultParagraphFont"/>
    <w:link w:val="Heading9"/>
    <w:uiPriority w:val="9"/>
    <w:rsid w:val="009142C6"/>
    <w:rPr>
      <w:rFonts w:ascii="Calibri" w:hAnsi="Calibri"/>
      <w:b/>
      <w:sz w:val="24"/>
      <w:lang w:val="en-GB" w:eastAsia="en-US"/>
    </w:rPr>
  </w:style>
  <w:style w:type="paragraph" w:styleId="Title">
    <w:name w:val="Title"/>
    <w:basedOn w:val="Normal"/>
    <w:next w:val="Normal"/>
    <w:link w:val="TitleChar"/>
    <w:uiPriority w:val="10"/>
    <w:qFormat/>
    <w:rsid w:val="009142C6"/>
    <w:pPr>
      <w:tabs>
        <w:tab w:val="clear" w:pos="567"/>
        <w:tab w:val="clear" w:pos="1134"/>
        <w:tab w:val="clear" w:pos="1701"/>
        <w:tab w:val="clear" w:pos="2268"/>
        <w:tab w:val="clear" w:pos="2835"/>
      </w:tabs>
      <w:spacing w:after="80"/>
      <w:contextualSpacing/>
      <w:jc w:val="both"/>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2C6"/>
    <w:rPr>
      <w:rFonts w:asciiTheme="majorHAnsi" w:eastAsiaTheme="majorEastAsia" w:hAnsiTheme="majorHAnsi" w:cstheme="majorBidi"/>
      <w:spacing w:val="-10"/>
      <w:kern w:val="28"/>
      <w:sz w:val="56"/>
      <w:szCs w:val="56"/>
      <w:lang w:val="en-GB" w:eastAsia="en-US"/>
    </w:rPr>
  </w:style>
  <w:style w:type="paragraph" w:styleId="Subtitle0">
    <w:name w:val="Subtitle"/>
    <w:basedOn w:val="Normal"/>
    <w:next w:val="Normal"/>
    <w:link w:val="SubtitleChar"/>
    <w:uiPriority w:val="11"/>
    <w:qFormat/>
    <w:rsid w:val="009142C6"/>
    <w:pPr>
      <w:numPr>
        <w:ilvl w:val="1"/>
      </w:numPr>
      <w:tabs>
        <w:tab w:val="clear" w:pos="567"/>
        <w:tab w:val="clear" w:pos="1134"/>
        <w:tab w:val="clear" w:pos="1701"/>
        <w:tab w:val="clear" w:pos="2268"/>
        <w:tab w:val="clear" w:pos="2835"/>
      </w:tabs>
      <w:jc w:val="both"/>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0"/>
    <w:uiPriority w:val="11"/>
    <w:rsid w:val="009142C6"/>
    <w:rPr>
      <w:rFonts w:ascii="Calibri" w:eastAsiaTheme="majorEastAsia" w:hAnsi="Calibri" w:cstheme="majorBidi"/>
      <w:color w:val="595959" w:themeColor="text1" w:themeTint="A6"/>
      <w:spacing w:val="15"/>
      <w:sz w:val="28"/>
      <w:szCs w:val="28"/>
      <w:lang w:val="en-GB" w:eastAsia="en-US"/>
    </w:rPr>
  </w:style>
  <w:style w:type="paragraph" w:styleId="Quote">
    <w:name w:val="Quote"/>
    <w:basedOn w:val="Normal"/>
    <w:next w:val="Normal"/>
    <w:link w:val="QuoteChar"/>
    <w:uiPriority w:val="29"/>
    <w:qFormat/>
    <w:rsid w:val="009142C6"/>
    <w:pPr>
      <w:tabs>
        <w:tab w:val="clear" w:pos="567"/>
        <w:tab w:val="clear" w:pos="1134"/>
        <w:tab w:val="clear" w:pos="1701"/>
        <w:tab w:val="clear" w:pos="2268"/>
        <w:tab w:val="clear" w:pos="2835"/>
      </w:tabs>
      <w:spacing w:before="160"/>
      <w:jc w:val="center"/>
    </w:pPr>
    <w:rPr>
      <w:i/>
      <w:iCs/>
      <w:color w:val="404040" w:themeColor="text1" w:themeTint="BF"/>
    </w:rPr>
  </w:style>
  <w:style w:type="character" w:customStyle="1" w:styleId="QuoteChar">
    <w:name w:val="Quote Char"/>
    <w:basedOn w:val="DefaultParagraphFont"/>
    <w:link w:val="Quote"/>
    <w:uiPriority w:val="29"/>
    <w:rsid w:val="009142C6"/>
    <w:rPr>
      <w:rFonts w:ascii="Calibri" w:hAnsi="Calibri"/>
      <w:i/>
      <w:iCs/>
      <w:color w:val="404040" w:themeColor="text1" w:themeTint="BF"/>
      <w:sz w:val="24"/>
      <w:lang w:val="en-GB" w:eastAsia="en-US"/>
    </w:rPr>
  </w:style>
  <w:style w:type="paragraph" w:styleId="ListParagraph">
    <w:name w:val="List Paragraph"/>
    <w:basedOn w:val="Normal"/>
    <w:link w:val="ListParagraphChar"/>
    <w:uiPriority w:val="34"/>
    <w:qFormat/>
    <w:rsid w:val="009142C6"/>
    <w:pPr>
      <w:tabs>
        <w:tab w:val="clear" w:pos="567"/>
        <w:tab w:val="clear" w:pos="1134"/>
        <w:tab w:val="clear" w:pos="1701"/>
        <w:tab w:val="clear" w:pos="2268"/>
        <w:tab w:val="clear" w:pos="2835"/>
      </w:tabs>
      <w:ind w:left="720"/>
      <w:contextualSpacing/>
      <w:jc w:val="both"/>
    </w:pPr>
  </w:style>
  <w:style w:type="character" w:styleId="IntenseEmphasis">
    <w:name w:val="Intense Emphasis"/>
    <w:basedOn w:val="DefaultParagraphFont"/>
    <w:uiPriority w:val="21"/>
    <w:qFormat/>
    <w:rsid w:val="009142C6"/>
    <w:rPr>
      <w:i/>
      <w:iCs/>
      <w:color w:val="365F91" w:themeColor="accent1" w:themeShade="BF"/>
    </w:rPr>
  </w:style>
  <w:style w:type="paragraph" w:styleId="IntenseQuote">
    <w:name w:val="Intense Quote"/>
    <w:basedOn w:val="Normal"/>
    <w:next w:val="Normal"/>
    <w:link w:val="IntenseQuoteChar"/>
    <w:uiPriority w:val="30"/>
    <w:qFormat/>
    <w:rsid w:val="009142C6"/>
    <w:pPr>
      <w:pBdr>
        <w:top w:val="single" w:sz="4" w:space="10" w:color="365F91" w:themeColor="accent1" w:themeShade="BF"/>
        <w:bottom w:val="single" w:sz="4" w:space="10" w:color="365F91" w:themeColor="accent1" w:themeShade="BF"/>
      </w:pBdr>
      <w:tabs>
        <w:tab w:val="clear" w:pos="567"/>
        <w:tab w:val="clear" w:pos="1134"/>
        <w:tab w:val="clear" w:pos="1701"/>
        <w:tab w:val="clear" w:pos="2268"/>
        <w:tab w:val="clear" w:pos="2835"/>
      </w:tabs>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142C6"/>
    <w:rPr>
      <w:rFonts w:ascii="Calibri" w:hAnsi="Calibri"/>
      <w:i/>
      <w:iCs/>
      <w:color w:val="365F91" w:themeColor="accent1" w:themeShade="BF"/>
      <w:sz w:val="24"/>
      <w:lang w:val="en-GB" w:eastAsia="en-US"/>
    </w:rPr>
  </w:style>
  <w:style w:type="character" w:styleId="IntenseReference">
    <w:name w:val="Intense Reference"/>
    <w:basedOn w:val="DefaultParagraphFont"/>
    <w:uiPriority w:val="32"/>
    <w:qFormat/>
    <w:rsid w:val="009142C6"/>
    <w:rPr>
      <w:b/>
      <w:bCs/>
      <w:smallCaps/>
      <w:color w:val="365F91" w:themeColor="accent1" w:themeShade="BF"/>
      <w:spacing w:val="5"/>
    </w:rPr>
  </w:style>
  <w:style w:type="character" w:styleId="CommentReference">
    <w:name w:val="annotation reference"/>
    <w:basedOn w:val="DefaultParagraphFont"/>
    <w:uiPriority w:val="99"/>
    <w:semiHidden/>
    <w:unhideWhenUsed/>
    <w:rsid w:val="009142C6"/>
    <w:rPr>
      <w:sz w:val="16"/>
      <w:szCs w:val="16"/>
    </w:rPr>
  </w:style>
  <w:style w:type="paragraph" w:styleId="CommentText">
    <w:name w:val="annotation text"/>
    <w:basedOn w:val="Normal"/>
    <w:link w:val="CommentTextChar"/>
    <w:uiPriority w:val="99"/>
    <w:unhideWhenUsed/>
    <w:rsid w:val="009142C6"/>
    <w:pPr>
      <w:tabs>
        <w:tab w:val="clear" w:pos="567"/>
        <w:tab w:val="clear" w:pos="1134"/>
        <w:tab w:val="clear" w:pos="1701"/>
        <w:tab w:val="clear" w:pos="2268"/>
        <w:tab w:val="clear" w:pos="2835"/>
      </w:tabs>
      <w:jc w:val="both"/>
    </w:pPr>
    <w:rPr>
      <w:sz w:val="20"/>
    </w:rPr>
  </w:style>
  <w:style w:type="character" w:customStyle="1" w:styleId="CommentTextChar">
    <w:name w:val="Comment Text Char"/>
    <w:basedOn w:val="DefaultParagraphFont"/>
    <w:link w:val="CommentText"/>
    <w:uiPriority w:val="99"/>
    <w:rsid w:val="009142C6"/>
    <w:rPr>
      <w:rFonts w:ascii="Calibri" w:hAnsi="Calibri"/>
      <w:lang w:val="en-GB" w:eastAsia="en-US"/>
    </w:rPr>
  </w:style>
  <w:style w:type="paragraph" w:styleId="CommentSubject">
    <w:name w:val="annotation subject"/>
    <w:basedOn w:val="CommentText"/>
    <w:next w:val="CommentText"/>
    <w:link w:val="CommentSubjectChar"/>
    <w:uiPriority w:val="99"/>
    <w:semiHidden/>
    <w:unhideWhenUsed/>
    <w:rsid w:val="009142C6"/>
    <w:rPr>
      <w:b/>
      <w:bCs/>
    </w:rPr>
  </w:style>
  <w:style w:type="character" w:customStyle="1" w:styleId="CommentSubjectChar">
    <w:name w:val="Comment Subject Char"/>
    <w:basedOn w:val="CommentTextChar"/>
    <w:link w:val="CommentSubject"/>
    <w:uiPriority w:val="99"/>
    <w:semiHidden/>
    <w:rsid w:val="009142C6"/>
    <w:rPr>
      <w:rFonts w:ascii="Calibri" w:hAnsi="Calibri"/>
      <w:b/>
      <w:bCs/>
      <w:lang w:val="en-GB" w:eastAsia="en-US"/>
    </w:rPr>
  </w:style>
  <w:style w:type="paragraph" w:customStyle="1" w:styleId="NumberedParagraph">
    <w:name w:val="Numbered Paragraph"/>
    <w:basedOn w:val="ListParagraph"/>
    <w:link w:val="NumberedParagraphChar"/>
    <w:rsid w:val="009142C6"/>
    <w:pPr>
      <w:spacing w:after="120"/>
      <w:ind w:left="0"/>
      <w:contextualSpacing w:val="0"/>
    </w:pPr>
    <w:rPr>
      <w:rFonts w:cs="Calibri"/>
    </w:rPr>
  </w:style>
  <w:style w:type="character" w:customStyle="1" w:styleId="ListParagraphChar">
    <w:name w:val="List Paragraph Char"/>
    <w:basedOn w:val="DefaultParagraphFont"/>
    <w:link w:val="ListParagraph"/>
    <w:uiPriority w:val="34"/>
    <w:rsid w:val="009142C6"/>
    <w:rPr>
      <w:rFonts w:ascii="Calibri" w:hAnsi="Calibri"/>
      <w:sz w:val="24"/>
      <w:lang w:val="en-GB" w:eastAsia="en-US"/>
    </w:rPr>
  </w:style>
  <w:style w:type="character" w:customStyle="1" w:styleId="NumberedParagraphChar">
    <w:name w:val="Numbered Paragraph Char"/>
    <w:basedOn w:val="ListParagraphChar"/>
    <w:link w:val="NumberedParagraph"/>
    <w:rsid w:val="009142C6"/>
    <w:rPr>
      <w:rFonts w:ascii="Calibri" w:hAnsi="Calibri" w:cs="Calibri"/>
      <w:sz w:val="24"/>
      <w:lang w:val="en-GB" w:eastAsia="en-US"/>
    </w:rPr>
  </w:style>
  <w:style w:type="paragraph" w:customStyle="1" w:styleId="ChairAction">
    <w:name w:val="Chair Action"/>
    <w:basedOn w:val="NumberedParagraph"/>
    <w:link w:val="ChairActionChar"/>
    <w:rsid w:val="009142C6"/>
    <w:pPr>
      <w:pBdr>
        <w:top w:val="single" w:sz="4" w:space="1" w:color="auto"/>
        <w:left w:val="single" w:sz="4" w:space="4" w:color="auto"/>
        <w:bottom w:val="single" w:sz="4" w:space="1" w:color="auto"/>
        <w:right w:val="single" w:sz="4" w:space="4" w:color="auto"/>
      </w:pBdr>
    </w:pPr>
  </w:style>
  <w:style w:type="character" w:customStyle="1" w:styleId="ChairActionChar">
    <w:name w:val="Chair Action Char"/>
    <w:basedOn w:val="ListParagraphChar"/>
    <w:link w:val="ChairAction"/>
    <w:rsid w:val="009142C6"/>
    <w:rPr>
      <w:rFonts w:ascii="Calibri" w:hAnsi="Calibri" w:cs="Calibri"/>
      <w:sz w:val="24"/>
      <w:lang w:val="en-GB" w:eastAsia="en-US"/>
    </w:rPr>
  </w:style>
  <w:style w:type="paragraph" w:customStyle="1" w:styleId="Summary">
    <w:name w:val="Summary"/>
    <w:basedOn w:val="Normal"/>
    <w:link w:val="SummaryChar"/>
    <w:rsid w:val="009142C6"/>
    <w:pPr>
      <w:keepLines/>
      <w:tabs>
        <w:tab w:val="clear" w:pos="567"/>
        <w:tab w:val="clear" w:pos="1134"/>
        <w:tab w:val="clear" w:pos="1701"/>
        <w:tab w:val="clear" w:pos="2268"/>
        <w:tab w:val="clear" w:pos="2835"/>
      </w:tabs>
      <w:overflowPunct/>
      <w:autoSpaceDE/>
      <w:autoSpaceDN/>
      <w:adjustRightInd/>
      <w:spacing w:after="120"/>
      <w:jc w:val="both"/>
      <w:textAlignment w:val="auto"/>
    </w:pPr>
    <w:rPr>
      <w:rFonts w:eastAsiaTheme="minorHAnsi" w:cstheme="minorBidi"/>
      <w:kern w:val="2"/>
      <w:szCs w:val="22"/>
      <w:lang w:val="en-US"/>
      <w14:ligatures w14:val="standardContextual"/>
    </w:rPr>
  </w:style>
  <w:style w:type="character" w:customStyle="1" w:styleId="SummaryChar">
    <w:name w:val="Summary Char"/>
    <w:basedOn w:val="DefaultParagraphFont"/>
    <w:link w:val="Summary"/>
    <w:rsid w:val="009142C6"/>
    <w:rPr>
      <w:rFonts w:ascii="Calibri" w:eastAsiaTheme="minorHAnsi" w:hAnsi="Calibri" w:cstheme="minorBidi"/>
      <w:kern w:val="2"/>
      <w:sz w:val="24"/>
      <w:szCs w:val="22"/>
      <w:lang w:eastAsia="en-US"/>
      <w14:ligatures w14:val="standardContextual"/>
    </w:rPr>
  </w:style>
  <w:style w:type="character" w:styleId="Mention">
    <w:name w:val="Mention"/>
    <w:basedOn w:val="DefaultParagraphFont"/>
    <w:uiPriority w:val="99"/>
    <w:unhideWhenUsed/>
    <w:rsid w:val="009142C6"/>
    <w:rPr>
      <w:color w:val="2B579A"/>
      <w:shd w:val="clear" w:color="auto" w:fill="E1DFDD"/>
    </w:rPr>
  </w:style>
  <w:style w:type="character" w:customStyle="1" w:styleId="FooterChar">
    <w:name w:val="Footer Char"/>
    <w:basedOn w:val="DefaultParagraphFont"/>
    <w:link w:val="Footer"/>
    <w:uiPriority w:val="99"/>
    <w:rsid w:val="009142C6"/>
    <w:rPr>
      <w:rFonts w:ascii="Calibri" w:hAnsi="Calibri"/>
      <w:caps/>
      <w:noProof/>
      <w:sz w:val="16"/>
      <w:lang w:val="en-GB" w:eastAsia="en-US"/>
    </w:rPr>
  </w:style>
  <w:style w:type="paragraph" w:customStyle="1" w:styleId="Tablefin">
    <w:name w:val="Table_fin"/>
    <w:basedOn w:val="Tabletext"/>
    <w:rsid w:val="00E66FAB"/>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S26-CWGFHR22-C-0031/en" TargetMode="External"/><Relationship Id="rId21" Type="http://schemas.openxmlformats.org/officeDocument/2006/relationships/hyperlink" Target="https://www.itu.int/md/S26-CWGFHR22-C-0013/en" TargetMode="External"/><Relationship Id="rId42" Type="http://schemas.openxmlformats.org/officeDocument/2006/relationships/hyperlink" Target="https://www.itu.int/md/S26-CWGFHR22-C-0013/en" TargetMode="External"/><Relationship Id="rId47" Type="http://schemas.openxmlformats.org/officeDocument/2006/relationships/hyperlink" Target="https://www.itu.int/md/S25-CWGFHR21-C-0007/en" TargetMode="External"/><Relationship Id="rId63" Type="http://schemas.openxmlformats.org/officeDocument/2006/relationships/hyperlink" Target="https://www.itu.int/md/S26-CWGFHR22-C-0015/en" TargetMode="External"/><Relationship Id="rId68" Type="http://schemas.openxmlformats.org/officeDocument/2006/relationships/hyperlink" Target="https://www.itu.int/md/S26-CWGFHR22-C-0017/en" TargetMode="External"/><Relationship Id="rId84" Type="http://schemas.openxmlformats.org/officeDocument/2006/relationships/hyperlink" Target="https://www.itu.int/md/S25-CWGFHR21-C-0019/en" TargetMode="External"/><Relationship Id="rId89" Type="http://schemas.openxmlformats.org/officeDocument/2006/relationships/hyperlink" Target="https://www.itu.int/md/S25-CWGFHR21-C-0022/en" TargetMode="External"/><Relationship Id="rId16" Type="http://schemas.openxmlformats.org/officeDocument/2006/relationships/hyperlink" Target="https://www.itu.int/md/S25-CWGFHR21-C-0002/en" TargetMode="External"/><Relationship Id="rId107" Type="http://schemas.openxmlformats.org/officeDocument/2006/relationships/theme" Target="theme/theme1.xml"/><Relationship Id="rId11" Type="http://schemas.openxmlformats.org/officeDocument/2006/relationships/hyperlink" Target="https://www.itu.int/md/S25-CWGFHR21-C-0025/en" TargetMode="External"/><Relationship Id="rId32" Type="http://schemas.openxmlformats.org/officeDocument/2006/relationships/hyperlink" Target="https://www.itu.int/md/S26-CWGFHR22-C-0005/en" TargetMode="External"/><Relationship Id="rId37" Type="http://schemas.openxmlformats.org/officeDocument/2006/relationships/hyperlink" Target="https://www.itu.int/md/S26-CWGFHR22-C-0005/en" TargetMode="External"/><Relationship Id="rId53" Type="http://schemas.openxmlformats.org/officeDocument/2006/relationships/hyperlink" Target="https://www.itu.int/md/S26-CWGFHR22-C-0019/en" TargetMode="External"/><Relationship Id="rId58" Type="http://schemas.openxmlformats.org/officeDocument/2006/relationships/hyperlink" Target="https://www.itu.int/md/S26-CWGFHR22-C-0012/en" TargetMode="External"/><Relationship Id="rId74" Type="http://schemas.openxmlformats.org/officeDocument/2006/relationships/hyperlink" Target="https://www.itu.int/md/S25-CWGFHR21-C-0020/en" TargetMode="External"/><Relationship Id="rId79" Type="http://schemas.openxmlformats.org/officeDocument/2006/relationships/hyperlink" Target="https://www.itu.int/md/S26-CWGFHR22-C-0032/en" TargetMode="External"/><Relationship Id="rId102" Type="http://schemas.openxmlformats.org/officeDocument/2006/relationships/hyperlink" Target="https://www.itu.int/md/S25-CWGFHR21-C-0024/en" TargetMode="External"/><Relationship Id="rId5" Type="http://schemas.openxmlformats.org/officeDocument/2006/relationships/numbering" Target="numbering.xml"/><Relationship Id="rId90" Type="http://schemas.openxmlformats.org/officeDocument/2006/relationships/hyperlink" Target="https://www.itu.int/md/S25-CWGFHR21-C-0022/en" TargetMode="External"/><Relationship Id="rId95" Type="http://schemas.openxmlformats.org/officeDocument/2006/relationships/hyperlink" Target="https://www.itu.int/md/S26-CWGFHR22-C-0025/en" TargetMode="External"/><Relationship Id="rId22" Type="http://schemas.openxmlformats.org/officeDocument/2006/relationships/hyperlink" Target="https://www.itu.int/md/S26-CWGFHR22-C-0007/en" TargetMode="External"/><Relationship Id="rId27" Type="http://schemas.openxmlformats.org/officeDocument/2006/relationships/hyperlink" Target="https://www.itu.int/md/S26-CWGFHR22-C-0004/en" TargetMode="External"/><Relationship Id="rId43" Type="http://schemas.openxmlformats.org/officeDocument/2006/relationships/hyperlink" Target="https://www.itu.int/md/S26-CWGFHR22-C-0023/en" TargetMode="External"/><Relationship Id="rId48" Type="http://schemas.openxmlformats.org/officeDocument/2006/relationships/hyperlink" Target="https://www.itu.int/md/S26-CWGFHR22-C-0009/en" TargetMode="External"/><Relationship Id="rId64" Type="http://schemas.openxmlformats.org/officeDocument/2006/relationships/hyperlink" Target="https://www.itu.int/md/S26-CWGFHR22-C-0017/en" TargetMode="External"/><Relationship Id="rId69" Type="http://schemas.openxmlformats.org/officeDocument/2006/relationships/hyperlink" Target="https://www.itu.int/md/S26-CWGFHR22-C-0030/en" TargetMode="External"/><Relationship Id="rId80" Type="http://schemas.openxmlformats.org/officeDocument/2006/relationships/hyperlink" Target="https://www.itu.int/md/S26-CWGFHR22-C-0033/en" TargetMode="External"/><Relationship Id="rId85" Type="http://schemas.openxmlformats.org/officeDocument/2006/relationships/hyperlink" Target="https://www.itu.int/md/S26-CWGFHR22-C-0011/en" TargetMode="External"/><Relationship Id="rId12" Type="http://schemas.openxmlformats.org/officeDocument/2006/relationships/hyperlink" Target="https://www.itu.int/md/S26-CWGFHR22-C-0036/en" TargetMode="External"/><Relationship Id="rId17" Type="http://schemas.openxmlformats.org/officeDocument/2006/relationships/hyperlink" Target="https://www.itu.int/md/S25-CWGFHR21-INF-0002/en" TargetMode="External"/><Relationship Id="rId33" Type="http://schemas.openxmlformats.org/officeDocument/2006/relationships/hyperlink" Target="https://www.itu.int/md/S25-CWGFHR21-C-0018/en" TargetMode="External"/><Relationship Id="rId38" Type="http://schemas.openxmlformats.org/officeDocument/2006/relationships/hyperlink" Target="https://www.itu.int/md/S26-CWGFHR22-C-0024/en" TargetMode="External"/><Relationship Id="rId59" Type="http://schemas.openxmlformats.org/officeDocument/2006/relationships/hyperlink" Target="https://www.itu.int/md/S25-CL-C-0085/en" TargetMode="External"/><Relationship Id="rId103" Type="http://schemas.openxmlformats.org/officeDocument/2006/relationships/footer" Target="footer1.xml"/><Relationship Id="rId20" Type="http://schemas.openxmlformats.org/officeDocument/2006/relationships/hyperlink" Target="https://www.itu.int/md/S25-CWGFHR21-C-0003/en" TargetMode="External"/><Relationship Id="rId41" Type="http://schemas.openxmlformats.org/officeDocument/2006/relationships/hyperlink" Target="https://www.itu.int/md/S25-CWGFHR21-C-0010/en" TargetMode="External"/><Relationship Id="rId54" Type="http://schemas.openxmlformats.org/officeDocument/2006/relationships/hyperlink" Target="https://www.itu.int/md/S25-CL-C-0095/en" TargetMode="External"/><Relationship Id="rId62" Type="http://schemas.openxmlformats.org/officeDocument/2006/relationships/hyperlink" Target="https://www.itu.int/md/S25-CWGFHR21-C-0011/en" TargetMode="External"/><Relationship Id="rId70" Type="http://schemas.openxmlformats.org/officeDocument/2006/relationships/hyperlink" Target="https://www.itu.int/md/S26-CWGFHR22-C-0014/en" TargetMode="External"/><Relationship Id="rId75" Type="http://schemas.openxmlformats.org/officeDocument/2006/relationships/hyperlink" Target="http://council.itu.int/2026/wp-content/uploads/sites/6/2025/12/Satellite-Network-Filings-cwg-fhr-16-December-2025.pptx" TargetMode="External"/><Relationship Id="rId83" Type="http://schemas.openxmlformats.org/officeDocument/2006/relationships/hyperlink" Target="https://www.itu.int/md/S26-CWGFHR22-INF-0002/en" TargetMode="External"/><Relationship Id="rId88" Type="http://schemas.openxmlformats.org/officeDocument/2006/relationships/hyperlink" Target="https://www.itu.int/md/S25-CL-C-0035/en" TargetMode="External"/><Relationship Id="rId91" Type="http://schemas.openxmlformats.org/officeDocument/2006/relationships/hyperlink" Target="https://www.itu.int/md/S25-CWGFHR21-C-0016/en" TargetMode="External"/><Relationship Id="rId96" Type="http://schemas.openxmlformats.org/officeDocument/2006/relationships/hyperlink" Target="https://www.itu.int/md/S26-CWGFHR22-C-0025/en"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tu.int/md/S26-CWGFHR22-INF-0004/en" TargetMode="External"/><Relationship Id="rId23" Type="http://schemas.openxmlformats.org/officeDocument/2006/relationships/hyperlink" Target="https://www.itu.int/md/S26-CWGFHR22-C-0007/en" TargetMode="External"/><Relationship Id="rId28" Type="http://schemas.openxmlformats.org/officeDocument/2006/relationships/hyperlink" Target="https://www.itu.int/md/S26-CWGFHR22-C-0031/en" TargetMode="External"/><Relationship Id="rId36" Type="http://schemas.openxmlformats.org/officeDocument/2006/relationships/hyperlink" Target="https://www.itu.int/md/S26-CWGFHR22-C-0008/en" TargetMode="External"/><Relationship Id="rId49" Type="http://schemas.openxmlformats.org/officeDocument/2006/relationships/hyperlink" Target="https://www.itu.int/md/S25-CWGFHR21-C-0015/en" TargetMode="External"/><Relationship Id="rId57" Type="http://schemas.openxmlformats.org/officeDocument/2006/relationships/hyperlink" Target="https://www.itu.int/md/S26-CWGFHR22-C-0010/en" TargetMode="External"/><Relationship Id="rId106"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itu.int/md/S26-CWGFHR22-C-0008/en" TargetMode="External"/><Relationship Id="rId44" Type="http://schemas.openxmlformats.org/officeDocument/2006/relationships/hyperlink" Target="https://www.itu.int/md/S26-CWGFHR22-C-0028/en" TargetMode="External"/><Relationship Id="rId52" Type="http://schemas.openxmlformats.org/officeDocument/2006/relationships/hyperlink" Target="https://www.itu.int/md/S25-CWGFHR21-C-0008/en" TargetMode="External"/><Relationship Id="rId60" Type="http://schemas.openxmlformats.org/officeDocument/2006/relationships/hyperlink" Target="https://www.itu.int/md/S26-CWGFHR22-C-0010/en" TargetMode="External"/><Relationship Id="rId65" Type="http://schemas.openxmlformats.org/officeDocument/2006/relationships/hyperlink" Target="https://www.itu.int/md/S26-CWGFHR22-C-0030/en" TargetMode="External"/><Relationship Id="rId73" Type="http://schemas.openxmlformats.org/officeDocument/2006/relationships/hyperlink" Target="https://www.itu.int/md/S26-CWGFHR22-C-0002/en" TargetMode="External"/><Relationship Id="rId78" Type="http://schemas.openxmlformats.org/officeDocument/2006/relationships/hyperlink" Target="https://www.itu.int/md/S26-CWGFHR22-C-0029/en" TargetMode="External"/><Relationship Id="rId81" Type="http://schemas.openxmlformats.org/officeDocument/2006/relationships/hyperlink" Target="https://www.itu.int/md/S25-CWGFHR21-C-0013/en" TargetMode="External"/><Relationship Id="rId86" Type="http://schemas.openxmlformats.org/officeDocument/2006/relationships/hyperlink" Target="https://www.itu.int/md/S25-CWGFHR21-C-0016/en" TargetMode="External"/><Relationship Id="rId94" Type="http://schemas.openxmlformats.org/officeDocument/2006/relationships/hyperlink" Target="https://www.itu.int/md/S26-CWGFHR22-C-0021/en" TargetMode="External"/><Relationship Id="rId99" Type="http://schemas.openxmlformats.org/officeDocument/2006/relationships/hyperlink" Target="https://www.itu.int/md/S26-CWGFHR22-C-0026/en" TargetMode="External"/><Relationship Id="rId101" Type="http://schemas.openxmlformats.org/officeDocument/2006/relationships/hyperlink" Target="https://www.itu.int/md/S25-CL-C-0038/en"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itu.int/md/S23-CL-C-0129/en" TargetMode="External"/><Relationship Id="rId18" Type="http://schemas.openxmlformats.org/officeDocument/2006/relationships/hyperlink" Target="https://www.itu.int/md/S25-CWGFHR21-C-0002/en" TargetMode="External"/><Relationship Id="rId39" Type="http://schemas.openxmlformats.org/officeDocument/2006/relationships/hyperlink" Target="https://www.itu.int/md/S26-CWGFHR22-C-0008/en" TargetMode="External"/><Relationship Id="rId34" Type="http://schemas.openxmlformats.org/officeDocument/2006/relationships/hyperlink" Target="https://www.itu.int/md/S25-CWGFHR21-C-0021/en" TargetMode="External"/><Relationship Id="rId50" Type="http://schemas.openxmlformats.org/officeDocument/2006/relationships/hyperlink" Target="https://www.itu.int/md/S25-CWGFHR21-C-0017/en" TargetMode="External"/><Relationship Id="rId55" Type="http://schemas.openxmlformats.org/officeDocument/2006/relationships/hyperlink" Target="https://www.itu.int/md/S26-CWGFHR22-C-0019/en" TargetMode="External"/><Relationship Id="rId76" Type="http://schemas.openxmlformats.org/officeDocument/2006/relationships/hyperlink" Target="https://www.itu.int/md/S26-CWGFHR22-C-0002/en" TargetMode="External"/><Relationship Id="rId97" Type="http://schemas.openxmlformats.org/officeDocument/2006/relationships/hyperlink" Target="https://www.itu.int/md/S26-CWGFHR22-INF-0007/en" TargetMode="External"/><Relationship Id="rId104"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www.itu.int/md/S25-CL-C-0084/en" TargetMode="External"/><Relationship Id="rId92" Type="http://schemas.openxmlformats.org/officeDocument/2006/relationships/hyperlink" Target="https://www.itu.int/md/S25-CL-C-0035/en" TargetMode="External"/><Relationship Id="rId2" Type="http://schemas.openxmlformats.org/officeDocument/2006/relationships/customXml" Target="../customXml/item2.xml"/><Relationship Id="rId29" Type="http://schemas.openxmlformats.org/officeDocument/2006/relationships/hyperlink" Target="https://www.itu.int/md/S25-CWGFHR21-C-0005/en" TargetMode="External"/><Relationship Id="rId24" Type="http://schemas.openxmlformats.org/officeDocument/2006/relationships/hyperlink" Target="https://www.itu.int/md/S25-CWGFHR21-C-0004/en" TargetMode="External"/><Relationship Id="rId40" Type="http://schemas.openxmlformats.org/officeDocument/2006/relationships/hyperlink" Target="https://www.itu.int/md/S26-CWGFHR22-C-0008/en" TargetMode="External"/><Relationship Id="rId45" Type="http://schemas.openxmlformats.org/officeDocument/2006/relationships/hyperlink" Target="https://www.itu.int/md/S26-CWGFHR22-C-0023/en" TargetMode="External"/><Relationship Id="rId66" Type="http://schemas.openxmlformats.org/officeDocument/2006/relationships/hyperlink" Target="https://www.itu.int/md/S26-CWGFHR22-C-0030/en" TargetMode="External"/><Relationship Id="rId87" Type="http://schemas.openxmlformats.org/officeDocument/2006/relationships/hyperlink" Target="https://www.itu.int/md/S25-CWGFHR21-C-0016/en" TargetMode="External"/><Relationship Id="rId61" Type="http://schemas.openxmlformats.org/officeDocument/2006/relationships/hyperlink" Target="https://www.itu.int/md/S26-CWGFHR22-C-0012/en" TargetMode="External"/><Relationship Id="rId82" Type="http://schemas.openxmlformats.org/officeDocument/2006/relationships/hyperlink" Target="https://www.itu.int/md/S26-CWGFHR22-C-0006/en" TargetMode="External"/><Relationship Id="rId19" Type="http://schemas.openxmlformats.org/officeDocument/2006/relationships/hyperlink" Target="https://www.itu.int/en/ethics/pages/default.aspx" TargetMode="External"/><Relationship Id="rId14" Type="http://schemas.openxmlformats.org/officeDocument/2006/relationships/hyperlink" Target="https://www.itu.int/md/S25-CWGFHR21-INF-0003/en" TargetMode="External"/><Relationship Id="rId30" Type="http://schemas.openxmlformats.org/officeDocument/2006/relationships/hyperlink" Target="https://www.itu.int/md/S25-CWGFHR21-C-0006/en" TargetMode="External"/><Relationship Id="rId35" Type="http://schemas.openxmlformats.org/officeDocument/2006/relationships/hyperlink" Target="https://www.itu.int/md/S26-CWGFHR22-C-0022/en" TargetMode="External"/><Relationship Id="rId56" Type="http://schemas.openxmlformats.org/officeDocument/2006/relationships/hyperlink" Target="https://www.itu.int/md/S25-CL-C-0085/en" TargetMode="External"/><Relationship Id="rId77" Type="http://schemas.openxmlformats.org/officeDocument/2006/relationships/hyperlink" Target="https://www.itu.int/md/S26-CWGFHR22-C-0027/en" TargetMode="External"/><Relationship Id="rId100" Type="http://schemas.openxmlformats.org/officeDocument/2006/relationships/hyperlink" Target="https://www.itu.int/md/S26-CWGFHR22-C-0003/en" TargetMode="External"/><Relationship Id="rId105"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www.itu.int/md/S25-CWGFHR21-C-0023/en" TargetMode="External"/><Relationship Id="rId72" Type="http://schemas.openxmlformats.org/officeDocument/2006/relationships/hyperlink" Target="https://www.itu.int/md/S25-CWGFHR21-C-0020/en" TargetMode="External"/><Relationship Id="rId93" Type="http://schemas.openxmlformats.org/officeDocument/2006/relationships/hyperlink" Target="https://www.itu.int/md/S26-CWGFHR22-C-0021/en" TargetMode="External"/><Relationship Id="rId98" Type="http://schemas.openxmlformats.org/officeDocument/2006/relationships/hyperlink" Target="https://www.itu.int/md/S26-CWGFHR22-C-0020/en" TargetMode="External"/><Relationship Id="rId3" Type="http://schemas.openxmlformats.org/officeDocument/2006/relationships/customXml" Target="../customXml/item3.xml"/><Relationship Id="rId25" Type="http://schemas.openxmlformats.org/officeDocument/2006/relationships/hyperlink" Target="https://www.itu.int/md/S26-CWGFHR22-C-0004/en" TargetMode="External"/><Relationship Id="rId46" Type="http://schemas.openxmlformats.org/officeDocument/2006/relationships/hyperlink" Target="https://www.itu.int/md/S26-CWGFHR22-C-0028/en" TargetMode="External"/><Relationship Id="rId67" Type="http://schemas.openxmlformats.org/officeDocument/2006/relationships/hyperlink" Target="https://www.itu.int/md/S26-CWGFHR22-C-0015/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4" ma:contentTypeDescription="Create a new document." ma:contentTypeScope="" ma:versionID="9be68409d3c2ab4dff34705b6aa0e722">
  <xsd:schema xmlns:xsd="http://www.w3.org/2001/XMLSchema" xmlns:xs="http://www.w3.org/2001/XMLSchema" xmlns:p="http://schemas.microsoft.com/office/2006/metadata/properties" xmlns:ns2="a4c22657-7647-457b-a399-8471255bb166" targetNamespace="http://schemas.microsoft.com/office/2006/metadata/properties" ma:root="true" ma:fieldsID="985c4305570bd1295e0dfd082e17e564"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obereviewedatCoC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obereviewedatCoCo" ma:index="11" nillable="true" ma:displayName="CoCo" ma:format="Dropdown" ma:internalName="TobereviewedatCoCo">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obereviewedatCoCo xmlns="a4c22657-7647-457b-a399-8471255bb166" xsi:nil="true"/>
  </documentManagement>
</p:properties>
</file>

<file path=customXml/itemProps1.xml><?xml version="1.0" encoding="utf-8"?>
<ds:datastoreItem xmlns:ds="http://schemas.openxmlformats.org/officeDocument/2006/customXml" ds:itemID="{A498F23A-63A6-4386-A898-AEB0FE77792A}">
  <ds:schemaRefs>
    <ds:schemaRef ds:uri="http://schemas.microsoft.com/sharepoint/v3/contenttype/forms"/>
  </ds:schemaRefs>
</ds:datastoreItem>
</file>

<file path=customXml/itemProps2.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3.xml><?xml version="1.0" encoding="utf-8"?>
<ds:datastoreItem xmlns:ds="http://schemas.openxmlformats.org/officeDocument/2006/customXml" ds:itemID="{CFD97B96-0ACA-4309-A3FD-C5B153F24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CA2C9C-8ADA-420B-B73C-479384479E9E}">
  <ds:schemaRefs>
    <ds:schemaRef ds:uri="a4c22657-7647-457b-a399-8471255bb166"/>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http://purl.org/dc/dcmitype/"/>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22</Pages>
  <Words>9468</Words>
  <Characters>61834</Characters>
  <Application>Microsoft Office Word</Application>
  <DocSecurity>0</DocSecurity>
  <Lines>1048</Lines>
  <Paragraphs>288</Paragraphs>
  <ScaleCrop>false</ScaleCrop>
  <HeadingPairs>
    <vt:vector size="2" baseType="variant">
      <vt:variant>
        <vt:lpstr>Title</vt:lpstr>
      </vt:variant>
      <vt:variant>
        <vt:i4>1</vt:i4>
      </vt:variant>
    </vt:vector>
  </HeadingPairs>
  <TitlesOfParts>
    <vt:vector size="1" baseType="lpstr">
      <vt:lpstr>Report on the outcomes of the 21st and 22nd meetings of the Council Working Group on financial and human resources</vt:lpstr>
    </vt:vector>
  </TitlesOfParts>
  <Manager>General Secretariat</Manager>
  <Company>International Telecommunication Union (ITU)</Company>
  <LinksUpToDate>false</LinksUpToDate>
  <CharactersWithSpaces>71014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the outcomes of the 21st and 22nd meetings of the Council Working Group on financial and human resources</dc:title>
  <dc:subject>ITU Council 2026</dc:subject>
  <cp:keywords>C26; C2026; Council 2026; PP26</cp:keywords>
  <dc:description/>
  <cp:lastPrinted>2000-07-19T07:30:00Z</cp:lastPrinted>
  <dcterms:created xsi:type="dcterms:W3CDTF">2026-03-27T08:43:00Z</dcterms:created>
  <dcterms:modified xsi:type="dcterms:W3CDTF">2026-03-27T09:57:00Z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0x010100814E447ED7B9DA4C9F10BB2808D9DCA9</vt:lpwstr>
  </property>
  <property fmtid="{D5CDD505-2E9C-101B-9397-08002B2CF9AE}" pid="10" name="docLang">
    <vt:lpwstr>en</vt:lpwstr>
  </property>
</Properties>
</file>