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rsidRPr="007E6D53" w14:paraId="7522426C" w14:textId="77777777" w:rsidTr="00F363FE">
        <w:tc>
          <w:tcPr>
            <w:tcW w:w="6512" w:type="dxa"/>
          </w:tcPr>
          <w:p w14:paraId="24CE747B" w14:textId="04C3E39C" w:rsidR="007B0AA0" w:rsidRPr="007E6D53" w:rsidRDefault="007B0AA0" w:rsidP="00F363FE">
            <w:pPr>
              <w:spacing w:before="60" w:after="60" w:line="260" w:lineRule="exact"/>
              <w:rPr>
                <w:b/>
                <w:bCs/>
                <w:lang w:bidi="ar-EG"/>
              </w:rPr>
            </w:pPr>
            <w:r w:rsidRPr="007E6D53">
              <w:rPr>
                <w:b/>
                <w:bCs/>
                <w:rtl/>
                <w:lang w:bidi="ar-EG"/>
              </w:rPr>
              <w:t>بند جدول الأعمال:</w:t>
            </w:r>
            <w:r w:rsidR="00CD38F0" w:rsidRPr="007E6D53">
              <w:rPr>
                <w:b/>
                <w:bCs/>
                <w:rtl/>
                <w:lang w:bidi="ar-EG"/>
              </w:rPr>
              <w:t xml:space="preserve"> </w:t>
            </w:r>
            <w:r w:rsidR="00CD38F0" w:rsidRPr="007E6D53">
              <w:rPr>
                <w:b/>
                <w:bCs/>
                <w:lang w:bidi="ar-EG"/>
              </w:rPr>
              <w:t>ADM 1</w:t>
            </w:r>
          </w:p>
        </w:tc>
        <w:tc>
          <w:tcPr>
            <w:tcW w:w="3117" w:type="dxa"/>
          </w:tcPr>
          <w:p w14:paraId="1F5759F1" w14:textId="33BAA07C" w:rsidR="007B0AA0" w:rsidRPr="007E6D53" w:rsidRDefault="007B0AA0" w:rsidP="00F363FE">
            <w:pPr>
              <w:spacing w:before="60" w:after="60" w:line="260" w:lineRule="exact"/>
              <w:rPr>
                <w:b/>
                <w:bCs/>
                <w:lang w:bidi="ar-EG"/>
              </w:rPr>
            </w:pPr>
            <w:r w:rsidRPr="007E6D53">
              <w:rPr>
                <w:b/>
                <w:bCs/>
                <w:rtl/>
                <w:lang w:bidi="ar-EG"/>
              </w:rPr>
              <w:t xml:space="preserve">الوثيقة </w:t>
            </w:r>
            <w:r w:rsidRPr="007E6D53">
              <w:rPr>
                <w:b/>
                <w:bCs/>
                <w:lang w:bidi="ar-EG"/>
              </w:rPr>
              <w:t>C2</w:t>
            </w:r>
            <w:r w:rsidR="000116AF" w:rsidRPr="007E6D53">
              <w:rPr>
                <w:b/>
                <w:bCs/>
                <w:lang w:bidi="ar-EG"/>
              </w:rPr>
              <w:t>6</w:t>
            </w:r>
            <w:r w:rsidRPr="007E6D53">
              <w:rPr>
                <w:b/>
                <w:bCs/>
                <w:lang w:bidi="ar-EG"/>
              </w:rPr>
              <w:t>/</w:t>
            </w:r>
            <w:r w:rsidR="008045CE" w:rsidRPr="007E6D53">
              <w:rPr>
                <w:b/>
                <w:bCs/>
                <w:lang w:bidi="ar-EG"/>
              </w:rPr>
              <w:t>50</w:t>
            </w:r>
            <w:r w:rsidRPr="007E6D53">
              <w:rPr>
                <w:b/>
                <w:bCs/>
                <w:lang w:bidi="ar-EG"/>
              </w:rPr>
              <w:t>-A</w:t>
            </w:r>
          </w:p>
        </w:tc>
      </w:tr>
      <w:tr w:rsidR="007B0AA0" w:rsidRPr="007E6D53" w14:paraId="5B500E74" w14:textId="77777777" w:rsidTr="00F363FE">
        <w:tc>
          <w:tcPr>
            <w:tcW w:w="6512" w:type="dxa"/>
          </w:tcPr>
          <w:p w14:paraId="3E5B1B33" w14:textId="77777777" w:rsidR="007B0AA0" w:rsidRPr="007E6D53" w:rsidRDefault="007B0AA0" w:rsidP="00F363FE">
            <w:pPr>
              <w:spacing w:before="60" w:after="60" w:line="260" w:lineRule="exact"/>
              <w:rPr>
                <w:b/>
                <w:bCs/>
                <w:rtl/>
                <w:lang w:bidi="ar-EG"/>
              </w:rPr>
            </w:pPr>
          </w:p>
        </w:tc>
        <w:tc>
          <w:tcPr>
            <w:tcW w:w="3117" w:type="dxa"/>
          </w:tcPr>
          <w:p w14:paraId="482F5802" w14:textId="27566C80" w:rsidR="007B0AA0" w:rsidRPr="007E6D53" w:rsidRDefault="00E46C95" w:rsidP="00F363FE">
            <w:pPr>
              <w:spacing w:before="60" w:after="60" w:line="260" w:lineRule="exact"/>
              <w:rPr>
                <w:b/>
                <w:bCs/>
                <w:rtl/>
                <w:lang w:bidi="ar-EG"/>
              </w:rPr>
            </w:pPr>
            <w:r w:rsidRPr="007E6D53">
              <w:rPr>
                <w:b/>
                <w:bCs/>
                <w:rtl/>
              </w:rPr>
              <w:t>‏27‏ مارس‏ 2026</w:t>
            </w:r>
          </w:p>
        </w:tc>
      </w:tr>
      <w:tr w:rsidR="007B0AA0" w:rsidRPr="007E6D53" w14:paraId="6F0AC0D6" w14:textId="77777777" w:rsidTr="00F363FE">
        <w:tc>
          <w:tcPr>
            <w:tcW w:w="6512" w:type="dxa"/>
          </w:tcPr>
          <w:p w14:paraId="29476E28" w14:textId="77777777" w:rsidR="007B0AA0" w:rsidRPr="007E6D53" w:rsidRDefault="007B0AA0" w:rsidP="00F363FE">
            <w:pPr>
              <w:spacing w:before="60" w:after="60" w:line="260" w:lineRule="exact"/>
              <w:rPr>
                <w:b/>
                <w:bCs/>
                <w:rtl/>
                <w:lang w:bidi="ar-EG"/>
              </w:rPr>
            </w:pPr>
          </w:p>
        </w:tc>
        <w:tc>
          <w:tcPr>
            <w:tcW w:w="3117" w:type="dxa"/>
          </w:tcPr>
          <w:p w14:paraId="3459AB3B" w14:textId="77777777" w:rsidR="007B0AA0" w:rsidRPr="007E6D53" w:rsidRDefault="001D64C7" w:rsidP="00F363FE">
            <w:pPr>
              <w:spacing w:before="60" w:after="60" w:line="260" w:lineRule="exact"/>
              <w:rPr>
                <w:b/>
                <w:bCs/>
                <w:rtl/>
                <w:lang w:bidi="ar-EG"/>
              </w:rPr>
            </w:pPr>
            <w:r w:rsidRPr="007E6D53">
              <w:rPr>
                <w:b/>
                <w:bCs/>
                <w:rtl/>
                <w:lang w:bidi="ar-EG"/>
              </w:rPr>
              <w:t>الأصل: بالإنكليزية</w:t>
            </w:r>
          </w:p>
        </w:tc>
      </w:tr>
      <w:tr w:rsidR="007B0AA0" w:rsidRPr="007E6D53" w14:paraId="3E637333" w14:textId="77777777" w:rsidTr="00F363FE">
        <w:tc>
          <w:tcPr>
            <w:tcW w:w="6512" w:type="dxa"/>
          </w:tcPr>
          <w:p w14:paraId="0A94B9BF" w14:textId="77777777" w:rsidR="007B0AA0" w:rsidRPr="007E6D53" w:rsidRDefault="007B0AA0" w:rsidP="00F363FE">
            <w:pPr>
              <w:spacing w:before="60" w:after="60" w:line="260" w:lineRule="exact"/>
              <w:rPr>
                <w:lang w:bidi="ar-EG"/>
              </w:rPr>
            </w:pPr>
          </w:p>
        </w:tc>
        <w:tc>
          <w:tcPr>
            <w:tcW w:w="3117" w:type="dxa"/>
          </w:tcPr>
          <w:p w14:paraId="06A68C5D" w14:textId="77777777" w:rsidR="007B0AA0" w:rsidRPr="007E6D53" w:rsidRDefault="007B0AA0" w:rsidP="00F363FE">
            <w:pPr>
              <w:spacing w:before="60" w:after="60" w:line="260" w:lineRule="exact"/>
              <w:rPr>
                <w:rtl/>
                <w:lang w:bidi="ar-EG"/>
              </w:rPr>
            </w:pPr>
          </w:p>
        </w:tc>
      </w:tr>
      <w:tr w:rsidR="007B0AA0" w:rsidRPr="007E6D53" w14:paraId="2E9C5715" w14:textId="77777777" w:rsidTr="00EE7446">
        <w:tc>
          <w:tcPr>
            <w:tcW w:w="9629" w:type="dxa"/>
            <w:gridSpan w:val="2"/>
          </w:tcPr>
          <w:p w14:paraId="084733D6" w14:textId="54EFF519" w:rsidR="007B0AA0" w:rsidRPr="007E6D53" w:rsidRDefault="00E46C95" w:rsidP="00E46C95">
            <w:pPr>
              <w:pStyle w:val="Source"/>
              <w:jc w:val="left"/>
              <w:rPr>
                <w:lang w:bidi="ar-EG"/>
              </w:rPr>
            </w:pPr>
            <w:r w:rsidRPr="007E6D53">
              <w:rPr>
                <w:rtl/>
              </w:rPr>
              <w:t>تقرير من رئيسة فريق العمل التابع للمجلس والمعني بالموارد المالية والبشرية</w:t>
            </w:r>
          </w:p>
        </w:tc>
      </w:tr>
      <w:tr w:rsidR="007B0AA0" w:rsidRPr="007E6D53" w14:paraId="3E7BB6FD" w14:textId="77777777" w:rsidTr="007B0AA0">
        <w:tc>
          <w:tcPr>
            <w:tcW w:w="9629" w:type="dxa"/>
            <w:gridSpan w:val="2"/>
            <w:tcBorders>
              <w:bottom w:val="single" w:sz="4" w:space="0" w:color="auto"/>
            </w:tcBorders>
          </w:tcPr>
          <w:p w14:paraId="3EC59F44" w14:textId="10A4EF4F" w:rsidR="007B0AA0" w:rsidRPr="007E6D53" w:rsidRDefault="00E46C95" w:rsidP="00E46C95">
            <w:pPr>
              <w:pStyle w:val="Subtitle0"/>
              <w:rPr>
                <w:sz w:val="32"/>
                <w:szCs w:val="32"/>
              </w:rPr>
            </w:pPr>
            <w:r w:rsidRPr="007E6D53">
              <w:rPr>
                <w:sz w:val="32"/>
                <w:szCs w:val="32"/>
                <w:rtl/>
                <w:lang w:bidi="ar-SA"/>
              </w:rPr>
              <w:t>تقرير عن نتائج الاجتماعين الحادي والعشرين والثاني والعشرين لفريق العمل التابع للمجلس والمعني بالموارد المالية والبشرية</w:t>
            </w:r>
          </w:p>
        </w:tc>
      </w:tr>
      <w:tr w:rsidR="007B0AA0" w:rsidRPr="007E6D53" w14:paraId="34D6877F" w14:textId="77777777" w:rsidTr="007B0AA0">
        <w:tc>
          <w:tcPr>
            <w:tcW w:w="9629" w:type="dxa"/>
            <w:gridSpan w:val="2"/>
            <w:tcBorders>
              <w:top w:val="single" w:sz="4" w:space="0" w:color="auto"/>
              <w:bottom w:val="single" w:sz="4" w:space="0" w:color="auto"/>
            </w:tcBorders>
          </w:tcPr>
          <w:p w14:paraId="2B27E619" w14:textId="77777777" w:rsidR="007B0AA0" w:rsidRPr="007E6D53" w:rsidRDefault="007B0AA0" w:rsidP="007B0AA0">
            <w:pPr>
              <w:rPr>
                <w:b/>
                <w:bCs/>
                <w:rtl/>
              </w:rPr>
            </w:pPr>
            <w:r w:rsidRPr="007E6D53">
              <w:rPr>
                <w:b/>
                <w:bCs/>
                <w:rtl/>
              </w:rPr>
              <w:t>الغرض</w:t>
            </w:r>
          </w:p>
          <w:p w14:paraId="52727CF4" w14:textId="174B68EC" w:rsidR="00E46C95" w:rsidRPr="00E46C95" w:rsidRDefault="00E46C95" w:rsidP="00E46C95">
            <w:pPr>
              <w:rPr>
                <w:spacing w:val="-4"/>
                <w:rtl/>
                <w:lang w:bidi="en-GB"/>
              </w:rPr>
            </w:pPr>
            <w:r w:rsidRPr="00E46C95">
              <w:rPr>
                <w:spacing w:val="-4"/>
                <w:rtl/>
              </w:rPr>
              <w:t>تعرض هذه الوثيقة التوصيات المتعلقة بمداولات اجتماعيْ فريق العمل التابع للمجلس والمعني بالموارد المالية والبشرية</w:t>
            </w:r>
            <w:r w:rsidR="00351F50">
              <w:rPr>
                <w:rFonts w:hint="cs"/>
                <w:spacing w:val="-4"/>
                <w:rtl/>
              </w:rPr>
              <w:t> </w:t>
            </w:r>
            <w:r w:rsidRPr="00E46C95">
              <w:rPr>
                <w:spacing w:val="-4"/>
                <w:rtl/>
              </w:rPr>
              <w:t>(CWG-FHR) اللذين عُقدا في الفترتين 10-12 سبتمبر 2025 ‏و14-16 يناير 2026، على الترتيب. ويمكن الاطلاع على التقريرين الكاملين لهذين الاجتماعين عبر رابطي الوثيقتين التاليتين: ‎</w:t>
            </w:r>
            <w:hyperlink r:id="rId8" w:history="1">
              <w:r w:rsidR="00433BB4" w:rsidRPr="007E6D53">
                <w:rPr>
                  <w:rStyle w:val="Hyperlink"/>
                  <w:spacing w:val="-4"/>
                </w:rPr>
                <w:t>CWG</w:t>
              </w:r>
              <w:r w:rsidR="00433BB4" w:rsidRPr="007E6D53">
                <w:rPr>
                  <w:rStyle w:val="Hyperlink"/>
                  <w:spacing w:val="-4"/>
                </w:rPr>
                <w:noBreakHyphen/>
                <w:t>FHR-21/25</w:t>
              </w:r>
            </w:hyperlink>
            <w:r w:rsidRPr="00E46C95">
              <w:rPr>
                <w:spacing w:val="-4"/>
                <w:rtl/>
              </w:rPr>
              <w:t xml:space="preserve"> ‏و‎</w:t>
            </w:r>
            <w:hyperlink r:id="rId9" w:history="1">
              <w:r w:rsidR="00433BB4" w:rsidRPr="007E6D53">
                <w:rPr>
                  <w:rStyle w:val="Hyperlink"/>
                  <w:spacing w:val="-4"/>
                </w:rPr>
                <w:t>CWG</w:t>
              </w:r>
              <w:r w:rsidR="00433BB4" w:rsidRPr="007E6D53">
                <w:rPr>
                  <w:rStyle w:val="Hyperlink"/>
                  <w:spacing w:val="-4"/>
                </w:rPr>
                <w:noBreakHyphen/>
                <w:t>FHR-22/36</w:t>
              </w:r>
            </w:hyperlink>
            <w:r w:rsidRPr="00E46C95">
              <w:rPr>
                <w:spacing w:val="-4"/>
                <w:rtl/>
              </w:rPr>
              <w:t>.</w:t>
            </w:r>
            <w:hyperlink r:id="rId10" w:history="1"/>
            <w:hyperlink r:id="rId11" w:history="1"/>
          </w:p>
          <w:p w14:paraId="34B30CEC" w14:textId="0D30773B" w:rsidR="007B0AA0" w:rsidRPr="007E6D53" w:rsidRDefault="00E46C95" w:rsidP="00E46C95">
            <w:pPr>
              <w:rPr>
                <w:spacing w:val="-2"/>
                <w:rtl/>
              </w:rPr>
            </w:pPr>
            <w:r w:rsidRPr="007E6D53">
              <w:rPr>
                <w:spacing w:val="-2"/>
                <w:rtl/>
              </w:rPr>
              <w:t>‏وينبغي لمندوبي المجلس الرجوع إلى هذين التقريرين للاطلاع على تفصيل مختلف الآراء التي أُعرب عنها في المناقشات.</w:t>
            </w:r>
          </w:p>
          <w:p w14:paraId="54038A48" w14:textId="77777777" w:rsidR="007B0AA0" w:rsidRPr="007E6D53" w:rsidRDefault="007B0AA0" w:rsidP="007B0AA0">
            <w:pPr>
              <w:rPr>
                <w:b/>
                <w:bCs/>
                <w:rtl/>
              </w:rPr>
            </w:pPr>
            <w:r w:rsidRPr="007E6D53">
              <w:rPr>
                <w:b/>
                <w:bCs/>
                <w:rtl/>
              </w:rPr>
              <w:t>الإجراء المطلوب من المجلس</w:t>
            </w:r>
          </w:p>
          <w:p w14:paraId="26DCD01D" w14:textId="68A90AE4" w:rsidR="007B0AA0" w:rsidRPr="007E6D53" w:rsidRDefault="00E46C95" w:rsidP="00E46C95">
            <w:pPr>
              <w:rPr>
                <w:rtl/>
              </w:rPr>
            </w:pPr>
            <w:r w:rsidRPr="007E6D53">
              <w:rPr>
                <w:rtl/>
              </w:rPr>
              <w:t xml:space="preserve">يُدعى المجلس إلى </w:t>
            </w:r>
            <w:r w:rsidRPr="007E6D53">
              <w:rPr>
                <w:b/>
                <w:bCs/>
                <w:rtl/>
              </w:rPr>
              <w:t>الإحاطة علماً</w:t>
            </w:r>
            <w:r w:rsidRPr="007E6D53">
              <w:rPr>
                <w:rtl/>
              </w:rPr>
              <w:t xml:space="preserve"> بأعمال فريق العمل التابع للمجلس والمعني بالموارد المالية والبشرية، و</w:t>
            </w:r>
            <w:r w:rsidRPr="007E6D53">
              <w:rPr>
                <w:b/>
                <w:bCs/>
                <w:rtl/>
              </w:rPr>
              <w:t xml:space="preserve">النظر </w:t>
            </w:r>
            <w:r w:rsidRPr="007E6D53">
              <w:rPr>
                <w:rtl/>
              </w:rPr>
              <w:t>في</w:t>
            </w:r>
            <w:r w:rsidR="00433BB4" w:rsidRPr="007E6D53">
              <w:rPr>
                <w:rtl/>
              </w:rPr>
              <w:t> </w:t>
            </w:r>
            <w:r w:rsidRPr="007E6D53">
              <w:rPr>
                <w:rtl/>
              </w:rPr>
              <w:t>التوصيات المحدَّدة في الملحق A بالتقرير.</w:t>
            </w:r>
          </w:p>
          <w:p w14:paraId="0028A7DB" w14:textId="77777777" w:rsidR="007B0AA0" w:rsidRPr="007E6D53" w:rsidRDefault="00494119" w:rsidP="007B0AA0">
            <w:pPr>
              <w:rPr>
                <w:b/>
                <w:bCs/>
                <w:rtl/>
              </w:rPr>
            </w:pPr>
            <w:r w:rsidRPr="007E6D53">
              <w:rPr>
                <w:b/>
                <w:bCs/>
                <w:rtl/>
                <w:lang w:bidi="ar-EG"/>
              </w:rPr>
              <w:t>الصلة</w:t>
            </w:r>
            <w:r w:rsidR="007B0AA0" w:rsidRPr="007E6D53">
              <w:rPr>
                <w:b/>
                <w:bCs/>
                <w:rtl/>
              </w:rPr>
              <w:t xml:space="preserve"> بالخطة الاستراتيجية</w:t>
            </w:r>
          </w:p>
          <w:p w14:paraId="32BC1C54" w14:textId="5A254DB7" w:rsidR="007B0AA0" w:rsidRPr="007E6D53" w:rsidRDefault="00351F50" w:rsidP="00E46C95">
            <w:pPr>
              <w:rPr>
                <w:rtl/>
              </w:rPr>
            </w:pPr>
            <w:r>
              <w:rPr>
                <w:rFonts w:hint="cs"/>
                <w:rtl/>
              </w:rPr>
              <w:t>منصات عقد الاجتماعات</w:t>
            </w:r>
            <w:r w:rsidR="00E46C95" w:rsidRPr="007E6D53">
              <w:rPr>
                <w:rtl/>
              </w:rPr>
              <w:t>؛ التميز في مجال الموارد البشرية والابتكار التنظيمي.</w:t>
            </w:r>
          </w:p>
          <w:p w14:paraId="75979CF4" w14:textId="77777777" w:rsidR="007B0AA0" w:rsidRPr="007E6D53" w:rsidRDefault="007B0AA0" w:rsidP="00B97F32">
            <w:pPr>
              <w:rPr>
                <w:b/>
                <w:bCs/>
              </w:rPr>
            </w:pPr>
            <w:r w:rsidRPr="007E6D53">
              <w:rPr>
                <w:b/>
                <w:bCs/>
                <w:rtl/>
              </w:rPr>
              <w:t>الآثار المالية</w:t>
            </w:r>
          </w:p>
          <w:p w14:paraId="546D2E15" w14:textId="4BFA5C61" w:rsidR="006F363C" w:rsidRPr="007E6D53" w:rsidRDefault="00E46C95" w:rsidP="00E46C95">
            <w:pPr>
              <w:rPr>
                <w:rtl/>
              </w:rPr>
            </w:pPr>
            <w:r w:rsidRPr="007E6D53">
              <w:rPr>
                <w:rtl/>
              </w:rPr>
              <w:t xml:space="preserve">ضمن الميزانية المخصصة لفترة السنتين </w:t>
            </w:r>
            <w:r w:rsidR="007D171B" w:rsidRPr="007E6D53">
              <w:t>2026</w:t>
            </w:r>
            <w:r w:rsidR="007D171B" w:rsidRPr="007E6D53">
              <w:noBreakHyphen/>
              <w:t>2025</w:t>
            </w:r>
            <w:r w:rsidRPr="007E6D53">
              <w:rPr>
                <w:rtl/>
              </w:rPr>
              <w:t>.</w:t>
            </w:r>
          </w:p>
          <w:p w14:paraId="095E6A30" w14:textId="77777777" w:rsidR="00351F50" w:rsidRPr="007B0AA0" w:rsidRDefault="00351F50" w:rsidP="00351F5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06830DC1" w14:textId="77777777" w:rsidR="007B0AA0" w:rsidRPr="007E6D53" w:rsidRDefault="007B0AA0" w:rsidP="007B0AA0">
            <w:pPr>
              <w:rPr>
                <w:b/>
                <w:bCs/>
                <w:rtl/>
              </w:rPr>
            </w:pPr>
            <w:r w:rsidRPr="007E6D53">
              <w:rPr>
                <w:b/>
                <w:bCs/>
                <w:rtl/>
              </w:rPr>
              <w:t>المراجع</w:t>
            </w:r>
          </w:p>
          <w:p w14:paraId="6CB347CD" w14:textId="2838E73D" w:rsidR="007B0AA0" w:rsidRPr="007E6D53" w:rsidRDefault="007D171B" w:rsidP="007D171B">
            <w:pPr>
              <w:rPr>
                <w:i/>
                <w:iCs/>
                <w:rtl/>
              </w:rPr>
            </w:pPr>
            <w:hyperlink r:id="rId12" w:history="1">
              <w:r w:rsidRPr="007E6D53">
                <w:rPr>
                  <w:rStyle w:val="Hyperlink"/>
                  <w:i/>
                  <w:iCs/>
                  <w:noProof w:val="0"/>
                  <w:rtl/>
                  <w:lang w:val="en-US" w:eastAsia="zh-CN"/>
                </w:rPr>
                <w:t>مقرر المجلس 563 (المعدل في 2023)</w:t>
              </w:r>
            </w:hyperlink>
          </w:p>
        </w:tc>
      </w:tr>
    </w:tbl>
    <w:p w14:paraId="489880DF" w14:textId="77777777" w:rsidR="00F50E3F" w:rsidRPr="007E6D53" w:rsidRDefault="00F50E3F" w:rsidP="0043260A">
      <w:pPr>
        <w:rPr>
          <w:rtl/>
          <w:lang w:bidi="ar-EG"/>
        </w:rPr>
      </w:pPr>
      <w:r w:rsidRPr="007E6D53">
        <w:rPr>
          <w:rtl/>
          <w:lang w:bidi="ar-EG"/>
        </w:rPr>
        <w:br w:type="page"/>
      </w:r>
    </w:p>
    <w:p w14:paraId="7F0631DB" w14:textId="675C55EC" w:rsidR="00EC792C" w:rsidRPr="00EC792C" w:rsidRDefault="00EC792C" w:rsidP="00445B9B">
      <w:pPr>
        <w:rPr>
          <w:spacing w:val="-2"/>
          <w:rtl/>
          <w:lang w:val="en-GB" w:bidi="en-GB"/>
        </w:rPr>
      </w:pPr>
      <w:r w:rsidRPr="00EC792C">
        <w:rPr>
          <w:spacing w:val="-2"/>
          <w:rtl/>
          <w:lang w:val="en-GB"/>
        </w:rPr>
        <w:lastRenderedPageBreak/>
        <w:t xml:space="preserve">رأَسَت فريق العمل التابع للمجلس والمعني بالموارد المالية والبشرية </w:t>
      </w:r>
      <w:r w:rsidR="00445B9B" w:rsidRPr="007E6D53">
        <w:rPr>
          <w:spacing w:val="-2"/>
          <w:lang w:val="en-GB"/>
        </w:rPr>
        <w:t>(CWG-FHR)</w:t>
      </w:r>
      <w:r w:rsidRPr="00EC792C">
        <w:rPr>
          <w:spacing w:val="-2"/>
          <w:rtl/>
          <w:lang w:val="en-GB"/>
        </w:rPr>
        <w:t xml:space="preserve"> ‏السيدة فيرنيتا هاريس (الولايات المتحدة الأمريكية) بمعاونة ستة نواب للرئيس، وهم: عن منطقة إفريقيا - ‏السيدة سينابو سيك سيسيه (السنغال)؛ و‎عن منطقة الأمريكيتين - ‏السيد رونالدو مورا (البرازيل)؛ و‎عن منطقة الدول العربية - ‏السيدة نهى جعفر (مصر)؛ وعن</w:t>
      </w:r>
      <w:r w:rsidR="007436FA" w:rsidRPr="007E6D53">
        <w:rPr>
          <w:spacing w:val="-2"/>
          <w:rtl/>
          <w:lang w:val="en-GB"/>
        </w:rPr>
        <w:t> </w:t>
      </w:r>
      <w:r w:rsidRPr="00EC792C">
        <w:rPr>
          <w:spacing w:val="-2"/>
          <w:rtl/>
          <w:lang w:val="en-GB"/>
        </w:rPr>
        <w:t>منطقة آسيا والمحيط الهادئ - السيدة مين جونغ بارك (جمهورية كوريا)؛ وعن منطقة كومنولث الدول المستقلة</w:t>
      </w:r>
      <w:r w:rsidR="007436FA" w:rsidRPr="007E6D53">
        <w:rPr>
          <w:spacing w:val="-2"/>
          <w:rtl/>
          <w:lang w:val="en-GB"/>
        </w:rPr>
        <w:t> </w:t>
      </w:r>
      <w:r w:rsidRPr="00EC792C">
        <w:rPr>
          <w:spacing w:val="-2"/>
          <w:rtl/>
          <w:lang w:val="en-GB"/>
        </w:rPr>
        <w:t>- ‏السيد إرجان ميراموف (كازاخستان)؛ وعن منطقة أوروبا - السيد سابولكس سنتلاكي</w:t>
      </w:r>
      <w:r w:rsidR="00351F50">
        <w:rPr>
          <w:rFonts w:hint="cs"/>
          <w:spacing w:val="-2"/>
          <w:rtl/>
          <w:lang w:val="en-GB"/>
        </w:rPr>
        <w:t xml:space="preserve"> </w:t>
      </w:r>
      <w:r w:rsidRPr="00EC792C">
        <w:rPr>
          <w:spacing w:val="-2"/>
          <w:rtl/>
          <w:lang w:val="en-GB"/>
        </w:rPr>
        <w:t>(هنغاريا)‎.</w:t>
      </w:r>
    </w:p>
    <w:p w14:paraId="2BB3A821" w14:textId="77777777" w:rsidR="00EC792C" w:rsidRPr="007E6D53" w:rsidRDefault="00EC792C" w:rsidP="007436FA">
      <w:pPr>
        <w:pStyle w:val="Heading1"/>
        <w:rPr>
          <w:rtl/>
          <w:lang w:val="en-GB" w:bidi="en-GB"/>
        </w:rPr>
      </w:pPr>
      <w:r w:rsidRPr="007E6D53">
        <w:rPr>
          <w:rtl/>
          <w:lang w:val="en-GB"/>
        </w:rPr>
        <w:t>1</w:t>
      </w:r>
      <w:r w:rsidRPr="007E6D53">
        <w:rPr>
          <w:rtl/>
          <w:lang w:val="en-GB"/>
        </w:rPr>
        <w:tab/>
        <w:t>بيان صادر عن مجلس الموظفين (عرض إيضاحي شفوي)</w:t>
      </w:r>
    </w:p>
    <w:p w14:paraId="2645C059" w14:textId="62CE1D07" w:rsidR="00EC792C" w:rsidRPr="00EC792C" w:rsidRDefault="00EC792C" w:rsidP="008D79F1">
      <w:pPr>
        <w:rPr>
          <w:rtl/>
          <w:lang w:val="en-GB" w:bidi="en-GB"/>
        </w:rPr>
      </w:pPr>
      <w:r w:rsidRPr="00EC792C">
        <w:rPr>
          <w:rtl/>
          <w:lang w:val="en-GB"/>
        </w:rPr>
        <w:t>1.1</w:t>
      </w:r>
      <w:r w:rsidRPr="00EC792C">
        <w:rPr>
          <w:rtl/>
          <w:lang w:val="en-GB"/>
        </w:rPr>
        <w:tab/>
        <w:t xml:space="preserve">في الاجتماع الحادي والعشرين لفريق العمل التابع للمجلس والمعني بالموارد المالية والبشرية </w:t>
      </w:r>
      <w:r w:rsidR="008D79F1" w:rsidRPr="007E6D53">
        <w:rPr>
          <w:lang w:val="en-GB"/>
        </w:rPr>
        <w:t>(CWG-FHR)</w:t>
      </w:r>
      <w:r w:rsidRPr="00EC792C">
        <w:rPr>
          <w:rtl/>
          <w:lang w:val="en-GB"/>
        </w:rPr>
        <w:t xml:space="preserve"> الذي عقد في سبتمبر 2025، أدلى رئيس مجلس الموظفين، السيد أوندر سيتينكيا، ببيان. والبيان متاح في الوثيقة</w:t>
      </w:r>
      <w:r w:rsidR="00351F50">
        <w:rPr>
          <w:rFonts w:hint="cs"/>
          <w:rtl/>
          <w:lang w:val="en-GB"/>
        </w:rPr>
        <w:t> </w:t>
      </w:r>
      <w:hyperlink r:id="rId13" w:history="1">
        <w:r w:rsidR="007436FA" w:rsidRPr="007E6D53">
          <w:rPr>
            <w:rStyle w:val="Hyperlink"/>
            <w:rFonts w:eastAsia="Aptos"/>
          </w:rPr>
          <w:t>CWG</w:t>
        </w:r>
        <w:r w:rsidR="007436FA" w:rsidRPr="007E6D53">
          <w:rPr>
            <w:rStyle w:val="Hyperlink"/>
            <w:rFonts w:eastAsia="Aptos"/>
          </w:rPr>
          <w:noBreakHyphen/>
          <w:t>FHR</w:t>
        </w:r>
        <w:r w:rsidR="007436FA" w:rsidRPr="007E6D53">
          <w:rPr>
            <w:rStyle w:val="Hyperlink"/>
            <w:rFonts w:eastAsia="Aptos"/>
          </w:rPr>
          <w:noBreakHyphen/>
          <w:t>21/INF/3</w:t>
        </w:r>
      </w:hyperlink>
      <w:r w:rsidRPr="00EC792C">
        <w:rPr>
          <w:rtl/>
          <w:lang w:val="en-GB"/>
        </w:rPr>
        <w:t>.</w:t>
      </w:r>
      <w:hyperlink r:id="rId14" w:history="1"/>
    </w:p>
    <w:p w14:paraId="1BEEE89E" w14:textId="3A8207FF" w:rsidR="00445B9B" w:rsidRPr="007E6D53" w:rsidRDefault="00EC792C" w:rsidP="00EC792C">
      <w:pPr>
        <w:rPr>
          <w:lang w:val="en-GB"/>
        </w:rPr>
      </w:pPr>
      <w:r w:rsidRPr="00EC792C">
        <w:rPr>
          <w:rtl/>
          <w:lang w:val="en-GB"/>
        </w:rPr>
        <w:t>2.1</w:t>
      </w:r>
      <w:r w:rsidRPr="00EC792C">
        <w:rPr>
          <w:rtl/>
          <w:lang w:val="en-GB"/>
        </w:rPr>
        <w:tab/>
        <w:t xml:space="preserve">وفي الاجتماع الثاني والعشرين للفريق CWG-FHR الذي عقد في يناير 2026، أدلى رئيس مجلس الموظفين، السيد أوندر سيتينكيا، ببيان. والبيان متاح في الوثيقة </w:t>
      </w:r>
      <w:hyperlink r:id="rId15" w:history="1">
        <w:r w:rsidR="008D79F1" w:rsidRPr="007E6D53">
          <w:rPr>
            <w:rStyle w:val="Hyperlink"/>
            <w:rFonts w:eastAsia="Aptos"/>
          </w:rPr>
          <w:t>CWG-FHR-22/INF/4</w:t>
        </w:r>
      </w:hyperlink>
      <w:r w:rsidRPr="00EC792C">
        <w:rPr>
          <w:rtl/>
          <w:lang w:val="en-GB"/>
        </w:rPr>
        <w:t>.</w:t>
      </w:r>
    </w:p>
    <w:p w14:paraId="375EABCC" w14:textId="2113E2D0" w:rsidR="00445B9B" w:rsidRPr="007E6D53" w:rsidRDefault="00445B9B" w:rsidP="00445B9B">
      <w:pPr>
        <w:pBdr>
          <w:top w:val="single" w:sz="4" w:space="1" w:color="auto"/>
          <w:left w:val="single" w:sz="4" w:space="4" w:color="auto"/>
          <w:bottom w:val="single" w:sz="4" w:space="1" w:color="auto"/>
          <w:right w:val="single" w:sz="4" w:space="4" w:color="auto"/>
        </w:pBdr>
        <w:textDirection w:val="tbRlV"/>
        <w:rPr>
          <w:rtl/>
          <w:lang w:val="ar-SA" w:eastAsia="zh-TW" w:bidi="en-GB"/>
        </w:rPr>
      </w:pPr>
      <w:r w:rsidRPr="007E6D53">
        <w:rPr>
          <w:rtl/>
        </w:rPr>
        <w:t>3.1</w:t>
      </w:r>
      <w:r w:rsidRPr="007E6D53">
        <w:rPr>
          <w:rtl/>
        </w:rPr>
        <w:tab/>
      </w:r>
      <w:r w:rsidRPr="007E6D53">
        <w:rPr>
          <w:b/>
          <w:bCs/>
          <w:rtl/>
        </w:rPr>
        <w:t xml:space="preserve">أوصى </w:t>
      </w:r>
      <w:r w:rsidRPr="007E6D53">
        <w:rPr>
          <w:rtl/>
        </w:rPr>
        <w:t>الفريق CWG-FHR الأمانة بإدراج قسم مخصص في تقرير إدارة الموارد البشرية يعالج القضايا الخاصة بالمكاتب الإقليمية ومكاتب المناطق.</w:t>
      </w:r>
    </w:p>
    <w:p w14:paraId="51428A05" w14:textId="05C68D77" w:rsidR="00EC792C" w:rsidRPr="007E6D53" w:rsidRDefault="00EC792C" w:rsidP="00352E82">
      <w:pPr>
        <w:pStyle w:val="Heading1"/>
        <w:rPr>
          <w:rtl/>
          <w:lang w:val="en-GB" w:bidi="en-GB"/>
        </w:rPr>
      </w:pPr>
      <w:r w:rsidRPr="007E6D53">
        <w:rPr>
          <w:rtl/>
          <w:lang w:val="en-GB"/>
        </w:rPr>
        <w:t>2</w:t>
      </w:r>
      <w:r w:rsidRPr="007E6D53">
        <w:rPr>
          <w:rtl/>
          <w:lang w:val="en-GB"/>
        </w:rPr>
        <w:tab/>
        <w:t xml:space="preserve">مدونة قواعد السلوك الخاصة بفعاليات الاتحاد (الوثيقتان </w:t>
      </w:r>
      <w:hyperlink r:id="rId16" w:history="1">
        <w:r w:rsidR="00352E82" w:rsidRPr="007E6D53">
          <w:rPr>
            <w:rStyle w:val="Hyperlink"/>
          </w:rPr>
          <w:t>CWG-FHR-21/2</w:t>
        </w:r>
      </w:hyperlink>
      <w:r w:rsidRPr="007E6D53">
        <w:rPr>
          <w:rtl/>
          <w:lang w:val="en-GB"/>
        </w:rPr>
        <w:t xml:space="preserve"> و</w:t>
      </w:r>
      <w:hyperlink r:id="rId17" w:history="1">
        <w:r w:rsidR="00352E82" w:rsidRPr="007E6D53">
          <w:rPr>
            <w:rStyle w:val="Hyperlink"/>
          </w:rPr>
          <w:t>CWG</w:t>
        </w:r>
        <w:r w:rsidR="003F5694" w:rsidRPr="007E6D53">
          <w:rPr>
            <w:rStyle w:val="Hyperlink"/>
          </w:rPr>
          <w:noBreakHyphen/>
        </w:r>
        <w:r w:rsidR="00352E82" w:rsidRPr="007E6D53">
          <w:rPr>
            <w:rStyle w:val="Hyperlink"/>
          </w:rPr>
          <w:t>FHR</w:t>
        </w:r>
        <w:r w:rsidR="003F5694" w:rsidRPr="007E6D53">
          <w:rPr>
            <w:rStyle w:val="Hyperlink"/>
          </w:rPr>
          <w:noBreakHyphen/>
        </w:r>
        <w:r w:rsidR="00352E82" w:rsidRPr="007E6D53">
          <w:rPr>
            <w:rStyle w:val="Hyperlink"/>
          </w:rPr>
          <w:t>21/INF/2</w:t>
        </w:r>
      </w:hyperlink>
      <w:r w:rsidRPr="007E6D53">
        <w:rPr>
          <w:rtl/>
          <w:lang w:val="en-GB"/>
        </w:rPr>
        <w:t xml:space="preserve"> والعرض الإيضاحي الشفوي)</w:t>
      </w:r>
      <w:hyperlink r:id="rId18" w:history="1"/>
      <w:hyperlink r:id="rId19" w:history="1"/>
    </w:p>
    <w:p w14:paraId="00B5CED7" w14:textId="1F2535F2" w:rsidR="00EC792C" w:rsidRPr="00EC792C" w:rsidRDefault="00EC792C" w:rsidP="00EC792C">
      <w:pPr>
        <w:rPr>
          <w:spacing w:val="-2"/>
          <w:rtl/>
          <w:lang w:val="en-GB" w:bidi="en-GB"/>
        </w:rPr>
      </w:pPr>
      <w:r w:rsidRPr="00EC792C">
        <w:rPr>
          <w:spacing w:val="-2"/>
          <w:rtl/>
          <w:lang w:val="en-GB"/>
        </w:rPr>
        <w:t>1.2</w:t>
      </w:r>
      <w:r w:rsidRPr="00EC792C">
        <w:rPr>
          <w:spacing w:val="-2"/>
          <w:rtl/>
          <w:lang w:val="en-GB"/>
        </w:rPr>
        <w:tab/>
        <w:t>في الاجتماع الحادي والعشرين للفريق CWG-FHR الذي عقد في سبتمبر 2025، قدمت الأمانة وثيقة (</w:t>
      </w:r>
      <w:hyperlink r:id="rId20">
        <w:r w:rsidR="005B6518" w:rsidRPr="007E6D53">
          <w:rPr>
            <w:rStyle w:val="Hyperlink"/>
          </w:rPr>
          <w:t>CWG</w:t>
        </w:r>
        <w:r w:rsidR="005B6518" w:rsidRPr="007E6D53">
          <w:rPr>
            <w:rStyle w:val="Hyperlink"/>
          </w:rPr>
          <w:noBreakHyphen/>
          <w:t>FHR</w:t>
        </w:r>
        <w:r w:rsidR="005B6518" w:rsidRPr="007E6D53">
          <w:rPr>
            <w:rStyle w:val="Hyperlink"/>
          </w:rPr>
          <w:noBreakHyphen/>
          <w:t>21/2</w:t>
        </w:r>
      </w:hyperlink>
      <w:r w:rsidRPr="00EC792C">
        <w:rPr>
          <w:spacing w:val="-2"/>
          <w:rtl/>
          <w:lang w:val="en-GB"/>
        </w:rPr>
        <w:t>) ترسم الخطوط العريضة لوضع عملية رسمية للشكاوى والتسوية. وأثار هذا المقترح قلق المندوبين. فتركزت الاعتراضات الأولية على دور مقترح لوحدة الرقابة في التعامل مع الشكاوى، والتي عرض المندوبون حجة مفادها أنها تتعارض مع سلطة الدول الأعضاء في اتخاذ الإجراءات التأديبية حيال مندوبيها. وأثيرت مخاوف إضافية بشأن الافتقار إلى مراعاة الإجراءات القانونية الواجبة للمتهمين واحتمال أن تصبح الخطة وثيقة ملزمة قانون</w:t>
      </w:r>
      <w:r w:rsidR="0035055C" w:rsidRPr="007E6D53">
        <w:rPr>
          <w:spacing w:val="-2"/>
          <w:rtl/>
          <w:lang w:val="en-GB"/>
        </w:rPr>
        <w:t>اً</w:t>
      </w:r>
      <w:r w:rsidRPr="00EC792C">
        <w:rPr>
          <w:spacing w:val="-2"/>
          <w:rtl/>
          <w:lang w:val="en-GB"/>
        </w:rPr>
        <w:t>. وطوال هذه المناقشة، أكد</w:t>
      </w:r>
      <w:r w:rsidR="00A759C6" w:rsidRPr="007E6D53">
        <w:rPr>
          <w:spacing w:val="-2"/>
          <w:rtl/>
          <w:lang w:val="en-GB"/>
        </w:rPr>
        <w:t> </w:t>
      </w:r>
      <w:r w:rsidRPr="00EC792C">
        <w:rPr>
          <w:spacing w:val="-2"/>
          <w:rtl/>
          <w:lang w:val="en-GB"/>
        </w:rPr>
        <w:t>العديد من المندوبين أن مدونة قواعد سلوك الأمم المتحدة الحالية كافية وطلبوا مقاييس بشأن الانتهاكات السابقة.</w:t>
      </w:r>
      <w:hyperlink r:id="rId21"/>
    </w:p>
    <w:p w14:paraId="59CCCC98" w14:textId="24543BDF" w:rsidR="00EC792C" w:rsidRPr="00EC792C" w:rsidRDefault="00EC792C" w:rsidP="00EC792C">
      <w:pPr>
        <w:rPr>
          <w:rtl/>
          <w:lang w:val="en-GB" w:bidi="en-GB"/>
        </w:rPr>
      </w:pPr>
      <w:r w:rsidRPr="00EC792C">
        <w:rPr>
          <w:rtl/>
          <w:lang w:val="en-GB"/>
        </w:rPr>
        <w:t>2.2</w:t>
      </w:r>
      <w:r w:rsidRPr="00EC792C">
        <w:rPr>
          <w:rtl/>
          <w:lang w:val="en-GB"/>
        </w:rPr>
        <w:tab/>
        <w:t>وخلصت الرئيسة، اعترافا</w:t>
      </w:r>
      <w:r w:rsidR="001078F6" w:rsidRPr="007E6D53">
        <w:rPr>
          <w:rtl/>
          <w:lang w:val="en-GB"/>
        </w:rPr>
        <w:t>ً</w:t>
      </w:r>
      <w:r w:rsidRPr="00EC792C">
        <w:rPr>
          <w:rtl/>
          <w:lang w:val="en-GB"/>
        </w:rPr>
        <w:t xml:space="preserve"> منها بدواعي القلق تلك، إلى أن المقترح يحتاج إلى مراجعة. وطلبت من الأمانة استبعاد وحدة الرقابة من العملية والعمل على خطة تنفيذ مراجَعة لعرضها على الاجتماع الثاني والعشرين للفريق. وبالإضافة إلى ذلك، أكدت الرئيسة مجددا</w:t>
      </w:r>
      <w:r w:rsidR="001078F6" w:rsidRPr="007E6D53">
        <w:rPr>
          <w:rtl/>
          <w:lang w:val="en-GB"/>
        </w:rPr>
        <w:t>ً</w:t>
      </w:r>
      <w:r w:rsidRPr="00EC792C">
        <w:rPr>
          <w:rtl/>
          <w:lang w:val="en-GB"/>
        </w:rPr>
        <w:t xml:space="preserve"> أن مدونة قواعد سلوك الأمم المتحدة الحالية لا تزال سارية المفعول.</w:t>
      </w:r>
    </w:p>
    <w:p w14:paraId="20D1CFCB" w14:textId="77777777" w:rsidR="00EC792C" w:rsidRPr="00EC792C" w:rsidRDefault="00EC792C" w:rsidP="00EC792C">
      <w:pPr>
        <w:rPr>
          <w:rtl/>
          <w:lang w:val="en-GB" w:bidi="en-GB"/>
        </w:rPr>
      </w:pPr>
      <w:r w:rsidRPr="00EC792C">
        <w:rPr>
          <w:rtl/>
          <w:lang w:val="en-GB"/>
        </w:rPr>
        <w:t>3.2</w:t>
      </w:r>
      <w:r w:rsidRPr="00EC792C">
        <w:rPr>
          <w:rtl/>
          <w:lang w:val="en-GB"/>
        </w:rPr>
        <w:tab/>
        <w:t>وفي الاجتماع الثاني والعشرين للفريق، قدمت الأمانة معلومات محدثة عن التنفيذ المراجَع من خلال عرض إيضاحي شفوي. وتركز الخطة الجديدة على الوقاية الاستباقية والإبلاغ الواضح، وتشمل مبادرتين رئيسيتين، هما:</w:t>
      </w:r>
    </w:p>
    <w:p w14:paraId="2C1D6541" w14:textId="584BC43E" w:rsidR="00EC792C" w:rsidRPr="007E6D53" w:rsidRDefault="00775BFD" w:rsidP="00775BFD">
      <w:pPr>
        <w:pStyle w:val="enumlev1"/>
        <w:rPr>
          <w:rtl/>
          <w:lang w:val="en-GB" w:bidi="en-GB"/>
        </w:rPr>
      </w:pPr>
      <w:r w:rsidRPr="007E6D53">
        <w:rPr>
          <w:rtl/>
          <w:lang w:val="en-GB"/>
        </w:rPr>
        <w:t>-</w:t>
      </w:r>
      <w:r w:rsidRPr="007E6D53">
        <w:rPr>
          <w:rtl/>
          <w:lang w:val="en-GB"/>
        </w:rPr>
        <w:tab/>
      </w:r>
      <w:r w:rsidR="00EC792C" w:rsidRPr="007E6D53">
        <w:rPr>
          <w:rtl/>
          <w:lang w:val="en-GB"/>
        </w:rPr>
        <w:t>فيديو توعوي مقترح إضافته إلى المعلومات المنشورة عن الفعالية.</w:t>
      </w:r>
    </w:p>
    <w:p w14:paraId="7EC24587" w14:textId="34CCA28C" w:rsidR="00EC792C" w:rsidRPr="007E6D53" w:rsidRDefault="00775BFD" w:rsidP="00775BFD">
      <w:pPr>
        <w:pStyle w:val="enumlev1"/>
        <w:rPr>
          <w:rtl/>
          <w:lang w:val="en-GB" w:bidi="en-GB"/>
        </w:rPr>
      </w:pPr>
      <w:r w:rsidRPr="007E6D53">
        <w:rPr>
          <w:rtl/>
          <w:lang w:val="en-GB"/>
        </w:rPr>
        <w:t>-</w:t>
      </w:r>
      <w:r w:rsidRPr="007E6D53">
        <w:rPr>
          <w:rtl/>
          <w:lang w:val="en-GB"/>
        </w:rPr>
        <w:tab/>
      </w:r>
      <w:r w:rsidR="00EC792C" w:rsidRPr="007E6D53">
        <w:rPr>
          <w:rtl/>
          <w:lang w:val="en-GB"/>
        </w:rPr>
        <w:t>خط إبلاغ سري جديد للمشاركين للإعراب عن دواعي قلقهم أو طلب المشورة.</w:t>
      </w:r>
    </w:p>
    <w:p w14:paraId="7DF240DA" w14:textId="44346EC6" w:rsidR="00EC792C" w:rsidRPr="00EC792C" w:rsidRDefault="00EC792C" w:rsidP="00EC792C">
      <w:pPr>
        <w:rPr>
          <w:rtl/>
          <w:lang w:val="en-GB" w:bidi="en-GB"/>
        </w:rPr>
      </w:pPr>
      <w:r w:rsidRPr="00EC792C">
        <w:rPr>
          <w:rtl/>
          <w:lang w:val="en-GB"/>
        </w:rPr>
        <w:t>4.2</w:t>
      </w:r>
      <w:r w:rsidRPr="00EC792C">
        <w:rPr>
          <w:rtl/>
          <w:lang w:val="en-GB"/>
        </w:rPr>
        <w:tab/>
        <w:t xml:space="preserve">وأبلغت الأمانة المندوبين بأن كلا الموردين قد أضيفا إلى </w:t>
      </w:r>
      <w:hyperlink r:id="rId22" w:history="1">
        <w:r w:rsidRPr="00EC792C">
          <w:rPr>
            <w:rStyle w:val="Hyperlink"/>
            <w:noProof w:val="0"/>
            <w:rtl/>
            <w:lang w:eastAsia="zh-CN"/>
          </w:rPr>
          <w:t>الموقع الإلكتروني للأخلاقيات</w:t>
        </w:r>
      </w:hyperlink>
      <w:r w:rsidRPr="00EC792C">
        <w:rPr>
          <w:rtl/>
          <w:lang w:val="en-GB"/>
        </w:rPr>
        <w:t xml:space="preserve"> الخاص بالاتحاد وسيجري ربطهما أيض</w:t>
      </w:r>
      <w:r w:rsidR="001A256A" w:rsidRPr="007E6D53">
        <w:rPr>
          <w:rtl/>
          <w:lang w:val="en-GB"/>
        </w:rPr>
        <w:t>اً</w:t>
      </w:r>
      <w:r w:rsidRPr="00EC792C">
        <w:rPr>
          <w:rtl/>
          <w:lang w:val="en-GB"/>
        </w:rPr>
        <w:t xml:space="preserve"> في صفحة كل فعالية على حدة. وأشارت رئيسة الفريق CWG-FHR إلى أن مدونة قواعد السلوك قد تُليت على المشاركين قبل الجلسة العامة في المؤتمر العالمي لتنمية الاتصالات لعام 2025 (WTDC-25). وخلال هذا التحديث، أعرب أحد المندوبين عن دواعي قلقه بشأن استغراق وقت الاجتماع في هذا الغرض وأشار مرة أخرى إلى أن الطلبات السابقة للحصول على بيانات عن الانتهاكات والاتهامات الكاذبة لم يُستجب لها.</w:t>
      </w:r>
      <w:hyperlink r:id="rId23" w:history="1"/>
    </w:p>
    <w:p w14:paraId="51AEF24A" w14:textId="28215057" w:rsidR="00EC792C" w:rsidRPr="00EC792C" w:rsidRDefault="00EC792C" w:rsidP="001A256A">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5.2</w:t>
      </w:r>
      <w:r w:rsidRPr="00EC792C">
        <w:rPr>
          <w:rtl/>
          <w:lang w:val="en-GB"/>
        </w:rPr>
        <w:tab/>
      </w:r>
      <w:r w:rsidRPr="00EC792C">
        <w:rPr>
          <w:b/>
          <w:bCs/>
          <w:rtl/>
          <w:lang w:val="en-GB"/>
        </w:rPr>
        <w:t xml:space="preserve">يوصي </w:t>
      </w:r>
      <w:r w:rsidRPr="00EC792C">
        <w:rPr>
          <w:rtl/>
          <w:lang w:val="en-GB"/>
        </w:rPr>
        <w:t>الفريق CWG-FHR بأن يكلف المجلس بتلاوة مدونة قواعد سلوك الأمم المتحدة قبل أي اجتماع أو مؤتمر أو جمعية للاتحاد.</w:t>
      </w:r>
    </w:p>
    <w:p w14:paraId="3F91EDE7" w14:textId="0D1E88F8" w:rsidR="00EC792C" w:rsidRPr="007E6D53" w:rsidRDefault="00EC792C" w:rsidP="00A15B79">
      <w:pPr>
        <w:pStyle w:val="Heading1"/>
        <w:rPr>
          <w:rtl/>
          <w:lang w:val="en-GB" w:bidi="en-GB"/>
        </w:rPr>
      </w:pPr>
      <w:r w:rsidRPr="007E6D53">
        <w:rPr>
          <w:rtl/>
          <w:lang w:val="en-GB"/>
        </w:rPr>
        <w:lastRenderedPageBreak/>
        <w:t>3</w:t>
      </w:r>
      <w:r w:rsidRPr="007E6D53">
        <w:rPr>
          <w:rtl/>
          <w:lang w:val="en-GB"/>
        </w:rPr>
        <w:tab/>
        <w:t>منهجية تقديم تقديرات للآثار المالية المترتبة على المقررات والقرارات المقترحة في</w:t>
      </w:r>
      <w:r w:rsidR="00A15B79" w:rsidRPr="007E6D53">
        <w:rPr>
          <w:rtl/>
          <w:lang w:val="en-GB"/>
        </w:rPr>
        <w:t> </w:t>
      </w:r>
      <w:r w:rsidRPr="007E6D53">
        <w:rPr>
          <w:rtl/>
          <w:lang w:val="en-GB"/>
        </w:rPr>
        <w:t xml:space="preserve">مؤتمرات الاتحاد وجمعياته (الوثيقتان </w:t>
      </w:r>
      <w:hyperlink r:id="rId24" w:history="1">
        <w:r w:rsidR="00A15B79" w:rsidRPr="007E6D53">
          <w:rPr>
            <w:rStyle w:val="Hyperlink"/>
          </w:rPr>
          <w:t>CWG-FHR-21/3</w:t>
        </w:r>
      </w:hyperlink>
      <w:r w:rsidRPr="007E6D53">
        <w:rPr>
          <w:rtl/>
          <w:lang w:val="en-GB"/>
        </w:rPr>
        <w:t xml:space="preserve"> و</w:t>
      </w:r>
      <w:hyperlink r:id="rId25" w:history="1">
        <w:r w:rsidR="00A15B79" w:rsidRPr="007E6D53">
          <w:rPr>
            <w:rStyle w:val="Hyperlink"/>
          </w:rPr>
          <w:t>CWG-FHR-22/13</w:t>
        </w:r>
      </w:hyperlink>
      <w:r w:rsidRPr="007E6D53">
        <w:rPr>
          <w:rtl/>
          <w:lang w:val="en-GB"/>
        </w:rPr>
        <w:t xml:space="preserve">) والآثار السنوية على الميزانية المترتبة على معالجة قرارات المؤتمر العالمي لتنمية الاتصالات لعام 2025 (الوثيقة </w:t>
      </w:r>
      <w:hyperlink r:id="rId26" w:history="1">
        <w:r w:rsidR="00A15B79" w:rsidRPr="007E6D53">
          <w:rPr>
            <w:rStyle w:val="Hyperlink"/>
          </w:rPr>
          <w:t>CWG-FHR-22/7</w:t>
        </w:r>
      </w:hyperlink>
      <w:r w:rsidRPr="007E6D53">
        <w:rPr>
          <w:rtl/>
          <w:lang w:val="en-GB"/>
        </w:rPr>
        <w:t>)</w:t>
      </w:r>
      <w:hyperlink r:id="rId27" w:history="1"/>
      <w:hyperlink r:id="rId28" w:history="1"/>
      <w:hyperlink r:id="rId29" w:history="1"/>
    </w:p>
    <w:p w14:paraId="5C609BC5" w14:textId="7B4DDC47" w:rsidR="00EC792C" w:rsidRPr="00EC792C" w:rsidRDefault="00EC792C" w:rsidP="00EC792C">
      <w:pPr>
        <w:rPr>
          <w:spacing w:val="-4"/>
          <w:rtl/>
          <w:lang w:val="en-GB" w:bidi="en-GB"/>
        </w:rPr>
      </w:pPr>
      <w:r w:rsidRPr="00EC792C">
        <w:rPr>
          <w:spacing w:val="-4"/>
          <w:rtl/>
          <w:lang w:val="en-GB"/>
        </w:rPr>
        <w:t>1.3</w:t>
      </w:r>
      <w:r w:rsidRPr="00EC792C">
        <w:rPr>
          <w:spacing w:val="-4"/>
          <w:rtl/>
          <w:lang w:val="en-GB"/>
        </w:rPr>
        <w:tab/>
        <w:t>ناقش المندوبون في الاجتماعين الحادي والعشرين والثاني والعشرين للفريق CWG-FHR وضع منهجية رسمية لتقييم الآثار المالية المترتبة على المقررات والقرارات المقترحة في مؤتمرات الاتحاد، تماشيا</w:t>
      </w:r>
      <w:r w:rsidR="00716390" w:rsidRPr="007E6D53">
        <w:rPr>
          <w:spacing w:val="-4"/>
          <w:rtl/>
          <w:lang w:val="en-GB"/>
        </w:rPr>
        <w:t>ً</w:t>
      </w:r>
      <w:r w:rsidRPr="00EC792C">
        <w:rPr>
          <w:spacing w:val="-4"/>
          <w:rtl/>
          <w:lang w:val="en-GB"/>
        </w:rPr>
        <w:t xml:space="preserve"> مع المادة 34 من الاتفاقية.</w:t>
      </w:r>
    </w:p>
    <w:p w14:paraId="0144C124" w14:textId="150208A0" w:rsidR="00EC792C" w:rsidRPr="00EC792C" w:rsidRDefault="00EC792C" w:rsidP="00EC792C">
      <w:pPr>
        <w:rPr>
          <w:rtl/>
          <w:lang w:val="en-GB" w:bidi="en-GB"/>
        </w:rPr>
      </w:pPr>
      <w:r w:rsidRPr="00EC792C">
        <w:rPr>
          <w:rtl/>
          <w:lang w:val="en-GB"/>
        </w:rPr>
        <w:t>2.3</w:t>
      </w:r>
      <w:r w:rsidRPr="00EC792C">
        <w:rPr>
          <w:rtl/>
          <w:lang w:val="en-GB"/>
        </w:rPr>
        <w:tab/>
        <w:t>وخلال الاجتماع الحادي والعشرين، قدمت الأمانة للمندوبين نموذجا</w:t>
      </w:r>
      <w:r w:rsidR="00716390" w:rsidRPr="007E6D53">
        <w:rPr>
          <w:rtl/>
          <w:lang w:val="en-GB"/>
        </w:rPr>
        <w:t>ً</w:t>
      </w:r>
      <w:r w:rsidRPr="00EC792C">
        <w:rPr>
          <w:rtl/>
          <w:lang w:val="en-GB"/>
        </w:rPr>
        <w:t xml:space="preserve"> حسابيا</w:t>
      </w:r>
      <w:r w:rsidR="00716390" w:rsidRPr="007E6D53">
        <w:rPr>
          <w:rtl/>
          <w:lang w:val="en-GB"/>
        </w:rPr>
        <w:t>ً</w:t>
      </w:r>
      <w:r w:rsidRPr="00EC792C">
        <w:rPr>
          <w:rtl/>
          <w:lang w:val="en-GB"/>
        </w:rPr>
        <w:t xml:space="preserve"> يستفيد من المقترحات المقدمة في المؤتمر العالمي لتنمية الاتصالات لعام 2025 (WTDC-25) من المؤتمر الأوروبي لإدارات البريد والاتصالات (CEPT) لتكون بمثابة أمثلة عملية. وأثار ذلك نقاشا</w:t>
      </w:r>
      <w:r w:rsidR="00716390" w:rsidRPr="007E6D53">
        <w:rPr>
          <w:rtl/>
          <w:lang w:val="en-GB"/>
        </w:rPr>
        <w:t>ً</w:t>
      </w:r>
      <w:r w:rsidRPr="00EC792C">
        <w:rPr>
          <w:rtl/>
          <w:lang w:val="en-GB"/>
        </w:rPr>
        <w:t xml:space="preserve"> هاما</w:t>
      </w:r>
      <w:r w:rsidR="00716390" w:rsidRPr="007E6D53">
        <w:rPr>
          <w:rtl/>
          <w:lang w:val="en-GB"/>
        </w:rPr>
        <w:t>ً</w:t>
      </w:r>
      <w:r w:rsidRPr="00EC792C">
        <w:rPr>
          <w:rtl/>
          <w:lang w:val="en-GB"/>
        </w:rPr>
        <w:t xml:space="preserve"> بين المندوبين الذين أعربوا عن العديد من دواعي القلق بشأن العملية المقترحة. وشملت القضايا الرئيسية توقيت تقديرات التكاليف ودقتها (خاصة عندما تكون المقترحات عرضة للتغيير)، واحتمال زيادة البيروقراطية التي يمكن أن تعوق عملية اتخاذ القرارات، والحاجة إلى تعريف أوضح لما تشكله "الآثار المالية". وقوبل سيناريو سير عمل مقترح من الرئيسة بمزيد من دواعي القلق إزاء سلطة اللجنة. وكانت أكثر النتائج الحرجة هي قرار عدم تنفيذ المنهجية المقترحة في المؤتمر العالمي لتنمية الاتصالات لعام 2025، ودعت الرئيسة الدول الأعضاء إلى تقديم مقترحات جديدة في هذا الصدد.</w:t>
      </w:r>
    </w:p>
    <w:p w14:paraId="45B23D1F" w14:textId="666BE5A8" w:rsidR="00EC792C" w:rsidRPr="00EC792C" w:rsidRDefault="00EC792C" w:rsidP="00EC792C">
      <w:pPr>
        <w:rPr>
          <w:rtl/>
          <w:lang w:val="en-GB" w:bidi="en-GB"/>
        </w:rPr>
      </w:pPr>
      <w:r w:rsidRPr="00EC792C">
        <w:rPr>
          <w:rtl/>
          <w:lang w:val="en-GB"/>
        </w:rPr>
        <w:t>3.3</w:t>
      </w:r>
      <w:r w:rsidRPr="00EC792C">
        <w:rPr>
          <w:rtl/>
          <w:lang w:val="en-GB"/>
        </w:rPr>
        <w:tab/>
        <w:t>وواصل الاجتماع الثاني والعشرون المناقشة؛ ولم تقدم أي مساهمات جديدة بشأن منهجية تقديم التقديرات. وأعرب المندوبون مجددا</w:t>
      </w:r>
      <w:r w:rsidR="00716390" w:rsidRPr="007E6D53">
        <w:rPr>
          <w:rtl/>
          <w:lang w:val="en-GB"/>
        </w:rPr>
        <w:t>ً</w:t>
      </w:r>
      <w:r w:rsidRPr="00EC792C">
        <w:rPr>
          <w:rtl/>
          <w:lang w:val="en-GB"/>
        </w:rPr>
        <w:t xml:space="preserve"> عن شكوكهم، بحجة أن تقييمات التكاليف قبل المؤتمر لن تكون فعالة لأن المقترحات الأولية نادرة ما ترد في النص النهائي. واقترحت نُهج بديلة، مثل تحديد أولويات الموارد الحالية وإعادة تنظيمها بدلا</w:t>
      </w:r>
      <w:r w:rsidR="00716390" w:rsidRPr="007E6D53">
        <w:rPr>
          <w:rtl/>
          <w:lang w:val="en-GB"/>
        </w:rPr>
        <w:t>ً</w:t>
      </w:r>
      <w:r w:rsidRPr="00EC792C">
        <w:rPr>
          <w:rtl/>
          <w:lang w:val="en-GB"/>
        </w:rPr>
        <w:t xml:space="preserve"> من إعداد تقديرات جديدة للتكاليف. وإضافةً إلى ذلك، عرض مدير مكتب تنمية الاتصالات (BDT) الوثيقة </w:t>
      </w:r>
      <w:hyperlink r:id="rId30" w:history="1">
        <w:r w:rsidR="00776380" w:rsidRPr="007E6D53">
          <w:rPr>
            <w:rStyle w:val="Hyperlink"/>
            <w:spacing w:val="-2"/>
          </w:rPr>
          <w:t>CWG-FHR-22/7</w:t>
        </w:r>
      </w:hyperlink>
      <w:r w:rsidRPr="00EC792C">
        <w:rPr>
          <w:rtl/>
          <w:lang w:val="en-GB"/>
        </w:rPr>
        <w:t xml:space="preserve"> استجابةً لطلب من المشاركين في المؤتمر (WTDC-25) ومفاده التماس التوجيه من الفريق CWG-FHR بشأن أكثر منهجية/آلية فعالية لتمويل الأنشطة المحددة حديث</w:t>
      </w:r>
      <w:r w:rsidR="00066DF0" w:rsidRPr="007E6D53">
        <w:rPr>
          <w:rtl/>
          <w:lang w:val="en-GB"/>
        </w:rPr>
        <w:t>اً،</w:t>
      </w:r>
      <w:r w:rsidRPr="00EC792C">
        <w:rPr>
          <w:rtl/>
          <w:lang w:val="en-GB"/>
        </w:rPr>
        <w:t xml:space="preserve"> والمقدرة بمبلغ 4,208 ملايين فرنك سويسري.</w:t>
      </w:r>
      <w:hyperlink r:id="rId31" w:history="1"/>
    </w:p>
    <w:p w14:paraId="61DFAD32" w14:textId="5A570032" w:rsidR="00EC792C" w:rsidRPr="00EC792C" w:rsidRDefault="00EC792C" w:rsidP="00EC792C">
      <w:pPr>
        <w:rPr>
          <w:rtl/>
          <w:lang w:val="en-GB" w:bidi="en-GB"/>
        </w:rPr>
      </w:pPr>
      <w:r w:rsidRPr="00EC792C">
        <w:rPr>
          <w:rtl/>
          <w:lang w:val="en-GB"/>
        </w:rPr>
        <w:t>4.3</w:t>
      </w:r>
      <w:r w:rsidRPr="00EC792C">
        <w:rPr>
          <w:rtl/>
          <w:lang w:val="en-GB"/>
        </w:rPr>
        <w:tab/>
        <w:t>وبعد الاستماع إلى المناقشة، أخذ مدير مكتب تنمية الاتصالات الكلمة، واقترح أن تقدم الأمانة إلى الفريق الاستشاري لتنمية الاتصالات (TDAG) تحليل</w:t>
      </w:r>
      <w:r w:rsidR="00A57411" w:rsidRPr="007E6D53">
        <w:rPr>
          <w:rtl/>
          <w:lang w:val="en-GB"/>
        </w:rPr>
        <w:t xml:space="preserve">اً </w:t>
      </w:r>
      <w:r w:rsidRPr="00EC792C">
        <w:rPr>
          <w:rtl/>
          <w:lang w:val="en-GB"/>
        </w:rPr>
        <w:t>شامل</w:t>
      </w:r>
      <w:r w:rsidR="00A57411" w:rsidRPr="007E6D53">
        <w:rPr>
          <w:rtl/>
          <w:lang w:val="en-GB"/>
        </w:rPr>
        <w:t xml:space="preserve">اً </w:t>
      </w:r>
      <w:r w:rsidRPr="00EC792C">
        <w:rPr>
          <w:rtl/>
          <w:lang w:val="en-GB"/>
        </w:rPr>
        <w:t>للموارد المتاحة لدى المكتب والموارد المطلوبة وفق</w:t>
      </w:r>
      <w:r w:rsidR="00A57411" w:rsidRPr="007E6D53">
        <w:rPr>
          <w:rtl/>
          <w:lang w:val="en-GB"/>
        </w:rPr>
        <w:t xml:space="preserve">اً </w:t>
      </w:r>
      <w:r w:rsidRPr="00EC792C">
        <w:rPr>
          <w:rtl/>
          <w:lang w:val="en-GB"/>
        </w:rPr>
        <w:t>لولايته. وكان الأساس المنطقي الذي عرضه مدير المكتب متجذراً في الحاجة إلى تبسيط القرارات التي تشكل ولاية المكتب. وأعرب المندوبون عن دواعي قلقهم إزاء دقة التقديرات، حيث أنهت لجنة الميزانية أعمالها قبل استكمال قرارات اللجان الأخرى.</w:t>
      </w:r>
    </w:p>
    <w:p w14:paraId="5D0441C9" w14:textId="4FDE8F03" w:rsidR="00EC792C" w:rsidRPr="00EC792C" w:rsidRDefault="00EC792C" w:rsidP="0022752D">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5.3</w:t>
      </w:r>
      <w:r w:rsidRPr="00EC792C">
        <w:rPr>
          <w:rtl/>
          <w:lang w:val="en-GB"/>
        </w:rPr>
        <w:tab/>
        <w:t>اتفاقا</w:t>
      </w:r>
      <w:r w:rsidR="0022752D" w:rsidRPr="007E6D53">
        <w:rPr>
          <w:rtl/>
          <w:lang w:val="en-GB"/>
        </w:rPr>
        <w:t>ً</w:t>
      </w:r>
      <w:r w:rsidRPr="00EC792C">
        <w:rPr>
          <w:rtl/>
          <w:lang w:val="en-GB"/>
        </w:rPr>
        <w:t xml:space="preserve"> مع مقترح مدير مكتب تنمية الاتصالات، </w:t>
      </w:r>
      <w:r w:rsidRPr="00EC792C">
        <w:rPr>
          <w:b/>
          <w:bCs/>
          <w:rtl/>
          <w:lang w:val="en-GB"/>
        </w:rPr>
        <w:t xml:space="preserve">أوصى </w:t>
      </w:r>
      <w:r w:rsidRPr="00EC792C">
        <w:rPr>
          <w:rtl/>
          <w:lang w:val="en-GB"/>
        </w:rPr>
        <w:t>الفريق المدير بأن يدعم، بالشراكة مع الأمانة العامة، بما في ذلك رئيس دائرة الشؤون المالية، الفريق الاستشاري لتنمية الاتصالات في هذا النشاط بتقديم تحليل مقارن لما</w:t>
      </w:r>
      <w:r w:rsidR="0022752D" w:rsidRPr="007E6D53">
        <w:rPr>
          <w:rtl/>
          <w:lang w:val="en-GB"/>
        </w:rPr>
        <w:t> </w:t>
      </w:r>
      <w:r w:rsidRPr="00EC792C">
        <w:rPr>
          <w:rtl/>
          <w:lang w:val="en-GB"/>
        </w:rPr>
        <w:t>لدى قطاع تنمية الاتصالات (ITU-D) من الموارد وما ليس لديه منها، وأين يمكن تبسيط القرارات الجديدة في العمل القائم. وستعقد الأمانة أيضا</w:t>
      </w:r>
      <w:r w:rsidR="0022752D" w:rsidRPr="007E6D53">
        <w:rPr>
          <w:rtl/>
          <w:lang w:val="en-GB"/>
        </w:rPr>
        <w:t>ً</w:t>
      </w:r>
      <w:r w:rsidRPr="00EC792C">
        <w:rPr>
          <w:rtl/>
          <w:lang w:val="en-GB"/>
        </w:rPr>
        <w:t xml:space="preserve"> جلسة إعلامية في 3 مارس 2026 بشأن تقديرات التكاليف بالنظر إلى الآثار المالية للمؤتمر العالمي لتنمية الاتصالات لعام 2025.</w:t>
      </w:r>
    </w:p>
    <w:p w14:paraId="075CA812" w14:textId="5139B7A2" w:rsidR="00EC792C" w:rsidRPr="00EC792C" w:rsidRDefault="00EC792C" w:rsidP="0022752D">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6.3</w:t>
      </w:r>
      <w:r w:rsidRPr="00EC792C">
        <w:rPr>
          <w:rtl/>
          <w:lang w:val="en-GB"/>
        </w:rPr>
        <w:tab/>
        <w:t xml:space="preserve">بالإضافة إلى ذلك، </w:t>
      </w:r>
      <w:r w:rsidRPr="00EC792C">
        <w:rPr>
          <w:b/>
          <w:bCs/>
          <w:rtl/>
          <w:lang w:val="en-GB"/>
        </w:rPr>
        <w:t xml:space="preserve">يوصي </w:t>
      </w:r>
      <w:r w:rsidRPr="00EC792C">
        <w:rPr>
          <w:rtl/>
          <w:lang w:val="en-GB"/>
        </w:rPr>
        <w:t>الفريق المجلس بأن يدعو مؤتمر المندوبين المفوضين لعام 2026 (PP-26) إلى دراسة المادة 34 وتزويد الدول الأعضاء بتوجيهات بشأن كيفية النظر فيها.</w:t>
      </w:r>
    </w:p>
    <w:p w14:paraId="08A86B2C" w14:textId="2E4698FF" w:rsidR="00EC792C" w:rsidRPr="00EC792C" w:rsidRDefault="00EC792C" w:rsidP="0022752D">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7.3</w:t>
      </w:r>
      <w:r w:rsidRPr="00EC792C">
        <w:rPr>
          <w:rtl/>
          <w:lang w:val="en-GB"/>
        </w:rPr>
        <w:tab/>
        <w:t xml:space="preserve">وقد </w:t>
      </w:r>
      <w:r w:rsidRPr="00EC792C">
        <w:rPr>
          <w:b/>
          <w:bCs/>
          <w:rtl/>
          <w:lang w:val="en-GB"/>
        </w:rPr>
        <w:t xml:space="preserve">أرسل </w:t>
      </w:r>
      <w:r w:rsidRPr="00EC792C">
        <w:rPr>
          <w:rtl/>
          <w:lang w:val="en-GB"/>
        </w:rPr>
        <w:t>الفريق بيان اتصال إلى الفريق الاستشاري لتنمية الاتصالات يدعوه إلى تقييم تقديرات الآثار المالية للمؤتمر العالمي لتنمية الاتصالات قبل دورة المجلس لعام 2026 بوقت كاف.</w:t>
      </w:r>
    </w:p>
    <w:p w14:paraId="4024260A" w14:textId="07B49057" w:rsidR="00EC792C" w:rsidRPr="007E6D53" w:rsidRDefault="00EC792C" w:rsidP="00365BC8">
      <w:pPr>
        <w:pStyle w:val="Heading1"/>
        <w:rPr>
          <w:rtl/>
          <w:lang w:val="en-GB" w:bidi="en-GB"/>
        </w:rPr>
      </w:pPr>
      <w:r w:rsidRPr="007E6D53">
        <w:rPr>
          <w:rtl/>
          <w:lang w:val="en-GB"/>
        </w:rPr>
        <w:t>4</w:t>
      </w:r>
      <w:r w:rsidRPr="007E6D53">
        <w:rPr>
          <w:rtl/>
          <w:lang w:val="en-GB"/>
        </w:rPr>
        <w:tab/>
        <w:t xml:space="preserve">تعزيز الحضور الإقليمي للاتحاد (الوثائق </w:t>
      </w:r>
      <w:hyperlink r:id="rId32" w:history="1">
        <w:r w:rsidR="00365BC8" w:rsidRPr="007E6D53">
          <w:rPr>
            <w:rStyle w:val="Hyperlink"/>
          </w:rPr>
          <w:t>CWG-FHR-21/4</w:t>
        </w:r>
      </w:hyperlink>
      <w:r w:rsidRPr="007E6D53">
        <w:rPr>
          <w:rtl/>
          <w:lang w:val="en-GB"/>
        </w:rPr>
        <w:t xml:space="preserve"> و</w:t>
      </w:r>
      <w:hyperlink r:id="rId33" w:history="1">
        <w:r w:rsidR="00365BC8" w:rsidRPr="007E6D53">
          <w:rPr>
            <w:rStyle w:val="Hyperlink"/>
          </w:rPr>
          <w:t>CWG</w:t>
        </w:r>
        <w:r w:rsidR="00365BC8" w:rsidRPr="007E6D53">
          <w:rPr>
            <w:rStyle w:val="Hyperlink"/>
          </w:rPr>
          <w:noBreakHyphen/>
          <w:t>FHR-22/4</w:t>
        </w:r>
      </w:hyperlink>
      <w:r w:rsidRPr="007E6D53">
        <w:rPr>
          <w:rtl/>
          <w:lang w:val="en-GB"/>
        </w:rPr>
        <w:t xml:space="preserve"> و</w:t>
      </w:r>
      <w:hyperlink r:id="rId34" w:history="1">
        <w:r w:rsidR="00365BC8" w:rsidRPr="007E6D53">
          <w:rPr>
            <w:rStyle w:val="Hyperlink"/>
          </w:rPr>
          <w:t>CWG-FHR-22/31</w:t>
        </w:r>
      </w:hyperlink>
      <w:r w:rsidRPr="007E6D53">
        <w:rPr>
          <w:rtl/>
          <w:lang w:val="en-GB"/>
        </w:rPr>
        <w:t>)</w:t>
      </w:r>
      <w:hyperlink r:id="rId35" w:history="1"/>
      <w:hyperlink r:id="rId36" w:history="1"/>
      <w:hyperlink r:id="rId37" w:history="1"/>
    </w:p>
    <w:p w14:paraId="45D42A2B" w14:textId="3D324007" w:rsidR="00EC792C" w:rsidRPr="00EC792C" w:rsidRDefault="00EC792C" w:rsidP="00EC792C">
      <w:pPr>
        <w:rPr>
          <w:spacing w:val="-2"/>
          <w:rtl/>
          <w:lang w:val="en-GB" w:bidi="en-GB"/>
        </w:rPr>
      </w:pPr>
      <w:r w:rsidRPr="00EC792C">
        <w:rPr>
          <w:spacing w:val="-2"/>
          <w:rtl/>
          <w:lang w:val="en-GB"/>
        </w:rPr>
        <w:t>1.4</w:t>
      </w:r>
      <w:r w:rsidRPr="00EC792C">
        <w:rPr>
          <w:spacing w:val="-2"/>
          <w:rtl/>
          <w:lang w:val="en-GB"/>
        </w:rPr>
        <w:tab/>
        <w:t xml:space="preserve">وشكل فريق مهام مشترك بين القطاعات، بقيادة نائب الأمين العام، لإجراء استعراض للحضور الإقليمي للاتحاد لمدة 10 أشهر، يمتد من يوليو 2025 إلى أبريل 2026. ويتألف هذا الاستعراض من أربع مراحل، هي: </w:t>
      </w:r>
      <w:r w:rsidR="003503C7" w:rsidRPr="007E6D53">
        <w:rPr>
          <w:spacing w:val="-2"/>
          <w:lang w:val="en-GB"/>
        </w:rPr>
        <w:t>(1</w:t>
      </w:r>
      <w:r w:rsidRPr="00EC792C">
        <w:rPr>
          <w:spacing w:val="-2"/>
          <w:rtl/>
          <w:lang w:val="en-GB"/>
        </w:rPr>
        <w:t xml:space="preserve"> التقييم المبدئي؛ </w:t>
      </w:r>
      <w:r w:rsidR="0086460B" w:rsidRPr="007E6D53">
        <w:rPr>
          <w:spacing w:val="-2"/>
          <w:lang w:val="en-GB"/>
        </w:rPr>
        <w:t>(2</w:t>
      </w:r>
      <w:r w:rsidRPr="00EC792C">
        <w:rPr>
          <w:spacing w:val="-2"/>
          <w:rtl/>
          <w:lang w:val="en-GB"/>
        </w:rPr>
        <w:t xml:space="preserve"> جمع البيانات وتحليلها الأولي؛ </w:t>
      </w:r>
      <w:r w:rsidR="0086460B" w:rsidRPr="007E6D53">
        <w:rPr>
          <w:spacing w:val="-2"/>
          <w:lang w:val="en-GB"/>
        </w:rPr>
        <w:t>(3</w:t>
      </w:r>
      <w:r w:rsidRPr="00EC792C">
        <w:rPr>
          <w:spacing w:val="-2"/>
          <w:rtl/>
          <w:lang w:val="en-GB"/>
        </w:rPr>
        <w:t xml:space="preserve"> التحليل والصياغة المفصلان؛ 4) التحقق من البيانات والإبلاغ.</w:t>
      </w:r>
    </w:p>
    <w:p w14:paraId="776299F8" w14:textId="7A3825A5" w:rsidR="00EC792C" w:rsidRPr="00EC792C" w:rsidRDefault="00EC792C" w:rsidP="0086460B">
      <w:pPr>
        <w:keepNext/>
        <w:keepLines/>
        <w:rPr>
          <w:spacing w:val="-6"/>
          <w:rtl/>
          <w:lang w:val="en-GB" w:bidi="en-GB"/>
        </w:rPr>
      </w:pPr>
      <w:r w:rsidRPr="00EC792C">
        <w:rPr>
          <w:spacing w:val="-6"/>
          <w:rtl/>
          <w:lang w:val="en-GB"/>
        </w:rPr>
        <w:lastRenderedPageBreak/>
        <w:t>2.4</w:t>
      </w:r>
      <w:r w:rsidRPr="00EC792C">
        <w:rPr>
          <w:spacing w:val="-6"/>
          <w:rtl/>
          <w:lang w:val="en-GB"/>
        </w:rPr>
        <w:tab/>
        <w:t>واستكمل مكتب تنمية الاتصالات المرحلة الأولى بإعداد استقصاءين منفصلين لأعضاء الاتحاد ولموظفيه. وفُتِح الاستقصاءان لاستقبال الإجابات لمدة شهر وعرضت النتائج المؤقتة خلال المؤتمر العالمي لتنمية الاتصالات لعام 2025 في</w:t>
      </w:r>
      <w:r w:rsidR="0086460B" w:rsidRPr="007E6D53">
        <w:rPr>
          <w:spacing w:val="-6"/>
          <w:rtl/>
          <w:lang w:val="en-GB"/>
        </w:rPr>
        <w:t> </w:t>
      </w:r>
      <w:r w:rsidRPr="00EC792C">
        <w:rPr>
          <w:spacing w:val="-6"/>
          <w:rtl/>
          <w:lang w:val="en-GB"/>
        </w:rPr>
        <w:t xml:space="preserve">باكو بأذربيجان. وإضافةً إلى ذلك، أعد تقرير عن النتائج المؤقتة، الوثيقة </w:t>
      </w:r>
      <w:hyperlink r:id="rId38" w:history="1">
        <w:r w:rsidR="002740F0" w:rsidRPr="007E6D53">
          <w:rPr>
            <w:rStyle w:val="Hyperlink"/>
          </w:rPr>
          <w:t>CWG-FHR-22/4</w:t>
        </w:r>
      </w:hyperlink>
      <w:r w:rsidRPr="00EC792C">
        <w:rPr>
          <w:spacing w:val="-6"/>
          <w:rtl/>
          <w:lang w:val="en-GB"/>
        </w:rPr>
        <w:t>، للاجتماع الثاني والعشرين للفريق.</w:t>
      </w:r>
      <w:hyperlink r:id="rId39" w:history="1"/>
    </w:p>
    <w:p w14:paraId="1CB9C3F2" w14:textId="0B622F69" w:rsidR="00EC792C" w:rsidRPr="00EC792C" w:rsidRDefault="00EC792C" w:rsidP="00EC792C">
      <w:pPr>
        <w:rPr>
          <w:rtl/>
          <w:lang w:val="en-GB" w:bidi="en-GB"/>
        </w:rPr>
      </w:pPr>
      <w:r w:rsidRPr="00EC792C">
        <w:rPr>
          <w:rtl/>
          <w:lang w:val="en-GB"/>
        </w:rPr>
        <w:t>3.4</w:t>
      </w:r>
      <w:r w:rsidRPr="00EC792C">
        <w:rPr>
          <w:rtl/>
          <w:lang w:val="en-GB"/>
        </w:rPr>
        <w:tab/>
        <w:t>وخلال الاجتماع الثاني والعشرين للفريق CWG-FHR، أعرب العديد من المندوبين عن دواعي قلقهم بشأن الجدول الزمني المتبقي، ولا سيما كيفية الانتهاء من المراحل الأربع كلها قبل وقت كاف من عقد دورة المجلس لعام</w:t>
      </w:r>
      <w:r w:rsidR="00A93704">
        <w:rPr>
          <w:rFonts w:hint="eastAsia"/>
          <w:rtl/>
          <w:lang w:val="en-GB" w:bidi="ar-EG"/>
        </w:rPr>
        <w:t> </w:t>
      </w:r>
      <w:r w:rsidRPr="00EC792C">
        <w:rPr>
          <w:rtl/>
          <w:lang w:val="en-GB"/>
        </w:rPr>
        <w:t xml:space="preserve">2026، وطلبوا إخضاع نتائج </w:t>
      </w:r>
      <w:r w:rsidRPr="00EC792C">
        <w:rPr>
          <w:b/>
          <w:bCs/>
          <w:rtl/>
          <w:lang w:val="en-GB"/>
        </w:rPr>
        <w:t xml:space="preserve">الاستقصاء </w:t>
      </w:r>
      <w:r w:rsidRPr="00EC792C">
        <w:rPr>
          <w:rtl/>
          <w:lang w:val="en-GB"/>
        </w:rPr>
        <w:t>لمزيد من الدراسة. وطلبوا أيضاً الحصول على نتائج استقصاء الموظفين.</w:t>
      </w:r>
    </w:p>
    <w:p w14:paraId="1D9ED057" w14:textId="12791909" w:rsidR="00EC792C" w:rsidRPr="00EC792C" w:rsidRDefault="00EC792C" w:rsidP="00EC792C">
      <w:pPr>
        <w:rPr>
          <w:rtl/>
          <w:lang w:val="en-GB" w:bidi="en-GB"/>
        </w:rPr>
      </w:pPr>
      <w:r w:rsidRPr="00EC792C">
        <w:rPr>
          <w:rtl/>
          <w:lang w:val="en-GB"/>
        </w:rPr>
        <w:t>4.4</w:t>
      </w:r>
      <w:r w:rsidRPr="00EC792C">
        <w:rPr>
          <w:rtl/>
          <w:lang w:val="en-GB"/>
        </w:rPr>
        <w:tab/>
        <w:t xml:space="preserve">وقدمت اللجنة التنفيذية للكومنولث الإقليمي في مجال الاتصالات (RCC) وأرمينيا وبيلاروس ومركز التعاون العالمي في مجال تكنولوجيا المعلومات وقيرغيزستان والاتحاد الروسي وطاجيكستان وأوزبكستان مساهمة هي الوثيقة </w:t>
      </w:r>
      <w:hyperlink r:id="rId40" w:history="1">
        <w:r w:rsidR="002740F0" w:rsidRPr="007E6D53">
          <w:rPr>
            <w:rStyle w:val="Hyperlink"/>
          </w:rPr>
          <w:t>CWG-FHR-22/31</w:t>
        </w:r>
      </w:hyperlink>
      <w:r w:rsidRPr="00EC792C">
        <w:rPr>
          <w:rtl/>
          <w:lang w:val="en-GB"/>
        </w:rPr>
        <w:t xml:space="preserve"> إلى الاجتماع الثاني والعشرين للفريق، تتضمن تقييم</w:t>
      </w:r>
      <w:r w:rsidR="009D1477" w:rsidRPr="007E6D53">
        <w:rPr>
          <w:rtl/>
          <w:lang w:val="en-GB"/>
        </w:rPr>
        <w:t xml:space="preserve">اً </w:t>
      </w:r>
      <w:r w:rsidRPr="00EC792C">
        <w:rPr>
          <w:rtl/>
          <w:lang w:val="en-GB"/>
        </w:rPr>
        <w:t>موحد</w:t>
      </w:r>
      <w:r w:rsidR="009D1477" w:rsidRPr="007E6D53">
        <w:rPr>
          <w:rtl/>
          <w:lang w:val="en-GB"/>
        </w:rPr>
        <w:t xml:space="preserve">اً </w:t>
      </w:r>
      <w:r w:rsidRPr="00EC792C">
        <w:rPr>
          <w:rtl/>
          <w:lang w:val="en-GB"/>
        </w:rPr>
        <w:t>لفعالية عمل المكتب الإقليمي للاتحاد لكومنولث الدول المستقلة والاستنتاجات الرئيسية بشأن العديد من جوانب أنشطته. ودعت هذه المساهمة أيضا</w:t>
      </w:r>
      <w:r w:rsidR="00BC7BA4" w:rsidRPr="007E6D53">
        <w:rPr>
          <w:rtl/>
          <w:lang w:val="en-GB"/>
        </w:rPr>
        <w:t>ً</w:t>
      </w:r>
      <w:r w:rsidRPr="00EC792C">
        <w:rPr>
          <w:rtl/>
          <w:lang w:val="en-GB"/>
        </w:rPr>
        <w:t xml:space="preserve"> الفريق إلى النظر في ستة مقترحات منفصلة لتعزيز الحضور الإقليمي للاتحاد وتعاونه في منطقة كومنولث الدول المستقلة. وطلبت الرئيسة النظر في مقترحات الكومنولث الإقليمي في التقرير النهائي بشأن الحضور الإقليمي للاتحاد.</w:t>
      </w:r>
      <w:hyperlink r:id="rId41" w:history="1"/>
    </w:p>
    <w:p w14:paraId="70AB60A3" w14:textId="2382114D" w:rsidR="00EC792C" w:rsidRPr="00EC792C" w:rsidRDefault="00EC792C" w:rsidP="00BC7BA4">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5.4</w:t>
      </w:r>
      <w:r w:rsidRPr="00EC792C">
        <w:rPr>
          <w:rtl/>
          <w:lang w:val="en-GB"/>
        </w:rPr>
        <w:tab/>
      </w:r>
      <w:r w:rsidRPr="00EC792C">
        <w:rPr>
          <w:b/>
          <w:bCs/>
          <w:rtl/>
          <w:lang w:val="en-GB"/>
        </w:rPr>
        <w:t xml:space="preserve">أوصى </w:t>
      </w:r>
      <w:r w:rsidRPr="00EC792C">
        <w:rPr>
          <w:rtl/>
          <w:lang w:val="en-GB"/>
        </w:rPr>
        <w:t>الفريق CWG-FHR الأمانة بنشر نتائج استقصاء الموظفين في الموقع الإلكتروني للفريق.</w:t>
      </w:r>
    </w:p>
    <w:p w14:paraId="79A72E8B" w14:textId="17AECA5E" w:rsidR="00EC792C" w:rsidRPr="00EC792C" w:rsidRDefault="00EC792C" w:rsidP="00BC7BA4">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6.4</w:t>
      </w:r>
      <w:r w:rsidRPr="00EC792C">
        <w:rPr>
          <w:rtl/>
          <w:lang w:val="en-GB"/>
        </w:rPr>
        <w:tab/>
      </w:r>
      <w:r w:rsidRPr="00D607D3">
        <w:rPr>
          <w:rtl/>
          <w:lang w:val="en-GB"/>
        </w:rPr>
        <w:t>و</w:t>
      </w:r>
      <w:r w:rsidRPr="00EC792C">
        <w:rPr>
          <w:b/>
          <w:bCs/>
          <w:rtl/>
          <w:lang w:val="en-GB"/>
        </w:rPr>
        <w:t xml:space="preserve">أوصى </w:t>
      </w:r>
      <w:r w:rsidRPr="00EC792C">
        <w:rPr>
          <w:rtl/>
          <w:lang w:val="en-GB"/>
        </w:rPr>
        <w:t>الفريق الأمانة بعقد جلسة إعلامية قبل دورة المجلس لعام 2026 لإحاطة الدول الأعضاء علم</w:t>
      </w:r>
      <w:r w:rsidR="009D1477" w:rsidRPr="007E6D53">
        <w:rPr>
          <w:rtl/>
          <w:lang w:val="en-GB"/>
        </w:rPr>
        <w:t xml:space="preserve">اً </w:t>
      </w:r>
      <w:r w:rsidRPr="00EC792C">
        <w:rPr>
          <w:rtl/>
          <w:lang w:val="en-GB"/>
        </w:rPr>
        <w:t>بمبادرة الحضور الإقليمي وإدراج تعليقات الدول الأعضاء في تقرير الأمانة النهائي إلى المجلس في دورته لعام 2026.</w:t>
      </w:r>
    </w:p>
    <w:p w14:paraId="1DB188E7" w14:textId="0C656F9D" w:rsidR="00EC792C" w:rsidRPr="007E6D53" w:rsidRDefault="00EC792C" w:rsidP="001B5144">
      <w:pPr>
        <w:pStyle w:val="Heading1"/>
        <w:rPr>
          <w:spacing w:val="-6"/>
          <w:rtl/>
          <w:lang w:val="en-GB" w:bidi="en-GB"/>
        </w:rPr>
      </w:pPr>
      <w:r w:rsidRPr="007E6D53">
        <w:rPr>
          <w:spacing w:val="-6"/>
          <w:rtl/>
          <w:lang w:val="en-GB"/>
        </w:rPr>
        <w:t>5</w:t>
      </w:r>
      <w:r w:rsidRPr="007E6D53">
        <w:rPr>
          <w:spacing w:val="-6"/>
          <w:rtl/>
          <w:lang w:val="en-GB"/>
        </w:rPr>
        <w:tab/>
        <w:t xml:space="preserve">مشروع مباني مقر الاتحاد والخطة الاستراتيجية لمجمعه (الوثائق </w:t>
      </w:r>
      <w:hyperlink r:id="rId42" w:history="1">
        <w:r w:rsidR="001B5144" w:rsidRPr="007E6D53">
          <w:rPr>
            <w:rStyle w:val="Hyperlink"/>
            <w:spacing w:val="-6"/>
          </w:rPr>
          <w:t>CWG-FHR-21/5(Rev.1)</w:t>
        </w:r>
      </w:hyperlink>
      <w:r w:rsidRPr="007E6D53">
        <w:rPr>
          <w:spacing w:val="-6"/>
          <w:rtl/>
          <w:lang w:val="en-GB"/>
        </w:rPr>
        <w:t xml:space="preserve"> و</w:t>
      </w:r>
      <w:hyperlink r:id="rId43" w:history="1">
        <w:r w:rsidR="001B5144" w:rsidRPr="007E6D53">
          <w:rPr>
            <w:rStyle w:val="Hyperlink"/>
            <w:spacing w:val="-6"/>
          </w:rPr>
          <w:t>CWG-FHR-21/6</w:t>
        </w:r>
      </w:hyperlink>
      <w:r w:rsidRPr="007E6D53">
        <w:rPr>
          <w:spacing w:val="-6"/>
          <w:rtl/>
          <w:lang w:val="en-GB"/>
        </w:rPr>
        <w:t xml:space="preserve"> و</w:t>
      </w:r>
      <w:hyperlink r:id="rId44" w:history="1">
        <w:r w:rsidR="001B5144" w:rsidRPr="007E6D53">
          <w:rPr>
            <w:rStyle w:val="Hyperlink"/>
            <w:spacing w:val="-6"/>
          </w:rPr>
          <w:t>CWG-FHR-22/8(Rev.1)</w:t>
        </w:r>
      </w:hyperlink>
      <w:r w:rsidRPr="007E6D53">
        <w:rPr>
          <w:spacing w:val="-6"/>
          <w:rtl/>
          <w:lang w:val="en-GB"/>
        </w:rPr>
        <w:t xml:space="preserve"> و</w:t>
      </w:r>
      <w:hyperlink r:id="rId45" w:history="1">
        <w:r w:rsidR="001B5144" w:rsidRPr="007E6D53">
          <w:rPr>
            <w:rStyle w:val="Hyperlink"/>
            <w:spacing w:val="-6"/>
          </w:rPr>
          <w:t>CWG-FHR-22-5(Rev.1)</w:t>
        </w:r>
      </w:hyperlink>
      <w:r w:rsidRPr="007E6D53">
        <w:rPr>
          <w:spacing w:val="-6"/>
          <w:rtl/>
          <w:lang w:val="en-GB"/>
        </w:rPr>
        <w:t>)</w:t>
      </w:r>
      <w:hyperlink r:id="rId46" w:history="1"/>
      <w:hyperlink r:id="rId47" w:history="1"/>
      <w:hyperlink r:id="rId48" w:history="1">
        <w:bookmarkStart w:id="0" w:name="_Hlt222310251"/>
        <w:bookmarkStart w:id="1" w:name="_Hlt222310252"/>
        <w:bookmarkEnd w:id="0"/>
        <w:bookmarkEnd w:id="1"/>
      </w:hyperlink>
      <w:hyperlink r:id="rId49" w:history="1"/>
    </w:p>
    <w:p w14:paraId="3EDDC9E1" w14:textId="74582C77" w:rsidR="00EC792C" w:rsidRPr="00EC792C" w:rsidRDefault="00EC792C" w:rsidP="00EC792C">
      <w:pPr>
        <w:rPr>
          <w:rtl/>
          <w:lang w:val="en-GB" w:bidi="en-GB"/>
        </w:rPr>
      </w:pPr>
      <w:r w:rsidRPr="00EC792C">
        <w:rPr>
          <w:rtl/>
          <w:lang w:val="en-GB"/>
        </w:rPr>
        <w:t>1.5</w:t>
      </w:r>
      <w:r w:rsidRPr="00EC792C">
        <w:rPr>
          <w:rtl/>
          <w:lang w:val="en-GB"/>
        </w:rPr>
        <w:tab/>
        <w:t>ركزت المعلومات المحدثة التي قدمتها الأمانة في الاجتماع الحادي والعشرين للفريق CWG-FHR على الخطة الاستراتيجية للمجمع والأنشطة الداعمة لضمان ملاءمة مجمع الاتحاد للغرض منه ولمستقبله. واستعداد</w:t>
      </w:r>
      <w:r w:rsidR="009D1477" w:rsidRPr="007E6D53">
        <w:rPr>
          <w:rtl/>
          <w:lang w:val="en-GB"/>
        </w:rPr>
        <w:t xml:space="preserve">اً </w:t>
      </w:r>
      <w:r w:rsidRPr="00EC792C">
        <w:rPr>
          <w:rtl/>
          <w:lang w:val="en-GB"/>
        </w:rPr>
        <w:t>لدراسة القرار 212 (المراج</w:t>
      </w:r>
      <w:r w:rsidR="006B6E9A" w:rsidRPr="007E6D53">
        <w:rPr>
          <w:rtl/>
          <w:lang w:val="en-GB"/>
        </w:rPr>
        <w:t>َ</w:t>
      </w:r>
      <w:r w:rsidRPr="00EC792C">
        <w:rPr>
          <w:rtl/>
          <w:lang w:val="en-GB"/>
        </w:rPr>
        <w:t>ع في بوخارست، 2022) في مؤتمر المندوبين المفوضين لعام 2026، أبلغت الأمانة المندوبين بدراسة الاتحاد لمجمع جنيف علاوة</w:t>
      </w:r>
      <w:r w:rsidR="006B6E9A" w:rsidRPr="007E6D53">
        <w:rPr>
          <w:rtl/>
          <w:lang w:val="en-GB"/>
        </w:rPr>
        <w:t>ً</w:t>
      </w:r>
      <w:r w:rsidRPr="00EC792C">
        <w:rPr>
          <w:rtl/>
          <w:lang w:val="en-GB"/>
        </w:rPr>
        <w:t xml:space="preserve"> على ثلاثة سيناريوهات لمستقبل المجمع. وشددت الأمانة على الحاجة إلى المجمع بأكمله حتى عام 2032، وأكدت عدم وجود حاجة لأن يختار مؤتمر المندوبين المفوضين لعام 2026 سيناريو من بينها. ومع</w:t>
      </w:r>
      <w:r w:rsidR="006B6E9A" w:rsidRPr="007E6D53">
        <w:rPr>
          <w:rtl/>
          <w:lang w:val="en-GB"/>
        </w:rPr>
        <w:t> </w:t>
      </w:r>
      <w:r w:rsidRPr="00EC792C">
        <w:rPr>
          <w:rtl/>
          <w:lang w:val="en-GB"/>
        </w:rPr>
        <w:t>ذلك، تحتاج الأمانة إلى أن يراجع المندوبون القرار 212 (</w:t>
      </w:r>
      <w:r w:rsidR="00167380">
        <w:rPr>
          <w:rtl/>
          <w:lang w:val="en-GB"/>
        </w:rPr>
        <w:t>المراجَع</w:t>
      </w:r>
      <w:r w:rsidRPr="00EC792C">
        <w:rPr>
          <w:rtl/>
          <w:lang w:val="en-GB"/>
        </w:rPr>
        <w:t xml:space="preserve"> في بوخارست، 2022) للسماح باستمرار عمليات وضع الخطة الاستراتيجية للمجمع.</w:t>
      </w:r>
    </w:p>
    <w:p w14:paraId="5D968CE9" w14:textId="20EF9902" w:rsidR="00EC792C" w:rsidRPr="00EC792C" w:rsidRDefault="00EC792C" w:rsidP="00EC792C">
      <w:pPr>
        <w:rPr>
          <w:rtl/>
          <w:lang w:val="en-GB" w:bidi="en-GB"/>
        </w:rPr>
      </w:pPr>
      <w:r w:rsidRPr="00EC792C">
        <w:rPr>
          <w:rtl/>
          <w:lang w:val="en-GB"/>
        </w:rPr>
        <w:t>2.5</w:t>
      </w:r>
      <w:r w:rsidRPr="00EC792C">
        <w:rPr>
          <w:rtl/>
          <w:lang w:val="en-GB"/>
        </w:rPr>
        <w:tab/>
        <w:t>ورد</w:t>
      </w:r>
      <w:r w:rsidR="006B6E9A" w:rsidRPr="007E6D53">
        <w:rPr>
          <w:rtl/>
          <w:lang w:val="en-GB"/>
        </w:rPr>
        <w:t>اً</w:t>
      </w:r>
      <w:r w:rsidRPr="00EC792C">
        <w:rPr>
          <w:rtl/>
          <w:lang w:val="en-GB"/>
        </w:rPr>
        <w:t xml:space="preserve"> على ذلك، ذَكَّر مندوب سويسرا الفريق بأنه عندما تستفيد منظمة دولية من شروط مواتية تتيحها الدولة المضيفة، مثل استفادتها من قرض بفائدة تبلغ صفر في المائة، تكون مساحة المبنى القابلة للتأجير التي يدعمها هذا القرض محدودة لضمان المنافسة العادلة. وطلب مندوبون آخرون توضيح</w:t>
      </w:r>
      <w:r w:rsidR="009D1477" w:rsidRPr="007E6D53">
        <w:rPr>
          <w:rtl/>
          <w:lang w:val="en-GB"/>
        </w:rPr>
        <w:t xml:space="preserve">اً </w:t>
      </w:r>
      <w:r w:rsidRPr="00EC792C">
        <w:rPr>
          <w:rtl/>
          <w:lang w:val="en-GB"/>
        </w:rPr>
        <w:t>بشأن العلاقة بين مشاريع المجمع ومبادرة مركز الاجتماعات. واقترح أحد المندوبين تحقيق التوازن بين الاستثمارات في المجمع والمناقشات المتعلقة بالحضور الإقليمي للاتحاد، بحيث لا يكون تعزيز وجود المقر في جنيف على حساب التأثير على المنطقة.</w:t>
      </w:r>
    </w:p>
    <w:p w14:paraId="73A8AE1E" w14:textId="67756CC0" w:rsidR="00EC792C" w:rsidRPr="00EC792C" w:rsidRDefault="00EC792C" w:rsidP="00EC792C">
      <w:pPr>
        <w:rPr>
          <w:rtl/>
          <w:lang w:val="en-GB" w:bidi="en-GB"/>
        </w:rPr>
      </w:pPr>
      <w:r w:rsidRPr="00EC792C">
        <w:rPr>
          <w:rtl/>
          <w:lang w:val="en-GB"/>
        </w:rPr>
        <w:t>3.5</w:t>
      </w:r>
      <w:r w:rsidRPr="00EC792C">
        <w:rPr>
          <w:rtl/>
          <w:lang w:val="en-GB"/>
        </w:rPr>
        <w:tab/>
        <w:t xml:space="preserve">وبالإضافة إلى ذلك، قدمت في الاجتماع الحادي والعشرين مساهمتان من الدول الأعضاء. فطلبت مساهمة (الوثيقة </w:t>
      </w:r>
      <w:hyperlink r:id="rId50" w:history="1">
        <w:r w:rsidR="00B50B44" w:rsidRPr="007E6D53">
          <w:rPr>
            <w:rStyle w:val="Hyperlink"/>
            <w:rFonts w:eastAsia="Aptos"/>
            <w:kern w:val="2"/>
            <w14:ligatures w14:val="standardContextual"/>
          </w:rPr>
          <w:t>CWG-FHR-21/18</w:t>
        </w:r>
      </w:hyperlink>
      <w:r w:rsidRPr="00EC792C">
        <w:rPr>
          <w:rtl/>
          <w:lang w:val="en-GB"/>
        </w:rPr>
        <w:t>) من جنوب إفريقيا رسمي</w:t>
      </w:r>
      <w:r w:rsidR="008A2E8A" w:rsidRPr="007E6D53">
        <w:rPr>
          <w:rtl/>
          <w:lang w:val="en-GB"/>
        </w:rPr>
        <w:t xml:space="preserve">اً </w:t>
      </w:r>
      <w:r w:rsidRPr="00EC792C">
        <w:rPr>
          <w:rtl/>
          <w:lang w:val="en-GB"/>
        </w:rPr>
        <w:t>تقديم سجل المخاطر في الاجتماع المقبل للفريق للمساعدة في</w:t>
      </w:r>
      <w:r w:rsidR="00B50B44" w:rsidRPr="007E6D53">
        <w:rPr>
          <w:rtl/>
          <w:lang w:val="en-GB"/>
        </w:rPr>
        <w:t> </w:t>
      </w:r>
      <w:r w:rsidRPr="00EC792C">
        <w:rPr>
          <w:rtl/>
          <w:lang w:val="en-GB"/>
        </w:rPr>
        <w:t>تسهيل الرصد الشامل لاستراتيجيات إدارة المخاطر وتدابير التخفيف منها. وأحاطت الرئيسة علم</w:t>
      </w:r>
      <w:r w:rsidR="008A2E8A" w:rsidRPr="007E6D53">
        <w:rPr>
          <w:rtl/>
          <w:lang w:val="en-GB"/>
        </w:rPr>
        <w:t xml:space="preserve">اً </w:t>
      </w:r>
      <w:r w:rsidRPr="00EC792C">
        <w:rPr>
          <w:rtl/>
          <w:lang w:val="en-GB"/>
        </w:rPr>
        <w:t>بهذا الطلب، وطلبت من رئيس الفريق الاستشاري للدول الأعضاء (MSAG) الإبلاغ عن المخاطر الاستراتيجية في اجتماعات المجلس والفريق</w:t>
      </w:r>
      <w:r w:rsidR="00351F50">
        <w:rPr>
          <w:rFonts w:hint="cs"/>
          <w:rtl/>
          <w:lang w:val="en-GB"/>
        </w:rPr>
        <w:t> </w:t>
      </w:r>
      <w:r w:rsidRPr="00EC792C">
        <w:rPr>
          <w:rtl/>
          <w:lang w:val="en-GB"/>
        </w:rPr>
        <w:t xml:space="preserve">CWG-FHR في المستقبل. ووردت المساهمة الأخرى (الوثيقة </w:t>
      </w:r>
      <w:hyperlink r:id="rId51" w:history="1">
        <w:r w:rsidR="00B50B44" w:rsidRPr="007E6D53">
          <w:rPr>
            <w:rStyle w:val="Hyperlink"/>
            <w:rFonts w:eastAsia="Aptos"/>
            <w:kern w:val="2"/>
            <w14:ligatures w14:val="standardContextual"/>
          </w:rPr>
          <w:t>CWG-FHR-21/21</w:t>
        </w:r>
      </w:hyperlink>
      <w:r w:rsidRPr="00EC792C">
        <w:rPr>
          <w:rtl/>
          <w:lang w:val="en-GB"/>
        </w:rPr>
        <w:t>) من الكومنولث الإقليمي في</w:t>
      </w:r>
      <w:r w:rsidR="00B45941" w:rsidRPr="007E6D53">
        <w:rPr>
          <w:rtl/>
          <w:lang w:val="en-GB"/>
        </w:rPr>
        <w:t> </w:t>
      </w:r>
      <w:r w:rsidRPr="00EC792C">
        <w:rPr>
          <w:rtl/>
          <w:lang w:val="en-GB"/>
        </w:rPr>
        <w:t>مجال الاتصالات وطاجيكستان. واقترحت المساهمة تبسيط القرارات السابقة للمجلس ومؤتمر المندوبين المفوضين، ومراجعة القرارات والمقررات ذات الصلة للاحتفاظ بمبنى البرج، والحفاظ على قاعات الاجتماعات الرئيسية والعناصر التاريخية، وتقديم طلب إلى الأمينة العامة مفاده تقديم مشروع مفاهيمي يحسن تلبية احتياجات الأعضاء والموظفين.</w:t>
      </w:r>
      <w:hyperlink r:id="rId52" w:history="1"/>
      <w:hyperlink r:id="rId53" w:history="1"/>
    </w:p>
    <w:p w14:paraId="292CAF2F" w14:textId="13089A60" w:rsidR="00EC792C" w:rsidRPr="00EC792C" w:rsidRDefault="00EC792C" w:rsidP="00E370DB">
      <w:pPr>
        <w:keepNext/>
        <w:keepLines/>
        <w:rPr>
          <w:rtl/>
          <w:lang w:val="en-GB" w:bidi="en-GB"/>
        </w:rPr>
      </w:pPr>
      <w:r w:rsidRPr="00EC792C">
        <w:rPr>
          <w:rtl/>
          <w:lang w:val="en-GB"/>
        </w:rPr>
        <w:lastRenderedPageBreak/>
        <w:t>4.5</w:t>
      </w:r>
      <w:r w:rsidRPr="00EC792C">
        <w:rPr>
          <w:rtl/>
          <w:lang w:val="en-GB"/>
        </w:rPr>
        <w:tab/>
        <w:t>وفي الاجتماع الثاني والعشرين، قدمت الرئيسة، بعد مشاورات غير رسمية مع الكومنولث الإقليمي في</w:t>
      </w:r>
      <w:r w:rsidR="00A45930" w:rsidRPr="007E6D53">
        <w:rPr>
          <w:rtl/>
          <w:lang w:val="en-GB"/>
        </w:rPr>
        <w:t> </w:t>
      </w:r>
      <w:r w:rsidRPr="00EC792C">
        <w:rPr>
          <w:rtl/>
          <w:lang w:val="en-GB"/>
        </w:rPr>
        <w:t xml:space="preserve">مجال الاتصالات وجمهورية قيرغيزستان، الوثيقة </w:t>
      </w:r>
      <w:hyperlink r:id="rId54" w:history="1">
        <w:r w:rsidR="00E370DB" w:rsidRPr="007E6D53">
          <w:rPr>
            <w:rStyle w:val="Hyperlink"/>
          </w:rPr>
          <w:t>CWG-FHR-22/22</w:t>
        </w:r>
      </w:hyperlink>
      <w:r w:rsidRPr="00EC792C">
        <w:rPr>
          <w:rtl/>
          <w:lang w:val="en-GB"/>
        </w:rPr>
        <w:t xml:space="preserve"> موضحةً للمندوبين أن المناقشة لم تعد ضرورية لأن الأمانة راجعت الوثيقتين </w:t>
      </w:r>
      <w:hyperlink r:id="rId55" w:history="1">
        <w:r w:rsidR="00E370DB" w:rsidRPr="007E6D53">
          <w:rPr>
            <w:rStyle w:val="Hyperlink"/>
          </w:rPr>
          <w:t>CWG-FHR-22/8</w:t>
        </w:r>
      </w:hyperlink>
      <w:r w:rsidRPr="00EC792C">
        <w:rPr>
          <w:rtl/>
          <w:lang w:val="en-GB"/>
        </w:rPr>
        <w:t xml:space="preserve"> و</w:t>
      </w:r>
      <w:hyperlink r:id="rId56" w:history="1">
        <w:r w:rsidR="00E370DB" w:rsidRPr="007E6D53">
          <w:rPr>
            <w:rStyle w:val="Hyperlink"/>
          </w:rPr>
          <w:t>CWG-FHR-22/5</w:t>
        </w:r>
      </w:hyperlink>
      <w:r w:rsidRPr="00EC792C">
        <w:rPr>
          <w:rtl/>
          <w:lang w:val="en-GB"/>
        </w:rPr>
        <w:t xml:space="preserve"> لتدرج فيهما من الاجتماع الحادي والعشرين للفريق المعلومات الناقصة. وبعد ذلك، أبلغت الأمانة الفريق بأن الجدول الزمني العام لمشروع مبنى المقر يمضي على المسار الصحيح، وأن مرحلة التصميم المفاهيمي جارية الآن بعد الانتهاء من دراسة الجدوى. وذُكِر أيضا</w:t>
      </w:r>
      <w:r w:rsidR="00A45930" w:rsidRPr="007E6D53">
        <w:rPr>
          <w:rtl/>
          <w:lang w:val="en-GB"/>
        </w:rPr>
        <w:t>ً</w:t>
      </w:r>
      <w:r w:rsidRPr="00EC792C">
        <w:rPr>
          <w:rtl/>
          <w:lang w:val="en-GB"/>
        </w:rPr>
        <w:t xml:space="preserve"> أن الأمانة اشترت خدمات إدارة المشاريع من اتحاد Cumming Group &amp; JAM Management. وتحدثت الأمانة أيضا</w:t>
      </w:r>
      <w:r w:rsidR="00A45930" w:rsidRPr="007E6D53">
        <w:rPr>
          <w:rtl/>
          <w:lang w:val="en-GB"/>
        </w:rPr>
        <w:t>ً</w:t>
      </w:r>
      <w:r w:rsidRPr="00EC792C">
        <w:rPr>
          <w:rtl/>
          <w:lang w:val="en-GB"/>
        </w:rPr>
        <w:t xml:space="preserve"> عن شراكتها الوثيقة مع البلد المضيف، سويسرا، وكذلك عن الجهود الأوسع نطاقا</w:t>
      </w:r>
      <w:r w:rsidR="00A45930" w:rsidRPr="007E6D53">
        <w:rPr>
          <w:rtl/>
          <w:lang w:val="en-GB"/>
        </w:rPr>
        <w:t>ً</w:t>
      </w:r>
      <w:r w:rsidRPr="00EC792C">
        <w:rPr>
          <w:rtl/>
          <w:lang w:val="en-GB"/>
        </w:rPr>
        <w:t xml:space="preserve"> على مستوى المنطقة المحيطة لضمان انسجام الاتحاد مع المنطقة المحيطة به والوفاء بمتطلبات الأمم المتحدة الأمنية. وبإعادة النظر في التحديثات الرئيسية المقدمة من الاجتماع الحادي والعشرين، أبلغت الأمانة عن استراتيجية تطوير التمويل المستقبلي والتخطيط الرأسمالي للتأكد من أن مجمع الاتحاد مناسب للغرض. واختتمت الأمانة قائلة إنها ستواصل العمل مع خبراء عقاريين، عملوا سابقا</w:t>
      </w:r>
      <w:r w:rsidR="00092DC9" w:rsidRPr="007E6D53">
        <w:rPr>
          <w:rtl/>
          <w:lang w:val="en-GB"/>
        </w:rPr>
        <w:t>ً</w:t>
      </w:r>
      <w:r w:rsidRPr="00EC792C">
        <w:rPr>
          <w:rtl/>
          <w:lang w:val="en-GB"/>
        </w:rPr>
        <w:t xml:space="preserve"> مع المنظمة العالمية للملكية الفكرية (WIPO)، وستقدم تقريرا</w:t>
      </w:r>
      <w:r w:rsidR="00092DC9" w:rsidRPr="007E6D53">
        <w:rPr>
          <w:rtl/>
          <w:lang w:val="en-GB"/>
        </w:rPr>
        <w:t>ً</w:t>
      </w:r>
      <w:r w:rsidRPr="00EC792C">
        <w:rPr>
          <w:rtl/>
          <w:lang w:val="en-GB"/>
        </w:rPr>
        <w:t xml:space="preserve"> أكبر إلى المجلس في دورته لعام 2026 قبل إعادة النظر في القرار 212 (المراج</w:t>
      </w:r>
      <w:r w:rsidR="00092DC9" w:rsidRPr="007E6D53">
        <w:rPr>
          <w:rtl/>
          <w:lang w:val="en-GB"/>
        </w:rPr>
        <w:t>َ</w:t>
      </w:r>
      <w:r w:rsidRPr="00EC792C">
        <w:rPr>
          <w:rtl/>
          <w:lang w:val="en-GB"/>
        </w:rPr>
        <w:t>ع في بوخارست، 2022) في مؤتمر المندوبين المفوضين لعام 2026.</w:t>
      </w:r>
      <w:hyperlink r:id="rId57" w:history="1"/>
      <w:hyperlink r:id="rId58" w:history="1"/>
      <w:hyperlink r:id="rId59" w:history="1"/>
    </w:p>
    <w:p w14:paraId="32496256" w14:textId="1201654B" w:rsidR="00EC792C" w:rsidRPr="00EC792C" w:rsidRDefault="00EC792C" w:rsidP="00EC792C">
      <w:pPr>
        <w:rPr>
          <w:rtl/>
          <w:lang w:val="en-GB" w:bidi="en-GB"/>
        </w:rPr>
      </w:pPr>
      <w:r w:rsidRPr="00EC792C">
        <w:rPr>
          <w:rtl/>
          <w:lang w:val="en-GB"/>
        </w:rPr>
        <w:t>5.5</w:t>
      </w:r>
      <w:r w:rsidRPr="00EC792C">
        <w:rPr>
          <w:rtl/>
          <w:lang w:val="en-GB"/>
        </w:rPr>
        <w:tab/>
        <w:t xml:space="preserve">وتابع رئيس الفريق الاستشاري للدول الأعضاء الأمانةَ بتقريره (الوثيقة </w:t>
      </w:r>
      <w:hyperlink r:id="rId60" w:history="1">
        <w:r w:rsidR="00092DC9" w:rsidRPr="007E6D53">
          <w:rPr>
            <w:rStyle w:val="Hyperlink"/>
          </w:rPr>
          <w:t>CWG-FHR-22/24</w:t>
        </w:r>
      </w:hyperlink>
      <w:r w:rsidRPr="00EC792C">
        <w:rPr>
          <w:rtl/>
          <w:lang w:val="en-GB"/>
        </w:rPr>
        <w:t>) الذي أكد أن جميع المخاطر على المشروع تخضع للدراسة بجدية على أساس دوري وأن الصناديق الاحتياطية الحالية كافية (في</w:t>
      </w:r>
      <w:r w:rsidR="00C91D4D" w:rsidRPr="007E6D53">
        <w:rPr>
          <w:rtl/>
          <w:lang w:val="en-GB"/>
        </w:rPr>
        <w:t> </w:t>
      </w:r>
      <w:r w:rsidRPr="00EC792C">
        <w:rPr>
          <w:rtl/>
          <w:lang w:val="en-GB"/>
        </w:rPr>
        <w:t>الوقت الحالي). وإضافةً إلى ذلك، أبلغ رئيس الفريق الاستشاري المندوبين بأن سجل المخاطر سيظل بندا</w:t>
      </w:r>
      <w:r w:rsidR="00C91D4D" w:rsidRPr="007E6D53">
        <w:rPr>
          <w:rtl/>
          <w:lang w:val="en-GB"/>
        </w:rPr>
        <w:t>ً</w:t>
      </w:r>
      <w:r w:rsidRPr="00EC792C">
        <w:rPr>
          <w:rtl/>
          <w:lang w:val="en-GB"/>
        </w:rPr>
        <w:t xml:space="preserve"> دائما</w:t>
      </w:r>
      <w:r w:rsidR="00C91D4D" w:rsidRPr="007E6D53">
        <w:rPr>
          <w:rtl/>
          <w:lang w:val="en-GB"/>
        </w:rPr>
        <w:t>ً</w:t>
      </w:r>
      <w:r w:rsidRPr="00EC792C">
        <w:rPr>
          <w:rtl/>
          <w:lang w:val="en-GB"/>
        </w:rPr>
        <w:t xml:space="preserve"> على جدول الأعمال وأن الاستعراض الذي يجريه الفريق الاستشاري للسجل حاليا</w:t>
      </w:r>
      <w:r w:rsidR="00C91D4D" w:rsidRPr="007E6D53">
        <w:rPr>
          <w:rtl/>
          <w:lang w:val="en-GB"/>
        </w:rPr>
        <w:t>ً</w:t>
      </w:r>
      <w:r w:rsidRPr="00EC792C">
        <w:rPr>
          <w:rtl/>
          <w:lang w:val="en-GB"/>
        </w:rPr>
        <w:t xml:space="preserve"> سيتضمن رؤى مصدرها فريق إدارة المشروع المعين حديثا</w:t>
      </w:r>
      <w:r w:rsidR="00C91D4D" w:rsidRPr="007E6D53">
        <w:rPr>
          <w:rtl/>
          <w:lang w:val="en-GB"/>
        </w:rPr>
        <w:t>ً</w:t>
      </w:r>
      <w:r w:rsidRPr="00EC792C">
        <w:rPr>
          <w:rtl/>
          <w:lang w:val="en-GB"/>
        </w:rPr>
        <w:t xml:space="preserve"> ومعرفة بسوق جنيف.</w:t>
      </w:r>
      <w:hyperlink r:id="rId61" w:history="1"/>
    </w:p>
    <w:p w14:paraId="444E42ED" w14:textId="29E6D9C5" w:rsidR="00EC792C" w:rsidRPr="00EC792C" w:rsidRDefault="00EC792C" w:rsidP="00EC792C">
      <w:pPr>
        <w:rPr>
          <w:rtl/>
          <w:lang w:val="en-GB" w:bidi="en-GB"/>
        </w:rPr>
      </w:pPr>
      <w:r w:rsidRPr="00EC792C">
        <w:rPr>
          <w:rtl/>
          <w:lang w:val="en-GB"/>
        </w:rPr>
        <w:t>6.5</w:t>
      </w:r>
      <w:r w:rsidRPr="00EC792C">
        <w:rPr>
          <w:rtl/>
          <w:lang w:val="en-GB"/>
        </w:rPr>
        <w:tab/>
        <w:t>وطرح المندوبون مجموعة متنوعة من الأسئلة الاستيضاحية المتعلقة بالمفهوم الذي يقوم عليه المخطط العام للمنطقة المحيطة، وخطة تجهيزات المباني والتكلفة المتعددة السنوات. وظهرت استفسارات أخرى حول الإطار الحكومي المقترح حديثا</w:t>
      </w:r>
      <w:r w:rsidR="00FB4820" w:rsidRPr="007E6D53">
        <w:rPr>
          <w:rtl/>
          <w:lang w:val="en-GB"/>
        </w:rPr>
        <w:t>ً</w:t>
      </w:r>
      <w:r w:rsidRPr="00EC792C">
        <w:rPr>
          <w:rtl/>
          <w:lang w:val="en-GB"/>
        </w:rPr>
        <w:t xml:space="preserve"> لجهود مباني المقر وحول الكيفية التي تخطط بها الأمانة لمعالجة فجوات التمويل، مثل تلك التي خلفها سحب الإمارات العربية المتحدة لرعايتها.</w:t>
      </w:r>
    </w:p>
    <w:p w14:paraId="096A5518" w14:textId="595ECE61" w:rsidR="00EC792C" w:rsidRPr="00EC792C" w:rsidRDefault="00EC792C" w:rsidP="00EC792C">
      <w:pPr>
        <w:rPr>
          <w:rtl/>
          <w:lang w:val="en-GB" w:bidi="en-GB"/>
        </w:rPr>
      </w:pPr>
      <w:r w:rsidRPr="00EC792C">
        <w:rPr>
          <w:rtl/>
          <w:lang w:val="en-GB"/>
        </w:rPr>
        <w:t>7.5</w:t>
      </w:r>
      <w:r w:rsidRPr="00EC792C">
        <w:rPr>
          <w:rtl/>
          <w:lang w:val="en-GB"/>
        </w:rPr>
        <w:tab/>
        <w:t>وطلب أحد المندوبين تحليل سيناريو لمواقع مراكز عمل منخفضة التكلفة. فردت الأمانة مؤكدة أن جهدا</w:t>
      </w:r>
      <w:r w:rsidR="00FB4820" w:rsidRPr="007E6D53">
        <w:rPr>
          <w:rtl/>
          <w:lang w:val="en-GB"/>
        </w:rPr>
        <w:t>ً</w:t>
      </w:r>
      <w:r w:rsidRPr="00EC792C">
        <w:rPr>
          <w:rtl/>
          <w:lang w:val="en-GB"/>
        </w:rPr>
        <w:t xml:space="preserve"> يشمل الموارد البشرية وكذلك الإدارة والمالية قد بدأ بالفعل في تقييم جميع الوظائف داخل الاتحاد وضرورة تخصيص مركز عمل أو موقع إقليمي أو مكتب منطقة محدد. ويعتزم الاتحاد توفير التكاليف والمساعدة على تعزيز الحضور الإقليمي علاوةً على الوضع العالمي العام للاتحاد.</w:t>
      </w:r>
    </w:p>
    <w:p w14:paraId="4F4F28C6" w14:textId="42FC6BF2" w:rsidR="00EC792C" w:rsidRPr="00EC792C" w:rsidRDefault="00EC792C" w:rsidP="00C636C8">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8.5</w:t>
      </w:r>
      <w:r w:rsidRPr="00EC792C">
        <w:rPr>
          <w:rtl/>
          <w:lang w:val="en-GB"/>
        </w:rPr>
        <w:tab/>
      </w:r>
      <w:r w:rsidRPr="00EC792C">
        <w:rPr>
          <w:b/>
          <w:bCs/>
          <w:rtl/>
          <w:lang w:val="en-GB"/>
        </w:rPr>
        <w:t xml:space="preserve">أوصى </w:t>
      </w:r>
      <w:r w:rsidRPr="00EC792C">
        <w:rPr>
          <w:rtl/>
          <w:lang w:val="en-GB"/>
        </w:rPr>
        <w:t xml:space="preserve">الفريق CWG-FHR الأمانة بتقديم تقرير محدث إلى المجلس. وينبغي أن يتضمن التقرير مخطط المنطقة المحيطة، ومعلومات إضافية عن خطة صيانة المجمع، ومعلومات إضافية </w:t>
      </w:r>
      <w:r w:rsidR="0059485C">
        <w:rPr>
          <w:rFonts w:hint="cs"/>
          <w:rtl/>
          <w:lang w:val="en-GB"/>
        </w:rPr>
        <w:t xml:space="preserve">عن </w:t>
      </w:r>
      <w:r w:rsidRPr="00EC792C">
        <w:rPr>
          <w:rtl/>
          <w:lang w:val="en-GB"/>
        </w:rPr>
        <w:t>استراتيجية التخفيف من أثر الخفض البالغ 5 ملايين فرنك سويسري.</w:t>
      </w:r>
    </w:p>
    <w:p w14:paraId="2ADC1078" w14:textId="51B2A78F" w:rsidR="00EC792C" w:rsidRPr="007E6D53" w:rsidRDefault="00EC792C" w:rsidP="00C636C8">
      <w:pPr>
        <w:pStyle w:val="Heading1"/>
        <w:rPr>
          <w:rtl/>
          <w:lang w:val="en-GB" w:bidi="en-GB"/>
        </w:rPr>
      </w:pPr>
      <w:r w:rsidRPr="007E6D53">
        <w:rPr>
          <w:rtl/>
          <w:lang w:val="en-GB"/>
        </w:rPr>
        <w:t>6</w:t>
      </w:r>
      <w:r w:rsidRPr="007E6D53">
        <w:rPr>
          <w:rtl/>
          <w:lang w:val="en-GB"/>
        </w:rPr>
        <w:tab/>
        <w:t xml:space="preserve">تحليل مقررات المجلس 588 (C16) و619 (C19، بالتعديل الأخير C21) و640 (C24) (الوثيقة </w:t>
      </w:r>
      <w:hyperlink r:id="rId62" w:history="1">
        <w:r w:rsidR="00C636C8" w:rsidRPr="007E6D53">
          <w:rPr>
            <w:rStyle w:val="Hyperlink"/>
          </w:rPr>
          <w:t>CWG-FHR-22/18(Rev.1)</w:t>
        </w:r>
      </w:hyperlink>
      <w:r w:rsidRPr="007E6D53">
        <w:rPr>
          <w:rtl/>
          <w:lang w:val="en-GB"/>
        </w:rPr>
        <w:t>)</w:t>
      </w:r>
      <w:hyperlink r:id="rId63" w:history="1"/>
    </w:p>
    <w:p w14:paraId="57708B95" w14:textId="6A3680CB" w:rsidR="00EC792C" w:rsidRPr="00EC792C" w:rsidRDefault="00EC792C" w:rsidP="00EC792C">
      <w:pPr>
        <w:rPr>
          <w:spacing w:val="-2"/>
          <w:rtl/>
          <w:lang w:val="en-GB" w:bidi="en-GB"/>
        </w:rPr>
      </w:pPr>
      <w:r w:rsidRPr="00EC792C">
        <w:rPr>
          <w:spacing w:val="-2"/>
          <w:rtl/>
          <w:lang w:val="en-GB"/>
        </w:rPr>
        <w:t>1.6</w:t>
      </w:r>
      <w:r w:rsidRPr="00EC792C">
        <w:rPr>
          <w:spacing w:val="-2"/>
          <w:rtl/>
          <w:lang w:val="en-GB"/>
        </w:rPr>
        <w:tab/>
        <w:t>في الاجتماع الثاني والعشرين للفريق CWG-FHR، قدمت الأمانة تحليل</w:t>
      </w:r>
      <w:r w:rsidR="008A2E8A" w:rsidRPr="007E6D53">
        <w:rPr>
          <w:spacing w:val="-2"/>
          <w:rtl/>
          <w:lang w:val="en-GB"/>
        </w:rPr>
        <w:t xml:space="preserve">اً </w:t>
      </w:r>
      <w:r w:rsidRPr="00EC792C">
        <w:rPr>
          <w:spacing w:val="-2"/>
          <w:rtl/>
          <w:lang w:val="en-GB"/>
        </w:rPr>
        <w:t>لمقررات المجلس 588 (دورة المجلس لعام 2016) و619 (دورة المجلس لعام 2019، بالتعديل الأخير في دورة المجلس لعام 2021) والمقرر 640 (دورة المجلس لعام 2024) إلى جانب المراجعات المقترحة للمقرر 640. وجاء هذا التحليل استجابة لطلب قُدِّم في الاجتماع الحادي والعشرين للفريق.</w:t>
      </w:r>
    </w:p>
    <w:p w14:paraId="13A7B19E" w14:textId="291F0D66" w:rsidR="00EC792C" w:rsidRPr="00EC792C" w:rsidRDefault="00EC792C" w:rsidP="00EC792C">
      <w:pPr>
        <w:rPr>
          <w:spacing w:val="-2"/>
          <w:rtl/>
          <w:lang w:val="en-GB" w:bidi="en-GB"/>
        </w:rPr>
      </w:pPr>
      <w:r w:rsidRPr="00EC792C">
        <w:rPr>
          <w:spacing w:val="-2"/>
          <w:rtl/>
          <w:lang w:val="en-GB"/>
        </w:rPr>
        <w:t>2.6</w:t>
      </w:r>
      <w:r w:rsidRPr="00EC792C">
        <w:rPr>
          <w:spacing w:val="-2"/>
          <w:rtl/>
          <w:lang w:val="en-GB"/>
        </w:rPr>
        <w:tab/>
        <w:t xml:space="preserve">وطلب العديد من المندوبين من الأمانة أن تقدم إلى المجلس في دورته لعام 2026 نسخة مزودة بعلامات تعقب التغييرات لمشروع مراجعة المقرر 640. وذكَّر أحد المندوبين فريق العمل بأن ناتج المجلس في دورته لعام 2025 يتمثل في اضطلاع الأمانة بإجراء دراسة شاملة، وأن المعلومات الواردة في الوثيقة </w:t>
      </w:r>
      <w:hyperlink r:id="rId64" w:history="1">
        <w:r w:rsidR="00B67757" w:rsidRPr="007E6D53">
          <w:rPr>
            <w:rStyle w:val="Hyperlink"/>
          </w:rPr>
          <w:t>CWG-FHR-22/18(Rev.1)</w:t>
        </w:r>
      </w:hyperlink>
      <w:r w:rsidRPr="00EC792C">
        <w:rPr>
          <w:spacing w:val="-2"/>
          <w:rtl/>
          <w:lang w:val="en-GB"/>
        </w:rPr>
        <w:t xml:space="preserve"> غير كافية. ولذلك، أشار المندوب إلى ضرورة أن تقدم الأمانة إلى المجلس في دورته لعام 2026 تحليل</w:t>
      </w:r>
      <w:r w:rsidR="000D137C" w:rsidRPr="007E6D53">
        <w:rPr>
          <w:spacing w:val="-2"/>
          <w:rtl/>
          <w:lang w:val="en-GB"/>
        </w:rPr>
        <w:t>اً</w:t>
      </w:r>
      <w:r w:rsidRPr="00EC792C">
        <w:rPr>
          <w:spacing w:val="-2"/>
          <w:rtl/>
          <w:lang w:val="en-GB"/>
        </w:rPr>
        <w:t xml:space="preserve"> فقرة فقرة للمقررات الثلاثة، مع تسليط الضوء على الأحكام التي لا تزال في محلها وتلك التي فات أوانها. واختتم المندوب موضحاً كيف أن التحليل لا يزال مفيدا</w:t>
      </w:r>
      <w:r w:rsidR="000D137C" w:rsidRPr="007E6D53">
        <w:rPr>
          <w:spacing w:val="-2"/>
          <w:rtl/>
          <w:lang w:val="en-GB"/>
        </w:rPr>
        <w:t>ً</w:t>
      </w:r>
      <w:r w:rsidRPr="00EC792C">
        <w:rPr>
          <w:spacing w:val="-2"/>
          <w:rtl/>
          <w:lang w:val="en-GB"/>
        </w:rPr>
        <w:t xml:space="preserve"> حيث سيتعين على المندوبين استعراض القرار 212 (المراج</w:t>
      </w:r>
      <w:r w:rsidR="000D137C" w:rsidRPr="007E6D53">
        <w:rPr>
          <w:spacing w:val="-2"/>
          <w:rtl/>
          <w:lang w:val="en-GB"/>
        </w:rPr>
        <w:t>َ</w:t>
      </w:r>
      <w:r w:rsidRPr="00EC792C">
        <w:rPr>
          <w:spacing w:val="-2"/>
          <w:rtl/>
          <w:lang w:val="en-GB"/>
        </w:rPr>
        <w:t>ع في بوخارست، 2022) في مؤتمر المندوبين المفوضين.</w:t>
      </w:r>
      <w:hyperlink r:id="rId65" w:history="1"/>
    </w:p>
    <w:p w14:paraId="2355AFC0" w14:textId="2F14146F" w:rsidR="00EC792C" w:rsidRPr="00EC792C" w:rsidRDefault="00EC792C" w:rsidP="00EC792C">
      <w:pPr>
        <w:rPr>
          <w:rtl/>
          <w:lang w:val="en-GB" w:bidi="en-GB"/>
        </w:rPr>
      </w:pPr>
      <w:r w:rsidRPr="00EC792C">
        <w:rPr>
          <w:rtl/>
          <w:lang w:val="en-GB"/>
        </w:rPr>
        <w:lastRenderedPageBreak/>
        <w:t>3.6</w:t>
      </w:r>
      <w:r w:rsidRPr="00EC792C">
        <w:rPr>
          <w:rtl/>
          <w:lang w:val="en-GB"/>
        </w:rPr>
        <w:tab/>
        <w:t>وتحدث عدد قليل من المندوبين عن المصطلحات المقترحة في مشروع مراجعة المقرر 640، ولا سيما مصطلح "المجمع". وذكر أحد المندوبين أن مصطلح "المجمع" ليس معروفا</w:t>
      </w:r>
      <w:r w:rsidR="001320B4" w:rsidRPr="007E6D53">
        <w:rPr>
          <w:rtl/>
          <w:lang w:val="en-GB"/>
        </w:rPr>
        <w:t>ً</w:t>
      </w:r>
      <w:r w:rsidRPr="00EC792C">
        <w:rPr>
          <w:rtl/>
          <w:lang w:val="en-GB"/>
        </w:rPr>
        <w:t xml:space="preserve"> في كل البلدان، واقترح مصطلحا</w:t>
      </w:r>
      <w:r w:rsidR="001320B4" w:rsidRPr="007E6D53">
        <w:rPr>
          <w:rtl/>
          <w:lang w:val="en-GB"/>
        </w:rPr>
        <w:t>ً</w:t>
      </w:r>
      <w:r w:rsidRPr="00EC792C">
        <w:rPr>
          <w:rtl/>
          <w:lang w:val="en-GB"/>
        </w:rPr>
        <w:t xml:space="preserve"> أكثر حيادية وشهرة. وشجع مندوب آخر الأمانة على الاستفادة من المصطلحات الواردة في اتفاقية الاتحاد.</w:t>
      </w:r>
    </w:p>
    <w:p w14:paraId="294418D1" w14:textId="0855524E" w:rsidR="00EC792C" w:rsidRPr="00EC792C" w:rsidRDefault="00EC792C" w:rsidP="001320B4">
      <w:pPr>
        <w:pBdr>
          <w:top w:val="single" w:sz="4" w:space="1" w:color="auto"/>
          <w:left w:val="single" w:sz="4" w:space="4" w:color="auto"/>
          <w:bottom w:val="single" w:sz="4" w:space="1" w:color="auto"/>
          <w:right w:val="single" w:sz="4" w:space="4" w:color="auto"/>
        </w:pBdr>
        <w:rPr>
          <w:spacing w:val="-2"/>
          <w:rtl/>
          <w:lang w:val="en-GB" w:bidi="en-GB"/>
        </w:rPr>
      </w:pPr>
      <w:r w:rsidRPr="00EC792C">
        <w:rPr>
          <w:spacing w:val="-2"/>
          <w:rtl/>
          <w:lang w:val="en-GB"/>
        </w:rPr>
        <w:t>4.6</w:t>
      </w:r>
      <w:r w:rsidRPr="00EC792C">
        <w:rPr>
          <w:spacing w:val="-2"/>
          <w:rtl/>
          <w:lang w:val="en-GB"/>
        </w:rPr>
        <w:tab/>
      </w:r>
      <w:r w:rsidRPr="00EC792C">
        <w:rPr>
          <w:b/>
          <w:bCs/>
          <w:spacing w:val="-2"/>
          <w:rtl/>
          <w:lang w:val="en-GB"/>
        </w:rPr>
        <w:t xml:space="preserve">يوصي </w:t>
      </w:r>
      <w:r w:rsidRPr="00EC792C">
        <w:rPr>
          <w:spacing w:val="-2"/>
          <w:rtl/>
          <w:lang w:val="en-GB"/>
        </w:rPr>
        <w:t>الفريق CWG-FHR الأمانة بأن تقدم إلى المجلس تحليلا</w:t>
      </w:r>
      <w:r w:rsidR="00993DEA" w:rsidRPr="00CA7F2C">
        <w:rPr>
          <w:spacing w:val="-2"/>
          <w:rtl/>
          <w:lang w:val="en-GB"/>
        </w:rPr>
        <w:t>ً</w:t>
      </w:r>
      <w:r w:rsidRPr="00EC792C">
        <w:rPr>
          <w:spacing w:val="-2"/>
          <w:rtl/>
          <w:lang w:val="en-GB"/>
        </w:rPr>
        <w:t xml:space="preserve"> مقارنا</w:t>
      </w:r>
      <w:r w:rsidR="00993DEA" w:rsidRPr="00CA7F2C">
        <w:rPr>
          <w:spacing w:val="-2"/>
          <w:rtl/>
          <w:lang w:val="en-GB"/>
        </w:rPr>
        <w:t>ً</w:t>
      </w:r>
      <w:r w:rsidRPr="00EC792C">
        <w:rPr>
          <w:spacing w:val="-2"/>
          <w:rtl/>
          <w:lang w:val="en-GB"/>
        </w:rPr>
        <w:t xml:space="preserve"> للمقرر 588 والمقرر 619 والمقرر</w:t>
      </w:r>
      <w:r w:rsidR="00784C52" w:rsidRPr="00CA7F2C">
        <w:rPr>
          <w:spacing w:val="-2"/>
          <w:rtl/>
          <w:lang w:val="en-GB"/>
        </w:rPr>
        <w:t> </w:t>
      </w:r>
      <w:r w:rsidRPr="00EC792C">
        <w:rPr>
          <w:spacing w:val="-2"/>
          <w:rtl/>
          <w:lang w:val="en-GB"/>
        </w:rPr>
        <w:t>640 فقرة فقرة قبل مؤتمر المندوبين المفوضين لعام 2026.</w:t>
      </w:r>
    </w:p>
    <w:p w14:paraId="3478C904" w14:textId="4FB38C46" w:rsidR="00EC792C" w:rsidRPr="00EC792C" w:rsidRDefault="00EC792C" w:rsidP="001320B4">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5.6</w:t>
      </w:r>
      <w:r w:rsidRPr="00EC792C">
        <w:rPr>
          <w:rtl/>
          <w:lang w:val="en-GB"/>
        </w:rPr>
        <w:tab/>
        <w:t>و</w:t>
      </w:r>
      <w:r w:rsidRPr="00EC792C">
        <w:rPr>
          <w:b/>
          <w:bCs/>
          <w:rtl/>
          <w:lang w:val="en-GB"/>
        </w:rPr>
        <w:t xml:space="preserve">أوصى </w:t>
      </w:r>
      <w:r w:rsidRPr="00EC792C">
        <w:rPr>
          <w:rtl/>
          <w:lang w:val="en-GB"/>
        </w:rPr>
        <w:t>الفريق الأمانة أيضا</w:t>
      </w:r>
      <w:r w:rsidR="00993DEA" w:rsidRPr="007E6D53">
        <w:rPr>
          <w:rtl/>
          <w:lang w:val="en-GB"/>
        </w:rPr>
        <w:t>ً</w:t>
      </w:r>
      <w:r w:rsidRPr="00EC792C">
        <w:rPr>
          <w:rtl/>
          <w:lang w:val="en-GB"/>
        </w:rPr>
        <w:t xml:space="preserve"> باستعراض اصطلاح التسميات المستخدمة في الاتحاد للإشارة إلى المقر.</w:t>
      </w:r>
    </w:p>
    <w:p w14:paraId="18C4760C" w14:textId="4AEBB905" w:rsidR="00EC792C" w:rsidRPr="007E6D53" w:rsidRDefault="00EC792C" w:rsidP="00993DEA">
      <w:pPr>
        <w:pStyle w:val="Heading1"/>
        <w:rPr>
          <w:rtl/>
          <w:lang w:val="en-GB" w:bidi="en-GB"/>
        </w:rPr>
      </w:pPr>
      <w:r w:rsidRPr="007E6D53">
        <w:rPr>
          <w:rtl/>
          <w:lang w:val="en-GB"/>
        </w:rPr>
        <w:t>7</w:t>
      </w:r>
      <w:r w:rsidRPr="007E6D53">
        <w:rPr>
          <w:rtl/>
          <w:lang w:val="en-GB"/>
        </w:rPr>
        <w:tab/>
        <w:t xml:space="preserve">استمرارية أعمال اجتماعات الاتحاد </w:t>
      </w:r>
      <w:r w:rsidR="00993DEA" w:rsidRPr="007E6D53">
        <w:rPr>
          <w:lang w:val="en-GB"/>
        </w:rPr>
        <w:t>(2029-2028)</w:t>
      </w:r>
      <w:r w:rsidRPr="007E6D53">
        <w:rPr>
          <w:rtl/>
          <w:lang w:val="en-GB"/>
        </w:rPr>
        <w:t xml:space="preserve"> (الوثائق </w:t>
      </w:r>
      <w:hyperlink r:id="rId66" w:history="1">
        <w:r w:rsidR="00993DEA" w:rsidRPr="007E6D53">
          <w:rPr>
            <w:rStyle w:val="Hyperlink"/>
          </w:rPr>
          <w:t>CWG-FHR-21/10</w:t>
        </w:r>
      </w:hyperlink>
      <w:r w:rsidRPr="007E6D53">
        <w:rPr>
          <w:rtl/>
          <w:lang w:val="en-GB"/>
        </w:rPr>
        <w:t xml:space="preserve"> و</w:t>
      </w:r>
      <w:hyperlink r:id="rId67" w:history="1">
        <w:r w:rsidR="00993DEA" w:rsidRPr="007E6D53">
          <w:rPr>
            <w:rStyle w:val="Hyperlink"/>
          </w:rPr>
          <w:t>CWG-FHR-22/13</w:t>
        </w:r>
      </w:hyperlink>
      <w:r w:rsidRPr="007E6D53">
        <w:rPr>
          <w:rtl/>
          <w:lang w:val="en-GB"/>
        </w:rPr>
        <w:t xml:space="preserve"> و</w:t>
      </w:r>
      <w:hyperlink r:id="rId68" w:history="1">
        <w:r w:rsidR="00993DEA" w:rsidRPr="007E6D53">
          <w:rPr>
            <w:rStyle w:val="Hyperlink"/>
          </w:rPr>
          <w:t>CWG-FHR-22/23</w:t>
        </w:r>
      </w:hyperlink>
      <w:r w:rsidRPr="007E6D53">
        <w:rPr>
          <w:rtl/>
          <w:lang w:val="en-GB"/>
        </w:rPr>
        <w:t xml:space="preserve"> و</w:t>
      </w:r>
      <w:hyperlink r:id="rId69" w:history="1">
        <w:r w:rsidR="00993DEA" w:rsidRPr="007E6D53">
          <w:rPr>
            <w:rStyle w:val="Hyperlink"/>
          </w:rPr>
          <w:t>CWG-FHR-22/28</w:t>
        </w:r>
      </w:hyperlink>
      <w:r w:rsidRPr="007E6D53">
        <w:rPr>
          <w:rtl/>
          <w:lang w:val="en-GB"/>
        </w:rPr>
        <w:t>)</w:t>
      </w:r>
      <w:hyperlink r:id="rId70" w:history="1"/>
      <w:hyperlink r:id="rId71" w:history="1"/>
      <w:hyperlink r:id="rId72" w:history="1"/>
      <w:hyperlink r:id="rId73" w:history="1"/>
    </w:p>
    <w:p w14:paraId="43F16ACC" w14:textId="20FEEE52" w:rsidR="00EC792C" w:rsidRPr="00EC792C" w:rsidRDefault="00EC792C" w:rsidP="00EC792C">
      <w:pPr>
        <w:rPr>
          <w:rtl/>
          <w:lang w:val="en-GB" w:bidi="en-GB"/>
        </w:rPr>
      </w:pPr>
      <w:r w:rsidRPr="00EC792C">
        <w:rPr>
          <w:rtl/>
          <w:lang w:val="en-GB"/>
        </w:rPr>
        <w:t>1.7</w:t>
      </w:r>
      <w:r w:rsidRPr="00EC792C">
        <w:rPr>
          <w:rtl/>
          <w:lang w:val="en-GB"/>
        </w:rPr>
        <w:tab/>
        <w:t>بناء على التقارير السابقة المقدمة إلى الفريق CWG-FHR، قدمت الأمانة معلومات محدثة عن خطة الاتحاد لاجتماعاته النظامية البالغ عددها نحو 60 اجتماعا</w:t>
      </w:r>
      <w:r w:rsidR="00EB6374" w:rsidRPr="007E6D53">
        <w:rPr>
          <w:rtl/>
          <w:lang w:val="en-GB"/>
        </w:rPr>
        <w:t>ً</w:t>
      </w:r>
      <w:r w:rsidRPr="00EC792C">
        <w:rPr>
          <w:rtl/>
          <w:lang w:val="en-GB"/>
        </w:rPr>
        <w:t xml:space="preserve"> التي تُعقد سنويا</w:t>
      </w:r>
      <w:r w:rsidR="00EB6374" w:rsidRPr="007E6D53">
        <w:rPr>
          <w:rtl/>
          <w:lang w:val="en-GB"/>
        </w:rPr>
        <w:t>ً</w:t>
      </w:r>
      <w:r w:rsidRPr="00EC792C">
        <w:rPr>
          <w:rtl/>
          <w:lang w:val="en-GB"/>
        </w:rPr>
        <w:t xml:space="preserve"> في المقر خلال فترة الإنشاء. ومع انطلاق عملية الإنشاء في عام 2028 حسبما هو مقرر ومع تنفيذ عملية تجديد مركز جنيف الدولي للمؤتمرات (CICG) في آن واحد تقريبا</w:t>
      </w:r>
      <w:r w:rsidR="00EB6374" w:rsidRPr="007E6D53">
        <w:rPr>
          <w:rtl/>
          <w:lang w:val="en-GB"/>
        </w:rPr>
        <w:t>ً</w:t>
      </w:r>
      <w:r w:rsidRPr="00EC792C">
        <w:rPr>
          <w:rtl/>
          <w:lang w:val="en-GB"/>
        </w:rPr>
        <w:t xml:space="preserve">، تحدثت الأمانة عن النظر في استئجار قاعات من مختلف كيانات الأمم المتحدة </w:t>
      </w:r>
      <w:r w:rsidR="0059485C">
        <w:rPr>
          <w:rFonts w:hint="cs"/>
          <w:rtl/>
          <w:lang w:val="en-GB"/>
        </w:rPr>
        <w:t xml:space="preserve">أو </w:t>
      </w:r>
      <w:r w:rsidRPr="00EC792C">
        <w:rPr>
          <w:rtl/>
          <w:lang w:val="en-GB"/>
        </w:rPr>
        <w:t>الكيانات الدولية داخل جنيف. وأبلغت الأمانة المندوبين أيضا</w:t>
      </w:r>
      <w:r w:rsidR="00EB6374" w:rsidRPr="007E6D53">
        <w:rPr>
          <w:rtl/>
          <w:lang w:val="en-GB"/>
        </w:rPr>
        <w:t>ً</w:t>
      </w:r>
      <w:r w:rsidRPr="00EC792C">
        <w:rPr>
          <w:rtl/>
          <w:lang w:val="en-GB"/>
        </w:rPr>
        <w:t xml:space="preserve"> أنه نظرا</w:t>
      </w:r>
      <w:r w:rsidR="00EB6374" w:rsidRPr="007E6D53">
        <w:rPr>
          <w:rtl/>
          <w:lang w:val="en-GB"/>
        </w:rPr>
        <w:t>ً</w:t>
      </w:r>
      <w:r w:rsidRPr="00EC792C">
        <w:rPr>
          <w:rtl/>
          <w:lang w:val="en-GB"/>
        </w:rPr>
        <w:t xml:space="preserve"> لتقديرات الميزانية الحالية، لن يكون عقد اجتماعات تقنية للفترة 2028-2029 في مركز باليكسبو ممكنا</w:t>
      </w:r>
      <w:r w:rsidR="00EB6374" w:rsidRPr="007E6D53">
        <w:rPr>
          <w:rtl/>
          <w:lang w:val="en-GB"/>
        </w:rPr>
        <w:t>ً</w:t>
      </w:r>
      <w:r w:rsidRPr="00EC792C">
        <w:rPr>
          <w:rtl/>
          <w:lang w:val="en-GB"/>
        </w:rPr>
        <w:t xml:space="preserve"> من الناحية المالية. وفي ختام تحديثها، عرضت الأمانة إمكانية عقد اجتماعات افتراضية مع التأكيد أيضا</w:t>
      </w:r>
      <w:r w:rsidR="00EB6374" w:rsidRPr="007E6D53">
        <w:rPr>
          <w:rtl/>
          <w:lang w:val="en-GB"/>
        </w:rPr>
        <w:t>ً</w:t>
      </w:r>
      <w:r w:rsidRPr="00EC792C">
        <w:rPr>
          <w:rtl/>
          <w:lang w:val="en-GB"/>
        </w:rPr>
        <w:t xml:space="preserve"> على جهودها الرامية إلى الاستفادة من مراكز اجتماعات الاتحاد.</w:t>
      </w:r>
    </w:p>
    <w:p w14:paraId="1F9AF60B" w14:textId="3F6BA1FA" w:rsidR="00EC792C" w:rsidRPr="00EC792C" w:rsidRDefault="00EC792C" w:rsidP="00EC792C">
      <w:pPr>
        <w:rPr>
          <w:rtl/>
          <w:lang w:val="en-GB" w:bidi="en-GB"/>
        </w:rPr>
      </w:pPr>
      <w:r w:rsidRPr="00EC792C">
        <w:rPr>
          <w:rtl/>
          <w:lang w:val="en-GB"/>
        </w:rPr>
        <w:t>2.7</w:t>
      </w:r>
      <w:r w:rsidRPr="00EC792C">
        <w:rPr>
          <w:rtl/>
          <w:lang w:val="en-GB"/>
        </w:rPr>
        <w:tab/>
        <w:t>وأخذ العديد من المندوبين الكلمة في الاجتماع الحادي والعشرين للفريق لطرح أسئلة عن الاستراتيجية المالية والجدوى والتخطيط طويل الأجل. وتساءل المندوبون عن السبب في أن مركز باليكسبو، الذي قدم سابقا</w:t>
      </w:r>
      <w:r w:rsidR="00BF023E" w:rsidRPr="007E6D53">
        <w:rPr>
          <w:rtl/>
          <w:lang w:val="en-GB"/>
        </w:rPr>
        <w:t>ً</w:t>
      </w:r>
      <w:r w:rsidRPr="00EC792C">
        <w:rPr>
          <w:rtl/>
          <w:lang w:val="en-GB"/>
        </w:rPr>
        <w:t xml:space="preserve"> على أنه أكثر خيار عملي، لم يعد خيارا</w:t>
      </w:r>
      <w:r w:rsidR="00BF023E" w:rsidRPr="007E6D53">
        <w:rPr>
          <w:rtl/>
          <w:lang w:val="en-GB"/>
        </w:rPr>
        <w:t>ً</w:t>
      </w:r>
      <w:r w:rsidRPr="00EC792C">
        <w:rPr>
          <w:rtl/>
          <w:lang w:val="en-GB"/>
        </w:rPr>
        <w:t xml:space="preserve"> ممكنا</w:t>
      </w:r>
      <w:r w:rsidR="00BF023E" w:rsidRPr="007E6D53">
        <w:rPr>
          <w:rtl/>
          <w:lang w:val="en-GB"/>
        </w:rPr>
        <w:t>ً</w:t>
      </w:r>
      <w:r w:rsidRPr="00EC792C">
        <w:rPr>
          <w:rtl/>
          <w:lang w:val="en-GB"/>
        </w:rPr>
        <w:t>. وكان هناك أيضا</w:t>
      </w:r>
      <w:r w:rsidR="00BF023E" w:rsidRPr="007E6D53">
        <w:rPr>
          <w:rtl/>
          <w:lang w:val="en-GB"/>
        </w:rPr>
        <w:t>ً</w:t>
      </w:r>
      <w:r w:rsidRPr="00EC792C">
        <w:rPr>
          <w:rtl/>
          <w:lang w:val="en-GB"/>
        </w:rPr>
        <w:t xml:space="preserve"> قدر كبير من الشكوك بشأن الاعتماد على منشآت الأمم المتحدة أو</w:t>
      </w:r>
      <w:r w:rsidR="00BF023E" w:rsidRPr="007E6D53">
        <w:rPr>
          <w:rtl/>
          <w:lang w:val="en-GB"/>
        </w:rPr>
        <w:t> </w:t>
      </w:r>
      <w:r w:rsidRPr="00EC792C">
        <w:rPr>
          <w:rtl/>
          <w:lang w:val="en-GB"/>
        </w:rPr>
        <w:t>المنشآت الدولية الأخرى لاستضافة الاجتماعات بسبب القيود المختلفة المتعلقة بتوافرها وبلوائح الاتحاد الحالية. وأعرب بعض المندوبين عن رغبتهم في وجود "مراكز اجتماعات" وطلبوا توضيحات إضافية بشأن كيفية سير هذه العملية. وطلب المندوبون قائمة شاملة بجميع الاجتماعات المتأثرة، علاوة</w:t>
      </w:r>
      <w:r w:rsidR="00BF023E" w:rsidRPr="007E6D53">
        <w:rPr>
          <w:rtl/>
          <w:lang w:val="en-GB"/>
        </w:rPr>
        <w:t>ً</w:t>
      </w:r>
      <w:r w:rsidRPr="00EC792C">
        <w:rPr>
          <w:rtl/>
          <w:lang w:val="en-GB"/>
        </w:rPr>
        <w:t xml:space="preserve"> على تحديد أولويات الاجتماعات الرئيسية، لتحسين اختيار الاجتماعات التي يمكن عقدها في نسق افتراضي أو مختلط.</w:t>
      </w:r>
    </w:p>
    <w:p w14:paraId="16DDC6FC" w14:textId="280E1E9C" w:rsidR="00EC792C" w:rsidRPr="00EC792C" w:rsidRDefault="00EC792C" w:rsidP="00EC792C">
      <w:pPr>
        <w:rPr>
          <w:rtl/>
          <w:lang w:val="en-GB" w:bidi="en-GB"/>
        </w:rPr>
      </w:pPr>
      <w:r w:rsidRPr="00EC792C">
        <w:rPr>
          <w:rtl/>
          <w:lang w:val="en-GB"/>
        </w:rPr>
        <w:t>3.7</w:t>
      </w:r>
      <w:r w:rsidRPr="00EC792C">
        <w:rPr>
          <w:rtl/>
          <w:lang w:val="en-GB"/>
        </w:rPr>
        <w:tab/>
        <w:t>وكرر مندوب سويسرا تأييد سويسرا للحفاظ على استمرارية أعمال الاتحاد خلال هذه الفترة الانتقالية. وذكر المندوب السويسري أن الأحكام ذات الصلة من القرار 5 (كيوتو، 1994) لمؤتمر المندوبين المفوضين لا تزال سارية وتساءل عما إذا كانت الفقرة 51 من الاتفاقية -</w:t>
      </w:r>
      <w:r w:rsidR="00BE1C60" w:rsidRPr="007E6D53">
        <w:rPr>
          <w:rtl/>
          <w:lang w:val="en-GB"/>
        </w:rPr>
        <w:t xml:space="preserve"> </w:t>
      </w:r>
      <w:r w:rsidRPr="00EC792C">
        <w:rPr>
          <w:rtl/>
          <w:lang w:val="en-GB"/>
        </w:rPr>
        <w:t>يجتمع المجلس مرة واحدة كل سنة في دورة عادية في مقر الاتحاد</w:t>
      </w:r>
      <w:r w:rsidR="00BE1C60" w:rsidRPr="007E6D53">
        <w:rPr>
          <w:rtl/>
          <w:lang w:val="en-GB"/>
        </w:rPr>
        <w:t xml:space="preserve"> </w:t>
      </w:r>
      <w:r w:rsidRPr="00EC792C">
        <w:rPr>
          <w:rtl/>
          <w:lang w:val="en-GB"/>
        </w:rPr>
        <w:t>- ستطبق خلال فترة الإنشاء.</w:t>
      </w:r>
    </w:p>
    <w:p w14:paraId="552773DC" w14:textId="1BA890A0" w:rsidR="00EC792C" w:rsidRPr="00EC792C" w:rsidRDefault="00EC792C" w:rsidP="00EC792C">
      <w:pPr>
        <w:rPr>
          <w:rtl/>
          <w:lang w:val="en-GB" w:bidi="en-GB"/>
        </w:rPr>
      </w:pPr>
      <w:r w:rsidRPr="00EC792C">
        <w:rPr>
          <w:rtl/>
          <w:lang w:val="en-GB"/>
        </w:rPr>
        <w:t>4.7</w:t>
      </w:r>
      <w:r w:rsidRPr="00EC792C">
        <w:rPr>
          <w:rtl/>
          <w:lang w:val="en-GB"/>
        </w:rPr>
        <w:tab/>
        <w:t>وخلال الاجتماع الثاني والعشرين لفريق العمل التابع للمجلس والمعني بالموارد المالية والبشرية، قدمت الأمانة تحديثا</w:t>
      </w:r>
      <w:r w:rsidR="00BE1C60" w:rsidRPr="007E6D53">
        <w:rPr>
          <w:rtl/>
          <w:lang w:val="en-GB"/>
        </w:rPr>
        <w:t>ً</w:t>
      </w:r>
      <w:r w:rsidRPr="00EC792C">
        <w:rPr>
          <w:rtl/>
          <w:lang w:val="en-GB"/>
        </w:rPr>
        <w:t xml:space="preserve"> ثانيا</w:t>
      </w:r>
      <w:r w:rsidR="00BE1C60" w:rsidRPr="007E6D53">
        <w:rPr>
          <w:rtl/>
          <w:lang w:val="en-GB"/>
        </w:rPr>
        <w:t>ً</w:t>
      </w:r>
      <w:r w:rsidRPr="00EC792C">
        <w:rPr>
          <w:rtl/>
          <w:lang w:val="en-GB"/>
        </w:rPr>
        <w:t xml:space="preserve"> بشأن طرائق استمرارية تصريف الأعمال للفترة 2028-2029. وأكدت الأمانة مجددا</w:t>
      </w:r>
      <w:r w:rsidR="00BE1C60" w:rsidRPr="007E6D53">
        <w:rPr>
          <w:rtl/>
          <w:lang w:val="en-GB"/>
        </w:rPr>
        <w:t>ً</w:t>
      </w:r>
      <w:r w:rsidRPr="00EC792C">
        <w:rPr>
          <w:rtl/>
          <w:lang w:val="en-GB"/>
        </w:rPr>
        <w:t xml:space="preserve"> أنه ينبغي عقد المجلس لعامي 2028 و2029 في جنيف في قاعة بوبوف، ولكن في حالة عدم توافر مبنى البرج، فقد حجز الاتحاد قاعات في مركز جنيف الدولي للمؤتمرات. وبالإضافة إلى ذلك، أشارت الأمانة إلى أن الإمارات العربية المتحدة وكينيا أعربتا عن رغبتهما في استضافة اجتماعات الاتحاد خلال فترة الانقطاع، وشجعت هذين العضوين على تقديم مقترحات رسمية إلى المجلس في دورته لعام 2026.</w:t>
      </w:r>
    </w:p>
    <w:p w14:paraId="65948F3E" w14:textId="35B40A8F" w:rsidR="00EC792C" w:rsidRPr="00EC792C" w:rsidRDefault="00EC792C" w:rsidP="00D34D69">
      <w:pPr>
        <w:rPr>
          <w:rtl/>
          <w:lang w:val="en-GB" w:bidi="en-GB"/>
        </w:rPr>
      </w:pPr>
      <w:r w:rsidRPr="00EC792C">
        <w:rPr>
          <w:rtl/>
          <w:lang w:val="en-GB"/>
        </w:rPr>
        <w:t>5.7</w:t>
      </w:r>
      <w:r w:rsidRPr="00EC792C">
        <w:rPr>
          <w:rtl/>
          <w:lang w:val="en-GB"/>
        </w:rPr>
        <w:tab/>
        <w:t xml:space="preserve">وقدمت سويسرا مساهمة، هي الوثيقة </w:t>
      </w:r>
      <w:hyperlink r:id="rId74" w:history="1">
        <w:r w:rsidR="00BE1C60" w:rsidRPr="007E6D53">
          <w:rPr>
            <w:rStyle w:val="Hyperlink"/>
          </w:rPr>
          <w:t>CWG-FHR-22/23</w:t>
        </w:r>
      </w:hyperlink>
      <w:r w:rsidRPr="00EC792C">
        <w:rPr>
          <w:rtl/>
          <w:lang w:val="en-GB"/>
        </w:rPr>
        <w:t xml:space="preserve">، تفيد بأن الاتحاد سيستفيد من إعفاء من تسديد القروض العقارية المستحقة المستوفية للشروط التي سبق أن منحها الاتحاد السويسري لمدة سنتين (بمبلغ إجمالي قدره </w:t>
      </w:r>
      <w:r w:rsidR="00D34D69" w:rsidRPr="007E6D53">
        <w:rPr>
          <w:lang w:val="en-GB"/>
        </w:rPr>
        <w:t>2 782 600</w:t>
      </w:r>
      <w:r w:rsidRPr="00EC792C">
        <w:rPr>
          <w:rtl/>
          <w:lang w:val="en-GB"/>
        </w:rPr>
        <w:t xml:space="preserve"> فرنك سويسري). وجرى التأكيد على أن الهدف من هذه المساهمة هو تخصيص الوفورات البالغة </w:t>
      </w:r>
      <w:r w:rsidR="00D34D69" w:rsidRPr="007E6D53">
        <w:rPr>
          <w:lang w:val="en-GB"/>
        </w:rPr>
        <w:t>2 782 600</w:t>
      </w:r>
      <w:r w:rsidRPr="00EC792C">
        <w:rPr>
          <w:rtl/>
          <w:lang w:val="en-GB"/>
        </w:rPr>
        <w:t xml:space="preserve"> فرنك سويسري لتغطية التكاليف الناشئة عن عقد اجتماعات في سويسرا في الوقت الذي لا تتوافر فيه مباني مقر الاتحاد ومركز جنيف الدولي للمؤتمرات جزئيا</w:t>
      </w:r>
      <w:r w:rsidR="00D34D69" w:rsidRPr="007E6D53">
        <w:rPr>
          <w:rtl/>
          <w:lang w:val="en-GB"/>
        </w:rPr>
        <w:t>ً</w:t>
      </w:r>
      <w:r w:rsidRPr="00EC792C">
        <w:rPr>
          <w:rtl/>
          <w:lang w:val="en-GB"/>
        </w:rPr>
        <w:t xml:space="preserve"> أو كليا</w:t>
      </w:r>
      <w:r w:rsidR="00D34D69" w:rsidRPr="007E6D53">
        <w:rPr>
          <w:rtl/>
          <w:lang w:val="en-GB"/>
        </w:rPr>
        <w:t>ً</w:t>
      </w:r>
      <w:r w:rsidRPr="00EC792C">
        <w:rPr>
          <w:rtl/>
          <w:lang w:val="en-GB"/>
        </w:rPr>
        <w:t>.</w:t>
      </w:r>
      <w:hyperlink r:id="rId75" w:history="1"/>
    </w:p>
    <w:p w14:paraId="0F4832F0" w14:textId="20EC92BE" w:rsidR="00EC792C" w:rsidRPr="00EC792C" w:rsidRDefault="00EC792C" w:rsidP="00EC792C">
      <w:pPr>
        <w:rPr>
          <w:rtl/>
          <w:lang w:val="en-GB" w:bidi="en-GB"/>
        </w:rPr>
      </w:pPr>
      <w:r w:rsidRPr="00EC792C">
        <w:rPr>
          <w:rtl/>
          <w:lang w:val="en-GB"/>
        </w:rPr>
        <w:t>6.7</w:t>
      </w:r>
      <w:r w:rsidRPr="00EC792C">
        <w:rPr>
          <w:rtl/>
          <w:lang w:val="en-GB"/>
        </w:rPr>
        <w:tab/>
        <w:t xml:space="preserve">وقدم الاتحاد الروسي تعليقات على التحديث المتعلقة باستمرارية الأعمال (الوثيقة </w:t>
      </w:r>
      <w:hyperlink r:id="rId76" w:history="1">
        <w:r w:rsidR="00D34D69" w:rsidRPr="007E6D53">
          <w:rPr>
            <w:rStyle w:val="Hyperlink"/>
          </w:rPr>
          <w:t>CWG-FHR-22/28</w:t>
        </w:r>
      </w:hyperlink>
      <w:r w:rsidRPr="00EC792C">
        <w:rPr>
          <w:rtl/>
          <w:lang w:val="en-GB"/>
        </w:rPr>
        <w:t>). وتقر هذه التعليقات بالدرجة العالية من عدم اليقين إزاء عام 2028 وتوصي بمواصلة تقييم الخيارات المختلفة لتجنب نشوء وضع يتخذ فيه قرار قُبَيل فترة عدم توافر مباني الاتحاد مباشرةً.</w:t>
      </w:r>
      <w:hyperlink r:id="rId77" w:history="1"/>
    </w:p>
    <w:p w14:paraId="5FD6ECDD" w14:textId="52BBCA1A" w:rsidR="00EC792C" w:rsidRPr="00EC792C" w:rsidRDefault="00EC792C" w:rsidP="00EC792C">
      <w:pPr>
        <w:rPr>
          <w:rtl/>
          <w:lang w:val="en-GB" w:bidi="en-GB"/>
        </w:rPr>
      </w:pPr>
      <w:r w:rsidRPr="00EC792C">
        <w:rPr>
          <w:rtl/>
          <w:lang w:val="en-GB"/>
        </w:rPr>
        <w:lastRenderedPageBreak/>
        <w:t>7.7</w:t>
      </w:r>
      <w:r w:rsidRPr="00EC792C">
        <w:rPr>
          <w:rtl/>
          <w:lang w:val="en-GB"/>
        </w:rPr>
        <w:tab/>
        <w:t>ولا يزال لدى المندوبين أسئلة عن المسائل الإجرائية والتخطيط طويل الأجل، غير أنهم عبروا مرار</w:t>
      </w:r>
      <w:r w:rsidR="00C77376" w:rsidRPr="007E6D53">
        <w:rPr>
          <w:rtl/>
          <w:lang w:val="en-GB"/>
        </w:rPr>
        <w:t xml:space="preserve">اً </w:t>
      </w:r>
      <w:r w:rsidRPr="00EC792C">
        <w:rPr>
          <w:rtl/>
          <w:lang w:val="en-GB"/>
        </w:rPr>
        <w:t>عن امتنانهم للحكومة السويسرية على مساهمتها السخية.</w:t>
      </w:r>
    </w:p>
    <w:p w14:paraId="5349C5A8" w14:textId="45D0F7E8" w:rsidR="00EC792C" w:rsidRPr="00EC792C" w:rsidRDefault="00EC792C" w:rsidP="00AD4D0E">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8.7</w:t>
      </w:r>
      <w:r w:rsidRPr="00EC792C">
        <w:rPr>
          <w:rtl/>
          <w:lang w:val="en-GB"/>
        </w:rPr>
        <w:tab/>
      </w:r>
      <w:r w:rsidRPr="00EC792C">
        <w:rPr>
          <w:b/>
          <w:bCs/>
          <w:rtl/>
          <w:lang w:val="en-GB"/>
        </w:rPr>
        <w:t xml:space="preserve">يوصي </w:t>
      </w:r>
      <w:r w:rsidRPr="00EC792C">
        <w:rPr>
          <w:rtl/>
          <w:lang w:val="en-GB"/>
        </w:rPr>
        <w:t xml:space="preserve">الفريق CWG-FHR المجلس في دورته لعام 2026 بأن يخصص مبلغ </w:t>
      </w:r>
      <w:r w:rsidR="00AD4D0E" w:rsidRPr="007E6D53">
        <w:rPr>
          <w:lang w:val="en-GB"/>
        </w:rPr>
        <w:t>2 782 600</w:t>
      </w:r>
      <w:r w:rsidRPr="00EC792C">
        <w:rPr>
          <w:rtl/>
          <w:lang w:val="en-GB"/>
        </w:rPr>
        <w:t xml:space="preserve"> فرنك سويسري لصندوق استمرارية الأعمال وألا يستخدم إلا للتعويض عن عقد الاجتماعات في جنيف.</w:t>
      </w:r>
    </w:p>
    <w:p w14:paraId="5030A309" w14:textId="280C056F" w:rsidR="00EC792C" w:rsidRPr="00EC792C" w:rsidRDefault="00EC792C" w:rsidP="00D34B57">
      <w:pPr>
        <w:pBdr>
          <w:top w:val="single" w:sz="4" w:space="1" w:color="auto"/>
          <w:left w:val="single" w:sz="4" w:space="4" w:color="auto"/>
          <w:bottom w:val="single" w:sz="4" w:space="1" w:color="auto"/>
          <w:right w:val="single" w:sz="4" w:space="4" w:color="auto"/>
        </w:pBdr>
        <w:rPr>
          <w:spacing w:val="-2"/>
          <w:rtl/>
          <w:lang w:val="en-GB" w:bidi="en-GB"/>
        </w:rPr>
      </w:pPr>
      <w:r w:rsidRPr="00EC792C">
        <w:rPr>
          <w:spacing w:val="-2"/>
          <w:rtl/>
          <w:lang w:val="en-GB"/>
        </w:rPr>
        <w:t>9.7</w:t>
      </w:r>
      <w:r w:rsidRPr="00EC792C">
        <w:rPr>
          <w:spacing w:val="-2"/>
          <w:rtl/>
          <w:lang w:val="en-GB"/>
        </w:rPr>
        <w:tab/>
      </w:r>
      <w:r w:rsidRPr="0059485C">
        <w:rPr>
          <w:spacing w:val="-2"/>
          <w:rtl/>
          <w:lang w:val="en-GB"/>
        </w:rPr>
        <w:t>و</w:t>
      </w:r>
      <w:r w:rsidRPr="00EC792C">
        <w:rPr>
          <w:b/>
          <w:bCs/>
          <w:spacing w:val="-2"/>
          <w:rtl/>
          <w:lang w:val="en-GB"/>
        </w:rPr>
        <w:t xml:space="preserve">أوصى </w:t>
      </w:r>
      <w:r w:rsidRPr="00EC792C">
        <w:rPr>
          <w:spacing w:val="-2"/>
          <w:rtl/>
          <w:lang w:val="en-GB"/>
        </w:rPr>
        <w:t>الفريق أيض</w:t>
      </w:r>
      <w:r w:rsidR="001D6600" w:rsidRPr="007E6D53">
        <w:rPr>
          <w:spacing w:val="-2"/>
          <w:rtl/>
          <w:lang w:val="en-GB"/>
        </w:rPr>
        <w:t>اً</w:t>
      </w:r>
      <w:r w:rsidRPr="00EC792C">
        <w:rPr>
          <w:spacing w:val="-2"/>
          <w:rtl/>
          <w:lang w:val="en-GB"/>
        </w:rPr>
        <w:t xml:space="preserve"> الأمانة بتحديث تقرير استمرارية الأعمال قبل دورة المجلس لعام 2026 بناء على تعليقات المندوبين وأسئلتهم.</w:t>
      </w:r>
    </w:p>
    <w:p w14:paraId="74EB6469" w14:textId="7B1B781C" w:rsidR="00EC792C" w:rsidRPr="007E6D53" w:rsidRDefault="00EC792C" w:rsidP="00AD4D0E">
      <w:pPr>
        <w:pStyle w:val="Heading1"/>
        <w:rPr>
          <w:spacing w:val="-2"/>
          <w:rtl/>
          <w:lang w:val="en-GB" w:bidi="en-GB"/>
        </w:rPr>
      </w:pPr>
      <w:r w:rsidRPr="007E6D53">
        <w:rPr>
          <w:spacing w:val="-2"/>
          <w:rtl/>
          <w:lang w:val="en-GB"/>
        </w:rPr>
        <w:t>8</w:t>
      </w:r>
      <w:r w:rsidRPr="007E6D53">
        <w:rPr>
          <w:spacing w:val="-2"/>
          <w:rtl/>
          <w:lang w:val="en-GB"/>
        </w:rPr>
        <w:tab/>
        <w:t xml:space="preserve">عملية تقديم العروض والاختيار لاستضافة مؤتمرات الاتحاد (الوثيقتان </w:t>
      </w:r>
      <w:hyperlink r:id="rId78" w:history="1">
        <w:r w:rsidR="00AD4D0E" w:rsidRPr="007E6D53">
          <w:rPr>
            <w:rStyle w:val="Hyperlink"/>
            <w:spacing w:val="-2"/>
          </w:rPr>
          <w:t>CWG-FHR-21/7</w:t>
        </w:r>
      </w:hyperlink>
      <w:r w:rsidRPr="007E6D53">
        <w:rPr>
          <w:spacing w:val="-2"/>
          <w:rtl/>
          <w:lang w:val="en-GB"/>
        </w:rPr>
        <w:t xml:space="preserve"> و</w:t>
      </w:r>
      <w:hyperlink r:id="rId79" w:history="1">
        <w:r w:rsidR="00AD4D0E" w:rsidRPr="007E6D53">
          <w:rPr>
            <w:rStyle w:val="Hyperlink"/>
            <w:spacing w:val="-2"/>
          </w:rPr>
          <w:t>CWG-FHR-22/9</w:t>
        </w:r>
      </w:hyperlink>
      <w:r w:rsidRPr="007E6D53">
        <w:rPr>
          <w:spacing w:val="-2"/>
          <w:rtl/>
          <w:lang w:val="en-GB"/>
        </w:rPr>
        <w:t>)</w:t>
      </w:r>
      <w:hyperlink r:id="rId80" w:history="1"/>
      <w:hyperlink r:id="rId81" w:history="1"/>
    </w:p>
    <w:p w14:paraId="05780FAD" w14:textId="44138B2E" w:rsidR="00EC792C" w:rsidRPr="00EC792C" w:rsidRDefault="00EC792C" w:rsidP="00EC792C">
      <w:pPr>
        <w:rPr>
          <w:rtl/>
          <w:lang w:val="en-GB" w:bidi="en-GB"/>
        </w:rPr>
      </w:pPr>
      <w:r w:rsidRPr="00EC792C">
        <w:rPr>
          <w:rtl/>
          <w:lang w:val="en-GB"/>
        </w:rPr>
        <w:t>1.8</w:t>
      </w:r>
      <w:r w:rsidRPr="00EC792C">
        <w:rPr>
          <w:rtl/>
          <w:lang w:val="en-GB"/>
        </w:rPr>
        <w:tab/>
        <w:t>طلب المجلس في دورته لعام 2025 من الأمانة وضع عملية رسمية وشفافة وتعاونية لتقديم عروض استضافة مؤتمرات الاتحاد المقبلة. وردا</w:t>
      </w:r>
      <w:r w:rsidR="003D1901" w:rsidRPr="007E6D53">
        <w:rPr>
          <w:rtl/>
          <w:lang w:val="en-GB"/>
        </w:rPr>
        <w:t>ً</w:t>
      </w:r>
      <w:r w:rsidRPr="00EC792C">
        <w:rPr>
          <w:rtl/>
          <w:lang w:val="en-GB"/>
        </w:rPr>
        <w:t xml:space="preserve"> على ذلك، قدمت الأمانة وثيقة توجز الممارسة الحالية لاختيار مواعيد المؤتمرات والجمعيات النظامية التي تعقد خارج مقر الاتحاد في جنيف والبلدان المضيفة، مشيرة إلى أنه لا توجد حاليا</w:t>
      </w:r>
      <w:r w:rsidR="001D6600" w:rsidRPr="007E6D53">
        <w:rPr>
          <w:rtl/>
          <w:lang w:val="en-GB"/>
        </w:rPr>
        <w:t>ً</w:t>
      </w:r>
      <w:r w:rsidRPr="00EC792C">
        <w:rPr>
          <w:rtl/>
          <w:lang w:val="en-GB"/>
        </w:rPr>
        <w:t xml:space="preserve"> عملية رسمية مقننة لاختيار جهة مضيفة من بين جهات مرشحة متعددة. وقدم التقرير </w:t>
      </w:r>
      <w:r w:rsidR="000337F6" w:rsidRPr="007E6D53">
        <w:rPr>
          <w:rtl/>
          <w:lang w:val="en-GB"/>
        </w:rPr>
        <w:t xml:space="preserve">أيضاً </w:t>
      </w:r>
      <w:r w:rsidRPr="00EC792C">
        <w:rPr>
          <w:rtl/>
          <w:lang w:val="en-GB"/>
        </w:rPr>
        <w:t>نتائج عملية قياس مرجعي أولية تهدف إلى فهم الممارسات المتبعة في اختيار الدول الأعضاء المضيفة للمؤتمرات في إطار منظومة الأمم المتحدة الأوسع نطاقا</w:t>
      </w:r>
      <w:r w:rsidR="003D1901" w:rsidRPr="007E6D53">
        <w:rPr>
          <w:rtl/>
          <w:lang w:val="en-GB"/>
        </w:rPr>
        <w:t>ً</w:t>
      </w:r>
      <w:r w:rsidRPr="00EC792C">
        <w:rPr>
          <w:rtl/>
          <w:lang w:val="en-GB"/>
        </w:rPr>
        <w:t>.</w:t>
      </w:r>
    </w:p>
    <w:p w14:paraId="69FE1951" w14:textId="10F8FDF6" w:rsidR="00EC792C" w:rsidRPr="007E6D53" w:rsidRDefault="00EC792C" w:rsidP="00F01F23">
      <w:pPr>
        <w:pStyle w:val="Headingb"/>
        <w:rPr>
          <w:rtl/>
          <w:lang w:val="en-GB" w:bidi="en-GB"/>
        </w:rPr>
      </w:pPr>
      <w:r w:rsidRPr="007E6D53">
        <w:rPr>
          <w:rtl/>
          <w:lang w:val="en-GB"/>
        </w:rPr>
        <w:t xml:space="preserve">مساهمة من الهند - عملية تقديم عروض استضافة مؤتمرات الاتحاد (الوثيقة </w:t>
      </w:r>
      <w:hyperlink r:id="rId82" w:history="1">
        <w:r w:rsidR="00F01F23" w:rsidRPr="007E6D53">
          <w:rPr>
            <w:rStyle w:val="Hyperlink"/>
          </w:rPr>
          <w:t>CWG-FHR-21/15</w:t>
        </w:r>
      </w:hyperlink>
      <w:r w:rsidRPr="007E6D53">
        <w:rPr>
          <w:rtl/>
          <w:lang w:val="en-GB"/>
        </w:rPr>
        <w:t>)</w:t>
      </w:r>
      <w:hyperlink r:id="rId83" w:history="1"/>
    </w:p>
    <w:p w14:paraId="541E1E7A" w14:textId="3B5FE799" w:rsidR="00EC792C" w:rsidRPr="00EC792C" w:rsidRDefault="00EC792C" w:rsidP="00EC792C">
      <w:pPr>
        <w:rPr>
          <w:spacing w:val="-2"/>
          <w:rtl/>
          <w:lang w:val="en-GB" w:bidi="en-GB"/>
        </w:rPr>
      </w:pPr>
      <w:r w:rsidRPr="00EC792C">
        <w:rPr>
          <w:spacing w:val="-2"/>
          <w:rtl/>
          <w:lang w:val="en-GB"/>
        </w:rPr>
        <w:t>2.8</w:t>
      </w:r>
      <w:r w:rsidRPr="00EC792C">
        <w:rPr>
          <w:spacing w:val="-2"/>
          <w:rtl/>
          <w:lang w:val="en-GB"/>
        </w:rPr>
        <w:tab/>
        <w:t xml:space="preserve">اقترحت مساهمة مقدمة من الهند العديد من معايير القياس المرجعي للترشيح بما في ذلك توافر المكان والبنية التحتية والإقامة والتوصيلية/الإنترنت والاستعدادات المتصلة بتكنولوجيا المعلومات والاتصالات (ICT). وشدد مقترحها </w:t>
      </w:r>
      <w:r w:rsidR="00FA249C" w:rsidRPr="007E6D53">
        <w:rPr>
          <w:spacing w:val="-2"/>
          <w:rtl/>
          <w:lang w:val="en-GB"/>
        </w:rPr>
        <w:t>أيض</w:t>
      </w:r>
      <w:r w:rsidR="00DD53B3" w:rsidRPr="007E6D53">
        <w:rPr>
          <w:spacing w:val="-2"/>
          <w:rtl/>
          <w:lang w:val="en-GB"/>
        </w:rPr>
        <w:t>اً</w:t>
      </w:r>
      <w:r w:rsidR="00FA249C" w:rsidRPr="007E6D53">
        <w:rPr>
          <w:spacing w:val="-2"/>
          <w:rtl/>
          <w:lang w:val="en-GB"/>
        </w:rPr>
        <w:t xml:space="preserve"> </w:t>
      </w:r>
      <w:r w:rsidRPr="00EC792C">
        <w:rPr>
          <w:spacing w:val="-2"/>
          <w:rtl/>
          <w:lang w:val="en-GB"/>
        </w:rPr>
        <w:t>على أنه في حال تلقي المجلس عدة عروض مستوفية للشروط، فيجوز تطبيق مبدأ الأولوية بالأسبقية مع استيفاء الشروط، وأنه وفق</w:t>
      </w:r>
      <w:r w:rsidR="00C77376" w:rsidRPr="007E6D53">
        <w:rPr>
          <w:spacing w:val="-2"/>
          <w:rtl/>
          <w:lang w:val="en-GB"/>
        </w:rPr>
        <w:t xml:space="preserve">اً </w:t>
      </w:r>
      <w:r w:rsidRPr="00EC792C">
        <w:rPr>
          <w:spacing w:val="-2"/>
          <w:rtl/>
          <w:lang w:val="en-GB"/>
        </w:rPr>
        <w:t>للمادة 1 من الاتفاقية، يُحدَّد موعد المؤتمر ومكان انعقاده قبل خمس سنوات على الأقل من انعقاده.</w:t>
      </w:r>
    </w:p>
    <w:p w14:paraId="2284174C" w14:textId="469D539D" w:rsidR="00EC792C" w:rsidRPr="007E6D53" w:rsidRDefault="00EC792C" w:rsidP="00843EF3">
      <w:pPr>
        <w:pStyle w:val="Headingb"/>
        <w:ind w:left="-1" w:firstLine="1"/>
        <w:rPr>
          <w:rtl/>
          <w:lang w:val="en-GB" w:bidi="en-GB"/>
        </w:rPr>
      </w:pPr>
      <w:r w:rsidRPr="007E6D53">
        <w:rPr>
          <w:rtl/>
          <w:lang w:val="en-GB"/>
        </w:rPr>
        <w:t xml:space="preserve">مساهمة من جمهورية الصين الشعبية - توصيات بشأن تحسين عروض استضافة مؤتمرات الاتحاد وجمعياته المقبلة (الوثيقة </w:t>
      </w:r>
      <w:hyperlink r:id="rId84" w:history="1">
        <w:r w:rsidR="00075DA2" w:rsidRPr="007E6D53">
          <w:rPr>
            <w:rStyle w:val="Hyperlink"/>
          </w:rPr>
          <w:t>CWG-FHR-21/17</w:t>
        </w:r>
      </w:hyperlink>
      <w:r w:rsidRPr="007E6D53">
        <w:rPr>
          <w:rtl/>
          <w:lang w:val="en-GB"/>
        </w:rPr>
        <w:t>)</w:t>
      </w:r>
      <w:hyperlink r:id="rId85" w:history="1"/>
    </w:p>
    <w:p w14:paraId="407E8471" w14:textId="7D3C73E3" w:rsidR="00EC792C" w:rsidRPr="00EC792C" w:rsidRDefault="00EC792C" w:rsidP="00EC792C">
      <w:pPr>
        <w:rPr>
          <w:rtl/>
          <w:lang w:val="en-GB" w:bidi="en-GB"/>
        </w:rPr>
      </w:pPr>
      <w:r w:rsidRPr="00EC792C">
        <w:rPr>
          <w:rtl/>
          <w:lang w:val="en-GB"/>
        </w:rPr>
        <w:t>3.8</w:t>
      </w:r>
      <w:r w:rsidRPr="00EC792C">
        <w:rPr>
          <w:rtl/>
          <w:lang w:val="en-GB"/>
        </w:rPr>
        <w:tab/>
        <w:t xml:space="preserve">اقترحت مساهمة مقدمة من جمهورية الصين الشعبية ستة مجالات لتحسين أساليب العمل الحالية للاتحاد لاختيار بلد مضيف، هي: </w:t>
      </w:r>
      <w:r w:rsidR="00843EF3" w:rsidRPr="007E6D53">
        <w:rPr>
          <w:lang w:val="en-GB"/>
        </w:rPr>
        <w:t>(1</w:t>
      </w:r>
      <w:r w:rsidRPr="00EC792C">
        <w:rPr>
          <w:rtl/>
          <w:lang w:val="en-GB"/>
        </w:rPr>
        <w:t xml:space="preserve"> تحسين التقييس والشفافية، </w:t>
      </w:r>
      <w:r w:rsidR="00843EF3" w:rsidRPr="007E6D53">
        <w:rPr>
          <w:lang w:val="en-GB"/>
        </w:rPr>
        <w:t>(2</w:t>
      </w:r>
      <w:r w:rsidRPr="00EC792C">
        <w:rPr>
          <w:rtl/>
          <w:lang w:val="en-GB"/>
        </w:rPr>
        <w:t xml:space="preserve"> تحديد آجال نهائية لتقديم الدعوات، </w:t>
      </w:r>
      <w:r w:rsidR="00843EF3" w:rsidRPr="007E6D53">
        <w:rPr>
          <w:lang w:val="en-GB"/>
        </w:rPr>
        <w:t>(3</w:t>
      </w:r>
      <w:r w:rsidRPr="00EC792C">
        <w:rPr>
          <w:rtl/>
          <w:lang w:val="en-GB"/>
        </w:rPr>
        <w:t xml:space="preserve"> تقديم دعوات الاستضافة خطي</w:t>
      </w:r>
      <w:r w:rsidR="00066DF0" w:rsidRPr="007E6D53">
        <w:rPr>
          <w:rtl/>
          <w:lang w:val="en-GB"/>
        </w:rPr>
        <w:t>اً،</w:t>
      </w:r>
      <w:r w:rsidRPr="00EC792C">
        <w:rPr>
          <w:rtl/>
          <w:lang w:val="en-GB"/>
        </w:rPr>
        <w:t xml:space="preserve"> 4) إخطار جميع الدول الأعضاء عند اختيار عرض ما، </w:t>
      </w:r>
      <w:r w:rsidR="00843EF3" w:rsidRPr="007E6D53">
        <w:rPr>
          <w:lang w:val="en-GB"/>
        </w:rPr>
        <w:t>(5</w:t>
      </w:r>
      <w:r w:rsidRPr="00EC792C">
        <w:rPr>
          <w:rtl/>
          <w:lang w:val="en-GB"/>
        </w:rPr>
        <w:t xml:space="preserve"> تحديد الحد الأدنى من اشتراطات الاستضافة، </w:t>
      </w:r>
      <w:r w:rsidR="00843EF3" w:rsidRPr="007E6D53">
        <w:rPr>
          <w:lang w:val="en-GB"/>
        </w:rPr>
        <w:t>(6</w:t>
      </w:r>
      <w:r w:rsidRPr="00EC792C">
        <w:rPr>
          <w:rtl/>
          <w:lang w:val="en-GB"/>
        </w:rPr>
        <w:t xml:space="preserve"> إجراء زيارات ميدانية قبل الاستعراض الرسمي لدعوات الاستضافة.</w:t>
      </w:r>
    </w:p>
    <w:p w14:paraId="50ABC7FA" w14:textId="7EEF4224" w:rsidR="00EC792C" w:rsidRPr="007E6D53" w:rsidRDefault="00EC792C" w:rsidP="002367FD">
      <w:pPr>
        <w:pStyle w:val="Headingb"/>
        <w:ind w:left="-1" w:firstLine="1"/>
        <w:rPr>
          <w:rtl/>
          <w:lang w:val="en-GB" w:bidi="en-GB"/>
        </w:rPr>
      </w:pPr>
      <w:r w:rsidRPr="007E6D53">
        <w:rPr>
          <w:rtl/>
          <w:lang w:val="en-GB"/>
        </w:rPr>
        <w:t xml:space="preserve">مساهمة من الولايات المتحدة الأمريكية - اعتبارات لوضع عمليات وإجراءات رسمية لتقديم العروض لاستضافة مؤتمرات الاتحاد وجمعياته (الوثيقة </w:t>
      </w:r>
      <w:hyperlink r:id="rId86" w:history="1">
        <w:r w:rsidR="006D06E9" w:rsidRPr="007E6D53">
          <w:rPr>
            <w:rStyle w:val="Hyperlink"/>
          </w:rPr>
          <w:t>CWG-FHR-21/23</w:t>
        </w:r>
      </w:hyperlink>
      <w:r w:rsidRPr="007E6D53">
        <w:rPr>
          <w:rtl/>
          <w:lang w:val="en-GB"/>
        </w:rPr>
        <w:t>)</w:t>
      </w:r>
      <w:hyperlink r:id="rId87" w:history="1"/>
    </w:p>
    <w:p w14:paraId="6923B55C" w14:textId="72B37ED3" w:rsidR="00EC792C" w:rsidRPr="00EC792C" w:rsidRDefault="00EC792C" w:rsidP="00EC792C">
      <w:pPr>
        <w:rPr>
          <w:b/>
          <w:rtl/>
          <w:lang w:val="en-GB" w:bidi="en-GB"/>
        </w:rPr>
      </w:pPr>
      <w:r w:rsidRPr="00EC792C">
        <w:rPr>
          <w:b/>
          <w:rtl/>
          <w:lang w:val="en-GB"/>
        </w:rPr>
        <w:t>4.8</w:t>
      </w:r>
      <w:r w:rsidRPr="00EC792C">
        <w:rPr>
          <w:b/>
          <w:rtl/>
          <w:lang w:val="en-GB"/>
        </w:rPr>
        <w:tab/>
        <w:t xml:space="preserve">اقترحت مساهمة مقدمة من الولايات المتحدة أن يضع الاتحاد عملية تقديم عروض لاستضافة مؤتمرات الاتحاد وجمعياته من خلال طلب مقترحات تغطي عناصر رئيسية مثل </w:t>
      </w:r>
      <w:r w:rsidR="0059485C">
        <w:rPr>
          <w:rFonts w:hint="cs"/>
          <w:b/>
          <w:rtl/>
          <w:lang w:val="en-GB"/>
        </w:rPr>
        <w:t>المنجزات</w:t>
      </w:r>
      <w:r w:rsidRPr="00EC792C">
        <w:rPr>
          <w:b/>
          <w:rtl/>
          <w:lang w:val="en-GB"/>
        </w:rPr>
        <w:t xml:space="preserve"> والمواصفات وشروط الدفع والالتزامات المالية. وعلاوة على ذلك، تقترح مساهمتها إنشاء فريق عمل بالمراسلة للمساعدة في استكمال عملية تقديم العروض الجديدة بحلول الدورة المقبلة للمجلس المقرر عقدها في أبريل 2026.</w:t>
      </w:r>
    </w:p>
    <w:p w14:paraId="19F167B6" w14:textId="33884410" w:rsidR="00EC792C" w:rsidRPr="00EC792C" w:rsidRDefault="00EC792C" w:rsidP="00EC792C">
      <w:pPr>
        <w:rPr>
          <w:spacing w:val="-2"/>
          <w:rtl/>
          <w:lang w:val="en-GB" w:bidi="en-GB"/>
        </w:rPr>
      </w:pPr>
      <w:r w:rsidRPr="00EC792C">
        <w:rPr>
          <w:spacing w:val="-2"/>
          <w:rtl/>
          <w:lang w:val="en-GB"/>
        </w:rPr>
        <w:t>5.8</w:t>
      </w:r>
      <w:r w:rsidRPr="00EC792C">
        <w:rPr>
          <w:spacing w:val="-2"/>
          <w:rtl/>
          <w:lang w:val="en-GB"/>
        </w:rPr>
        <w:tab/>
        <w:t>وانقسم المندوبون في الاجتماع الحادي والعشرين إزاء المقترحات الثلاثة. ففضل البعض نهج الصين في</w:t>
      </w:r>
      <w:r w:rsidR="002F1F92" w:rsidRPr="007E6D53">
        <w:rPr>
          <w:spacing w:val="-2"/>
          <w:rtl/>
          <w:lang w:val="en-GB"/>
        </w:rPr>
        <w:t> </w:t>
      </w:r>
      <w:r w:rsidRPr="00EC792C">
        <w:rPr>
          <w:spacing w:val="-2"/>
          <w:rtl/>
          <w:lang w:val="en-GB"/>
        </w:rPr>
        <w:t>تحسين عملية تقديم العروض من خلال الآليات القائمة داخل الاتحاد واستشهدوا بدواع</w:t>
      </w:r>
      <w:r w:rsidR="0059485C">
        <w:rPr>
          <w:rFonts w:hint="cs"/>
          <w:spacing w:val="-2"/>
          <w:rtl/>
          <w:lang w:val="en-GB"/>
        </w:rPr>
        <w:t>ٍ</w:t>
      </w:r>
      <w:r w:rsidRPr="00EC792C">
        <w:rPr>
          <w:spacing w:val="-2"/>
          <w:rtl/>
          <w:lang w:val="en-GB"/>
        </w:rPr>
        <w:t xml:space="preserve"> تتمثل في الإفراط في إضفاء الطابع الرسمي على العملية أو إثناء البلدان النامية عن التقدم بطلبات استضافة. وفضل آخرون مقترحي الهند والولايات المتحدة ومفادهما وضع إطار يتسم بمزيد من الطابع المقنن إلى جانب مجموعة واضحة من المعايير. وكان هناك أيض</w:t>
      </w:r>
      <w:r w:rsidR="002F1F92" w:rsidRPr="007E6D53">
        <w:rPr>
          <w:spacing w:val="-2"/>
          <w:rtl/>
          <w:lang w:val="en-GB"/>
        </w:rPr>
        <w:t>اً</w:t>
      </w:r>
      <w:r w:rsidRPr="00EC792C">
        <w:rPr>
          <w:spacing w:val="-2"/>
          <w:rtl/>
          <w:lang w:val="en-GB"/>
        </w:rPr>
        <w:t xml:space="preserve"> انقسام بين المندوبين إزاء إنشاء فريق عمل بالمراسلة من عدمه. ومع ذلك، اتفق جميع المندوبين على أن عملية تقديم العروض تحتاج إلى تحسين التقييس والشفافية علاوة</w:t>
      </w:r>
      <w:r w:rsidR="002F1F92" w:rsidRPr="007E6D53">
        <w:rPr>
          <w:spacing w:val="-2"/>
          <w:rtl/>
          <w:lang w:val="en-GB"/>
        </w:rPr>
        <w:t>ً</w:t>
      </w:r>
      <w:r w:rsidRPr="00EC792C">
        <w:rPr>
          <w:spacing w:val="-2"/>
          <w:rtl/>
          <w:lang w:val="en-GB"/>
        </w:rPr>
        <w:t xml:space="preserve"> على جدول زمني واضح.</w:t>
      </w:r>
    </w:p>
    <w:p w14:paraId="5D246A10" w14:textId="37A56F8F" w:rsidR="00EC792C" w:rsidRPr="00EC792C" w:rsidRDefault="00EC792C" w:rsidP="00EC792C">
      <w:pPr>
        <w:rPr>
          <w:spacing w:val="-4"/>
          <w:rtl/>
          <w:lang w:val="en-GB" w:bidi="en-GB"/>
        </w:rPr>
      </w:pPr>
      <w:r w:rsidRPr="00EC792C">
        <w:rPr>
          <w:spacing w:val="-4"/>
          <w:rtl/>
          <w:lang w:val="en-GB"/>
        </w:rPr>
        <w:t>6.8</w:t>
      </w:r>
      <w:r w:rsidRPr="00EC792C">
        <w:rPr>
          <w:spacing w:val="-4"/>
          <w:rtl/>
          <w:lang w:val="en-GB"/>
        </w:rPr>
        <w:tab/>
        <w:t>واعترافا</w:t>
      </w:r>
      <w:r w:rsidR="002F1F92" w:rsidRPr="007E6D53">
        <w:rPr>
          <w:spacing w:val="-4"/>
          <w:rtl/>
          <w:lang w:val="en-GB"/>
        </w:rPr>
        <w:t>ً</w:t>
      </w:r>
      <w:r w:rsidRPr="00EC792C">
        <w:rPr>
          <w:spacing w:val="-4"/>
          <w:rtl/>
          <w:lang w:val="en-GB"/>
        </w:rPr>
        <w:t xml:space="preserve"> بعدم وجود توافق في الآراء، طلبت الرئيسة من الأمانة مراجعة تحليلها الأولي مع مراعاة المناقشة والمقترحات المقدمة إلى الاجتماع، علاوة</w:t>
      </w:r>
      <w:r w:rsidR="002F1F92" w:rsidRPr="007E6D53">
        <w:rPr>
          <w:spacing w:val="-4"/>
          <w:rtl/>
          <w:lang w:val="en-GB"/>
        </w:rPr>
        <w:t>ً</w:t>
      </w:r>
      <w:r w:rsidRPr="00EC792C">
        <w:rPr>
          <w:spacing w:val="-4"/>
          <w:rtl/>
          <w:lang w:val="en-GB"/>
        </w:rPr>
        <w:t xml:space="preserve"> على عقد جلسة إعلامية. وعقدت هذه الجلسة الإعلامية افتراضيا</w:t>
      </w:r>
      <w:r w:rsidR="002F1F92" w:rsidRPr="007E6D53">
        <w:rPr>
          <w:spacing w:val="-4"/>
          <w:rtl/>
          <w:lang w:val="en-GB"/>
        </w:rPr>
        <w:t>ً</w:t>
      </w:r>
      <w:r w:rsidRPr="00EC792C">
        <w:rPr>
          <w:spacing w:val="-4"/>
          <w:rtl/>
          <w:lang w:val="en-GB"/>
        </w:rPr>
        <w:t xml:space="preserve"> في 30 أكتوبر 2025 وقدمت للمندوبين البوابة الإلكترونية الجديدة للبلد المضيف التابعة للاتحاد.</w:t>
      </w:r>
    </w:p>
    <w:p w14:paraId="5905C373" w14:textId="7AFFCB1C" w:rsidR="00EC792C" w:rsidRPr="00EC792C" w:rsidRDefault="00EC792C" w:rsidP="00EC792C">
      <w:pPr>
        <w:rPr>
          <w:spacing w:val="-2"/>
          <w:rtl/>
          <w:lang w:val="en-GB" w:bidi="en-GB"/>
        </w:rPr>
      </w:pPr>
      <w:r w:rsidRPr="00EC792C">
        <w:rPr>
          <w:spacing w:val="-2"/>
          <w:rtl/>
          <w:lang w:val="en-GB"/>
        </w:rPr>
        <w:lastRenderedPageBreak/>
        <w:t>7.8</w:t>
      </w:r>
      <w:r w:rsidRPr="00EC792C">
        <w:rPr>
          <w:spacing w:val="-2"/>
          <w:rtl/>
          <w:lang w:val="en-GB"/>
        </w:rPr>
        <w:tab/>
        <w:t>وفي الاجتماع الثاني والعشرين، عرضت الأمانة عملية مقترحة لاختيار البلدان المضيفة لمؤتمرات الاتحاد وجمعياته، وقدمت معلومات محدثة عن التعديلات التي أدخلت على البوابة الإلكترونية للبلد المضيف استنادا</w:t>
      </w:r>
      <w:r w:rsidR="009E67B6" w:rsidRPr="007E6D53">
        <w:rPr>
          <w:spacing w:val="-2"/>
          <w:rtl/>
          <w:lang w:val="en-GB"/>
        </w:rPr>
        <w:t>ً</w:t>
      </w:r>
      <w:r w:rsidRPr="00EC792C">
        <w:rPr>
          <w:spacing w:val="-2"/>
          <w:rtl/>
          <w:lang w:val="en-GB"/>
        </w:rPr>
        <w:t xml:space="preserve"> إلى المناقشات التي جرت خلال الجلسة الإعلامية.</w:t>
      </w:r>
    </w:p>
    <w:p w14:paraId="4D27F23C" w14:textId="0ECA19EB" w:rsidR="00EC792C" w:rsidRPr="00EC792C" w:rsidRDefault="00EC792C" w:rsidP="00EC792C">
      <w:pPr>
        <w:rPr>
          <w:rtl/>
          <w:lang w:val="en-GB" w:bidi="en-GB"/>
        </w:rPr>
      </w:pPr>
      <w:r w:rsidRPr="00EC792C">
        <w:rPr>
          <w:rtl/>
          <w:lang w:val="en-GB"/>
        </w:rPr>
        <w:t>8.8</w:t>
      </w:r>
      <w:r w:rsidRPr="00EC792C">
        <w:rPr>
          <w:rtl/>
          <w:lang w:val="en-GB"/>
        </w:rPr>
        <w:tab/>
        <w:t>ولئن أشاد المندوبون بالبوابة الإلكترونية للأمانة، معربين عن تقديرهم لكيفية تحسينها للشفافية، فقد أشاروا أيضا</w:t>
      </w:r>
      <w:r w:rsidR="00AC0B7D" w:rsidRPr="007E6D53">
        <w:rPr>
          <w:rtl/>
          <w:lang w:val="en-GB"/>
        </w:rPr>
        <w:t>ً</w:t>
      </w:r>
      <w:r w:rsidRPr="00EC792C">
        <w:rPr>
          <w:rtl/>
          <w:lang w:val="en-GB"/>
        </w:rPr>
        <w:t xml:space="preserve"> إلى أن العملية التي اقترحتها الأمانة لا تلبي الغرض من طلب المجلس في دورته لعام 2025 بإجراء عملية اختيار من بين جهات مرشحة متعددة. ونتيجة لذلك، طلب العديد من المندوبين من الأمانة مراجعة العملية المقترحة لتشمل جدولا</w:t>
      </w:r>
      <w:r w:rsidR="00AC0B7D" w:rsidRPr="007E6D53">
        <w:rPr>
          <w:rtl/>
          <w:lang w:val="en-GB"/>
        </w:rPr>
        <w:t>ً</w:t>
      </w:r>
      <w:r w:rsidRPr="00EC792C">
        <w:rPr>
          <w:rtl/>
          <w:lang w:val="en-GB"/>
        </w:rPr>
        <w:t xml:space="preserve"> زمنيا</w:t>
      </w:r>
      <w:r w:rsidR="00AC0B7D" w:rsidRPr="007E6D53">
        <w:rPr>
          <w:rtl/>
          <w:lang w:val="en-GB"/>
        </w:rPr>
        <w:t>ً</w:t>
      </w:r>
      <w:r w:rsidRPr="00EC792C">
        <w:rPr>
          <w:rtl/>
          <w:lang w:val="en-GB"/>
        </w:rPr>
        <w:t xml:space="preserve"> أو مهلة لتقديم عروض البلد المضيف، ومعلومات عن التكاليف، وآلية لتلقي تعليقات الدول الأعضاء التي لم تنجح في عروضها.</w:t>
      </w:r>
    </w:p>
    <w:p w14:paraId="1084D160" w14:textId="29616A41" w:rsidR="00EC792C" w:rsidRPr="00EC792C" w:rsidRDefault="00EC792C" w:rsidP="00EC792C">
      <w:pPr>
        <w:rPr>
          <w:b/>
          <w:rtl/>
          <w:lang w:val="en-GB" w:bidi="en-GB"/>
        </w:rPr>
      </w:pPr>
      <w:r w:rsidRPr="00EC792C">
        <w:rPr>
          <w:b/>
          <w:rtl/>
          <w:lang w:val="en-GB"/>
        </w:rPr>
        <w:t>9.8</w:t>
      </w:r>
      <w:r w:rsidRPr="00EC792C">
        <w:rPr>
          <w:b/>
          <w:rtl/>
          <w:lang w:val="en-GB"/>
        </w:rPr>
        <w:tab/>
        <w:t>وأكدت الهند مجدد</w:t>
      </w:r>
      <w:r w:rsidR="00AD3D4C" w:rsidRPr="007E6D53">
        <w:rPr>
          <w:b/>
          <w:rtl/>
          <w:lang w:val="en-GB"/>
        </w:rPr>
        <w:t xml:space="preserve">اً </w:t>
      </w:r>
      <w:r w:rsidRPr="00EC792C">
        <w:rPr>
          <w:b/>
          <w:rtl/>
          <w:lang w:val="en-GB"/>
        </w:rPr>
        <w:t>دعمها لمواصلة مناقشة هذه القضايا وشكرت الفريق CWG-FHR على الإحاطة علم</w:t>
      </w:r>
      <w:r w:rsidR="00AD3D4C" w:rsidRPr="007E6D53">
        <w:rPr>
          <w:b/>
          <w:rtl/>
          <w:lang w:val="en-GB"/>
        </w:rPr>
        <w:t xml:space="preserve">اً </w:t>
      </w:r>
      <w:r w:rsidRPr="00EC792C">
        <w:rPr>
          <w:b/>
          <w:rtl/>
          <w:lang w:val="en-GB"/>
        </w:rPr>
        <w:t>بمقترح الهند ومفاده استضافة مؤتمر المندوبين المفوضين لعام 2030.</w:t>
      </w:r>
    </w:p>
    <w:p w14:paraId="526100BA" w14:textId="4C7759A3" w:rsidR="00EC792C" w:rsidRPr="00EC792C" w:rsidRDefault="00EC792C" w:rsidP="00AE1AA8">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10.8</w:t>
      </w:r>
      <w:r w:rsidRPr="00EC792C">
        <w:rPr>
          <w:rtl/>
          <w:lang w:val="en-GB"/>
        </w:rPr>
        <w:tab/>
      </w:r>
      <w:r w:rsidRPr="00EC792C">
        <w:rPr>
          <w:b/>
          <w:bCs/>
          <w:rtl/>
          <w:lang w:val="en-GB"/>
        </w:rPr>
        <w:t xml:space="preserve">أوصى </w:t>
      </w:r>
      <w:r w:rsidRPr="00EC792C">
        <w:rPr>
          <w:rtl/>
          <w:lang w:val="en-GB"/>
        </w:rPr>
        <w:t>الفريق CWG-FHR الأمانة باستعراض النصوص وتقارير الاجتماعات والمساهمات المقدمة من المجلس في دورته لعام 2025 واجتماعي الفريق في سبتمبر 2025 ويناير 2026 وتقديم وثيقة إلى المجلس في</w:t>
      </w:r>
      <w:r w:rsidR="00AE1AA8" w:rsidRPr="007E6D53">
        <w:rPr>
          <w:rtl/>
          <w:lang w:val="en-GB"/>
        </w:rPr>
        <w:t> </w:t>
      </w:r>
      <w:r w:rsidRPr="00EC792C">
        <w:rPr>
          <w:rtl/>
          <w:lang w:val="en-GB"/>
        </w:rPr>
        <w:t>دورته لعام 2026 تتضمن عملية اختيار تشتمل على جدول زمني والتكاليف العامة.</w:t>
      </w:r>
    </w:p>
    <w:p w14:paraId="6E65C9E4" w14:textId="4EA0535E" w:rsidR="00EC792C" w:rsidRPr="00EC792C" w:rsidRDefault="00EC792C" w:rsidP="00AE1AA8">
      <w:pPr>
        <w:pBdr>
          <w:top w:val="single" w:sz="4" w:space="1" w:color="auto"/>
          <w:left w:val="single" w:sz="4" w:space="4" w:color="auto"/>
          <w:bottom w:val="single" w:sz="4" w:space="1" w:color="auto"/>
          <w:right w:val="single" w:sz="4" w:space="4" w:color="auto"/>
        </w:pBdr>
        <w:rPr>
          <w:spacing w:val="-2"/>
          <w:rtl/>
          <w:lang w:val="en-GB" w:bidi="en-GB"/>
        </w:rPr>
      </w:pPr>
      <w:r w:rsidRPr="00EC792C">
        <w:rPr>
          <w:spacing w:val="-2"/>
          <w:rtl/>
          <w:lang w:val="en-GB"/>
        </w:rPr>
        <w:t>11.8</w:t>
      </w:r>
      <w:r w:rsidRPr="00EC792C">
        <w:rPr>
          <w:spacing w:val="-2"/>
          <w:rtl/>
          <w:lang w:val="en-GB"/>
        </w:rPr>
        <w:tab/>
      </w:r>
      <w:r w:rsidRPr="0059485C">
        <w:rPr>
          <w:spacing w:val="-2"/>
          <w:rtl/>
          <w:lang w:val="en-GB"/>
        </w:rPr>
        <w:t>و</w:t>
      </w:r>
      <w:r w:rsidRPr="00EC792C">
        <w:rPr>
          <w:b/>
          <w:bCs/>
          <w:spacing w:val="-2"/>
          <w:rtl/>
          <w:lang w:val="en-GB"/>
        </w:rPr>
        <w:t xml:space="preserve">يدعو </w:t>
      </w:r>
      <w:r w:rsidRPr="00EC792C">
        <w:rPr>
          <w:spacing w:val="-2"/>
          <w:rtl/>
          <w:lang w:val="en-GB"/>
        </w:rPr>
        <w:t>الفريق المجلس إلى الإحاطة علم</w:t>
      </w:r>
      <w:r w:rsidR="00AD3D4C" w:rsidRPr="007E6D53">
        <w:rPr>
          <w:spacing w:val="-2"/>
          <w:rtl/>
          <w:lang w:val="en-GB"/>
        </w:rPr>
        <w:t xml:space="preserve">اً </w:t>
      </w:r>
      <w:r w:rsidRPr="00EC792C">
        <w:rPr>
          <w:spacing w:val="-2"/>
          <w:rtl/>
          <w:lang w:val="en-GB"/>
        </w:rPr>
        <w:t>بمقترح الهند ومفاده استضافة مؤتمر المندوبين المفوضين لعام 2030.</w:t>
      </w:r>
    </w:p>
    <w:p w14:paraId="51FF265D" w14:textId="62CB6112" w:rsidR="00EC792C" w:rsidRPr="007E6D53" w:rsidRDefault="00EC792C" w:rsidP="00AE1AA8">
      <w:pPr>
        <w:pStyle w:val="Heading1"/>
        <w:rPr>
          <w:rtl/>
          <w:lang w:val="en-GB" w:bidi="en-GB"/>
        </w:rPr>
      </w:pPr>
      <w:r w:rsidRPr="007E6D53">
        <w:rPr>
          <w:rtl/>
          <w:lang w:val="en-GB"/>
        </w:rPr>
        <w:t>9</w:t>
      </w:r>
      <w:r w:rsidRPr="007E6D53">
        <w:rPr>
          <w:rtl/>
          <w:lang w:val="en-GB"/>
        </w:rPr>
        <w:tab/>
        <w:t xml:space="preserve">تخفيف الأعباء المالية الملقاة على عاتق البلدان المضيفة (الوثيقتان </w:t>
      </w:r>
      <w:hyperlink r:id="rId88" w:history="1">
        <w:r w:rsidR="00AE1AA8" w:rsidRPr="007E6D53">
          <w:rPr>
            <w:rStyle w:val="Hyperlink"/>
          </w:rPr>
          <w:t>CWG-FHR-21/8</w:t>
        </w:r>
      </w:hyperlink>
      <w:r w:rsidRPr="007E6D53">
        <w:rPr>
          <w:rtl/>
          <w:lang w:val="en-GB"/>
        </w:rPr>
        <w:t xml:space="preserve"> و</w:t>
      </w:r>
      <w:hyperlink r:id="rId89" w:history="1">
        <w:r w:rsidR="00E04710" w:rsidRPr="007E6D53">
          <w:rPr>
            <w:rStyle w:val="Hyperlink"/>
          </w:rPr>
          <w:t>CWG-FHR-22/19</w:t>
        </w:r>
      </w:hyperlink>
      <w:r w:rsidRPr="007E6D53">
        <w:rPr>
          <w:rtl/>
          <w:lang w:val="en-GB"/>
        </w:rPr>
        <w:t>)</w:t>
      </w:r>
      <w:hyperlink r:id="rId90" w:history="1"/>
      <w:hyperlink r:id="rId91" w:history="1"/>
    </w:p>
    <w:p w14:paraId="446FA569" w14:textId="71AFCD0C" w:rsidR="00EC792C" w:rsidRPr="00EC792C" w:rsidRDefault="00EC792C" w:rsidP="00E04710">
      <w:pPr>
        <w:rPr>
          <w:spacing w:val="-2"/>
          <w:rtl/>
          <w:lang w:val="en-GB" w:bidi="en-GB"/>
        </w:rPr>
      </w:pPr>
      <w:r w:rsidRPr="00EC792C">
        <w:rPr>
          <w:spacing w:val="-2"/>
          <w:rtl/>
          <w:lang w:val="en-GB"/>
        </w:rPr>
        <w:t>1.9</w:t>
      </w:r>
      <w:r w:rsidRPr="00EC792C">
        <w:rPr>
          <w:spacing w:val="-2"/>
          <w:rtl/>
          <w:lang w:val="en-GB"/>
        </w:rPr>
        <w:tab/>
        <w:t>في الاجتماع الحادي والعشرين، عرضت الأمانة تقييمها لجدوى ثلاثة مقترحات لخفض التكاليف على البلدان المضيفة للاتحاد وتيسير توسيع المشاركة، وهي مقترحات قدمت لأول مرة إلى المجلس في يونيو 2025 في</w:t>
      </w:r>
      <w:r w:rsidR="00FF66CC" w:rsidRPr="007E6D53">
        <w:rPr>
          <w:spacing w:val="-2"/>
          <w:rtl/>
          <w:lang w:val="en-GB"/>
        </w:rPr>
        <w:t> </w:t>
      </w:r>
      <w:r w:rsidRPr="00EC792C">
        <w:rPr>
          <w:spacing w:val="-2"/>
          <w:rtl/>
          <w:lang w:val="en-GB"/>
        </w:rPr>
        <w:t xml:space="preserve">وثيقة مساهمة متعددة البلدان </w:t>
      </w:r>
      <w:hyperlink r:id="rId92" w:history="1">
        <w:r w:rsidR="00E04710" w:rsidRPr="007E6D53">
          <w:rPr>
            <w:rStyle w:val="Hyperlink"/>
            <w:noProof w:val="0"/>
            <w:spacing w:val="-2"/>
            <w:lang w:eastAsia="zh-CN"/>
          </w:rPr>
          <w:t>C25/95</w:t>
        </w:r>
      </w:hyperlink>
      <w:r w:rsidRPr="00EC792C">
        <w:rPr>
          <w:spacing w:val="-2"/>
          <w:rtl/>
          <w:lang w:val="en-GB"/>
        </w:rPr>
        <w:t xml:space="preserve">. وشملت المقترحات ما يلي: </w:t>
      </w:r>
      <w:r w:rsidR="00FF66CC" w:rsidRPr="007E6D53">
        <w:rPr>
          <w:spacing w:val="-2"/>
          <w:lang w:val="en-GB"/>
        </w:rPr>
        <w:t>(1</w:t>
      </w:r>
      <w:r w:rsidRPr="00EC792C">
        <w:rPr>
          <w:spacing w:val="-2"/>
          <w:rtl/>
          <w:lang w:val="en-GB"/>
        </w:rPr>
        <w:t xml:space="preserve"> استخدام موارد الترجمة الشفوية المحلية و/أو الوطنية؛ </w:t>
      </w:r>
      <w:r w:rsidR="00FF66CC" w:rsidRPr="007E6D53">
        <w:rPr>
          <w:spacing w:val="-2"/>
          <w:lang w:val="en-GB"/>
        </w:rPr>
        <w:t>(2</w:t>
      </w:r>
      <w:r w:rsidRPr="00EC792C">
        <w:rPr>
          <w:spacing w:val="-2"/>
          <w:rtl/>
          <w:lang w:val="en-GB"/>
        </w:rPr>
        <w:t xml:space="preserve"> تقديم معدات وأجهزة تكنولوجيا المعلومات محلياً؛ </w:t>
      </w:r>
      <w:r w:rsidR="00FF66CC" w:rsidRPr="007E6D53">
        <w:rPr>
          <w:spacing w:val="-2"/>
          <w:lang w:val="en-GB"/>
        </w:rPr>
        <w:t>(3</w:t>
      </w:r>
      <w:r w:rsidRPr="00EC792C">
        <w:rPr>
          <w:spacing w:val="-2"/>
          <w:rtl/>
          <w:lang w:val="en-GB"/>
        </w:rPr>
        <w:t xml:space="preserve"> التحول إلى عمليات التسجيل والاعتماد المرقمنة فيما يخص المؤتمرات.</w:t>
      </w:r>
      <w:hyperlink r:id="rId93" w:history="1"/>
    </w:p>
    <w:p w14:paraId="0A298F01" w14:textId="6C9AD2AE" w:rsidR="00EC792C" w:rsidRPr="00EC792C" w:rsidRDefault="00EC792C" w:rsidP="00EC792C">
      <w:pPr>
        <w:rPr>
          <w:spacing w:val="-2"/>
          <w:rtl/>
          <w:lang w:val="en-GB" w:bidi="en-GB"/>
        </w:rPr>
      </w:pPr>
      <w:r w:rsidRPr="00EC792C">
        <w:rPr>
          <w:spacing w:val="-2"/>
          <w:rtl/>
          <w:lang w:val="en-GB"/>
        </w:rPr>
        <w:t>2.9</w:t>
      </w:r>
      <w:r w:rsidRPr="00EC792C">
        <w:rPr>
          <w:spacing w:val="-2"/>
          <w:rtl/>
          <w:lang w:val="en-GB"/>
        </w:rPr>
        <w:tab/>
        <w:t>وأيد المندوبون على نطاق واسع تدابير الاقتصاد في التكاليف، مؤكدين أنها ستفتح فرصا</w:t>
      </w:r>
      <w:r w:rsidR="007805E2" w:rsidRPr="007E6D53">
        <w:rPr>
          <w:spacing w:val="-2"/>
          <w:rtl/>
          <w:lang w:val="en-GB"/>
        </w:rPr>
        <w:t>ً</w:t>
      </w:r>
      <w:r w:rsidRPr="00EC792C">
        <w:rPr>
          <w:spacing w:val="-2"/>
          <w:rtl/>
          <w:lang w:val="en-GB"/>
        </w:rPr>
        <w:t xml:space="preserve"> لمزيد من البلدان، ولا</w:t>
      </w:r>
      <w:r w:rsidR="00FF66CC" w:rsidRPr="007E6D53">
        <w:rPr>
          <w:spacing w:val="-2"/>
          <w:rtl/>
          <w:lang w:val="en-GB"/>
        </w:rPr>
        <w:t> </w:t>
      </w:r>
      <w:r w:rsidRPr="00EC792C">
        <w:rPr>
          <w:spacing w:val="-2"/>
          <w:rtl/>
          <w:lang w:val="en-GB"/>
        </w:rPr>
        <w:t>سيما البلدان النامية، لاستضافة فعاليات الاتحاد. وأثار المندوبون أسئلة عن الوفورات المالية المحددة والمعايير التقنية للمشتريات من السوق المحلية. وشجع الاتحاد بشدة على التعاون مع المؤسسات الأكاديمية لتوسيع قوائم المترجمين الشفويين المؤهلين، وشدد المندوبون على أن جودة الترجمة الشفوية يجب أن تظل واحدة من الأولويات. وردا</w:t>
      </w:r>
      <w:r w:rsidR="007805E2" w:rsidRPr="007E6D53">
        <w:rPr>
          <w:spacing w:val="-2"/>
          <w:rtl/>
          <w:lang w:val="en-GB"/>
        </w:rPr>
        <w:t>ً</w:t>
      </w:r>
      <w:r w:rsidRPr="00EC792C">
        <w:rPr>
          <w:spacing w:val="-2"/>
          <w:rtl/>
          <w:lang w:val="en-GB"/>
        </w:rPr>
        <w:t xml:space="preserve"> على ذلك، أكدت الأمانة من جديد التزامها بجودة الترجمة الشفوية ووعدت بتقديم معلومات أكثر تفصيلا</w:t>
      </w:r>
      <w:r w:rsidR="007805E2" w:rsidRPr="007E6D53">
        <w:rPr>
          <w:spacing w:val="-2"/>
          <w:rtl/>
          <w:lang w:val="en-GB"/>
        </w:rPr>
        <w:t>ً</w:t>
      </w:r>
      <w:r w:rsidRPr="00EC792C">
        <w:rPr>
          <w:spacing w:val="-2"/>
          <w:rtl/>
          <w:lang w:val="en-GB"/>
        </w:rPr>
        <w:t xml:space="preserve"> عن الرقمنة والأمن والمبادئ التوجيهية التقنية في الاجتماع المقبل. واستعدادا</w:t>
      </w:r>
      <w:r w:rsidR="007805E2" w:rsidRPr="007E6D53">
        <w:rPr>
          <w:spacing w:val="-2"/>
          <w:rtl/>
          <w:lang w:val="en-GB"/>
        </w:rPr>
        <w:t>ً</w:t>
      </w:r>
      <w:r w:rsidRPr="00EC792C">
        <w:rPr>
          <w:spacing w:val="-2"/>
          <w:rtl/>
          <w:lang w:val="en-GB"/>
        </w:rPr>
        <w:t xml:space="preserve"> لاجتماع الفريق CWG-FHR المقرر عقده في</w:t>
      </w:r>
      <w:r w:rsidR="00FF66CC" w:rsidRPr="007E6D53">
        <w:rPr>
          <w:spacing w:val="-2"/>
          <w:rtl/>
          <w:lang w:val="en-GB"/>
        </w:rPr>
        <w:t> </w:t>
      </w:r>
      <w:r w:rsidRPr="00EC792C">
        <w:rPr>
          <w:spacing w:val="-2"/>
          <w:rtl/>
          <w:lang w:val="en-GB"/>
        </w:rPr>
        <w:t>يناير 2026، كلفت الرئيسة الأمانة باستعراض نموذج اتفاق البلد المضيف بناء على هذه المناقشة ومساهمة رومانيا في</w:t>
      </w:r>
      <w:r w:rsidR="00FF66CC" w:rsidRPr="007E6D53">
        <w:rPr>
          <w:spacing w:val="-2"/>
          <w:rtl/>
          <w:lang w:val="en-GB"/>
        </w:rPr>
        <w:t> </w:t>
      </w:r>
      <w:r w:rsidRPr="00EC792C">
        <w:rPr>
          <w:spacing w:val="-2"/>
          <w:rtl/>
          <w:lang w:val="en-GB"/>
        </w:rPr>
        <w:t>دورة المجلس لعام 2023.</w:t>
      </w:r>
    </w:p>
    <w:p w14:paraId="775FD561" w14:textId="0C2DC0D9" w:rsidR="00EC792C" w:rsidRPr="00EC792C" w:rsidRDefault="00EC792C" w:rsidP="00EC792C">
      <w:pPr>
        <w:rPr>
          <w:rtl/>
          <w:lang w:val="en-GB" w:bidi="en-GB"/>
        </w:rPr>
      </w:pPr>
      <w:r w:rsidRPr="00EC792C">
        <w:rPr>
          <w:rtl/>
          <w:lang w:val="en-GB"/>
        </w:rPr>
        <w:t>3.9</w:t>
      </w:r>
      <w:r w:rsidRPr="00EC792C">
        <w:rPr>
          <w:rtl/>
          <w:lang w:val="en-GB"/>
        </w:rPr>
        <w:tab/>
        <w:t xml:space="preserve">وقدمت الأمانة في الاجتماع الثاني والعشرين الوثيقة </w:t>
      </w:r>
      <w:hyperlink r:id="rId94" w:history="1">
        <w:r w:rsidR="007805E2" w:rsidRPr="007E6D53">
          <w:rPr>
            <w:rStyle w:val="Hyperlink"/>
            <w:spacing w:val="-2"/>
          </w:rPr>
          <w:t>CWG-FHR-22/19</w:t>
        </w:r>
      </w:hyperlink>
      <w:r w:rsidRPr="00EC792C">
        <w:rPr>
          <w:rtl/>
          <w:lang w:val="en-GB"/>
        </w:rPr>
        <w:t xml:space="preserve"> التي تتضمن تحديثات إضافية بشأن مقترحات خفض التكاليف المقدمة إلى البلدان المضيفة لفعاليات الاتحاد. وأعد مقترح رسمي للدول الأعضاء كي تتعاون من أجل إنشاء قائمة تضم المترجمين الشفويين المحليين والوطنيين للمؤتمرات، وقُدِّم المقترح إلى فريق العمل التابع للمجلس والمعني باستخدام لغات الاتحاد الرسمية الست (CWG-LANG) للنظر فيه. ومن المتوقع الانتهاء من القائمة بحلول أوائل عام 2027، ولكن قد تنشأ بعض التحديات في العثور على مترجمين شفويين مؤهلين تأهيلا</w:t>
      </w:r>
      <w:r w:rsidR="00053CEB" w:rsidRPr="007E6D53">
        <w:rPr>
          <w:rtl/>
          <w:lang w:val="en-GB"/>
        </w:rPr>
        <w:t>ً</w:t>
      </w:r>
      <w:r w:rsidRPr="00EC792C">
        <w:rPr>
          <w:rtl/>
          <w:lang w:val="en-GB"/>
        </w:rPr>
        <w:t xml:space="preserve"> مناسبا</w:t>
      </w:r>
      <w:r w:rsidR="00053CEB" w:rsidRPr="007E6D53">
        <w:rPr>
          <w:rtl/>
          <w:lang w:val="en-GB"/>
        </w:rPr>
        <w:t>ً</w:t>
      </w:r>
      <w:r w:rsidRPr="00EC792C">
        <w:rPr>
          <w:rtl/>
          <w:lang w:val="en-GB"/>
        </w:rPr>
        <w:t xml:space="preserve"> بجميع اللغات الرسمية الست. وينظر أيضا</w:t>
      </w:r>
      <w:r w:rsidR="00FD73DE" w:rsidRPr="007E6D53">
        <w:rPr>
          <w:rtl/>
          <w:lang w:val="en-GB"/>
        </w:rPr>
        <w:t>ً</w:t>
      </w:r>
      <w:r w:rsidRPr="00EC792C">
        <w:rPr>
          <w:rtl/>
          <w:lang w:val="en-GB"/>
        </w:rPr>
        <w:t xml:space="preserve"> في الترجمة الفورية عن بعد والترجمة الشفوية والعرض النصي القائم على الذكاء الاصطناعي. وفيما يتعلق بتوفير معدات وأجهزة تكنولوجيا المعلومات محلياً، يجري الاتحاد دراسة جدوى لحصر الحد الأدنى من المواصفات التقنية ووضع قائمة من الموردين المستوفين للاشتراطات سلفاً بالتعاون مع البلدان المضيفة. ويخطط الاتحاد أيضا</w:t>
      </w:r>
      <w:r w:rsidR="00FD73DE" w:rsidRPr="007E6D53">
        <w:rPr>
          <w:rtl/>
          <w:lang w:val="en-GB"/>
        </w:rPr>
        <w:t>ً</w:t>
      </w:r>
      <w:r w:rsidRPr="00EC792C">
        <w:rPr>
          <w:rtl/>
          <w:lang w:val="en-GB"/>
        </w:rPr>
        <w:t xml:space="preserve"> للبدء في تجربة نماذج الدعم الهجينة بحلول عام 2027 للحد من الاعتماد على البنية التحتية للحوسبة السحابية الخاصة بالاتحاد. وأخيرا</w:t>
      </w:r>
      <w:r w:rsidR="00FD73DE" w:rsidRPr="007E6D53">
        <w:rPr>
          <w:rtl/>
          <w:lang w:val="en-GB"/>
        </w:rPr>
        <w:t>ً</w:t>
      </w:r>
      <w:r w:rsidRPr="00EC792C">
        <w:rPr>
          <w:rtl/>
          <w:lang w:val="en-GB"/>
        </w:rPr>
        <w:t>، يستكشف الاتحاد التحول إلى الاعتماد الرقمي الكامل فيما يخص المؤتمرات.</w:t>
      </w:r>
      <w:hyperlink r:id="rId95" w:history="1"/>
    </w:p>
    <w:p w14:paraId="3289D709" w14:textId="2F03D367" w:rsidR="00EC792C" w:rsidRPr="00EC792C" w:rsidRDefault="00EC792C" w:rsidP="00FD73DE">
      <w:pPr>
        <w:keepNext/>
        <w:keepLines/>
        <w:rPr>
          <w:rtl/>
          <w:lang w:val="en-GB" w:bidi="en-GB"/>
        </w:rPr>
      </w:pPr>
      <w:r w:rsidRPr="00EC792C">
        <w:rPr>
          <w:rtl/>
          <w:lang w:val="en-GB"/>
        </w:rPr>
        <w:lastRenderedPageBreak/>
        <w:t>4.9</w:t>
      </w:r>
      <w:r w:rsidRPr="00EC792C">
        <w:rPr>
          <w:rtl/>
          <w:lang w:val="en-GB"/>
        </w:rPr>
        <w:tab/>
        <w:t>وأشاد المندوبون بالمقترحات الأوسع نطاقا</w:t>
      </w:r>
      <w:r w:rsidR="00FD73DE" w:rsidRPr="007E6D53">
        <w:rPr>
          <w:rtl/>
          <w:lang w:val="en-GB"/>
        </w:rPr>
        <w:t>ً</w:t>
      </w:r>
      <w:r w:rsidRPr="00EC792C">
        <w:rPr>
          <w:rtl/>
          <w:lang w:val="en-GB"/>
        </w:rPr>
        <w:t xml:space="preserve"> الرامية إلى تخفيف الأعباء المالية على البلدان المضيفة، على الرغم من أن أحد المندوبين شدد على أن هذه التدابير ينبغي أن تكون محايدة ومفيدة لأي دولة عضو. وأعرب المندوبون عن قدر كبير من الحذر فيما يتعلق باستخدام الترجمة الشفوية القائمة على الذكاء الاصطناعي، وأوصوا بتنفيذها تدريجيا</w:t>
      </w:r>
      <w:r w:rsidR="003E66DC" w:rsidRPr="007E6D53">
        <w:rPr>
          <w:rtl/>
          <w:lang w:val="en-GB"/>
        </w:rPr>
        <w:t>ً</w:t>
      </w:r>
      <w:r w:rsidRPr="00EC792C">
        <w:rPr>
          <w:rtl/>
          <w:lang w:val="en-GB"/>
        </w:rPr>
        <w:t xml:space="preserve"> بدءاً باجتماعات أصغر لتقييم دقتها قبل الاعتماد عليها على نطاق أوسع. ووافقت الأمانة على هذا النهج الحذر، مؤكدة أن الذكاء الاصطناعي ليس جاهزا</w:t>
      </w:r>
      <w:r w:rsidR="003E66DC" w:rsidRPr="007E6D53">
        <w:rPr>
          <w:rtl/>
          <w:lang w:val="en-GB"/>
        </w:rPr>
        <w:t>ً</w:t>
      </w:r>
      <w:r w:rsidRPr="00EC792C">
        <w:rPr>
          <w:rtl/>
          <w:lang w:val="en-GB"/>
        </w:rPr>
        <w:t xml:space="preserve"> بعد لاجتماعات الهيئات التقنية أو الهيئ</w:t>
      </w:r>
      <w:r w:rsidR="0059485C">
        <w:rPr>
          <w:rFonts w:hint="cs"/>
          <w:rtl/>
          <w:lang w:val="en-GB"/>
        </w:rPr>
        <w:t>ات</w:t>
      </w:r>
      <w:r w:rsidRPr="00EC792C">
        <w:rPr>
          <w:rtl/>
          <w:lang w:val="en-GB"/>
        </w:rPr>
        <w:t xml:space="preserve"> الإدارية، ولكن الاختبار سيستمر. وأشار المندوبون أيضا</w:t>
      </w:r>
      <w:r w:rsidR="003E66DC" w:rsidRPr="007E6D53">
        <w:rPr>
          <w:rtl/>
          <w:lang w:val="en-GB"/>
        </w:rPr>
        <w:t>ً</w:t>
      </w:r>
      <w:r w:rsidRPr="00EC792C">
        <w:rPr>
          <w:rtl/>
          <w:lang w:val="en-GB"/>
        </w:rPr>
        <w:t xml:space="preserve"> إلى أهمية الاستعانة بمترجمين شفويين يفهمون الجوانب والمصطلحات ذات الطبيعة التقنية للغاية التي يتسم بها عمل الاتحاد. وأكدت الأمانة أن الاتحاد سيتولى تدريب المترجمين الشفويين وتأهيلهم واختيارهم لضمان</w:t>
      </w:r>
      <w:r w:rsidR="0059485C">
        <w:rPr>
          <w:rFonts w:hint="cs"/>
          <w:rtl/>
          <w:lang w:val="en-GB"/>
        </w:rPr>
        <w:t> </w:t>
      </w:r>
      <w:r w:rsidRPr="00EC792C">
        <w:rPr>
          <w:rtl/>
          <w:lang w:val="en-GB"/>
        </w:rPr>
        <w:t>الجودة.</w:t>
      </w:r>
    </w:p>
    <w:p w14:paraId="6D0B4437" w14:textId="40D1D223" w:rsidR="00EC792C" w:rsidRPr="00EC792C" w:rsidRDefault="00EC792C" w:rsidP="003E66DC">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5.9</w:t>
      </w:r>
      <w:r w:rsidRPr="00EC792C">
        <w:rPr>
          <w:rtl/>
          <w:lang w:val="en-GB"/>
        </w:rPr>
        <w:tab/>
      </w:r>
      <w:r w:rsidRPr="00EC792C">
        <w:rPr>
          <w:b/>
          <w:bCs/>
          <w:rtl/>
          <w:lang w:val="en-GB"/>
        </w:rPr>
        <w:t xml:space="preserve">أوصى </w:t>
      </w:r>
      <w:r w:rsidRPr="00EC792C">
        <w:rPr>
          <w:rtl/>
          <w:lang w:val="en-GB"/>
        </w:rPr>
        <w:t>الفريق CWG-FHR الأمانة بتقديم معلومات محدثة إلى المجلس في دورته لعام 2026 بشأن المناقشات الدائرة داخل الفريق المتعلقة بتخفيف الأعباء المالية على البلدان المضيفة.</w:t>
      </w:r>
    </w:p>
    <w:p w14:paraId="6444EAEA" w14:textId="75A5188F" w:rsidR="00EC792C" w:rsidRPr="007E6D53" w:rsidRDefault="00EC792C" w:rsidP="003E66DC">
      <w:pPr>
        <w:pStyle w:val="Heading1"/>
        <w:rPr>
          <w:rtl/>
          <w:lang w:val="en-GB" w:bidi="en-GB"/>
        </w:rPr>
      </w:pPr>
      <w:r w:rsidRPr="007E6D53">
        <w:rPr>
          <w:rtl/>
          <w:lang w:val="en-GB"/>
        </w:rPr>
        <w:t>10</w:t>
      </w:r>
      <w:r w:rsidRPr="007E6D53">
        <w:rPr>
          <w:rtl/>
          <w:lang w:val="en-GB"/>
        </w:rPr>
        <w:tab/>
        <w:t xml:space="preserve">تحسين إدارة الموارد البشرية (الوثائق </w:t>
      </w:r>
      <w:hyperlink r:id="rId96" w:history="1">
        <w:r w:rsidR="003E66DC" w:rsidRPr="007E6D53">
          <w:rPr>
            <w:rStyle w:val="Hyperlink"/>
          </w:rPr>
          <w:t>C25/85(Rev.1)</w:t>
        </w:r>
      </w:hyperlink>
      <w:r w:rsidRPr="007E6D53">
        <w:rPr>
          <w:rtl/>
          <w:lang w:val="en-GB"/>
        </w:rPr>
        <w:t xml:space="preserve"> و</w:t>
      </w:r>
      <w:hyperlink r:id="rId97" w:history="1">
        <w:r w:rsidR="003E66DC" w:rsidRPr="007E6D53">
          <w:rPr>
            <w:rStyle w:val="Hyperlink"/>
          </w:rPr>
          <w:t>CWG-FHR-22/10</w:t>
        </w:r>
      </w:hyperlink>
      <w:r w:rsidRPr="007E6D53">
        <w:rPr>
          <w:rtl/>
          <w:lang w:val="en-GB"/>
        </w:rPr>
        <w:t xml:space="preserve"> و</w:t>
      </w:r>
      <w:hyperlink r:id="rId98" w:history="1">
        <w:r w:rsidR="003E66DC" w:rsidRPr="007E6D53">
          <w:rPr>
            <w:rStyle w:val="Hyperlink"/>
          </w:rPr>
          <w:t>CWG</w:t>
        </w:r>
        <w:r w:rsidR="003E66DC" w:rsidRPr="007E6D53">
          <w:rPr>
            <w:rStyle w:val="Hyperlink"/>
          </w:rPr>
          <w:noBreakHyphen/>
          <w:t>FHR</w:t>
        </w:r>
        <w:r w:rsidR="00FB63C5" w:rsidRPr="007E6D53">
          <w:rPr>
            <w:rStyle w:val="Hyperlink"/>
          </w:rPr>
          <w:noBreakHyphen/>
        </w:r>
        <w:r w:rsidR="003E66DC" w:rsidRPr="007E6D53">
          <w:rPr>
            <w:rStyle w:val="Hyperlink"/>
          </w:rPr>
          <w:t>22/12</w:t>
        </w:r>
      </w:hyperlink>
      <w:r w:rsidRPr="007E6D53">
        <w:rPr>
          <w:rtl/>
          <w:lang w:val="en-GB"/>
        </w:rPr>
        <w:t>)</w:t>
      </w:r>
      <w:hyperlink r:id="rId99" w:history="1"/>
      <w:hyperlink r:id="rId100" w:history="1"/>
      <w:hyperlink r:id="rId101" w:history="1"/>
    </w:p>
    <w:p w14:paraId="42F4F371" w14:textId="77B50130" w:rsidR="00EC792C" w:rsidRPr="00EC792C" w:rsidRDefault="00EC792C" w:rsidP="00EC792C">
      <w:pPr>
        <w:rPr>
          <w:rtl/>
          <w:lang w:val="en-GB" w:bidi="en-GB"/>
        </w:rPr>
      </w:pPr>
      <w:r w:rsidRPr="00EC792C">
        <w:rPr>
          <w:rtl/>
          <w:lang w:val="en-GB"/>
        </w:rPr>
        <w:t>1.10</w:t>
      </w:r>
      <w:r w:rsidRPr="00EC792C">
        <w:rPr>
          <w:rtl/>
          <w:lang w:val="en-GB"/>
        </w:rPr>
        <w:tab/>
        <w:t xml:space="preserve">في الاجتماع الحادي والعشرين، قدم مندوب جمهورية الصين الشعبية الوثيقة </w:t>
      </w:r>
      <w:hyperlink r:id="rId102" w:history="1">
        <w:r w:rsidR="00FB63C5" w:rsidRPr="007E6D53">
          <w:rPr>
            <w:rStyle w:val="Hyperlink"/>
          </w:rPr>
          <w:t>C25/85(Rev.1)</w:t>
        </w:r>
      </w:hyperlink>
      <w:r w:rsidRPr="00EC792C">
        <w:rPr>
          <w:rtl/>
          <w:lang w:val="en-GB"/>
        </w:rPr>
        <w:t>، التي كانت في الأصل مساهمة مقدمة إلى دورة المجلس لعام 2025 تتناول ممارسات الموارد البشرية للاتحاد وتقترح تعديلات على قرارين صادرين عن المجلس. ونقل المجلس في دورته لعام 2025 الوثيقة إلى الفريق CWG-FHR لإجراء مزيد من المناقشة. ولم يأخذ أي مندوب الكلمة للتعليق، لذلك، اختارت الرئيسة إعادة تناول المساهمة في الاجتماع الثاني والعشرين في يناير في أعقاب تقديم الأمانة لتقرير الموارد البشرية المحدث.</w:t>
      </w:r>
      <w:hyperlink r:id="rId103" w:history="1"/>
    </w:p>
    <w:p w14:paraId="4A2C071F" w14:textId="3BB2AE3C" w:rsidR="00EC792C" w:rsidRPr="00EC792C" w:rsidRDefault="00EC792C" w:rsidP="00EC792C">
      <w:pPr>
        <w:rPr>
          <w:rtl/>
          <w:lang w:val="en-GB" w:bidi="en-GB"/>
        </w:rPr>
      </w:pPr>
      <w:r w:rsidRPr="00EC792C">
        <w:rPr>
          <w:rtl/>
          <w:lang w:val="en-GB"/>
        </w:rPr>
        <w:t>2.10</w:t>
      </w:r>
      <w:r w:rsidRPr="00EC792C">
        <w:rPr>
          <w:rtl/>
          <w:lang w:val="en-GB"/>
        </w:rPr>
        <w:tab/>
        <w:t xml:space="preserve">وفي يناير 2026، قدمت الأمانة ردها على التوصيات الواردة في الوثيقة C25/85(Rev.1). وأكدت الوثيقة </w:t>
      </w:r>
      <w:hyperlink r:id="rId104" w:history="1">
        <w:r w:rsidR="00640BB2" w:rsidRPr="007E6D53">
          <w:rPr>
            <w:rStyle w:val="Hyperlink"/>
            <w:spacing w:val="-2"/>
          </w:rPr>
          <w:t>CWG-FHR-22/10</w:t>
        </w:r>
      </w:hyperlink>
      <w:r w:rsidRPr="00EC792C">
        <w:rPr>
          <w:rtl/>
          <w:lang w:val="en-GB"/>
        </w:rPr>
        <w:t xml:space="preserve"> تنفيذ جهود الأمانة لإعادة الهيكلة وطمأنت المندوبين على التفاعل المستمر مع قيادة الدوائر ولجنة التنسيق. وبالإضافة إلى ذلك، أكدت الأمانة أن أي تغييرات تنظيمية كبرى تتطلب موافقة المجلس ستقدم على النحو الواجب للنظر فيها. وأكدت دائرة إدارة الموارد البشرية (HRMD) أيض</w:t>
      </w:r>
      <w:r w:rsidR="00640BB2" w:rsidRPr="007E6D53">
        <w:rPr>
          <w:rtl/>
          <w:lang w:val="en-GB"/>
        </w:rPr>
        <w:t>اً</w:t>
      </w:r>
      <w:r w:rsidRPr="00EC792C">
        <w:rPr>
          <w:rtl/>
          <w:lang w:val="en-GB"/>
        </w:rPr>
        <w:t xml:space="preserve"> أن الدول الأعضاء تبلغ بجميع إعلانات الوظائف الشاغرة الخارجية في إطار الميزانية العادية.</w:t>
      </w:r>
      <w:hyperlink r:id="rId105" w:history="1"/>
    </w:p>
    <w:p w14:paraId="161A1EA2" w14:textId="033CAA13" w:rsidR="00EC792C" w:rsidRPr="00EC792C" w:rsidRDefault="00EC792C" w:rsidP="00EC792C">
      <w:pPr>
        <w:rPr>
          <w:rtl/>
          <w:lang w:val="en-GB" w:bidi="en-GB"/>
        </w:rPr>
      </w:pPr>
      <w:r w:rsidRPr="00EC792C">
        <w:rPr>
          <w:rtl/>
          <w:lang w:val="en-GB"/>
        </w:rPr>
        <w:t>3.10</w:t>
      </w:r>
      <w:r w:rsidRPr="00EC792C">
        <w:rPr>
          <w:rtl/>
          <w:lang w:val="en-GB"/>
        </w:rPr>
        <w:tab/>
        <w:t>وبالاقتران مع ردها، قدمت الأمانة أيضا</w:t>
      </w:r>
      <w:r w:rsidR="00640BB2" w:rsidRPr="007E6D53">
        <w:rPr>
          <w:rtl/>
          <w:lang w:val="en-GB"/>
        </w:rPr>
        <w:t>ً</w:t>
      </w:r>
      <w:r w:rsidRPr="00EC792C">
        <w:rPr>
          <w:rtl/>
          <w:lang w:val="en-GB"/>
        </w:rPr>
        <w:t xml:space="preserve"> الوثيقة </w:t>
      </w:r>
      <w:hyperlink r:id="rId106" w:history="1">
        <w:r w:rsidR="00640BB2" w:rsidRPr="007E6D53">
          <w:rPr>
            <w:rStyle w:val="Hyperlink"/>
            <w:spacing w:val="2"/>
          </w:rPr>
          <w:t>CWG</w:t>
        </w:r>
        <w:r w:rsidR="00640BB2" w:rsidRPr="007E6D53">
          <w:rPr>
            <w:rStyle w:val="Hyperlink"/>
            <w:spacing w:val="2"/>
          </w:rPr>
          <w:noBreakHyphen/>
          <w:t>FHR-22/12</w:t>
        </w:r>
      </w:hyperlink>
      <w:r w:rsidRPr="00EC792C">
        <w:rPr>
          <w:rtl/>
          <w:lang w:val="en-GB"/>
        </w:rPr>
        <w:t xml:space="preserve"> التي تعرض تحديث</w:t>
      </w:r>
      <w:r w:rsidR="005A6CB3" w:rsidRPr="007E6D53">
        <w:rPr>
          <w:rtl/>
          <w:lang w:val="en-GB"/>
        </w:rPr>
        <w:t xml:space="preserve">اً </w:t>
      </w:r>
      <w:r w:rsidRPr="00EC792C">
        <w:rPr>
          <w:rtl/>
          <w:lang w:val="en-GB"/>
        </w:rPr>
        <w:t>عن مبادرات الاتحاد المتعلقة بالأشخاص والثقافة في أربعة مجالات رئيسية، هي: القيادة والرفاه والمكافآت والتقدير ومشاركة الموظفين.</w:t>
      </w:r>
      <w:hyperlink r:id="rId107" w:history="1"/>
    </w:p>
    <w:p w14:paraId="0315F5B0" w14:textId="7D81A245" w:rsidR="00EC792C" w:rsidRPr="00EC792C" w:rsidRDefault="00EC792C" w:rsidP="00EC792C">
      <w:pPr>
        <w:rPr>
          <w:rtl/>
          <w:lang w:val="en-GB" w:bidi="en-GB"/>
        </w:rPr>
      </w:pPr>
      <w:r w:rsidRPr="00EC792C">
        <w:rPr>
          <w:rtl/>
          <w:lang w:val="en-GB"/>
        </w:rPr>
        <w:t>4.10</w:t>
      </w:r>
      <w:r w:rsidRPr="00EC792C">
        <w:rPr>
          <w:rtl/>
          <w:lang w:val="en-GB"/>
        </w:rPr>
        <w:tab/>
        <w:t>ووافق العديد من المندوبين على طلب تقديم مزيد من التوضيحات إلى المجلس بشأن الخطط المحددة لإعادة هيكلة الأمانة العامة. وبالإضافة إلى ذلك، سأل أحد المندوبين عمن يحدد ما إذا كان التغيير التنظيمي يعتبر "كبيرا". كما</w:t>
      </w:r>
      <w:r w:rsidR="00970D1C" w:rsidRPr="007E6D53">
        <w:rPr>
          <w:rtl/>
          <w:lang w:val="en-GB"/>
        </w:rPr>
        <w:t> </w:t>
      </w:r>
      <w:r w:rsidRPr="00EC792C">
        <w:rPr>
          <w:rtl/>
          <w:lang w:val="en-GB"/>
        </w:rPr>
        <w:t>طلب المندوبون إلقاء نظرة ثاقبة على نتائج استقصاء مشاركة الموظفين واقترحوا آليات بديلة مرتبطة بلامركزية المجمع وترشيد القوى العاملة. وسأل أحد المندوبين أيضا</w:t>
      </w:r>
      <w:r w:rsidR="00970D1C" w:rsidRPr="007E6D53">
        <w:rPr>
          <w:rtl/>
          <w:lang w:val="en-GB"/>
        </w:rPr>
        <w:t>ً</w:t>
      </w:r>
      <w:r w:rsidRPr="00EC792C">
        <w:rPr>
          <w:rtl/>
          <w:lang w:val="en-GB"/>
        </w:rPr>
        <w:t xml:space="preserve"> عما إذا كان أمين المظالم سيقدم تقريرا</w:t>
      </w:r>
      <w:r w:rsidR="00970D1C" w:rsidRPr="007E6D53">
        <w:rPr>
          <w:rtl/>
          <w:lang w:val="en-GB"/>
        </w:rPr>
        <w:t>ً</w:t>
      </w:r>
      <w:r w:rsidRPr="00EC792C">
        <w:rPr>
          <w:rtl/>
          <w:lang w:val="en-GB"/>
        </w:rPr>
        <w:t xml:space="preserve"> سنويا</w:t>
      </w:r>
      <w:r w:rsidR="00970D1C" w:rsidRPr="007E6D53">
        <w:rPr>
          <w:rtl/>
          <w:lang w:val="en-GB"/>
        </w:rPr>
        <w:t>ً</w:t>
      </w:r>
      <w:r w:rsidRPr="00EC792C">
        <w:rPr>
          <w:rtl/>
          <w:lang w:val="en-GB"/>
        </w:rPr>
        <w:t xml:space="preserve"> إلى المجلس.</w:t>
      </w:r>
    </w:p>
    <w:p w14:paraId="7C7F0354" w14:textId="4C0C98D0" w:rsidR="00EC792C" w:rsidRPr="00EC792C" w:rsidRDefault="00EC792C" w:rsidP="00970D1C">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5.10</w:t>
      </w:r>
      <w:r w:rsidRPr="00EC792C">
        <w:rPr>
          <w:rtl/>
          <w:lang w:val="en-GB"/>
        </w:rPr>
        <w:tab/>
      </w:r>
      <w:r w:rsidRPr="00EC792C">
        <w:rPr>
          <w:b/>
          <w:bCs/>
          <w:rtl/>
          <w:lang w:val="en-GB"/>
        </w:rPr>
        <w:t xml:space="preserve">وأوصى </w:t>
      </w:r>
      <w:r w:rsidRPr="00EC792C">
        <w:rPr>
          <w:rtl/>
          <w:lang w:val="en-GB"/>
        </w:rPr>
        <w:t>الفريق CWG-FHR الأمانة بنشر نتائج استقصاء مشاركة الموظفين كوثيقة معلومات، وتقديم تقرير عن خطة إعادة هيكلة الأمانة العامة، مع مراعاة توصيات دالبيرغ.</w:t>
      </w:r>
    </w:p>
    <w:p w14:paraId="2FAF95AB" w14:textId="6B050055" w:rsidR="00EC792C" w:rsidRPr="00EC792C" w:rsidRDefault="00EC792C" w:rsidP="00970D1C">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6.10</w:t>
      </w:r>
      <w:r w:rsidRPr="00EC792C">
        <w:rPr>
          <w:rtl/>
          <w:lang w:val="en-GB"/>
        </w:rPr>
        <w:tab/>
      </w:r>
      <w:r w:rsidRPr="00EC792C">
        <w:rPr>
          <w:b/>
          <w:bCs/>
          <w:rtl/>
          <w:lang w:val="en-GB"/>
        </w:rPr>
        <w:t xml:space="preserve">ويدعو </w:t>
      </w:r>
      <w:r w:rsidRPr="00EC792C">
        <w:rPr>
          <w:rtl/>
          <w:lang w:val="en-GB"/>
        </w:rPr>
        <w:t>الفريق CWG-FHR المجلس إلى تكليف الأمانة بإعداد تقرير يتناول ما تعنيه معايير التغيير التنظيمي "الكبير" لمواصلة المناقشة في مؤتمر المندوبين المفوضين لعام 2026.</w:t>
      </w:r>
    </w:p>
    <w:p w14:paraId="7E0D9E1B" w14:textId="7A5103CF" w:rsidR="00EC792C" w:rsidRPr="00EC792C" w:rsidRDefault="00EC792C" w:rsidP="00970D1C">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7.10</w:t>
      </w:r>
      <w:r w:rsidRPr="00EC792C">
        <w:rPr>
          <w:rtl/>
          <w:lang w:val="en-GB"/>
        </w:rPr>
        <w:tab/>
      </w:r>
      <w:r w:rsidRPr="00EC792C">
        <w:rPr>
          <w:b/>
          <w:bCs/>
          <w:rtl/>
          <w:lang w:val="en-GB"/>
        </w:rPr>
        <w:t xml:space="preserve">ويدعو </w:t>
      </w:r>
      <w:r w:rsidRPr="00EC792C">
        <w:rPr>
          <w:rtl/>
          <w:lang w:val="en-GB"/>
        </w:rPr>
        <w:t>الفريق CWG-FHR المجلس إلى أن يطلب من الأمانة إعداد تقييم للأثر على "المبادرات المتعلقة بالأشخاص والثقافة" بغية تحسين فهم كيف غيرت مستوى رضا موظفي الاتحاد.</w:t>
      </w:r>
    </w:p>
    <w:p w14:paraId="6B775B9B" w14:textId="4E97050F" w:rsidR="00EC792C" w:rsidRPr="007E6D53" w:rsidRDefault="00EC792C" w:rsidP="00C87918">
      <w:pPr>
        <w:pStyle w:val="Heading1"/>
        <w:rPr>
          <w:spacing w:val="-6"/>
          <w:rtl/>
          <w:lang w:val="en-GB" w:bidi="en-GB"/>
        </w:rPr>
      </w:pPr>
      <w:r w:rsidRPr="007E6D53">
        <w:rPr>
          <w:spacing w:val="-6"/>
          <w:rtl/>
          <w:lang w:val="en-GB"/>
        </w:rPr>
        <w:t>11</w:t>
      </w:r>
      <w:r w:rsidRPr="007E6D53">
        <w:rPr>
          <w:spacing w:val="-6"/>
          <w:rtl/>
          <w:lang w:val="en-GB"/>
        </w:rPr>
        <w:tab/>
        <w:t xml:space="preserve">الموقع الإلكتروني للاتحاد وعملية التحول (الوثائق </w:t>
      </w:r>
      <w:hyperlink r:id="rId108" w:history="1">
        <w:r w:rsidR="00C87918" w:rsidRPr="007E6D53">
          <w:rPr>
            <w:rStyle w:val="Hyperlink"/>
            <w:spacing w:val="-6"/>
          </w:rPr>
          <w:t>CWG-FHR-21/11</w:t>
        </w:r>
      </w:hyperlink>
      <w:r w:rsidRPr="007E6D53">
        <w:rPr>
          <w:spacing w:val="-6"/>
          <w:rtl/>
          <w:lang w:val="en-GB"/>
        </w:rPr>
        <w:t xml:space="preserve"> و</w:t>
      </w:r>
      <w:hyperlink r:id="rId109" w:history="1">
        <w:r w:rsidR="00C87918" w:rsidRPr="007E6D53">
          <w:rPr>
            <w:rStyle w:val="Hyperlink"/>
            <w:spacing w:val="-6"/>
          </w:rPr>
          <w:t>CWG-FHR-22/15</w:t>
        </w:r>
      </w:hyperlink>
      <w:r w:rsidRPr="007E6D53">
        <w:rPr>
          <w:spacing w:val="-6"/>
          <w:rtl/>
          <w:lang w:val="en-GB"/>
        </w:rPr>
        <w:t xml:space="preserve"> و</w:t>
      </w:r>
      <w:hyperlink r:id="rId110" w:history="1">
        <w:r w:rsidR="00C87918" w:rsidRPr="007E6D53">
          <w:rPr>
            <w:rStyle w:val="Hyperlink"/>
            <w:spacing w:val="-6"/>
          </w:rPr>
          <w:t>CWG-FHR-22/17</w:t>
        </w:r>
      </w:hyperlink>
      <w:r w:rsidRPr="007E6D53">
        <w:rPr>
          <w:spacing w:val="-6"/>
          <w:rtl/>
          <w:lang w:val="en-GB"/>
        </w:rPr>
        <w:t>)</w:t>
      </w:r>
      <w:hyperlink r:id="rId111" w:history="1"/>
      <w:hyperlink r:id="rId112" w:history="1"/>
      <w:hyperlink r:id="rId113" w:history="1"/>
    </w:p>
    <w:p w14:paraId="5D02356E" w14:textId="67ACDC6C" w:rsidR="00EC792C" w:rsidRPr="00EC792C" w:rsidRDefault="00EC792C" w:rsidP="00EC792C">
      <w:pPr>
        <w:rPr>
          <w:rtl/>
          <w:lang w:val="en-GB" w:bidi="en-GB"/>
        </w:rPr>
      </w:pPr>
      <w:r w:rsidRPr="00EC792C">
        <w:rPr>
          <w:rtl/>
          <w:lang w:val="en-GB"/>
        </w:rPr>
        <w:t>1.11</w:t>
      </w:r>
      <w:r w:rsidRPr="00EC792C">
        <w:rPr>
          <w:rtl/>
          <w:lang w:val="en-GB"/>
        </w:rPr>
        <w:tab/>
        <w:t>أطلعت الأمانة المندوبين على التقدم الذي أحرزه فريق التحول في الاجتماع الحادي والعشرين، مشيرة إلى أن مرحلة إخلاء المحتوى من العناصر غير الضرورية تمضي جيد</w:t>
      </w:r>
      <w:r w:rsidR="005A6CB3" w:rsidRPr="007E6D53">
        <w:rPr>
          <w:rtl/>
          <w:lang w:val="en-GB"/>
        </w:rPr>
        <w:t xml:space="preserve">اً </w:t>
      </w:r>
      <w:r w:rsidRPr="00EC792C">
        <w:rPr>
          <w:rtl/>
          <w:lang w:val="en-GB"/>
        </w:rPr>
        <w:t>مع الانتهاء الكامل من تحليل محتوى قطاع تقييس الاتصالات (ITU-T). وبالإضافة إلى ذلك، أكدت الأمانة اختيار الجهة التي ستوفر معمارية المعلومات وتصنيفها.</w:t>
      </w:r>
    </w:p>
    <w:p w14:paraId="38C89AFF" w14:textId="1662E759" w:rsidR="00EC792C" w:rsidRPr="00EC792C" w:rsidRDefault="00EC792C" w:rsidP="00EC792C">
      <w:pPr>
        <w:rPr>
          <w:rtl/>
          <w:lang w:val="en-GB" w:bidi="en-GB"/>
        </w:rPr>
      </w:pPr>
      <w:r w:rsidRPr="00EC792C">
        <w:rPr>
          <w:rtl/>
          <w:lang w:val="en-GB"/>
        </w:rPr>
        <w:lastRenderedPageBreak/>
        <w:t>2.11</w:t>
      </w:r>
      <w:r w:rsidRPr="00EC792C">
        <w:rPr>
          <w:rtl/>
          <w:lang w:val="en-GB"/>
        </w:rPr>
        <w:tab/>
        <w:t xml:space="preserve">وشكر رئيس الفريق CWG-FHR الأمانة على تحديثها وأوصى بوقف جهود المرحلة الثانية لطلب تقديم العروض (RFP) حتى تحديد معمارية المعلومات وتصنيفها لدى الاتحاد. </w:t>
      </w:r>
    </w:p>
    <w:p w14:paraId="02EF00E8" w14:textId="4698C1DE" w:rsidR="00EC792C" w:rsidRPr="00EC792C" w:rsidRDefault="005A4085" w:rsidP="00EC792C">
      <w:pPr>
        <w:rPr>
          <w:rtl/>
          <w:lang w:val="en-GB" w:bidi="en-GB"/>
        </w:rPr>
      </w:pPr>
      <w:r w:rsidRPr="007E6D53">
        <w:rPr>
          <w:lang w:val="en-GB"/>
        </w:rPr>
        <w:t>3.11</w:t>
      </w:r>
      <w:r w:rsidR="00EC792C" w:rsidRPr="00EC792C">
        <w:rPr>
          <w:rtl/>
          <w:lang w:val="en-GB"/>
        </w:rPr>
        <w:tab/>
        <w:t>وأثار المندوبون أسئلة تتعلق بالجدول الزمني للجهود وتمويلها، ولا سيما كيفية تأثير إخفاق عملية المناقصة على الجدول الزمني المقترح. وعلاو</w:t>
      </w:r>
      <w:r w:rsidRPr="007E6D53">
        <w:rPr>
          <w:rtl/>
          <w:lang w:val="en-GB"/>
        </w:rPr>
        <w:t>ةً</w:t>
      </w:r>
      <w:r w:rsidR="00EC792C" w:rsidRPr="00EC792C">
        <w:rPr>
          <w:rtl/>
          <w:lang w:val="en-GB"/>
        </w:rPr>
        <w:t xml:space="preserve"> على ذلك، أبلغ المندوبون الأمانة بأن مستودعات المحتوى الخاصة بالاتحاد لا تترجم كلها إلى اللغات الست، وأن استخدام الموقع الإلكتروني للاتحاد لا يزال صعبا</w:t>
      </w:r>
      <w:r w:rsidRPr="007E6D53">
        <w:rPr>
          <w:rtl/>
          <w:lang w:val="en-GB"/>
        </w:rPr>
        <w:t>ً</w:t>
      </w:r>
      <w:r w:rsidR="00EC792C" w:rsidRPr="00EC792C">
        <w:rPr>
          <w:rtl/>
          <w:lang w:val="en-GB"/>
        </w:rPr>
        <w:t>، حيث تشكل خاصية البحث فيه مجالاً ينبغي لفريق التحول أن يعطي الأولوية لتحسينه.</w:t>
      </w:r>
    </w:p>
    <w:p w14:paraId="260276B6" w14:textId="3732052A" w:rsidR="00EC792C" w:rsidRPr="00EC792C" w:rsidRDefault="00EC792C" w:rsidP="00EC792C">
      <w:pPr>
        <w:rPr>
          <w:spacing w:val="-2"/>
          <w:rtl/>
          <w:lang w:val="en-GB" w:bidi="en-GB"/>
        </w:rPr>
      </w:pPr>
      <w:r w:rsidRPr="00EC792C">
        <w:rPr>
          <w:spacing w:val="-2"/>
          <w:rtl/>
          <w:lang w:val="en-GB"/>
        </w:rPr>
        <w:t>4.11</w:t>
      </w:r>
      <w:r w:rsidRPr="00EC792C">
        <w:rPr>
          <w:spacing w:val="-2"/>
          <w:rtl/>
          <w:lang w:val="en-GB"/>
        </w:rPr>
        <w:tab/>
        <w:t>وفي الاجتماع الثاني والعشرين، قدمت الأمانة تحديثات بشأن كل من مشروع التحول في الاتحاد والموقع الإلكتروني الجديد له. وفيما يتعلق بالتحول في الاتحاد، سلطت الأمانة الضوء على لوحة معلومات التحول، وإنشاء فريق مهام معني بالتحول من أجل المضي قدما</w:t>
      </w:r>
      <w:r w:rsidR="00303082" w:rsidRPr="00BB6E6B">
        <w:rPr>
          <w:spacing w:val="-2"/>
          <w:rtl/>
          <w:lang w:val="en-GB"/>
        </w:rPr>
        <w:t>ً</w:t>
      </w:r>
      <w:r w:rsidRPr="00EC792C">
        <w:rPr>
          <w:spacing w:val="-2"/>
          <w:rtl/>
          <w:lang w:val="en-GB"/>
        </w:rPr>
        <w:t xml:space="preserve"> بالأولويات ورصد التقدم المحرز وتذليل العقبات التي تحول دون تحقيق المجلس للنتائج في دورته لعام 2026 ومؤتمر المندوبين المفوضين في دورته للعام نفسه. وفيما يخص الموقع الإلكتروني، أشارت الأمانة إلى أن الجهود تمضي على الطريق الصحيح مع توقع تسليم الحد الأدنى من النواتج القابلة للتطبيق قبل مؤتمر المندوبين المفوضين لعام 2026. كما لاحظت الأمانة عقب الاجتماع الثاني والعشرين للفريق أن الموقع الإلكتروني لفريق التنسيق بين القطاعات </w:t>
      </w:r>
      <w:r w:rsidR="00666518">
        <w:rPr>
          <w:rFonts w:hint="cs"/>
          <w:spacing w:val="-2"/>
          <w:rtl/>
          <w:lang w:val="en-GB"/>
        </w:rPr>
        <w:t>و</w:t>
      </w:r>
      <w:r w:rsidRPr="00EC792C">
        <w:rPr>
          <w:spacing w:val="-2"/>
          <w:rtl/>
          <w:lang w:val="en-GB"/>
        </w:rPr>
        <w:t>المعني بالمسائل ذات الاهتمام المشترك (ISCG) قد حُدِّث ليجسد التغييرات في النسق وإجراءات نشر الوثائق.</w:t>
      </w:r>
    </w:p>
    <w:p w14:paraId="4790E0F6" w14:textId="4D385AF9" w:rsidR="00EC792C" w:rsidRPr="007E6D53" w:rsidRDefault="00EC792C" w:rsidP="00303082">
      <w:pPr>
        <w:pStyle w:val="Headingb"/>
        <w:rPr>
          <w:rtl/>
          <w:lang w:val="en-GB" w:bidi="en-GB"/>
        </w:rPr>
      </w:pPr>
      <w:r w:rsidRPr="007E6D53">
        <w:rPr>
          <w:rtl/>
          <w:lang w:val="en-GB"/>
        </w:rPr>
        <w:t xml:space="preserve">مساهمة من جمهورية الصين الشعبية - تعليقات وتوصيات بشأن التحول (الوثيقة </w:t>
      </w:r>
      <w:hyperlink r:id="rId114" w:history="1">
        <w:r w:rsidR="00303082" w:rsidRPr="007E6D53">
          <w:rPr>
            <w:rStyle w:val="Hyperlink"/>
          </w:rPr>
          <w:t>CWG-FHR-22/30</w:t>
        </w:r>
      </w:hyperlink>
      <w:r w:rsidRPr="007E6D53">
        <w:rPr>
          <w:rtl/>
          <w:lang w:val="en-GB"/>
        </w:rPr>
        <w:t>)</w:t>
      </w:r>
      <w:hyperlink r:id="rId115" w:history="1"/>
    </w:p>
    <w:p w14:paraId="1C131ABB" w14:textId="06EF1517" w:rsidR="00EC792C" w:rsidRPr="00EC792C" w:rsidRDefault="00EC792C" w:rsidP="00EC792C">
      <w:pPr>
        <w:rPr>
          <w:rtl/>
          <w:lang w:val="en-GB" w:bidi="en-GB"/>
        </w:rPr>
      </w:pPr>
      <w:r w:rsidRPr="00EC792C">
        <w:rPr>
          <w:rtl/>
          <w:lang w:val="en-GB"/>
        </w:rPr>
        <w:t>5.11</w:t>
      </w:r>
      <w:r w:rsidRPr="00EC792C">
        <w:rPr>
          <w:rtl/>
          <w:lang w:val="en-GB"/>
        </w:rPr>
        <w:tab/>
        <w:t xml:space="preserve">توضح مساهمة مقدمة من جمهورية الصين الشعبية (الوثيقة </w:t>
      </w:r>
      <w:hyperlink r:id="rId116" w:history="1">
        <w:r w:rsidR="00303082" w:rsidRPr="007E6D53">
          <w:rPr>
            <w:rStyle w:val="Hyperlink"/>
          </w:rPr>
          <w:t>CWG-FHR-22/30</w:t>
        </w:r>
      </w:hyperlink>
      <w:r w:rsidRPr="00EC792C">
        <w:rPr>
          <w:rtl/>
          <w:lang w:val="en-GB"/>
        </w:rPr>
        <w:t xml:space="preserve">) فهمها لجهود التحول التي يبذلها الاتحاد وقدمت أربع توصيات، هي: </w:t>
      </w:r>
      <w:r w:rsidR="00BF376E" w:rsidRPr="007E6D53">
        <w:rPr>
          <w:lang w:val="en-GB"/>
        </w:rPr>
        <w:t>(1</w:t>
      </w:r>
      <w:r w:rsidRPr="00EC792C">
        <w:rPr>
          <w:rtl/>
          <w:lang w:val="en-GB"/>
        </w:rPr>
        <w:t xml:space="preserve"> تعزيز القدرة على التنبؤ، 2) تفاصيل عن التخطيط للميزانية، 3) تبسيط قائمة المبادرات لتحديد أهداف ذات أولوية قصوى، 4) تبسيط نسق الإبلاغ، مع إيلاء مزيد من التركيز على التقدم الموضوعي والتحديات البارزة بدل</w:t>
      </w:r>
      <w:r w:rsidR="00B00709" w:rsidRPr="007E6D53">
        <w:rPr>
          <w:rtl/>
          <w:lang w:val="en-GB"/>
        </w:rPr>
        <w:t xml:space="preserve">اً </w:t>
      </w:r>
      <w:r w:rsidRPr="00EC792C">
        <w:rPr>
          <w:rtl/>
          <w:lang w:val="en-GB"/>
        </w:rPr>
        <w:t>من المحتوى الوصفي.</w:t>
      </w:r>
      <w:hyperlink r:id="rId117" w:history="1"/>
    </w:p>
    <w:p w14:paraId="23F537D9" w14:textId="52BBC146" w:rsidR="00EC792C" w:rsidRPr="00EC792C" w:rsidRDefault="00EC792C" w:rsidP="00EC792C">
      <w:pPr>
        <w:rPr>
          <w:spacing w:val="-4"/>
          <w:rtl/>
          <w:lang w:val="en-GB" w:bidi="en-GB"/>
        </w:rPr>
      </w:pPr>
      <w:r w:rsidRPr="00EC792C">
        <w:rPr>
          <w:spacing w:val="-4"/>
          <w:rtl/>
          <w:lang w:val="en-GB"/>
        </w:rPr>
        <w:t>6.11</w:t>
      </w:r>
      <w:r w:rsidRPr="00EC792C">
        <w:rPr>
          <w:spacing w:val="-4"/>
          <w:rtl/>
          <w:lang w:val="en-GB"/>
        </w:rPr>
        <w:tab/>
        <w:t>وأيد المندوبون الوثيقة CWG-FHR-22/30 بوجه عام ولكنهم أعربوا عن دواعي قلقهم إزاء الأولويات الموصى</w:t>
      </w:r>
      <w:r w:rsidR="00F2438E" w:rsidRPr="007E6D53">
        <w:rPr>
          <w:spacing w:val="-4"/>
          <w:rtl/>
          <w:lang w:val="en-GB"/>
        </w:rPr>
        <w:t> </w:t>
      </w:r>
      <w:r w:rsidRPr="00EC792C">
        <w:rPr>
          <w:spacing w:val="-4"/>
          <w:rtl/>
          <w:lang w:val="en-GB"/>
        </w:rPr>
        <w:t>بها. ورحب المندوبون أيضا</w:t>
      </w:r>
      <w:r w:rsidR="00F2438E" w:rsidRPr="007E6D53">
        <w:rPr>
          <w:spacing w:val="-4"/>
          <w:rtl/>
          <w:lang w:val="en-GB"/>
        </w:rPr>
        <w:t>ً</w:t>
      </w:r>
      <w:r w:rsidRPr="00EC792C">
        <w:rPr>
          <w:spacing w:val="-4"/>
          <w:rtl/>
          <w:lang w:val="en-GB"/>
        </w:rPr>
        <w:t xml:space="preserve"> بالتقارير الإضافية، لا سيما بشأن متطلبات الميزانية تمهيدا</w:t>
      </w:r>
      <w:r w:rsidR="00F2438E" w:rsidRPr="007E6D53">
        <w:rPr>
          <w:spacing w:val="-4"/>
          <w:rtl/>
          <w:lang w:val="en-GB"/>
        </w:rPr>
        <w:t>ً</w:t>
      </w:r>
      <w:r w:rsidRPr="00EC792C">
        <w:rPr>
          <w:spacing w:val="-4"/>
          <w:rtl/>
          <w:lang w:val="en-GB"/>
        </w:rPr>
        <w:t xml:space="preserve"> لدورة المجلس لعام 2026.</w:t>
      </w:r>
    </w:p>
    <w:p w14:paraId="116C575A" w14:textId="47194CBD" w:rsidR="00EC792C" w:rsidRPr="00EC792C" w:rsidRDefault="00EC792C" w:rsidP="000001DB">
      <w:pPr>
        <w:pBdr>
          <w:top w:val="single" w:sz="4" w:space="1" w:color="auto"/>
          <w:left w:val="single" w:sz="4" w:space="4" w:color="auto"/>
          <w:bottom w:val="single" w:sz="4" w:space="1" w:color="auto"/>
          <w:right w:val="single" w:sz="4" w:space="4" w:color="auto"/>
        </w:pBdr>
        <w:rPr>
          <w:spacing w:val="-2"/>
          <w:rtl/>
          <w:lang w:val="en-GB" w:bidi="en-GB"/>
        </w:rPr>
      </w:pPr>
      <w:r w:rsidRPr="00EC792C">
        <w:rPr>
          <w:spacing w:val="-2"/>
          <w:rtl/>
          <w:lang w:val="en-GB"/>
        </w:rPr>
        <w:t>7.11</w:t>
      </w:r>
      <w:r w:rsidRPr="00EC792C">
        <w:rPr>
          <w:spacing w:val="-2"/>
          <w:rtl/>
          <w:lang w:val="en-GB"/>
        </w:rPr>
        <w:tab/>
      </w:r>
      <w:r w:rsidRPr="00EC792C">
        <w:rPr>
          <w:b/>
          <w:bCs/>
          <w:spacing w:val="-2"/>
          <w:rtl/>
          <w:lang w:val="en-GB"/>
        </w:rPr>
        <w:t xml:space="preserve">أوصى </w:t>
      </w:r>
      <w:r w:rsidRPr="00EC792C">
        <w:rPr>
          <w:spacing w:val="-2"/>
          <w:rtl/>
          <w:lang w:val="en-GB"/>
        </w:rPr>
        <w:t xml:space="preserve">الفريق CWG-FHR الأمانة بمراجعة التقرير قبل دورة المجلس لعام 2026 مع مراعاة جميع المسائل الواردة في الوثيقتين </w:t>
      </w:r>
      <w:hyperlink r:id="rId118" w:history="1">
        <w:r w:rsidR="00F2438E" w:rsidRPr="007E6D53">
          <w:rPr>
            <w:rStyle w:val="Hyperlink"/>
            <w:spacing w:val="-2"/>
          </w:rPr>
          <w:t>CWG-FHR-22/15</w:t>
        </w:r>
      </w:hyperlink>
      <w:r w:rsidRPr="00EC792C">
        <w:rPr>
          <w:spacing w:val="-2"/>
          <w:rtl/>
          <w:lang w:val="en-GB"/>
        </w:rPr>
        <w:t xml:space="preserve"> و</w:t>
      </w:r>
      <w:hyperlink r:id="rId119" w:history="1">
        <w:r w:rsidR="00F2438E" w:rsidRPr="007E6D53">
          <w:rPr>
            <w:rStyle w:val="Hyperlink"/>
            <w:spacing w:val="-2"/>
          </w:rPr>
          <w:t>CWG-FHR-22/17</w:t>
        </w:r>
      </w:hyperlink>
      <w:r w:rsidRPr="00EC792C">
        <w:rPr>
          <w:spacing w:val="-2"/>
          <w:rtl/>
          <w:lang w:val="en-GB"/>
        </w:rPr>
        <w:t>. ولاحظ الفريق CWG-FHR أيضا</w:t>
      </w:r>
      <w:r w:rsidR="00F2438E" w:rsidRPr="007E6D53">
        <w:rPr>
          <w:spacing w:val="-2"/>
          <w:rtl/>
          <w:lang w:val="en-GB"/>
        </w:rPr>
        <w:t>ً</w:t>
      </w:r>
      <w:r w:rsidRPr="00EC792C">
        <w:rPr>
          <w:spacing w:val="-2"/>
          <w:rtl/>
          <w:lang w:val="en-GB"/>
        </w:rPr>
        <w:t xml:space="preserve"> الدعم العام للنقاط الواردة في الوثيقة </w:t>
      </w:r>
      <w:hyperlink r:id="rId120" w:history="1">
        <w:r w:rsidR="00F2438E" w:rsidRPr="007E6D53">
          <w:rPr>
            <w:rStyle w:val="Hyperlink"/>
            <w:spacing w:val="-2"/>
          </w:rPr>
          <w:t>CWG-FHR-22/30</w:t>
        </w:r>
      </w:hyperlink>
      <w:r w:rsidRPr="00EC792C">
        <w:rPr>
          <w:spacing w:val="-2"/>
          <w:rtl/>
          <w:lang w:val="en-GB"/>
        </w:rPr>
        <w:t>، باستثناء ما يتعلق بتحديد الأولويات.</w:t>
      </w:r>
      <w:hyperlink r:id="rId121" w:history="1"/>
      <w:hyperlink r:id="rId122" w:history="1"/>
      <w:hyperlink r:id="rId123" w:history="1"/>
    </w:p>
    <w:p w14:paraId="045FD12B" w14:textId="40C5E03D" w:rsidR="00EC792C" w:rsidRPr="007E6D53" w:rsidRDefault="00EC792C" w:rsidP="000001DB">
      <w:pPr>
        <w:pStyle w:val="Heading1"/>
        <w:rPr>
          <w:rtl/>
          <w:lang w:val="en-GB" w:bidi="en-GB"/>
        </w:rPr>
      </w:pPr>
      <w:r w:rsidRPr="007E6D53">
        <w:rPr>
          <w:rtl/>
          <w:lang w:val="en-GB"/>
        </w:rPr>
        <w:t>12</w:t>
      </w:r>
      <w:r w:rsidRPr="007E6D53">
        <w:rPr>
          <w:rtl/>
          <w:lang w:val="en-GB"/>
        </w:rPr>
        <w:tab/>
        <w:t xml:space="preserve">تدعيم الأسس الرقمية الداخلية للتحول في الاتحاد - الاستراتيجية والمعمارية المؤسسية وحوكمة تكنولوجيا المعلومات والاتصالات ونموذج تشغيل تكنولوجيا المعلومات (الوثيقة </w:t>
      </w:r>
      <w:hyperlink r:id="rId124" w:history="1">
        <w:r w:rsidR="000001DB" w:rsidRPr="007E6D53">
          <w:rPr>
            <w:rStyle w:val="Hyperlink"/>
          </w:rPr>
          <w:t>CWG-FHR-22/14</w:t>
        </w:r>
      </w:hyperlink>
      <w:r w:rsidRPr="007E6D53">
        <w:rPr>
          <w:rtl/>
          <w:lang w:val="en-GB"/>
        </w:rPr>
        <w:t>)</w:t>
      </w:r>
      <w:hyperlink r:id="rId125" w:history="1"/>
    </w:p>
    <w:p w14:paraId="6AE81E4F" w14:textId="4682A2A7" w:rsidR="00EC792C" w:rsidRPr="00EC792C" w:rsidRDefault="00EC792C" w:rsidP="00EC792C">
      <w:pPr>
        <w:rPr>
          <w:spacing w:val="-4"/>
          <w:rtl/>
          <w:lang w:val="en-GB" w:bidi="en-GB"/>
        </w:rPr>
      </w:pPr>
      <w:r w:rsidRPr="00EC792C">
        <w:rPr>
          <w:spacing w:val="-4"/>
          <w:rtl/>
          <w:lang w:val="en-GB"/>
        </w:rPr>
        <w:t>1.12</w:t>
      </w:r>
      <w:r w:rsidRPr="00EC792C">
        <w:rPr>
          <w:spacing w:val="-4"/>
          <w:rtl/>
          <w:lang w:val="en-GB"/>
        </w:rPr>
        <w:tab/>
        <w:t>في الاجتماع الثاني والعشرين، قدمت الأمانة معلومات محدثة عن إطلاق أربعة عناصر رقمية أساسية وموصولة بينيا</w:t>
      </w:r>
      <w:r w:rsidR="005F2069" w:rsidRPr="007E6D53">
        <w:rPr>
          <w:spacing w:val="-4"/>
          <w:rtl/>
          <w:lang w:val="en-GB"/>
        </w:rPr>
        <w:t>ً</w:t>
      </w:r>
      <w:r w:rsidRPr="00EC792C">
        <w:rPr>
          <w:spacing w:val="-4"/>
          <w:rtl/>
          <w:lang w:val="en-GB"/>
        </w:rPr>
        <w:t xml:space="preserve"> داخل الأمانة العامة. وتشكل هذه العناصر الأسس الرقمية الداخلية اللازمة لدعم التحول التنظيمي في الاتحاد، وتعزيز الشفافية والمساءلة في استثمارات تكنولوجيا المعلومات والاتصالات، والاستجابة للتوقعات التي أعربت عنها الدول الأعضاء، بما في ذلك التوقعات الواردة في مساهمة سويسرا (الوثيقة </w:t>
      </w:r>
      <w:hyperlink r:id="rId126" w:history="1">
        <w:r w:rsidR="005F2069" w:rsidRPr="007E6D53">
          <w:rPr>
            <w:rStyle w:val="Hyperlink"/>
          </w:rPr>
          <w:t>C25/84</w:t>
        </w:r>
      </w:hyperlink>
      <w:r w:rsidRPr="00EC792C">
        <w:rPr>
          <w:spacing w:val="-4"/>
          <w:rtl/>
          <w:lang w:val="en-GB"/>
        </w:rPr>
        <w:t>)، علاو</w:t>
      </w:r>
      <w:r w:rsidR="000001DB" w:rsidRPr="007E6D53">
        <w:rPr>
          <w:spacing w:val="-4"/>
          <w:rtl/>
          <w:lang w:val="en-GB"/>
        </w:rPr>
        <w:t>ةً</w:t>
      </w:r>
      <w:r w:rsidRPr="00EC792C">
        <w:rPr>
          <w:spacing w:val="-4"/>
          <w:rtl/>
          <w:lang w:val="en-GB"/>
        </w:rPr>
        <w:t xml:space="preserve"> على التوصيات المقدمة من اللجنة الاستشارية المستقلة للإدارة (IMAC) وآليات الرقابة الأخرى.</w:t>
      </w:r>
      <w:hyperlink r:id="rId127" w:history="1"/>
    </w:p>
    <w:p w14:paraId="65DFA5AC" w14:textId="229A0A90" w:rsidR="00EC792C" w:rsidRPr="00EC792C" w:rsidRDefault="00EC792C" w:rsidP="00EC792C">
      <w:pPr>
        <w:rPr>
          <w:rtl/>
          <w:lang w:val="en-GB" w:bidi="en-GB"/>
        </w:rPr>
      </w:pPr>
      <w:r w:rsidRPr="00EC792C">
        <w:rPr>
          <w:rtl/>
          <w:lang w:val="en-GB"/>
        </w:rPr>
        <w:t>2.12</w:t>
      </w:r>
      <w:r w:rsidRPr="00EC792C">
        <w:rPr>
          <w:rtl/>
          <w:lang w:val="en-GB"/>
        </w:rPr>
        <w:tab/>
        <w:t>ورد المندوبون بأن حثوا الأمانة على إشراك الدول الأعضاء بشكل أوثق وأعربوا عن قلقهم إزاء الآثار المالية لجهود التحول واسعة النطاق تلك. وتدخل مندوبون آخرون موصين الأمانة بتجنب تشتت جهود التحول عبر القطاع، مع إعطاء الأولوية لترقية برمجيات قطاع الاتصالات الراديوية (ITU-R) في الوقت نفسه. وطرح أحد المندوبين على الفريق مقترح</w:t>
      </w:r>
      <w:r w:rsidR="00B00709" w:rsidRPr="007E6D53">
        <w:rPr>
          <w:rtl/>
          <w:lang w:val="en-GB"/>
        </w:rPr>
        <w:t xml:space="preserve">اً </w:t>
      </w:r>
      <w:r w:rsidRPr="00EC792C">
        <w:rPr>
          <w:rtl/>
          <w:lang w:val="en-GB"/>
        </w:rPr>
        <w:t>مفاده الالتزام بالخط الفاصل بين تفويض التوجيه والسماح باستقلالية الأمانة.</w:t>
      </w:r>
    </w:p>
    <w:p w14:paraId="4FE3A3C1" w14:textId="7762FF1D" w:rsidR="00EC792C" w:rsidRPr="00EC792C" w:rsidRDefault="00EC792C" w:rsidP="005F2069">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3.12</w:t>
      </w:r>
      <w:r w:rsidRPr="00EC792C">
        <w:rPr>
          <w:rtl/>
          <w:lang w:val="en-GB"/>
        </w:rPr>
        <w:tab/>
      </w:r>
      <w:r w:rsidRPr="00EC792C">
        <w:rPr>
          <w:b/>
          <w:bCs/>
          <w:rtl/>
          <w:lang w:val="en-GB"/>
        </w:rPr>
        <w:t xml:space="preserve">دعت </w:t>
      </w:r>
      <w:r w:rsidRPr="00EC792C">
        <w:rPr>
          <w:rtl/>
          <w:lang w:val="en-GB"/>
        </w:rPr>
        <w:t>رئيسة الفريق CWG-FHR الدول الأعضاء المعنية إلى تقديم مساهمات إلى المجلس في</w:t>
      </w:r>
      <w:r w:rsidR="007D4F3C" w:rsidRPr="007E6D53">
        <w:rPr>
          <w:rtl/>
          <w:lang w:val="en-GB"/>
        </w:rPr>
        <w:t> </w:t>
      </w:r>
      <w:r w:rsidRPr="00EC792C">
        <w:rPr>
          <w:rtl/>
          <w:lang w:val="en-GB"/>
        </w:rPr>
        <w:t>دورته لعام</w:t>
      </w:r>
      <w:r w:rsidR="007D4F3C" w:rsidRPr="007E6D53">
        <w:rPr>
          <w:rtl/>
          <w:lang w:val="en-GB"/>
        </w:rPr>
        <w:t> </w:t>
      </w:r>
      <w:r w:rsidRPr="00EC792C">
        <w:rPr>
          <w:rtl/>
          <w:lang w:val="en-GB"/>
        </w:rPr>
        <w:t>2026 بحيث تصف فيها ما تود معرفته فيما يتعلق بتنفيذ تكنولوجيا المعلومات وحوكمة البيانات والمعلومات.</w:t>
      </w:r>
    </w:p>
    <w:p w14:paraId="6B0E0F02" w14:textId="77777777" w:rsidR="00EC792C" w:rsidRPr="00EC792C" w:rsidRDefault="00EC792C" w:rsidP="005F2069">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4.12</w:t>
      </w:r>
      <w:r w:rsidRPr="00EC792C">
        <w:rPr>
          <w:rtl/>
          <w:lang w:val="en-GB"/>
        </w:rPr>
        <w:tab/>
      </w:r>
      <w:r w:rsidRPr="000B628A">
        <w:rPr>
          <w:rtl/>
          <w:lang w:val="en-GB"/>
        </w:rPr>
        <w:t>و</w:t>
      </w:r>
      <w:r w:rsidRPr="00EC792C">
        <w:rPr>
          <w:b/>
          <w:bCs/>
          <w:rtl/>
          <w:lang w:val="en-GB"/>
        </w:rPr>
        <w:t>يوصي</w:t>
      </w:r>
      <w:r w:rsidRPr="00EC792C">
        <w:rPr>
          <w:rtl/>
          <w:lang w:val="en-GB"/>
        </w:rPr>
        <w:t xml:space="preserve"> الفريق بأن يكلف المجلس الأمانة بتقديم تقرير إلى المجلس بشأن هياكل الحوكمة ومجالس الحوكمة المؤسسية داخل الاتحاد وآثارها المالية.</w:t>
      </w:r>
    </w:p>
    <w:p w14:paraId="1562AF26" w14:textId="4B79C2BB" w:rsidR="00EC792C" w:rsidRPr="007E6D53" w:rsidRDefault="00EC792C" w:rsidP="007D4F3C">
      <w:pPr>
        <w:pStyle w:val="Heading1"/>
        <w:rPr>
          <w:spacing w:val="-6"/>
          <w:rtl/>
          <w:lang w:val="en-GB" w:bidi="en-GB"/>
        </w:rPr>
      </w:pPr>
      <w:r w:rsidRPr="007E6D53">
        <w:rPr>
          <w:spacing w:val="-6"/>
          <w:rtl/>
          <w:lang w:val="en-GB"/>
        </w:rPr>
        <w:lastRenderedPageBreak/>
        <w:t>13</w:t>
      </w:r>
      <w:r w:rsidRPr="007E6D53">
        <w:rPr>
          <w:spacing w:val="-6"/>
          <w:rtl/>
          <w:lang w:val="en-GB"/>
        </w:rPr>
        <w:tab/>
        <w:t xml:space="preserve">معالجة بطاقات التبليغ عن الشبكات الساتلية (الوثيقتان </w:t>
      </w:r>
      <w:hyperlink r:id="rId128" w:history="1">
        <w:r w:rsidR="007D4F3C" w:rsidRPr="007E6D53">
          <w:rPr>
            <w:rStyle w:val="Hyperlink"/>
          </w:rPr>
          <w:t>CWG-FHR-21/20</w:t>
        </w:r>
      </w:hyperlink>
      <w:r w:rsidRPr="007E6D53">
        <w:rPr>
          <w:spacing w:val="-6"/>
          <w:rtl/>
          <w:lang w:val="en-GB"/>
        </w:rPr>
        <w:t xml:space="preserve"> و</w:t>
      </w:r>
      <w:hyperlink r:id="rId129" w:history="1">
        <w:r w:rsidR="007D4F3C" w:rsidRPr="007E6D53">
          <w:rPr>
            <w:rStyle w:val="Hyperlink"/>
          </w:rPr>
          <w:t>CWG</w:t>
        </w:r>
        <w:r w:rsidR="007D4F3C" w:rsidRPr="007E6D53">
          <w:rPr>
            <w:rStyle w:val="Hyperlink"/>
          </w:rPr>
          <w:noBreakHyphen/>
          <w:t>FHR</w:t>
        </w:r>
        <w:r w:rsidR="007D4F3C" w:rsidRPr="007E6D53">
          <w:rPr>
            <w:rStyle w:val="Hyperlink"/>
          </w:rPr>
          <w:noBreakHyphen/>
          <w:t>22/2</w:t>
        </w:r>
      </w:hyperlink>
      <w:r w:rsidRPr="007E6D53">
        <w:rPr>
          <w:spacing w:val="-6"/>
          <w:rtl/>
          <w:lang w:val="en-GB"/>
        </w:rPr>
        <w:t>)</w:t>
      </w:r>
      <w:hyperlink r:id="rId130" w:history="1"/>
      <w:hyperlink r:id="rId131" w:history="1"/>
    </w:p>
    <w:p w14:paraId="05E5FC2E" w14:textId="6EFBB9DB" w:rsidR="00EC792C" w:rsidRPr="00EC792C" w:rsidRDefault="00EC792C" w:rsidP="00EC792C">
      <w:pPr>
        <w:rPr>
          <w:rtl/>
          <w:lang w:val="en-GB" w:bidi="en-GB"/>
        </w:rPr>
      </w:pPr>
      <w:r w:rsidRPr="00EC792C">
        <w:rPr>
          <w:rtl/>
          <w:lang w:val="en-GB"/>
        </w:rPr>
        <w:t>1.13</w:t>
      </w:r>
      <w:r w:rsidRPr="00EC792C">
        <w:rPr>
          <w:rtl/>
          <w:lang w:val="en-GB"/>
        </w:rPr>
        <w:tab/>
        <w:t>في الاجتماع الحادي والعشرين، ذكرت الأمانة أن ثمة حاجة إلى وقت إضافي لمعالجة تعليمات المجلس في</w:t>
      </w:r>
      <w:r w:rsidR="00DF0BA9" w:rsidRPr="007E6D53">
        <w:rPr>
          <w:rtl/>
          <w:lang w:val="en-GB"/>
        </w:rPr>
        <w:t> </w:t>
      </w:r>
      <w:r w:rsidRPr="00EC792C">
        <w:rPr>
          <w:rtl/>
          <w:lang w:val="en-GB"/>
        </w:rPr>
        <w:t>دورته لعام 2025 ووعدت بإعداد وثيقة لمناقشتها في اجتماع يناير 2026. وأحاطت الرئيسة علم</w:t>
      </w:r>
      <w:r w:rsidR="00DF0BA9" w:rsidRPr="007E6D53">
        <w:rPr>
          <w:rtl/>
          <w:lang w:val="en-GB"/>
        </w:rPr>
        <w:t>اً</w:t>
      </w:r>
      <w:r w:rsidRPr="00EC792C">
        <w:rPr>
          <w:rtl/>
          <w:lang w:val="en-GB"/>
        </w:rPr>
        <w:t xml:space="preserve"> ببيان الأمانة وأعط</w:t>
      </w:r>
      <w:r w:rsidR="000B628A">
        <w:rPr>
          <w:rFonts w:hint="cs"/>
          <w:rtl/>
          <w:lang w:val="en-GB"/>
        </w:rPr>
        <w:t>ت</w:t>
      </w:r>
      <w:r w:rsidRPr="00EC792C">
        <w:rPr>
          <w:rtl/>
          <w:lang w:val="en-GB"/>
        </w:rPr>
        <w:t xml:space="preserve"> الكلمة للولايات المتحدة لتقديم مساهمتها، مذكرةً المندوبين بأن المناقشات الموضوعية ستجري في يناير. وقدمت مساهمة الولايات المتحدة (الوثيقة </w:t>
      </w:r>
      <w:hyperlink r:id="rId132" w:history="1">
        <w:r w:rsidR="00DF0BA9" w:rsidRPr="007E6D53">
          <w:rPr>
            <w:rStyle w:val="Hyperlink"/>
          </w:rPr>
          <w:t>CWG-FHR-21/20</w:t>
        </w:r>
      </w:hyperlink>
      <w:r w:rsidRPr="00EC792C">
        <w:rPr>
          <w:rtl/>
          <w:lang w:val="en-GB"/>
        </w:rPr>
        <w:t>) معلومات إضافية لتنظر فيها الأمانة، ومن ثم، خلص المندوب أثناء عرضه إلى أن عدم التوصل إلى استنتاج بشأن هذه المسألة خلال الاجتماع أمر مقبول. وأيد العديد من المندوبين مساهمة الولايات المتحدة.</w:t>
      </w:r>
      <w:hyperlink r:id="rId133" w:history="1"/>
    </w:p>
    <w:p w14:paraId="63082D1A" w14:textId="25C99D6A" w:rsidR="00EC792C" w:rsidRPr="00EC792C" w:rsidRDefault="00EC792C" w:rsidP="00EC792C">
      <w:pPr>
        <w:rPr>
          <w:rtl/>
          <w:lang w:val="en-GB" w:bidi="en-GB"/>
        </w:rPr>
      </w:pPr>
      <w:r w:rsidRPr="00EC792C">
        <w:rPr>
          <w:rtl/>
          <w:lang w:val="en-GB"/>
        </w:rPr>
        <w:t>2.13</w:t>
      </w:r>
      <w:r w:rsidRPr="00EC792C">
        <w:rPr>
          <w:rtl/>
          <w:lang w:val="en-GB"/>
        </w:rPr>
        <w:tab/>
        <w:t>وعلاوة</w:t>
      </w:r>
      <w:r w:rsidR="00055F1F" w:rsidRPr="007E6D53">
        <w:rPr>
          <w:rtl/>
          <w:lang w:val="en-GB"/>
        </w:rPr>
        <w:t>ً</w:t>
      </w:r>
      <w:r w:rsidRPr="00EC792C">
        <w:rPr>
          <w:rtl/>
          <w:lang w:val="en-GB"/>
        </w:rPr>
        <w:t xml:space="preserve"> على ذلك، ذكر أحد المندوبين الفريق بولاية المجلس في دورته لعام 2025، ولا سيما أن الفريق قد كلف بتحديد التكاليف المباشرة وغير المباشرة بوضوح. وقدم مندوبون آخرون </w:t>
      </w:r>
      <w:r w:rsidR="00AF5BDE" w:rsidRPr="007E6D53">
        <w:rPr>
          <w:rtl/>
          <w:lang w:val="en-GB"/>
        </w:rPr>
        <w:t xml:space="preserve">أيضاً </w:t>
      </w:r>
      <w:r w:rsidRPr="00EC792C">
        <w:rPr>
          <w:rtl/>
          <w:lang w:val="en-GB"/>
        </w:rPr>
        <w:t>توصيات مثل الإبقاء على قدرات معالجة بطاقات التبليغ المجانية والخضوع لتحليل عبء العمل لحساب التكاليف غير المباشرة بمزيد من الدقة. وحثت الرئيسة الأمانة على الإحاطة علما</w:t>
      </w:r>
      <w:r w:rsidR="00055F1F" w:rsidRPr="007E6D53">
        <w:rPr>
          <w:rtl/>
          <w:lang w:val="en-GB"/>
        </w:rPr>
        <w:t>ً</w:t>
      </w:r>
      <w:r w:rsidRPr="00EC792C">
        <w:rPr>
          <w:rtl/>
          <w:lang w:val="en-GB"/>
        </w:rPr>
        <w:t xml:space="preserve"> بالمناقشة، وأفادت بأن الأمانة ستستضيف جلسة إعلامية في ديسمبر 2025. وعقدت تلك </w:t>
      </w:r>
      <w:hyperlink r:id="rId134" w:history="1">
        <w:r w:rsidRPr="00EC792C">
          <w:rPr>
            <w:rStyle w:val="Hyperlink"/>
            <w:noProof w:val="0"/>
            <w:rtl/>
            <w:lang w:eastAsia="zh-CN"/>
          </w:rPr>
          <w:t>الجلسة الإعلامية</w:t>
        </w:r>
      </w:hyperlink>
      <w:r w:rsidRPr="00EC792C">
        <w:rPr>
          <w:rtl/>
          <w:lang w:val="en-GB"/>
        </w:rPr>
        <w:t xml:space="preserve"> في 16 ديسمبر 2025.</w:t>
      </w:r>
      <w:hyperlink r:id="rId135" w:history="1"/>
    </w:p>
    <w:p w14:paraId="4BB727B8" w14:textId="46A73FB3" w:rsidR="00EC792C" w:rsidRPr="00EC792C" w:rsidRDefault="00EC792C" w:rsidP="00EC792C">
      <w:pPr>
        <w:rPr>
          <w:spacing w:val="-2"/>
          <w:rtl/>
          <w:lang w:val="en-GB" w:bidi="en-GB"/>
        </w:rPr>
      </w:pPr>
      <w:r w:rsidRPr="00EC792C">
        <w:rPr>
          <w:spacing w:val="-2"/>
          <w:rtl/>
          <w:lang w:val="en-GB"/>
        </w:rPr>
        <w:t>3.13</w:t>
      </w:r>
      <w:r w:rsidRPr="00EC792C">
        <w:rPr>
          <w:spacing w:val="-2"/>
          <w:rtl/>
          <w:lang w:val="en-GB"/>
        </w:rPr>
        <w:tab/>
        <w:t xml:space="preserve">وفي يناير، قدمت الأمانة نموذجها المقترح لاسترداد تكاليف معالجة بطاقات التبليغ عن الشبكات الساتلية (SNF) في الوثيقة </w:t>
      </w:r>
      <w:hyperlink r:id="rId136" w:history="1">
        <w:r w:rsidR="00CD731F" w:rsidRPr="007E6D53">
          <w:rPr>
            <w:rStyle w:val="Hyperlink"/>
            <w:spacing w:val="-2"/>
          </w:rPr>
          <w:t>CWG-FHR-22/2</w:t>
        </w:r>
      </w:hyperlink>
      <w:r w:rsidRPr="00EC792C">
        <w:rPr>
          <w:spacing w:val="-2"/>
          <w:rtl/>
          <w:lang w:val="en-GB"/>
        </w:rPr>
        <w:t>. وتتواءم المنهجية الجديدة مع القرار 91 (المراج</w:t>
      </w:r>
      <w:r w:rsidR="000A4E77" w:rsidRPr="007E6D53">
        <w:rPr>
          <w:spacing w:val="-2"/>
          <w:rtl/>
          <w:lang w:val="en-GB"/>
        </w:rPr>
        <w:t>َ</w:t>
      </w:r>
      <w:r w:rsidRPr="00EC792C">
        <w:rPr>
          <w:spacing w:val="-2"/>
          <w:rtl/>
          <w:lang w:val="en-GB"/>
        </w:rPr>
        <w:t>ع في غوادالاخارا، 2010) وتهدف إلى المساعدة في حساب إجمالي النفقات السنوية لمعالجة بطاقات التبليغ عن الشبكات الساتلية (SNF)، من خلال تقييم التكاليف المباشرة وغير المباشرة. ويشمل حساب التكاليف غير المباشرة نفقات مثل توظيف الموارد البشرية ولكنه يستثني النفقات العامة مثل Microsoft 365. وأكدت الأمانة أنها تفضل ضمان ألا تمول وحدات مساهمات الأعضاء التكاليف التي ينبغي تمويلها من استرداد التكاليف. وأقرت بصعوبة التنبؤ بتكاليف معالجة بطاقات التبليغ عن الشبكات الساتلية، ولكنها شددت على التزامها بدقة حسابات استرداد التكاليف. وفي الختام، أبلغت الأمانة المندوبين بأن النظر في</w:t>
      </w:r>
      <w:r w:rsidR="000A4E77" w:rsidRPr="007E6D53">
        <w:rPr>
          <w:spacing w:val="-2"/>
          <w:rtl/>
          <w:lang w:val="en-GB"/>
        </w:rPr>
        <w:t> </w:t>
      </w:r>
      <w:r w:rsidRPr="00EC792C">
        <w:rPr>
          <w:spacing w:val="-2"/>
          <w:rtl/>
          <w:lang w:val="en-GB"/>
        </w:rPr>
        <w:t>استرداد التكاليف سيستمر خلال عامي 2026 و2027، مع استهداف أن ينفذ المجلس في دورته لعام 2027 مسار</w:t>
      </w:r>
      <w:r w:rsidR="000B628A">
        <w:rPr>
          <w:rFonts w:hint="cs"/>
          <w:spacing w:val="-2"/>
          <w:rtl/>
          <w:lang w:val="en-GB"/>
        </w:rPr>
        <w:t>اً</w:t>
      </w:r>
      <w:r w:rsidRPr="00EC792C">
        <w:rPr>
          <w:spacing w:val="-2"/>
          <w:rtl/>
          <w:lang w:val="en-GB"/>
        </w:rPr>
        <w:t xml:space="preserve"> للمضي قدم</w:t>
      </w:r>
      <w:r w:rsidR="00EA2BEA" w:rsidRPr="007E6D53">
        <w:rPr>
          <w:spacing w:val="-2"/>
          <w:rtl/>
          <w:lang w:val="en-GB"/>
        </w:rPr>
        <w:t xml:space="preserve">اً </w:t>
      </w:r>
      <w:r w:rsidRPr="00EC792C">
        <w:rPr>
          <w:spacing w:val="-2"/>
          <w:rtl/>
          <w:lang w:val="en-GB"/>
        </w:rPr>
        <w:t>اعتبار</w:t>
      </w:r>
      <w:r w:rsidR="00EA2BEA" w:rsidRPr="007E6D53">
        <w:rPr>
          <w:spacing w:val="-2"/>
          <w:rtl/>
          <w:lang w:val="en-GB"/>
        </w:rPr>
        <w:t xml:space="preserve">اً </w:t>
      </w:r>
      <w:r w:rsidRPr="00EC792C">
        <w:rPr>
          <w:spacing w:val="-2"/>
          <w:rtl/>
          <w:lang w:val="en-GB"/>
        </w:rPr>
        <w:t>من 1 يناير 2028.</w:t>
      </w:r>
      <w:hyperlink r:id="rId137" w:history="1"/>
    </w:p>
    <w:p w14:paraId="4C7B9F8D" w14:textId="4D7CD259" w:rsidR="00EC792C" w:rsidRPr="007E6D53" w:rsidRDefault="00EC792C" w:rsidP="000A4E77">
      <w:pPr>
        <w:pStyle w:val="Headingb"/>
        <w:ind w:left="-1" w:firstLine="1"/>
        <w:rPr>
          <w:rtl/>
          <w:lang w:val="en-GB" w:bidi="en-GB"/>
        </w:rPr>
      </w:pPr>
      <w:r w:rsidRPr="007E6D53">
        <w:rPr>
          <w:rtl/>
          <w:lang w:val="en-GB"/>
        </w:rPr>
        <w:t xml:space="preserve">مساهمة من الاتحاد الروسي - تعليقات بشأن معالجة بطاقات التبليغ عن الشبكات الساتلية - تحديث المنهجية (الوثيقة </w:t>
      </w:r>
      <w:hyperlink r:id="rId138" w:history="1">
        <w:r w:rsidR="000A4E77" w:rsidRPr="007E6D53">
          <w:rPr>
            <w:rStyle w:val="Hyperlink"/>
          </w:rPr>
          <w:t>CWG-FHR-22/27</w:t>
        </w:r>
      </w:hyperlink>
      <w:r w:rsidRPr="007E6D53">
        <w:rPr>
          <w:rtl/>
          <w:lang w:val="en-GB"/>
        </w:rPr>
        <w:t>)</w:t>
      </w:r>
      <w:hyperlink r:id="rId139" w:history="1"/>
    </w:p>
    <w:p w14:paraId="3DA4B8AB" w14:textId="5DF2A068" w:rsidR="00EC792C" w:rsidRPr="00EC792C" w:rsidRDefault="00EC792C" w:rsidP="00EC792C">
      <w:pPr>
        <w:rPr>
          <w:rtl/>
          <w:lang w:val="en-GB" w:bidi="en-GB"/>
        </w:rPr>
      </w:pPr>
      <w:r w:rsidRPr="00EC792C">
        <w:rPr>
          <w:rtl/>
          <w:lang w:val="en-GB"/>
        </w:rPr>
        <w:t>4.13</w:t>
      </w:r>
      <w:r w:rsidRPr="00EC792C">
        <w:rPr>
          <w:rtl/>
          <w:lang w:val="en-GB"/>
        </w:rPr>
        <w:tab/>
        <w:t>تناولت مساهمة مقدمة من الاتحاد الروسي عدم وجود صيغ واضحة في المنهجية التي عرضتها الأمانة، طالبةً من الأمانة تقديم معلومات واضحة ومفصلة، بما في ذلك صيغ ومدخلات وافتراضات محددة، لحساب التكاليف المباشرة وغير المباشرة والرأسمالية التي يتعين تغطيتها من ميزانية الاتحاد العادية. وبالإضافة إلى ذلك، أعدت المساهمة المطلوبة في ميزانية الاتحاد دون زيادة في رسوم معالجة بطاقات التبليغ عن الشبكات الساتلية، وأكدت الاعتقاد بأن معالجة بطاقات التبليغ المجانية ينبغي أن تكون مغطاة من وحدات مساهمة الأعضاء، نظر</w:t>
      </w:r>
      <w:r w:rsidR="00EA2BEA" w:rsidRPr="007E6D53">
        <w:rPr>
          <w:rtl/>
          <w:lang w:val="en-GB"/>
        </w:rPr>
        <w:t xml:space="preserve">اً </w:t>
      </w:r>
      <w:r w:rsidRPr="00EC792C">
        <w:rPr>
          <w:rtl/>
          <w:lang w:val="en-GB"/>
        </w:rPr>
        <w:t>إلى أنها ولاية أساسية للاتحاد.</w:t>
      </w:r>
    </w:p>
    <w:p w14:paraId="734D46CB" w14:textId="37A98E49" w:rsidR="00EC792C" w:rsidRPr="007E6D53" w:rsidRDefault="00EC792C" w:rsidP="00967EF2">
      <w:pPr>
        <w:pStyle w:val="Headingb"/>
        <w:ind w:left="-1" w:firstLine="1"/>
        <w:rPr>
          <w:rtl/>
          <w:lang w:val="en-GB" w:bidi="en-GB"/>
        </w:rPr>
      </w:pPr>
      <w:r w:rsidRPr="007E6D53">
        <w:rPr>
          <w:rtl/>
          <w:lang w:val="en-GB"/>
        </w:rPr>
        <w:t>مساهمة من الرابطة العالمية لمشغلي السواتل - معالجة بطاقات التبليغ عن الشبكات الساتلية (الوثيقة</w:t>
      </w:r>
      <w:r w:rsidR="00967EF2" w:rsidRPr="007E6D53">
        <w:rPr>
          <w:rtl/>
          <w:lang w:val="en-GB"/>
        </w:rPr>
        <w:t> </w:t>
      </w:r>
      <w:hyperlink r:id="rId140" w:history="1">
        <w:r w:rsidR="003A2A1E" w:rsidRPr="007E6D53">
          <w:rPr>
            <w:rStyle w:val="Hyperlink"/>
          </w:rPr>
          <w:t>CWG-FHR-22/29</w:t>
        </w:r>
      </w:hyperlink>
      <w:r w:rsidRPr="007E6D53">
        <w:rPr>
          <w:rtl/>
          <w:lang w:val="en-GB"/>
        </w:rPr>
        <w:t>)</w:t>
      </w:r>
      <w:hyperlink r:id="rId141" w:history="1"/>
    </w:p>
    <w:p w14:paraId="76A1CF4E" w14:textId="73E57226" w:rsidR="00EC792C" w:rsidRPr="00EC792C" w:rsidRDefault="00EC792C" w:rsidP="00EC792C">
      <w:pPr>
        <w:rPr>
          <w:spacing w:val="-2"/>
          <w:rtl/>
          <w:lang w:val="en-GB" w:bidi="en-GB"/>
        </w:rPr>
      </w:pPr>
      <w:r w:rsidRPr="00EC792C">
        <w:rPr>
          <w:spacing w:val="-2"/>
          <w:rtl/>
          <w:lang w:val="en-GB"/>
        </w:rPr>
        <w:t>5.13</w:t>
      </w:r>
      <w:r w:rsidRPr="00EC792C">
        <w:rPr>
          <w:spacing w:val="-2"/>
          <w:rtl/>
          <w:lang w:val="en-GB"/>
        </w:rPr>
        <w:tab/>
        <w:t>عارضت مساهمة مقدمة من الرابطة العالمية لمشغلي السواتل (GSOA) معاملة التكاليف غير المباشرة، بحجة أن التحليل الداعم الذي قدمته الأمانة ليس في محله استنادا</w:t>
      </w:r>
      <w:r w:rsidR="00967EF2" w:rsidRPr="007E6D53">
        <w:rPr>
          <w:spacing w:val="-2"/>
          <w:rtl/>
          <w:lang w:val="en-GB"/>
        </w:rPr>
        <w:t>ً</w:t>
      </w:r>
      <w:r w:rsidRPr="00EC792C">
        <w:rPr>
          <w:spacing w:val="-2"/>
          <w:rtl/>
          <w:lang w:val="en-GB"/>
        </w:rPr>
        <w:t xml:space="preserve"> إلى ولاية الاتحاد المتميزة والعمليات التشغيلية المحددة. وبالإضافة إلى ذلك، حللت الرابطة الخيارات الثلاثة المقترحة المتعلقة بالاستحقاق المجاني، مع التأكيد على أن أنشطة معالجة بطاقات التبليغ تدعم، وإن استهلتها فرادى الإدارات، إدارة الطيف العالمي والموارد المدارية، مما يعني أن فوائدها تتجاوز إدارة واحدة. وأشارت المساهمة أيضا</w:t>
      </w:r>
      <w:r w:rsidR="00967EF2" w:rsidRPr="007E6D53">
        <w:rPr>
          <w:spacing w:val="-2"/>
          <w:rtl/>
          <w:lang w:val="en-GB"/>
        </w:rPr>
        <w:t>ً</w:t>
      </w:r>
      <w:r w:rsidRPr="00EC792C">
        <w:rPr>
          <w:spacing w:val="-2"/>
          <w:rtl/>
          <w:lang w:val="en-GB"/>
        </w:rPr>
        <w:t xml:space="preserve"> إلى آلية "التسوية بالزيادة/بالنقصان" التي اقترحتها الأمانة، وذكرت أن هذه الآلية تعرض كشكل من أشكال التوفيق، إلا أنها تشكل خطرا</w:t>
      </w:r>
      <w:r w:rsidR="00967EF2" w:rsidRPr="007E6D53">
        <w:rPr>
          <w:spacing w:val="-2"/>
          <w:rtl/>
          <w:lang w:val="en-GB"/>
        </w:rPr>
        <w:t>ً</w:t>
      </w:r>
      <w:r w:rsidRPr="00EC792C">
        <w:rPr>
          <w:spacing w:val="-2"/>
          <w:rtl/>
          <w:lang w:val="en-GB"/>
        </w:rPr>
        <w:t xml:space="preserve"> كبيرا</w:t>
      </w:r>
      <w:r w:rsidR="00967EF2" w:rsidRPr="007E6D53">
        <w:rPr>
          <w:spacing w:val="-2"/>
          <w:rtl/>
          <w:lang w:val="en-GB"/>
        </w:rPr>
        <w:t>ً</w:t>
      </w:r>
      <w:r w:rsidRPr="00EC792C">
        <w:rPr>
          <w:spacing w:val="-2"/>
          <w:rtl/>
          <w:lang w:val="en-GB"/>
        </w:rPr>
        <w:t xml:space="preserve"> على مشغلي السواتل وإداراتهم. وأكد المندوب من جديد أيضا</w:t>
      </w:r>
      <w:r w:rsidR="00967EF2" w:rsidRPr="007E6D53">
        <w:rPr>
          <w:spacing w:val="-2"/>
          <w:rtl/>
          <w:lang w:val="en-GB"/>
        </w:rPr>
        <w:t>ً</w:t>
      </w:r>
      <w:r w:rsidRPr="00EC792C">
        <w:rPr>
          <w:spacing w:val="-2"/>
          <w:rtl/>
          <w:lang w:val="en-GB"/>
        </w:rPr>
        <w:t xml:space="preserve"> أن استرداد تكاليف معالجة بطاقات التبليغ عن الشبكات الساتلية ليس استرداد</w:t>
      </w:r>
      <w:r w:rsidR="00EA2BEA" w:rsidRPr="007E6D53">
        <w:rPr>
          <w:spacing w:val="-2"/>
          <w:rtl/>
          <w:lang w:val="en-GB"/>
        </w:rPr>
        <w:t xml:space="preserve">اً </w:t>
      </w:r>
      <w:r w:rsidRPr="00EC792C">
        <w:rPr>
          <w:spacing w:val="-2"/>
          <w:rtl/>
          <w:lang w:val="en-GB"/>
        </w:rPr>
        <w:t>في إطار الميزانية.</w:t>
      </w:r>
    </w:p>
    <w:p w14:paraId="389AE364" w14:textId="5FD0EF9C" w:rsidR="00EC792C" w:rsidRPr="007E6D53" w:rsidRDefault="00EC792C" w:rsidP="003A2A1E">
      <w:pPr>
        <w:pStyle w:val="Headingb"/>
        <w:ind w:left="-1" w:firstLine="1"/>
        <w:rPr>
          <w:rtl/>
          <w:lang w:val="en-GB" w:bidi="en-GB"/>
        </w:rPr>
      </w:pPr>
      <w:r w:rsidRPr="007E6D53">
        <w:rPr>
          <w:rtl/>
          <w:lang w:val="en-GB"/>
        </w:rPr>
        <w:lastRenderedPageBreak/>
        <w:t xml:space="preserve">مساهمة من الولايات المتحدة الأمريكية - تعليقات ومقترحات بشأن معالجة بطاقات التبليغ عن الشبكات الساتلية واسترداد التكاليف (الوثيقة </w:t>
      </w:r>
      <w:hyperlink r:id="rId142" w:history="1">
        <w:r w:rsidR="003A2A1E" w:rsidRPr="007E6D53">
          <w:rPr>
            <w:rStyle w:val="Hyperlink"/>
          </w:rPr>
          <w:t>CWG-FHR-22/32</w:t>
        </w:r>
      </w:hyperlink>
      <w:r w:rsidRPr="007E6D53">
        <w:rPr>
          <w:rtl/>
          <w:lang w:val="en-GB"/>
        </w:rPr>
        <w:t>)</w:t>
      </w:r>
      <w:hyperlink r:id="rId143" w:history="1"/>
    </w:p>
    <w:p w14:paraId="29123724" w14:textId="47B6C53E" w:rsidR="00EC792C" w:rsidRPr="00EC792C" w:rsidRDefault="00EC792C" w:rsidP="00EC792C">
      <w:pPr>
        <w:rPr>
          <w:rtl/>
          <w:lang w:val="en-GB" w:bidi="en-GB"/>
        </w:rPr>
      </w:pPr>
      <w:r w:rsidRPr="00EC792C">
        <w:rPr>
          <w:rtl/>
          <w:lang w:val="en-GB"/>
        </w:rPr>
        <w:t>6.13</w:t>
      </w:r>
      <w:r w:rsidRPr="00EC792C">
        <w:rPr>
          <w:rtl/>
          <w:lang w:val="en-GB"/>
        </w:rPr>
        <w:tab/>
        <w:t>أشارت مساهمة مقدمة من الولايات المتحدة إلى أن التكاليف المباشرة وغير المباشرة لمعالجة بطاقات التبليغ المجانية ينبغي تمويلها من ميزانية الاتحاد العادية، وفقا</w:t>
      </w:r>
      <w:r w:rsidR="00CC7AB2" w:rsidRPr="007E6D53">
        <w:rPr>
          <w:rtl/>
          <w:lang w:val="en-GB"/>
        </w:rPr>
        <w:t>ً</w:t>
      </w:r>
      <w:r w:rsidRPr="00EC792C">
        <w:rPr>
          <w:rtl/>
          <w:lang w:val="en-GB"/>
        </w:rPr>
        <w:t xml:space="preserve"> للقرار 91 (المرا</w:t>
      </w:r>
      <w:r w:rsidR="003A2A1E" w:rsidRPr="007E6D53">
        <w:rPr>
          <w:rtl/>
          <w:lang w:val="en-GB"/>
        </w:rPr>
        <w:t>جَ</w:t>
      </w:r>
      <w:r w:rsidRPr="00EC792C">
        <w:rPr>
          <w:rtl/>
          <w:lang w:val="en-GB"/>
        </w:rPr>
        <w:t>ع في غوادالاخارا، 2010). وفي حين شكرت المساهمة الأمانة على عملها الجاري لوضع منهجية، فقد دعت أيضا</w:t>
      </w:r>
      <w:r w:rsidR="00CC7AB2" w:rsidRPr="007E6D53">
        <w:rPr>
          <w:rtl/>
          <w:lang w:val="en-GB"/>
        </w:rPr>
        <w:t>ً</w:t>
      </w:r>
      <w:r w:rsidRPr="00EC792C">
        <w:rPr>
          <w:rtl/>
          <w:lang w:val="en-GB"/>
        </w:rPr>
        <w:t xml:space="preserve"> إلى تقديم مزيد من التفاصيل بشأن عناصر التكلفة التي يتعين استردادها من خلال المنهجية، ولا سيما كيفية تحديد التكاليف وتوزيعها. وشدد المندوب على أهمية التقسيم بالتناسب بين قاعدة المستخدمين المتوقعة وكيف ينبغي استرداد تكلفة البرمجيات على مدى عمرها الافتراضي. وأخيرا</w:t>
      </w:r>
      <w:r w:rsidR="00CC7AB2" w:rsidRPr="007E6D53">
        <w:rPr>
          <w:rtl/>
          <w:lang w:val="en-GB"/>
        </w:rPr>
        <w:t>ً</w:t>
      </w:r>
      <w:r w:rsidRPr="00EC792C">
        <w:rPr>
          <w:rtl/>
          <w:lang w:val="en-GB"/>
        </w:rPr>
        <w:t>، طلبت المساهمة رؤية متبصرة بشأن كيفية قياس مكاسب الكفاءة وتقديم تقارير عنها.</w:t>
      </w:r>
    </w:p>
    <w:p w14:paraId="3ADA2251" w14:textId="581D1730" w:rsidR="00EC792C" w:rsidRPr="007E6D53" w:rsidRDefault="00EC792C" w:rsidP="00CC7AB2">
      <w:pPr>
        <w:pStyle w:val="Headingb"/>
        <w:ind w:left="-1" w:firstLine="1"/>
        <w:rPr>
          <w:rtl/>
          <w:lang w:val="en-GB" w:bidi="en-GB"/>
        </w:rPr>
      </w:pPr>
      <w:r w:rsidRPr="007E6D53">
        <w:rPr>
          <w:rtl/>
          <w:lang w:val="en-GB"/>
        </w:rPr>
        <w:t xml:space="preserve">مساهمة من تنزانيا وكينيا ونيجيريا - مساهمة في تقرير الأمينة العام عن بطاقات التبليغ عن الشبكات الساتلية - تحديث المنهجية (الوثيقة </w:t>
      </w:r>
      <w:hyperlink r:id="rId144" w:history="1">
        <w:r w:rsidR="00CC7AB2" w:rsidRPr="007E6D53">
          <w:rPr>
            <w:rStyle w:val="Hyperlink"/>
          </w:rPr>
          <w:t>CWG-FHR-22/33</w:t>
        </w:r>
      </w:hyperlink>
      <w:r w:rsidRPr="007E6D53">
        <w:rPr>
          <w:rtl/>
          <w:lang w:val="en-GB"/>
        </w:rPr>
        <w:t>)</w:t>
      </w:r>
      <w:hyperlink r:id="rId145" w:history="1"/>
    </w:p>
    <w:p w14:paraId="5D6346C7" w14:textId="770E37C2" w:rsidR="00EC792C" w:rsidRPr="00EC792C" w:rsidRDefault="00EC792C" w:rsidP="00EC792C">
      <w:pPr>
        <w:rPr>
          <w:rtl/>
          <w:lang w:val="en-GB" w:bidi="en-GB"/>
        </w:rPr>
      </w:pPr>
      <w:r w:rsidRPr="00EC792C">
        <w:rPr>
          <w:rtl/>
          <w:lang w:val="en-GB"/>
        </w:rPr>
        <w:t>7.13</w:t>
      </w:r>
      <w:r w:rsidRPr="00EC792C">
        <w:rPr>
          <w:rtl/>
          <w:lang w:val="en-GB"/>
        </w:rPr>
        <w:tab/>
        <w:t xml:space="preserve">وجهت مساهمة مقدمة من بلدان </w:t>
      </w:r>
      <w:r w:rsidR="000B628A">
        <w:rPr>
          <w:rFonts w:hint="cs"/>
          <w:rtl/>
          <w:lang w:val="en-GB"/>
        </w:rPr>
        <w:t xml:space="preserve">متعددة </w:t>
      </w:r>
      <w:r w:rsidRPr="00EC792C">
        <w:rPr>
          <w:rtl/>
          <w:lang w:val="en-GB"/>
        </w:rPr>
        <w:t xml:space="preserve">المقدمة من تنزانيا وكينيا ونيجيريا الانتباه إلى أن معالج بطاقات التبليغ المجانية لا تأخذ في الاعتبار الفروق الدقيقة المتعلقة بالبلدان النامية، واقترحت توفير استحقاق مجاني للمبادرات الإقليمية الساتلية لتعزيز النفاذ المنصف. وبالإضافة إلى ذلك، شدد المقترح على وجوب تطبيق الاستحقاق المجاني على الأنظمة الساتلية الكاملة وعلى أنه ينبغي أن يستبعد بطاقات التبليغ بالتعديلات. </w:t>
      </w:r>
    </w:p>
    <w:p w14:paraId="449F39D4" w14:textId="77777777" w:rsidR="00EC792C" w:rsidRPr="007E6D53" w:rsidRDefault="00EC792C" w:rsidP="00CC1278">
      <w:pPr>
        <w:pStyle w:val="Headingb"/>
        <w:rPr>
          <w:rtl/>
          <w:lang w:val="en-GB" w:bidi="en-GB"/>
        </w:rPr>
      </w:pPr>
      <w:r w:rsidRPr="007E6D53">
        <w:rPr>
          <w:rtl/>
          <w:lang w:val="en-GB"/>
        </w:rPr>
        <w:t>المناقشة</w:t>
      </w:r>
    </w:p>
    <w:p w14:paraId="2B7A4552" w14:textId="7FAD795D" w:rsidR="00EC792C" w:rsidRPr="00EC792C" w:rsidRDefault="00EC792C" w:rsidP="00EC792C">
      <w:pPr>
        <w:rPr>
          <w:spacing w:val="-2"/>
          <w:rtl/>
          <w:lang w:val="en-GB" w:bidi="en-GB"/>
        </w:rPr>
      </w:pPr>
      <w:r w:rsidRPr="00EC792C">
        <w:rPr>
          <w:spacing w:val="-2"/>
          <w:rtl/>
          <w:lang w:val="en-GB"/>
        </w:rPr>
        <w:t>8.13</w:t>
      </w:r>
      <w:r w:rsidRPr="00EC792C">
        <w:rPr>
          <w:spacing w:val="-2"/>
          <w:rtl/>
          <w:lang w:val="en-GB"/>
        </w:rPr>
        <w:tab/>
        <w:t>خلال الاجتماع الثاني والعشرين للفريق CWG-FHR، ناقش المندوبون ثلاثة مقترحات بشأن نموذج استرداد تكاليف معالجة بطاقات التبليغ عن الشبكات الساتلية. فأيد أحد المندوبين المساهمات المقدمة من الرابطة العالمية لمشغلي السواتل (GSOA) والولايات المتحدة، معرباً عن موافقته على أن مقترحات الأمانة تحتاج إلى تحسين مقاييس الكفاءة. وتساءل مندوب آخر عن إعادة فتح أعمال فريق الخبراء المعني بالمقرر 482 والتمس توضيح</w:t>
      </w:r>
      <w:r w:rsidR="00EA2BEA" w:rsidRPr="007E6D53">
        <w:rPr>
          <w:spacing w:val="-2"/>
          <w:rtl/>
          <w:lang w:val="en-GB"/>
        </w:rPr>
        <w:t xml:space="preserve">اً </w:t>
      </w:r>
      <w:r w:rsidRPr="00EC792C">
        <w:rPr>
          <w:spacing w:val="-2"/>
          <w:rtl/>
          <w:lang w:val="en-GB"/>
        </w:rPr>
        <w:t>بشأن تعريف وحدود "معالجة بطاقات التبليغ المجانية". وشدد مندوب آخر على الحاجة الملحة لاتخاذ قرار، مشير</w:t>
      </w:r>
      <w:r w:rsidR="00EA2BEA" w:rsidRPr="007E6D53">
        <w:rPr>
          <w:spacing w:val="-2"/>
          <w:rtl/>
          <w:lang w:val="en-GB"/>
        </w:rPr>
        <w:t xml:space="preserve">اً </w:t>
      </w:r>
      <w:r w:rsidRPr="00EC792C">
        <w:rPr>
          <w:spacing w:val="-2"/>
          <w:rtl/>
          <w:lang w:val="en-GB"/>
        </w:rPr>
        <w:t xml:space="preserve">إلى أن تزايد عدد بطاقات التبليغ عن الشبكات الساتلية يجعل الوضع الحالي غير مستدام. </w:t>
      </w:r>
    </w:p>
    <w:p w14:paraId="0CC22353" w14:textId="4C01AF94" w:rsidR="00EC792C" w:rsidRPr="00EC792C" w:rsidRDefault="00EC792C" w:rsidP="00EC792C">
      <w:pPr>
        <w:rPr>
          <w:rtl/>
          <w:lang w:val="en-GB" w:bidi="en-GB"/>
        </w:rPr>
      </w:pPr>
      <w:r w:rsidRPr="00EC792C">
        <w:rPr>
          <w:rtl/>
          <w:lang w:val="en-GB"/>
        </w:rPr>
        <w:t>9.13</w:t>
      </w:r>
      <w:r w:rsidRPr="00EC792C">
        <w:rPr>
          <w:rtl/>
          <w:lang w:val="en-GB"/>
        </w:rPr>
        <w:tab/>
        <w:t>وتمثلت إحدى نقاط الخلاف الرئيسية في تعريف التكاليف المباشرة وغير المباشرة وشفافيتها، حيث طلب أحد المندوبين تحليل</w:t>
      </w:r>
      <w:r w:rsidR="00D25D1C" w:rsidRPr="007E6D53">
        <w:rPr>
          <w:rtl/>
          <w:lang w:val="en-GB"/>
        </w:rPr>
        <w:t>اً</w:t>
      </w:r>
      <w:r w:rsidRPr="00EC792C">
        <w:rPr>
          <w:rtl/>
          <w:lang w:val="en-GB"/>
        </w:rPr>
        <w:t xml:space="preserve"> واضحا</w:t>
      </w:r>
      <w:r w:rsidR="00D25D1C" w:rsidRPr="007E6D53">
        <w:rPr>
          <w:rtl/>
          <w:lang w:val="en-GB"/>
        </w:rPr>
        <w:t>ً</w:t>
      </w:r>
      <w:r w:rsidRPr="00EC792C">
        <w:rPr>
          <w:rtl/>
          <w:lang w:val="en-GB"/>
        </w:rPr>
        <w:t xml:space="preserve"> واستخدام عينة من بطاقة التبليغ للتوضيح. واقترح أيضا</w:t>
      </w:r>
      <w:r w:rsidR="00D25D1C" w:rsidRPr="007E6D53">
        <w:rPr>
          <w:rtl/>
          <w:lang w:val="en-GB"/>
        </w:rPr>
        <w:t>ً</w:t>
      </w:r>
      <w:r w:rsidRPr="00EC792C">
        <w:rPr>
          <w:rtl/>
          <w:lang w:val="en-GB"/>
        </w:rPr>
        <w:t xml:space="preserve"> أن ترسل الأمانة رسائل تذكير سنوية بشأن الاستحقاقات المجانية لتشجيع البلدان النامية على استخدامها. وتساءل مندوب آخر عمن يدفع حالي</w:t>
      </w:r>
      <w:r w:rsidR="008E339A" w:rsidRPr="007E6D53">
        <w:rPr>
          <w:rtl/>
          <w:lang w:val="en-GB"/>
        </w:rPr>
        <w:t xml:space="preserve">اً </w:t>
      </w:r>
      <w:r w:rsidRPr="00EC792C">
        <w:rPr>
          <w:rtl/>
          <w:lang w:val="en-GB"/>
        </w:rPr>
        <w:t xml:space="preserve">مقابل الاستحقاقات المجانية ومجموع تكاليفها التي تحملها الاتحاد في السنوات الأخيرة. </w:t>
      </w:r>
    </w:p>
    <w:p w14:paraId="0ED1D40A" w14:textId="3B3C4D1D" w:rsidR="00EC792C" w:rsidRPr="00EC792C" w:rsidRDefault="00EC792C" w:rsidP="00EC792C">
      <w:pPr>
        <w:rPr>
          <w:rtl/>
          <w:lang w:val="en-GB" w:bidi="en-GB"/>
        </w:rPr>
      </w:pPr>
      <w:r w:rsidRPr="00EC792C">
        <w:rPr>
          <w:rtl/>
          <w:lang w:val="en-GB"/>
        </w:rPr>
        <w:t>10.13</w:t>
      </w:r>
      <w:r w:rsidRPr="00EC792C">
        <w:rPr>
          <w:rtl/>
          <w:lang w:val="en-GB"/>
        </w:rPr>
        <w:tab/>
        <w:t>وأيد أحد المندوبين الإصلاح ولكنه دعا إلى تقديم مزيد من التفاصيل بشأن المنهجية الأساسية. وأعرب مندوب آخر عن دواعي قلقه إزاء التكاليف الرأسمالية وأشار إلى أن الاستحقاقات المجانية مهمة للنفاذ المنصف لكن يمكن أن تكون لها حدود نقدية. وأيد أحد المندوبين منهجية الأمانة واستعراضاتها الدورية ولكنه عارض إلغاء الاستحقاقات المجانية للبلدان النامية وأقل البلدان نموا</w:t>
      </w:r>
      <w:r w:rsidR="00D25D1C" w:rsidRPr="007E6D53">
        <w:rPr>
          <w:rtl/>
          <w:lang w:val="en-GB"/>
        </w:rPr>
        <w:t>ً</w:t>
      </w:r>
      <w:r w:rsidRPr="00EC792C">
        <w:rPr>
          <w:rtl/>
          <w:lang w:val="en-GB"/>
        </w:rPr>
        <w:t xml:space="preserve"> (LDC) والبلدان النامية غير الساحلية (LLDC) والدول الجزرية الصغيرة النامية (SIDS).</w:t>
      </w:r>
    </w:p>
    <w:p w14:paraId="22C02F8B" w14:textId="25E5E410" w:rsidR="00EC792C" w:rsidRPr="00EC792C" w:rsidRDefault="00EC792C" w:rsidP="00EC792C">
      <w:pPr>
        <w:rPr>
          <w:rtl/>
          <w:lang w:val="en-GB" w:bidi="en-GB"/>
        </w:rPr>
      </w:pPr>
      <w:r w:rsidRPr="00EC792C">
        <w:rPr>
          <w:rtl/>
          <w:lang w:val="en-GB"/>
        </w:rPr>
        <w:t>11.13</w:t>
      </w:r>
      <w:r w:rsidRPr="00EC792C">
        <w:rPr>
          <w:rtl/>
          <w:lang w:val="en-GB"/>
        </w:rPr>
        <w:tab/>
        <w:t>وأيد مندوب آخر مساهمة الولايات المتحدة، مؤكدا</w:t>
      </w:r>
      <w:r w:rsidR="00D25D1C" w:rsidRPr="007E6D53">
        <w:rPr>
          <w:rtl/>
          <w:lang w:val="en-GB"/>
        </w:rPr>
        <w:t>ً</w:t>
      </w:r>
      <w:r w:rsidRPr="00EC792C">
        <w:rPr>
          <w:rtl/>
          <w:lang w:val="en-GB"/>
        </w:rPr>
        <w:t xml:space="preserve"> أن الاستحقاقات المجانية هي مبدأ أساسي للاتحاد وينبغي تغطية تكاليفها من خلال وحدات المساهمة وليس استرداد التكاليف. وشدد أيضا</w:t>
      </w:r>
      <w:r w:rsidR="006261E5" w:rsidRPr="007E6D53">
        <w:rPr>
          <w:rtl/>
          <w:lang w:val="en-GB"/>
        </w:rPr>
        <w:t>ً</w:t>
      </w:r>
      <w:r w:rsidRPr="00EC792C">
        <w:rPr>
          <w:rtl/>
          <w:lang w:val="en-GB"/>
        </w:rPr>
        <w:t xml:space="preserve"> على الحاجة إلى استقرار الرسوم وشفافيتها لتجنب الزيادات التي تفاجأ بها الدول الأعضاء. وسلط أحد المندوبين الضوء على تقرير وحدة التفتيش المشتركة (JIU)، سائلا</w:t>
      </w:r>
      <w:r w:rsidR="006261E5" w:rsidRPr="007E6D53">
        <w:rPr>
          <w:rtl/>
          <w:lang w:val="en-GB"/>
        </w:rPr>
        <w:t>ً</w:t>
      </w:r>
      <w:r w:rsidRPr="00EC792C">
        <w:rPr>
          <w:rtl/>
          <w:lang w:val="en-GB"/>
        </w:rPr>
        <w:t xml:space="preserve"> عما إذا كان لدى الأمانة خطة طوارئ بشأن الإيرادات المؤجلة من معالجة البطاقات بمبلغ 5,5 ملايين فرنك سويسري. وذكر أحد المندوبين بحزم أن المناقشة تدور حول استرداد التكاليف وليس توليد الإيرادات، وتساءل عن ضرورة إعادة العمل بفريق الخبراء المعني بالمقرر 482. وطلب أحد المندوبين أيضا</w:t>
      </w:r>
      <w:r w:rsidR="006261E5" w:rsidRPr="007E6D53">
        <w:rPr>
          <w:rtl/>
          <w:lang w:val="en-GB"/>
        </w:rPr>
        <w:t>ً</w:t>
      </w:r>
      <w:r w:rsidRPr="00EC792C">
        <w:rPr>
          <w:rtl/>
          <w:lang w:val="en-GB"/>
        </w:rPr>
        <w:t xml:space="preserve"> من الأمانة أن تقدم تحليل</w:t>
      </w:r>
      <w:r w:rsidR="008E339A" w:rsidRPr="007E6D53">
        <w:rPr>
          <w:rtl/>
          <w:lang w:val="en-GB"/>
        </w:rPr>
        <w:t xml:space="preserve">اً </w:t>
      </w:r>
      <w:r w:rsidRPr="00EC792C">
        <w:rPr>
          <w:rtl/>
          <w:lang w:val="en-GB"/>
        </w:rPr>
        <w:t>للتكاليف والفوائد فيما يتعلق بالنموذج المقترح لاسترداد التكاليف.</w:t>
      </w:r>
    </w:p>
    <w:p w14:paraId="41ECABE8" w14:textId="68E7B972" w:rsidR="00EC792C" w:rsidRPr="00EC792C" w:rsidRDefault="00EC792C" w:rsidP="00EC792C">
      <w:pPr>
        <w:rPr>
          <w:rtl/>
          <w:lang w:val="en-GB" w:bidi="en-GB"/>
        </w:rPr>
      </w:pPr>
      <w:r w:rsidRPr="00EC792C">
        <w:rPr>
          <w:rtl/>
          <w:lang w:val="en-GB"/>
        </w:rPr>
        <w:t>12.13</w:t>
      </w:r>
      <w:r w:rsidRPr="00EC792C">
        <w:rPr>
          <w:rtl/>
          <w:lang w:val="en-GB"/>
        </w:rPr>
        <w:tab/>
        <w:t>وردا</w:t>
      </w:r>
      <w:r w:rsidR="000F7887" w:rsidRPr="007E6D53">
        <w:rPr>
          <w:rtl/>
          <w:lang w:val="en-GB"/>
        </w:rPr>
        <w:t>ً</w:t>
      </w:r>
      <w:r w:rsidRPr="00EC792C">
        <w:rPr>
          <w:rtl/>
          <w:lang w:val="en-GB"/>
        </w:rPr>
        <w:t xml:space="preserve"> على المندوبين، أقرت الأمانة بأن العملية مستمرة وأن مزيدا</w:t>
      </w:r>
      <w:r w:rsidR="000F7887" w:rsidRPr="007E6D53">
        <w:rPr>
          <w:rtl/>
          <w:lang w:val="en-GB"/>
        </w:rPr>
        <w:t>ً</w:t>
      </w:r>
      <w:r w:rsidRPr="00EC792C">
        <w:rPr>
          <w:rtl/>
          <w:lang w:val="en-GB"/>
        </w:rPr>
        <w:t xml:space="preserve"> من المعلومات ستقدم إلى المجلس في دورته لعام 2026. وأفادت بأن الاستحقاقات المجانية تكلف ميزانية الاتحاد العادية حوالي </w:t>
      </w:r>
      <w:r w:rsidR="000F7887" w:rsidRPr="007E6D53">
        <w:t>1,5-1,2</w:t>
      </w:r>
      <w:r w:rsidR="000F7887" w:rsidRPr="007E6D53">
        <w:rPr>
          <w:rtl/>
          <w:lang w:val="en-GB"/>
        </w:rPr>
        <w:t xml:space="preserve"> </w:t>
      </w:r>
      <w:r w:rsidRPr="00EC792C">
        <w:rPr>
          <w:rtl/>
          <w:lang w:val="en-GB"/>
        </w:rPr>
        <w:t>مليون فرنك سويسري سنوي</w:t>
      </w:r>
      <w:r w:rsidR="008D57EA" w:rsidRPr="007E6D53">
        <w:rPr>
          <w:rtl/>
          <w:lang w:val="en-GB"/>
        </w:rPr>
        <w:t>اً.</w:t>
      </w:r>
      <w:r w:rsidRPr="00EC792C">
        <w:rPr>
          <w:rtl/>
          <w:lang w:val="en-GB"/>
        </w:rPr>
        <w:t xml:space="preserve"> وحذر مدير مكتب الاتصالات الراديوية (BR) من أنه بدون تحديث البرمجيات وزيادة عدد الموظفين، فإن الأعمال المتأخرة لدى مكتب الاتصالات الراديوية ستزداد سوء</w:t>
      </w:r>
      <w:r w:rsidR="008E25AF" w:rsidRPr="007E6D53">
        <w:rPr>
          <w:rtl/>
          <w:lang w:val="en-GB"/>
        </w:rPr>
        <w:t>اً</w:t>
      </w:r>
      <w:r w:rsidRPr="00EC792C">
        <w:rPr>
          <w:rtl/>
          <w:lang w:val="en-GB"/>
        </w:rPr>
        <w:t xml:space="preserve"> بسبب تزايد عدد بطاقات التبليغ وتعقيدها. وأعطى مثالا</w:t>
      </w:r>
      <w:r w:rsidR="008E25AF" w:rsidRPr="007E6D53">
        <w:rPr>
          <w:rtl/>
          <w:lang w:val="en-GB"/>
        </w:rPr>
        <w:t>ً</w:t>
      </w:r>
      <w:r w:rsidRPr="00EC792C">
        <w:rPr>
          <w:rtl/>
          <w:lang w:val="en-GB"/>
        </w:rPr>
        <w:t xml:space="preserve"> لبطاقة تبليغ حديثة شملت أكثر من </w:t>
      </w:r>
      <w:r w:rsidR="008E25AF" w:rsidRPr="007E6D53">
        <w:rPr>
          <w:lang w:val="en-GB"/>
        </w:rPr>
        <w:t>200 000</w:t>
      </w:r>
      <w:r w:rsidRPr="00EC792C">
        <w:rPr>
          <w:rtl/>
          <w:lang w:val="en-GB"/>
        </w:rPr>
        <w:t xml:space="preserve"> ساتل.</w:t>
      </w:r>
    </w:p>
    <w:p w14:paraId="2F8BB6E7" w14:textId="5DDE9CF0" w:rsidR="00EC792C" w:rsidRPr="00EC792C" w:rsidRDefault="00EC792C" w:rsidP="00BF3AA3">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lastRenderedPageBreak/>
        <w:t>13.13</w:t>
      </w:r>
      <w:r w:rsidRPr="00EC792C">
        <w:rPr>
          <w:rtl/>
          <w:lang w:val="en-GB"/>
        </w:rPr>
        <w:tab/>
        <w:t>لخصت رئيسة الفريق CWG-FHR المناقشات، معترفة بأن الفريق لم يتمكن من تلبية مطالب المجلس في دورته لعام 2025 على الرغم من الجهود المتحلية بالشجاعة. وأعربت الرئيسة عن صعوبة المضي قدما</w:t>
      </w:r>
      <w:r w:rsidR="00BF3AA3" w:rsidRPr="007E6D53">
        <w:rPr>
          <w:rtl/>
          <w:lang w:val="en-GB"/>
        </w:rPr>
        <w:t>ً</w:t>
      </w:r>
      <w:r w:rsidRPr="00EC792C">
        <w:rPr>
          <w:rtl/>
          <w:lang w:val="en-GB"/>
        </w:rPr>
        <w:t xml:space="preserve"> نحو وضع منهجية بدون الاتفاق على القرار 91 (المراج</w:t>
      </w:r>
      <w:r w:rsidR="00BF3AA3" w:rsidRPr="007E6D53">
        <w:rPr>
          <w:rtl/>
          <w:lang w:val="en-GB"/>
        </w:rPr>
        <w:t>َ</w:t>
      </w:r>
      <w:r w:rsidRPr="00EC792C">
        <w:rPr>
          <w:rtl/>
          <w:lang w:val="en-GB"/>
        </w:rPr>
        <w:t>ع في غوادالاخارا، 2010)، وأفصحت عن ترددها في تأييد منهجية الأمانة في</w:t>
      </w:r>
      <w:r w:rsidR="00BF3AA3" w:rsidRPr="007E6D53">
        <w:rPr>
          <w:rtl/>
          <w:lang w:val="en-GB"/>
        </w:rPr>
        <w:t> </w:t>
      </w:r>
      <w:r w:rsidRPr="00EC792C">
        <w:rPr>
          <w:rtl/>
          <w:lang w:val="en-GB"/>
        </w:rPr>
        <w:t>ذلك الوقت. وأعربت الرئيسة أيضا</w:t>
      </w:r>
      <w:r w:rsidR="00BF3AA3" w:rsidRPr="007E6D53">
        <w:rPr>
          <w:rtl/>
          <w:lang w:val="en-GB"/>
        </w:rPr>
        <w:t>ً</w:t>
      </w:r>
      <w:r w:rsidRPr="00EC792C">
        <w:rPr>
          <w:rtl/>
          <w:lang w:val="en-GB"/>
        </w:rPr>
        <w:t xml:space="preserve"> عن اعتقاد فريق العمل بأن فريق الخبراء المعني بالمقرر 482 لا يحتاج إلى معاودة الاجتماع. واختتمت كلمتها </w:t>
      </w:r>
      <w:r w:rsidRPr="00EC792C">
        <w:rPr>
          <w:b/>
          <w:bCs/>
          <w:rtl/>
          <w:lang w:val="en-GB"/>
        </w:rPr>
        <w:t xml:space="preserve">بالإعراب عن الالتزام </w:t>
      </w:r>
      <w:r w:rsidRPr="00EC792C">
        <w:rPr>
          <w:rtl/>
          <w:lang w:val="en-GB"/>
        </w:rPr>
        <w:t>بتقديم مخطط مفصل (أدناه) يتضمن الإجابة عن جميع الأسئلة ويتناول دواعي القلق إلى الأمانة والمجلس في دورته لعام 2026 ومؤتمر المندوبين المفوضين لعام 2026.</w:t>
      </w:r>
    </w:p>
    <w:p w14:paraId="1DF48AAC" w14:textId="77777777" w:rsidR="00EC792C" w:rsidRPr="007E6D53" w:rsidRDefault="00EC792C" w:rsidP="00182490">
      <w:pPr>
        <w:pStyle w:val="Headingb"/>
        <w:rPr>
          <w:spacing w:val="-4"/>
          <w:rtl/>
          <w:lang w:val="en-GB" w:bidi="en-GB"/>
        </w:rPr>
      </w:pPr>
      <w:r w:rsidRPr="007E6D53">
        <w:rPr>
          <w:spacing w:val="-4"/>
          <w:rtl/>
          <w:lang w:val="en-GB"/>
        </w:rPr>
        <w:t>تجميع تعليقات/أسئلة المندوبين المتعلقة بمعالجة بطاقات التبليغ عن الشبكات الساتلية في شكل مواضيع</w:t>
      </w:r>
    </w:p>
    <w:p w14:paraId="4978984A" w14:textId="16672257" w:rsidR="00EC792C" w:rsidRPr="00EC792C" w:rsidRDefault="00EC792C" w:rsidP="00EC792C">
      <w:pPr>
        <w:rPr>
          <w:rtl/>
          <w:lang w:val="en-GB" w:bidi="ar-EG"/>
        </w:rPr>
      </w:pPr>
      <w:r w:rsidRPr="00EC792C">
        <w:rPr>
          <w:rtl/>
          <w:lang w:val="en-GB"/>
        </w:rPr>
        <w:t>يبين المخطط أدناه التعليقات والأسئلة التي أثارها المندوبون خلال الاجتماع الثاني والعشرين للفريق CWG-FHR. وقد</w:t>
      </w:r>
      <w:r w:rsidR="00351F50">
        <w:rPr>
          <w:rFonts w:hint="cs"/>
          <w:rtl/>
          <w:lang w:val="en-GB"/>
        </w:rPr>
        <w:t> </w:t>
      </w:r>
      <w:r w:rsidRPr="00EC792C">
        <w:rPr>
          <w:rtl/>
          <w:lang w:val="en-GB"/>
        </w:rPr>
        <w:t>أرسلت رئيسة الفريق هذا المخطط بالبريد الإلكتروني إلى المندوبين المهتمين للحصول على تعقيبات في موعد أقصاه 15 يناير 2026.</w:t>
      </w:r>
    </w:p>
    <w:tbl>
      <w:tblPr>
        <w:tblStyle w:val="TableGrid"/>
        <w:bidiVisual/>
        <w:tblW w:w="5000" w:type="pct"/>
        <w:jc w:val="center"/>
        <w:tblLayout w:type="fixed"/>
        <w:tblCellMar>
          <w:left w:w="57" w:type="dxa"/>
          <w:right w:w="57" w:type="dxa"/>
        </w:tblCellMar>
        <w:tblLook w:val="04A0" w:firstRow="1" w:lastRow="0" w:firstColumn="1" w:lastColumn="0" w:noHBand="0" w:noVBand="1"/>
      </w:tblPr>
      <w:tblGrid>
        <w:gridCol w:w="1427"/>
        <w:gridCol w:w="3691"/>
        <w:gridCol w:w="3943"/>
      </w:tblGrid>
      <w:tr w:rsidR="00C50A46" w:rsidRPr="000B628A" w14:paraId="5E75AB4E" w14:textId="77777777" w:rsidTr="000B628A">
        <w:trPr>
          <w:cantSplit/>
          <w:tblHeader/>
          <w:jc w:val="center"/>
        </w:trPr>
        <w:tc>
          <w:tcPr>
            <w:tcW w:w="787" w:type="pct"/>
            <w:shd w:val="clear" w:color="auto" w:fill="DEEAF6" w:themeFill="accent1" w:themeFillTint="33"/>
          </w:tcPr>
          <w:p w14:paraId="3FCBA9FB" w14:textId="35A65C69" w:rsidR="00C50A46" w:rsidRPr="000B628A" w:rsidRDefault="00C50A46" w:rsidP="000B628A">
            <w:pPr>
              <w:pStyle w:val="Tablehead"/>
              <w:rPr>
                <w:position w:val="2"/>
              </w:rPr>
            </w:pPr>
            <w:r w:rsidRPr="000B628A">
              <w:rPr>
                <w:position w:val="2"/>
                <w:rtl/>
                <w:lang w:val="en-GB"/>
              </w:rPr>
              <w:t>الموضوع</w:t>
            </w:r>
          </w:p>
        </w:tc>
        <w:tc>
          <w:tcPr>
            <w:tcW w:w="2037" w:type="pct"/>
            <w:shd w:val="clear" w:color="auto" w:fill="DEEAF6" w:themeFill="accent1" w:themeFillTint="33"/>
          </w:tcPr>
          <w:p w14:paraId="0344D97B" w14:textId="4A33E8A8" w:rsidR="00C50A46" w:rsidRPr="000B628A" w:rsidRDefault="00C50A46" w:rsidP="000B628A">
            <w:pPr>
              <w:pStyle w:val="Tablehead"/>
              <w:rPr>
                <w:position w:val="2"/>
              </w:rPr>
            </w:pPr>
            <w:r w:rsidRPr="000B628A">
              <w:rPr>
                <w:position w:val="2"/>
                <w:rtl/>
                <w:lang w:val="en-GB"/>
              </w:rPr>
              <w:t>الآراء/القضايا المعرب عنها</w:t>
            </w:r>
          </w:p>
        </w:tc>
        <w:tc>
          <w:tcPr>
            <w:tcW w:w="2176" w:type="pct"/>
            <w:shd w:val="clear" w:color="auto" w:fill="DEEAF6" w:themeFill="accent1" w:themeFillTint="33"/>
          </w:tcPr>
          <w:p w14:paraId="0357E841" w14:textId="44715DEE" w:rsidR="00C50A46" w:rsidRPr="000B628A" w:rsidRDefault="00C50A46" w:rsidP="000B628A">
            <w:pPr>
              <w:pStyle w:val="Tablehead"/>
              <w:rPr>
                <w:position w:val="2"/>
              </w:rPr>
            </w:pPr>
            <w:r w:rsidRPr="000B628A">
              <w:rPr>
                <w:position w:val="2"/>
                <w:rtl/>
                <w:lang w:val="en-GB"/>
              </w:rPr>
              <w:t>الأسئلة/القضايا المعلقة</w:t>
            </w:r>
          </w:p>
        </w:tc>
      </w:tr>
      <w:tr w:rsidR="00C50A46" w:rsidRPr="000B628A" w14:paraId="35E7DB56" w14:textId="77777777" w:rsidTr="000B628A">
        <w:trPr>
          <w:cantSplit/>
          <w:jc w:val="center"/>
        </w:trPr>
        <w:tc>
          <w:tcPr>
            <w:tcW w:w="5000" w:type="pct"/>
            <w:gridSpan w:val="3"/>
            <w:shd w:val="clear" w:color="auto" w:fill="E7E6E6" w:themeFill="background2"/>
          </w:tcPr>
          <w:p w14:paraId="6339A7D1" w14:textId="149332ED" w:rsidR="00C50A46" w:rsidRPr="000B628A" w:rsidRDefault="00D77261" w:rsidP="000B628A">
            <w:pPr>
              <w:pStyle w:val="Tabletexte"/>
              <w:rPr>
                <w:b/>
                <w:bCs/>
                <w:position w:val="2"/>
              </w:rPr>
            </w:pPr>
            <w:r w:rsidRPr="000B628A">
              <w:rPr>
                <w:b/>
                <w:bCs/>
                <w:position w:val="2"/>
                <w:rtl/>
              </w:rPr>
              <w:t>إلى أين يتعين أن يتجه الاتحاد بعد ذلك؟</w:t>
            </w:r>
          </w:p>
        </w:tc>
      </w:tr>
      <w:tr w:rsidR="001C1114" w:rsidRPr="000B628A" w14:paraId="18D6D23A" w14:textId="77777777" w:rsidTr="000B628A">
        <w:trPr>
          <w:cantSplit/>
          <w:jc w:val="center"/>
        </w:trPr>
        <w:tc>
          <w:tcPr>
            <w:tcW w:w="787" w:type="pct"/>
          </w:tcPr>
          <w:p w14:paraId="1AD646FD" w14:textId="77777777" w:rsidR="001C1114" w:rsidRPr="000B628A" w:rsidRDefault="001C1114" w:rsidP="000B628A">
            <w:pPr>
              <w:pStyle w:val="Tabletexte"/>
              <w:rPr>
                <w:position w:val="2"/>
              </w:rPr>
            </w:pPr>
          </w:p>
        </w:tc>
        <w:tc>
          <w:tcPr>
            <w:tcW w:w="2037" w:type="pct"/>
          </w:tcPr>
          <w:p w14:paraId="296E1C19" w14:textId="5A5B6139" w:rsidR="001C1114" w:rsidRPr="000B628A" w:rsidRDefault="001C1114" w:rsidP="000B628A">
            <w:pPr>
              <w:pStyle w:val="Tabletexte"/>
              <w:rPr>
                <w:spacing w:val="-6"/>
                <w:position w:val="2"/>
              </w:rPr>
            </w:pPr>
            <w:r w:rsidRPr="000B628A">
              <w:rPr>
                <w:spacing w:val="-6"/>
                <w:position w:val="2"/>
                <w:rtl/>
                <w:lang w:val="en-GB" w:bidi="ar-SA"/>
              </w:rPr>
              <w:t>يرى الأعضاء عموما</w:t>
            </w:r>
            <w:r w:rsidR="0069712B" w:rsidRPr="000B628A">
              <w:rPr>
                <w:spacing w:val="-6"/>
                <w:position w:val="2"/>
                <w:rtl/>
                <w:lang w:val="en-GB" w:bidi="ar-SA"/>
              </w:rPr>
              <w:t>ً</w:t>
            </w:r>
            <w:r w:rsidRPr="000B628A">
              <w:rPr>
                <w:spacing w:val="-6"/>
                <w:position w:val="2"/>
                <w:rtl/>
                <w:lang w:val="en-GB" w:bidi="ar-SA"/>
              </w:rPr>
              <w:t xml:space="preserve"> أن رسوم استرداد التكاليف المحصلة (مثل رسوم معالجة بطاقات التبليغ عن الشبكات الساتلية) ينبغي أن توجه مباشرة لدعم عمل المكتب المقيدة عليه هذه الرسوم وليس إلى الصندوق العام. ولا ينبغي أن تكون آلية للاسترداد في إطار الميزانية.</w:t>
            </w:r>
          </w:p>
        </w:tc>
        <w:tc>
          <w:tcPr>
            <w:tcW w:w="2176" w:type="pct"/>
          </w:tcPr>
          <w:p w14:paraId="0038A9CD" w14:textId="62D38AD1" w:rsidR="001C1114" w:rsidRPr="000B628A" w:rsidRDefault="001C1114" w:rsidP="000B628A">
            <w:pPr>
              <w:pStyle w:val="Tabletexte"/>
              <w:rPr>
                <w:position w:val="2"/>
              </w:rPr>
            </w:pPr>
            <w:r w:rsidRPr="000B628A">
              <w:rPr>
                <w:position w:val="2"/>
                <w:rtl/>
                <w:lang w:val="en-GB" w:bidi="ar-SA"/>
              </w:rPr>
              <w:t>أين يقيد الاتحاد هذه الرسوم حالي</w:t>
            </w:r>
            <w:r w:rsidR="000B628A">
              <w:rPr>
                <w:rFonts w:hint="cs"/>
                <w:position w:val="2"/>
                <w:rtl/>
                <w:lang w:val="en-GB" w:bidi="ar-SA"/>
              </w:rPr>
              <w:t>اً</w:t>
            </w:r>
            <w:r w:rsidRPr="000B628A">
              <w:rPr>
                <w:position w:val="2"/>
                <w:rtl/>
                <w:lang w:val="en-GB" w:bidi="ar-SA"/>
              </w:rPr>
              <w:t>؟</w:t>
            </w:r>
          </w:p>
        </w:tc>
      </w:tr>
      <w:tr w:rsidR="00C50A46" w:rsidRPr="000B628A" w14:paraId="65BC192C" w14:textId="77777777" w:rsidTr="000B628A">
        <w:trPr>
          <w:cantSplit/>
          <w:jc w:val="center"/>
        </w:trPr>
        <w:tc>
          <w:tcPr>
            <w:tcW w:w="5000" w:type="pct"/>
            <w:gridSpan w:val="3"/>
            <w:shd w:val="clear" w:color="auto" w:fill="E7E6E6" w:themeFill="background2"/>
          </w:tcPr>
          <w:p w14:paraId="044BA9C2" w14:textId="4442925F" w:rsidR="00C50A46" w:rsidRPr="00066DB4" w:rsidRDefault="00F36563" w:rsidP="000B628A">
            <w:pPr>
              <w:pStyle w:val="Tabletexte"/>
              <w:rPr>
                <w:position w:val="2"/>
              </w:rPr>
            </w:pPr>
            <w:r w:rsidRPr="00066DB4">
              <w:rPr>
                <w:rFonts w:hint="cs"/>
                <w:b/>
                <w:bCs/>
                <w:position w:val="2"/>
                <w:rtl/>
                <w:lang w:val="en-GB" w:bidi="ar-SA"/>
              </w:rPr>
              <w:t xml:space="preserve">بطاقات </w:t>
            </w:r>
            <w:r w:rsidR="001C1114" w:rsidRPr="00066DB4">
              <w:rPr>
                <w:b/>
                <w:bCs/>
                <w:position w:val="2"/>
                <w:rtl/>
                <w:lang w:val="en-GB" w:bidi="ar-SA"/>
              </w:rPr>
              <w:t>التبليغ المجاني</w:t>
            </w:r>
            <w:r w:rsidRPr="00066DB4">
              <w:rPr>
                <w:rFonts w:hint="cs"/>
                <w:b/>
                <w:bCs/>
                <w:position w:val="2"/>
                <w:rtl/>
                <w:lang w:val="en-GB" w:bidi="ar-SA"/>
              </w:rPr>
              <w:t>ة</w:t>
            </w:r>
          </w:p>
        </w:tc>
      </w:tr>
      <w:tr w:rsidR="001C1114" w:rsidRPr="000B628A" w14:paraId="53C34DD2" w14:textId="77777777" w:rsidTr="000B628A">
        <w:trPr>
          <w:cantSplit/>
          <w:jc w:val="center"/>
        </w:trPr>
        <w:tc>
          <w:tcPr>
            <w:tcW w:w="787" w:type="pct"/>
            <w:vMerge w:val="restart"/>
          </w:tcPr>
          <w:p w14:paraId="7C1EAAFE" w14:textId="77777777" w:rsidR="001C1114" w:rsidRPr="000B628A" w:rsidRDefault="001C1114" w:rsidP="000B628A">
            <w:pPr>
              <w:pStyle w:val="Tabletexte"/>
              <w:rPr>
                <w:position w:val="2"/>
              </w:rPr>
            </w:pPr>
          </w:p>
        </w:tc>
        <w:tc>
          <w:tcPr>
            <w:tcW w:w="2037" w:type="pct"/>
          </w:tcPr>
          <w:p w14:paraId="3F92C7E9" w14:textId="73E356C8" w:rsidR="001C1114" w:rsidRPr="00066DB4" w:rsidRDefault="001C1114" w:rsidP="000B628A">
            <w:pPr>
              <w:pStyle w:val="Tabletexte"/>
              <w:rPr>
                <w:position w:val="2"/>
              </w:rPr>
            </w:pPr>
            <w:r w:rsidRPr="00066DB4">
              <w:rPr>
                <w:position w:val="2"/>
                <w:rtl/>
                <w:lang w:val="en-GB" w:bidi="ar-SA"/>
              </w:rPr>
              <w:t>ينبغي تغطية تكاليف معالجة بطاقات التبليغ المجانية من مساهمات الدول الأعضاء. (بلدان متعددة). ورأى آخرون أن معالجة بطاقات التبليغ المجانية ينبغي أن تمول من استرداد التكاليف وليس من ميزانية الاتحاد العادية. (نتيجة للقرار 91)</w:t>
            </w:r>
          </w:p>
        </w:tc>
        <w:tc>
          <w:tcPr>
            <w:tcW w:w="2176" w:type="pct"/>
          </w:tcPr>
          <w:p w14:paraId="7D0C1660" w14:textId="738538BB" w:rsidR="001C1114" w:rsidRPr="00066DB4" w:rsidRDefault="001C1114" w:rsidP="000B628A">
            <w:pPr>
              <w:pStyle w:val="Tabletexte"/>
              <w:rPr>
                <w:spacing w:val="-4"/>
                <w:position w:val="2"/>
              </w:rPr>
            </w:pPr>
            <w:r w:rsidRPr="00066DB4">
              <w:rPr>
                <w:spacing w:val="-4"/>
                <w:position w:val="2"/>
                <w:rtl/>
                <w:lang w:val="en-GB" w:bidi="ar-SA"/>
              </w:rPr>
              <w:t>ماذا يترتب على معالجة بطاقات التبليغ المجانية وتكلفتها؟ من يدفع ثمن معالجة بطاقات التبليغ المجانية الآن؟ هل ينبغي أن يكون لبطاقات التبليغ المجانية حدود تكلفة، ومن يحدد التكاليف؟</w:t>
            </w:r>
          </w:p>
        </w:tc>
      </w:tr>
      <w:tr w:rsidR="001C1114" w:rsidRPr="000B628A" w14:paraId="0A8606AE" w14:textId="77777777" w:rsidTr="000B628A">
        <w:trPr>
          <w:cantSplit/>
          <w:jc w:val="center"/>
        </w:trPr>
        <w:tc>
          <w:tcPr>
            <w:tcW w:w="787" w:type="pct"/>
            <w:vMerge/>
          </w:tcPr>
          <w:p w14:paraId="068D4F54" w14:textId="77777777" w:rsidR="001C1114" w:rsidRPr="000B628A" w:rsidRDefault="001C1114" w:rsidP="000B628A">
            <w:pPr>
              <w:pStyle w:val="Tabletexte"/>
              <w:rPr>
                <w:position w:val="2"/>
              </w:rPr>
            </w:pPr>
          </w:p>
        </w:tc>
        <w:tc>
          <w:tcPr>
            <w:tcW w:w="2037" w:type="pct"/>
          </w:tcPr>
          <w:p w14:paraId="7628FB6A" w14:textId="58DE445C" w:rsidR="001C1114" w:rsidRPr="00066DB4" w:rsidRDefault="001C1114" w:rsidP="000B628A">
            <w:pPr>
              <w:pStyle w:val="Tabletexte"/>
              <w:rPr>
                <w:spacing w:val="-6"/>
                <w:position w:val="2"/>
              </w:rPr>
            </w:pPr>
            <w:r w:rsidRPr="00066DB4">
              <w:rPr>
                <w:spacing w:val="-6"/>
                <w:position w:val="2"/>
                <w:rtl/>
                <w:lang w:val="en-GB" w:bidi="ar-SA"/>
              </w:rPr>
              <w:t>معالجة بطاقات التبليغ المجانية وظيفة أساسية من الوظائف المنصوص عليها في ولاية الاتحاد. (بلدان متعددة).</w:t>
            </w:r>
          </w:p>
        </w:tc>
        <w:tc>
          <w:tcPr>
            <w:tcW w:w="2176" w:type="pct"/>
          </w:tcPr>
          <w:p w14:paraId="1D4210AA" w14:textId="44577EF8" w:rsidR="001C1114" w:rsidRPr="00066DB4" w:rsidRDefault="001C1114" w:rsidP="000B628A">
            <w:pPr>
              <w:pStyle w:val="Tabletexte"/>
              <w:rPr>
                <w:position w:val="2"/>
              </w:rPr>
            </w:pPr>
            <w:r w:rsidRPr="00066DB4">
              <w:rPr>
                <w:position w:val="2"/>
                <w:rtl/>
                <w:lang w:val="en-GB" w:bidi="ar-SA"/>
              </w:rPr>
              <w:t>هل لا يزال الغرض الذي خصصت من أجله معالجة بطاقات التبليغ المجانية في الأصل قائم</w:t>
            </w:r>
            <w:r w:rsidR="008E339A" w:rsidRPr="00066DB4">
              <w:rPr>
                <w:position w:val="2"/>
                <w:rtl/>
                <w:lang w:val="en-GB" w:bidi="ar-SA"/>
              </w:rPr>
              <w:t xml:space="preserve">اً </w:t>
            </w:r>
            <w:r w:rsidRPr="00066DB4">
              <w:rPr>
                <w:position w:val="2"/>
                <w:rtl/>
                <w:lang w:val="en-GB" w:bidi="ar-SA"/>
              </w:rPr>
              <w:t>أم لا؟</w:t>
            </w:r>
          </w:p>
        </w:tc>
      </w:tr>
      <w:tr w:rsidR="001C1114" w:rsidRPr="000B628A" w14:paraId="4945312D" w14:textId="77777777" w:rsidTr="000B628A">
        <w:trPr>
          <w:cantSplit/>
          <w:jc w:val="center"/>
        </w:trPr>
        <w:tc>
          <w:tcPr>
            <w:tcW w:w="787" w:type="pct"/>
            <w:vMerge/>
          </w:tcPr>
          <w:p w14:paraId="52BAE82C" w14:textId="77777777" w:rsidR="001C1114" w:rsidRPr="000B628A" w:rsidRDefault="001C1114" w:rsidP="000B628A">
            <w:pPr>
              <w:pStyle w:val="Tabletexte"/>
              <w:rPr>
                <w:position w:val="2"/>
              </w:rPr>
            </w:pPr>
          </w:p>
        </w:tc>
        <w:tc>
          <w:tcPr>
            <w:tcW w:w="2037" w:type="pct"/>
          </w:tcPr>
          <w:p w14:paraId="6769CB34" w14:textId="6F0A695A" w:rsidR="001C1114" w:rsidRPr="00066DB4" w:rsidRDefault="001C1114" w:rsidP="000B628A">
            <w:pPr>
              <w:pStyle w:val="Tabletexte"/>
              <w:rPr>
                <w:position w:val="2"/>
              </w:rPr>
            </w:pPr>
            <w:r w:rsidRPr="00066DB4">
              <w:rPr>
                <w:position w:val="2"/>
                <w:rtl/>
                <w:lang w:val="en-GB" w:bidi="ar-SA"/>
              </w:rPr>
              <w:t>لا تراعي بطاقات التبليغ المجانية حالي</w:t>
            </w:r>
            <w:r w:rsidR="008E339A" w:rsidRPr="00066DB4">
              <w:rPr>
                <w:position w:val="2"/>
                <w:rtl/>
                <w:lang w:val="en-GB" w:bidi="ar-SA"/>
              </w:rPr>
              <w:t xml:space="preserve">اً </w:t>
            </w:r>
            <w:r w:rsidRPr="00066DB4">
              <w:rPr>
                <w:position w:val="2"/>
                <w:rtl/>
                <w:lang w:val="en-GB" w:bidi="ar-SA"/>
              </w:rPr>
              <w:t>اعتبارات البلدان النامية وينبغي أن تظل معمول</w:t>
            </w:r>
            <w:r w:rsidR="00914350" w:rsidRPr="00066DB4">
              <w:rPr>
                <w:position w:val="2"/>
                <w:rtl/>
                <w:lang w:val="en-GB" w:bidi="ar-SA"/>
              </w:rPr>
              <w:t xml:space="preserve">اً </w:t>
            </w:r>
            <w:r w:rsidRPr="00066DB4">
              <w:rPr>
                <w:position w:val="2"/>
                <w:rtl/>
                <w:lang w:val="en-GB" w:bidi="ar-SA"/>
              </w:rPr>
              <w:t>بها، على الأقل، لدعم البلدان النامية.</w:t>
            </w:r>
          </w:p>
        </w:tc>
        <w:tc>
          <w:tcPr>
            <w:tcW w:w="2176" w:type="pct"/>
          </w:tcPr>
          <w:p w14:paraId="60A58752" w14:textId="77777777" w:rsidR="001C1114" w:rsidRPr="00066DB4" w:rsidRDefault="001C1114" w:rsidP="000B628A">
            <w:pPr>
              <w:pStyle w:val="Tabletexte"/>
              <w:rPr>
                <w:position w:val="2"/>
              </w:rPr>
            </w:pPr>
          </w:p>
        </w:tc>
      </w:tr>
      <w:tr w:rsidR="001C1114" w:rsidRPr="000B628A" w14:paraId="6591A18E" w14:textId="77777777" w:rsidTr="000B628A">
        <w:trPr>
          <w:cantSplit/>
          <w:jc w:val="center"/>
        </w:trPr>
        <w:tc>
          <w:tcPr>
            <w:tcW w:w="787" w:type="pct"/>
            <w:vMerge/>
          </w:tcPr>
          <w:p w14:paraId="7E7C63C2" w14:textId="77777777" w:rsidR="001C1114" w:rsidRPr="000B628A" w:rsidRDefault="001C1114" w:rsidP="000B628A">
            <w:pPr>
              <w:pStyle w:val="Tabletexte"/>
              <w:rPr>
                <w:position w:val="2"/>
              </w:rPr>
            </w:pPr>
          </w:p>
        </w:tc>
        <w:tc>
          <w:tcPr>
            <w:tcW w:w="2037" w:type="pct"/>
          </w:tcPr>
          <w:p w14:paraId="050C1692" w14:textId="06A40E6D" w:rsidR="001C1114" w:rsidRPr="00066DB4" w:rsidRDefault="001C1114" w:rsidP="000B628A">
            <w:pPr>
              <w:pStyle w:val="Tabletexte"/>
              <w:rPr>
                <w:spacing w:val="-4"/>
                <w:position w:val="2"/>
              </w:rPr>
            </w:pPr>
            <w:r w:rsidRPr="00066DB4">
              <w:rPr>
                <w:spacing w:val="-4"/>
                <w:position w:val="2"/>
                <w:rtl/>
                <w:lang w:val="en-GB" w:bidi="ar-SA"/>
              </w:rPr>
              <w:t xml:space="preserve">اقتراح بدل بطاقات تبليغ مجانية للمبادرة الإقليمية الساتلية من أجل تحقيق النفاذ المنصف. </w:t>
            </w:r>
          </w:p>
        </w:tc>
        <w:tc>
          <w:tcPr>
            <w:tcW w:w="2176" w:type="pct"/>
          </w:tcPr>
          <w:p w14:paraId="3BCA93B7" w14:textId="5ECA278A" w:rsidR="001C1114" w:rsidRPr="00066DB4" w:rsidRDefault="001C1114" w:rsidP="000B628A">
            <w:pPr>
              <w:pStyle w:val="Tabletexte"/>
              <w:rPr>
                <w:spacing w:val="-2"/>
                <w:position w:val="2"/>
              </w:rPr>
            </w:pPr>
            <w:r w:rsidRPr="00066DB4">
              <w:rPr>
                <w:spacing w:val="-2"/>
                <w:position w:val="2"/>
                <w:rtl/>
                <w:lang w:val="en-GB" w:bidi="ar-SA"/>
              </w:rPr>
              <w:t>هل نحتاج إلى التفريق بين البلدان المتقدمة والبلدان النامية؟</w:t>
            </w:r>
          </w:p>
        </w:tc>
      </w:tr>
      <w:tr w:rsidR="001C1114" w:rsidRPr="000B628A" w14:paraId="1B9AB7CA" w14:textId="77777777" w:rsidTr="000B628A">
        <w:trPr>
          <w:cantSplit/>
          <w:jc w:val="center"/>
        </w:trPr>
        <w:tc>
          <w:tcPr>
            <w:tcW w:w="787" w:type="pct"/>
            <w:vMerge/>
          </w:tcPr>
          <w:p w14:paraId="1EEFA8C4" w14:textId="77777777" w:rsidR="001C1114" w:rsidRPr="000B628A" w:rsidRDefault="001C1114" w:rsidP="000B628A">
            <w:pPr>
              <w:pStyle w:val="Tabletexte"/>
              <w:rPr>
                <w:position w:val="2"/>
              </w:rPr>
            </w:pPr>
          </w:p>
        </w:tc>
        <w:tc>
          <w:tcPr>
            <w:tcW w:w="2037" w:type="pct"/>
          </w:tcPr>
          <w:p w14:paraId="6B2A3B6C" w14:textId="0C5BBEF7" w:rsidR="001C1114" w:rsidRPr="00066DB4" w:rsidRDefault="001C1114" w:rsidP="000B628A">
            <w:pPr>
              <w:pStyle w:val="Tabletexte"/>
              <w:rPr>
                <w:position w:val="2"/>
              </w:rPr>
            </w:pPr>
            <w:r w:rsidRPr="00066DB4">
              <w:rPr>
                <w:position w:val="2"/>
                <w:rtl/>
                <w:lang w:val="en-GB" w:bidi="ar-SA"/>
              </w:rPr>
              <w:t xml:space="preserve">ينبغي تطبيق معالجة بطاقات التبليغ المجانية على الأنظمة الساتلية الكاملة. استبعاد معالجة بطاقات التبليغ المجانية الخاصة بالتعديلات. </w:t>
            </w:r>
          </w:p>
        </w:tc>
        <w:tc>
          <w:tcPr>
            <w:tcW w:w="2176" w:type="pct"/>
          </w:tcPr>
          <w:p w14:paraId="4E367E5E" w14:textId="77777777" w:rsidR="001C1114" w:rsidRPr="00066DB4" w:rsidRDefault="001C1114" w:rsidP="000B628A">
            <w:pPr>
              <w:pStyle w:val="Tabletexte"/>
              <w:rPr>
                <w:position w:val="2"/>
              </w:rPr>
            </w:pPr>
          </w:p>
        </w:tc>
      </w:tr>
      <w:tr w:rsidR="001C1114" w:rsidRPr="000B628A" w14:paraId="7E0FDE1A" w14:textId="77777777" w:rsidTr="000B628A">
        <w:trPr>
          <w:cantSplit/>
          <w:jc w:val="center"/>
        </w:trPr>
        <w:tc>
          <w:tcPr>
            <w:tcW w:w="787" w:type="pct"/>
            <w:vMerge/>
          </w:tcPr>
          <w:p w14:paraId="1989797B" w14:textId="77777777" w:rsidR="001C1114" w:rsidRPr="000B628A" w:rsidRDefault="001C1114" w:rsidP="000B628A">
            <w:pPr>
              <w:pStyle w:val="Tabletexte"/>
              <w:rPr>
                <w:position w:val="2"/>
              </w:rPr>
            </w:pPr>
          </w:p>
        </w:tc>
        <w:tc>
          <w:tcPr>
            <w:tcW w:w="2037" w:type="pct"/>
          </w:tcPr>
          <w:p w14:paraId="4A0626E5" w14:textId="36B9B770" w:rsidR="001C1114" w:rsidRPr="00066DB4" w:rsidRDefault="001C1114" w:rsidP="000B628A">
            <w:pPr>
              <w:pStyle w:val="Tabletexte"/>
              <w:rPr>
                <w:position w:val="2"/>
              </w:rPr>
            </w:pPr>
            <w:r w:rsidRPr="00066DB4">
              <w:rPr>
                <w:position w:val="2"/>
                <w:rtl/>
                <w:lang w:val="en-GB" w:bidi="ar-SA"/>
              </w:rPr>
              <w:t>مواصلة مناقشات معالجة بطاقات التبليغ المجانية من خلال المشاورات مع فريق الخبراء المعني بالمقرر 482.</w:t>
            </w:r>
          </w:p>
        </w:tc>
        <w:tc>
          <w:tcPr>
            <w:tcW w:w="2176" w:type="pct"/>
          </w:tcPr>
          <w:p w14:paraId="690EF668" w14:textId="77777777" w:rsidR="001C1114" w:rsidRPr="00066DB4" w:rsidRDefault="001C1114" w:rsidP="000B628A">
            <w:pPr>
              <w:pStyle w:val="Tabletexte"/>
              <w:rPr>
                <w:position w:val="2"/>
              </w:rPr>
            </w:pPr>
          </w:p>
        </w:tc>
      </w:tr>
      <w:tr w:rsidR="001C1114" w:rsidRPr="000B628A" w14:paraId="611C0F77" w14:textId="77777777" w:rsidTr="000B628A">
        <w:trPr>
          <w:cantSplit/>
          <w:jc w:val="center"/>
        </w:trPr>
        <w:tc>
          <w:tcPr>
            <w:tcW w:w="787" w:type="pct"/>
            <w:vMerge/>
          </w:tcPr>
          <w:p w14:paraId="41C881FB" w14:textId="77777777" w:rsidR="001C1114" w:rsidRPr="000B628A" w:rsidRDefault="001C1114" w:rsidP="000B628A">
            <w:pPr>
              <w:pStyle w:val="Tabletexte"/>
              <w:rPr>
                <w:position w:val="2"/>
              </w:rPr>
            </w:pPr>
          </w:p>
        </w:tc>
        <w:tc>
          <w:tcPr>
            <w:tcW w:w="2037" w:type="pct"/>
          </w:tcPr>
          <w:p w14:paraId="442F61CF" w14:textId="0DBF15E3" w:rsidR="001C1114" w:rsidRPr="00066DB4" w:rsidRDefault="001C1114" w:rsidP="000B628A">
            <w:pPr>
              <w:pStyle w:val="Tabletexte"/>
              <w:rPr>
                <w:spacing w:val="-2"/>
                <w:position w:val="2"/>
              </w:rPr>
            </w:pPr>
            <w:r w:rsidRPr="00066DB4">
              <w:rPr>
                <w:spacing w:val="-2"/>
                <w:position w:val="2"/>
                <w:rtl/>
                <w:lang w:val="en-GB" w:bidi="ar-SA"/>
              </w:rPr>
              <w:t>اقتراح بأن يرسل الاتحاد رسائل تذكير سنوية إلى البلدان، خاصة البلدان النامية، لاستعمال بطاقات التبليغ المجانية الخاصة بها.</w:t>
            </w:r>
          </w:p>
        </w:tc>
        <w:tc>
          <w:tcPr>
            <w:tcW w:w="2176" w:type="pct"/>
          </w:tcPr>
          <w:p w14:paraId="68C8240E" w14:textId="77777777" w:rsidR="001C1114" w:rsidRPr="00066DB4" w:rsidRDefault="001C1114" w:rsidP="000B628A">
            <w:pPr>
              <w:pStyle w:val="Tabletexte"/>
              <w:rPr>
                <w:position w:val="2"/>
              </w:rPr>
            </w:pPr>
          </w:p>
        </w:tc>
      </w:tr>
      <w:tr w:rsidR="001C1114" w:rsidRPr="000B628A" w14:paraId="2EBF3941" w14:textId="77777777" w:rsidTr="000B628A">
        <w:trPr>
          <w:cantSplit/>
          <w:jc w:val="center"/>
        </w:trPr>
        <w:tc>
          <w:tcPr>
            <w:tcW w:w="787" w:type="pct"/>
            <w:vMerge/>
          </w:tcPr>
          <w:p w14:paraId="0C8A3508" w14:textId="77777777" w:rsidR="001C1114" w:rsidRPr="000B628A" w:rsidRDefault="001C1114" w:rsidP="000B628A">
            <w:pPr>
              <w:pStyle w:val="Tabletexte"/>
              <w:rPr>
                <w:position w:val="2"/>
              </w:rPr>
            </w:pPr>
          </w:p>
        </w:tc>
        <w:tc>
          <w:tcPr>
            <w:tcW w:w="2037" w:type="pct"/>
          </w:tcPr>
          <w:p w14:paraId="2D211D7E" w14:textId="6EF836AD" w:rsidR="001C1114" w:rsidRPr="00066DB4" w:rsidRDefault="001C1114" w:rsidP="000B628A">
            <w:pPr>
              <w:pStyle w:val="Tabletexte"/>
              <w:rPr>
                <w:spacing w:val="-4"/>
                <w:position w:val="2"/>
              </w:rPr>
            </w:pPr>
            <w:r w:rsidRPr="00066DB4">
              <w:rPr>
                <w:spacing w:val="-4"/>
                <w:position w:val="2"/>
                <w:rtl/>
                <w:lang w:val="en-GB" w:bidi="ar-SA"/>
              </w:rPr>
              <w:t>أيد بعض الأعضاء المقترح المقدم ضمن مساهمة متعددة البلدان لمنع إساءة استعمال بطاقات التبليغ المجانية.</w:t>
            </w:r>
          </w:p>
        </w:tc>
        <w:tc>
          <w:tcPr>
            <w:tcW w:w="2176" w:type="pct"/>
          </w:tcPr>
          <w:p w14:paraId="6A753D58" w14:textId="77777777" w:rsidR="001C1114" w:rsidRPr="00066DB4" w:rsidRDefault="001C1114" w:rsidP="000B628A">
            <w:pPr>
              <w:pStyle w:val="Tabletexte"/>
              <w:rPr>
                <w:position w:val="2"/>
              </w:rPr>
            </w:pPr>
          </w:p>
        </w:tc>
      </w:tr>
      <w:tr w:rsidR="00C50A46" w:rsidRPr="000B628A" w14:paraId="318ED700" w14:textId="77777777" w:rsidTr="000B628A">
        <w:trPr>
          <w:cantSplit/>
          <w:jc w:val="center"/>
        </w:trPr>
        <w:tc>
          <w:tcPr>
            <w:tcW w:w="5000" w:type="pct"/>
            <w:gridSpan w:val="3"/>
            <w:shd w:val="clear" w:color="auto" w:fill="E7E6E6" w:themeFill="background2"/>
          </w:tcPr>
          <w:p w14:paraId="790435BF" w14:textId="43D752A1" w:rsidR="00C50A46" w:rsidRPr="00066DB4" w:rsidRDefault="001C1114" w:rsidP="000B628A">
            <w:pPr>
              <w:pStyle w:val="Tabletexte"/>
              <w:keepNext/>
              <w:keepLines/>
              <w:rPr>
                <w:position w:val="2"/>
              </w:rPr>
            </w:pPr>
            <w:r w:rsidRPr="00066DB4">
              <w:rPr>
                <w:b/>
                <w:bCs/>
                <w:position w:val="2"/>
                <w:rtl/>
                <w:lang w:val="en-GB" w:bidi="ar-SA"/>
              </w:rPr>
              <w:lastRenderedPageBreak/>
              <w:t>الشفافية</w:t>
            </w:r>
          </w:p>
        </w:tc>
      </w:tr>
      <w:tr w:rsidR="001C1114" w:rsidRPr="000B628A" w14:paraId="4B970BF2" w14:textId="77777777" w:rsidTr="000B628A">
        <w:trPr>
          <w:cantSplit/>
          <w:jc w:val="center"/>
        </w:trPr>
        <w:tc>
          <w:tcPr>
            <w:tcW w:w="787" w:type="pct"/>
            <w:vMerge w:val="restart"/>
          </w:tcPr>
          <w:p w14:paraId="4FDAE328" w14:textId="77777777" w:rsidR="001C1114" w:rsidRPr="000B628A" w:rsidRDefault="001C1114" w:rsidP="000B628A">
            <w:pPr>
              <w:pStyle w:val="Tabletexte"/>
              <w:rPr>
                <w:position w:val="2"/>
              </w:rPr>
            </w:pPr>
          </w:p>
        </w:tc>
        <w:tc>
          <w:tcPr>
            <w:tcW w:w="2037" w:type="pct"/>
          </w:tcPr>
          <w:p w14:paraId="1B494C4D" w14:textId="5B777DFF" w:rsidR="001C1114" w:rsidRPr="00066DB4" w:rsidRDefault="001C1114" w:rsidP="000B628A">
            <w:pPr>
              <w:pStyle w:val="Tabletexte"/>
              <w:keepNext/>
              <w:keepLines/>
              <w:rPr>
                <w:spacing w:val="-2"/>
                <w:position w:val="2"/>
              </w:rPr>
            </w:pPr>
            <w:r w:rsidRPr="00066DB4">
              <w:rPr>
                <w:spacing w:val="-2"/>
                <w:position w:val="2"/>
                <w:rtl/>
                <w:lang w:val="en-GB" w:bidi="ar-SA"/>
              </w:rPr>
              <w:t>يفتقر مقترح الأمانة إلى تدابير محددة. إرساء المنهجية المقترحة على بيانات مدققة مستقاة من عمليات مكتب الاتصالات الراديوية (BR).</w:t>
            </w:r>
          </w:p>
        </w:tc>
        <w:tc>
          <w:tcPr>
            <w:tcW w:w="2176" w:type="pct"/>
          </w:tcPr>
          <w:p w14:paraId="6600E67C" w14:textId="0DAC0F18" w:rsidR="001C1114" w:rsidRPr="00066DB4" w:rsidRDefault="001C1114" w:rsidP="000B628A">
            <w:pPr>
              <w:pStyle w:val="Tabletexte"/>
              <w:rPr>
                <w:spacing w:val="-4"/>
                <w:position w:val="2"/>
              </w:rPr>
            </w:pPr>
            <w:r w:rsidRPr="00066DB4">
              <w:rPr>
                <w:spacing w:val="-4"/>
                <w:position w:val="2"/>
                <w:rtl/>
                <w:lang w:val="en-GB" w:bidi="ar-SA"/>
              </w:rPr>
              <w:t>التماس توضيح بشأن عناصر التكلفة التي يتعين استردادها في</w:t>
            </w:r>
            <w:r w:rsidR="009E3820" w:rsidRPr="00066DB4">
              <w:rPr>
                <w:spacing w:val="-4"/>
                <w:position w:val="2"/>
                <w:rtl/>
                <w:lang w:val="en-GB" w:bidi="ar-SA"/>
              </w:rPr>
              <w:t> </w:t>
            </w:r>
            <w:r w:rsidRPr="00066DB4">
              <w:rPr>
                <w:spacing w:val="-4"/>
                <w:position w:val="2"/>
                <w:rtl/>
                <w:lang w:val="en-GB" w:bidi="ar-SA"/>
              </w:rPr>
              <w:t>المنهجية. وعلى وجه التحديد، كيف ستحدد الأمانة التعاريف والحسابات والمخصصات للتكاليف المباشرة والتكاليف غير المباشرة؟</w:t>
            </w:r>
          </w:p>
        </w:tc>
      </w:tr>
      <w:tr w:rsidR="001C1114" w:rsidRPr="000B628A" w14:paraId="2086F1EF" w14:textId="77777777" w:rsidTr="000B628A">
        <w:trPr>
          <w:cantSplit/>
          <w:jc w:val="center"/>
        </w:trPr>
        <w:tc>
          <w:tcPr>
            <w:tcW w:w="787" w:type="pct"/>
            <w:vMerge/>
          </w:tcPr>
          <w:p w14:paraId="7CB22824" w14:textId="77777777" w:rsidR="001C1114" w:rsidRPr="000B628A" w:rsidRDefault="001C1114" w:rsidP="000B628A">
            <w:pPr>
              <w:pStyle w:val="Tabletexte"/>
              <w:rPr>
                <w:position w:val="2"/>
              </w:rPr>
            </w:pPr>
          </w:p>
        </w:tc>
        <w:tc>
          <w:tcPr>
            <w:tcW w:w="2037" w:type="pct"/>
          </w:tcPr>
          <w:p w14:paraId="59BAD620" w14:textId="5B7C769F" w:rsidR="001C1114" w:rsidRPr="00066DB4" w:rsidRDefault="001C1114" w:rsidP="000B628A">
            <w:pPr>
              <w:pStyle w:val="Tabletexte"/>
              <w:rPr>
                <w:spacing w:val="-2"/>
                <w:position w:val="2"/>
              </w:rPr>
            </w:pPr>
            <w:r w:rsidRPr="00066DB4">
              <w:rPr>
                <w:spacing w:val="-2"/>
                <w:position w:val="2"/>
                <w:rtl/>
                <w:lang w:val="en-GB" w:bidi="ar-SA"/>
              </w:rPr>
              <w:t>تشير بعض البلدان إلى أن أي تكاليف مباشرة أو غير مباشرة يجب أن تسترد عن طريق آلية استرداد التكاليف، ويجب على الأمانة أن تثبت الصلة بين التكاليف غير المباشرة وتقديم بطاقات التبليغ عن الشبكات الساتلية من أجل إدراج هذه التكاليف.</w:t>
            </w:r>
          </w:p>
        </w:tc>
        <w:tc>
          <w:tcPr>
            <w:tcW w:w="2176" w:type="pct"/>
          </w:tcPr>
          <w:p w14:paraId="6FB57CF0" w14:textId="50DF981D" w:rsidR="001C1114" w:rsidRPr="00066DB4" w:rsidRDefault="001C1114" w:rsidP="000B628A">
            <w:pPr>
              <w:pStyle w:val="Tabletexte"/>
              <w:rPr>
                <w:spacing w:val="-4"/>
                <w:position w:val="2"/>
              </w:rPr>
            </w:pPr>
            <w:r w:rsidRPr="00066DB4">
              <w:rPr>
                <w:spacing w:val="-4"/>
                <w:position w:val="2"/>
                <w:rtl/>
                <w:lang w:val="en-GB" w:bidi="ar-SA"/>
              </w:rPr>
              <w:t>كيف تعتزم الأمانة قياس مكاسب الكفاءة المتأتية من الإصلاح المقترح بخصوص معالجة بطاقات التبليغ والإبلاغ عنها؟</w:t>
            </w:r>
          </w:p>
        </w:tc>
      </w:tr>
      <w:tr w:rsidR="001C1114" w:rsidRPr="000B628A" w14:paraId="7DA5AA82" w14:textId="77777777" w:rsidTr="000B628A">
        <w:trPr>
          <w:cantSplit/>
          <w:jc w:val="center"/>
        </w:trPr>
        <w:tc>
          <w:tcPr>
            <w:tcW w:w="787" w:type="pct"/>
            <w:vMerge/>
          </w:tcPr>
          <w:p w14:paraId="73FC2348" w14:textId="77777777" w:rsidR="001C1114" w:rsidRPr="000B628A" w:rsidRDefault="001C1114" w:rsidP="000B628A">
            <w:pPr>
              <w:pStyle w:val="Tabletexte"/>
              <w:rPr>
                <w:position w:val="2"/>
              </w:rPr>
            </w:pPr>
          </w:p>
        </w:tc>
        <w:tc>
          <w:tcPr>
            <w:tcW w:w="2037" w:type="pct"/>
          </w:tcPr>
          <w:p w14:paraId="2AE2699C" w14:textId="25E07D2E" w:rsidR="001C1114" w:rsidRPr="00066DB4" w:rsidRDefault="001C1114" w:rsidP="000B628A">
            <w:pPr>
              <w:pStyle w:val="Tabletexte"/>
              <w:rPr>
                <w:position w:val="2"/>
              </w:rPr>
            </w:pPr>
            <w:r w:rsidRPr="00066DB4">
              <w:rPr>
                <w:position w:val="2"/>
                <w:rtl/>
                <w:lang w:val="en-GB" w:bidi="ar-SA"/>
              </w:rPr>
              <w:t xml:space="preserve">لم يذكر القرار 91 التكاليف الرأسمالية مثل الاستهلاك. </w:t>
            </w:r>
          </w:p>
        </w:tc>
        <w:tc>
          <w:tcPr>
            <w:tcW w:w="2176" w:type="pct"/>
          </w:tcPr>
          <w:p w14:paraId="4AFA413D" w14:textId="793EEE87" w:rsidR="001C1114" w:rsidRPr="00066DB4" w:rsidRDefault="001C1114" w:rsidP="000B628A">
            <w:pPr>
              <w:pStyle w:val="Tabletexte"/>
              <w:rPr>
                <w:position w:val="2"/>
              </w:rPr>
            </w:pPr>
            <w:r w:rsidRPr="00066DB4">
              <w:rPr>
                <w:position w:val="2"/>
                <w:rtl/>
                <w:lang w:val="en-GB" w:bidi="ar-SA"/>
              </w:rPr>
              <w:t>هل التكاليف الرأسمالية مباشرة أم غير مباشرة؟ لماذا يجب إدراجها؟</w:t>
            </w:r>
          </w:p>
        </w:tc>
      </w:tr>
      <w:tr w:rsidR="001C1114" w:rsidRPr="000B628A" w14:paraId="003968FA" w14:textId="77777777" w:rsidTr="000B628A">
        <w:trPr>
          <w:cantSplit/>
          <w:jc w:val="center"/>
        </w:trPr>
        <w:tc>
          <w:tcPr>
            <w:tcW w:w="787" w:type="pct"/>
          </w:tcPr>
          <w:p w14:paraId="578B25E6" w14:textId="77777777" w:rsidR="001C1114" w:rsidRPr="000B628A" w:rsidRDefault="001C1114" w:rsidP="000B628A">
            <w:pPr>
              <w:pStyle w:val="Tabletexte"/>
              <w:rPr>
                <w:position w:val="2"/>
              </w:rPr>
            </w:pPr>
          </w:p>
        </w:tc>
        <w:tc>
          <w:tcPr>
            <w:tcW w:w="2037" w:type="pct"/>
          </w:tcPr>
          <w:p w14:paraId="1039DF52" w14:textId="7E519777" w:rsidR="001C1114" w:rsidRPr="00066DB4" w:rsidRDefault="001C1114" w:rsidP="000B628A">
            <w:pPr>
              <w:pStyle w:val="Tabletexte"/>
              <w:rPr>
                <w:spacing w:val="-4"/>
                <w:position w:val="2"/>
              </w:rPr>
            </w:pPr>
            <w:r w:rsidRPr="00066DB4">
              <w:rPr>
                <w:spacing w:val="-4"/>
                <w:position w:val="2"/>
                <w:rtl/>
                <w:lang w:val="en-GB" w:bidi="ar-SA"/>
              </w:rPr>
              <w:t xml:space="preserve">وأعرب بعض الأعضاء عن قلقهم من إمكانية استفادة عدد محدود من الكيانات المتعددة الجنسيات من بطاقات التبليغ المجانية. </w:t>
            </w:r>
          </w:p>
        </w:tc>
        <w:tc>
          <w:tcPr>
            <w:tcW w:w="2176" w:type="pct"/>
          </w:tcPr>
          <w:p w14:paraId="1738FC72" w14:textId="153E8508" w:rsidR="001C1114" w:rsidRPr="00066DB4" w:rsidRDefault="001C1114" w:rsidP="000B628A">
            <w:pPr>
              <w:pStyle w:val="Tabletexte"/>
              <w:rPr>
                <w:position w:val="2"/>
              </w:rPr>
            </w:pPr>
            <w:r w:rsidRPr="00066DB4">
              <w:rPr>
                <w:position w:val="2"/>
                <w:rtl/>
                <w:lang w:val="en-GB" w:bidi="ar-SA"/>
              </w:rPr>
              <w:t>ما هي الآثار المالية المترتبة على معالجة بطاقات التبليغ المجانية التي كانت جزء</w:t>
            </w:r>
            <w:r w:rsidR="00914350" w:rsidRPr="00066DB4">
              <w:rPr>
                <w:position w:val="2"/>
                <w:rtl/>
                <w:lang w:val="en-GB" w:bidi="ar-SA"/>
              </w:rPr>
              <w:t xml:space="preserve">اً </w:t>
            </w:r>
            <w:r w:rsidRPr="00066DB4">
              <w:rPr>
                <w:position w:val="2"/>
                <w:rtl/>
                <w:lang w:val="en-GB" w:bidi="ar-SA"/>
              </w:rPr>
              <w:t>من الكوكبة الساتلية نفسها؟</w:t>
            </w:r>
          </w:p>
        </w:tc>
      </w:tr>
      <w:tr w:rsidR="00C50A46" w:rsidRPr="000B628A" w14:paraId="12576297" w14:textId="77777777" w:rsidTr="000B628A">
        <w:trPr>
          <w:cantSplit/>
          <w:jc w:val="center"/>
        </w:trPr>
        <w:tc>
          <w:tcPr>
            <w:tcW w:w="5000" w:type="pct"/>
            <w:gridSpan w:val="3"/>
            <w:shd w:val="clear" w:color="auto" w:fill="E7E6E6" w:themeFill="background2"/>
          </w:tcPr>
          <w:p w14:paraId="357CDDD7" w14:textId="66671F0B" w:rsidR="00C50A46" w:rsidRPr="000B628A" w:rsidRDefault="005440C7" w:rsidP="000B628A">
            <w:pPr>
              <w:pStyle w:val="Tabletexte"/>
              <w:rPr>
                <w:position w:val="2"/>
              </w:rPr>
            </w:pPr>
            <w:r w:rsidRPr="000B628A">
              <w:rPr>
                <w:b/>
                <w:bCs/>
                <w:position w:val="2"/>
                <w:rtl/>
                <w:lang w:val="en-GB" w:bidi="ar-SA"/>
              </w:rPr>
              <w:t>هيكل رسوم يمكن التنبؤ به</w:t>
            </w:r>
          </w:p>
        </w:tc>
      </w:tr>
      <w:tr w:rsidR="005440C7" w:rsidRPr="000B628A" w14:paraId="63CEE2D6" w14:textId="77777777" w:rsidTr="000B628A">
        <w:trPr>
          <w:cantSplit/>
          <w:jc w:val="center"/>
        </w:trPr>
        <w:tc>
          <w:tcPr>
            <w:tcW w:w="787" w:type="pct"/>
          </w:tcPr>
          <w:p w14:paraId="3D6E08C8" w14:textId="77777777" w:rsidR="005440C7" w:rsidRPr="000B628A" w:rsidRDefault="005440C7" w:rsidP="000B628A">
            <w:pPr>
              <w:pStyle w:val="Tabletexte"/>
              <w:rPr>
                <w:position w:val="2"/>
              </w:rPr>
            </w:pPr>
          </w:p>
        </w:tc>
        <w:tc>
          <w:tcPr>
            <w:tcW w:w="2037" w:type="pct"/>
          </w:tcPr>
          <w:p w14:paraId="4153B6E6" w14:textId="38661E8D" w:rsidR="005440C7" w:rsidRPr="000B628A" w:rsidRDefault="005440C7" w:rsidP="000B628A">
            <w:pPr>
              <w:pStyle w:val="Tabletexte"/>
              <w:rPr>
                <w:position w:val="2"/>
              </w:rPr>
            </w:pPr>
            <w:r w:rsidRPr="000B628A">
              <w:rPr>
                <w:position w:val="2"/>
                <w:rtl/>
                <w:lang w:val="en-GB" w:bidi="ar-SA"/>
              </w:rPr>
              <w:t>يبدو أن الدول الأعضاء متفقة على أن التقلبات الرئيسية تعوق تخطيط شؤون الشبكات الساتلية.</w:t>
            </w:r>
          </w:p>
        </w:tc>
        <w:tc>
          <w:tcPr>
            <w:tcW w:w="2176" w:type="pct"/>
          </w:tcPr>
          <w:p w14:paraId="439C7204" w14:textId="0F7F88B1" w:rsidR="005440C7" w:rsidRPr="000B628A" w:rsidRDefault="005440C7" w:rsidP="000B628A">
            <w:pPr>
              <w:pStyle w:val="Tabletexte"/>
              <w:rPr>
                <w:position w:val="2"/>
              </w:rPr>
            </w:pPr>
            <w:r w:rsidRPr="000B628A">
              <w:rPr>
                <w:position w:val="2"/>
                <w:rtl/>
                <w:lang w:val="en-GB" w:bidi="ar-SA"/>
              </w:rPr>
              <w:t>هل يمكن للاتحاد أن يقترح شيئ</w:t>
            </w:r>
            <w:r w:rsidR="00914350" w:rsidRPr="000B628A">
              <w:rPr>
                <w:position w:val="2"/>
                <w:rtl/>
                <w:lang w:val="en-GB" w:bidi="ar-SA"/>
              </w:rPr>
              <w:t xml:space="preserve">اً </w:t>
            </w:r>
            <w:r w:rsidRPr="000B628A">
              <w:rPr>
                <w:position w:val="2"/>
                <w:rtl/>
                <w:lang w:val="en-GB" w:bidi="ar-SA"/>
              </w:rPr>
              <w:t>آخر غير التسوية السنوية لأغراض التخطيط طويل الأجل؟</w:t>
            </w:r>
          </w:p>
        </w:tc>
      </w:tr>
      <w:tr w:rsidR="00C50A46" w:rsidRPr="000B628A" w14:paraId="5EF047AB" w14:textId="77777777" w:rsidTr="000B628A">
        <w:trPr>
          <w:cantSplit/>
          <w:jc w:val="center"/>
        </w:trPr>
        <w:tc>
          <w:tcPr>
            <w:tcW w:w="5000" w:type="pct"/>
            <w:gridSpan w:val="3"/>
            <w:shd w:val="clear" w:color="auto" w:fill="E7E6E6" w:themeFill="background2"/>
          </w:tcPr>
          <w:p w14:paraId="12E10E5A" w14:textId="733B6B59" w:rsidR="00C50A46" w:rsidRPr="000B628A" w:rsidRDefault="005440C7" w:rsidP="000B628A">
            <w:pPr>
              <w:pStyle w:val="Tabletexte"/>
              <w:rPr>
                <w:position w:val="2"/>
              </w:rPr>
            </w:pPr>
            <w:r w:rsidRPr="000B628A">
              <w:rPr>
                <w:b/>
                <w:bCs/>
                <w:position w:val="2"/>
                <w:rtl/>
                <w:lang w:val="en-GB" w:bidi="ar-SA"/>
              </w:rPr>
              <w:t>مواضيع أخرى</w:t>
            </w:r>
          </w:p>
        </w:tc>
      </w:tr>
      <w:tr w:rsidR="005440C7" w:rsidRPr="000B628A" w14:paraId="4ECA2000" w14:textId="77777777" w:rsidTr="000B628A">
        <w:trPr>
          <w:cantSplit/>
          <w:jc w:val="center"/>
        </w:trPr>
        <w:tc>
          <w:tcPr>
            <w:tcW w:w="787" w:type="pct"/>
            <w:vMerge w:val="restart"/>
          </w:tcPr>
          <w:p w14:paraId="42FA5512" w14:textId="77777777" w:rsidR="005440C7" w:rsidRPr="000B628A" w:rsidRDefault="005440C7" w:rsidP="000B628A">
            <w:pPr>
              <w:pStyle w:val="Tabletexte"/>
              <w:rPr>
                <w:position w:val="2"/>
              </w:rPr>
            </w:pPr>
          </w:p>
        </w:tc>
        <w:tc>
          <w:tcPr>
            <w:tcW w:w="2037" w:type="pct"/>
          </w:tcPr>
          <w:p w14:paraId="189E673D" w14:textId="3BDA27C3" w:rsidR="005440C7" w:rsidRPr="000B628A" w:rsidRDefault="005440C7" w:rsidP="000B628A">
            <w:pPr>
              <w:pStyle w:val="Tabletexte"/>
              <w:rPr>
                <w:position w:val="2"/>
              </w:rPr>
            </w:pPr>
            <w:r w:rsidRPr="000B628A">
              <w:rPr>
                <w:position w:val="2"/>
                <w:rtl/>
                <w:lang w:val="en-GB" w:bidi="ar-SA"/>
              </w:rPr>
              <w:t xml:space="preserve">قد تتجاوز بعض النقاط التي أثارها الأعضاء ولاية/سلطة الفريق </w:t>
            </w:r>
            <w:r w:rsidR="00666518">
              <w:rPr>
                <w:rFonts w:hint="cs"/>
                <w:position w:val="2"/>
                <w:rtl/>
                <w:lang w:val="en-GB" w:bidi="ar-EG"/>
              </w:rPr>
              <w:t>و</w:t>
            </w:r>
            <w:r w:rsidRPr="000B628A">
              <w:rPr>
                <w:position w:val="2"/>
                <w:rtl/>
                <w:lang w:val="en-GB" w:bidi="ar-SA"/>
              </w:rPr>
              <w:t>المعني بالموارد المالية والبشرية وينبغي أن يقررها مؤتمر المندوبين المفوضين.</w:t>
            </w:r>
          </w:p>
        </w:tc>
        <w:tc>
          <w:tcPr>
            <w:tcW w:w="2176" w:type="pct"/>
          </w:tcPr>
          <w:p w14:paraId="0FEB3E85" w14:textId="2901519D" w:rsidR="005440C7" w:rsidRPr="000B628A" w:rsidRDefault="005440C7" w:rsidP="000B628A">
            <w:pPr>
              <w:pStyle w:val="Tabletexte"/>
              <w:rPr>
                <w:position w:val="2"/>
              </w:rPr>
            </w:pPr>
            <w:r w:rsidRPr="000B628A">
              <w:rPr>
                <w:position w:val="2"/>
                <w:rtl/>
                <w:lang w:val="en-GB" w:bidi="ar-SA"/>
              </w:rPr>
              <w:t>ما التوصيات التي ستحال إلى المجلس؟</w:t>
            </w:r>
          </w:p>
        </w:tc>
      </w:tr>
      <w:tr w:rsidR="005440C7" w:rsidRPr="000B628A" w14:paraId="7EE9FA0D" w14:textId="77777777" w:rsidTr="000B628A">
        <w:trPr>
          <w:cantSplit/>
          <w:jc w:val="center"/>
        </w:trPr>
        <w:tc>
          <w:tcPr>
            <w:tcW w:w="787" w:type="pct"/>
            <w:vMerge/>
          </w:tcPr>
          <w:p w14:paraId="3B3A75DE" w14:textId="77777777" w:rsidR="005440C7" w:rsidRPr="000B628A" w:rsidRDefault="005440C7" w:rsidP="000B628A">
            <w:pPr>
              <w:pStyle w:val="Tabletexte"/>
              <w:rPr>
                <w:position w:val="2"/>
              </w:rPr>
            </w:pPr>
          </w:p>
        </w:tc>
        <w:tc>
          <w:tcPr>
            <w:tcW w:w="2037" w:type="pct"/>
          </w:tcPr>
          <w:p w14:paraId="4CC8A5A2" w14:textId="20AAFA27" w:rsidR="005440C7" w:rsidRPr="000B628A" w:rsidRDefault="005440C7" w:rsidP="000B628A">
            <w:pPr>
              <w:pStyle w:val="Tabletexte"/>
              <w:rPr>
                <w:position w:val="2"/>
              </w:rPr>
            </w:pPr>
            <w:r w:rsidRPr="000B628A">
              <w:rPr>
                <w:position w:val="2"/>
                <w:rtl/>
                <w:lang w:val="en-GB" w:bidi="ar-SA"/>
              </w:rPr>
              <w:t>تباين في تأييد ومعارض إعادة فتح فريق الخبراء المعني بالمقرر 482.</w:t>
            </w:r>
          </w:p>
        </w:tc>
        <w:tc>
          <w:tcPr>
            <w:tcW w:w="2176" w:type="pct"/>
          </w:tcPr>
          <w:p w14:paraId="4887057A" w14:textId="0577160D" w:rsidR="005440C7" w:rsidRPr="000B628A" w:rsidRDefault="005440C7" w:rsidP="000B628A">
            <w:pPr>
              <w:pStyle w:val="Tabletexte"/>
              <w:rPr>
                <w:position w:val="2"/>
              </w:rPr>
            </w:pPr>
            <w:r w:rsidRPr="000B628A">
              <w:rPr>
                <w:position w:val="2"/>
                <w:rtl/>
                <w:lang w:val="en-GB" w:bidi="ar-SA"/>
              </w:rPr>
              <w:t>هل توجد خطة طوارئ تتعلق بالتكلفة للتصرف في المبلغ الـ</w:t>
            </w:r>
            <w:r w:rsidR="00052E2C" w:rsidRPr="000B628A">
              <w:rPr>
                <w:position w:val="2"/>
                <w:rtl/>
                <w:lang w:val="en-GB" w:bidi="ar-SA"/>
              </w:rPr>
              <w:t> </w:t>
            </w:r>
            <w:r w:rsidR="00633151" w:rsidRPr="000B628A">
              <w:rPr>
                <w:position w:val="2"/>
                <w:lang w:val="en-GB" w:bidi="ar-SA"/>
              </w:rPr>
              <w:t>5,5</w:t>
            </w:r>
            <w:r w:rsidRPr="000B628A">
              <w:rPr>
                <w:position w:val="2"/>
                <w:rtl/>
                <w:lang w:val="en-GB" w:bidi="ar-SA"/>
              </w:rPr>
              <w:t xml:space="preserve"> ملايين فرنك سويسري من إيرادات معالجة بطاقات التبليغ المؤجلة؟</w:t>
            </w:r>
          </w:p>
        </w:tc>
      </w:tr>
      <w:tr w:rsidR="005440C7" w:rsidRPr="000B628A" w14:paraId="6E266BC5" w14:textId="77777777" w:rsidTr="000B628A">
        <w:trPr>
          <w:cantSplit/>
          <w:jc w:val="center"/>
        </w:trPr>
        <w:tc>
          <w:tcPr>
            <w:tcW w:w="787" w:type="pct"/>
            <w:vMerge/>
          </w:tcPr>
          <w:p w14:paraId="712AB1AA" w14:textId="77777777" w:rsidR="005440C7" w:rsidRPr="000B628A" w:rsidRDefault="005440C7" w:rsidP="000B628A">
            <w:pPr>
              <w:pStyle w:val="Tabletexte"/>
              <w:rPr>
                <w:position w:val="2"/>
              </w:rPr>
            </w:pPr>
          </w:p>
        </w:tc>
        <w:tc>
          <w:tcPr>
            <w:tcW w:w="2037" w:type="pct"/>
          </w:tcPr>
          <w:p w14:paraId="0DEECB29" w14:textId="1A1C1049" w:rsidR="005440C7" w:rsidRPr="000B628A" w:rsidRDefault="005440C7" w:rsidP="000B628A">
            <w:pPr>
              <w:pStyle w:val="Tabletexte"/>
              <w:rPr>
                <w:spacing w:val="-4"/>
                <w:position w:val="2"/>
              </w:rPr>
            </w:pPr>
            <w:r w:rsidRPr="000B628A">
              <w:rPr>
                <w:spacing w:val="-4"/>
                <w:position w:val="2"/>
                <w:rtl/>
                <w:lang w:val="en-GB" w:bidi="ar-SA"/>
              </w:rPr>
              <w:t>لا يوجد تأييد لإدراج مدخلات تتعلق بالحوكمة مصدرها مؤتمري وجمعيتي قطاعي تقييس الاتصالات وتنمية الاتصالات. ويوجد اقتراح مفاده قصر هذه العناصر على مؤتمر المندوبين المفوضين والمجلس وقطاع الاتصالات الراديوية.</w:t>
            </w:r>
          </w:p>
        </w:tc>
        <w:tc>
          <w:tcPr>
            <w:tcW w:w="2176" w:type="pct"/>
          </w:tcPr>
          <w:p w14:paraId="1CF495E0" w14:textId="77777777" w:rsidR="005440C7" w:rsidRPr="000B628A" w:rsidRDefault="005440C7" w:rsidP="000B628A">
            <w:pPr>
              <w:pStyle w:val="Tabletexte"/>
              <w:rPr>
                <w:position w:val="2"/>
              </w:rPr>
            </w:pPr>
          </w:p>
        </w:tc>
      </w:tr>
      <w:tr w:rsidR="005440C7" w:rsidRPr="000B628A" w14:paraId="12D10BB8" w14:textId="77777777" w:rsidTr="000B628A">
        <w:trPr>
          <w:cantSplit/>
          <w:jc w:val="center"/>
        </w:trPr>
        <w:tc>
          <w:tcPr>
            <w:tcW w:w="787" w:type="pct"/>
            <w:vMerge/>
          </w:tcPr>
          <w:p w14:paraId="530143A6" w14:textId="77777777" w:rsidR="005440C7" w:rsidRPr="000B628A" w:rsidRDefault="005440C7" w:rsidP="000B628A">
            <w:pPr>
              <w:pStyle w:val="Tabletexte"/>
              <w:rPr>
                <w:position w:val="2"/>
              </w:rPr>
            </w:pPr>
          </w:p>
        </w:tc>
        <w:tc>
          <w:tcPr>
            <w:tcW w:w="2037" w:type="pct"/>
          </w:tcPr>
          <w:p w14:paraId="728D2479" w14:textId="5A4B62AA" w:rsidR="005440C7" w:rsidRPr="000B628A" w:rsidRDefault="005440C7" w:rsidP="000B628A">
            <w:pPr>
              <w:pStyle w:val="Tabletexte"/>
              <w:rPr>
                <w:spacing w:val="-2"/>
                <w:position w:val="2"/>
              </w:rPr>
            </w:pPr>
            <w:r w:rsidRPr="000B628A">
              <w:rPr>
                <w:spacing w:val="-2"/>
                <w:position w:val="2"/>
                <w:rtl/>
                <w:lang w:val="en-GB" w:bidi="ar-SA"/>
              </w:rPr>
              <w:t>توصيات ترمي إلى تعزيز وثيقة الأمانة قبل دورة المجلس لعام 2026 بإدراج عناصر من تقرير وحدة التفتيش المشتركة لعام 2025.</w:t>
            </w:r>
          </w:p>
        </w:tc>
        <w:tc>
          <w:tcPr>
            <w:tcW w:w="2176" w:type="pct"/>
          </w:tcPr>
          <w:p w14:paraId="2BBD28C0" w14:textId="77777777" w:rsidR="005440C7" w:rsidRPr="000B628A" w:rsidRDefault="005440C7" w:rsidP="000B628A">
            <w:pPr>
              <w:pStyle w:val="Tabletexte"/>
              <w:rPr>
                <w:position w:val="2"/>
              </w:rPr>
            </w:pPr>
          </w:p>
        </w:tc>
      </w:tr>
      <w:tr w:rsidR="005440C7" w:rsidRPr="000B628A" w14:paraId="68AD4C94" w14:textId="77777777" w:rsidTr="000B628A">
        <w:trPr>
          <w:cantSplit/>
          <w:jc w:val="center"/>
        </w:trPr>
        <w:tc>
          <w:tcPr>
            <w:tcW w:w="787" w:type="pct"/>
            <w:vMerge/>
          </w:tcPr>
          <w:p w14:paraId="78BB4DA2" w14:textId="77777777" w:rsidR="005440C7" w:rsidRPr="000B628A" w:rsidRDefault="005440C7" w:rsidP="000B628A">
            <w:pPr>
              <w:pStyle w:val="Tabletexte"/>
              <w:rPr>
                <w:position w:val="2"/>
              </w:rPr>
            </w:pPr>
          </w:p>
        </w:tc>
        <w:tc>
          <w:tcPr>
            <w:tcW w:w="2037" w:type="pct"/>
          </w:tcPr>
          <w:p w14:paraId="449E3E1B" w14:textId="1DE20328" w:rsidR="005440C7" w:rsidRPr="000B628A" w:rsidRDefault="005440C7" w:rsidP="000B628A">
            <w:pPr>
              <w:pStyle w:val="Tabletexte"/>
              <w:rPr>
                <w:position w:val="2"/>
              </w:rPr>
            </w:pPr>
            <w:r w:rsidRPr="000B628A">
              <w:rPr>
                <w:position w:val="2"/>
                <w:rtl/>
                <w:lang w:val="en-GB" w:bidi="ar-SA"/>
              </w:rPr>
              <w:t xml:space="preserve">ولا يمكن مقارنة نهج التكاليف غير المباشرة الذي تتبعه الهيئات التنظيمية الوطنية بنهج الاتحاد. </w:t>
            </w:r>
          </w:p>
        </w:tc>
        <w:tc>
          <w:tcPr>
            <w:tcW w:w="2176" w:type="pct"/>
          </w:tcPr>
          <w:p w14:paraId="05C16E33" w14:textId="77777777" w:rsidR="005440C7" w:rsidRPr="000B628A" w:rsidRDefault="005440C7" w:rsidP="000B628A">
            <w:pPr>
              <w:pStyle w:val="Tabletexte"/>
              <w:rPr>
                <w:position w:val="2"/>
              </w:rPr>
            </w:pPr>
          </w:p>
        </w:tc>
      </w:tr>
      <w:tr w:rsidR="00C50A46" w:rsidRPr="000B628A" w14:paraId="0102ACBE" w14:textId="77777777" w:rsidTr="000B628A">
        <w:trPr>
          <w:cantSplit/>
          <w:jc w:val="center"/>
        </w:trPr>
        <w:tc>
          <w:tcPr>
            <w:tcW w:w="5000" w:type="pct"/>
            <w:gridSpan w:val="3"/>
            <w:shd w:val="clear" w:color="auto" w:fill="E7E6E6" w:themeFill="background2"/>
          </w:tcPr>
          <w:p w14:paraId="5B5FB07E" w14:textId="759F018B" w:rsidR="00C50A46" w:rsidRPr="000B628A" w:rsidRDefault="005440C7" w:rsidP="000B628A">
            <w:pPr>
              <w:pStyle w:val="Tabletexte"/>
              <w:rPr>
                <w:position w:val="2"/>
              </w:rPr>
            </w:pPr>
            <w:r w:rsidRPr="000B628A">
              <w:rPr>
                <w:b/>
                <w:bCs/>
                <w:position w:val="2"/>
                <w:rtl/>
                <w:lang w:val="en-GB" w:bidi="ar-SA"/>
              </w:rPr>
              <w:t xml:space="preserve">إلى أين تُوجَّه </w:t>
            </w:r>
            <w:r w:rsidR="000B628A">
              <w:rPr>
                <w:rFonts w:hint="cs"/>
                <w:b/>
                <w:bCs/>
                <w:position w:val="2"/>
                <w:rtl/>
                <w:lang w:val="en-GB" w:bidi="ar-SA"/>
              </w:rPr>
              <w:t xml:space="preserve">مبالغ استرداد </w:t>
            </w:r>
            <w:r w:rsidRPr="000B628A">
              <w:rPr>
                <w:b/>
                <w:bCs/>
                <w:position w:val="2"/>
                <w:rtl/>
                <w:lang w:val="en-GB" w:bidi="ar-SA"/>
              </w:rPr>
              <w:t>التكاليف (CR)؟</w:t>
            </w:r>
            <w:r w:rsidRPr="000B628A">
              <w:rPr>
                <w:position w:val="2"/>
                <w:rtl/>
                <w:lang w:val="en-GB" w:bidi="ar-SA"/>
              </w:rPr>
              <w:t xml:space="preserve"> </w:t>
            </w:r>
            <w:r w:rsidRPr="000B628A">
              <w:rPr>
                <w:b/>
                <w:bCs/>
                <w:position w:val="2"/>
                <w:rtl/>
                <w:lang w:val="en-GB" w:bidi="ar-SA"/>
              </w:rPr>
              <w:t>يتعين أن تُوجَّه إلى مكتب الاتصالات الراديوية.</w:t>
            </w:r>
          </w:p>
        </w:tc>
      </w:tr>
    </w:tbl>
    <w:p w14:paraId="289F60EC" w14:textId="0CE798AF" w:rsidR="00EC792C" w:rsidRPr="007E6D53" w:rsidRDefault="00EC792C" w:rsidP="00404CB7">
      <w:pPr>
        <w:pStyle w:val="Heading1"/>
        <w:rPr>
          <w:rtl/>
          <w:lang w:val="en-GB" w:bidi="en-GB"/>
        </w:rPr>
      </w:pPr>
      <w:r w:rsidRPr="007E6D53">
        <w:rPr>
          <w:rtl/>
          <w:lang w:val="en-GB"/>
        </w:rPr>
        <w:lastRenderedPageBreak/>
        <w:t>14</w:t>
      </w:r>
      <w:r w:rsidRPr="007E6D53">
        <w:rPr>
          <w:rtl/>
          <w:lang w:val="en-GB"/>
        </w:rPr>
        <w:tab/>
        <w:t xml:space="preserve">منهجية استعراض وحدة المساهمة ومراجعتها (الوثيقتان </w:t>
      </w:r>
      <w:hyperlink r:id="rId146" w:history="1">
        <w:r w:rsidR="00A51C0E" w:rsidRPr="007E6D53">
          <w:rPr>
            <w:rStyle w:val="Hyperlink"/>
          </w:rPr>
          <w:t>CWG-FHR-21/13</w:t>
        </w:r>
      </w:hyperlink>
      <w:r w:rsidRPr="007E6D53">
        <w:rPr>
          <w:rtl/>
          <w:lang w:val="en-GB"/>
        </w:rPr>
        <w:t xml:space="preserve"> و</w:t>
      </w:r>
      <w:hyperlink r:id="rId147" w:history="1">
        <w:r w:rsidR="00A51C0E" w:rsidRPr="007E6D53">
          <w:rPr>
            <w:rStyle w:val="Hyperlink"/>
          </w:rPr>
          <w:t>CWG</w:t>
        </w:r>
        <w:r w:rsidR="00A51C0E" w:rsidRPr="007E6D53">
          <w:rPr>
            <w:rStyle w:val="Hyperlink"/>
          </w:rPr>
          <w:noBreakHyphen/>
          <w:t>FHR-22/6</w:t>
        </w:r>
      </w:hyperlink>
      <w:r w:rsidRPr="007E6D53">
        <w:rPr>
          <w:rtl/>
          <w:lang w:val="en-GB"/>
        </w:rPr>
        <w:t>)</w:t>
      </w:r>
      <w:hyperlink r:id="rId148" w:history="1"/>
      <w:hyperlink r:id="rId149" w:history="1"/>
    </w:p>
    <w:p w14:paraId="0555F8DB" w14:textId="6C075946" w:rsidR="00EC792C" w:rsidRPr="00EC792C" w:rsidRDefault="00EC792C" w:rsidP="00404CB7">
      <w:pPr>
        <w:keepNext/>
        <w:keepLines/>
        <w:rPr>
          <w:rtl/>
          <w:lang w:val="en-GB" w:bidi="en-GB"/>
        </w:rPr>
      </w:pPr>
      <w:r w:rsidRPr="00EC792C">
        <w:rPr>
          <w:rtl/>
          <w:lang w:val="en-GB"/>
        </w:rPr>
        <w:t>1.14</w:t>
      </w:r>
      <w:r w:rsidRPr="00EC792C">
        <w:rPr>
          <w:rtl/>
          <w:lang w:val="en-GB"/>
        </w:rPr>
        <w:tab/>
        <w:t>قرر المجلس في دورته لعام 2025 عدم زيادة وحدة المساهمة. وكلف المجلس في دورته لعام 2025، بعد أن أحاط علما</w:t>
      </w:r>
      <w:r w:rsidR="00404CB7" w:rsidRPr="007E6D53">
        <w:rPr>
          <w:rtl/>
          <w:lang w:val="en-GB"/>
        </w:rPr>
        <w:t>ً</w:t>
      </w:r>
      <w:r w:rsidRPr="00EC792C">
        <w:rPr>
          <w:rtl/>
          <w:lang w:val="en-GB"/>
        </w:rPr>
        <w:t xml:space="preserve"> بالقيود المالية التي يواجهها الاتحاد، الأمانة بوضع وعرض النهج التي يمكن للأعضاء النظر في مراجعة وحدة المساهمة باتباعها حتى للمضي قدما</w:t>
      </w:r>
      <w:r w:rsidR="00404CB7" w:rsidRPr="007E6D53">
        <w:rPr>
          <w:rtl/>
          <w:lang w:val="en-GB"/>
        </w:rPr>
        <w:t>ً</w:t>
      </w:r>
      <w:r w:rsidRPr="00EC792C">
        <w:rPr>
          <w:rtl/>
          <w:lang w:val="en-GB"/>
        </w:rPr>
        <w:t xml:space="preserve">. وفي الاجتماع الحادي والعشرين، عرضت الأمانة ثلاثة نُهج: </w:t>
      </w:r>
      <w:r w:rsidR="00404CB7" w:rsidRPr="007E6D53">
        <w:rPr>
          <w:lang w:val="en-GB"/>
        </w:rPr>
        <w:t>(1</w:t>
      </w:r>
      <w:r w:rsidRPr="00EC792C">
        <w:rPr>
          <w:rtl/>
          <w:lang w:val="en-GB"/>
        </w:rPr>
        <w:t xml:space="preserve"> تعديل وحدة المساهمة لتعكس التضخم، و</w:t>
      </w:r>
      <w:r w:rsidR="00156316" w:rsidRPr="007E6D53">
        <w:rPr>
          <w:lang w:val="en-GB"/>
        </w:rPr>
        <w:t>(2</w:t>
      </w:r>
      <w:r w:rsidRPr="00EC792C">
        <w:rPr>
          <w:rtl/>
          <w:lang w:val="en-GB"/>
        </w:rPr>
        <w:t xml:space="preserve"> ربط زيادات وحدة المساهمة بتحسينات الأداء، و3) مواءمة وحدة المساهمة مع قدرة الاتحاد على الوفاء بالتكاليف المرتبطة بالولايات الجديدة.</w:t>
      </w:r>
    </w:p>
    <w:p w14:paraId="4E38A919" w14:textId="4299B1A2" w:rsidR="00EC792C" w:rsidRPr="00EC792C" w:rsidRDefault="00EC792C" w:rsidP="00EC792C">
      <w:pPr>
        <w:rPr>
          <w:rtl/>
          <w:lang w:val="en-GB" w:bidi="en-GB"/>
        </w:rPr>
      </w:pPr>
      <w:r w:rsidRPr="00EC792C">
        <w:rPr>
          <w:rtl/>
          <w:lang w:val="en-GB"/>
        </w:rPr>
        <w:t>2.14</w:t>
      </w:r>
      <w:r w:rsidRPr="00EC792C">
        <w:rPr>
          <w:rtl/>
          <w:lang w:val="en-GB"/>
        </w:rPr>
        <w:tab/>
        <w:t xml:space="preserve">وعلى الرغم من اختلاف وجهات نظر المندوبين بشأن الحلول المقترحة، فقد ظلوا على توافق في الآراء على أن قيمة وحدة المساهمة ينبغي ألا تتغير. واقترح معظم المندوبين إعادة المواءمة مع الولاية الأساسية للاتحاد، وتعزيز تحديد أولويات البرامج/الأنشطة بما يتماشى مع </w:t>
      </w:r>
      <w:r w:rsidR="00666518">
        <w:rPr>
          <w:rFonts w:hint="cs"/>
          <w:rtl/>
          <w:lang w:val="en-GB"/>
        </w:rPr>
        <w:t>مبادرة</w:t>
      </w:r>
      <w:r w:rsidRPr="00EC792C">
        <w:rPr>
          <w:rtl/>
          <w:lang w:val="en-GB"/>
        </w:rPr>
        <w:t xml:space="preserve"> الأمم المتحدة لعام 80، وتحسين الكفاءة، وتعزيز تبني الإدارة القائمة على النتائج. وأوصى آخرون بتعديل المنهجيات للنظر في ثلاثة عوامل (التضخم والأداء وتغطية التكاليف) في</w:t>
      </w:r>
      <w:r w:rsidR="00156316" w:rsidRPr="007E6D53">
        <w:rPr>
          <w:rtl/>
          <w:lang w:val="en-GB"/>
        </w:rPr>
        <w:t> </w:t>
      </w:r>
      <w:r w:rsidRPr="00EC792C">
        <w:rPr>
          <w:rtl/>
          <w:lang w:val="en-GB"/>
        </w:rPr>
        <w:t>آن واحد، مع الاعتراف بأن حجم العمل المعروض على الاتحاد قد ازداد على الرغم من أن قيمة وحدة المساهمة لم تتغير.</w:t>
      </w:r>
    </w:p>
    <w:p w14:paraId="6EBBFF1E" w14:textId="6287C463" w:rsidR="00EC792C" w:rsidRPr="00EC792C" w:rsidRDefault="00EC792C" w:rsidP="00EC792C">
      <w:pPr>
        <w:rPr>
          <w:rtl/>
          <w:lang w:val="en-GB" w:bidi="en-GB"/>
        </w:rPr>
      </w:pPr>
      <w:r w:rsidRPr="00EC792C">
        <w:rPr>
          <w:rtl/>
          <w:lang w:val="en-GB"/>
        </w:rPr>
        <w:t>3.14</w:t>
      </w:r>
      <w:r w:rsidRPr="00EC792C">
        <w:rPr>
          <w:rtl/>
          <w:lang w:val="en-GB"/>
        </w:rPr>
        <w:tab/>
        <w:t xml:space="preserve">وتداخلت الأمانة فشكرت المندوبين على تعليقاتهم، وذكَّرت الجميع بأن وحدة المساهمة ستظل عند </w:t>
      </w:r>
      <w:r w:rsidR="00703366" w:rsidRPr="007E6D53">
        <w:rPr>
          <w:lang w:val="en-GB"/>
        </w:rPr>
        <w:t>318 000</w:t>
      </w:r>
      <w:r w:rsidRPr="00EC792C">
        <w:rPr>
          <w:rtl/>
          <w:lang w:val="en-GB"/>
        </w:rPr>
        <w:t xml:space="preserve"> فرنك سويسري للدورة المالية </w:t>
      </w:r>
      <w:r w:rsidR="00703366" w:rsidRPr="007E6D53">
        <w:rPr>
          <w:lang w:val="en-GB"/>
        </w:rPr>
        <w:t>2031-2028</w:t>
      </w:r>
      <w:r w:rsidRPr="00EC792C">
        <w:rPr>
          <w:rtl/>
          <w:lang w:val="en-GB"/>
        </w:rPr>
        <w:t>. وإدراك</w:t>
      </w:r>
      <w:r w:rsidR="00914350" w:rsidRPr="007E6D53">
        <w:rPr>
          <w:rtl/>
          <w:lang w:val="en-GB"/>
        </w:rPr>
        <w:t xml:space="preserve">اً </w:t>
      </w:r>
      <w:r w:rsidRPr="00EC792C">
        <w:rPr>
          <w:rtl/>
          <w:lang w:val="en-GB"/>
        </w:rPr>
        <w:t xml:space="preserve">للحاجة إلى مزيد من المناقشة، طلبت الرئيسة من الأمانة تقديم منهجية مراجَعة إلى الاجتماع المقبل للفريق CWG-FHR لمواصلة المناقشة. </w:t>
      </w:r>
    </w:p>
    <w:p w14:paraId="3D371656" w14:textId="0B6B874B" w:rsidR="00EC792C" w:rsidRPr="00EC792C" w:rsidRDefault="00EC792C" w:rsidP="00EC792C">
      <w:pPr>
        <w:rPr>
          <w:rtl/>
          <w:lang w:val="en-GB" w:bidi="en-GB"/>
        </w:rPr>
      </w:pPr>
      <w:r w:rsidRPr="00EC792C">
        <w:rPr>
          <w:rtl/>
          <w:lang w:val="en-GB"/>
        </w:rPr>
        <w:t>4.14</w:t>
      </w:r>
      <w:r w:rsidRPr="00EC792C">
        <w:rPr>
          <w:rtl/>
          <w:lang w:val="en-GB"/>
        </w:rPr>
        <w:tab/>
        <w:t xml:space="preserve">وفي الاجتماع الثاني والعشرين، قدمت الأمانة الوثيقة </w:t>
      </w:r>
      <w:hyperlink r:id="rId150" w:history="1">
        <w:r w:rsidR="00703366" w:rsidRPr="007E6D53">
          <w:rPr>
            <w:rStyle w:val="Hyperlink"/>
          </w:rPr>
          <w:t>CWG-FHR-22/INF/2</w:t>
        </w:r>
      </w:hyperlink>
      <w:r w:rsidRPr="00EC792C">
        <w:rPr>
          <w:rtl/>
          <w:lang w:val="en-GB"/>
        </w:rPr>
        <w:t xml:space="preserve"> التي تفصل نتائج الرسالة المعممة التي تطلب من الدول الأعضاء إعلان اختيارها المبدئي لفئة مساهمة وفقا</w:t>
      </w:r>
      <w:r w:rsidR="00EC1E9F" w:rsidRPr="007E6D53">
        <w:rPr>
          <w:rtl/>
          <w:lang w:val="en-GB"/>
        </w:rPr>
        <w:t>ً</w:t>
      </w:r>
      <w:r w:rsidRPr="00EC792C">
        <w:rPr>
          <w:rtl/>
          <w:lang w:val="en-GB"/>
        </w:rPr>
        <w:t xml:space="preserve"> للمقرر 5 (</w:t>
      </w:r>
      <w:r w:rsidR="00167380">
        <w:rPr>
          <w:rtl/>
          <w:lang w:val="en-GB"/>
        </w:rPr>
        <w:t>المراجَع</w:t>
      </w:r>
      <w:r w:rsidRPr="00EC792C">
        <w:rPr>
          <w:rtl/>
          <w:lang w:val="en-GB"/>
        </w:rPr>
        <w:t xml:space="preserve"> في بوخارست، 2022). وقد ورد ثمانية وثلاثون ردا</w:t>
      </w:r>
      <w:r w:rsidR="00EC1E9F" w:rsidRPr="007E6D53">
        <w:rPr>
          <w:rtl/>
          <w:lang w:val="en-GB"/>
        </w:rPr>
        <w:t>ً</w:t>
      </w:r>
      <w:r w:rsidRPr="00EC792C">
        <w:rPr>
          <w:rtl/>
          <w:lang w:val="en-GB"/>
        </w:rPr>
        <w:t xml:space="preserve"> حتى الآن ولم تطلب سوى دولتين من الدول الأعضاء إدخال تعديلات. وبهذه المعلومات، ستعد الأمانة مشروع الخطة المالية للفترة </w:t>
      </w:r>
      <w:r w:rsidR="00703366" w:rsidRPr="007E6D53">
        <w:rPr>
          <w:lang w:val="en-GB"/>
        </w:rPr>
        <w:t>2031-2028</w:t>
      </w:r>
      <w:r w:rsidRPr="00EC792C">
        <w:rPr>
          <w:rtl/>
          <w:lang w:val="en-GB"/>
        </w:rPr>
        <w:t xml:space="preserve"> لعرضه على الاجتماع المشترك للفريق</w:t>
      </w:r>
      <w:r w:rsidR="00351F50">
        <w:rPr>
          <w:rFonts w:hint="cs"/>
          <w:rtl/>
          <w:lang w:val="en-GB"/>
        </w:rPr>
        <w:t> </w:t>
      </w:r>
      <w:r w:rsidRPr="00EC792C">
        <w:rPr>
          <w:rtl/>
          <w:lang w:val="en-GB"/>
        </w:rPr>
        <w:t>CWG</w:t>
      </w:r>
      <w:r w:rsidR="00270B0C" w:rsidRPr="007E6D53">
        <w:rPr>
          <w:rtl/>
          <w:lang w:val="en-GB"/>
        </w:rPr>
        <w:noBreakHyphen/>
      </w:r>
      <w:r w:rsidRPr="00EC792C">
        <w:rPr>
          <w:rtl/>
          <w:lang w:val="en-GB"/>
        </w:rPr>
        <w:t xml:space="preserve">FHR وفريق العمل التابع للمجلس </w:t>
      </w:r>
      <w:r w:rsidR="00666518">
        <w:rPr>
          <w:rFonts w:hint="cs"/>
          <w:rtl/>
          <w:lang w:val="en-GB" w:bidi="ar-EG"/>
        </w:rPr>
        <w:t>و</w:t>
      </w:r>
      <w:r w:rsidRPr="00EC792C">
        <w:rPr>
          <w:rtl/>
          <w:lang w:val="en-GB"/>
        </w:rPr>
        <w:t xml:space="preserve">المعني بالخطتين الاستراتيجية والمالية </w:t>
      </w:r>
      <w:r w:rsidR="00D607D3">
        <w:t>(CWG</w:t>
      </w:r>
      <w:r w:rsidR="00D607D3">
        <w:noBreakHyphen/>
        <w:t>SFP)</w:t>
      </w:r>
      <w:r w:rsidR="00D607D3" w:rsidRPr="00EC792C">
        <w:rPr>
          <w:rtl/>
          <w:lang w:val="en-GB"/>
        </w:rPr>
        <w:t xml:space="preserve"> </w:t>
      </w:r>
      <w:r w:rsidRPr="00EC792C">
        <w:rPr>
          <w:rtl/>
          <w:lang w:val="en-GB"/>
        </w:rPr>
        <w:t>للفترة</w:t>
      </w:r>
      <w:r w:rsidR="00D607D3">
        <w:rPr>
          <w:rFonts w:hint="cs"/>
          <w:rtl/>
          <w:lang w:val="en-GB"/>
        </w:rPr>
        <w:t> </w:t>
      </w:r>
      <w:r w:rsidR="00270B0C" w:rsidRPr="007E6D53">
        <w:rPr>
          <w:lang w:val="en-GB"/>
        </w:rPr>
        <w:t>2031</w:t>
      </w:r>
      <w:r w:rsidR="00D607D3">
        <w:rPr>
          <w:lang w:val="en-GB"/>
        </w:rPr>
        <w:noBreakHyphen/>
      </w:r>
      <w:r w:rsidR="00270B0C" w:rsidRPr="007E6D53">
        <w:rPr>
          <w:lang w:val="en-GB"/>
        </w:rPr>
        <w:t>2028</w:t>
      </w:r>
      <w:r w:rsidRPr="00EC792C">
        <w:rPr>
          <w:rtl/>
          <w:lang w:val="en-GB"/>
        </w:rPr>
        <w:t xml:space="preserve"> قبل دورة المجلس لعام 2026. وعرضت الأمانة </w:t>
      </w:r>
      <w:r w:rsidR="00160A26" w:rsidRPr="007E6D53">
        <w:rPr>
          <w:rtl/>
          <w:lang w:val="en-GB"/>
        </w:rPr>
        <w:t xml:space="preserve">أيضاً </w:t>
      </w:r>
      <w:r w:rsidRPr="00EC792C">
        <w:rPr>
          <w:rtl/>
          <w:lang w:val="en-GB"/>
        </w:rPr>
        <w:t>منهجية منقحة تشمل ثلاثة عوامل، هي: التسوية لمعالجة التضخم، والربط بتحسين الأداء، والمواءمة مع تكاليف الولايات الجديدة التي توافق عليها الدول الأعضاء. وأكدت الأمانة أنها لا</w:t>
      </w:r>
      <w:r w:rsidR="00270B0C" w:rsidRPr="007E6D53">
        <w:rPr>
          <w:rtl/>
          <w:lang w:val="en-GB"/>
        </w:rPr>
        <w:t> </w:t>
      </w:r>
      <w:r w:rsidRPr="00EC792C">
        <w:rPr>
          <w:rtl/>
          <w:lang w:val="en-GB"/>
        </w:rPr>
        <w:t>تقترح تغييرا</w:t>
      </w:r>
      <w:r w:rsidR="00270B0C" w:rsidRPr="007E6D53">
        <w:rPr>
          <w:rtl/>
          <w:lang w:val="en-GB"/>
        </w:rPr>
        <w:t>ً</w:t>
      </w:r>
      <w:r w:rsidRPr="00EC792C">
        <w:rPr>
          <w:rtl/>
          <w:lang w:val="en-GB"/>
        </w:rPr>
        <w:t xml:space="preserve"> فوريا</w:t>
      </w:r>
      <w:r w:rsidR="00270B0C" w:rsidRPr="007E6D53">
        <w:rPr>
          <w:rtl/>
          <w:lang w:val="en-GB"/>
        </w:rPr>
        <w:t>ً</w:t>
      </w:r>
      <w:r w:rsidRPr="00EC792C">
        <w:rPr>
          <w:rtl/>
          <w:lang w:val="en-GB"/>
        </w:rPr>
        <w:t xml:space="preserve"> على وحدة المساهمة، وإنما تتطلع إلى توفير إطار منظم لدعم المناقشات والقرارات المستقبلية في</w:t>
      </w:r>
      <w:r w:rsidR="00270B0C" w:rsidRPr="007E6D53">
        <w:rPr>
          <w:rtl/>
          <w:lang w:val="en-GB"/>
        </w:rPr>
        <w:t> </w:t>
      </w:r>
      <w:r w:rsidRPr="00EC792C">
        <w:rPr>
          <w:rtl/>
          <w:lang w:val="en-GB"/>
        </w:rPr>
        <w:t>مؤتمر المندوبين المفوضين لعام 2030.</w:t>
      </w:r>
      <w:hyperlink r:id="rId151" w:history="1"/>
    </w:p>
    <w:p w14:paraId="0560C593" w14:textId="6DDD6D01" w:rsidR="00EC792C" w:rsidRPr="00EC792C" w:rsidRDefault="00EC792C" w:rsidP="00EC792C">
      <w:pPr>
        <w:rPr>
          <w:rtl/>
          <w:lang w:val="en-GB" w:bidi="en-GB"/>
        </w:rPr>
      </w:pPr>
      <w:r w:rsidRPr="00EC792C">
        <w:rPr>
          <w:rtl/>
          <w:lang w:val="en-GB"/>
        </w:rPr>
        <w:t>5.14</w:t>
      </w:r>
      <w:r w:rsidRPr="00EC792C">
        <w:rPr>
          <w:rtl/>
          <w:lang w:val="en-GB"/>
        </w:rPr>
        <w:tab/>
        <w:t>وأكد المندوبون أن العوامل الثلاثة المقترحة تشكل نقطة انطلاق جيدة للمناقشة، وطلبوا النظر بعناية في كيفية تأثير زيادة تكاليف وحدة المساهمة على الدول الأعضاء. واقترح العديد من المندوبين النظر في العوامل الخارجية، مثل تقلبات أسعار الصرف في الوقت الحالي والدرجة التي عليها كل دولة عضو على مؤشر الرقم القياسي للتنمية البشرية. وحث المندوبون الاتحاد أيضا</w:t>
      </w:r>
      <w:r w:rsidR="00EC1E9F" w:rsidRPr="007E6D53">
        <w:rPr>
          <w:rtl/>
          <w:lang w:val="en-GB"/>
        </w:rPr>
        <w:t>ً</w:t>
      </w:r>
      <w:r w:rsidRPr="00EC792C">
        <w:rPr>
          <w:rtl/>
          <w:lang w:val="en-GB"/>
        </w:rPr>
        <w:t xml:space="preserve"> على زيادة التركيز على العمل في حدود موارده الحالية واستكشاف أثر استرداد التكاليف. وقبل أن تختتم الرئيسة هذا البند من جدول الأعمال، ذكرت الأمينة العامة أن الاتحاد يرغب في أن تنظر الدول الأعضاء في</w:t>
      </w:r>
      <w:r w:rsidR="00EC1E9F" w:rsidRPr="007E6D53">
        <w:rPr>
          <w:rtl/>
          <w:lang w:val="en-GB"/>
        </w:rPr>
        <w:t> </w:t>
      </w:r>
      <w:r w:rsidRPr="00EC792C">
        <w:rPr>
          <w:rtl/>
          <w:lang w:val="en-GB"/>
        </w:rPr>
        <w:t>زيادة عدد وحدات مساهمتها أو على الأقل الإبقاء على مساهمتها الحالية.</w:t>
      </w:r>
    </w:p>
    <w:p w14:paraId="6C885431" w14:textId="598699C7" w:rsidR="00EC792C" w:rsidRPr="007E6D53" w:rsidRDefault="00EC792C" w:rsidP="00EC1E9F">
      <w:pPr>
        <w:pStyle w:val="Heading1"/>
        <w:rPr>
          <w:spacing w:val="-4"/>
          <w:rtl/>
          <w:lang w:val="en-GB" w:bidi="en-GB"/>
        </w:rPr>
      </w:pPr>
      <w:r w:rsidRPr="007E6D53">
        <w:rPr>
          <w:spacing w:val="-4"/>
          <w:rtl/>
          <w:lang w:val="en-GB"/>
        </w:rPr>
        <w:t>15</w:t>
      </w:r>
      <w:r w:rsidRPr="007E6D53">
        <w:rPr>
          <w:spacing w:val="-4"/>
          <w:rtl/>
          <w:lang w:val="en-GB"/>
        </w:rPr>
        <w:tab/>
        <w:t xml:space="preserve">مشاركة وحدة التفتيش المشتركة في دورات مجلس الاتحاد (الوثيقتان </w:t>
      </w:r>
      <w:hyperlink r:id="rId152" w:history="1">
        <w:r w:rsidR="00EC1E9F" w:rsidRPr="007E6D53">
          <w:rPr>
            <w:rStyle w:val="Hyperlink"/>
            <w:spacing w:val="-4"/>
          </w:rPr>
          <w:t>CWG</w:t>
        </w:r>
        <w:r w:rsidR="00EC1E9F" w:rsidRPr="007E6D53">
          <w:rPr>
            <w:rStyle w:val="Hyperlink"/>
            <w:spacing w:val="-4"/>
          </w:rPr>
          <w:noBreakHyphen/>
          <w:t>FHR</w:t>
        </w:r>
        <w:r w:rsidR="00EC1E9F" w:rsidRPr="007E6D53">
          <w:rPr>
            <w:rStyle w:val="Hyperlink"/>
            <w:spacing w:val="-4"/>
          </w:rPr>
          <w:noBreakHyphen/>
          <w:t>21/19</w:t>
        </w:r>
      </w:hyperlink>
      <w:r w:rsidRPr="007E6D53">
        <w:rPr>
          <w:spacing w:val="-4"/>
          <w:rtl/>
          <w:lang w:val="en-GB"/>
        </w:rPr>
        <w:t xml:space="preserve"> و</w:t>
      </w:r>
      <w:hyperlink r:id="rId153" w:history="1">
        <w:r w:rsidR="00EC1E9F" w:rsidRPr="007E6D53">
          <w:rPr>
            <w:rStyle w:val="Hyperlink"/>
            <w:spacing w:val="-4"/>
          </w:rPr>
          <w:t>CWG-FHR-22/11</w:t>
        </w:r>
      </w:hyperlink>
      <w:r w:rsidRPr="007E6D53">
        <w:rPr>
          <w:spacing w:val="-4"/>
          <w:rtl/>
          <w:lang w:val="en-GB"/>
        </w:rPr>
        <w:t>)</w:t>
      </w:r>
      <w:hyperlink r:id="rId154" w:history="1"/>
      <w:hyperlink r:id="rId155" w:history="1"/>
    </w:p>
    <w:p w14:paraId="4512DA0E" w14:textId="6D96262F" w:rsidR="00EC792C" w:rsidRPr="00EC792C" w:rsidRDefault="00EC792C" w:rsidP="00EC792C">
      <w:pPr>
        <w:rPr>
          <w:rtl/>
          <w:lang w:val="en-GB" w:bidi="en-GB"/>
        </w:rPr>
      </w:pPr>
      <w:r w:rsidRPr="00EC792C">
        <w:rPr>
          <w:rtl/>
          <w:lang w:val="en-GB"/>
        </w:rPr>
        <w:t>1.15</w:t>
      </w:r>
      <w:r w:rsidRPr="00EC792C">
        <w:rPr>
          <w:rtl/>
          <w:lang w:val="en-GB"/>
        </w:rPr>
        <w:tab/>
        <w:t>في الاجتماع الحادي والعشرين، قدم الاتحاد الروسي مساهمة أعرب فيها عن رغبته في دعوة وحدة التفتيش المشتركة (JIU) إلى اجتماعات المجلس عند مناقشة تقارير الوحدة. وذكرت المساهمة أن هذه الممارسة مستخدمة على نطاق واسع بين الوكالات المتخصصة التابعة لمنظومة الأمم المتحدة التي تتخذ من جنيف مقر</w:t>
      </w:r>
      <w:r w:rsidR="00D01513" w:rsidRPr="007E6D53">
        <w:rPr>
          <w:rtl/>
          <w:lang w:val="en-GB"/>
        </w:rPr>
        <w:t xml:space="preserve">اً </w:t>
      </w:r>
      <w:r w:rsidRPr="00EC792C">
        <w:rPr>
          <w:rtl/>
          <w:lang w:val="en-GB"/>
        </w:rPr>
        <w:t>لها.</w:t>
      </w:r>
    </w:p>
    <w:p w14:paraId="7F442778" w14:textId="0EC1ACA8" w:rsidR="00EC792C" w:rsidRPr="00EC792C" w:rsidRDefault="00EC792C" w:rsidP="00EC792C">
      <w:pPr>
        <w:rPr>
          <w:spacing w:val="-2"/>
          <w:rtl/>
          <w:lang w:val="en-GB" w:bidi="en-GB"/>
        </w:rPr>
      </w:pPr>
      <w:r w:rsidRPr="00EC792C">
        <w:rPr>
          <w:spacing w:val="-2"/>
          <w:rtl/>
          <w:lang w:val="en-GB"/>
        </w:rPr>
        <w:t>2.15</w:t>
      </w:r>
      <w:r w:rsidRPr="00EC792C">
        <w:rPr>
          <w:spacing w:val="-2"/>
          <w:rtl/>
          <w:lang w:val="en-GB"/>
        </w:rPr>
        <w:tab/>
        <w:t>وأيد المندوبون على نطاق واسع مقترح الاتحاد الروسي بدعوة وحدة التفتيش المشتركة للمشاركة في اجتماعات المجلس، مشيرين إلى أن مشاركة الوحدة يمكن أن تحسن الشفافية والمساءلة وعملية صنع القرار داخل الاتحاد. وطلب عدد قليل من المندوبين توضيحا</w:t>
      </w:r>
      <w:r w:rsidR="00925886" w:rsidRPr="007E6D53">
        <w:rPr>
          <w:spacing w:val="-2"/>
          <w:rtl/>
          <w:lang w:val="en-GB"/>
        </w:rPr>
        <w:t>ً</w:t>
      </w:r>
      <w:r w:rsidRPr="00EC792C">
        <w:rPr>
          <w:spacing w:val="-2"/>
          <w:rtl/>
          <w:lang w:val="en-GB"/>
        </w:rPr>
        <w:t xml:space="preserve"> بشأن مدى المشاركة المقترحة من الوحدة وما إذا كان سيسمح لها بتقديم أي مداخلات.</w:t>
      </w:r>
    </w:p>
    <w:p w14:paraId="74AB255F" w14:textId="35F65A22" w:rsidR="00EC792C" w:rsidRPr="00EC792C" w:rsidRDefault="00EC792C" w:rsidP="00EC792C">
      <w:pPr>
        <w:rPr>
          <w:spacing w:val="-2"/>
          <w:rtl/>
          <w:lang w:val="en-GB" w:bidi="en-GB"/>
        </w:rPr>
      </w:pPr>
      <w:r w:rsidRPr="00EC792C">
        <w:rPr>
          <w:spacing w:val="-2"/>
          <w:rtl/>
          <w:lang w:val="en-GB"/>
        </w:rPr>
        <w:t>3.15</w:t>
      </w:r>
      <w:r w:rsidRPr="00EC792C">
        <w:rPr>
          <w:spacing w:val="-2"/>
          <w:rtl/>
          <w:lang w:val="en-GB"/>
        </w:rPr>
        <w:tab/>
        <w:t>وأشارت رئيسة الفريق CWG-FHR إلى الاتفاق العام على دعوة وحدة التفتيش المشتركة للمشاركة في</w:t>
      </w:r>
      <w:r w:rsidR="00925886" w:rsidRPr="007240FF">
        <w:rPr>
          <w:spacing w:val="-2"/>
          <w:rtl/>
          <w:lang w:val="en-GB"/>
        </w:rPr>
        <w:t> </w:t>
      </w:r>
      <w:r w:rsidRPr="00EC792C">
        <w:rPr>
          <w:spacing w:val="-2"/>
          <w:rtl/>
          <w:lang w:val="en-GB"/>
        </w:rPr>
        <w:t>دورات المجلس؛ ومع ذلك، قبل اتخاذ قرار، دعت الرئيسة الأمانة إلى الإجابة على أسئلة المندوبين.</w:t>
      </w:r>
    </w:p>
    <w:p w14:paraId="64C5943D" w14:textId="0723BAAC" w:rsidR="00EC792C" w:rsidRPr="00EC792C" w:rsidRDefault="00EC792C" w:rsidP="00EC792C">
      <w:pPr>
        <w:rPr>
          <w:rtl/>
          <w:lang w:val="en-GB" w:bidi="en-GB"/>
        </w:rPr>
      </w:pPr>
      <w:r w:rsidRPr="00EC792C">
        <w:rPr>
          <w:rtl/>
          <w:lang w:val="en-GB"/>
        </w:rPr>
        <w:lastRenderedPageBreak/>
        <w:t>4.15</w:t>
      </w:r>
      <w:r w:rsidRPr="00EC792C">
        <w:rPr>
          <w:rtl/>
          <w:lang w:val="en-GB"/>
        </w:rPr>
        <w:tab/>
        <w:t>وفي الاجتماع الثاني والعشرين، أوصت الأمانة بأن يكلف المجلس الأمينة العامة بدعوة وحدة التفتيش المشتركة للمشاركة في دورات مجلس الاتحاد المقبلة كمراقب بصفة استشارية، مع اقتصار ذلك على بنود جدول الأعمال ذات الصلة فقط ودون تقديم أي دعم مالي من الاتحاد.</w:t>
      </w:r>
    </w:p>
    <w:p w14:paraId="0AD4C334" w14:textId="5F370C45" w:rsidR="00EC792C" w:rsidRPr="00EC792C" w:rsidRDefault="00EC792C" w:rsidP="00252B91">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5.15</w:t>
      </w:r>
      <w:r w:rsidRPr="00EC792C">
        <w:rPr>
          <w:rtl/>
          <w:lang w:val="en-GB"/>
        </w:rPr>
        <w:tab/>
        <w:t>سيقدم الفريق CWG-FHR تقرير</w:t>
      </w:r>
      <w:r w:rsidR="00D01513" w:rsidRPr="007E6D53">
        <w:rPr>
          <w:rtl/>
          <w:lang w:val="en-GB"/>
        </w:rPr>
        <w:t xml:space="preserve">اً </w:t>
      </w:r>
      <w:r w:rsidRPr="00EC792C">
        <w:rPr>
          <w:rtl/>
          <w:lang w:val="en-GB"/>
        </w:rPr>
        <w:t>إلى المجلس في دورته لعام 2026 مفيد</w:t>
      </w:r>
      <w:r w:rsidR="00D01513" w:rsidRPr="007E6D53">
        <w:rPr>
          <w:rtl/>
          <w:lang w:val="en-GB"/>
        </w:rPr>
        <w:t xml:space="preserve">اً </w:t>
      </w:r>
      <w:r w:rsidRPr="00EC792C">
        <w:rPr>
          <w:rtl/>
          <w:lang w:val="en-GB"/>
        </w:rPr>
        <w:t>بأنه لا يبدو أن هناك أي ضرر في دعوة وحدة التفتيش المشتركة لحضور المجلس.</w:t>
      </w:r>
    </w:p>
    <w:p w14:paraId="1F51499B" w14:textId="77777777" w:rsidR="00EC792C" w:rsidRPr="007E6D53" w:rsidRDefault="00EC792C" w:rsidP="00252B91">
      <w:pPr>
        <w:pStyle w:val="Heading1"/>
        <w:rPr>
          <w:rtl/>
          <w:lang w:val="en-GB" w:bidi="en-GB"/>
        </w:rPr>
      </w:pPr>
      <w:r w:rsidRPr="007E6D53">
        <w:rPr>
          <w:rtl/>
          <w:lang w:val="en-GB"/>
        </w:rPr>
        <w:t>16</w:t>
      </w:r>
      <w:r w:rsidRPr="007E6D53">
        <w:rPr>
          <w:rtl/>
          <w:lang w:val="en-GB"/>
        </w:rPr>
        <w:tab/>
        <w:t>تنفيذ الميزانية ومخصصاتها</w:t>
      </w:r>
    </w:p>
    <w:p w14:paraId="0C817D21" w14:textId="04BA5FCD" w:rsidR="00EC792C" w:rsidRPr="007E6D53" w:rsidRDefault="00EC792C" w:rsidP="00252B91">
      <w:pPr>
        <w:pStyle w:val="Headingb"/>
        <w:ind w:left="-1" w:firstLine="1"/>
        <w:rPr>
          <w:rtl/>
          <w:lang w:val="en-GB" w:bidi="en-GB"/>
        </w:rPr>
      </w:pPr>
      <w:r w:rsidRPr="007E6D53">
        <w:rPr>
          <w:rtl/>
          <w:lang w:val="en-GB"/>
        </w:rPr>
        <w:t xml:space="preserve">مساهمة من جمهورية الصين الشعبية - توصيات بشأن تعزيز الكفاءة في تنفيذ ميزانية الاتحاد وترشيد النفقات (الوثيقة </w:t>
      </w:r>
      <w:hyperlink r:id="rId156" w:history="1">
        <w:r w:rsidR="00252B91" w:rsidRPr="007E6D53">
          <w:rPr>
            <w:rStyle w:val="Hyperlink"/>
          </w:rPr>
          <w:t>CWG-FHR-21/16</w:t>
        </w:r>
      </w:hyperlink>
      <w:r w:rsidRPr="007E6D53">
        <w:rPr>
          <w:rtl/>
          <w:lang w:val="en-GB"/>
        </w:rPr>
        <w:t>)</w:t>
      </w:r>
      <w:hyperlink r:id="rId157" w:history="1"/>
    </w:p>
    <w:p w14:paraId="5EAA08D8" w14:textId="36D362C7" w:rsidR="00EC792C" w:rsidRPr="00EC792C" w:rsidRDefault="00EC792C" w:rsidP="00EC792C">
      <w:pPr>
        <w:rPr>
          <w:rtl/>
          <w:lang w:val="en-GB" w:bidi="en-GB"/>
        </w:rPr>
      </w:pPr>
      <w:r w:rsidRPr="00EC792C">
        <w:rPr>
          <w:rtl/>
          <w:lang w:val="en-GB"/>
        </w:rPr>
        <w:t>1.16</w:t>
      </w:r>
      <w:r w:rsidRPr="00EC792C">
        <w:rPr>
          <w:rtl/>
          <w:lang w:val="en-GB"/>
        </w:rPr>
        <w:tab/>
        <w:t xml:space="preserve">خلال الاجتماع الحادي والعشرين للفريق، قدمت الصين مساهمتها، الوثيقة </w:t>
      </w:r>
      <w:hyperlink r:id="rId158" w:history="1">
        <w:r w:rsidR="00252B91" w:rsidRPr="007E6D53">
          <w:rPr>
            <w:rStyle w:val="Hyperlink"/>
          </w:rPr>
          <w:t>CWG-FHR-2</w:t>
        </w:r>
        <w:r w:rsidR="008A723B">
          <w:rPr>
            <w:rStyle w:val="Hyperlink"/>
          </w:rPr>
          <w:t>1</w:t>
        </w:r>
        <w:r w:rsidR="00252B91" w:rsidRPr="007E6D53">
          <w:rPr>
            <w:rStyle w:val="Hyperlink"/>
          </w:rPr>
          <w:t>/16</w:t>
        </w:r>
      </w:hyperlink>
      <w:r w:rsidRPr="00EC792C">
        <w:rPr>
          <w:rtl/>
          <w:lang w:val="en-GB"/>
        </w:rPr>
        <w:t>، بشأن التوصيات الرامية إلى تعزيز الكفاءة في تنفيذ ميزانية الاتحاد. وشملت هذه التوصيات وضع قائمة أولويات على أساس المسؤوليات الأساسية والغايات الاستراتيجية ومتطلبات الميزانية؛ وإنشاء فريق تقييم مشترك يضم اللجنة الاستشارية المستقلة للإدارة وفريق التنسيق بين القطاعات لوضع آلية لتقييم فعالية وكفاءة التدابير وإجراء استعراض شامل لضرورة وترشيد النفقات ذات الصلة في الاتحاد. وأيد العديد من المندوبين مقترح الصين، ولكنهم شاركوا في الإعراب عن القلق من أن هذه المقترحات قد تشكل إضافة إلى البيروقراطية والعملية والتكلفة القائمة دون فائدة واضحة. وكلف</w:t>
      </w:r>
      <w:r w:rsidR="00937B4C">
        <w:rPr>
          <w:rFonts w:hint="cs"/>
          <w:rtl/>
          <w:lang w:val="en-GB"/>
        </w:rPr>
        <w:t>ت</w:t>
      </w:r>
      <w:r w:rsidRPr="00EC792C">
        <w:rPr>
          <w:rtl/>
          <w:lang w:val="en-GB"/>
        </w:rPr>
        <w:t xml:space="preserve"> الرئيسة الأمانة، قبل اجتماع الفريق CWG-FHR في يناير 2026، باستعراض الخطط التشغيلية والتنفيذ الاستراتيجي في وثيقة المجلس </w:t>
      </w:r>
      <w:hyperlink r:id="rId159" w:history="1">
        <w:r w:rsidR="00252B91" w:rsidRPr="007E6D53">
          <w:rPr>
            <w:rStyle w:val="Hyperlink"/>
          </w:rPr>
          <w:t>C25/35</w:t>
        </w:r>
      </w:hyperlink>
      <w:r w:rsidRPr="00EC792C">
        <w:rPr>
          <w:rtl/>
          <w:lang w:val="en-GB"/>
        </w:rPr>
        <w:t xml:space="preserve"> لمعالجة المقترح 1 وإجراء عملية حصر للتقارير الحالية لمعالجة المقترح 2.</w:t>
      </w:r>
      <w:hyperlink r:id="rId160" w:history="1"/>
      <w:hyperlink r:id="rId161" w:history="1"/>
    </w:p>
    <w:p w14:paraId="3C22269A" w14:textId="188EF300" w:rsidR="00EC792C" w:rsidRPr="007E6D53" w:rsidRDefault="00EC792C" w:rsidP="00575939">
      <w:pPr>
        <w:pStyle w:val="Headingb"/>
        <w:ind w:left="-1" w:firstLine="1"/>
        <w:rPr>
          <w:rtl/>
          <w:lang w:val="en-GB" w:bidi="en-GB"/>
        </w:rPr>
      </w:pPr>
      <w:r w:rsidRPr="007E6D53">
        <w:rPr>
          <w:rtl/>
          <w:lang w:val="en-GB"/>
        </w:rPr>
        <w:t xml:space="preserve">مساهمة من الولايات المتحدة الأمريكية - تعزيز الإدارة المالية القائمة على النتائج في الاتحاد (الوثيقة </w:t>
      </w:r>
      <w:hyperlink r:id="rId162" w:history="1">
        <w:r w:rsidR="00575939" w:rsidRPr="007E6D53">
          <w:rPr>
            <w:rStyle w:val="Hyperlink"/>
          </w:rPr>
          <w:t>CWG-FHR-21/22</w:t>
        </w:r>
      </w:hyperlink>
      <w:r w:rsidRPr="007E6D53">
        <w:rPr>
          <w:rtl/>
          <w:lang w:val="en-GB"/>
        </w:rPr>
        <w:t>)</w:t>
      </w:r>
      <w:hyperlink r:id="rId163" w:history="1"/>
    </w:p>
    <w:p w14:paraId="052FBD83" w14:textId="761E0825" w:rsidR="00EC792C" w:rsidRPr="00EC792C" w:rsidRDefault="00EC792C" w:rsidP="00EC792C">
      <w:pPr>
        <w:rPr>
          <w:rtl/>
          <w:lang w:val="en-GB" w:bidi="en-GB"/>
        </w:rPr>
      </w:pPr>
      <w:r w:rsidRPr="00EC792C">
        <w:rPr>
          <w:rtl/>
          <w:lang w:val="en-GB"/>
        </w:rPr>
        <w:t>2.16</w:t>
      </w:r>
      <w:r w:rsidRPr="00EC792C">
        <w:rPr>
          <w:rtl/>
          <w:lang w:val="en-GB"/>
        </w:rPr>
        <w:tab/>
        <w:t xml:space="preserve">قدمت الولايات المتحدة الوثيقة </w:t>
      </w:r>
      <w:hyperlink r:id="rId164" w:history="1">
        <w:r w:rsidR="00575939" w:rsidRPr="007E6D53">
          <w:rPr>
            <w:rStyle w:val="Hyperlink"/>
          </w:rPr>
          <w:t>CWG-FHR-21/22</w:t>
        </w:r>
      </w:hyperlink>
      <w:r w:rsidRPr="00EC792C">
        <w:rPr>
          <w:rtl/>
          <w:lang w:val="en-GB"/>
        </w:rPr>
        <w:t xml:space="preserve"> التي تسعى إلى تعزيز أدوات الإدارة القائمة على النتائج داخل الاتحاد من خلال توجيه طلب إلى الفريق مفاده تطوير عمليات للمساعدة في ضمان أن تعمل جميع أنشطة الاتحاد المقترحة لدعم الخطة الاستراتيجية للاتحاد على زيادة الشفافية وتعزيز المساءلة وتحقيق أهداف الإدارة القائمة على النتائج الواردة في القرار 151 (المرا</w:t>
      </w:r>
      <w:r w:rsidR="00632AEA" w:rsidRPr="007E6D53">
        <w:rPr>
          <w:rtl/>
          <w:lang w:val="en-GB"/>
        </w:rPr>
        <w:t>جَ</w:t>
      </w:r>
      <w:r w:rsidRPr="00EC792C">
        <w:rPr>
          <w:rtl/>
          <w:lang w:val="en-GB"/>
        </w:rPr>
        <w:t xml:space="preserve">ع في بوخارست، 2022). وأيد المندوبون الحاجة إلى الشفافية ومواءمة الأنشطة داخل الإدارة القائمة على النتائج وأوصوا بمعاملة هذا المقترح على غرار المقترح السابق (الوثيقة </w:t>
      </w:r>
      <w:hyperlink r:id="rId165" w:history="1">
        <w:r w:rsidR="00632AEA" w:rsidRPr="007E6D53">
          <w:rPr>
            <w:rStyle w:val="Hyperlink"/>
          </w:rPr>
          <w:t>CWG-FHR-21/16</w:t>
        </w:r>
      </w:hyperlink>
      <w:r w:rsidRPr="00EC792C">
        <w:rPr>
          <w:rtl/>
          <w:lang w:val="en-GB"/>
        </w:rPr>
        <w:t xml:space="preserve">) المقدم من جمهورية الصين الشعبية. ووافقت الرئيسة على ذلك وكلفت الأمانة باستعراض المقترح بما يتماشى مع وثيقة المجلس </w:t>
      </w:r>
      <w:hyperlink r:id="rId166" w:history="1">
        <w:r w:rsidR="00632AEA" w:rsidRPr="007E6D53">
          <w:rPr>
            <w:rStyle w:val="Hyperlink"/>
          </w:rPr>
          <w:t>C25/35</w:t>
        </w:r>
      </w:hyperlink>
      <w:r w:rsidRPr="00EC792C">
        <w:rPr>
          <w:rtl/>
          <w:lang w:val="en-GB"/>
        </w:rPr>
        <w:t xml:space="preserve"> وإجراء عملية حصر التقارير الحالية.</w:t>
      </w:r>
      <w:hyperlink r:id="rId167" w:history="1"/>
      <w:hyperlink r:id="rId168" w:history="1"/>
      <w:hyperlink r:id="rId169" w:history="1"/>
    </w:p>
    <w:p w14:paraId="1385FCB8" w14:textId="6FF80BC7" w:rsidR="00EC792C" w:rsidRPr="007E6D53" w:rsidRDefault="00EC792C" w:rsidP="0015254E">
      <w:pPr>
        <w:pStyle w:val="Headingb"/>
        <w:ind w:left="-1" w:firstLine="1"/>
        <w:rPr>
          <w:rtl/>
          <w:lang w:val="en-GB" w:bidi="en-GB"/>
        </w:rPr>
      </w:pPr>
      <w:r w:rsidRPr="007E6D53">
        <w:rPr>
          <w:rtl/>
          <w:lang w:val="en-GB"/>
        </w:rPr>
        <w:t xml:space="preserve">المسائل المتعلقة بالميزانية: مخصصات وفورات عام 2025، تقرير عن التخفيض الإجمالي في ميزانية الفترة </w:t>
      </w:r>
      <w:r w:rsidR="0015254E" w:rsidRPr="007E6D53">
        <w:rPr>
          <w:lang w:val="en-GB"/>
        </w:rPr>
        <w:t>2027-2026</w:t>
      </w:r>
      <w:r w:rsidRPr="007E6D53">
        <w:rPr>
          <w:rtl/>
          <w:lang w:val="en-GB"/>
        </w:rPr>
        <w:t xml:space="preserve"> (الوثيقة </w:t>
      </w:r>
      <w:hyperlink r:id="rId170" w:history="1">
        <w:r w:rsidR="0015254E" w:rsidRPr="007E6D53">
          <w:rPr>
            <w:rStyle w:val="Hyperlink"/>
          </w:rPr>
          <w:t>CWG-FHR-22/21</w:t>
        </w:r>
      </w:hyperlink>
      <w:r w:rsidRPr="007E6D53">
        <w:rPr>
          <w:rtl/>
          <w:lang w:val="en-GB"/>
        </w:rPr>
        <w:t>)</w:t>
      </w:r>
      <w:hyperlink r:id="rId171" w:history="1"/>
    </w:p>
    <w:p w14:paraId="163CE62E" w14:textId="18764000" w:rsidR="00EC792C" w:rsidRPr="00EC792C" w:rsidRDefault="00EC792C" w:rsidP="00092663">
      <w:pPr>
        <w:rPr>
          <w:rtl/>
          <w:lang w:val="en-GB" w:bidi="en-GB"/>
        </w:rPr>
      </w:pPr>
      <w:r w:rsidRPr="00EC792C">
        <w:rPr>
          <w:rtl/>
          <w:lang w:val="en-GB"/>
        </w:rPr>
        <w:t>3.16</w:t>
      </w:r>
      <w:r w:rsidRPr="00EC792C">
        <w:rPr>
          <w:rtl/>
          <w:lang w:val="en-GB"/>
        </w:rPr>
        <w:tab/>
        <w:t xml:space="preserve">في الاجتماع الثاني والعشرين للفريق، قدمت الأمانة الوثيقة </w:t>
      </w:r>
      <w:hyperlink r:id="rId172">
        <w:r w:rsidR="0015254E" w:rsidRPr="007E6D53">
          <w:rPr>
            <w:rStyle w:val="Hyperlink"/>
          </w:rPr>
          <w:t>CWG-FHR-22/21</w:t>
        </w:r>
      </w:hyperlink>
      <w:r w:rsidRPr="00EC792C">
        <w:rPr>
          <w:rtl/>
          <w:lang w:val="en-GB"/>
        </w:rPr>
        <w:t xml:space="preserve"> التي تقدم تحديث</w:t>
      </w:r>
      <w:r w:rsidR="00D01513" w:rsidRPr="007E6D53">
        <w:rPr>
          <w:rtl/>
          <w:lang w:val="en-GB"/>
        </w:rPr>
        <w:t xml:space="preserve">اً </w:t>
      </w:r>
      <w:r w:rsidRPr="00EC792C">
        <w:rPr>
          <w:rtl/>
          <w:lang w:val="en-GB"/>
        </w:rPr>
        <w:t xml:space="preserve">بشأن ثلاث استراتيجيات رئيسية تعتمدها الأمانة لاستيعاب التخفيض الإجمالي البالغ </w:t>
      </w:r>
      <w:r w:rsidR="00092663" w:rsidRPr="007E6D53">
        <w:rPr>
          <w:lang w:val="en-GB"/>
        </w:rPr>
        <w:t>6 008</w:t>
      </w:r>
      <w:r w:rsidRPr="00EC792C">
        <w:rPr>
          <w:rtl/>
          <w:lang w:val="en-GB"/>
        </w:rPr>
        <w:t xml:space="preserve"> ملايين فرنك سويسري لميزانية </w:t>
      </w:r>
      <w:r w:rsidR="00092663" w:rsidRPr="007E6D53">
        <w:rPr>
          <w:lang w:val="en-GB"/>
        </w:rPr>
        <w:t>2027-2026</w:t>
      </w:r>
      <w:r w:rsidRPr="00EC792C">
        <w:rPr>
          <w:rtl/>
          <w:lang w:val="en-GB"/>
        </w:rPr>
        <w:t xml:space="preserve">. وستتحقق الوفورات من خلال: </w:t>
      </w:r>
      <w:r w:rsidR="00092663" w:rsidRPr="007E6D53">
        <w:rPr>
          <w:lang w:val="en-GB"/>
        </w:rPr>
        <w:t>(1</w:t>
      </w:r>
      <w:r w:rsidRPr="00EC792C">
        <w:rPr>
          <w:rtl/>
          <w:lang w:val="en-GB"/>
        </w:rPr>
        <w:t xml:space="preserve"> تقليل عدد الفعاليات التي يبادر إليها الاتحاد، وتعزيز الخدمات المشتركة، وتحسين تنسيق مسارات العمل؛ </w:t>
      </w:r>
      <w:r w:rsidR="00092663" w:rsidRPr="007E6D53">
        <w:rPr>
          <w:lang w:val="en-GB"/>
        </w:rPr>
        <w:t>(2</w:t>
      </w:r>
      <w:r w:rsidRPr="00EC792C">
        <w:rPr>
          <w:rtl/>
          <w:lang w:val="en-GB"/>
        </w:rPr>
        <w:t xml:space="preserve"> تخفيض تكاليف سفر الموظفين والخدمات الاستشارية قصيرة الأجل؛ </w:t>
      </w:r>
      <w:r w:rsidR="00092663" w:rsidRPr="007E6D53">
        <w:rPr>
          <w:lang w:val="en-GB"/>
        </w:rPr>
        <w:t>(3</w:t>
      </w:r>
      <w:r w:rsidRPr="00EC792C">
        <w:rPr>
          <w:rtl/>
          <w:lang w:val="en-GB"/>
        </w:rPr>
        <w:t xml:space="preserve"> زيادة الكفاءة من خلال الأتمتة والأدوات الرقمية. وسيراقب عن كثب تنفيذ هذه الميزانية المخفضة من خلال تحسين عمليات التخطيط واستعراض الميزانية شهري</w:t>
      </w:r>
      <w:r w:rsidR="00D01513" w:rsidRPr="007E6D53">
        <w:rPr>
          <w:rtl/>
          <w:lang w:val="en-GB"/>
        </w:rPr>
        <w:t xml:space="preserve">اً </w:t>
      </w:r>
      <w:r w:rsidRPr="00EC792C">
        <w:rPr>
          <w:rtl/>
          <w:lang w:val="en-GB"/>
        </w:rPr>
        <w:t>وتقديم تقارير منتظمة إلى المجلس.</w:t>
      </w:r>
      <w:hyperlink r:id="rId173"/>
    </w:p>
    <w:p w14:paraId="39572331" w14:textId="75EC16B8" w:rsidR="00EC792C" w:rsidRPr="00EC792C" w:rsidRDefault="00EC792C" w:rsidP="00EC792C">
      <w:pPr>
        <w:rPr>
          <w:rtl/>
          <w:lang w:val="en-GB" w:bidi="en-GB"/>
        </w:rPr>
      </w:pPr>
      <w:r w:rsidRPr="00EC792C">
        <w:rPr>
          <w:rtl/>
          <w:lang w:val="en-GB"/>
        </w:rPr>
        <w:t>4.16</w:t>
      </w:r>
      <w:r w:rsidRPr="00EC792C">
        <w:rPr>
          <w:rtl/>
          <w:lang w:val="en-GB"/>
        </w:rPr>
        <w:tab/>
        <w:t xml:space="preserve">وأثار المندوبون دواعي قلق بشأن كيفية حفاظ الاتحاد على أثر أنشطته، لا سيما في قطاع الاتصالات الراديوية، في ظل هذه التخفيضات. وأوضحت الأمانة أن من شأن عملية رصد مستمرة على مدى عامين مع تقديم تقارير منتظمة أن تضمن الإخلاص في العمل في المجالات الأساسية المنصوص عليها في ولايته. وأعرب المندوبون </w:t>
      </w:r>
      <w:r w:rsidR="000337F6" w:rsidRPr="007E6D53">
        <w:rPr>
          <w:rtl/>
          <w:lang w:val="en-GB"/>
        </w:rPr>
        <w:t xml:space="preserve">أيضاً </w:t>
      </w:r>
      <w:r w:rsidRPr="00EC792C">
        <w:rPr>
          <w:rtl/>
          <w:lang w:val="en-GB"/>
        </w:rPr>
        <w:t>عن عدم ارتياحهم إزاء الاستخدام المقترح للذكاء الاصطناعي وتأثيره المحتمل على جودة الترجمة. فطمأنت الأمانة بأن جودة الوثائق الصادرة بجميع اللغات الرسمية الست تمثل أولوية أساسية وأنه لا مساس بها وأن أي أدوات ذكاء اصطناعي جديدة ستُفحص بدقة متناهية بمساهمات الأعضاء قبل التنفيذ.</w:t>
      </w:r>
    </w:p>
    <w:p w14:paraId="5EEDD648" w14:textId="1529ACB1" w:rsidR="00EC792C" w:rsidRPr="00EC792C" w:rsidRDefault="00EC792C" w:rsidP="00EC792C">
      <w:pPr>
        <w:rPr>
          <w:rtl/>
          <w:lang w:val="en-GB" w:bidi="en-GB"/>
        </w:rPr>
      </w:pPr>
      <w:r w:rsidRPr="00EC792C">
        <w:rPr>
          <w:rtl/>
          <w:lang w:val="en-GB"/>
        </w:rPr>
        <w:lastRenderedPageBreak/>
        <w:t>5.16</w:t>
      </w:r>
      <w:r w:rsidRPr="00EC792C">
        <w:rPr>
          <w:rtl/>
          <w:lang w:val="en-GB"/>
        </w:rPr>
        <w:tab/>
        <w:t>وطلب المندوبون توضيح</w:t>
      </w:r>
      <w:r w:rsidR="00C02AE4" w:rsidRPr="007E6D53">
        <w:rPr>
          <w:rtl/>
          <w:lang w:val="en-GB"/>
        </w:rPr>
        <w:t>اً</w:t>
      </w:r>
      <w:r w:rsidRPr="00EC792C">
        <w:rPr>
          <w:rtl/>
          <w:lang w:val="en-GB"/>
        </w:rPr>
        <w:t xml:space="preserve"> بشأن الكيفية التي تحقق بها الأمانة تخفيض تكاليف سفر الموظفين. فذكرت الأمانة بأنها تعمل على تحسين عمليات تخطيط السفر لتقديم إشعار مسبق بما فيه الكفاية بالسفر المطلوب علاوة</w:t>
      </w:r>
      <w:r w:rsidR="00C60F42" w:rsidRPr="007E6D53">
        <w:rPr>
          <w:rtl/>
          <w:lang w:val="en-GB"/>
        </w:rPr>
        <w:t>ً</w:t>
      </w:r>
      <w:r w:rsidRPr="00EC792C">
        <w:rPr>
          <w:rtl/>
          <w:lang w:val="en-GB"/>
        </w:rPr>
        <w:t xml:space="preserve"> على التخطيط لتقليل عدد السفريات باستثناء الحالات التي يكون فيها السفر فيها ضروري</w:t>
      </w:r>
      <w:r w:rsidR="00D01513" w:rsidRPr="007E6D53">
        <w:rPr>
          <w:rtl/>
          <w:lang w:val="en-GB"/>
        </w:rPr>
        <w:t xml:space="preserve">اً </w:t>
      </w:r>
      <w:r w:rsidRPr="00EC792C">
        <w:rPr>
          <w:rtl/>
          <w:lang w:val="en-GB"/>
        </w:rPr>
        <w:t>لدعم الوظائف الأساسية للاتحاد.</w:t>
      </w:r>
    </w:p>
    <w:p w14:paraId="65426CEF" w14:textId="5DD206CB" w:rsidR="00EC792C" w:rsidRPr="00EC792C" w:rsidRDefault="00EC792C" w:rsidP="0018493B">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6.16</w:t>
      </w:r>
      <w:r w:rsidRPr="00EC792C">
        <w:rPr>
          <w:rtl/>
          <w:lang w:val="en-GB"/>
        </w:rPr>
        <w:tab/>
      </w:r>
      <w:r w:rsidRPr="00EC792C">
        <w:rPr>
          <w:b/>
          <w:bCs/>
          <w:rtl/>
          <w:lang w:val="en-GB"/>
        </w:rPr>
        <w:t xml:space="preserve">أوصى </w:t>
      </w:r>
      <w:r w:rsidRPr="00EC792C">
        <w:rPr>
          <w:rtl/>
          <w:lang w:val="en-GB"/>
        </w:rPr>
        <w:t xml:space="preserve">الفريق CWG-FHR الأمانة باستعراض الأسئلة التي أثيرت خلال المناقشة المتعلقة بالتخفيض الإجمالي للميزانية </w:t>
      </w:r>
      <w:r w:rsidR="0018493B" w:rsidRPr="007E6D53">
        <w:rPr>
          <w:lang w:val="en-GB"/>
        </w:rPr>
        <w:t>2027-2026</w:t>
      </w:r>
      <w:r w:rsidRPr="00EC792C">
        <w:rPr>
          <w:rtl/>
          <w:lang w:val="en-GB"/>
        </w:rPr>
        <w:t xml:space="preserve"> وتقديم تقرير أكثر تفصيل</w:t>
      </w:r>
      <w:r w:rsidR="00D01513" w:rsidRPr="007E6D53">
        <w:rPr>
          <w:rtl/>
          <w:lang w:val="en-GB"/>
        </w:rPr>
        <w:t xml:space="preserve">اً </w:t>
      </w:r>
      <w:r w:rsidRPr="00EC792C">
        <w:rPr>
          <w:rtl/>
          <w:lang w:val="en-GB"/>
        </w:rPr>
        <w:t>إلى المجلس في دورته لعام 2026.</w:t>
      </w:r>
    </w:p>
    <w:p w14:paraId="4059F26D" w14:textId="4EB9DD1A" w:rsidR="00EC792C" w:rsidRPr="007E6D53" w:rsidRDefault="00EC792C" w:rsidP="0018493B">
      <w:pPr>
        <w:pStyle w:val="Headingb"/>
        <w:ind w:left="-1" w:firstLine="1"/>
        <w:rPr>
          <w:rtl/>
          <w:lang w:val="en-GB" w:bidi="en-GB"/>
        </w:rPr>
      </w:pPr>
      <w:r w:rsidRPr="007E6D53">
        <w:rPr>
          <w:rtl/>
          <w:lang w:val="en-GB"/>
        </w:rPr>
        <w:t xml:space="preserve">مساهمة من الاتحاد الروسي - التدابير الرامية إلى ضمان مواءمة الولايات الأساسية في توزيع الموارد (الوثيقة </w:t>
      </w:r>
      <w:hyperlink r:id="rId174" w:history="1">
        <w:r w:rsidR="0018493B" w:rsidRPr="007E6D53">
          <w:rPr>
            <w:rStyle w:val="Hyperlink"/>
          </w:rPr>
          <w:t>CWG-FHR-22/25</w:t>
        </w:r>
      </w:hyperlink>
      <w:r w:rsidRPr="007E6D53">
        <w:rPr>
          <w:rtl/>
          <w:lang w:val="en-GB"/>
        </w:rPr>
        <w:t>)</w:t>
      </w:r>
      <w:hyperlink r:id="rId175" w:history="1"/>
    </w:p>
    <w:p w14:paraId="55B62520" w14:textId="1F1CD63C" w:rsidR="00EC792C" w:rsidRPr="00EC792C" w:rsidRDefault="00EC792C" w:rsidP="00EC792C">
      <w:pPr>
        <w:rPr>
          <w:rtl/>
          <w:lang w:val="en-GB" w:bidi="en-GB"/>
        </w:rPr>
      </w:pPr>
      <w:r w:rsidRPr="00EC792C">
        <w:rPr>
          <w:rtl/>
          <w:lang w:val="en-GB"/>
        </w:rPr>
        <w:t>7.16</w:t>
      </w:r>
      <w:r w:rsidRPr="00EC792C">
        <w:rPr>
          <w:rtl/>
          <w:lang w:val="en-GB"/>
        </w:rPr>
        <w:tab/>
        <w:t xml:space="preserve">قدم الاتحاد الروسي مساهمته، الوثيقة </w:t>
      </w:r>
      <w:hyperlink r:id="rId176" w:history="1">
        <w:r w:rsidR="0018493B" w:rsidRPr="007E6D53">
          <w:rPr>
            <w:rStyle w:val="Hyperlink"/>
          </w:rPr>
          <w:t>CWG-FHR-22/25</w:t>
        </w:r>
      </w:hyperlink>
      <w:r w:rsidRPr="00EC792C">
        <w:rPr>
          <w:rtl/>
          <w:lang w:val="en-GB"/>
        </w:rPr>
        <w:t xml:space="preserve">، التي تحدد مجموعة من المقترحات المقدمة إلى المجلس ومؤتمر المندوبين المفوضين لاعتمادها من أجل تحسين مواءمة أنشطة الاتحاد مع ولايته الأساسية. وقدم بيانهما الاستهلالي في الوثيقة </w:t>
      </w:r>
      <w:hyperlink r:id="rId177" w:history="1">
        <w:r w:rsidR="0018493B" w:rsidRPr="007E6D53">
          <w:rPr>
            <w:rStyle w:val="Hyperlink"/>
          </w:rPr>
          <w:t>CWG-FHR-22/INF/7</w:t>
        </w:r>
      </w:hyperlink>
      <w:r w:rsidRPr="00EC792C">
        <w:rPr>
          <w:rtl/>
          <w:lang w:val="en-GB"/>
        </w:rPr>
        <w:t>.</w:t>
      </w:r>
      <w:hyperlink r:id="rId178" w:history="1"/>
      <w:hyperlink r:id="rId179" w:history="1"/>
    </w:p>
    <w:p w14:paraId="47BB1B2F" w14:textId="77777777" w:rsidR="00EC792C" w:rsidRPr="00EC792C" w:rsidRDefault="00EC792C" w:rsidP="00EC792C">
      <w:pPr>
        <w:rPr>
          <w:rtl/>
          <w:lang w:val="en-GB" w:bidi="en-GB"/>
        </w:rPr>
      </w:pPr>
      <w:r w:rsidRPr="00EC792C">
        <w:rPr>
          <w:rtl/>
          <w:lang w:val="en-GB"/>
        </w:rPr>
        <w:t>8.16</w:t>
      </w:r>
      <w:r w:rsidRPr="00EC792C">
        <w:rPr>
          <w:rtl/>
          <w:lang w:val="en-GB"/>
        </w:rPr>
        <w:tab/>
        <w:t>وأسفرت هذه المناقشة عن عدة نقاط خلاف بين المندوبين، بما في ذلك تحديد أولويات أنشطة الاتحاد مقابل إنهائها، وتعريف الولايات "الأساسية"، والصلاحية الزمنية للقرارات، والتوسع التدريجي خارج نطاق الولاية الأساسية.</w:t>
      </w:r>
    </w:p>
    <w:p w14:paraId="700EBCC1" w14:textId="1E637708" w:rsidR="00EC792C" w:rsidRPr="00EC792C" w:rsidRDefault="00EC792C" w:rsidP="0018493B">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9.16</w:t>
      </w:r>
      <w:r w:rsidRPr="00EC792C">
        <w:rPr>
          <w:rtl/>
          <w:lang w:val="en-GB"/>
        </w:rPr>
        <w:tab/>
      </w:r>
      <w:r w:rsidRPr="00EC792C">
        <w:rPr>
          <w:b/>
          <w:bCs/>
          <w:rtl/>
          <w:lang w:val="en-GB"/>
        </w:rPr>
        <w:t xml:space="preserve">أوصى </w:t>
      </w:r>
      <w:r w:rsidRPr="00EC792C">
        <w:rPr>
          <w:rtl/>
          <w:lang w:val="en-GB"/>
        </w:rPr>
        <w:t>الفريق CWG-FHR الأمانة بتقديم تقرير عن جميع أنشطة الاتحاد منذ مؤتمر المندوبين المفوضين الأخير، بما في ذلك قائمة شاملة بكيفية تنفيذ القرارات المعتمدة.</w:t>
      </w:r>
    </w:p>
    <w:p w14:paraId="006C1A6C" w14:textId="243BA801" w:rsidR="00EC792C" w:rsidRPr="007E6D53" w:rsidRDefault="00EC792C" w:rsidP="00FB7891">
      <w:pPr>
        <w:pStyle w:val="Heading1"/>
        <w:rPr>
          <w:rtl/>
          <w:lang w:val="en-GB" w:bidi="en-GB"/>
        </w:rPr>
      </w:pPr>
      <w:r w:rsidRPr="007E6D53">
        <w:rPr>
          <w:rtl/>
          <w:lang w:val="en-GB"/>
        </w:rPr>
        <w:t>17</w:t>
      </w:r>
      <w:r w:rsidRPr="007E6D53">
        <w:rPr>
          <w:rtl/>
          <w:lang w:val="en-GB"/>
        </w:rPr>
        <w:tab/>
        <w:t xml:space="preserve">تعزيز إدارة المخاطر ونظام الرقابة الداخلية (الوثيقة </w:t>
      </w:r>
      <w:hyperlink r:id="rId180" w:history="1">
        <w:r w:rsidR="00FB7891" w:rsidRPr="007E6D53">
          <w:rPr>
            <w:rStyle w:val="Hyperlink"/>
          </w:rPr>
          <w:t>CWG-FHR-22/20</w:t>
        </w:r>
      </w:hyperlink>
      <w:r w:rsidRPr="007E6D53">
        <w:rPr>
          <w:rtl/>
          <w:lang w:val="en-GB"/>
        </w:rPr>
        <w:t>)</w:t>
      </w:r>
      <w:hyperlink r:id="rId181" w:history="1"/>
    </w:p>
    <w:p w14:paraId="4E3E60B3" w14:textId="7F214A03" w:rsidR="00EC792C" w:rsidRPr="00EC792C" w:rsidRDefault="00FB7891" w:rsidP="00EC792C">
      <w:pPr>
        <w:rPr>
          <w:rtl/>
          <w:lang w:val="en-GB" w:bidi="en-GB"/>
        </w:rPr>
      </w:pPr>
      <w:r w:rsidRPr="007E6D53">
        <w:rPr>
          <w:lang w:val="en-GB"/>
        </w:rPr>
        <w:t>1.17</w:t>
      </w:r>
      <w:r w:rsidR="00EC792C" w:rsidRPr="00EC792C">
        <w:rPr>
          <w:rtl/>
          <w:lang w:val="en-GB"/>
        </w:rPr>
        <w:tab/>
        <w:t>خلال الاجتماع الثاني والعشرين، أبلغت الأمانة المندوبين بفريق المهام والمعني بإدارة المخاطر والضوابط الداخلية الذي شكل حديث</w:t>
      </w:r>
      <w:r w:rsidR="004220D8" w:rsidRPr="007E6D53">
        <w:rPr>
          <w:rtl/>
          <w:lang w:val="en-GB"/>
        </w:rPr>
        <w:t xml:space="preserve">اً </w:t>
      </w:r>
      <w:r w:rsidR="00EC792C" w:rsidRPr="00EC792C">
        <w:rPr>
          <w:rtl/>
          <w:lang w:val="en-GB"/>
        </w:rPr>
        <w:t xml:space="preserve">برئاسة نائب الأمين العام. وتتمثل الأهداف الرئيسية لفريق المهام فيما يلي: </w:t>
      </w:r>
      <w:r w:rsidRPr="007E6D53">
        <w:rPr>
          <w:lang w:val="en-GB"/>
        </w:rPr>
        <w:t>(1</w:t>
      </w:r>
      <w:r w:rsidR="00EC792C" w:rsidRPr="00EC792C">
        <w:rPr>
          <w:rtl/>
          <w:lang w:val="en-GB"/>
        </w:rPr>
        <w:t xml:space="preserve"> تعزيز الإمساك بزمام الشؤون الإدارية والمساءلة عن أنشطة المخاطر والرقابة الداخلية عبر المنظمة لتوفير ضمانات أكبر فيما يتعلق بتحقيق الأهداف؛ </w:t>
      </w:r>
      <w:r w:rsidRPr="007E6D53">
        <w:rPr>
          <w:lang w:val="en-GB"/>
        </w:rPr>
        <w:t>(2</w:t>
      </w:r>
      <w:r w:rsidR="00EC792C" w:rsidRPr="00EC792C">
        <w:rPr>
          <w:rtl/>
          <w:lang w:val="en-GB"/>
        </w:rPr>
        <w:t xml:space="preserve"> معالجة مواطن الضعف في الرقابة المحددة من خلال توصيات الرقابة في الوقت المناسب وبطريقة فعالة للتخفيف من المخاطر الأساسية. وبالإضافة إلى ذلك، أشار التحديث الذي قدمته الأمانة إلى الاحتفاظ بمكتب استشاري خارجي لاستعراض إطار إدارة المخاطر في الاتحاد وتقديم رؤية لسجل المخاطر المؤسسية.</w:t>
      </w:r>
    </w:p>
    <w:p w14:paraId="4A108719" w14:textId="7E361F50" w:rsidR="00EC792C" w:rsidRPr="00EC792C" w:rsidRDefault="00EC792C" w:rsidP="00EC792C">
      <w:pPr>
        <w:rPr>
          <w:rtl/>
          <w:lang w:val="en-GB" w:bidi="en-GB"/>
        </w:rPr>
      </w:pPr>
      <w:r w:rsidRPr="00EC792C">
        <w:rPr>
          <w:rtl/>
          <w:lang w:val="en-GB"/>
        </w:rPr>
        <w:t>2.17</w:t>
      </w:r>
      <w:r w:rsidRPr="00EC792C">
        <w:rPr>
          <w:rtl/>
          <w:lang w:val="en-GB"/>
        </w:rPr>
        <w:tab/>
        <w:t xml:space="preserve">وسعى أحد المندوبين إلى زيادة فهم إطار السلطة ودوره في خط الدفاع الثاني للاتحاد، لا سيما فيما يتعلق بأمن المعلومات. وطلب مندوب آخر من الأمانة توضيح أدوار المكتبين الاستشاريين، وردت الأمانة قائلة إن إحداهما قد عين لوضع إطار تفويض السلطة بينما عين الآخر لإجراء استعراض تشخيصي لإطار إدارة المخاطر في الاتحاد. واستفسر مندوبون آخرون عما إذا كان بإمكان الدول الأعضاء النفاذ إلى لوحة معلومات الامتثال، وشجعوا الأمانة </w:t>
      </w:r>
      <w:r w:rsidR="000337F6" w:rsidRPr="007E6D53">
        <w:rPr>
          <w:rtl/>
          <w:lang w:val="en-GB"/>
        </w:rPr>
        <w:t xml:space="preserve">أيضاً </w:t>
      </w:r>
      <w:r w:rsidRPr="00EC792C">
        <w:rPr>
          <w:rtl/>
          <w:lang w:val="en-GB"/>
        </w:rPr>
        <w:t>على الموازنة بين إمكانية التنبؤ والحفاظ على شمولية الاتحاد وتصميمه.</w:t>
      </w:r>
    </w:p>
    <w:p w14:paraId="771BA7BD" w14:textId="09AE4913" w:rsidR="00EC792C" w:rsidRPr="00EC792C" w:rsidRDefault="00EC792C" w:rsidP="00990D1C">
      <w:pPr>
        <w:pBdr>
          <w:top w:val="single" w:sz="4" w:space="1" w:color="auto"/>
          <w:left w:val="single" w:sz="4" w:space="4" w:color="auto"/>
          <w:bottom w:val="single" w:sz="4" w:space="1" w:color="auto"/>
          <w:right w:val="single" w:sz="4" w:space="4" w:color="auto"/>
        </w:pBdr>
        <w:rPr>
          <w:spacing w:val="-2"/>
          <w:rtl/>
          <w:lang w:val="en-GB" w:bidi="en-GB"/>
        </w:rPr>
      </w:pPr>
      <w:r w:rsidRPr="00EC792C">
        <w:rPr>
          <w:spacing w:val="-2"/>
          <w:rtl/>
          <w:lang w:val="en-GB"/>
        </w:rPr>
        <w:t>3.17</w:t>
      </w:r>
      <w:r w:rsidRPr="00EC792C">
        <w:rPr>
          <w:spacing w:val="-2"/>
          <w:rtl/>
          <w:lang w:val="en-GB"/>
        </w:rPr>
        <w:tab/>
      </w:r>
      <w:r w:rsidRPr="00EC792C">
        <w:rPr>
          <w:b/>
          <w:bCs/>
          <w:spacing w:val="-2"/>
          <w:rtl/>
          <w:lang w:val="en-GB"/>
        </w:rPr>
        <w:t xml:space="preserve">أوصى </w:t>
      </w:r>
      <w:r w:rsidRPr="00EC792C">
        <w:rPr>
          <w:spacing w:val="-2"/>
          <w:rtl/>
          <w:lang w:val="en-GB"/>
        </w:rPr>
        <w:t>الفريق CWG-FHR الأمانة بالنظر في التقارير السابقة للمجلس واجتماعات الفريق عند صياغة تقريرها المقبل إلى المجلس.</w:t>
      </w:r>
    </w:p>
    <w:p w14:paraId="7AFEFFCF" w14:textId="0C9FAFE7" w:rsidR="00EC792C" w:rsidRPr="00EC792C" w:rsidRDefault="00EC792C" w:rsidP="00990D1C">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4.17</w:t>
      </w:r>
      <w:r w:rsidRPr="00EC792C">
        <w:rPr>
          <w:rtl/>
          <w:lang w:val="en-GB"/>
        </w:rPr>
        <w:tab/>
        <w:t xml:space="preserve">وبالإضافة إلى ذلك، </w:t>
      </w:r>
      <w:r w:rsidRPr="00EC792C">
        <w:rPr>
          <w:b/>
          <w:bCs/>
          <w:rtl/>
          <w:lang w:val="en-GB"/>
        </w:rPr>
        <w:t xml:space="preserve">يوصي </w:t>
      </w:r>
      <w:r w:rsidRPr="00EC792C">
        <w:rPr>
          <w:rtl/>
          <w:lang w:val="en-GB"/>
        </w:rPr>
        <w:t>الفريق بأن يطلب المجلس من الأمانة تزويد أعضاء المجلس بالنتائج والتوصيات وبيان الأعمال الخاصة بالخبراء الاستشاريين المعينين حديث</w:t>
      </w:r>
      <w:r w:rsidR="00990D1C" w:rsidRPr="007E6D53">
        <w:rPr>
          <w:rtl/>
          <w:lang w:val="en-GB"/>
        </w:rPr>
        <w:t>اً</w:t>
      </w:r>
      <w:r w:rsidRPr="00EC792C">
        <w:rPr>
          <w:rtl/>
          <w:lang w:val="en-GB"/>
        </w:rPr>
        <w:t>.</w:t>
      </w:r>
    </w:p>
    <w:p w14:paraId="23A895AC" w14:textId="77777777" w:rsidR="00EC792C" w:rsidRPr="007E6D53" w:rsidRDefault="00EC792C" w:rsidP="00990D1C">
      <w:pPr>
        <w:pStyle w:val="Heading1"/>
        <w:rPr>
          <w:rtl/>
          <w:lang w:val="en-GB" w:bidi="en-GB"/>
        </w:rPr>
      </w:pPr>
      <w:r w:rsidRPr="007E6D53">
        <w:rPr>
          <w:rtl/>
          <w:lang w:val="en-GB"/>
        </w:rPr>
        <w:t>18</w:t>
      </w:r>
      <w:r w:rsidRPr="007E6D53">
        <w:rPr>
          <w:rtl/>
          <w:lang w:val="en-GB"/>
        </w:rPr>
        <w:tab/>
        <w:t>استعراض الخطط الاستراتيجية والمالية والتشغيلية للاتحاد (عرض إيضاحي شفوي)</w:t>
      </w:r>
    </w:p>
    <w:p w14:paraId="1582A980" w14:textId="1227437A" w:rsidR="00EC792C" w:rsidRPr="00EC792C" w:rsidRDefault="00A71473" w:rsidP="00EC792C">
      <w:pPr>
        <w:rPr>
          <w:rtl/>
          <w:lang w:val="en-GB" w:bidi="en-GB"/>
        </w:rPr>
      </w:pPr>
      <w:r w:rsidRPr="007E6D53">
        <w:rPr>
          <w:lang w:val="en-GB"/>
        </w:rPr>
        <w:t>1.18</w:t>
      </w:r>
      <w:r w:rsidR="00EC792C" w:rsidRPr="00EC792C">
        <w:rPr>
          <w:rtl/>
          <w:lang w:val="en-GB"/>
        </w:rPr>
        <w:tab/>
        <w:t xml:space="preserve">في الاجتماع الثاني والعشرين، أعلنت الأمانة عن عقد اجتماع مشترك بين فريق العمل التابع للمجلس </w:t>
      </w:r>
      <w:r w:rsidR="00666518">
        <w:rPr>
          <w:rFonts w:hint="cs"/>
          <w:rtl/>
          <w:lang w:val="en-GB"/>
        </w:rPr>
        <w:t>و</w:t>
      </w:r>
      <w:r w:rsidR="00EC792C" w:rsidRPr="00EC792C">
        <w:rPr>
          <w:rtl/>
          <w:lang w:val="en-GB"/>
        </w:rPr>
        <w:t>المعني بالخطتين الاستراتيجية والمالية (CWG-SFP) وفريق العمل التابع للمجلس والمعني بالموارد المالية والبشرية</w:t>
      </w:r>
      <w:r w:rsidR="00937B4C">
        <w:rPr>
          <w:rFonts w:hint="cs"/>
          <w:rtl/>
          <w:lang w:val="en-GB"/>
        </w:rPr>
        <w:t> </w:t>
      </w:r>
      <w:r w:rsidR="00937B4C">
        <w:t>(CWG</w:t>
      </w:r>
      <w:r w:rsidR="00937B4C">
        <w:noBreakHyphen/>
        <w:t>FHR)</w:t>
      </w:r>
      <w:r w:rsidR="00EC792C" w:rsidRPr="00EC792C">
        <w:rPr>
          <w:rtl/>
          <w:lang w:val="en-GB"/>
        </w:rPr>
        <w:t xml:space="preserve"> مقرر عقده يوم الإثنين 27 أبريل 2026، أي قبل انعقاد المجلس في دورته لعام 2026. وبالإضافة إلى ذلك، تناولت الأمانة الردود الاثنتين والأربعين الواردة من الدول الأعضاء التي تؤكد التزامها بالحفاظ على وحدات مساهماتها وكيفية الاستفادة من هذه المعلومات لوضع خطة مالية تستند إلى مشروع الخطة الاستراتيجية.</w:t>
      </w:r>
    </w:p>
    <w:p w14:paraId="50AD47F3" w14:textId="3BCC6A44" w:rsidR="00EC792C" w:rsidRPr="007E6D53" w:rsidRDefault="00EC792C" w:rsidP="00A71473">
      <w:pPr>
        <w:pStyle w:val="Heading1"/>
        <w:rPr>
          <w:spacing w:val="-2"/>
          <w:rtl/>
          <w:lang w:val="en-GB" w:bidi="en-GB"/>
        </w:rPr>
      </w:pPr>
      <w:r w:rsidRPr="007E6D53">
        <w:rPr>
          <w:spacing w:val="-2"/>
          <w:rtl/>
          <w:lang w:val="en-GB"/>
        </w:rPr>
        <w:lastRenderedPageBreak/>
        <w:t>19</w:t>
      </w:r>
      <w:r w:rsidRPr="007E6D53">
        <w:rPr>
          <w:spacing w:val="-2"/>
          <w:rtl/>
          <w:lang w:val="en-GB"/>
        </w:rPr>
        <w:tab/>
        <w:t>مساهمة من الاتحاد الروسي - مقترحات لمراجعة القرار 191 (المرا</w:t>
      </w:r>
      <w:r w:rsidR="00A71473" w:rsidRPr="007E6D53">
        <w:rPr>
          <w:spacing w:val="-2"/>
          <w:rtl/>
          <w:lang w:val="en-GB"/>
        </w:rPr>
        <w:t>جَ</w:t>
      </w:r>
      <w:r w:rsidRPr="007E6D53">
        <w:rPr>
          <w:spacing w:val="-2"/>
          <w:rtl/>
          <w:lang w:val="en-GB"/>
        </w:rPr>
        <w:t xml:space="preserve">ع في بوخارست، 2022) لمؤتمر المندوبين المفوضين - استراتيجية تنسيق الجهود بين قطاعات الاتحاد الثلاثة (الوثيقة </w:t>
      </w:r>
      <w:hyperlink r:id="rId182" w:history="1">
        <w:r w:rsidR="00A71473" w:rsidRPr="007E6D53">
          <w:rPr>
            <w:rStyle w:val="Hyperlink"/>
            <w:spacing w:val="-2"/>
          </w:rPr>
          <w:t>CWG-FHR-22/26</w:t>
        </w:r>
      </w:hyperlink>
      <w:r w:rsidRPr="007E6D53">
        <w:rPr>
          <w:spacing w:val="-2"/>
          <w:rtl/>
          <w:lang w:val="en-GB"/>
        </w:rPr>
        <w:t>)</w:t>
      </w:r>
      <w:hyperlink r:id="rId183" w:history="1"/>
    </w:p>
    <w:p w14:paraId="22AE14D0" w14:textId="37FE2AB2" w:rsidR="00EC792C" w:rsidRPr="00EC792C" w:rsidRDefault="00EC792C" w:rsidP="00EC792C">
      <w:pPr>
        <w:rPr>
          <w:spacing w:val="-4"/>
          <w:rtl/>
          <w:lang w:val="en-GB" w:bidi="en-GB"/>
        </w:rPr>
      </w:pPr>
      <w:r w:rsidRPr="00EC792C">
        <w:rPr>
          <w:spacing w:val="-4"/>
          <w:rtl/>
          <w:lang w:val="en-GB"/>
        </w:rPr>
        <w:t>1.19</w:t>
      </w:r>
      <w:r w:rsidRPr="00EC792C">
        <w:rPr>
          <w:spacing w:val="-4"/>
          <w:rtl/>
          <w:lang w:val="en-GB"/>
        </w:rPr>
        <w:tab/>
        <w:t>سعيا</w:t>
      </w:r>
      <w:r w:rsidR="00713A61" w:rsidRPr="007E6D53">
        <w:rPr>
          <w:spacing w:val="-4"/>
          <w:rtl/>
          <w:lang w:val="en-GB"/>
        </w:rPr>
        <w:t>ً</w:t>
      </w:r>
      <w:r w:rsidRPr="00EC792C">
        <w:rPr>
          <w:spacing w:val="-4"/>
          <w:rtl/>
          <w:lang w:val="en-GB"/>
        </w:rPr>
        <w:t xml:space="preserve"> إلى الحصول على تعليقات بشأن الجهود الرامية إلى مواءمة قرارات مؤتمر المندوبين المفوضين، قدم الاتحاد الروسي مساهمة في الاجتماع الثاني والعشرين يقترح فيها تعديلات على القرار 191 (المراج</w:t>
      </w:r>
      <w:r w:rsidR="00713A61" w:rsidRPr="007E6D53">
        <w:rPr>
          <w:spacing w:val="-4"/>
          <w:rtl/>
          <w:lang w:val="en-GB"/>
        </w:rPr>
        <w:t>َ</w:t>
      </w:r>
      <w:r w:rsidRPr="00EC792C">
        <w:rPr>
          <w:spacing w:val="-4"/>
          <w:rtl/>
          <w:lang w:val="en-GB"/>
        </w:rPr>
        <w:t>ع في بوخارست، 2022) تتناول مناقشات مجلس الاتحاد وفريق التنسيق بين القطاعات وجمعية الاتصالات الراديوية لعام 2023 (RA-23) والجمعية العالمية لتقييس الاتصالات لعام 2024 (WTSA-24) والمؤتمر العالمي لتنمية الاتصالات لعام 2025 (WTDC-25).</w:t>
      </w:r>
    </w:p>
    <w:p w14:paraId="0B6139BF" w14:textId="721DA200" w:rsidR="00EC792C" w:rsidRPr="00EC792C" w:rsidRDefault="00EC792C" w:rsidP="00EC792C">
      <w:pPr>
        <w:rPr>
          <w:rtl/>
          <w:lang w:val="en-GB" w:bidi="en-GB"/>
        </w:rPr>
      </w:pPr>
      <w:r w:rsidRPr="00937B4C">
        <w:rPr>
          <w:rtl/>
          <w:lang w:val="en-GB"/>
        </w:rPr>
        <w:t>2.19</w:t>
      </w:r>
      <w:r w:rsidRPr="00937B4C">
        <w:rPr>
          <w:rtl/>
          <w:lang w:val="en-GB"/>
        </w:rPr>
        <w:tab/>
        <w:t>وأعرب المندوبون عن مشاركتهم الرئيسة في</w:t>
      </w:r>
      <w:r w:rsidR="00937B4C" w:rsidRPr="00937B4C">
        <w:rPr>
          <w:rFonts w:hint="cs"/>
          <w:rtl/>
          <w:lang w:val="en-GB"/>
        </w:rPr>
        <w:t>م</w:t>
      </w:r>
      <w:r w:rsidRPr="00937B4C">
        <w:rPr>
          <w:rtl/>
          <w:lang w:val="en-GB"/>
        </w:rPr>
        <w:t>ا لديها من شعور بأن مقترحات مماثلة طرحت في مؤتمر</w:t>
      </w:r>
      <w:r w:rsidRPr="00EC792C">
        <w:rPr>
          <w:rtl/>
          <w:lang w:val="en-GB"/>
        </w:rPr>
        <w:t xml:space="preserve"> المندوبين المفوضين لعام 2014 ومؤتمر المندوبين المفوضين لعام 2018 ومؤتمر المندوبين المفوضين لعام 2022، وذكروا أنه من الصعب تنفيذ التنسيق وتنفيذه على الرغم من أن المندوبين يتفقون من حيث المبدأ. وأوصى أحد المندوبين بإيلاء مزيد من التفكير في كيفية جعل الاتحاد هذه الأفرقة أكثر فعالية، حيث حذر من أن إضافة مزيد من الأفرقة المشتركة بين القطاعات أو المشتركة سيكون أمرا</w:t>
      </w:r>
      <w:r w:rsidR="00A44BF5" w:rsidRPr="007E6D53">
        <w:rPr>
          <w:rtl/>
          <w:lang w:val="en-GB"/>
        </w:rPr>
        <w:t>ً</w:t>
      </w:r>
      <w:r w:rsidRPr="00EC792C">
        <w:rPr>
          <w:rtl/>
          <w:lang w:val="en-GB"/>
        </w:rPr>
        <w:t xml:space="preserve"> صعبا</w:t>
      </w:r>
      <w:r w:rsidR="00A44BF5" w:rsidRPr="007E6D53">
        <w:rPr>
          <w:rtl/>
          <w:lang w:val="en-GB"/>
        </w:rPr>
        <w:t>ً</w:t>
      </w:r>
      <w:r w:rsidRPr="00EC792C">
        <w:rPr>
          <w:rtl/>
          <w:lang w:val="en-GB"/>
        </w:rPr>
        <w:t>. ومن خلال مناقشات مكثفة وتيسير من جانب الرئيس، تم التوصل إلى توافق في الآراء بشأن دعوة جميع أفرقة التنسيق في الاتحاد (على مستوى الأعضاء والأمانة) إلى استعراض القرار 191 (المراج</w:t>
      </w:r>
      <w:r w:rsidR="00E3316E" w:rsidRPr="007E6D53">
        <w:rPr>
          <w:rtl/>
          <w:lang w:val="en-GB"/>
        </w:rPr>
        <w:t>َ</w:t>
      </w:r>
      <w:r w:rsidRPr="00EC792C">
        <w:rPr>
          <w:rtl/>
          <w:lang w:val="en-GB"/>
        </w:rPr>
        <w:t>ع في بوخارست، 2022) وتقديم تعليقات إلى المجلس في دورته لعام 2026.</w:t>
      </w:r>
    </w:p>
    <w:p w14:paraId="2BF1011F" w14:textId="4229601A" w:rsidR="00EC792C" w:rsidRPr="00EC792C" w:rsidRDefault="00EC792C" w:rsidP="00A44BF5">
      <w:pPr>
        <w:pBdr>
          <w:top w:val="single" w:sz="4" w:space="1" w:color="auto"/>
          <w:left w:val="single" w:sz="4" w:space="4" w:color="auto"/>
          <w:bottom w:val="single" w:sz="4" w:space="1" w:color="auto"/>
          <w:right w:val="single" w:sz="4" w:space="4" w:color="auto"/>
        </w:pBdr>
        <w:rPr>
          <w:spacing w:val="-2"/>
          <w:rtl/>
          <w:lang w:val="en-GB" w:bidi="en-GB"/>
        </w:rPr>
      </w:pPr>
      <w:r w:rsidRPr="00EC792C">
        <w:rPr>
          <w:spacing w:val="-2"/>
          <w:rtl/>
          <w:lang w:val="en-GB"/>
        </w:rPr>
        <w:t>3.19</w:t>
      </w:r>
      <w:r w:rsidRPr="00EC792C">
        <w:rPr>
          <w:spacing w:val="-2"/>
          <w:rtl/>
          <w:lang w:val="en-GB"/>
        </w:rPr>
        <w:tab/>
      </w:r>
      <w:r w:rsidRPr="00EC792C">
        <w:rPr>
          <w:b/>
          <w:bCs/>
          <w:spacing w:val="-2"/>
          <w:rtl/>
          <w:lang w:val="en-GB"/>
        </w:rPr>
        <w:t xml:space="preserve">أرسل </w:t>
      </w:r>
      <w:r w:rsidRPr="00EC792C">
        <w:rPr>
          <w:spacing w:val="-2"/>
          <w:rtl/>
          <w:lang w:val="en-GB"/>
        </w:rPr>
        <w:t xml:space="preserve">الفريق CWG-FHR بيان اتصال يطلب فيه من الأفرقة الاستشارية للقطاعات وفريق التنسيق بين القطاعات </w:t>
      </w:r>
      <w:r w:rsidR="00666518">
        <w:rPr>
          <w:rFonts w:hint="cs"/>
          <w:spacing w:val="-2"/>
          <w:rtl/>
          <w:lang w:val="en-GB"/>
        </w:rPr>
        <w:t>و</w:t>
      </w:r>
      <w:r w:rsidRPr="00EC792C">
        <w:rPr>
          <w:spacing w:val="-2"/>
          <w:rtl/>
          <w:lang w:val="en-GB"/>
        </w:rPr>
        <w:t>المعني بالمسائل ذات الاهتمام المشترك (ISCG) ولجان التنسيق والفريق الاستشاري للدول الأعضاء</w:t>
      </w:r>
      <w:r w:rsidR="00666518">
        <w:rPr>
          <w:rFonts w:hint="cs"/>
          <w:spacing w:val="-2"/>
          <w:rtl/>
          <w:lang w:val="en-GB"/>
        </w:rPr>
        <w:t> </w:t>
      </w:r>
      <w:r w:rsidRPr="00EC792C">
        <w:rPr>
          <w:spacing w:val="-2"/>
          <w:rtl/>
          <w:lang w:val="en-GB"/>
        </w:rPr>
        <w:t>(MSAG) بتقديم توصيات إلى المجلس في دورته لعام 2026 بشأن تحسين تنفيذ القرار 191 (المراج</w:t>
      </w:r>
      <w:r w:rsidR="00A44BF5" w:rsidRPr="007E6D53">
        <w:rPr>
          <w:spacing w:val="-2"/>
          <w:rtl/>
          <w:lang w:val="en-GB"/>
        </w:rPr>
        <w:t>َ</w:t>
      </w:r>
      <w:r w:rsidRPr="00EC792C">
        <w:rPr>
          <w:spacing w:val="-2"/>
          <w:rtl/>
          <w:lang w:val="en-GB"/>
        </w:rPr>
        <w:t>ع في بوخارست، 2022).</w:t>
      </w:r>
    </w:p>
    <w:p w14:paraId="57C4C698" w14:textId="7DF3F03A" w:rsidR="00EC792C" w:rsidRPr="007E6D53" w:rsidRDefault="00EC792C" w:rsidP="00A44BF5">
      <w:pPr>
        <w:pStyle w:val="Heading1"/>
        <w:rPr>
          <w:spacing w:val="-6"/>
          <w:rtl/>
          <w:lang w:val="en-GB" w:bidi="en-GB"/>
        </w:rPr>
      </w:pPr>
      <w:r w:rsidRPr="007E6D53">
        <w:rPr>
          <w:spacing w:val="-6"/>
          <w:rtl/>
          <w:lang w:val="en-GB"/>
        </w:rPr>
        <w:t>20</w:t>
      </w:r>
      <w:r w:rsidRPr="007E6D53">
        <w:rPr>
          <w:spacing w:val="-6"/>
          <w:rtl/>
          <w:lang w:val="en-GB"/>
        </w:rPr>
        <w:tab/>
        <w:t xml:space="preserve">إلغاء مقرر المجلس 601 بشأن تسجيل أرقام تعرف الإصدار (IIN) (الوثيقة </w:t>
      </w:r>
      <w:hyperlink r:id="rId184" w:history="1">
        <w:r w:rsidR="00A44BF5" w:rsidRPr="007E6D53">
          <w:rPr>
            <w:rStyle w:val="Hyperlink"/>
            <w:spacing w:val="-6"/>
          </w:rPr>
          <w:t>CWG-FHR-22/3</w:t>
        </w:r>
      </w:hyperlink>
      <w:r w:rsidRPr="007E6D53">
        <w:rPr>
          <w:spacing w:val="-6"/>
          <w:rtl/>
          <w:lang w:val="en-GB"/>
        </w:rPr>
        <w:t>)</w:t>
      </w:r>
      <w:hyperlink r:id="rId185" w:history="1"/>
    </w:p>
    <w:p w14:paraId="3303A83C" w14:textId="7CAB6A68" w:rsidR="00EC792C" w:rsidRPr="00EC792C" w:rsidRDefault="00EC792C" w:rsidP="00EC792C">
      <w:pPr>
        <w:rPr>
          <w:spacing w:val="-4"/>
          <w:rtl/>
          <w:lang w:val="en-GB" w:bidi="en-GB"/>
        </w:rPr>
      </w:pPr>
      <w:r w:rsidRPr="00EC792C">
        <w:rPr>
          <w:spacing w:val="-4"/>
          <w:rtl/>
          <w:lang w:val="en-GB"/>
        </w:rPr>
        <w:t>1.20</w:t>
      </w:r>
      <w:r w:rsidRPr="00EC792C">
        <w:rPr>
          <w:spacing w:val="-4"/>
          <w:rtl/>
          <w:lang w:val="en-GB"/>
        </w:rPr>
        <w:tab/>
        <w:t>في الاجتماع الثاني والعشرين، قدمت الأمانة معلومات محدثة بشأن الموافقة على التوصية المراجعة ITU</w:t>
      </w:r>
      <w:r w:rsidR="00A44BF5" w:rsidRPr="007831B0">
        <w:rPr>
          <w:spacing w:val="-4"/>
          <w:rtl/>
          <w:lang w:val="en-GB"/>
        </w:rPr>
        <w:noBreakHyphen/>
      </w:r>
      <w:r w:rsidRPr="00EC792C">
        <w:rPr>
          <w:spacing w:val="-4"/>
          <w:rtl/>
          <w:lang w:val="en-GB"/>
        </w:rPr>
        <w:t>T</w:t>
      </w:r>
      <w:r w:rsidR="00A44BF5" w:rsidRPr="007831B0">
        <w:rPr>
          <w:spacing w:val="-4"/>
          <w:rtl/>
          <w:lang w:val="en-GB"/>
        </w:rPr>
        <w:t> </w:t>
      </w:r>
      <w:r w:rsidRPr="00EC792C">
        <w:rPr>
          <w:spacing w:val="-4"/>
          <w:rtl/>
          <w:lang w:val="en-GB"/>
        </w:rPr>
        <w:t>E.118 وإلغاء المقرر 601 الصادرة عن المجلس بعد اجتماع لجنة الدراسات 2 التابعة لقطاع تقييس الاتصالات في 5 سبتمبر 2025 حيث رأى الأعضاء أنه لم يعد هناك مبرر لاستمرار المقرر 601.</w:t>
      </w:r>
    </w:p>
    <w:p w14:paraId="2E59D8AB" w14:textId="4CCAA426" w:rsidR="00EC792C" w:rsidRPr="00EC792C" w:rsidRDefault="00EC792C" w:rsidP="00EC792C">
      <w:pPr>
        <w:rPr>
          <w:rtl/>
          <w:lang w:val="en-GB" w:bidi="en-GB"/>
        </w:rPr>
      </w:pPr>
      <w:r w:rsidRPr="00EC792C">
        <w:rPr>
          <w:rtl/>
          <w:lang w:val="en-GB"/>
        </w:rPr>
        <w:t>2.20</w:t>
      </w:r>
      <w:r w:rsidRPr="00EC792C">
        <w:rPr>
          <w:rtl/>
          <w:lang w:val="en-GB"/>
        </w:rPr>
        <w:tab/>
        <w:t>وتساءل المندوبون عن توصية لجنة الدراسات، ولا سيما تداعيات إلغاء مصدر للإيرادات بالنظر إلى الوضع المالي الحالي للاتحاد (وفقا</w:t>
      </w:r>
      <w:r w:rsidR="008D7728" w:rsidRPr="007E6D53">
        <w:rPr>
          <w:rtl/>
          <w:lang w:val="en-GB"/>
        </w:rPr>
        <w:t>ً</w:t>
      </w:r>
      <w:r w:rsidRPr="00EC792C">
        <w:rPr>
          <w:rtl/>
          <w:lang w:val="en-GB"/>
        </w:rPr>
        <w:t xml:space="preserve"> للوثيقة </w:t>
      </w:r>
      <w:hyperlink r:id="rId186" w:history="1">
        <w:r w:rsidR="008D7728" w:rsidRPr="007E6D53">
          <w:rPr>
            <w:rStyle w:val="Hyperlink"/>
          </w:rPr>
          <w:t>C25/38</w:t>
        </w:r>
      </w:hyperlink>
      <w:r w:rsidRPr="00EC792C">
        <w:rPr>
          <w:rtl/>
          <w:lang w:val="en-GB"/>
        </w:rPr>
        <w:t>). ورد رئيس لجنة الدراسات 2 مؤكدا</w:t>
      </w:r>
      <w:r w:rsidR="008D7728" w:rsidRPr="007E6D53">
        <w:rPr>
          <w:rtl/>
          <w:lang w:val="en-GB"/>
        </w:rPr>
        <w:t>ً</w:t>
      </w:r>
      <w:r w:rsidRPr="00EC792C">
        <w:rPr>
          <w:rtl/>
          <w:lang w:val="en-GB"/>
        </w:rPr>
        <w:t xml:space="preserve"> أن الفريق نظر باستفاضة في</w:t>
      </w:r>
      <w:r w:rsidR="008D7728" w:rsidRPr="007E6D53">
        <w:rPr>
          <w:rtl/>
          <w:lang w:val="en-GB"/>
        </w:rPr>
        <w:t> </w:t>
      </w:r>
      <w:r w:rsidRPr="00EC792C">
        <w:rPr>
          <w:rtl/>
          <w:lang w:val="en-GB"/>
        </w:rPr>
        <w:t>تداعيات خسارة الإيرادات ولكنه قرر أنه إذا لم يلغي المجلس هذا المقرر، فقد تكون هناك مشكلة قانونية.</w:t>
      </w:r>
      <w:hyperlink r:id="rId187" w:history="1"/>
    </w:p>
    <w:p w14:paraId="47D9EDEA" w14:textId="4C10F8E6" w:rsidR="00EC792C" w:rsidRPr="00EC792C" w:rsidRDefault="00EC792C" w:rsidP="008D7728">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3.20</w:t>
      </w:r>
      <w:r w:rsidRPr="00EC792C">
        <w:rPr>
          <w:rtl/>
          <w:lang w:val="en-GB"/>
        </w:rPr>
        <w:tab/>
      </w:r>
      <w:r w:rsidRPr="00EC792C">
        <w:rPr>
          <w:b/>
          <w:bCs/>
          <w:rtl/>
          <w:lang w:val="en-GB"/>
        </w:rPr>
        <w:t xml:space="preserve">أوصى </w:t>
      </w:r>
      <w:r w:rsidRPr="00EC792C">
        <w:rPr>
          <w:rtl/>
          <w:lang w:val="en-GB"/>
        </w:rPr>
        <w:t>الفريق CWG-FHR الأمانة بتقديم تقرير محدث إلى المجلس حتى يتمكن أعضاء المجلس من تقرير ما إذا كان ينبغي إلغاء المقرر 601 للمجلس.</w:t>
      </w:r>
    </w:p>
    <w:p w14:paraId="0E890307" w14:textId="15249FCB" w:rsidR="00EC792C" w:rsidRPr="007E6D53" w:rsidRDefault="00EC792C" w:rsidP="008D7728">
      <w:pPr>
        <w:pStyle w:val="Heading1"/>
        <w:rPr>
          <w:spacing w:val="-2"/>
          <w:rtl/>
          <w:lang w:val="en-GB" w:bidi="en-GB"/>
        </w:rPr>
      </w:pPr>
      <w:r w:rsidRPr="007E6D53">
        <w:rPr>
          <w:spacing w:val="-2"/>
          <w:rtl/>
          <w:lang w:val="en-GB"/>
        </w:rPr>
        <w:t>21</w:t>
      </w:r>
      <w:r w:rsidRPr="007E6D53">
        <w:rPr>
          <w:spacing w:val="-2"/>
          <w:rtl/>
          <w:lang w:val="en-GB"/>
        </w:rPr>
        <w:tab/>
        <w:t xml:space="preserve">بيان اتصال بشأن نتائج الاجتماع الثالث للفريق CWG-SFP (الوثيقة </w:t>
      </w:r>
      <w:hyperlink r:id="rId188" w:history="1">
        <w:r w:rsidR="008D7728" w:rsidRPr="007E6D53">
          <w:rPr>
            <w:rStyle w:val="Hyperlink"/>
            <w:spacing w:val="-2"/>
          </w:rPr>
          <w:t>CWG-FHR-21/24</w:t>
        </w:r>
      </w:hyperlink>
      <w:r w:rsidRPr="007E6D53">
        <w:rPr>
          <w:spacing w:val="-2"/>
          <w:rtl/>
          <w:lang w:val="en-GB"/>
        </w:rPr>
        <w:t>)</w:t>
      </w:r>
      <w:hyperlink r:id="rId189" w:history="1"/>
    </w:p>
    <w:p w14:paraId="3945CEED" w14:textId="38E84673" w:rsidR="00EC792C" w:rsidRPr="00EC792C" w:rsidRDefault="00EC792C" w:rsidP="00EC792C">
      <w:pPr>
        <w:rPr>
          <w:spacing w:val="-2"/>
          <w:rtl/>
          <w:lang w:val="en-GB" w:bidi="en-GB"/>
        </w:rPr>
      </w:pPr>
      <w:r w:rsidRPr="00EC792C">
        <w:rPr>
          <w:spacing w:val="-2"/>
          <w:rtl/>
          <w:lang w:val="en-GB"/>
        </w:rPr>
        <w:t>1.21</w:t>
      </w:r>
      <w:r w:rsidRPr="00EC792C">
        <w:rPr>
          <w:spacing w:val="-2"/>
          <w:rtl/>
          <w:lang w:val="en-GB"/>
        </w:rPr>
        <w:tab/>
        <w:t>يعرض بيان الاتصال، المقدم إلى الاجتماع الحادي والعشرين، النتائج الرئيسية للاجتماع الثالث للفريق، ويقدم تقرير</w:t>
      </w:r>
      <w:r w:rsidR="004220D8" w:rsidRPr="007E6D53">
        <w:rPr>
          <w:spacing w:val="-2"/>
          <w:rtl/>
          <w:lang w:val="en-GB"/>
        </w:rPr>
        <w:t xml:space="preserve">اً </w:t>
      </w:r>
      <w:r w:rsidRPr="00EC792C">
        <w:rPr>
          <w:spacing w:val="-2"/>
          <w:rtl/>
          <w:lang w:val="en-GB"/>
        </w:rPr>
        <w:t>مرحلي</w:t>
      </w:r>
      <w:r w:rsidR="004220D8" w:rsidRPr="007E6D53">
        <w:rPr>
          <w:spacing w:val="-2"/>
          <w:rtl/>
          <w:lang w:val="en-GB"/>
        </w:rPr>
        <w:t xml:space="preserve">اً </w:t>
      </w:r>
      <w:r w:rsidRPr="00EC792C">
        <w:rPr>
          <w:spacing w:val="-2"/>
          <w:rtl/>
          <w:lang w:val="en-GB"/>
        </w:rPr>
        <w:t xml:space="preserve">عن الجهود المبذولة لإعداد الخطتين الاستراتيجية والمالية، ويطلب إبداء تعليقات. ويدعو فريق العمل التابع للمجلس </w:t>
      </w:r>
      <w:r w:rsidR="00666518">
        <w:rPr>
          <w:rFonts w:hint="cs"/>
          <w:spacing w:val="-2"/>
          <w:rtl/>
          <w:lang w:val="en-GB"/>
        </w:rPr>
        <w:t>و</w:t>
      </w:r>
      <w:r w:rsidRPr="00EC792C">
        <w:rPr>
          <w:spacing w:val="-2"/>
          <w:rtl/>
          <w:lang w:val="en-GB"/>
        </w:rPr>
        <w:t>المعني بالخطتين الاستراتيجية والمالية (CWG-SFP) على وجه الخصوص الفريق CWG-FHR إلى استعراض مؤشرات الأداء المقترحة لمستوى التأثير والنتائج وكذلك مشروع بيانات الرسالة والرؤية بحلول 1 ديسمبر 2025.</w:t>
      </w:r>
    </w:p>
    <w:p w14:paraId="46203A75" w14:textId="6DA883F6" w:rsidR="00EC792C" w:rsidRPr="00EC792C" w:rsidRDefault="00EC792C" w:rsidP="00826B82">
      <w:pPr>
        <w:pBdr>
          <w:top w:val="single" w:sz="4" w:space="1" w:color="auto"/>
          <w:left w:val="single" w:sz="4" w:space="4" w:color="auto"/>
          <w:bottom w:val="single" w:sz="4" w:space="1" w:color="auto"/>
          <w:right w:val="single" w:sz="4" w:space="4" w:color="auto"/>
        </w:pBdr>
        <w:rPr>
          <w:rtl/>
          <w:lang w:val="en-GB" w:bidi="en-GB"/>
        </w:rPr>
      </w:pPr>
      <w:r w:rsidRPr="00EC792C">
        <w:rPr>
          <w:rtl/>
          <w:lang w:val="en-GB"/>
        </w:rPr>
        <w:t>2.21</w:t>
      </w:r>
      <w:r w:rsidRPr="00EC792C">
        <w:rPr>
          <w:rtl/>
          <w:lang w:val="en-GB"/>
        </w:rPr>
        <w:tab/>
        <w:t>وأحاط الفريق CWG-FHR علم</w:t>
      </w:r>
      <w:r w:rsidR="00826B82" w:rsidRPr="007E6D53">
        <w:rPr>
          <w:rtl/>
          <w:lang w:val="en-GB"/>
        </w:rPr>
        <w:t>اً</w:t>
      </w:r>
      <w:r w:rsidRPr="00EC792C">
        <w:rPr>
          <w:rtl/>
          <w:lang w:val="en-GB"/>
        </w:rPr>
        <w:t xml:space="preserve"> بالوثيقة وأعرب عن نيته التنسيق مع الفريق CWG-SFP بشأن الخطوات المقبلة.</w:t>
      </w:r>
    </w:p>
    <w:p w14:paraId="5D6F649B" w14:textId="128A6A53" w:rsidR="00826B82" w:rsidRPr="007E6D53" w:rsidRDefault="00EC792C" w:rsidP="00A1535E">
      <w:pPr>
        <w:spacing w:before="600"/>
        <w:rPr>
          <w:rtl/>
          <w:lang w:val="en-GB"/>
        </w:rPr>
      </w:pPr>
      <w:r w:rsidRPr="00EC792C">
        <w:rPr>
          <w:b/>
          <w:bCs/>
          <w:rtl/>
          <w:lang w:val="en-GB"/>
        </w:rPr>
        <w:t>الملحق</w:t>
      </w:r>
      <w:r w:rsidR="00D7394A" w:rsidRPr="007E6D53">
        <w:rPr>
          <w:b/>
          <w:bCs/>
          <w:rtl/>
          <w:lang w:val="en-GB"/>
        </w:rPr>
        <w:t>ات</w:t>
      </w:r>
      <w:r w:rsidRPr="00EC792C">
        <w:rPr>
          <w:b/>
          <w:bCs/>
          <w:rtl/>
          <w:lang w:val="en-GB"/>
        </w:rPr>
        <w:t>:</w:t>
      </w:r>
      <w:r w:rsidRPr="00EC792C">
        <w:rPr>
          <w:rtl/>
          <w:lang w:val="en-GB"/>
        </w:rPr>
        <w:t xml:space="preserve"> 1</w:t>
      </w:r>
      <w:r w:rsidR="00826B82" w:rsidRPr="007E6D53">
        <w:rPr>
          <w:rtl/>
          <w:lang w:val="en-GB"/>
        </w:rPr>
        <w:br w:type="page"/>
      </w:r>
    </w:p>
    <w:p w14:paraId="157380CD" w14:textId="77777777" w:rsidR="00EC792C" w:rsidRPr="007E6D53" w:rsidRDefault="00EC792C" w:rsidP="00D7394A">
      <w:pPr>
        <w:pStyle w:val="AnnexNo"/>
        <w:rPr>
          <w:rtl/>
          <w:lang w:val="en-GB" w:bidi="en-GB"/>
        </w:rPr>
      </w:pPr>
      <w:r w:rsidRPr="007E6D53">
        <w:rPr>
          <w:rtl/>
          <w:lang w:val="en-GB"/>
        </w:rPr>
        <w:lastRenderedPageBreak/>
        <w:t>الملحـق A</w:t>
      </w:r>
    </w:p>
    <w:p w14:paraId="0B2100EF" w14:textId="77777777" w:rsidR="00EC792C" w:rsidRPr="007E6D53" w:rsidRDefault="00EC792C" w:rsidP="00D7394A">
      <w:pPr>
        <w:pStyle w:val="Annextitle"/>
        <w:rPr>
          <w:rtl/>
          <w:lang w:val="en-GB" w:bidi="en-GB"/>
        </w:rPr>
      </w:pPr>
      <w:r w:rsidRPr="007E6D53">
        <w:rPr>
          <w:rtl/>
          <w:lang w:val="en-GB"/>
        </w:rPr>
        <w:t>توصيات إلى المجلس</w:t>
      </w:r>
    </w:p>
    <w:p w14:paraId="0C2D76BE" w14:textId="1D260691" w:rsidR="00EC792C" w:rsidRPr="00EC792C" w:rsidRDefault="00EC792C" w:rsidP="00EC792C">
      <w:pPr>
        <w:rPr>
          <w:spacing w:val="-2"/>
          <w:rtl/>
          <w:lang w:val="en-GB" w:bidi="en-GB"/>
        </w:rPr>
      </w:pPr>
      <w:r w:rsidRPr="00EC792C">
        <w:rPr>
          <w:b/>
          <w:bCs/>
          <w:spacing w:val="-2"/>
          <w:rtl/>
          <w:lang w:val="en-GB"/>
        </w:rPr>
        <w:t>1</w:t>
      </w:r>
      <w:r w:rsidRPr="00EC792C">
        <w:rPr>
          <w:spacing w:val="-2"/>
          <w:rtl/>
          <w:lang w:val="en-GB"/>
        </w:rPr>
        <w:tab/>
        <w:t>يوصي الفريق CWG-FHR بأن يكلف المجلس بتلاوة مدونة قواعد سلوك الأمم المتحدة قبل أي اجتماع أو</w:t>
      </w:r>
      <w:r w:rsidR="00D7394A" w:rsidRPr="007E6D53">
        <w:rPr>
          <w:spacing w:val="-2"/>
          <w:rtl/>
          <w:lang w:val="en-GB"/>
        </w:rPr>
        <w:t> </w:t>
      </w:r>
      <w:r w:rsidRPr="00EC792C">
        <w:rPr>
          <w:spacing w:val="-2"/>
          <w:rtl/>
          <w:lang w:val="en-GB"/>
        </w:rPr>
        <w:t>مؤتمر أو جمعية للاتحاد.</w:t>
      </w:r>
    </w:p>
    <w:p w14:paraId="4731070D" w14:textId="02BB4FA3" w:rsidR="00EC792C" w:rsidRPr="00EC792C" w:rsidRDefault="00EC792C" w:rsidP="00EC792C">
      <w:pPr>
        <w:rPr>
          <w:spacing w:val="-2"/>
          <w:rtl/>
          <w:lang w:val="en-GB" w:bidi="en-GB"/>
        </w:rPr>
      </w:pPr>
      <w:r w:rsidRPr="00EC792C">
        <w:rPr>
          <w:b/>
          <w:bCs/>
          <w:spacing w:val="-2"/>
          <w:rtl/>
          <w:lang w:val="en-GB"/>
        </w:rPr>
        <w:t>2</w:t>
      </w:r>
      <w:r w:rsidRPr="00EC792C">
        <w:rPr>
          <w:spacing w:val="-2"/>
          <w:rtl/>
          <w:lang w:val="en-GB"/>
        </w:rPr>
        <w:tab/>
        <w:t>ويوصي الفريق CWG-FHR المجلس بأن يدعو مؤتمر المندوبين المفوضين لعام 2026 (PP-26) إلى دراسة المادة 34 وتزويد الدول الأعضاء بتوجيهات بشأن كيفية النظر فيها.</w:t>
      </w:r>
    </w:p>
    <w:p w14:paraId="3EE8681F" w14:textId="58D0CA19" w:rsidR="00EC792C" w:rsidRPr="00EC792C" w:rsidRDefault="00EC792C" w:rsidP="007E2D5D">
      <w:pPr>
        <w:rPr>
          <w:rtl/>
          <w:lang w:val="en-GB" w:bidi="en-GB"/>
        </w:rPr>
      </w:pPr>
      <w:r w:rsidRPr="00EC792C">
        <w:rPr>
          <w:b/>
          <w:bCs/>
          <w:rtl/>
          <w:lang w:val="en-GB"/>
        </w:rPr>
        <w:t>3</w:t>
      </w:r>
      <w:r w:rsidRPr="00EC792C">
        <w:rPr>
          <w:rtl/>
          <w:lang w:val="en-GB"/>
        </w:rPr>
        <w:tab/>
      </w:r>
      <w:r w:rsidRPr="00EA2024">
        <w:rPr>
          <w:rtl/>
          <w:lang w:val="en-GB"/>
        </w:rPr>
        <w:t>ويوصي</w:t>
      </w:r>
      <w:r w:rsidRPr="00EC792C">
        <w:rPr>
          <w:b/>
          <w:bCs/>
          <w:rtl/>
          <w:lang w:val="en-GB"/>
        </w:rPr>
        <w:t xml:space="preserve"> </w:t>
      </w:r>
      <w:r w:rsidRPr="00EC792C">
        <w:rPr>
          <w:rtl/>
          <w:lang w:val="en-GB"/>
        </w:rPr>
        <w:t xml:space="preserve">الفريق CWG-FHR المجلس في دورته لعام 2026 بأن يخصص مبلغ </w:t>
      </w:r>
      <w:r w:rsidR="007E2D5D" w:rsidRPr="007E6D53">
        <w:rPr>
          <w:lang w:val="en-GB"/>
        </w:rPr>
        <w:t>2 782 600</w:t>
      </w:r>
      <w:r w:rsidRPr="00EC792C">
        <w:rPr>
          <w:rtl/>
          <w:lang w:val="en-GB"/>
        </w:rPr>
        <w:t xml:space="preserve"> فرنك سويسري لصندوق استمرارية الأعمال وألا يستخدم إلا للتعويض عن عقد الاجتماعات في جنيف.</w:t>
      </w:r>
    </w:p>
    <w:p w14:paraId="74EF4467" w14:textId="7CD82CEA" w:rsidR="00EC792C" w:rsidRPr="00EC792C" w:rsidRDefault="00EC792C" w:rsidP="00EC792C">
      <w:pPr>
        <w:rPr>
          <w:rtl/>
          <w:lang w:val="en-GB" w:bidi="en-GB"/>
        </w:rPr>
      </w:pPr>
      <w:r w:rsidRPr="00EC792C">
        <w:rPr>
          <w:b/>
          <w:bCs/>
          <w:rtl/>
          <w:lang w:val="en-GB"/>
        </w:rPr>
        <w:t>4</w:t>
      </w:r>
      <w:r w:rsidRPr="00EC792C">
        <w:rPr>
          <w:rtl/>
          <w:lang w:val="en-GB"/>
        </w:rPr>
        <w:tab/>
        <w:t>ويوصي الفريق CWG-FHR بأن يكلف المجلس الأمانة بتقديم تقرير إلى المجلس بشأن هياكل الحوكمة ومجالس الحوكمة المؤسسية داخل الاتحاد وآثارها المالية.</w:t>
      </w:r>
    </w:p>
    <w:p w14:paraId="1A2006C7" w14:textId="0DAFA02B" w:rsidR="00EC792C" w:rsidRPr="00EC792C" w:rsidRDefault="00EC792C" w:rsidP="00EC792C">
      <w:pPr>
        <w:rPr>
          <w:rtl/>
          <w:lang w:val="en-GB" w:bidi="en-GB"/>
        </w:rPr>
      </w:pPr>
      <w:r w:rsidRPr="00EC792C">
        <w:rPr>
          <w:rtl/>
          <w:lang w:val="en-GB"/>
        </w:rPr>
        <w:t>ويوصي الفريق CWG-FHR بأن يطلب المجلس من الأمانة تزويد أعضاء المجلس بالنتائج والتوصيات وبيان الأعمال الخاصة بجميع الخبراء الاستشاريين المعينين حديثا</w:t>
      </w:r>
      <w:r w:rsidR="000C4D0D" w:rsidRPr="007E6D53">
        <w:rPr>
          <w:rtl/>
          <w:lang w:val="en-GB"/>
        </w:rPr>
        <w:t>ً</w:t>
      </w:r>
      <w:r w:rsidRPr="00EC792C">
        <w:rPr>
          <w:rtl/>
          <w:lang w:val="en-GB"/>
        </w:rPr>
        <w:t>.</w:t>
      </w:r>
    </w:p>
    <w:p w14:paraId="7A9241E7" w14:textId="77777777" w:rsidR="00F50E3F" w:rsidRPr="007E6D53" w:rsidRDefault="00D63735" w:rsidP="00D63735">
      <w:pPr>
        <w:spacing w:before="600"/>
        <w:jc w:val="center"/>
        <w:rPr>
          <w:rtl/>
          <w:lang w:bidi="ar-EG"/>
        </w:rPr>
      </w:pPr>
      <w:r w:rsidRPr="007E6D53">
        <w:rPr>
          <w:rtl/>
          <w:lang w:bidi="ar-EG"/>
        </w:rPr>
        <w:t>ــــــــــــــــــــــــــــــــــــــــــــــــــــــــــــــــــــــــــــــــــــــــــــــــ</w:t>
      </w:r>
    </w:p>
    <w:sectPr w:rsidR="00F50E3F" w:rsidRPr="007E6D53" w:rsidSect="006F363C">
      <w:headerReference w:type="even" r:id="rId190"/>
      <w:headerReference w:type="default" r:id="rId191"/>
      <w:footerReference w:type="even" r:id="rId192"/>
      <w:footerReference w:type="default" r:id="rId193"/>
      <w:headerReference w:type="first" r:id="rId194"/>
      <w:footerReference w:type="first" r:id="rId195"/>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DD7D" w14:textId="77777777" w:rsidR="00DB6025" w:rsidRDefault="00DB6025" w:rsidP="006C3242">
      <w:pPr>
        <w:spacing w:before="0" w:line="240" w:lineRule="auto"/>
      </w:pPr>
      <w:r>
        <w:separator/>
      </w:r>
    </w:p>
  </w:endnote>
  <w:endnote w:type="continuationSeparator" w:id="0">
    <w:p w14:paraId="549DE26F" w14:textId="77777777" w:rsidR="00DB6025" w:rsidRDefault="00DB602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C31B" w14:textId="77777777" w:rsidR="0091194B" w:rsidRDefault="00911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2D49A961" w14:textId="77777777" w:rsidTr="00A67F05">
      <w:trPr>
        <w:jc w:val="center"/>
      </w:trPr>
      <w:tc>
        <w:tcPr>
          <w:tcW w:w="868" w:type="pct"/>
          <w:vAlign w:val="center"/>
        </w:tcPr>
        <w:p w14:paraId="35987A77" w14:textId="14D1D30A" w:rsidR="00F50E3F" w:rsidRPr="007B0AA0" w:rsidRDefault="00EC792C" w:rsidP="0091194B">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Pr>
              <w:rFonts w:ascii="Calibri" w:hAnsi="Calibri" w:cs="Arial"/>
              <w:sz w:val="18"/>
              <w:szCs w:val="14"/>
            </w:rPr>
            <w:t>2600684</w:t>
          </w:r>
        </w:p>
      </w:tc>
      <w:tc>
        <w:tcPr>
          <w:tcW w:w="3912" w:type="pct"/>
        </w:tcPr>
        <w:p w14:paraId="359EF947" w14:textId="5D304CB3" w:rsidR="00F50E3F" w:rsidRPr="007B0AA0" w:rsidRDefault="00F50E3F" w:rsidP="0091194B">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8045CE">
            <w:rPr>
              <w:rFonts w:ascii="Calibri" w:hAnsi="Calibri" w:cs="Arial"/>
              <w:bCs/>
              <w:color w:val="7F7F7F"/>
              <w:sz w:val="18"/>
            </w:rPr>
            <w:t>50</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ECDEEAA" w14:textId="77777777" w:rsidR="00F50E3F" w:rsidRPr="007B0AA0" w:rsidRDefault="00F50E3F" w:rsidP="0091194B">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DF3BBDC"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135F5561" w14:textId="77777777" w:rsidTr="00A67F05">
      <w:trPr>
        <w:jc w:val="center"/>
      </w:trPr>
      <w:tc>
        <w:tcPr>
          <w:tcW w:w="1013" w:type="pct"/>
          <w:vAlign w:val="center"/>
        </w:tcPr>
        <w:p w14:paraId="2C37FBC6" w14:textId="77777777" w:rsidR="007B0AA0" w:rsidRPr="000116AF" w:rsidRDefault="000116AF" w:rsidP="0091194B">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7AC2960B" w14:textId="283878F0" w:rsidR="007B0AA0" w:rsidRPr="007B0AA0" w:rsidRDefault="007B0AA0" w:rsidP="0091194B">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8045CE">
            <w:rPr>
              <w:rFonts w:ascii="Calibri" w:hAnsi="Calibri" w:cs="Arial"/>
              <w:bCs/>
              <w:color w:val="7F7F7F"/>
              <w:sz w:val="18"/>
            </w:rPr>
            <w:t>50</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6033044" w14:textId="77777777" w:rsidR="007B0AA0" w:rsidRPr="007B0AA0" w:rsidRDefault="00F50E3F" w:rsidP="0091194B">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B5B3850"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42C0D" w14:textId="77777777" w:rsidR="00DB6025" w:rsidRDefault="00DB6025" w:rsidP="006C3242">
      <w:pPr>
        <w:spacing w:before="0" w:line="240" w:lineRule="auto"/>
      </w:pPr>
      <w:r>
        <w:separator/>
      </w:r>
    </w:p>
  </w:footnote>
  <w:footnote w:type="continuationSeparator" w:id="0">
    <w:p w14:paraId="4AEE93AD" w14:textId="77777777" w:rsidR="00DB6025" w:rsidRDefault="00DB6025"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DFB6" w14:textId="77777777" w:rsidR="0091194B" w:rsidRDefault="00911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04FE" w14:textId="77777777" w:rsidR="0091194B" w:rsidRDefault="009119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FC7A" w14:textId="77777777" w:rsidR="001A3E13" w:rsidRPr="00057769" w:rsidRDefault="001A3E13" w:rsidP="001A3E13">
    <w:pPr>
      <w:pStyle w:val="Header"/>
    </w:pPr>
    <w:r>
      <w:rPr>
        <w:noProof/>
      </w:rPr>
      <w:drawing>
        <wp:inline distT="0" distB="0" distL="0" distR="0" wp14:anchorId="22D40029" wp14:editId="3A16DA2B">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0D"/>
    <w:rsid w:val="000001DB"/>
    <w:rsid w:val="000116AF"/>
    <w:rsid w:val="000337F6"/>
    <w:rsid w:val="00052E2C"/>
    <w:rsid w:val="00053CEB"/>
    <w:rsid w:val="00055F1F"/>
    <w:rsid w:val="0006468A"/>
    <w:rsid w:val="00066DB4"/>
    <w:rsid w:val="00066DF0"/>
    <w:rsid w:val="000717E2"/>
    <w:rsid w:val="00075DA2"/>
    <w:rsid w:val="00077A58"/>
    <w:rsid w:val="00090574"/>
    <w:rsid w:val="00092663"/>
    <w:rsid w:val="00092DC9"/>
    <w:rsid w:val="000A4E77"/>
    <w:rsid w:val="000B628A"/>
    <w:rsid w:val="000C1C0E"/>
    <w:rsid w:val="000C4D0D"/>
    <w:rsid w:val="000C548A"/>
    <w:rsid w:val="000D137C"/>
    <w:rsid w:val="000F7887"/>
    <w:rsid w:val="00105979"/>
    <w:rsid w:val="001078F6"/>
    <w:rsid w:val="001320B4"/>
    <w:rsid w:val="0015254E"/>
    <w:rsid w:val="001552E0"/>
    <w:rsid w:val="00156316"/>
    <w:rsid w:val="00160A26"/>
    <w:rsid w:val="00167380"/>
    <w:rsid w:val="00182490"/>
    <w:rsid w:val="0018493B"/>
    <w:rsid w:val="00191059"/>
    <w:rsid w:val="001A256A"/>
    <w:rsid w:val="001A3E13"/>
    <w:rsid w:val="001B5144"/>
    <w:rsid w:val="001B6E2B"/>
    <w:rsid w:val="001C0169"/>
    <w:rsid w:val="001C0C21"/>
    <w:rsid w:val="001C1114"/>
    <w:rsid w:val="001D1D50"/>
    <w:rsid w:val="001D64C7"/>
    <w:rsid w:val="001D6600"/>
    <w:rsid w:val="001D6745"/>
    <w:rsid w:val="001E446E"/>
    <w:rsid w:val="00211982"/>
    <w:rsid w:val="002154EE"/>
    <w:rsid w:val="0022752D"/>
    <w:rsid w:val="002276D2"/>
    <w:rsid w:val="0023283D"/>
    <w:rsid w:val="002367FD"/>
    <w:rsid w:val="00236E39"/>
    <w:rsid w:val="00252B91"/>
    <w:rsid w:val="00254393"/>
    <w:rsid w:val="0026373E"/>
    <w:rsid w:val="002670C7"/>
    <w:rsid w:val="00270B0C"/>
    <w:rsid w:val="00271C43"/>
    <w:rsid w:val="002740F0"/>
    <w:rsid w:val="00290728"/>
    <w:rsid w:val="002978F4"/>
    <w:rsid w:val="002B028D"/>
    <w:rsid w:val="002C2976"/>
    <w:rsid w:val="002C3F32"/>
    <w:rsid w:val="002D0AB7"/>
    <w:rsid w:val="002E6541"/>
    <w:rsid w:val="002F1F92"/>
    <w:rsid w:val="00303082"/>
    <w:rsid w:val="00334924"/>
    <w:rsid w:val="00335658"/>
    <w:rsid w:val="003409BC"/>
    <w:rsid w:val="003503C7"/>
    <w:rsid w:val="0035055C"/>
    <w:rsid w:val="00351F50"/>
    <w:rsid w:val="00352E82"/>
    <w:rsid w:val="00357185"/>
    <w:rsid w:val="00365BC8"/>
    <w:rsid w:val="00380B48"/>
    <w:rsid w:val="00383829"/>
    <w:rsid w:val="003A2A1E"/>
    <w:rsid w:val="003D1901"/>
    <w:rsid w:val="003E66DC"/>
    <w:rsid w:val="003F4B29"/>
    <w:rsid w:val="003F5694"/>
    <w:rsid w:val="00404CB7"/>
    <w:rsid w:val="00410B26"/>
    <w:rsid w:val="00420F8A"/>
    <w:rsid w:val="004220D8"/>
    <w:rsid w:val="0042686F"/>
    <w:rsid w:val="004317D8"/>
    <w:rsid w:val="0043260A"/>
    <w:rsid w:val="00433BB4"/>
    <w:rsid w:val="00434183"/>
    <w:rsid w:val="00443869"/>
    <w:rsid w:val="00445B9B"/>
    <w:rsid w:val="00447F32"/>
    <w:rsid w:val="00491BA9"/>
    <w:rsid w:val="00494119"/>
    <w:rsid w:val="004A4701"/>
    <w:rsid w:val="004B7334"/>
    <w:rsid w:val="004E11DC"/>
    <w:rsid w:val="005130DE"/>
    <w:rsid w:val="00513157"/>
    <w:rsid w:val="00525DDD"/>
    <w:rsid w:val="005409AC"/>
    <w:rsid w:val="005434E0"/>
    <w:rsid w:val="005440C7"/>
    <w:rsid w:val="005546CF"/>
    <w:rsid w:val="0055516A"/>
    <w:rsid w:val="00575939"/>
    <w:rsid w:val="005800AC"/>
    <w:rsid w:val="0058070D"/>
    <w:rsid w:val="0058491B"/>
    <w:rsid w:val="00592EA5"/>
    <w:rsid w:val="0059485C"/>
    <w:rsid w:val="005A3170"/>
    <w:rsid w:val="005A4085"/>
    <w:rsid w:val="005A6CB3"/>
    <w:rsid w:val="005B4356"/>
    <w:rsid w:val="005B6518"/>
    <w:rsid w:val="005F2069"/>
    <w:rsid w:val="006261E5"/>
    <w:rsid w:val="00632AEA"/>
    <w:rsid w:val="00633151"/>
    <w:rsid w:val="00640BB2"/>
    <w:rsid w:val="00657019"/>
    <w:rsid w:val="00660DEA"/>
    <w:rsid w:val="00666518"/>
    <w:rsid w:val="00677396"/>
    <w:rsid w:val="00683F16"/>
    <w:rsid w:val="0069200F"/>
    <w:rsid w:val="0069712B"/>
    <w:rsid w:val="006A65CB"/>
    <w:rsid w:val="006B12E5"/>
    <w:rsid w:val="006B262D"/>
    <w:rsid w:val="006B6E9A"/>
    <w:rsid w:val="006C3242"/>
    <w:rsid w:val="006C6C2D"/>
    <w:rsid w:val="006C7CC0"/>
    <w:rsid w:val="006D06E9"/>
    <w:rsid w:val="006F363C"/>
    <w:rsid w:val="006F63F7"/>
    <w:rsid w:val="007025C7"/>
    <w:rsid w:val="00703366"/>
    <w:rsid w:val="00706D7A"/>
    <w:rsid w:val="00713A61"/>
    <w:rsid w:val="00716390"/>
    <w:rsid w:val="00722F0D"/>
    <w:rsid w:val="007240FF"/>
    <w:rsid w:val="00735081"/>
    <w:rsid w:val="007436FA"/>
    <w:rsid w:val="0074420E"/>
    <w:rsid w:val="007648A6"/>
    <w:rsid w:val="0077110E"/>
    <w:rsid w:val="00775BFD"/>
    <w:rsid w:val="00776380"/>
    <w:rsid w:val="007805E2"/>
    <w:rsid w:val="007831B0"/>
    <w:rsid w:val="00783E26"/>
    <w:rsid w:val="00784C52"/>
    <w:rsid w:val="007A22F8"/>
    <w:rsid w:val="007A6684"/>
    <w:rsid w:val="007B0AA0"/>
    <w:rsid w:val="007C3BC7"/>
    <w:rsid w:val="007C3BCD"/>
    <w:rsid w:val="007D171B"/>
    <w:rsid w:val="007D4ACF"/>
    <w:rsid w:val="007D4F3C"/>
    <w:rsid w:val="007E2D5D"/>
    <w:rsid w:val="007E3A7B"/>
    <w:rsid w:val="007E6D53"/>
    <w:rsid w:val="007F0787"/>
    <w:rsid w:val="008045CE"/>
    <w:rsid w:val="00810B7B"/>
    <w:rsid w:val="0082358A"/>
    <w:rsid w:val="008235CD"/>
    <w:rsid w:val="008247DE"/>
    <w:rsid w:val="00826B82"/>
    <w:rsid w:val="008339C0"/>
    <w:rsid w:val="00840B10"/>
    <w:rsid w:val="00843EF3"/>
    <w:rsid w:val="008513CB"/>
    <w:rsid w:val="0086460B"/>
    <w:rsid w:val="008704D9"/>
    <w:rsid w:val="00874E9F"/>
    <w:rsid w:val="008A2E8A"/>
    <w:rsid w:val="008A723B"/>
    <w:rsid w:val="008A7F84"/>
    <w:rsid w:val="008D57EA"/>
    <w:rsid w:val="008D7728"/>
    <w:rsid w:val="008D79F1"/>
    <w:rsid w:val="008E25AF"/>
    <w:rsid w:val="008E339A"/>
    <w:rsid w:val="0091194B"/>
    <w:rsid w:val="00914350"/>
    <w:rsid w:val="0091702E"/>
    <w:rsid w:val="00923B0C"/>
    <w:rsid w:val="00924F46"/>
    <w:rsid w:val="00925886"/>
    <w:rsid w:val="00935AAC"/>
    <w:rsid w:val="0093725D"/>
    <w:rsid w:val="00937B4C"/>
    <w:rsid w:val="0094021C"/>
    <w:rsid w:val="00952F86"/>
    <w:rsid w:val="00956031"/>
    <w:rsid w:val="00956BBC"/>
    <w:rsid w:val="00965D1D"/>
    <w:rsid w:val="0096716C"/>
    <w:rsid w:val="00967EF2"/>
    <w:rsid w:val="00970D1C"/>
    <w:rsid w:val="00982B28"/>
    <w:rsid w:val="009868AC"/>
    <w:rsid w:val="00990D1C"/>
    <w:rsid w:val="00993DEA"/>
    <w:rsid w:val="009A0702"/>
    <w:rsid w:val="009D1477"/>
    <w:rsid w:val="009D313F"/>
    <w:rsid w:val="009E3820"/>
    <w:rsid w:val="009E67B6"/>
    <w:rsid w:val="00A1535E"/>
    <w:rsid w:val="00A15B79"/>
    <w:rsid w:val="00A44BF5"/>
    <w:rsid w:val="00A45930"/>
    <w:rsid w:val="00A47A5A"/>
    <w:rsid w:val="00A51C0E"/>
    <w:rsid w:val="00A57411"/>
    <w:rsid w:val="00A63AE6"/>
    <w:rsid w:val="00A6683B"/>
    <w:rsid w:val="00A67F05"/>
    <w:rsid w:val="00A71473"/>
    <w:rsid w:val="00A759C6"/>
    <w:rsid w:val="00A93704"/>
    <w:rsid w:val="00A97F94"/>
    <w:rsid w:val="00AA7EA2"/>
    <w:rsid w:val="00AB5A56"/>
    <w:rsid w:val="00AC0B7D"/>
    <w:rsid w:val="00AD3D4C"/>
    <w:rsid w:val="00AD4D0E"/>
    <w:rsid w:val="00AE1AA8"/>
    <w:rsid w:val="00AE4A93"/>
    <w:rsid w:val="00AF5BDE"/>
    <w:rsid w:val="00B00709"/>
    <w:rsid w:val="00B03099"/>
    <w:rsid w:val="00B05BC8"/>
    <w:rsid w:val="00B21DF3"/>
    <w:rsid w:val="00B26989"/>
    <w:rsid w:val="00B30F5E"/>
    <w:rsid w:val="00B45941"/>
    <w:rsid w:val="00B50B44"/>
    <w:rsid w:val="00B5629B"/>
    <w:rsid w:val="00B64B47"/>
    <w:rsid w:val="00B67757"/>
    <w:rsid w:val="00B73E27"/>
    <w:rsid w:val="00B82F03"/>
    <w:rsid w:val="00B95654"/>
    <w:rsid w:val="00B97F32"/>
    <w:rsid w:val="00BA04B2"/>
    <w:rsid w:val="00BB6E6B"/>
    <w:rsid w:val="00BC7BA4"/>
    <w:rsid w:val="00BE15EA"/>
    <w:rsid w:val="00BE1C60"/>
    <w:rsid w:val="00BF023E"/>
    <w:rsid w:val="00BF376E"/>
    <w:rsid w:val="00BF3AA3"/>
    <w:rsid w:val="00C002DE"/>
    <w:rsid w:val="00C02AE4"/>
    <w:rsid w:val="00C0602B"/>
    <w:rsid w:val="00C224DA"/>
    <w:rsid w:val="00C23C7C"/>
    <w:rsid w:val="00C32647"/>
    <w:rsid w:val="00C4615D"/>
    <w:rsid w:val="00C50A46"/>
    <w:rsid w:val="00C53BF8"/>
    <w:rsid w:val="00C60F42"/>
    <w:rsid w:val="00C636C8"/>
    <w:rsid w:val="00C66157"/>
    <w:rsid w:val="00C674FE"/>
    <w:rsid w:val="00C67501"/>
    <w:rsid w:val="00C75633"/>
    <w:rsid w:val="00C77376"/>
    <w:rsid w:val="00C87918"/>
    <w:rsid w:val="00C91D4D"/>
    <w:rsid w:val="00CA7F2C"/>
    <w:rsid w:val="00CC1278"/>
    <w:rsid w:val="00CC367B"/>
    <w:rsid w:val="00CC7AB2"/>
    <w:rsid w:val="00CD38F0"/>
    <w:rsid w:val="00CD731F"/>
    <w:rsid w:val="00CD76C4"/>
    <w:rsid w:val="00CE2EE1"/>
    <w:rsid w:val="00CE3349"/>
    <w:rsid w:val="00CE36E5"/>
    <w:rsid w:val="00CE4360"/>
    <w:rsid w:val="00CF27F5"/>
    <w:rsid w:val="00CF3FFD"/>
    <w:rsid w:val="00D01513"/>
    <w:rsid w:val="00D10CCF"/>
    <w:rsid w:val="00D13941"/>
    <w:rsid w:val="00D23F5F"/>
    <w:rsid w:val="00D25D1C"/>
    <w:rsid w:val="00D34B57"/>
    <w:rsid w:val="00D34D69"/>
    <w:rsid w:val="00D43F7D"/>
    <w:rsid w:val="00D607D3"/>
    <w:rsid w:val="00D63735"/>
    <w:rsid w:val="00D7394A"/>
    <w:rsid w:val="00D77261"/>
    <w:rsid w:val="00D77D0F"/>
    <w:rsid w:val="00DA1CF0"/>
    <w:rsid w:val="00DA6A30"/>
    <w:rsid w:val="00DB6025"/>
    <w:rsid w:val="00DC1E02"/>
    <w:rsid w:val="00DC24B4"/>
    <w:rsid w:val="00DC5FB0"/>
    <w:rsid w:val="00DD53B3"/>
    <w:rsid w:val="00DF0BA9"/>
    <w:rsid w:val="00DF16DC"/>
    <w:rsid w:val="00E04710"/>
    <w:rsid w:val="00E04A37"/>
    <w:rsid w:val="00E3316E"/>
    <w:rsid w:val="00E370DB"/>
    <w:rsid w:val="00E45211"/>
    <w:rsid w:val="00E46C95"/>
    <w:rsid w:val="00E473C5"/>
    <w:rsid w:val="00E61BE8"/>
    <w:rsid w:val="00E83FF1"/>
    <w:rsid w:val="00E92863"/>
    <w:rsid w:val="00E96ED0"/>
    <w:rsid w:val="00E979B2"/>
    <w:rsid w:val="00EA2024"/>
    <w:rsid w:val="00EA2BEA"/>
    <w:rsid w:val="00EB6374"/>
    <w:rsid w:val="00EB796D"/>
    <w:rsid w:val="00EC1E9F"/>
    <w:rsid w:val="00EC792C"/>
    <w:rsid w:val="00F01F23"/>
    <w:rsid w:val="00F058DC"/>
    <w:rsid w:val="00F14140"/>
    <w:rsid w:val="00F2438E"/>
    <w:rsid w:val="00F24FC4"/>
    <w:rsid w:val="00F2676C"/>
    <w:rsid w:val="00F363FE"/>
    <w:rsid w:val="00F36563"/>
    <w:rsid w:val="00F50E3F"/>
    <w:rsid w:val="00F84366"/>
    <w:rsid w:val="00F85089"/>
    <w:rsid w:val="00F87E7E"/>
    <w:rsid w:val="00F974C5"/>
    <w:rsid w:val="00FA249C"/>
    <w:rsid w:val="00FA2D7B"/>
    <w:rsid w:val="00FA3763"/>
    <w:rsid w:val="00FA6F46"/>
    <w:rsid w:val="00FB4820"/>
    <w:rsid w:val="00FB63C5"/>
    <w:rsid w:val="00FB7891"/>
    <w:rsid w:val="00FC0E94"/>
    <w:rsid w:val="00FC4592"/>
    <w:rsid w:val="00FD527F"/>
    <w:rsid w:val="00FD73DE"/>
    <w:rsid w:val="00FE5872"/>
    <w:rsid w:val="00FE67BD"/>
    <w:rsid w:val="00FE7FCA"/>
    <w:rsid w:val="00FF66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D7FD6"/>
  <w15:chartTrackingRefBased/>
  <w15:docId w15:val="{B9407344-3FBD-4646-A366-0546E5BB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
    <w:basedOn w:val="DefaultParagraphFont"/>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customStyle="1" w:styleId="Tabletext">
    <w:name w:val="Table_text"/>
    <w:basedOn w:val="Normal"/>
    <w:rsid w:val="00C50A46"/>
    <w:pPr>
      <w:tabs>
        <w:tab w:val="clear" w:pos="794"/>
      </w:tabs>
      <w:overflowPunct w:val="0"/>
      <w:autoSpaceDE w:val="0"/>
      <w:autoSpaceDN w:val="0"/>
      <w:bidi w:val="0"/>
      <w:adjustRightInd w:val="0"/>
      <w:spacing w:before="40" w:after="40" w:line="240" w:lineRule="auto"/>
      <w:jc w:val="left"/>
      <w:textAlignment w:val="baseline"/>
    </w:pPr>
    <w:rPr>
      <w:rFonts w:ascii="Calibri" w:eastAsia="Times New Roman" w:hAnsi="Calibri" w:cs="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6-CWGFHR22-C-0030/en" TargetMode="External"/><Relationship Id="rId21" Type="http://schemas.openxmlformats.org/officeDocument/2006/relationships/hyperlink" Target="https://www.itu.int/md/S25-CWGFHR21-C-0002/en" TargetMode="External"/><Relationship Id="rId42" Type="http://schemas.openxmlformats.org/officeDocument/2006/relationships/hyperlink" Target="https://www.itu.int/md/S25-CWGFHR21-C-0005/en" TargetMode="External"/><Relationship Id="rId63" Type="http://schemas.openxmlformats.org/officeDocument/2006/relationships/hyperlink" Target="https://www.itu.int/md/S26-CWGFHR22-C-0008/en" TargetMode="External"/><Relationship Id="rId84" Type="http://schemas.openxmlformats.org/officeDocument/2006/relationships/hyperlink" Target="https://www.itu.int/md/S25-CWGFHR21-C-0017/en" TargetMode="External"/><Relationship Id="rId138" Type="http://schemas.openxmlformats.org/officeDocument/2006/relationships/hyperlink" Target="https://www.itu.int/md/S26-CWGFHR22-C-0027/en" TargetMode="External"/><Relationship Id="rId159" Type="http://schemas.openxmlformats.org/officeDocument/2006/relationships/hyperlink" Target="https://www.itu.int/md/S25-CL-C-0035/en" TargetMode="External"/><Relationship Id="rId170" Type="http://schemas.openxmlformats.org/officeDocument/2006/relationships/hyperlink" Target="https://www.itu.int/md/S26-CWGFHR22-C-0021/en" TargetMode="External"/><Relationship Id="rId191" Type="http://schemas.openxmlformats.org/officeDocument/2006/relationships/header" Target="header2.xml"/><Relationship Id="rId107" Type="http://schemas.openxmlformats.org/officeDocument/2006/relationships/hyperlink" Target="https://www.itu.int/md/S26-CWGFHR22-C-0012/en" TargetMode="External"/><Relationship Id="rId11" Type="http://schemas.openxmlformats.org/officeDocument/2006/relationships/hyperlink" Target="https://www.itu.int/md/S26-CWGFHR22-C-0036/en" TargetMode="External"/><Relationship Id="rId32" Type="http://schemas.openxmlformats.org/officeDocument/2006/relationships/hyperlink" Target="https://www.itu.int/md/S25-CWGFHR21-C-0004/en" TargetMode="External"/><Relationship Id="rId53" Type="http://schemas.openxmlformats.org/officeDocument/2006/relationships/hyperlink" Target="https://www.itu.int/md/S25-CWGFHR21-C-0021/en" TargetMode="External"/><Relationship Id="rId74" Type="http://schemas.openxmlformats.org/officeDocument/2006/relationships/hyperlink" Target="https://www.itu.int/md/S26-CWGFHR22-C-0023/en" TargetMode="External"/><Relationship Id="rId128" Type="http://schemas.openxmlformats.org/officeDocument/2006/relationships/hyperlink" Target="https://www.itu.int/md/S25-CWGFHR21-C-0020/en" TargetMode="External"/><Relationship Id="rId149" Type="http://schemas.openxmlformats.org/officeDocument/2006/relationships/hyperlink" Target="https://www.itu.int/md/S26-CWGFHR22-C-0006/en" TargetMode="External"/><Relationship Id="rId5" Type="http://schemas.openxmlformats.org/officeDocument/2006/relationships/webSettings" Target="webSettings.xml"/><Relationship Id="rId95" Type="http://schemas.openxmlformats.org/officeDocument/2006/relationships/hyperlink" Target="https://www.itu.int/md/S26-CWGFHR22-C-0019/en" TargetMode="External"/><Relationship Id="rId160" Type="http://schemas.openxmlformats.org/officeDocument/2006/relationships/hyperlink" Target="https://www.itu.int/md/S25-CWGFHR21-C-0016/en" TargetMode="External"/><Relationship Id="rId181" Type="http://schemas.openxmlformats.org/officeDocument/2006/relationships/hyperlink" Target="https://www.itu.int/md/S26-CWGFHR22-C-0020/en" TargetMode="External"/><Relationship Id="rId22" Type="http://schemas.openxmlformats.org/officeDocument/2006/relationships/hyperlink" Target="https://www.itu.int/en/ethics/pages/default.aspx" TargetMode="External"/><Relationship Id="rId43" Type="http://schemas.openxmlformats.org/officeDocument/2006/relationships/hyperlink" Target="https://www.itu.int/md/S25-CWGFHR21-C-0006/en" TargetMode="External"/><Relationship Id="rId64" Type="http://schemas.openxmlformats.org/officeDocument/2006/relationships/hyperlink" Target="https://www.itu.int/md/S26-CWGFHR22-C-0008/en" TargetMode="External"/><Relationship Id="rId118" Type="http://schemas.openxmlformats.org/officeDocument/2006/relationships/hyperlink" Target="https://www.itu.int/md/S26-CWGFHR22-C-0015/en" TargetMode="External"/><Relationship Id="rId139" Type="http://schemas.openxmlformats.org/officeDocument/2006/relationships/hyperlink" Target="https://www.itu.int/md/S26-CWGFHR22-C-0027/en" TargetMode="External"/><Relationship Id="rId85" Type="http://schemas.openxmlformats.org/officeDocument/2006/relationships/hyperlink" Target="https://www.itu.int/md/S25-CWGFHR21-C-0017/en" TargetMode="External"/><Relationship Id="rId150" Type="http://schemas.openxmlformats.org/officeDocument/2006/relationships/hyperlink" Target="https://www.itu.int/md/S26-CWGFHR22-INF-0002/en" TargetMode="External"/><Relationship Id="rId171" Type="http://schemas.openxmlformats.org/officeDocument/2006/relationships/hyperlink" Target="https://www.itu.int/md/S26-CWGFHR22-C-0021/en" TargetMode="External"/><Relationship Id="rId192" Type="http://schemas.openxmlformats.org/officeDocument/2006/relationships/footer" Target="footer1.xml"/><Relationship Id="rId12" Type="http://schemas.openxmlformats.org/officeDocument/2006/relationships/hyperlink" Target="https://www.itu.int/md/S23-CL-C-0129/en" TargetMode="External"/><Relationship Id="rId33" Type="http://schemas.openxmlformats.org/officeDocument/2006/relationships/hyperlink" Target="https://www.itu.int/md/S26-CWGFHR22-C-0004/en" TargetMode="External"/><Relationship Id="rId108" Type="http://schemas.openxmlformats.org/officeDocument/2006/relationships/hyperlink" Target="https://www.itu.int/md/S25-CWGFHR21-C-0011/en" TargetMode="External"/><Relationship Id="rId129" Type="http://schemas.openxmlformats.org/officeDocument/2006/relationships/hyperlink" Target="https://www.itu.int/md/S26-CWGFHR22-C-0002/en" TargetMode="External"/><Relationship Id="rId54" Type="http://schemas.openxmlformats.org/officeDocument/2006/relationships/hyperlink" Target="https://www.itu.int/md/S26-CWGFHR22-C-0022/en" TargetMode="External"/><Relationship Id="rId75" Type="http://schemas.openxmlformats.org/officeDocument/2006/relationships/hyperlink" Target="https://www.itu.int/md/S26-CWGFHR22-C-0023/en" TargetMode="External"/><Relationship Id="rId96" Type="http://schemas.openxmlformats.org/officeDocument/2006/relationships/hyperlink" Target="https://www.itu.int/md/S25-CL-C-0085/en" TargetMode="External"/><Relationship Id="rId140" Type="http://schemas.openxmlformats.org/officeDocument/2006/relationships/hyperlink" Target="https://www.itu.int/md/S26-CWGFHR22-C-0029/en" TargetMode="External"/><Relationship Id="rId161" Type="http://schemas.openxmlformats.org/officeDocument/2006/relationships/hyperlink" Target="https://www.itu.int/md/S25-CL-C-0035/en" TargetMode="External"/><Relationship Id="rId182" Type="http://schemas.openxmlformats.org/officeDocument/2006/relationships/hyperlink" Target="https://www.itu.int/md/S26-CWGFHR22-C-0026/en" TargetMode="External"/><Relationship Id="rId6" Type="http://schemas.openxmlformats.org/officeDocument/2006/relationships/footnotes" Target="footnotes.xml"/><Relationship Id="rId23" Type="http://schemas.openxmlformats.org/officeDocument/2006/relationships/hyperlink" Target="https://www.itu.int/en/ethics/pages/default.aspx" TargetMode="External"/><Relationship Id="rId119" Type="http://schemas.openxmlformats.org/officeDocument/2006/relationships/hyperlink" Target="https://www.itu.int/md/S26-CWGFHR22-C-0017/en" TargetMode="External"/><Relationship Id="rId44" Type="http://schemas.openxmlformats.org/officeDocument/2006/relationships/hyperlink" Target="https://www.itu.int/md/S26-CWGFHR22-C-0008/en" TargetMode="External"/><Relationship Id="rId65" Type="http://schemas.openxmlformats.org/officeDocument/2006/relationships/hyperlink" Target="https://www.itu.int/md/S26-CWGFHR22-C-0008/en" TargetMode="External"/><Relationship Id="rId86" Type="http://schemas.openxmlformats.org/officeDocument/2006/relationships/hyperlink" Target="https://www.itu.int/md/S25-CWGFHR21-C-0023/en" TargetMode="External"/><Relationship Id="rId130" Type="http://schemas.openxmlformats.org/officeDocument/2006/relationships/hyperlink" Target="https://www.itu.int/md/S25-CWGFHR21-C-0020/en" TargetMode="External"/><Relationship Id="rId151" Type="http://schemas.openxmlformats.org/officeDocument/2006/relationships/hyperlink" Target="https://www.itu.int/md/S26-CWGFHR22-INF-0002/en" TargetMode="External"/><Relationship Id="rId172" Type="http://schemas.openxmlformats.org/officeDocument/2006/relationships/hyperlink" Target="https://www.itu.int/md/S26-CWGFHR22-C-0021/en" TargetMode="External"/><Relationship Id="rId193" Type="http://schemas.openxmlformats.org/officeDocument/2006/relationships/footer" Target="footer2.xml"/><Relationship Id="rId13" Type="http://schemas.openxmlformats.org/officeDocument/2006/relationships/hyperlink" Target="https://www.itu.int/md/S25-CWGFHR21-INF-0003/en" TargetMode="External"/><Relationship Id="rId109" Type="http://schemas.openxmlformats.org/officeDocument/2006/relationships/hyperlink" Target="https://www.itu.int/md/S26-CWGFHR22-C-0015/en" TargetMode="External"/><Relationship Id="rId34" Type="http://schemas.openxmlformats.org/officeDocument/2006/relationships/hyperlink" Target="https://www.itu.int/md/S26-CWGFHR22-C-0031/en" TargetMode="External"/><Relationship Id="rId55" Type="http://schemas.openxmlformats.org/officeDocument/2006/relationships/hyperlink" Target="https://www.itu.int/md/S26-CWGFHR22-C-0008/en" TargetMode="External"/><Relationship Id="rId76" Type="http://schemas.openxmlformats.org/officeDocument/2006/relationships/hyperlink" Target="https://www.itu.int/md/S26-CWGFHR22-C-0028/en" TargetMode="External"/><Relationship Id="rId97" Type="http://schemas.openxmlformats.org/officeDocument/2006/relationships/hyperlink" Target="https://www.itu.int/md/S26-CWGFHR22-C-0010/en" TargetMode="External"/><Relationship Id="rId120" Type="http://schemas.openxmlformats.org/officeDocument/2006/relationships/hyperlink" Target="https://www.itu.int/md/S26-CWGFHR22-C-0030/en" TargetMode="External"/><Relationship Id="rId141" Type="http://schemas.openxmlformats.org/officeDocument/2006/relationships/hyperlink" Target="https://www.itu.int/md/S26-CWGFHR22-C-0029/en" TargetMode="External"/><Relationship Id="rId7" Type="http://schemas.openxmlformats.org/officeDocument/2006/relationships/endnotes" Target="endnotes.xml"/><Relationship Id="rId71" Type="http://schemas.openxmlformats.org/officeDocument/2006/relationships/hyperlink" Target="https://www.itu.int/md/S26-CWGFHR22-C-0013/en" TargetMode="External"/><Relationship Id="rId92" Type="http://schemas.openxmlformats.org/officeDocument/2006/relationships/hyperlink" Target="https://www.itu.int/md/S25-CL-C-0095/en" TargetMode="External"/><Relationship Id="rId162" Type="http://schemas.openxmlformats.org/officeDocument/2006/relationships/hyperlink" Target="https://www.itu.int/md/S25-CWGFHR21-C-0022/en" TargetMode="External"/><Relationship Id="rId183" Type="http://schemas.openxmlformats.org/officeDocument/2006/relationships/hyperlink" Target="https://www.itu.int/md/S26-CWGFHR22-C-0026/en" TargetMode="External"/><Relationship Id="rId2" Type="http://schemas.openxmlformats.org/officeDocument/2006/relationships/numbering" Target="numbering.xml"/><Relationship Id="rId29" Type="http://schemas.openxmlformats.org/officeDocument/2006/relationships/hyperlink" Target="https://www.itu.int/md/S26-CWGFHR22-C-0007/en" TargetMode="External"/><Relationship Id="rId24" Type="http://schemas.openxmlformats.org/officeDocument/2006/relationships/hyperlink" Target="https://www.itu.int/md/S25-CWGFHR21-C-0003/en" TargetMode="External"/><Relationship Id="rId40" Type="http://schemas.openxmlformats.org/officeDocument/2006/relationships/hyperlink" Target="https://www.itu.int/md/S26-CWGFHR22-C-0031/en" TargetMode="External"/><Relationship Id="rId45" Type="http://schemas.openxmlformats.org/officeDocument/2006/relationships/hyperlink" Target="https://www.itu.int/md/S26-CWGFHR22-C-0005/en" TargetMode="External"/><Relationship Id="rId66" Type="http://schemas.openxmlformats.org/officeDocument/2006/relationships/hyperlink" Target="https://www.itu.int/md/S25-CWGFHR21-C-0010/en" TargetMode="External"/><Relationship Id="rId87" Type="http://schemas.openxmlformats.org/officeDocument/2006/relationships/hyperlink" Target="https://www.itu.int/md/S25-CWGFHR21-C-0023/en" TargetMode="External"/><Relationship Id="rId110" Type="http://schemas.openxmlformats.org/officeDocument/2006/relationships/hyperlink" Target="https://www.itu.int/md/S26-CWGFHR22-C-0017/en" TargetMode="External"/><Relationship Id="rId115" Type="http://schemas.openxmlformats.org/officeDocument/2006/relationships/hyperlink" Target="https://www.itu.int/md/S26-CWGFHR22-C-0030/en" TargetMode="External"/><Relationship Id="rId131" Type="http://schemas.openxmlformats.org/officeDocument/2006/relationships/hyperlink" Target="https://www.itu.int/md/S26-CWGFHR22-C-0002/en" TargetMode="External"/><Relationship Id="rId136" Type="http://schemas.openxmlformats.org/officeDocument/2006/relationships/hyperlink" Target="https://www.itu.int/md/S26-CWGFHR22-C-0002/en" TargetMode="External"/><Relationship Id="rId157" Type="http://schemas.openxmlformats.org/officeDocument/2006/relationships/hyperlink" Target="https://www.itu.int/md/S25-CWGFHR21-C-0016/en" TargetMode="External"/><Relationship Id="rId178" Type="http://schemas.openxmlformats.org/officeDocument/2006/relationships/hyperlink" Target="https://www.itu.int/md/S26-CWGFHR22-C-0025/en" TargetMode="External"/><Relationship Id="rId61" Type="http://schemas.openxmlformats.org/officeDocument/2006/relationships/hyperlink" Target="https://www.itu.int/md/S26-CWGFHR22-C-0024/en" TargetMode="External"/><Relationship Id="rId82" Type="http://schemas.openxmlformats.org/officeDocument/2006/relationships/hyperlink" Target="https://www.itu.int/md/S25-CWGFHR21-C-0015/en" TargetMode="External"/><Relationship Id="rId152" Type="http://schemas.openxmlformats.org/officeDocument/2006/relationships/hyperlink" Target="https://www.itu.int/md/S25-CWGFHR21-C-0019/en" TargetMode="External"/><Relationship Id="rId173" Type="http://schemas.openxmlformats.org/officeDocument/2006/relationships/hyperlink" Target="https://www.itu.int/md/S26-CWGFHR22-C-0021/en" TargetMode="External"/><Relationship Id="rId194" Type="http://schemas.openxmlformats.org/officeDocument/2006/relationships/header" Target="header3.xml"/><Relationship Id="rId19" Type="http://schemas.openxmlformats.org/officeDocument/2006/relationships/hyperlink" Target="https://www.itu.int/md/S25-CWGFHR21-INF-0002/en" TargetMode="External"/><Relationship Id="rId14" Type="http://schemas.openxmlformats.org/officeDocument/2006/relationships/hyperlink" Target="https://www.itu.int/md/S25-CWGFHR21-INF-0003/en" TargetMode="External"/><Relationship Id="rId30" Type="http://schemas.openxmlformats.org/officeDocument/2006/relationships/hyperlink" Target="https://www.itu.int/md/S26-CWGFHR22-C-0007/en" TargetMode="External"/><Relationship Id="rId35" Type="http://schemas.openxmlformats.org/officeDocument/2006/relationships/hyperlink" Target="https://www.itu.int/md/S25-CWGFHR21-C-0004/en" TargetMode="External"/><Relationship Id="rId56" Type="http://schemas.openxmlformats.org/officeDocument/2006/relationships/hyperlink" Target="https://www.itu.int/md/S26-CWGFHR22-C-0005/en" TargetMode="External"/><Relationship Id="rId77" Type="http://schemas.openxmlformats.org/officeDocument/2006/relationships/hyperlink" Target="https://www.itu.int/md/S26-CWGFHR22-C-0028/en" TargetMode="External"/><Relationship Id="rId100" Type="http://schemas.openxmlformats.org/officeDocument/2006/relationships/hyperlink" Target="https://www.itu.int/md/S26-CWGFHR22-C-0010/en" TargetMode="External"/><Relationship Id="rId105" Type="http://schemas.openxmlformats.org/officeDocument/2006/relationships/hyperlink" Target="https://www.itu.int/md/S26-CWGFHR22-C-0010/en" TargetMode="External"/><Relationship Id="rId126" Type="http://schemas.openxmlformats.org/officeDocument/2006/relationships/hyperlink" Target="https://www.itu.int/md/S25-CL-C-0084/en" TargetMode="External"/><Relationship Id="rId147" Type="http://schemas.openxmlformats.org/officeDocument/2006/relationships/hyperlink" Target="https://www.itu.int/md/S26-CWGFHR22-C-0006/en" TargetMode="External"/><Relationship Id="rId168" Type="http://schemas.openxmlformats.org/officeDocument/2006/relationships/hyperlink" Target="https://www.itu.int/md/S25-CWGFHR21-C-0016/en" TargetMode="External"/><Relationship Id="rId8" Type="http://schemas.openxmlformats.org/officeDocument/2006/relationships/hyperlink" Target="https://www.itu.int/md/S25-CWGFHR21-C-0025/en" TargetMode="External"/><Relationship Id="rId51" Type="http://schemas.openxmlformats.org/officeDocument/2006/relationships/hyperlink" Target="https://www.itu.int/md/S25-CWGFHR21-C-0021/en" TargetMode="External"/><Relationship Id="rId72" Type="http://schemas.openxmlformats.org/officeDocument/2006/relationships/hyperlink" Target="https://www.itu.int/md/S26-CWGFHR22-C-0023/en" TargetMode="External"/><Relationship Id="rId93" Type="http://schemas.openxmlformats.org/officeDocument/2006/relationships/hyperlink" Target="https://www.itu.int/md/S25-CL-C-0095/en" TargetMode="External"/><Relationship Id="rId98" Type="http://schemas.openxmlformats.org/officeDocument/2006/relationships/hyperlink" Target="https://www.itu.int/md/S26-CWGFHR22-C-0012/en" TargetMode="External"/><Relationship Id="rId121" Type="http://schemas.openxmlformats.org/officeDocument/2006/relationships/hyperlink" Target="https://www.itu.int/md/S26-CWGFHR22-C-0015/en" TargetMode="External"/><Relationship Id="rId142" Type="http://schemas.openxmlformats.org/officeDocument/2006/relationships/hyperlink" Target="https://www.itu.int/md/S26-CWGFHR22-C-0032/en" TargetMode="External"/><Relationship Id="rId163" Type="http://schemas.openxmlformats.org/officeDocument/2006/relationships/hyperlink" Target="https://www.itu.int/md/S25-CWGFHR21-C-0022/en" TargetMode="External"/><Relationship Id="rId184" Type="http://schemas.openxmlformats.org/officeDocument/2006/relationships/hyperlink" Target="https://www.itu.int/md/S26-CWGFHR22-C-0003/en" TargetMode="External"/><Relationship Id="rId189" Type="http://schemas.openxmlformats.org/officeDocument/2006/relationships/hyperlink" Target="https://www.itu.int/md/S25-CWGFHR21-C-0024/en" TargetMode="External"/><Relationship Id="rId3" Type="http://schemas.openxmlformats.org/officeDocument/2006/relationships/styles" Target="styles.xml"/><Relationship Id="rId25" Type="http://schemas.openxmlformats.org/officeDocument/2006/relationships/hyperlink" Target="https://www.itu.int/md/S26-CWGFHR22-C-0013/en" TargetMode="External"/><Relationship Id="rId46" Type="http://schemas.openxmlformats.org/officeDocument/2006/relationships/hyperlink" Target="https://www.itu.int/md/S25-CWGFHR21-C-0005/en" TargetMode="External"/><Relationship Id="rId67" Type="http://schemas.openxmlformats.org/officeDocument/2006/relationships/hyperlink" Target="https://www.itu.int/md/S26-CWGFHR22-C-0013/en" TargetMode="External"/><Relationship Id="rId116" Type="http://schemas.openxmlformats.org/officeDocument/2006/relationships/hyperlink" Target="https://www.itu.int/md/S26-CWGFHR22-C-0030/en" TargetMode="External"/><Relationship Id="rId137" Type="http://schemas.openxmlformats.org/officeDocument/2006/relationships/hyperlink" Target="https://www.itu.int/md/S26-CWGFHR22-C-0002/en" TargetMode="External"/><Relationship Id="rId158" Type="http://schemas.openxmlformats.org/officeDocument/2006/relationships/hyperlink" Target="https://www.itu.int/md/S25-CWGFHR21-C-0016/en" TargetMode="External"/><Relationship Id="rId20" Type="http://schemas.openxmlformats.org/officeDocument/2006/relationships/hyperlink" Target="https://www.itu.int/md/S25-CWGFHR21-C-0002/en" TargetMode="External"/><Relationship Id="rId41" Type="http://schemas.openxmlformats.org/officeDocument/2006/relationships/hyperlink" Target="https://www.itu.int/md/S26-CWGFHR22-C-0031/en" TargetMode="External"/><Relationship Id="rId62" Type="http://schemas.openxmlformats.org/officeDocument/2006/relationships/hyperlink" Target="https://www.itu.int/md/S26-CWGFHR22-C-0008/en" TargetMode="External"/><Relationship Id="rId83" Type="http://schemas.openxmlformats.org/officeDocument/2006/relationships/hyperlink" Target="https://www.itu.int/md/S25-CWGFHR21-C-0015/en" TargetMode="External"/><Relationship Id="rId88" Type="http://schemas.openxmlformats.org/officeDocument/2006/relationships/hyperlink" Target="https://www.itu.int/md/S25-CWGFHR21-C-0008/en" TargetMode="External"/><Relationship Id="rId111" Type="http://schemas.openxmlformats.org/officeDocument/2006/relationships/hyperlink" Target="https://www.itu.int/md/S25-CWGFHR21-C-0011/en" TargetMode="External"/><Relationship Id="rId132" Type="http://schemas.openxmlformats.org/officeDocument/2006/relationships/hyperlink" Target="https://www.itu.int/md/S25-CWGFHR21-C-0020/en" TargetMode="External"/><Relationship Id="rId153" Type="http://schemas.openxmlformats.org/officeDocument/2006/relationships/hyperlink" Target="https://www.itu.int/md/S26-CWGFHR22-C-0011/en" TargetMode="External"/><Relationship Id="rId174" Type="http://schemas.openxmlformats.org/officeDocument/2006/relationships/hyperlink" Target="https://www.itu.int/md/S26-CWGFHR22-C-0025/en" TargetMode="External"/><Relationship Id="rId179" Type="http://schemas.openxmlformats.org/officeDocument/2006/relationships/hyperlink" Target="https://www.itu.int/md/S26-CWGFHR22-INF-0007/en" TargetMode="External"/><Relationship Id="rId195" Type="http://schemas.openxmlformats.org/officeDocument/2006/relationships/footer" Target="footer3.xml"/><Relationship Id="rId190" Type="http://schemas.openxmlformats.org/officeDocument/2006/relationships/header" Target="header1.xml"/><Relationship Id="rId15" Type="http://schemas.openxmlformats.org/officeDocument/2006/relationships/hyperlink" Target="https://www.itu.int/md/S26-CWGFHR22-INF-0004/en" TargetMode="External"/><Relationship Id="rId36" Type="http://schemas.openxmlformats.org/officeDocument/2006/relationships/hyperlink" Target="https://www.itu.int/md/S26-CWGFHR22-C-0004/en" TargetMode="External"/><Relationship Id="rId57" Type="http://schemas.openxmlformats.org/officeDocument/2006/relationships/hyperlink" Target="https://www.itu.int/md/S26-CWGFHR22-C-0022/en" TargetMode="External"/><Relationship Id="rId106" Type="http://schemas.openxmlformats.org/officeDocument/2006/relationships/hyperlink" Target="https://www.itu.int/md/S26-CWGFHR22-C-0012/en" TargetMode="External"/><Relationship Id="rId127" Type="http://schemas.openxmlformats.org/officeDocument/2006/relationships/hyperlink" Target="https://www.itu.int/md/S25-CL-C-0084/en" TargetMode="External"/><Relationship Id="rId10" Type="http://schemas.openxmlformats.org/officeDocument/2006/relationships/hyperlink" Target="https://www.itu.int/md/S25-CWGFHR21-C-0025/en" TargetMode="External"/><Relationship Id="rId31" Type="http://schemas.openxmlformats.org/officeDocument/2006/relationships/hyperlink" Target="https://www.itu.int/md/S26-CWGFHR22-C-0007/en" TargetMode="External"/><Relationship Id="rId52" Type="http://schemas.openxmlformats.org/officeDocument/2006/relationships/hyperlink" Target="https://www.itu.int/md/S25-CWGFHR21-C-0018/en" TargetMode="External"/><Relationship Id="rId73" Type="http://schemas.openxmlformats.org/officeDocument/2006/relationships/hyperlink" Target="https://www.itu.int/md/S26-CWGFHR22-C-0028/en" TargetMode="External"/><Relationship Id="rId78" Type="http://schemas.openxmlformats.org/officeDocument/2006/relationships/hyperlink" Target="https://www.itu.int/md/S25-CWGFHR21-C-0007/en" TargetMode="External"/><Relationship Id="rId94" Type="http://schemas.openxmlformats.org/officeDocument/2006/relationships/hyperlink" Target="https://www.itu.int/md/S26-CWGFHR22-C-0019/en" TargetMode="External"/><Relationship Id="rId99" Type="http://schemas.openxmlformats.org/officeDocument/2006/relationships/hyperlink" Target="https://www.itu.int/md/S25-CL-C-0085/en" TargetMode="External"/><Relationship Id="rId101" Type="http://schemas.openxmlformats.org/officeDocument/2006/relationships/hyperlink" Target="https://www.itu.int/md/S26-CWGFHR22-C-0012/en" TargetMode="External"/><Relationship Id="rId122" Type="http://schemas.openxmlformats.org/officeDocument/2006/relationships/hyperlink" Target="https://www.itu.int/md/S26-CWGFHR22-C-0017/en" TargetMode="External"/><Relationship Id="rId143" Type="http://schemas.openxmlformats.org/officeDocument/2006/relationships/hyperlink" Target="https://www.itu.int/md/S26-CWGFHR22-C-0032/en" TargetMode="External"/><Relationship Id="rId148" Type="http://schemas.openxmlformats.org/officeDocument/2006/relationships/hyperlink" Target="https://www.itu.int/md/S25-CWGFHR21-C-0013/en" TargetMode="External"/><Relationship Id="rId164" Type="http://schemas.openxmlformats.org/officeDocument/2006/relationships/hyperlink" Target="https://www.itu.int/md/S25-CWGFHR21-C-0022/en" TargetMode="External"/><Relationship Id="rId169" Type="http://schemas.openxmlformats.org/officeDocument/2006/relationships/hyperlink" Target="https://www.itu.int/md/S25-CL-C-0035/en" TargetMode="External"/><Relationship Id="rId185" Type="http://schemas.openxmlformats.org/officeDocument/2006/relationships/hyperlink" Target="https://www.itu.int/md/S26-CWGFHR22-C-0003/en" TargetMode="External"/><Relationship Id="rId4" Type="http://schemas.openxmlformats.org/officeDocument/2006/relationships/settings" Target="settings.xml"/><Relationship Id="rId9" Type="http://schemas.openxmlformats.org/officeDocument/2006/relationships/hyperlink" Target="https://www.itu.int/md/S26-CWGFHR22-C-0036/en" TargetMode="External"/><Relationship Id="rId180" Type="http://schemas.openxmlformats.org/officeDocument/2006/relationships/hyperlink" Target="https://www.itu.int/md/S26-CWGFHR22-C-0020/en" TargetMode="External"/><Relationship Id="rId26" Type="http://schemas.openxmlformats.org/officeDocument/2006/relationships/hyperlink" Target="https://www.itu.int/md/S26-CWGFHR22-C-0007/en" TargetMode="External"/><Relationship Id="rId47" Type="http://schemas.openxmlformats.org/officeDocument/2006/relationships/hyperlink" Target="https://www.itu.int/md/S25-CWGFHR21-C-0006/en" TargetMode="External"/><Relationship Id="rId68" Type="http://schemas.openxmlformats.org/officeDocument/2006/relationships/hyperlink" Target="https://www.itu.int/md/S26-CWGFHR22-C-0023/en" TargetMode="External"/><Relationship Id="rId89" Type="http://schemas.openxmlformats.org/officeDocument/2006/relationships/hyperlink" Target="https://www.itu.int/md/S26-CWGFHR22-C-0019/en" TargetMode="External"/><Relationship Id="rId112" Type="http://schemas.openxmlformats.org/officeDocument/2006/relationships/hyperlink" Target="https://www.itu.int/md/S26-CWGFHR22-C-0015/en" TargetMode="External"/><Relationship Id="rId133" Type="http://schemas.openxmlformats.org/officeDocument/2006/relationships/hyperlink" Target="https://www.itu.int/md/S25-CWGFHR21-C-0020/en" TargetMode="External"/><Relationship Id="rId154" Type="http://schemas.openxmlformats.org/officeDocument/2006/relationships/hyperlink" Target="https://www.itu.int/md/S25-CWGFHR21-C-0019/en" TargetMode="External"/><Relationship Id="rId175" Type="http://schemas.openxmlformats.org/officeDocument/2006/relationships/hyperlink" Target="https://www.itu.int/md/S26-CWGFHR22-C-0025/en" TargetMode="External"/><Relationship Id="rId196" Type="http://schemas.openxmlformats.org/officeDocument/2006/relationships/fontTable" Target="fontTable.xml"/><Relationship Id="rId16" Type="http://schemas.openxmlformats.org/officeDocument/2006/relationships/hyperlink" Target="https://www.itu.int/md/S25-CWGFHR21-C-0002/en" TargetMode="External"/><Relationship Id="rId37" Type="http://schemas.openxmlformats.org/officeDocument/2006/relationships/hyperlink" Target="https://www.itu.int/md/S26-CWGFHR22-C-0031/en" TargetMode="External"/><Relationship Id="rId58" Type="http://schemas.openxmlformats.org/officeDocument/2006/relationships/hyperlink" Target="https://www.itu.int/md/S26-CWGFHR22-C-0008/en" TargetMode="External"/><Relationship Id="rId79" Type="http://schemas.openxmlformats.org/officeDocument/2006/relationships/hyperlink" Target="https://www.itu.int/md/S26-CWGFHR22-C-0009/en" TargetMode="External"/><Relationship Id="rId102" Type="http://schemas.openxmlformats.org/officeDocument/2006/relationships/hyperlink" Target="https://www.itu.int/md/S25-CL-C-0085/en" TargetMode="External"/><Relationship Id="rId123" Type="http://schemas.openxmlformats.org/officeDocument/2006/relationships/hyperlink" Target="https://www.itu.int/md/S26-CWGFHR22-C-0030/en" TargetMode="External"/><Relationship Id="rId144" Type="http://schemas.openxmlformats.org/officeDocument/2006/relationships/hyperlink" Target="https://www.itu.int/md/S26-CWGFHR22-C-0033/en" TargetMode="External"/><Relationship Id="rId90" Type="http://schemas.openxmlformats.org/officeDocument/2006/relationships/hyperlink" Target="https://www.itu.int/md/S25-CWGFHR21-C-0008/en" TargetMode="External"/><Relationship Id="rId165" Type="http://schemas.openxmlformats.org/officeDocument/2006/relationships/hyperlink" Target="https://www.itu.int/md/S25-CWGFHR21-C-0016/en" TargetMode="External"/><Relationship Id="rId186" Type="http://schemas.openxmlformats.org/officeDocument/2006/relationships/hyperlink" Target="https://www.itu.int/md/S25-CL-C-0038/en" TargetMode="External"/><Relationship Id="rId27" Type="http://schemas.openxmlformats.org/officeDocument/2006/relationships/hyperlink" Target="https://www.itu.int/md/S25-CWGFHR21-C-0003/en" TargetMode="External"/><Relationship Id="rId48" Type="http://schemas.openxmlformats.org/officeDocument/2006/relationships/hyperlink" Target="https://www.itu.int/md/S26-CWGFHR22-C-0008/en" TargetMode="External"/><Relationship Id="rId69" Type="http://schemas.openxmlformats.org/officeDocument/2006/relationships/hyperlink" Target="https://www.itu.int/md/S26-CWGFHR22-C-0028/en" TargetMode="External"/><Relationship Id="rId113" Type="http://schemas.openxmlformats.org/officeDocument/2006/relationships/hyperlink" Target="https://www.itu.int/md/S26-CWGFHR22-C-0017/en" TargetMode="External"/><Relationship Id="rId134" Type="http://schemas.openxmlformats.org/officeDocument/2006/relationships/hyperlink" Target="http://council.itu.int/2026/wp-content/uploads/sites/6/2025/12/Satellite-Network-Filings-cwg-fhr-16-December-2025.pptx" TargetMode="External"/><Relationship Id="rId80" Type="http://schemas.openxmlformats.org/officeDocument/2006/relationships/hyperlink" Target="https://www.itu.int/md/S25-CWGFHR21-C-0007/en" TargetMode="External"/><Relationship Id="rId155" Type="http://schemas.openxmlformats.org/officeDocument/2006/relationships/hyperlink" Target="https://www.itu.int/md/S26-CWGFHR22-C-0011/en" TargetMode="External"/><Relationship Id="rId176" Type="http://schemas.openxmlformats.org/officeDocument/2006/relationships/hyperlink" Target="https://www.itu.int/md/S26-CWGFHR22-C-0025/en" TargetMode="External"/><Relationship Id="rId197" Type="http://schemas.openxmlformats.org/officeDocument/2006/relationships/theme" Target="theme/theme1.xml"/><Relationship Id="rId17" Type="http://schemas.openxmlformats.org/officeDocument/2006/relationships/hyperlink" Target="https://www.itu.int/md/S25-CWGFHR21-INF-0002/en" TargetMode="External"/><Relationship Id="rId38" Type="http://schemas.openxmlformats.org/officeDocument/2006/relationships/hyperlink" Target="https://www.itu.int/md/S26-CWGFHR22-C-0004/en" TargetMode="External"/><Relationship Id="rId59" Type="http://schemas.openxmlformats.org/officeDocument/2006/relationships/hyperlink" Target="https://www.itu.int/md/S26-CWGFHR22-C-0005/en" TargetMode="External"/><Relationship Id="rId103" Type="http://schemas.openxmlformats.org/officeDocument/2006/relationships/hyperlink" Target="https://www.itu.int/md/S25-CL-C-0085/en" TargetMode="External"/><Relationship Id="rId124" Type="http://schemas.openxmlformats.org/officeDocument/2006/relationships/hyperlink" Target="https://www.itu.int/md/S26-CWGFHR22-C-0014/en" TargetMode="External"/><Relationship Id="rId70" Type="http://schemas.openxmlformats.org/officeDocument/2006/relationships/hyperlink" Target="https://www.itu.int/md/S25-CWGFHR21-C-0010/en" TargetMode="External"/><Relationship Id="rId91" Type="http://schemas.openxmlformats.org/officeDocument/2006/relationships/hyperlink" Target="https://www.itu.int/md/S26-CWGFHR22-C-0019/en" TargetMode="External"/><Relationship Id="rId145" Type="http://schemas.openxmlformats.org/officeDocument/2006/relationships/hyperlink" Target="https://www.itu.int/md/S26-CWGFHR22-C-0033/en" TargetMode="External"/><Relationship Id="rId166" Type="http://schemas.openxmlformats.org/officeDocument/2006/relationships/hyperlink" Target="https://www.itu.int/md/S25-CL-C-0035/en" TargetMode="External"/><Relationship Id="rId187" Type="http://schemas.openxmlformats.org/officeDocument/2006/relationships/hyperlink" Target="https://www.itu.int/md/S25-CL-C-0038/en" TargetMode="External"/><Relationship Id="rId1" Type="http://schemas.openxmlformats.org/officeDocument/2006/relationships/customXml" Target="../customXml/item1.xml"/><Relationship Id="rId28" Type="http://schemas.openxmlformats.org/officeDocument/2006/relationships/hyperlink" Target="https://www.itu.int/md/S26-CWGFHR22-C-0013/en" TargetMode="External"/><Relationship Id="rId49" Type="http://schemas.openxmlformats.org/officeDocument/2006/relationships/hyperlink" Target="https://www.itu.int/md/S26-CWGFHR22-C-0005/en" TargetMode="External"/><Relationship Id="rId114" Type="http://schemas.openxmlformats.org/officeDocument/2006/relationships/hyperlink" Target="https://www.itu.int/md/S26-CWGFHR22-C-0030/en" TargetMode="External"/><Relationship Id="rId60" Type="http://schemas.openxmlformats.org/officeDocument/2006/relationships/hyperlink" Target="https://www.itu.int/md/S26-CWGFHR22-C-0024/en" TargetMode="External"/><Relationship Id="rId81" Type="http://schemas.openxmlformats.org/officeDocument/2006/relationships/hyperlink" Target="https://www.itu.int/md/S26-CWGFHR22-C-0009/en" TargetMode="External"/><Relationship Id="rId135" Type="http://schemas.openxmlformats.org/officeDocument/2006/relationships/hyperlink" Target="http://council.itu.int/2026/wp-content/uploads/sites/6/2025/12/Satellite-Network-Filings-cwg-fhr-16-December-2025.pptx" TargetMode="External"/><Relationship Id="rId156" Type="http://schemas.openxmlformats.org/officeDocument/2006/relationships/hyperlink" Target="https://www.itu.int/md/S25-CWGFHR21-C-0016/en" TargetMode="External"/><Relationship Id="rId177" Type="http://schemas.openxmlformats.org/officeDocument/2006/relationships/hyperlink" Target="https://www.itu.int/md/S26-CWGFHR22-INF-0007/en" TargetMode="External"/><Relationship Id="rId18" Type="http://schemas.openxmlformats.org/officeDocument/2006/relationships/hyperlink" Target="https://www.itu.int/md/S25-CWGFHR21-C-0002/en" TargetMode="External"/><Relationship Id="rId39" Type="http://schemas.openxmlformats.org/officeDocument/2006/relationships/hyperlink" Target="https://www.itu.int/md/S26-CWGFHR22-C-0004/en" TargetMode="External"/><Relationship Id="rId50" Type="http://schemas.openxmlformats.org/officeDocument/2006/relationships/hyperlink" Target="https://www.itu.int/md/S25-CWGFHR21-C-0018/en" TargetMode="External"/><Relationship Id="rId104" Type="http://schemas.openxmlformats.org/officeDocument/2006/relationships/hyperlink" Target="https://www.itu.int/md/S26-CWGFHR22-C-0010/en" TargetMode="External"/><Relationship Id="rId125" Type="http://schemas.openxmlformats.org/officeDocument/2006/relationships/hyperlink" Target="https://www.itu.int/md/S26-CWGFHR22-C-0014/en" TargetMode="External"/><Relationship Id="rId146" Type="http://schemas.openxmlformats.org/officeDocument/2006/relationships/hyperlink" Target="https://www.itu.int/md/S25-CWGFHR21-C-0013/en" TargetMode="External"/><Relationship Id="rId167" Type="http://schemas.openxmlformats.org/officeDocument/2006/relationships/hyperlink" Target="https://www.itu.int/md/S25-CWGFHR21-C-0022/en" TargetMode="External"/><Relationship Id="rId188" Type="http://schemas.openxmlformats.org/officeDocument/2006/relationships/hyperlink" Target="https://www.itu.int/md/S25-CWGFHR21-C-0024/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19</Pages>
  <Words>9071</Words>
  <Characters>61677</Characters>
  <Application>Microsoft Office Word</Application>
  <DocSecurity>0</DocSecurity>
  <Lines>1163</Lines>
  <Paragraphs>491</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70257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outcomes of the 21st and 22nd meetings of the Council Working Group on financial and human resources</dc:title>
  <dc:subject>ITU Council 2026</dc:subject>
  <cp:keywords>C26; C2026; Council 2026; PP26</cp:keywords>
  <dc:description/>
  <dcterms:created xsi:type="dcterms:W3CDTF">2026-04-21T16:31:00Z</dcterms:created>
  <dcterms:modified xsi:type="dcterms:W3CDTF">2026-04-21T16:31:00Z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