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5AC62C59"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013B59">
              <w:rPr>
                <w:b/>
              </w:rPr>
              <w:t>ADM 1</w:t>
            </w:r>
          </w:p>
        </w:tc>
        <w:tc>
          <w:tcPr>
            <w:tcW w:w="5245" w:type="dxa"/>
          </w:tcPr>
          <w:p w14:paraId="627B15D6" w14:textId="0C15E846"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013B59">
              <w:rPr>
                <w:b/>
              </w:rPr>
              <w:t>46</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2388061" w:rsidR="00AD3606" w:rsidRPr="00C0458D" w:rsidRDefault="00963990" w:rsidP="00954C49">
            <w:pPr>
              <w:tabs>
                <w:tab w:val="left" w:pos="851"/>
              </w:tabs>
              <w:spacing w:before="0"/>
              <w:jc w:val="right"/>
              <w:rPr>
                <w:b/>
              </w:rPr>
            </w:pPr>
            <w:r>
              <w:rPr>
                <w:b/>
              </w:rPr>
              <w:t>2</w:t>
            </w:r>
            <w:r w:rsidR="00DF6551">
              <w:rPr>
                <w:b/>
              </w:rPr>
              <w:t>7</w:t>
            </w:r>
            <w:r>
              <w:rPr>
                <w:b/>
              </w:rPr>
              <w:t xml:space="preserve"> March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79899B4F" w:rsidR="00AD3606" w:rsidRPr="00176F47" w:rsidRDefault="00963990" w:rsidP="00963990">
            <w:pPr>
              <w:pStyle w:val="Subtitle"/>
              <w:framePr w:hSpace="0" w:wrap="auto" w:hAnchor="text" w:xAlign="left" w:yAlign="inline"/>
            </w:pPr>
            <w:bookmarkStart w:id="9" w:name="_Hlk163638570"/>
            <w:bookmarkStart w:id="10" w:name="dtitle1" w:colFirst="0" w:colLast="0"/>
            <w:bookmarkEnd w:id="8"/>
            <w:r w:rsidRPr="00963990">
              <w:t>THE AFTER-SERVICE HEALTH INSURANCE (ASHI) LIABILITY</w:t>
            </w:r>
            <w:bookmarkEnd w:id="9"/>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1384EBE8" w:rsidR="00AD3606" w:rsidRPr="00C0458D" w:rsidRDefault="00963990" w:rsidP="00963990">
            <w:pPr>
              <w:jc w:val="both"/>
            </w:pPr>
            <w:r w:rsidRPr="00963990">
              <w:t>This document presents the situation of the after-service health insurance (ASHI) liability as of 31 December 2025, in line with the request made by the Council at its 2014 session to receive annual reports from ITU on the ASHI liability.</w:t>
            </w:r>
          </w:p>
          <w:p w14:paraId="5D3228C6" w14:textId="77777777" w:rsidR="00AD3606" w:rsidRDefault="00AD3606" w:rsidP="00963990">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0D4888F3" w:rsidR="00722551" w:rsidRDefault="00963990" w:rsidP="00963990">
            <w:pPr>
              <w:jc w:val="both"/>
            </w:pPr>
            <w:r w:rsidRPr="00963990">
              <w:rPr>
                <w:spacing w:val="2"/>
              </w:rPr>
              <w:t xml:space="preserve">The Council is invited to </w:t>
            </w:r>
            <w:r w:rsidRPr="00963990">
              <w:rPr>
                <w:b/>
                <w:bCs/>
                <w:spacing w:val="2"/>
              </w:rPr>
              <w:t xml:space="preserve">take note </w:t>
            </w:r>
            <w:r w:rsidRPr="00963990">
              <w:rPr>
                <w:spacing w:val="2"/>
              </w:rPr>
              <w:t>of this document and to approve the draft decision in</w:t>
            </w:r>
            <w:r w:rsidRPr="00963990">
              <w:t xml:space="preserve"> </w:t>
            </w:r>
            <w:hyperlink w:anchor="Annex_A" w:history="1">
              <w:r w:rsidRPr="00963990">
                <w:rPr>
                  <w:rStyle w:val="Hyperlink"/>
                </w:rPr>
                <w:t>Annex A</w:t>
              </w:r>
            </w:hyperlink>
            <w:r w:rsidRPr="00963990">
              <w:t xml:space="preserve"> of this document.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75C78B2F" w:rsidR="00722551" w:rsidRPr="00F16BAB" w:rsidRDefault="00963990" w:rsidP="00963990">
            <w:r w:rsidRPr="00963990">
              <w:t>n/a</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75C2976C" w:rsidR="00453079" w:rsidRPr="00453079" w:rsidRDefault="00963990" w:rsidP="00963990">
            <w:pPr>
              <w:spacing w:before="160"/>
              <w:rPr>
                <w:szCs w:val="24"/>
              </w:rPr>
            </w:pPr>
            <w:r w:rsidRPr="00963990">
              <w:rPr>
                <w:szCs w:val="24"/>
              </w:rPr>
              <w:t xml:space="preserve">Within the </w:t>
            </w:r>
            <w:r w:rsidRPr="002D3268">
              <w:rPr>
                <w:szCs w:val="24"/>
              </w:rPr>
              <w:t>allocated budget 202</w:t>
            </w:r>
            <w:r w:rsidR="002D3268">
              <w:rPr>
                <w:szCs w:val="24"/>
              </w:rPr>
              <w:t>4</w:t>
            </w:r>
            <w:r w:rsidRPr="002D3268">
              <w:rPr>
                <w:szCs w:val="24"/>
              </w:rPr>
              <w:t>-202</w:t>
            </w:r>
            <w:r w:rsidR="002D3268">
              <w:rPr>
                <w:szCs w:val="24"/>
              </w:rPr>
              <w:t>5</w:t>
            </w:r>
            <w:r w:rsidRPr="002D3268">
              <w:rPr>
                <w:szCs w:val="24"/>
              </w:rPr>
              <w: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44B2C2FB" w:rsidR="00AD3606" w:rsidRPr="00722551" w:rsidRDefault="00963990" w:rsidP="00963990">
            <w:pPr>
              <w:spacing w:after="160"/>
              <w:rPr>
                <w:i/>
                <w:iCs/>
                <w:sz w:val="22"/>
                <w:szCs w:val="22"/>
              </w:rPr>
            </w:pPr>
            <w:r w:rsidRPr="00963990">
              <w:rPr>
                <w:i/>
                <w:iCs/>
                <w:sz w:val="22"/>
                <w:szCs w:val="22"/>
              </w:rPr>
              <w:t xml:space="preserve">Document </w:t>
            </w:r>
            <w:hyperlink r:id="rId11" w:history="1">
              <w:r w:rsidRPr="00963990">
                <w:rPr>
                  <w:rStyle w:val="Hyperlink"/>
                  <w:i/>
                  <w:iCs/>
                  <w:sz w:val="22"/>
                  <w:szCs w:val="22"/>
                </w:rPr>
                <w:t>C24/46</w:t>
              </w:r>
            </w:hyperlink>
            <w:r w:rsidRPr="00963990">
              <w:rPr>
                <w:i/>
                <w:iCs/>
                <w:sz w:val="22"/>
                <w:szCs w:val="22"/>
              </w:rPr>
              <w:t xml:space="preserve"> and </w:t>
            </w:r>
            <w:hyperlink r:id="rId12" w:history="1">
              <w:r w:rsidRPr="00963990">
                <w:rPr>
                  <w:rStyle w:val="Hyperlink"/>
                  <w:i/>
                  <w:iCs/>
                  <w:sz w:val="22"/>
                  <w:szCs w:val="22"/>
                </w:rPr>
                <w:t>Decision 5</w:t>
              </w:r>
            </w:hyperlink>
            <w:r w:rsidRPr="00963990">
              <w:rPr>
                <w:i/>
                <w:iCs/>
                <w:sz w:val="22"/>
                <w:szCs w:val="22"/>
              </w:rPr>
              <w:t xml:space="preserve"> (Rev. Bucharest, 2022) of the Plenipotentiary Conference</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3CB02025" w14:textId="77777777" w:rsidR="00963990" w:rsidRPr="00963990" w:rsidRDefault="00963990" w:rsidP="00963990">
      <w:pPr>
        <w:keepNext/>
        <w:keepLines/>
        <w:spacing w:before="360"/>
        <w:ind w:left="567" w:hanging="567"/>
        <w:outlineLvl w:val="0"/>
        <w:rPr>
          <w:b/>
          <w:sz w:val="28"/>
        </w:rPr>
      </w:pPr>
      <w:r w:rsidRPr="00963990">
        <w:rPr>
          <w:b/>
          <w:sz w:val="28"/>
        </w:rPr>
        <w:lastRenderedPageBreak/>
        <w:t>1</w:t>
      </w:r>
      <w:r w:rsidRPr="00963990">
        <w:rPr>
          <w:b/>
          <w:sz w:val="28"/>
        </w:rPr>
        <w:tab/>
        <w:t>Introduction</w:t>
      </w:r>
    </w:p>
    <w:p w14:paraId="4BCE1218" w14:textId="77777777" w:rsidR="00963990" w:rsidRPr="00963990" w:rsidRDefault="00963990" w:rsidP="00963990">
      <w:pPr>
        <w:jc w:val="both"/>
      </w:pPr>
      <w:r w:rsidRPr="00963990">
        <w:t>1.1</w:t>
      </w:r>
      <w:r w:rsidRPr="00963990">
        <w:tab/>
        <w:t>In 2010, ITU net assets have evolved from a positive to a negative balance due to the way the after-service health insurance (ASHI) obligation is treated under the International Public Sector Accounting Standards (IPSAS) rules, which require mandatory recognition of the present value of the future obligation.</w:t>
      </w:r>
    </w:p>
    <w:p w14:paraId="3B98F6B7" w14:textId="77777777" w:rsidR="00963990" w:rsidRPr="00963990" w:rsidRDefault="00963990" w:rsidP="00963990">
      <w:pPr>
        <w:jc w:val="both"/>
      </w:pPr>
      <w:r w:rsidRPr="00963990">
        <w:t>1.2</w:t>
      </w:r>
      <w:r w:rsidRPr="00963990">
        <w:tab/>
        <w:t>The self-funded ASHI programme, set up in 1967, allows eligible employees to keep their health insurance after retirement. The growing number of retirees covered, and the ever higher medical costs have led to a significant increase in programme costs, which are shared between the Union and the staff.</w:t>
      </w:r>
    </w:p>
    <w:p w14:paraId="763D95B5" w14:textId="77777777" w:rsidR="00963990" w:rsidRPr="00963990" w:rsidRDefault="00963990" w:rsidP="00963990">
      <w:pPr>
        <w:jc w:val="both"/>
      </w:pPr>
      <w:r w:rsidRPr="00963990">
        <w:t>1.3</w:t>
      </w:r>
      <w:r w:rsidRPr="00963990">
        <w:tab/>
        <w:t>The ASHI liability is calculated as the present value of what ITU would have to pay in the event of cessation of activity at the closing date. Although such a situation is highly improbable, the Union is aiming at increasing the fund coverage and thus reducing the related obligation. Actions set out in Section 4 have been taken to return to a situation where the health insurance plan achieves surpluses so that it can both ensure coverage of current benefits on a pay-as-you-go basis and allocate resources to cover the actuarial liability for future obligations.</w:t>
      </w:r>
    </w:p>
    <w:p w14:paraId="33A528AE" w14:textId="77777777" w:rsidR="00963990" w:rsidRPr="00963990" w:rsidRDefault="00963990" w:rsidP="00963990">
      <w:pPr>
        <w:keepNext/>
        <w:keepLines/>
        <w:spacing w:before="360"/>
        <w:ind w:left="567" w:hanging="567"/>
        <w:outlineLvl w:val="0"/>
        <w:rPr>
          <w:b/>
          <w:sz w:val="28"/>
        </w:rPr>
      </w:pPr>
      <w:r w:rsidRPr="00963990">
        <w:rPr>
          <w:b/>
          <w:sz w:val="28"/>
        </w:rPr>
        <w:t>2</w:t>
      </w:r>
      <w:r w:rsidRPr="00963990">
        <w:rPr>
          <w:b/>
          <w:sz w:val="28"/>
        </w:rPr>
        <w:tab/>
        <w:t>Health medical plan in place at ITU</w:t>
      </w:r>
    </w:p>
    <w:p w14:paraId="621672A7" w14:textId="77777777" w:rsidR="00963990" w:rsidRPr="00963990" w:rsidRDefault="00963990" w:rsidP="00963990">
      <w:pPr>
        <w:jc w:val="both"/>
        <w:rPr>
          <w:lang w:val="en-US"/>
        </w:rPr>
      </w:pPr>
      <w:r w:rsidRPr="00963990">
        <w:t>2.1</w:t>
      </w:r>
      <w:r w:rsidRPr="00963990">
        <w:tab/>
        <w:t>ITU is part of the United Nations Staff Mutual Insurance Society (UNSMIS).</w:t>
      </w:r>
      <w:r w:rsidRPr="00963990">
        <w:rPr>
          <w:lang w:val="en-US"/>
        </w:rPr>
        <w:t xml:space="preserve"> UNSMIS brings together several UN funds and programmes as well as specialized agencies of the United Nations based in Geneva, providing coverage for the staff of the United Nations Office at Geneva, the Office of the United Nations High Commissioner for Refugees (UNHCR) and the World Meteorological Organization (WMO) but also UNDP, UNICEF, UNCTAD, etc.</w:t>
      </w:r>
    </w:p>
    <w:p w14:paraId="12394989" w14:textId="77777777" w:rsidR="00963990" w:rsidRPr="00963990" w:rsidRDefault="00963990" w:rsidP="00963990">
      <w:pPr>
        <w:jc w:val="both"/>
        <w:rPr>
          <w:rFonts w:cs="Calibri"/>
        </w:rPr>
      </w:pPr>
      <w:r w:rsidRPr="00963990">
        <w:rPr>
          <w:rFonts w:cs="Calibri"/>
        </w:rPr>
        <w:t>2.2</w:t>
      </w:r>
      <w:r w:rsidRPr="00963990">
        <w:tab/>
      </w:r>
      <w:r w:rsidRPr="00963990">
        <w:rPr>
          <w:rFonts w:cs="Calibri"/>
        </w:rPr>
        <w:t xml:space="preserve">The UNSMIS plan is based on a salary-based contribution of 3.4 per cent of the staff salary or the retiree pension. The ITU is also contributing to the health insurance plan by matching the contribution paid by the active staff and by paying 2/3 of the contribution for retirees. </w:t>
      </w:r>
    </w:p>
    <w:p w14:paraId="3AC6D095" w14:textId="77777777" w:rsidR="00963990" w:rsidRPr="00963990" w:rsidRDefault="00963990" w:rsidP="00963990">
      <w:pPr>
        <w:jc w:val="both"/>
        <w:rPr>
          <w:rFonts w:cs="Calibri"/>
        </w:rPr>
      </w:pPr>
      <w:r w:rsidRPr="00963990">
        <w:rPr>
          <w:rFonts w:cs="Calibri"/>
        </w:rPr>
        <w:t>2.3</w:t>
      </w:r>
      <w:r w:rsidRPr="00963990">
        <w:rPr>
          <w:rFonts w:cs="Calibri"/>
        </w:rPr>
        <w:tab/>
        <w:t>The follow-up of the cost containment is managed by the UNSMIS Executive Committee, where ITU as a member has a seat.</w:t>
      </w:r>
    </w:p>
    <w:p w14:paraId="783CA65D" w14:textId="77777777" w:rsidR="00963990" w:rsidRPr="00963990" w:rsidRDefault="00963990" w:rsidP="00963990">
      <w:pPr>
        <w:keepNext/>
        <w:keepLines/>
        <w:spacing w:before="360"/>
        <w:ind w:left="567" w:hanging="567"/>
        <w:outlineLvl w:val="0"/>
        <w:rPr>
          <w:b/>
          <w:sz w:val="28"/>
        </w:rPr>
      </w:pPr>
      <w:r w:rsidRPr="00963990">
        <w:rPr>
          <w:b/>
          <w:sz w:val="28"/>
        </w:rPr>
        <w:t>3</w:t>
      </w:r>
      <w:r w:rsidRPr="00963990">
        <w:rPr>
          <w:b/>
          <w:sz w:val="28"/>
        </w:rPr>
        <w:tab/>
        <w:t>Evolution of the ASHI liability in 2025</w:t>
      </w:r>
    </w:p>
    <w:p w14:paraId="49C72D81" w14:textId="69F72625" w:rsidR="00963990" w:rsidRPr="00963990" w:rsidRDefault="00963990" w:rsidP="00963990">
      <w:pPr>
        <w:jc w:val="both"/>
      </w:pPr>
      <w:r w:rsidRPr="00963990">
        <w:t>3.1</w:t>
      </w:r>
      <w:r w:rsidRPr="00963990">
        <w:tab/>
        <w:t>The evolution of the ASHI liability since 2010 has resulted in persistent negative impacts on the Organization’s net assets as the actuarial losses were recorded in full against the net assets. At the end of 2025, the ASHI liability decreased by CHF 37.0 million landing at CHF</w:t>
      </w:r>
      <w:r>
        <w:t> </w:t>
      </w:r>
      <w:r w:rsidRPr="00963990">
        <w:t xml:space="preserve">378.8 million, mostly because of positive trends in the financial assumptions. </w:t>
      </w:r>
    </w:p>
    <w:p w14:paraId="7929811B" w14:textId="342091D1" w:rsidR="00963990" w:rsidRPr="00963990" w:rsidRDefault="00963990" w:rsidP="00963990">
      <w:pPr>
        <w:jc w:val="both"/>
      </w:pPr>
      <w:r w:rsidRPr="00963990">
        <w:t>In particular, the discount rate reversed the preceding downwards trend and increased from 1.4 per cent in 2024 to 1.8 per cent in 2025, for an approximate impact on the liability of CHF</w:t>
      </w:r>
      <w:r>
        <w:t> </w:t>
      </w:r>
      <w:r w:rsidRPr="00963990">
        <w:t>29.0 million. A second positive element that significantly contributed to the decrease in the ASHI liability is the decrease in the medical trend inflation rate from 2.4% to 2.2% at the end of 2025.</w:t>
      </w:r>
    </w:p>
    <w:p w14:paraId="484AE171" w14:textId="77777777" w:rsidR="00963990" w:rsidRPr="00963990" w:rsidRDefault="00963990" w:rsidP="00963990">
      <w:pPr>
        <w:jc w:val="both"/>
      </w:pPr>
    </w:p>
    <w:tbl>
      <w:tblPr>
        <w:tblW w:w="930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01"/>
        <w:gridCol w:w="1701"/>
        <w:gridCol w:w="1701"/>
      </w:tblGrid>
      <w:tr w:rsidR="00963990" w:rsidRPr="00963990" w14:paraId="1C462707" w14:textId="77777777">
        <w:trPr>
          <w:trHeight w:val="528"/>
          <w:jc w:val="center"/>
        </w:trPr>
        <w:tc>
          <w:tcPr>
            <w:tcW w:w="5901" w:type="dxa"/>
            <w:tcBorders>
              <w:top w:val="single" w:sz="4" w:space="0" w:color="auto"/>
              <w:bottom w:val="single" w:sz="4" w:space="0" w:color="auto"/>
              <w:right w:val="single" w:sz="4" w:space="0" w:color="auto"/>
            </w:tcBorders>
            <w:vAlign w:val="center"/>
            <w:hideMark/>
          </w:tcPr>
          <w:p w14:paraId="7BB796F8" w14:textId="77777777" w:rsidR="00963990" w:rsidRPr="00963990" w:rsidRDefault="00963990" w:rsidP="00963990">
            <w:pPr>
              <w:keepNext/>
              <w:keepLines/>
              <w:tabs>
                <w:tab w:val="clear" w:pos="567"/>
                <w:tab w:val="clear" w:pos="1134"/>
                <w:tab w:val="clear" w:pos="1701"/>
                <w:tab w:val="clear" w:pos="2268"/>
                <w:tab w:val="clear" w:pos="2835"/>
                <w:tab w:val="left" w:pos="284"/>
              </w:tabs>
              <w:spacing w:after="120"/>
              <w:rPr>
                <w:b/>
                <w:sz w:val="22"/>
                <w:szCs w:val="22"/>
                <w:lang w:val="en-US"/>
              </w:rPr>
            </w:pPr>
            <w:r w:rsidRPr="00963990">
              <w:rPr>
                <w:b/>
                <w:sz w:val="22"/>
                <w:szCs w:val="22"/>
                <w:lang w:val="en-US"/>
              </w:rPr>
              <w:lastRenderedPageBreak/>
              <w:t>Amounts of obligations under the ASHI plan at 31 December in the statement of financial position</w:t>
            </w:r>
            <w:r w:rsidRPr="00963990">
              <w:rPr>
                <w:b/>
                <w:sz w:val="22"/>
                <w:szCs w:val="22"/>
                <w:lang w:val="en-US"/>
              </w:rPr>
              <w:br/>
              <w:t>(in thousands of Swiss francs)</w:t>
            </w:r>
          </w:p>
        </w:tc>
        <w:tc>
          <w:tcPr>
            <w:tcW w:w="1701" w:type="dxa"/>
            <w:tcBorders>
              <w:top w:val="single" w:sz="4" w:space="0" w:color="auto"/>
              <w:bottom w:val="single" w:sz="4" w:space="0" w:color="auto"/>
              <w:right w:val="single" w:sz="4" w:space="0" w:color="auto"/>
            </w:tcBorders>
            <w:vAlign w:val="center"/>
          </w:tcPr>
          <w:p w14:paraId="4D27B003" w14:textId="1916B4FF" w:rsidR="00963990" w:rsidRPr="00963990" w:rsidRDefault="00963990" w:rsidP="00963990">
            <w:pPr>
              <w:keepNext/>
              <w:keepLines/>
              <w:tabs>
                <w:tab w:val="clear" w:pos="567"/>
                <w:tab w:val="clear" w:pos="1134"/>
                <w:tab w:val="clear" w:pos="1701"/>
                <w:tab w:val="clear" w:pos="2268"/>
                <w:tab w:val="clear" w:pos="2835"/>
                <w:tab w:val="left" w:pos="284"/>
              </w:tabs>
              <w:spacing w:after="120"/>
              <w:jc w:val="center"/>
              <w:rPr>
                <w:b/>
                <w:sz w:val="22"/>
                <w:szCs w:val="22"/>
                <w:lang w:val="en-US"/>
              </w:rPr>
            </w:pPr>
            <w:r w:rsidRPr="002D3268">
              <w:rPr>
                <w:b/>
                <w:sz w:val="22"/>
                <w:szCs w:val="22"/>
                <w:lang w:val="en-US"/>
              </w:rPr>
              <w:t>31.12.2025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98501D" w14:textId="77777777" w:rsidR="00963990" w:rsidRPr="00963990" w:rsidRDefault="00963990" w:rsidP="00963990">
            <w:pPr>
              <w:keepNext/>
              <w:keepLines/>
              <w:tabs>
                <w:tab w:val="clear" w:pos="567"/>
                <w:tab w:val="clear" w:pos="1134"/>
                <w:tab w:val="clear" w:pos="1701"/>
                <w:tab w:val="clear" w:pos="2268"/>
                <w:tab w:val="clear" w:pos="2835"/>
                <w:tab w:val="left" w:pos="284"/>
              </w:tabs>
              <w:spacing w:after="120"/>
              <w:jc w:val="center"/>
              <w:rPr>
                <w:b/>
                <w:sz w:val="22"/>
                <w:szCs w:val="22"/>
                <w:lang w:val="en-US"/>
              </w:rPr>
            </w:pPr>
            <w:r w:rsidRPr="00963990">
              <w:rPr>
                <w:b/>
                <w:sz w:val="22"/>
                <w:szCs w:val="22"/>
                <w:lang w:val="en-US"/>
              </w:rPr>
              <w:t>31.12.2024</w:t>
            </w:r>
          </w:p>
        </w:tc>
      </w:tr>
      <w:tr w:rsidR="00963990" w:rsidRPr="00963990" w14:paraId="03120D65" w14:textId="77777777">
        <w:trPr>
          <w:trHeight w:val="264"/>
          <w:jc w:val="center"/>
        </w:trPr>
        <w:tc>
          <w:tcPr>
            <w:tcW w:w="5901" w:type="dxa"/>
            <w:tcBorders>
              <w:top w:val="single" w:sz="4" w:space="0" w:color="auto"/>
              <w:right w:val="single" w:sz="4" w:space="0" w:color="auto"/>
            </w:tcBorders>
            <w:hideMark/>
          </w:tcPr>
          <w:p w14:paraId="4A53FDC0"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Balance at 1 January</w:t>
            </w:r>
          </w:p>
        </w:tc>
        <w:tc>
          <w:tcPr>
            <w:tcW w:w="1701" w:type="dxa"/>
            <w:tcBorders>
              <w:top w:val="single" w:sz="4" w:space="0" w:color="auto"/>
              <w:right w:val="single" w:sz="4" w:space="0" w:color="auto"/>
            </w:tcBorders>
          </w:tcPr>
          <w:p w14:paraId="133A9029" w14:textId="2C0C38DB"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415</w:t>
            </w:r>
            <w:r>
              <w:rPr>
                <w:sz w:val="22"/>
                <w:szCs w:val="22"/>
              </w:rPr>
              <w:t> </w:t>
            </w:r>
            <w:r w:rsidRPr="00963990">
              <w:rPr>
                <w:sz w:val="22"/>
                <w:szCs w:val="22"/>
              </w:rPr>
              <w:t>835</w:t>
            </w:r>
          </w:p>
        </w:tc>
        <w:tc>
          <w:tcPr>
            <w:tcW w:w="1701" w:type="dxa"/>
            <w:tcBorders>
              <w:top w:val="single" w:sz="4" w:space="0" w:color="auto"/>
              <w:left w:val="single" w:sz="4" w:space="0" w:color="auto"/>
              <w:right w:val="single" w:sz="4" w:space="0" w:color="auto"/>
            </w:tcBorders>
          </w:tcPr>
          <w:p w14:paraId="48B92D77"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375 271</w:t>
            </w:r>
          </w:p>
        </w:tc>
      </w:tr>
      <w:tr w:rsidR="00963990" w:rsidRPr="00963990" w14:paraId="789A56E3" w14:textId="77777777">
        <w:trPr>
          <w:trHeight w:val="264"/>
          <w:jc w:val="center"/>
        </w:trPr>
        <w:tc>
          <w:tcPr>
            <w:tcW w:w="5901" w:type="dxa"/>
            <w:tcBorders>
              <w:right w:val="single" w:sz="4" w:space="0" w:color="auto"/>
            </w:tcBorders>
          </w:tcPr>
          <w:p w14:paraId="66988307"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w:t>
            </w:r>
            <w:r w:rsidRPr="00963990">
              <w:rPr>
                <w:sz w:val="22"/>
                <w:szCs w:val="22"/>
              </w:rPr>
              <w:tab/>
              <w:t>Net Current Service Cost</w:t>
            </w:r>
          </w:p>
        </w:tc>
        <w:tc>
          <w:tcPr>
            <w:tcW w:w="1701" w:type="dxa"/>
            <w:tcBorders>
              <w:right w:val="single" w:sz="4" w:space="0" w:color="auto"/>
            </w:tcBorders>
          </w:tcPr>
          <w:p w14:paraId="03E78B40"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14 048</w:t>
            </w:r>
          </w:p>
        </w:tc>
        <w:tc>
          <w:tcPr>
            <w:tcW w:w="1701" w:type="dxa"/>
            <w:tcBorders>
              <w:left w:val="single" w:sz="4" w:space="0" w:color="auto"/>
              <w:right w:val="single" w:sz="4" w:space="0" w:color="auto"/>
            </w:tcBorders>
          </w:tcPr>
          <w:p w14:paraId="64D5C959"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11 095</w:t>
            </w:r>
          </w:p>
        </w:tc>
      </w:tr>
      <w:tr w:rsidR="00963990" w:rsidRPr="00963990" w14:paraId="23D8FFAB" w14:textId="77777777">
        <w:trPr>
          <w:trHeight w:val="264"/>
          <w:jc w:val="center"/>
        </w:trPr>
        <w:tc>
          <w:tcPr>
            <w:tcW w:w="5901" w:type="dxa"/>
            <w:tcBorders>
              <w:bottom w:val="single" w:sz="4" w:space="0" w:color="auto"/>
              <w:right w:val="single" w:sz="4" w:space="0" w:color="auto"/>
            </w:tcBorders>
          </w:tcPr>
          <w:p w14:paraId="54043075"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w:t>
            </w:r>
            <w:r w:rsidRPr="00963990">
              <w:rPr>
                <w:sz w:val="22"/>
                <w:szCs w:val="22"/>
              </w:rPr>
              <w:tab/>
              <w:t>Finance charge</w:t>
            </w:r>
          </w:p>
        </w:tc>
        <w:tc>
          <w:tcPr>
            <w:tcW w:w="1701" w:type="dxa"/>
            <w:tcBorders>
              <w:bottom w:val="single" w:sz="4" w:space="0" w:color="auto"/>
              <w:right w:val="single" w:sz="4" w:space="0" w:color="auto"/>
            </w:tcBorders>
          </w:tcPr>
          <w:p w14:paraId="3FC3EB38"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5 753</w:t>
            </w:r>
          </w:p>
        </w:tc>
        <w:tc>
          <w:tcPr>
            <w:tcW w:w="1701" w:type="dxa"/>
            <w:tcBorders>
              <w:left w:val="single" w:sz="4" w:space="0" w:color="auto"/>
              <w:bottom w:val="single" w:sz="4" w:space="0" w:color="auto"/>
              <w:right w:val="single" w:sz="4" w:space="0" w:color="auto"/>
            </w:tcBorders>
          </w:tcPr>
          <w:p w14:paraId="5A23A0B4"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7 046</w:t>
            </w:r>
          </w:p>
        </w:tc>
      </w:tr>
      <w:tr w:rsidR="00963990" w:rsidRPr="00963990" w14:paraId="077B461F" w14:textId="77777777">
        <w:trPr>
          <w:trHeight w:val="336"/>
          <w:jc w:val="center"/>
        </w:trPr>
        <w:tc>
          <w:tcPr>
            <w:tcW w:w="5901" w:type="dxa"/>
            <w:tcBorders>
              <w:top w:val="single" w:sz="4" w:space="0" w:color="auto"/>
              <w:left w:val="single" w:sz="4" w:space="0" w:color="auto"/>
              <w:bottom w:val="single" w:sz="4" w:space="0" w:color="auto"/>
              <w:right w:val="single" w:sz="4" w:space="0" w:color="auto"/>
            </w:tcBorders>
            <w:hideMark/>
          </w:tcPr>
          <w:p w14:paraId="56D51AA3" w14:textId="77777777" w:rsidR="00963990" w:rsidRPr="00963990" w:rsidRDefault="00963990" w:rsidP="00963990">
            <w:pPr>
              <w:keepNext/>
              <w:keepLines/>
              <w:tabs>
                <w:tab w:val="clear" w:pos="567"/>
                <w:tab w:val="clear" w:pos="1134"/>
                <w:tab w:val="clear" w:pos="1701"/>
                <w:tab w:val="clear" w:pos="2268"/>
                <w:tab w:val="clear" w:pos="2835"/>
                <w:tab w:val="left" w:pos="284"/>
              </w:tabs>
              <w:spacing w:after="120"/>
              <w:rPr>
                <w:b/>
                <w:sz w:val="22"/>
                <w:szCs w:val="22"/>
              </w:rPr>
            </w:pPr>
            <w:r w:rsidRPr="00963990">
              <w:rPr>
                <w:b/>
                <w:sz w:val="22"/>
                <w:szCs w:val="22"/>
              </w:rPr>
              <w:t>Total expenses recognized in the statement of financial performance</w:t>
            </w:r>
          </w:p>
        </w:tc>
        <w:tc>
          <w:tcPr>
            <w:tcW w:w="1701" w:type="dxa"/>
            <w:tcBorders>
              <w:top w:val="single" w:sz="4" w:space="0" w:color="auto"/>
              <w:left w:val="single" w:sz="4" w:space="0" w:color="auto"/>
              <w:bottom w:val="single" w:sz="4" w:space="0" w:color="auto"/>
              <w:right w:val="single" w:sz="4" w:space="0" w:color="auto"/>
            </w:tcBorders>
          </w:tcPr>
          <w:p w14:paraId="486BBF0C" w14:textId="77777777" w:rsidR="00963990" w:rsidRPr="00963990" w:rsidRDefault="00963990" w:rsidP="00963990">
            <w:pPr>
              <w:keepNext/>
              <w:keepLines/>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19 801</w:t>
            </w:r>
          </w:p>
        </w:tc>
        <w:tc>
          <w:tcPr>
            <w:tcW w:w="1701" w:type="dxa"/>
            <w:tcBorders>
              <w:top w:val="single" w:sz="4" w:space="0" w:color="auto"/>
              <w:left w:val="single" w:sz="4" w:space="0" w:color="auto"/>
              <w:bottom w:val="single" w:sz="4" w:space="0" w:color="auto"/>
              <w:right w:val="single" w:sz="4" w:space="0" w:color="auto"/>
            </w:tcBorders>
          </w:tcPr>
          <w:p w14:paraId="688D1569" w14:textId="77777777" w:rsidR="00963990" w:rsidRPr="00963990" w:rsidRDefault="00963990" w:rsidP="00963990">
            <w:pPr>
              <w:keepNext/>
              <w:keepLines/>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18 141</w:t>
            </w:r>
          </w:p>
        </w:tc>
      </w:tr>
      <w:tr w:rsidR="00963990" w:rsidRPr="00963990" w14:paraId="077586F9" w14:textId="77777777">
        <w:trPr>
          <w:trHeight w:val="336"/>
          <w:jc w:val="center"/>
        </w:trPr>
        <w:tc>
          <w:tcPr>
            <w:tcW w:w="5901" w:type="dxa"/>
            <w:tcBorders>
              <w:top w:val="single" w:sz="4" w:space="0" w:color="auto"/>
              <w:bottom w:val="nil"/>
              <w:right w:val="single" w:sz="4" w:space="0" w:color="auto"/>
            </w:tcBorders>
          </w:tcPr>
          <w:p w14:paraId="1F3DD919"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w:t>
            </w:r>
            <w:r w:rsidRPr="00963990">
              <w:rPr>
                <w:sz w:val="22"/>
                <w:szCs w:val="22"/>
              </w:rPr>
              <w:tab/>
              <w:t>Obligation due to the changes in demographic assumptions</w:t>
            </w:r>
          </w:p>
        </w:tc>
        <w:tc>
          <w:tcPr>
            <w:tcW w:w="1701" w:type="dxa"/>
            <w:tcBorders>
              <w:top w:val="single" w:sz="4" w:space="0" w:color="auto"/>
              <w:bottom w:val="nil"/>
              <w:right w:val="single" w:sz="4" w:space="0" w:color="auto"/>
            </w:tcBorders>
          </w:tcPr>
          <w:p w14:paraId="22BE52A6" w14:textId="241C5C34"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(7</w:t>
            </w:r>
            <w:r>
              <w:rPr>
                <w:sz w:val="22"/>
                <w:szCs w:val="22"/>
              </w:rPr>
              <w:t> </w:t>
            </w:r>
            <w:r w:rsidRPr="00963990">
              <w:rPr>
                <w:sz w:val="22"/>
                <w:szCs w:val="22"/>
              </w:rPr>
              <w:t>026)</w:t>
            </w:r>
          </w:p>
        </w:tc>
        <w:tc>
          <w:tcPr>
            <w:tcW w:w="1701" w:type="dxa"/>
            <w:tcBorders>
              <w:top w:val="single" w:sz="4" w:space="0" w:color="auto"/>
              <w:left w:val="single" w:sz="4" w:space="0" w:color="auto"/>
              <w:bottom w:val="nil"/>
              <w:right w:val="single" w:sz="4" w:space="0" w:color="auto"/>
            </w:tcBorders>
          </w:tcPr>
          <w:p w14:paraId="7A75777A"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10 602</w:t>
            </w:r>
          </w:p>
        </w:tc>
      </w:tr>
      <w:tr w:rsidR="00963990" w:rsidRPr="00963990" w14:paraId="77229C46" w14:textId="77777777">
        <w:trPr>
          <w:trHeight w:val="336"/>
          <w:jc w:val="center"/>
        </w:trPr>
        <w:tc>
          <w:tcPr>
            <w:tcW w:w="5901" w:type="dxa"/>
            <w:tcBorders>
              <w:top w:val="nil"/>
              <w:bottom w:val="nil"/>
              <w:right w:val="single" w:sz="4" w:space="0" w:color="auto"/>
            </w:tcBorders>
          </w:tcPr>
          <w:p w14:paraId="42C7B77A"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w:t>
            </w:r>
            <w:r w:rsidRPr="00963990">
              <w:rPr>
                <w:sz w:val="22"/>
                <w:szCs w:val="22"/>
              </w:rPr>
              <w:tab/>
              <w:t>Obligation due to changes in financial assumptions</w:t>
            </w:r>
          </w:p>
        </w:tc>
        <w:tc>
          <w:tcPr>
            <w:tcW w:w="1701" w:type="dxa"/>
            <w:tcBorders>
              <w:top w:val="nil"/>
              <w:bottom w:val="nil"/>
              <w:right w:val="single" w:sz="4" w:space="0" w:color="auto"/>
            </w:tcBorders>
          </w:tcPr>
          <w:p w14:paraId="02D6A5EE" w14:textId="6E6A7C09"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(47</w:t>
            </w:r>
            <w:r>
              <w:rPr>
                <w:sz w:val="22"/>
                <w:szCs w:val="22"/>
              </w:rPr>
              <w:t> </w:t>
            </w:r>
            <w:r w:rsidRPr="00963990">
              <w:rPr>
                <w:sz w:val="22"/>
                <w:szCs w:val="22"/>
              </w:rPr>
              <w:t>713)</w:t>
            </w:r>
          </w:p>
        </w:tc>
        <w:tc>
          <w:tcPr>
            <w:tcW w:w="1701" w:type="dxa"/>
            <w:tcBorders>
              <w:top w:val="nil"/>
              <w:left w:val="single" w:sz="4" w:space="0" w:color="auto"/>
              <w:bottom w:val="nil"/>
              <w:right w:val="single" w:sz="4" w:space="0" w:color="auto"/>
            </w:tcBorders>
          </w:tcPr>
          <w:p w14:paraId="7FA8506F"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20 636</w:t>
            </w:r>
          </w:p>
        </w:tc>
      </w:tr>
      <w:tr w:rsidR="00963990" w:rsidRPr="00963990" w14:paraId="4B596BAA" w14:textId="77777777">
        <w:trPr>
          <w:trHeight w:val="336"/>
          <w:jc w:val="center"/>
        </w:trPr>
        <w:tc>
          <w:tcPr>
            <w:tcW w:w="5901" w:type="dxa"/>
            <w:tcBorders>
              <w:top w:val="nil"/>
              <w:bottom w:val="single" w:sz="4" w:space="0" w:color="auto"/>
              <w:right w:val="single" w:sz="4" w:space="0" w:color="auto"/>
            </w:tcBorders>
          </w:tcPr>
          <w:p w14:paraId="05D21435"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sz w:val="22"/>
                <w:szCs w:val="22"/>
              </w:rPr>
            </w:pPr>
            <w:r w:rsidRPr="00963990">
              <w:rPr>
                <w:sz w:val="22"/>
                <w:szCs w:val="22"/>
              </w:rPr>
              <w:t>–</w:t>
            </w:r>
            <w:r w:rsidRPr="00963990">
              <w:rPr>
                <w:sz w:val="22"/>
                <w:szCs w:val="22"/>
              </w:rPr>
              <w:tab/>
              <w:t>Obligation due to experience during the period</w:t>
            </w:r>
          </w:p>
        </w:tc>
        <w:tc>
          <w:tcPr>
            <w:tcW w:w="1701" w:type="dxa"/>
            <w:tcBorders>
              <w:top w:val="nil"/>
              <w:bottom w:val="single" w:sz="4" w:space="0" w:color="auto"/>
              <w:right w:val="single" w:sz="4" w:space="0" w:color="auto"/>
            </w:tcBorders>
          </w:tcPr>
          <w:p w14:paraId="675DE295" w14:textId="6379274A"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6</w:t>
            </w:r>
            <w:r>
              <w:rPr>
                <w:sz w:val="22"/>
                <w:szCs w:val="22"/>
              </w:rPr>
              <w:t> </w:t>
            </w:r>
            <w:r w:rsidRPr="00963990">
              <w:rPr>
                <w:sz w:val="22"/>
                <w:szCs w:val="22"/>
              </w:rPr>
              <w:t>300</w:t>
            </w:r>
          </w:p>
        </w:tc>
        <w:tc>
          <w:tcPr>
            <w:tcW w:w="1701" w:type="dxa"/>
            <w:tcBorders>
              <w:top w:val="nil"/>
              <w:left w:val="single" w:sz="4" w:space="0" w:color="auto"/>
              <w:bottom w:val="single" w:sz="4" w:space="0" w:color="auto"/>
              <w:right w:val="single" w:sz="4" w:space="0" w:color="auto"/>
            </w:tcBorders>
          </w:tcPr>
          <w:p w14:paraId="17CA6A37"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1 511</w:t>
            </w:r>
          </w:p>
        </w:tc>
      </w:tr>
      <w:tr w:rsidR="00963990" w:rsidRPr="00963990" w14:paraId="119825D8" w14:textId="77777777">
        <w:trPr>
          <w:trHeight w:val="336"/>
          <w:jc w:val="center"/>
        </w:trPr>
        <w:tc>
          <w:tcPr>
            <w:tcW w:w="5901" w:type="dxa"/>
            <w:tcBorders>
              <w:top w:val="single" w:sz="4" w:space="0" w:color="auto"/>
              <w:bottom w:val="nil"/>
              <w:right w:val="single" w:sz="4" w:space="0" w:color="auto"/>
            </w:tcBorders>
          </w:tcPr>
          <w:p w14:paraId="40842EA0"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b/>
                <w:bCs/>
                <w:sz w:val="22"/>
                <w:szCs w:val="22"/>
              </w:rPr>
            </w:pPr>
            <w:r w:rsidRPr="00963990">
              <w:rPr>
                <w:b/>
                <w:bCs/>
                <w:sz w:val="22"/>
                <w:szCs w:val="22"/>
              </w:rPr>
              <w:t>Actuarial losses (gains) recognized in net assets</w:t>
            </w:r>
          </w:p>
        </w:tc>
        <w:tc>
          <w:tcPr>
            <w:tcW w:w="1701" w:type="dxa"/>
            <w:tcBorders>
              <w:top w:val="single" w:sz="4" w:space="0" w:color="auto"/>
              <w:bottom w:val="nil"/>
              <w:right w:val="single" w:sz="4" w:space="0" w:color="auto"/>
            </w:tcBorders>
          </w:tcPr>
          <w:p w14:paraId="29FD901C" w14:textId="2739E4CD"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(48</w:t>
            </w:r>
            <w:r>
              <w:rPr>
                <w:b/>
                <w:bCs/>
                <w:sz w:val="22"/>
                <w:szCs w:val="22"/>
              </w:rPr>
              <w:t> </w:t>
            </w:r>
            <w:r w:rsidRPr="00963990">
              <w:rPr>
                <w:b/>
                <w:bCs/>
                <w:sz w:val="22"/>
                <w:szCs w:val="22"/>
              </w:rPr>
              <w:t>439)</w:t>
            </w:r>
          </w:p>
        </w:tc>
        <w:tc>
          <w:tcPr>
            <w:tcW w:w="1701" w:type="dxa"/>
            <w:tcBorders>
              <w:top w:val="single" w:sz="4" w:space="0" w:color="auto"/>
              <w:left w:val="single" w:sz="4" w:space="0" w:color="auto"/>
              <w:bottom w:val="nil"/>
              <w:right w:val="single" w:sz="4" w:space="0" w:color="auto"/>
            </w:tcBorders>
          </w:tcPr>
          <w:p w14:paraId="7F8E4FCB"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32 748</w:t>
            </w:r>
          </w:p>
        </w:tc>
      </w:tr>
      <w:tr w:rsidR="00963990" w:rsidRPr="00963990" w14:paraId="36F30E50" w14:textId="77777777">
        <w:trPr>
          <w:trHeight w:val="336"/>
          <w:jc w:val="center"/>
        </w:trPr>
        <w:tc>
          <w:tcPr>
            <w:tcW w:w="5901" w:type="dxa"/>
            <w:tcBorders>
              <w:top w:val="nil"/>
              <w:bottom w:val="single" w:sz="4" w:space="0" w:color="auto"/>
              <w:right w:val="single" w:sz="4" w:space="0" w:color="auto"/>
            </w:tcBorders>
            <w:vAlign w:val="bottom"/>
          </w:tcPr>
          <w:p w14:paraId="14F09621"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b/>
                <w:bCs/>
                <w:sz w:val="22"/>
                <w:szCs w:val="22"/>
              </w:rPr>
            </w:pPr>
            <w:r w:rsidRPr="00963990">
              <w:rPr>
                <w:b/>
                <w:bCs/>
                <w:sz w:val="22"/>
                <w:szCs w:val="22"/>
              </w:rPr>
              <w:t>Contributions paid during the period</w:t>
            </w:r>
          </w:p>
        </w:tc>
        <w:tc>
          <w:tcPr>
            <w:tcW w:w="1701" w:type="dxa"/>
            <w:tcBorders>
              <w:top w:val="nil"/>
              <w:bottom w:val="single" w:sz="4" w:space="0" w:color="auto"/>
              <w:right w:val="single" w:sz="4" w:space="0" w:color="auto"/>
            </w:tcBorders>
          </w:tcPr>
          <w:p w14:paraId="6CBC2E7A" w14:textId="14615F44"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(8</w:t>
            </w:r>
            <w:r>
              <w:rPr>
                <w:b/>
                <w:bCs/>
                <w:sz w:val="22"/>
                <w:szCs w:val="22"/>
              </w:rPr>
              <w:t> </w:t>
            </w:r>
            <w:r w:rsidRPr="00963990">
              <w:rPr>
                <w:b/>
                <w:bCs/>
                <w:sz w:val="22"/>
                <w:szCs w:val="22"/>
              </w:rPr>
              <w:t>373)</w:t>
            </w:r>
          </w:p>
        </w:tc>
        <w:tc>
          <w:tcPr>
            <w:tcW w:w="1701" w:type="dxa"/>
            <w:tcBorders>
              <w:top w:val="nil"/>
              <w:left w:val="single" w:sz="4" w:space="0" w:color="auto"/>
              <w:bottom w:val="single" w:sz="4" w:space="0" w:color="auto"/>
              <w:right w:val="single" w:sz="4" w:space="0" w:color="auto"/>
            </w:tcBorders>
          </w:tcPr>
          <w:p w14:paraId="0A4FEAE5"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(10 325)</w:t>
            </w:r>
          </w:p>
        </w:tc>
      </w:tr>
      <w:tr w:rsidR="00963990" w:rsidRPr="00963990" w14:paraId="1B615CF2" w14:textId="77777777">
        <w:trPr>
          <w:trHeight w:val="336"/>
          <w:jc w:val="center"/>
        </w:trPr>
        <w:tc>
          <w:tcPr>
            <w:tcW w:w="5901" w:type="dxa"/>
            <w:tcBorders>
              <w:top w:val="single" w:sz="4" w:space="0" w:color="auto"/>
              <w:right w:val="single" w:sz="4" w:space="0" w:color="auto"/>
            </w:tcBorders>
          </w:tcPr>
          <w:p w14:paraId="2578D29B"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rPr>
                <w:b/>
                <w:bCs/>
                <w:sz w:val="22"/>
                <w:szCs w:val="22"/>
              </w:rPr>
            </w:pPr>
            <w:r w:rsidRPr="00963990">
              <w:rPr>
                <w:b/>
                <w:bCs/>
                <w:sz w:val="22"/>
                <w:szCs w:val="22"/>
              </w:rPr>
              <w:t>Amount of obligations under the ASHI plan at 31 December</w:t>
            </w:r>
          </w:p>
        </w:tc>
        <w:tc>
          <w:tcPr>
            <w:tcW w:w="1701" w:type="dxa"/>
            <w:tcBorders>
              <w:top w:val="single" w:sz="4" w:space="0" w:color="auto"/>
              <w:right w:val="single" w:sz="4" w:space="0" w:color="auto"/>
            </w:tcBorders>
          </w:tcPr>
          <w:p w14:paraId="273438FC"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378 824</w:t>
            </w:r>
          </w:p>
        </w:tc>
        <w:tc>
          <w:tcPr>
            <w:tcW w:w="1701" w:type="dxa"/>
            <w:tcBorders>
              <w:top w:val="single" w:sz="4" w:space="0" w:color="auto"/>
              <w:left w:val="single" w:sz="4" w:space="0" w:color="auto"/>
              <w:bottom w:val="single" w:sz="4" w:space="0" w:color="auto"/>
              <w:right w:val="single" w:sz="4" w:space="0" w:color="auto"/>
            </w:tcBorders>
          </w:tcPr>
          <w:p w14:paraId="197AE9A0" w14:textId="77777777" w:rsidR="00963990" w:rsidRPr="00963990" w:rsidRDefault="00963990" w:rsidP="00963990">
            <w:pPr>
              <w:keepNext/>
              <w:keepLines/>
              <w:tabs>
                <w:tab w:val="clear" w:pos="567"/>
                <w:tab w:val="clear" w:pos="1134"/>
                <w:tab w:val="clear" w:pos="1701"/>
                <w:tab w:val="clear" w:pos="2268"/>
                <w:tab w:val="clear" w:pos="2835"/>
                <w:tab w:val="left" w:pos="284"/>
              </w:tabs>
              <w:spacing w:before="60" w:after="60"/>
              <w:jc w:val="center"/>
              <w:rPr>
                <w:b/>
                <w:bCs/>
                <w:sz w:val="22"/>
                <w:szCs w:val="22"/>
              </w:rPr>
            </w:pPr>
            <w:r w:rsidRPr="00963990">
              <w:rPr>
                <w:b/>
                <w:bCs/>
                <w:sz w:val="22"/>
                <w:szCs w:val="22"/>
              </w:rPr>
              <w:t>415 835</w:t>
            </w:r>
          </w:p>
        </w:tc>
      </w:tr>
    </w:tbl>
    <w:p w14:paraId="01375DC6" w14:textId="77777777" w:rsidR="00963990" w:rsidRPr="00963990" w:rsidRDefault="00963990" w:rsidP="00963990">
      <w:pPr>
        <w:tabs>
          <w:tab w:val="clear" w:pos="567"/>
          <w:tab w:val="clear" w:pos="1134"/>
          <w:tab w:val="clear" w:pos="1701"/>
          <w:tab w:val="clear" w:pos="2268"/>
          <w:tab w:val="clear" w:pos="2835"/>
          <w:tab w:val="left" w:pos="284"/>
        </w:tabs>
        <w:spacing w:before="0"/>
        <w:rPr>
          <w:sz w:val="22"/>
          <w:szCs w:val="22"/>
        </w:rPr>
      </w:pPr>
      <w:bookmarkStart w:id="12" w:name="_Hlk38446011"/>
    </w:p>
    <w:p w14:paraId="44152EB3" w14:textId="77777777" w:rsidR="00963990" w:rsidRPr="00963990" w:rsidRDefault="00963990" w:rsidP="00963990">
      <w:pPr>
        <w:jc w:val="both"/>
        <w:rPr>
          <w:szCs w:val="24"/>
        </w:rPr>
      </w:pPr>
      <w:r w:rsidRPr="00963990">
        <w:t>3.2</w:t>
      </w:r>
      <w:r w:rsidRPr="00963990">
        <w:tab/>
        <w:t>The service costs represent the increase in the present value of the defined benefit obligation resulting from employee service in the current period.</w:t>
      </w:r>
    </w:p>
    <w:p w14:paraId="7BAD6496" w14:textId="77777777" w:rsidR="00963990" w:rsidRPr="00963990" w:rsidRDefault="00963990" w:rsidP="00963990">
      <w:pPr>
        <w:jc w:val="both"/>
        <w:rPr>
          <w:szCs w:val="24"/>
        </w:rPr>
      </w:pPr>
      <w:r w:rsidRPr="00963990">
        <w:rPr>
          <w:szCs w:val="24"/>
        </w:rPr>
        <w:t>3.3</w:t>
      </w:r>
      <w:r w:rsidRPr="00963990">
        <w:rPr>
          <w:szCs w:val="24"/>
        </w:rPr>
        <w:tab/>
        <w:t>Further to a decision of the UN task force on accounting standards, since 2016 all the assumptions related to the ASHI valuation have been harmonized among the UN agencies.</w:t>
      </w:r>
    </w:p>
    <w:bookmarkEnd w:id="12"/>
    <w:p w14:paraId="45F8D8CF" w14:textId="77777777" w:rsidR="00963990" w:rsidRPr="00963990" w:rsidRDefault="00963990" w:rsidP="00963990">
      <w:pPr>
        <w:jc w:val="both"/>
      </w:pPr>
      <w:r w:rsidRPr="00963990">
        <w:rPr>
          <w:szCs w:val="24"/>
        </w:rPr>
        <w:t>3.4</w:t>
      </w:r>
      <w:r w:rsidRPr="00963990">
        <w:rPr>
          <w:szCs w:val="24"/>
        </w:rPr>
        <w:tab/>
      </w:r>
      <w:r w:rsidRPr="00963990">
        <w:t>Among the assumptions used in the actuarial valuation, the discount rate (based on returns on AA corporate obligations), the increase of medical costs and the increase of salary have the most significant impacts. A decrease in the discount rate or an increase in medical costs results in an increase in the ASHI liability, whereas an increase of salary results in an increase of the members’ and ITU’s contributions and support to the funding of the ASHI liability.</w:t>
      </w:r>
    </w:p>
    <w:p w14:paraId="76A26306" w14:textId="77777777" w:rsidR="00963990" w:rsidRPr="00963990" w:rsidRDefault="00963990" w:rsidP="00963990">
      <w:pPr>
        <w:jc w:val="both"/>
      </w:pPr>
      <w:r w:rsidRPr="00963990">
        <w:t>3.5</w:t>
      </w:r>
      <w:r w:rsidRPr="00963990">
        <w:tab/>
        <w:t xml:space="preserve">Two categories of assumptions are used in the ASHI valuation: demographic and financial. Among financial assumptions the most relevant are the discount rate, the medical trend rate and the salary and pension increase rates. In 2025 all financial assumptions either improved or remained stable as compared to the previous year, therefore providing a positive contribution to the decrease in the ASHI liability. Demographic assumptions include, among others, turnover rates, mortality, disability and retirement rates, in 2025 the trend in demographic assumptions was rather stable or slightly negative whereby those reduced the net impact arising from the change in the financial assumptions. </w:t>
      </w:r>
    </w:p>
    <w:p w14:paraId="4EBDD79D" w14:textId="77777777" w:rsidR="00963990" w:rsidRPr="00963990" w:rsidRDefault="00963990" w:rsidP="00963990">
      <w:pPr>
        <w:jc w:val="both"/>
      </w:pPr>
      <w:r w:rsidRPr="00963990">
        <w:t>3.6</w:t>
      </w:r>
      <w:r w:rsidRPr="00963990">
        <w:tab/>
        <w:t>The ASHI liability is volatile by nature. As shown in the table below, in 2022 it reached its lowest level and due mainly to the change in financial assumptions, the ASHI liability decreased again in 2025.</w:t>
      </w:r>
    </w:p>
    <w:p w14:paraId="64057461" w14:textId="77777777" w:rsidR="00963990" w:rsidRPr="00963990" w:rsidRDefault="00963990" w:rsidP="00963990">
      <w:pPr>
        <w:jc w:val="both"/>
      </w:pPr>
      <w:r w:rsidRPr="00963990">
        <w:t>3.7</w:t>
      </w:r>
      <w:r w:rsidRPr="00963990">
        <w:tab/>
        <w:t>The comparison over the years shows that the ASHI liability as at 31 December sits at a low level, approximately 10.1% higher than in 2022, the year of the lowest record, and 40.0% lower than in 2020 when the ASHI liability was at its peak.</w:t>
      </w:r>
    </w:p>
    <w:p w14:paraId="404E9EFB" w14:textId="77777777" w:rsidR="00963990" w:rsidRPr="00963990" w:rsidRDefault="00963990" w:rsidP="00963990">
      <w:pPr>
        <w:keepNext/>
        <w:spacing w:after="120"/>
        <w:jc w:val="both"/>
        <w:rPr>
          <w:b/>
          <w:bCs/>
        </w:rPr>
      </w:pPr>
      <w:r w:rsidRPr="00963990">
        <w:rPr>
          <w:szCs w:val="24"/>
        </w:rPr>
        <w:lastRenderedPageBreak/>
        <w:t>3.8</w:t>
      </w:r>
      <w:r w:rsidRPr="00963990">
        <w:rPr>
          <w:szCs w:val="24"/>
        </w:rPr>
        <w:tab/>
        <w:t>The evolution of these assumptions and of the ASHI liability are illustrated in the table below.</w:t>
      </w:r>
    </w:p>
    <w:tbl>
      <w:tblPr>
        <w:tblW w:w="10242" w:type="dxa"/>
        <w:jc w:val="center"/>
        <w:tblLayout w:type="fixed"/>
        <w:tblLook w:val="04A0" w:firstRow="1" w:lastRow="0" w:firstColumn="1" w:lastColumn="0" w:noHBand="0" w:noVBand="1"/>
      </w:tblPr>
      <w:tblGrid>
        <w:gridCol w:w="1833"/>
        <w:gridCol w:w="1050"/>
        <w:gridCol w:w="1050"/>
        <w:gridCol w:w="1051"/>
        <w:gridCol w:w="1052"/>
        <w:gridCol w:w="1051"/>
        <w:gridCol w:w="1051"/>
        <w:gridCol w:w="1052"/>
        <w:gridCol w:w="1052"/>
      </w:tblGrid>
      <w:tr w:rsidR="00963990" w:rsidRPr="00963990" w14:paraId="1FEC9700" w14:textId="77777777">
        <w:trPr>
          <w:trHeight w:val="435"/>
          <w:jc w:val="center"/>
        </w:trPr>
        <w:tc>
          <w:tcPr>
            <w:tcW w:w="1833" w:type="dxa"/>
            <w:tcBorders>
              <w:top w:val="single" w:sz="8" w:space="0" w:color="auto"/>
              <w:left w:val="single" w:sz="8" w:space="0" w:color="auto"/>
              <w:bottom w:val="nil"/>
              <w:right w:val="single" w:sz="4" w:space="0" w:color="auto"/>
            </w:tcBorders>
            <w:vAlign w:val="center"/>
            <w:hideMark/>
          </w:tcPr>
          <w:p w14:paraId="2335D2AF"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 </w:t>
            </w:r>
          </w:p>
        </w:tc>
        <w:tc>
          <w:tcPr>
            <w:tcW w:w="1050" w:type="dxa"/>
            <w:tcBorders>
              <w:top w:val="single" w:sz="8" w:space="0" w:color="auto"/>
              <w:left w:val="nil"/>
              <w:bottom w:val="single" w:sz="8" w:space="0" w:color="auto"/>
              <w:right w:val="single" w:sz="8" w:space="0" w:color="auto"/>
            </w:tcBorders>
            <w:noWrap/>
            <w:vAlign w:val="center"/>
            <w:hideMark/>
          </w:tcPr>
          <w:p w14:paraId="62E052B2"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2018</w:t>
            </w:r>
          </w:p>
        </w:tc>
        <w:tc>
          <w:tcPr>
            <w:tcW w:w="1050" w:type="dxa"/>
            <w:tcBorders>
              <w:top w:val="single" w:sz="8" w:space="0" w:color="auto"/>
              <w:left w:val="nil"/>
              <w:bottom w:val="single" w:sz="8" w:space="0" w:color="auto"/>
              <w:right w:val="single" w:sz="8" w:space="0" w:color="auto"/>
            </w:tcBorders>
            <w:vAlign w:val="center"/>
            <w:hideMark/>
          </w:tcPr>
          <w:p w14:paraId="52D16FAC"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2019</w:t>
            </w:r>
          </w:p>
        </w:tc>
        <w:tc>
          <w:tcPr>
            <w:tcW w:w="1051" w:type="dxa"/>
            <w:tcBorders>
              <w:top w:val="single" w:sz="8" w:space="0" w:color="auto"/>
              <w:left w:val="nil"/>
              <w:bottom w:val="single" w:sz="8" w:space="0" w:color="auto"/>
              <w:right w:val="single" w:sz="8" w:space="0" w:color="auto"/>
            </w:tcBorders>
            <w:noWrap/>
            <w:vAlign w:val="center"/>
            <w:hideMark/>
          </w:tcPr>
          <w:p w14:paraId="47B600BC"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2020</w:t>
            </w:r>
          </w:p>
        </w:tc>
        <w:tc>
          <w:tcPr>
            <w:tcW w:w="1052" w:type="dxa"/>
            <w:tcBorders>
              <w:top w:val="single" w:sz="8" w:space="0" w:color="auto"/>
              <w:left w:val="nil"/>
              <w:bottom w:val="single" w:sz="8" w:space="0" w:color="auto"/>
              <w:right w:val="single" w:sz="8" w:space="0" w:color="auto"/>
            </w:tcBorders>
            <w:vAlign w:val="center"/>
            <w:hideMark/>
          </w:tcPr>
          <w:p w14:paraId="2C4711AD"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2021</w:t>
            </w:r>
          </w:p>
        </w:tc>
        <w:tc>
          <w:tcPr>
            <w:tcW w:w="1051" w:type="dxa"/>
            <w:tcBorders>
              <w:top w:val="single" w:sz="8" w:space="0" w:color="auto"/>
              <w:left w:val="nil"/>
              <w:bottom w:val="single" w:sz="8" w:space="0" w:color="auto"/>
              <w:right w:val="single" w:sz="8" w:space="0" w:color="auto"/>
            </w:tcBorders>
            <w:vAlign w:val="center"/>
          </w:tcPr>
          <w:p w14:paraId="3D7DEA79"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2022</w:t>
            </w:r>
          </w:p>
        </w:tc>
        <w:tc>
          <w:tcPr>
            <w:tcW w:w="1051" w:type="dxa"/>
            <w:tcBorders>
              <w:top w:val="single" w:sz="8" w:space="0" w:color="auto"/>
              <w:left w:val="nil"/>
              <w:bottom w:val="single" w:sz="8" w:space="0" w:color="auto"/>
              <w:right w:val="single" w:sz="4" w:space="0" w:color="auto"/>
            </w:tcBorders>
            <w:vAlign w:val="center"/>
          </w:tcPr>
          <w:p w14:paraId="2298E885"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2023</w:t>
            </w:r>
          </w:p>
        </w:tc>
        <w:tc>
          <w:tcPr>
            <w:tcW w:w="1052" w:type="dxa"/>
            <w:tcBorders>
              <w:top w:val="single" w:sz="8" w:space="0" w:color="auto"/>
              <w:left w:val="single" w:sz="4" w:space="0" w:color="auto"/>
              <w:bottom w:val="single" w:sz="8" w:space="0" w:color="auto"/>
              <w:right w:val="single" w:sz="4" w:space="0" w:color="auto"/>
            </w:tcBorders>
            <w:vAlign w:val="center"/>
          </w:tcPr>
          <w:p w14:paraId="5F1CF182"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2024</w:t>
            </w:r>
          </w:p>
        </w:tc>
        <w:tc>
          <w:tcPr>
            <w:tcW w:w="1052" w:type="dxa"/>
            <w:tcBorders>
              <w:top w:val="single" w:sz="8" w:space="0" w:color="auto"/>
              <w:left w:val="single" w:sz="4" w:space="0" w:color="auto"/>
              <w:bottom w:val="single" w:sz="8" w:space="0" w:color="auto"/>
              <w:right w:val="single" w:sz="8" w:space="0" w:color="auto"/>
            </w:tcBorders>
            <w:vAlign w:val="center"/>
          </w:tcPr>
          <w:p w14:paraId="7469F518" w14:textId="77777777" w:rsidR="00963990" w:rsidRPr="00963990" w:rsidRDefault="00963990" w:rsidP="00963990">
            <w:pPr>
              <w:tabs>
                <w:tab w:val="clear" w:pos="567"/>
                <w:tab w:val="clear" w:pos="1134"/>
                <w:tab w:val="clear" w:pos="1701"/>
                <w:tab w:val="clear" w:pos="2268"/>
                <w:tab w:val="clear" w:pos="2835"/>
                <w:tab w:val="left" w:pos="284"/>
              </w:tabs>
              <w:spacing w:after="120"/>
              <w:jc w:val="center"/>
              <w:rPr>
                <w:b/>
                <w:sz w:val="22"/>
                <w:szCs w:val="22"/>
              </w:rPr>
            </w:pPr>
            <w:r w:rsidRPr="00963990">
              <w:rPr>
                <w:b/>
                <w:sz w:val="22"/>
                <w:szCs w:val="22"/>
              </w:rPr>
              <w:t>2025</w:t>
            </w:r>
          </w:p>
        </w:tc>
      </w:tr>
      <w:tr w:rsidR="00963990" w:rsidRPr="00963990" w14:paraId="2A16E165" w14:textId="77777777">
        <w:trPr>
          <w:trHeight w:val="480"/>
          <w:jc w:val="center"/>
        </w:trPr>
        <w:tc>
          <w:tcPr>
            <w:tcW w:w="1833" w:type="dxa"/>
            <w:tcBorders>
              <w:top w:val="nil"/>
              <w:left w:val="single" w:sz="8" w:space="0" w:color="auto"/>
              <w:bottom w:val="nil"/>
              <w:right w:val="single" w:sz="4" w:space="0" w:color="auto"/>
            </w:tcBorders>
            <w:vAlign w:val="center"/>
            <w:hideMark/>
          </w:tcPr>
          <w:p w14:paraId="5269A973" w14:textId="77777777" w:rsidR="00963990" w:rsidRPr="00963990" w:rsidRDefault="00963990" w:rsidP="00963990">
            <w:pPr>
              <w:tabs>
                <w:tab w:val="clear" w:pos="567"/>
                <w:tab w:val="clear" w:pos="1134"/>
                <w:tab w:val="clear" w:pos="1701"/>
                <w:tab w:val="clear" w:pos="2268"/>
                <w:tab w:val="clear" w:pos="2835"/>
                <w:tab w:val="left" w:pos="284"/>
              </w:tabs>
              <w:spacing w:before="60" w:after="60"/>
              <w:rPr>
                <w:sz w:val="22"/>
                <w:szCs w:val="22"/>
              </w:rPr>
            </w:pPr>
            <w:r w:rsidRPr="00963990">
              <w:rPr>
                <w:sz w:val="22"/>
                <w:szCs w:val="22"/>
              </w:rPr>
              <w:t>Discount rate</w:t>
            </w:r>
          </w:p>
        </w:tc>
        <w:tc>
          <w:tcPr>
            <w:tcW w:w="1050" w:type="dxa"/>
            <w:tcBorders>
              <w:top w:val="nil"/>
              <w:left w:val="nil"/>
              <w:bottom w:val="nil"/>
              <w:right w:val="single" w:sz="8" w:space="0" w:color="auto"/>
            </w:tcBorders>
            <w:noWrap/>
            <w:vAlign w:val="center"/>
            <w:hideMark/>
          </w:tcPr>
          <w:p w14:paraId="3A96816F"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1.20%</w:t>
            </w:r>
          </w:p>
        </w:tc>
        <w:tc>
          <w:tcPr>
            <w:tcW w:w="1050" w:type="dxa"/>
            <w:tcBorders>
              <w:top w:val="nil"/>
              <w:left w:val="nil"/>
              <w:bottom w:val="nil"/>
              <w:right w:val="single" w:sz="8" w:space="0" w:color="auto"/>
            </w:tcBorders>
            <w:noWrap/>
            <w:vAlign w:val="center"/>
            <w:hideMark/>
          </w:tcPr>
          <w:p w14:paraId="3AF0654D"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0.60%</w:t>
            </w:r>
          </w:p>
        </w:tc>
        <w:tc>
          <w:tcPr>
            <w:tcW w:w="1051" w:type="dxa"/>
            <w:tcBorders>
              <w:top w:val="nil"/>
              <w:left w:val="nil"/>
              <w:bottom w:val="nil"/>
              <w:right w:val="single" w:sz="8" w:space="0" w:color="auto"/>
            </w:tcBorders>
            <w:noWrap/>
            <w:vAlign w:val="center"/>
            <w:hideMark/>
          </w:tcPr>
          <w:p w14:paraId="336B1CFB"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0.20%</w:t>
            </w:r>
          </w:p>
        </w:tc>
        <w:tc>
          <w:tcPr>
            <w:tcW w:w="1052" w:type="dxa"/>
            <w:tcBorders>
              <w:top w:val="nil"/>
              <w:left w:val="nil"/>
              <w:bottom w:val="nil"/>
              <w:right w:val="single" w:sz="8" w:space="0" w:color="auto"/>
            </w:tcBorders>
            <w:noWrap/>
            <w:vAlign w:val="center"/>
            <w:hideMark/>
          </w:tcPr>
          <w:p w14:paraId="2F439324"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0.50%</w:t>
            </w:r>
          </w:p>
        </w:tc>
        <w:tc>
          <w:tcPr>
            <w:tcW w:w="1051" w:type="dxa"/>
            <w:tcBorders>
              <w:top w:val="nil"/>
              <w:left w:val="nil"/>
              <w:bottom w:val="nil"/>
              <w:right w:val="single" w:sz="8" w:space="0" w:color="auto"/>
            </w:tcBorders>
            <w:vAlign w:val="center"/>
          </w:tcPr>
          <w:p w14:paraId="4E708A45"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2.50%</w:t>
            </w:r>
          </w:p>
        </w:tc>
        <w:tc>
          <w:tcPr>
            <w:tcW w:w="1051" w:type="dxa"/>
            <w:tcBorders>
              <w:top w:val="nil"/>
              <w:left w:val="nil"/>
              <w:bottom w:val="nil"/>
              <w:right w:val="single" w:sz="4" w:space="0" w:color="auto"/>
            </w:tcBorders>
            <w:vAlign w:val="center"/>
          </w:tcPr>
          <w:p w14:paraId="4E7549C3"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1.90%</w:t>
            </w:r>
          </w:p>
        </w:tc>
        <w:tc>
          <w:tcPr>
            <w:tcW w:w="1052" w:type="dxa"/>
            <w:tcBorders>
              <w:top w:val="nil"/>
              <w:left w:val="single" w:sz="4" w:space="0" w:color="auto"/>
              <w:bottom w:val="nil"/>
              <w:right w:val="single" w:sz="4" w:space="0" w:color="auto"/>
            </w:tcBorders>
            <w:vAlign w:val="center"/>
          </w:tcPr>
          <w:p w14:paraId="049BAFBC"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1.40%</w:t>
            </w:r>
          </w:p>
        </w:tc>
        <w:tc>
          <w:tcPr>
            <w:tcW w:w="1052" w:type="dxa"/>
            <w:tcBorders>
              <w:top w:val="nil"/>
              <w:left w:val="single" w:sz="4" w:space="0" w:color="auto"/>
              <w:bottom w:val="nil"/>
              <w:right w:val="single" w:sz="8" w:space="0" w:color="auto"/>
            </w:tcBorders>
            <w:vAlign w:val="center"/>
          </w:tcPr>
          <w:p w14:paraId="63B1765E"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1.80%</w:t>
            </w:r>
          </w:p>
        </w:tc>
      </w:tr>
      <w:tr w:rsidR="00963990" w:rsidRPr="00963990" w14:paraId="16C2EAE7" w14:textId="77777777">
        <w:trPr>
          <w:trHeight w:val="420"/>
          <w:jc w:val="center"/>
        </w:trPr>
        <w:tc>
          <w:tcPr>
            <w:tcW w:w="1833" w:type="dxa"/>
            <w:tcBorders>
              <w:top w:val="nil"/>
              <w:left w:val="single" w:sz="8" w:space="0" w:color="auto"/>
              <w:right w:val="single" w:sz="4" w:space="0" w:color="auto"/>
            </w:tcBorders>
            <w:vAlign w:val="center"/>
            <w:hideMark/>
          </w:tcPr>
          <w:p w14:paraId="4AD1B316" w14:textId="77777777" w:rsidR="00963990" w:rsidRPr="00963990" w:rsidRDefault="00963990" w:rsidP="00963990">
            <w:pPr>
              <w:tabs>
                <w:tab w:val="clear" w:pos="567"/>
                <w:tab w:val="clear" w:pos="1134"/>
                <w:tab w:val="clear" w:pos="1701"/>
                <w:tab w:val="clear" w:pos="2268"/>
                <w:tab w:val="clear" w:pos="2835"/>
                <w:tab w:val="left" w:pos="284"/>
              </w:tabs>
              <w:spacing w:before="60" w:after="60"/>
              <w:rPr>
                <w:sz w:val="22"/>
                <w:szCs w:val="22"/>
              </w:rPr>
            </w:pPr>
            <w:r w:rsidRPr="00963990">
              <w:rPr>
                <w:sz w:val="22"/>
                <w:szCs w:val="22"/>
              </w:rPr>
              <w:t>Increase in medical costs</w:t>
            </w:r>
          </w:p>
        </w:tc>
        <w:tc>
          <w:tcPr>
            <w:tcW w:w="1050" w:type="dxa"/>
            <w:tcBorders>
              <w:top w:val="nil"/>
              <w:left w:val="nil"/>
              <w:bottom w:val="nil"/>
              <w:right w:val="single" w:sz="8" w:space="0" w:color="auto"/>
            </w:tcBorders>
            <w:vAlign w:val="center"/>
            <w:hideMark/>
          </w:tcPr>
          <w:p w14:paraId="69D03333"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3.90%</w:t>
            </w:r>
          </w:p>
        </w:tc>
        <w:tc>
          <w:tcPr>
            <w:tcW w:w="1050" w:type="dxa"/>
            <w:tcBorders>
              <w:top w:val="nil"/>
              <w:left w:val="nil"/>
              <w:bottom w:val="nil"/>
              <w:right w:val="single" w:sz="8" w:space="0" w:color="auto"/>
            </w:tcBorders>
            <w:vAlign w:val="center"/>
            <w:hideMark/>
          </w:tcPr>
          <w:p w14:paraId="73490E0E"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3.00%</w:t>
            </w:r>
          </w:p>
        </w:tc>
        <w:tc>
          <w:tcPr>
            <w:tcW w:w="1051" w:type="dxa"/>
            <w:tcBorders>
              <w:top w:val="nil"/>
              <w:left w:val="nil"/>
              <w:bottom w:val="nil"/>
              <w:right w:val="single" w:sz="8" w:space="0" w:color="auto"/>
            </w:tcBorders>
            <w:vAlign w:val="center"/>
            <w:hideMark/>
          </w:tcPr>
          <w:p w14:paraId="54AD29D1"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2.80%</w:t>
            </w:r>
          </w:p>
        </w:tc>
        <w:tc>
          <w:tcPr>
            <w:tcW w:w="1052" w:type="dxa"/>
            <w:tcBorders>
              <w:top w:val="nil"/>
              <w:left w:val="nil"/>
              <w:bottom w:val="nil"/>
              <w:right w:val="single" w:sz="8" w:space="0" w:color="auto"/>
            </w:tcBorders>
            <w:vAlign w:val="center"/>
            <w:hideMark/>
          </w:tcPr>
          <w:p w14:paraId="122A2526"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2.50%</w:t>
            </w:r>
          </w:p>
        </w:tc>
        <w:tc>
          <w:tcPr>
            <w:tcW w:w="1051" w:type="dxa"/>
            <w:tcBorders>
              <w:top w:val="nil"/>
              <w:left w:val="nil"/>
              <w:bottom w:val="nil"/>
              <w:right w:val="single" w:sz="8" w:space="0" w:color="auto"/>
            </w:tcBorders>
            <w:vAlign w:val="center"/>
          </w:tcPr>
          <w:p w14:paraId="75DFDDB2"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2.80%</w:t>
            </w:r>
          </w:p>
        </w:tc>
        <w:tc>
          <w:tcPr>
            <w:tcW w:w="1051" w:type="dxa"/>
            <w:tcBorders>
              <w:top w:val="nil"/>
              <w:left w:val="nil"/>
              <w:bottom w:val="nil"/>
              <w:right w:val="single" w:sz="4" w:space="0" w:color="auto"/>
            </w:tcBorders>
            <w:vAlign w:val="center"/>
          </w:tcPr>
          <w:p w14:paraId="2848ED07"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2.60%</w:t>
            </w:r>
          </w:p>
        </w:tc>
        <w:tc>
          <w:tcPr>
            <w:tcW w:w="1052" w:type="dxa"/>
            <w:tcBorders>
              <w:top w:val="nil"/>
              <w:left w:val="single" w:sz="4" w:space="0" w:color="auto"/>
              <w:bottom w:val="nil"/>
              <w:right w:val="single" w:sz="4" w:space="0" w:color="auto"/>
            </w:tcBorders>
            <w:vAlign w:val="center"/>
          </w:tcPr>
          <w:p w14:paraId="10B9E6A9"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2.40%</w:t>
            </w:r>
          </w:p>
        </w:tc>
        <w:tc>
          <w:tcPr>
            <w:tcW w:w="1052" w:type="dxa"/>
            <w:tcBorders>
              <w:top w:val="nil"/>
              <w:left w:val="single" w:sz="4" w:space="0" w:color="auto"/>
              <w:bottom w:val="nil"/>
              <w:right w:val="single" w:sz="8" w:space="0" w:color="auto"/>
            </w:tcBorders>
            <w:vAlign w:val="center"/>
          </w:tcPr>
          <w:p w14:paraId="46D28EF3"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2.20%</w:t>
            </w:r>
          </w:p>
        </w:tc>
      </w:tr>
      <w:tr w:rsidR="00963990" w:rsidRPr="00963990" w14:paraId="68571CAA" w14:textId="77777777">
        <w:trPr>
          <w:trHeight w:val="420"/>
          <w:jc w:val="center"/>
        </w:trPr>
        <w:tc>
          <w:tcPr>
            <w:tcW w:w="1833" w:type="dxa"/>
            <w:tcBorders>
              <w:top w:val="nil"/>
              <w:left w:val="single" w:sz="8" w:space="0" w:color="auto"/>
              <w:right w:val="single" w:sz="4" w:space="0" w:color="auto"/>
            </w:tcBorders>
            <w:hideMark/>
          </w:tcPr>
          <w:p w14:paraId="4EBA659A" w14:textId="77777777" w:rsidR="00963990" w:rsidRPr="00963990" w:rsidRDefault="00963990" w:rsidP="00963990">
            <w:pPr>
              <w:tabs>
                <w:tab w:val="clear" w:pos="567"/>
                <w:tab w:val="clear" w:pos="1134"/>
                <w:tab w:val="clear" w:pos="1701"/>
                <w:tab w:val="clear" w:pos="2268"/>
                <w:tab w:val="clear" w:pos="2835"/>
                <w:tab w:val="left" w:pos="284"/>
              </w:tabs>
              <w:spacing w:before="60" w:after="60"/>
              <w:rPr>
                <w:sz w:val="22"/>
                <w:szCs w:val="22"/>
              </w:rPr>
            </w:pPr>
            <w:r w:rsidRPr="00963990">
              <w:rPr>
                <w:sz w:val="22"/>
                <w:szCs w:val="22"/>
              </w:rPr>
              <w:t>Salary increase</w:t>
            </w:r>
          </w:p>
        </w:tc>
        <w:tc>
          <w:tcPr>
            <w:tcW w:w="1050" w:type="dxa"/>
            <w:tcBorders>
              <w:top w:val="nil"/>
              <w:left w:val="nil"/>
              <w:bottom w:val="nil"/>
              <w:right w:val="single" w:sz="8" w:space="0" w:color="auto"/>
            </w:tcBorders>
            <w:vAlign w:val="center"/>
            <w:hideMark/>
          </w:tcPr>
          <w:p w14:paraId="5FD89BEF"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3.50%</w:t>
            </w:r>
          </w:p>
        </w:tc>
        <w:tc>
          <w:tcPr>
            <w:tcW w:w="1050" w:type="dxa"/>
            <w:tcBorders>
              <w:top w:val="nil"/>
              <w:left w:val="nil"/>
              <w:bottom w:val="nil"/>
              <w:right w:val="single" w:sz="8" w:space="0" w:color="auto"/>
            </w:tcBorders>
            <w:vAlign w:val="center"/>
            <w:hideMark/>
          </w:tcPr>
          <w:p w14:paraId="13E31B9C"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3.00%</w:t>
            </w:r>
          </w:p>
        </w:tc>
        <w:tc>
          <w:tcPr>
            <w:tcW w:w="1051" w:type="dxa"/>
            <w:tcBorders>
              <w:top w:val="nil"/>
              <w:left w:val="nil"/>
              <w:bottom w:val="nil"/>
              <w:right w:val="single" w:sz="8" w:space="0" w:color="auto"/>
            </w:tcBorders>
            <w:vAlign w:val="center"/>
            <w:hideMark/>
          </w:tcPr>
          <w:p w14:paraId="0AA6E5D9"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3.00%</w:t>
            </w:r>
          </w:p>
        </w:tc>
        <w:tc>
          <w:tcPr>
            <w:tcW w:w="1052" w:type="dxa"/>
            <w:tcBorders>
              <w:top w:val="nil"/>
              <w:left w:val="nil"/>
              <w:bottom w:val="nil"/>
              <w:right w:val="single" w:sz="8" w:space="0" w:color="auto"/>
            </w:tcBorders>
            <w:vAlign w:val="center"/>
            <w:hideMark/>
          </w:tcPr>
          <w:p w14:paraId="3FCC75D2"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3.00%</w:t>
            </w:r>
          </w:p>
        </w:tc>
        <w:tc>
          <w:tcPr>
            <w:tcW w:w="1051" w:type="dxa"/>
            <w:tcBorders>
              <w:top w:val="nil"/>
              <w:left w:val="nil"/>
              <w:bottom w:val="nil"/>
              <w:right w:val="single" w:sz="8" w:space="0" w:color="auto"/>
            </w:tcBorders>
            <w:vAlign w:val="center"/>
          </w:tcPr>
          <w:p w14:paraId="21D0D7C7"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3.00%</w:t>
            </w:r>
          </w:p>
        </w:tc>
        <w:tc>
          <w:tcPr>
            <w:tcW w:w="1051" w:type="dxa"/>
            <w:tcBorders>
              <w:top w:val="nil"/>
              <w:left w:val="nil"/>
              <w:bottom w:val="nil"/>
              <w:right w:val="single" w:sz="4" w:space="0" w:color="auto"/>
            </w:tcBorders>
            <w:vAlign w:val="center"/>
          </w:tcPr>
          <w:p w14:paraId="63F2A2A4"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3.10%</w:t>
            </w:r>
          </w:p>
        </w:tc>
        <w:tc>
          <w:tcPr>
            <w:tcW w:w="1052" w:type="dxa"/>
            <w:tcBorders>
              <w:top w:val="nil"/>
              <w:left w:val="single" w:sz="4" w:space="0" w:color="auto"/>
              <w:bottom w:val="nil"/>
              <w:right w:val="single" w:sz="4" w:space="0" w:color="auto"/>
            </w:tcBorders>
            <w:vAlign w:val="center"/>
          </w:tcPr>
          <w:p w14:paraId="6E565401"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3.10%</w:t>
            </w:r>
          </w:p>
        </w:tc>
        <w:tc>
          <w:tcPr>
            <w:tcW w:w="1052" w:type="dxa"/>
            <w:tcBorders>
              <w:top w:val="nil"/>
              <w:left w:val="single" w:sz="4" w:space="0" w:color="auto"/>
              <w:bottom w:val="nil"/>
              <w:right w:val="single" w:sz="8" w:space="0" w:color="auto"/>
            </w:tcBorders>
            <w:vAlign w:val="center"/>
          </w:tcPr>
          <w:p w14:paraId="00E18FD2"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3.1%</w:t>
            </w:r>
          </w:p>
        </w:tc>
      </w:tr>
      <w:tr w:rsidR="00963990" w:rsidRPr="00963990" w14:paraId="16F9EA0C" w14:textId="77777777">
        <w:trPr>
          <w:trHeight w:val="345"/>
          <w:jc w:val="center"/>
        </w:trPr>
        <w:tc>
          <w:tcPr>
            <w:tcW w:w="1833" w:type="dxa"/>
            <w:tcBorders>
              <w:left w:val="single" w:sz="8" w:space="0" w:color="auto"/>
              <w:bottom w:val="single" w:sz="8" w:space="0" w:color="000000"/>
              <w:right w:val="single" w:sz="4" w:space="0" w:color="auto"/>
            </w:tcBorders>
            <w:vAlign w:val="center"/>
            <w:hideMark/>
          </w:tcPr>
          <w:p w14:paraId="70F39A7F" w14:textId="77777777" w:rsidR="00963990" w:rsidRPr="00963990" w:rsidRDefault="00963990" w:rsidP="00963990">
            <w:pPr>
              <w:tabs>
                <w:tab w:val="clear" w:pos="567"/>
                <w:tab w:val="clear" w:pos="1134"/>
                <w:tab w:val="clear" w:pos="1701"/>
                <w:tab w:val="clear" w:pos="2268"/>
                <w:tab w:val="clear" w:pos="2835"/>
                <w:tab w:val="left" w:pos="284"/>
              </w:tabs>
              <w:spacing w:before="60" w:after="60"/>
              <w:rPr>
                <w:sz w:val="22"/>
                <w:szCs w:val="22"/>
              </w:rPr>
            </w:pPr>
            <w:r w:rsidRPr="00963990">
              <w:rPr>
                <w:sz w:val="22"/>
                <w:szCs w:val="22"/>
              </w:rPr>
              <w:t>ASHI liability at year-end</w:t>
            </w:r>
          </w:p>
        </w:tc>
        <w:tc>
          <w:tcPr>
            <w:tcW w:w="1050" w:type="dxa"/>
            <w:tcBorders>
              <w:top w:val="nil"/>
              <w:left w:val="nil"/>
              <w:bottom w:val="single" w:sz="8" w:space="0" w:color="auto"/>
              <w:right w:val="single" w:sz="8" w:space="0" w:color="auto"/>
            </w:tcBorders>
            <w:vAlign w:val="center"/>
            <w:hideMark/>
          </w:tcPr>
          <w:p w14:paraId="4C7ADF4A"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552 240</w:t>
            </w:r>
          </w:p>
        </w:tc>
        <w:tc>
          <w:tcPr>
            <w:tcW w:w="1050" w:type="dxa"/>
            <w:tcBorders>
              <w:top w:val="nil"/>
              <w:left w:val="nil"/>
              <w:bottom w:val="single" w:sz="8" w:space="0" w:color="auto"/>
              <w:right w:val="single" w:sz="8" w:space="0" w:color="auto"/>
            </w:tcBorders>
            <w:vAlign w:val="center"/>
            <w:hideMark/>
          </w:tcPr>
          <w:p w14:paraId="20D4FC1E"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611 896</w:t>
            </w:r>
          </w:p>
        </w:tc>
        <w:tc>
          <w:tcPr>
            <w:tcW w:w="1051" w:type="dxa"/>
            <w:tcBorders>
              <w:top w:val="nil"/>
              <w:left w:val="nil"/>
              <w:bottom w:val="single" w:sz="8" w:space="0" w:color="auto"/>
              <w:right w:val="single" w:sz="8" w:space="0" w:color="auto"/>
            </w:tcBorders>
            <w:vAlign w:val="center"/>
            <w:hideMark/>
          </w:tcPr>
          <w:p w14:paraId="25D8C365"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631 870</w:t>
            </w:r>
          </w:p>
        </w:tc>
        <w:tc>
          <w:tcPr>
            <w:tcW w:w="1052" w:type="dxa"/>
            <w:tcBorders>
              <w:top w:val="nil"/>
              <w:left w:val="nil"/>
              <w:bottom w:val="single" w:sz="8" w:space="0" w:color="auto"/>
              <w:right w:val="single" w:sz="8" w:space="0" w:color="auto"/>
            </w:tcBorders>
            <w:noWrap/>
            <w:vAlign w:val="center"/>
            <w:hideMark/>
          </w:tcPr>
          <w:p w14:paraId="07CCD1E3"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564 636</w:t>
            </w:r>
          </w:p>
        </w:tc>
        <w:tc>
          <w:tcPr>
            <w:tcW w:w="1051" w:type="dxa"/>
            <w:tcBorders>
              <w:top w:val="nil"/>
              <w:left w:val="nil"/>
              <w:bottom w:val="single" w:sz="8" w:space="0" w:color="auto"/>
              <w:right w:val="single" w:sz="8" w:space="0" w:color="auto"/>
            </w:tcBorders>
            <w:vAlign w:val="center"/>
          </w:tcPr>
          <w:p w14:paraId="579C9CEC"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344 102</w:t>
            </w:r>
          </w:p>
        </w:tc>
        <w:tc>
          <w:tcPr>
            <w:tcW w:w="1051" w:type="dxa"/>
            <w:tcBorders>
              <w:top w:val="nil"/>
              <w:left w:val="nil"/>
              <w:bottom w:val="single" w:sz="8" w:space="0" w:color="auto"/>
              <w:right w:val="single" w:sz="4" w:space="0" w:color="auto"/>
            </w:tcBorders>
            <w:vAlign w:val="center"/>
          </w:tcPr>
          <w:p w14:paraId="2E3CF110"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375 271</w:t>
            </w:r>
          </w:p>
        </w:tc>
        <w:tc>
          <w:tcPr>
            <w:tcW w:w="1052" w:type="dxa"/>
            <w:tcBorders>
              <w:top w:val="nil"/>
              <w:left w:val="single" w:sz="4" w:space="0" w:color="auto"/>
              <w:bottom w:val="single" w:sz="8" w:space="0" w:color="auto"/>
              <w:right w:val="single" w:sz="4" w:space="0" w:color="auto"/>
            </w:tcBorders>
            <w:vAlign w:val="center"/>
          </w:tcPr>
          <w:p w14:paraId="72F8B8CB" w14:textId="77777777"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415 835</w:t>
            </w:r>
          </w:p>
        </w:tc>
        <w:tc>
          <w:tcPr>
            <w:tcW w:w="1052" w:type="dxa"/>
            <w:tcBorders>
              <w:top w:val="nil"/>
              <w:left w:val="single" w:sz="4" w:space="0" w:color="auto"/>
              <w:bottom w:val="single" w:sz="8" w:space="0" w:color="auto"/>
              <w:right w:val="single" w:sz="8" w:space="0" w:color="auto"/>
            </w:tcBorders>
            <w:vAlign w:val="center"/>
          </w:tcPr>
          <w:p w14:paraId="4AD6369C" w14:textId="20AFF4E6" w:rsidR="00963990" w:rsidRPr="00963990" w:rsidRDefault="00963990" w:rsidP="00963990">
            <w:pPr>
              <w:tabs>
                <w:tab w:val="clear" w:pos="567"/>
                <w:tab w:val="clear" w:pos="1134"/>
                <w:tab w:val="clear" w:pos="1701"/>
                <w:tab w:val="clear" w:pos="2268"/>
                <w:tab w:val="clear" w:pos="2835"/>
                <w:tab w:val="left" w:pos="284"/>
              </w:tabs>
              <w:spacing w:before="60" w:after="60"/>
              <w:jc w:val="center"/>
              <w:rPr>
                <w:sz w:val="22"/>
                <w:szCs w:val="22"/>
              </w:rPr>
            </w:pPr>
            <w:r w:rsidRPr="00963990">
              <w:rPr>
                <w:sz w:val="22"/>
                <w:szCs w:val="22"/>
              </w:rPr>
              <w:t>378</w:t>
            </w:r>
            <w:r>
              <w:rPr>
                <w:sz w:val="22"/>
                <w:szCs w:val="22"/>
              </w:rPr>
              <w:t> </w:t>
            </w:r>
            <w:r w:rsidRPr="00963990">
              <w:rPr>
                <w:sz w:val="22"/>
                <w:szCs w:val="22"/>
              </w:rPr>
              <w:t>824</w:t>
            </w:r>
          </w:p>
        </w:tc>
      </w:tr>
    </w:tbl>
    <w:p w14:paraId="0C948D01" w14:textId="77777777" w:rsidR="00963990" w:rsidRPr="00963990" w:rsidRDefault="00963990" w:rsidP="00963990">
      <w:pPr>
        <w:tabs>
          <w:tab w:val="clear" w:pos="567"/>
          <w:tab w:val="clear" w:pos="1134"/>
          <w:tab w:val="clear" w:pos="1701"/>
          <w:tab w:val="clear" w:pos="2268"/>
          <w:tab w:val="clear" w:pos="2835"/>
          <w:tab w:val="left" w:pos="284"/>
        </w:tabs>
        <w:spacing w:before="0"/>
        <w:rPr>
          <w:sz w:val="22"/>
          <w:szCs w:val="22"/>
        </w:rPr>
      </w:pPr>
    </w:p>
    <w:p w14:paraId="39F20D25" w14:textId="77777777" w:rsidR="00963990" w:rsidRPr="00963990" w:rsidRDefault="00963990" w:rsidP="00963990">
      <w:pPr>
        <w:keepNext/>
        <w:keepLines/>
        <w:spacing w:before="360"/>
        <w:ind w:left="567" w:hanging="567"/>
        <w:outlineLvl w:val="0"/>
        <w:rPr>
          <w:b/>
          <w:sz w:val="28"/>
        </w:rPr>
      </w:pPr>
      <w:r w:rsidRPr="00963990">
        <w:rPr>
          <w:b/>
          <w:sz w:val="28"/>
        </w:rPr>
        <w:t>4</w:t>
      </w:r>
      <w:r w:rsidRPr="00963990">
        <w:rPr>
          <w:b/>
          <w:sz w:val="28"/>
        </w:rPr>
        <w:tab/>
        <w:t>Actions taken</w:t>
      </w:r>
    </w:p>
    <w:p w14:paraId="15EF1D9C" w14:textId="77777777" w:rsidR="00963990" w:rsidRPr="00963990" w:rsidRDefault="00963990" w:rsidP="00963990">
      <w:pPr>
        <w:jc w:val="both"/>
      </w:pPr>
      <w:r w:rsidRPr="00963990">
        <w:t>4.1</w:t>
      </w:r>
      <w:r w:rsidRPr="00963990">
        <w:tab/>
        <w:t>Since 2010, the funding of the ASHI actuarial liability has been a concern, broadly within the UN environment. Measures have been taken to ensure that current health insurance benefits can continue to be financed on a pay-as-you-go basis while assuring long-term funding of the accrued ASHI liability.</w:t>
      </w:r>
    </w:p>
    <w:p w14:paraId="114FA2FF" w14:textId="77777777" w:rsidR="00963990" w:rsidRPr="00963990" w:rsidRDefault="00963990" w:rsidP="00963990">
      <w:pPr>
        <w:jc w:val="both"/>
      </w:pPr>
      <w:r w:rsidRPr="00963990">
        <w:t>4.2</w:t>
      </w:r>
      <w:r w:rsidRPr="00963990">
        <w:tab/>
        <w:t>It is to be noted that the estimated health insurance contributions from ITU for active staff and retirees are included in the biennial budget presented to the Council.</w:t>
      </w:r>
    </w:p>
    <w:p w14:paraId="372CC264" w14:textId="77777777" w:rsidR="00963990" w:rsidRPr="00963990" w:rsidRDefault="00963990" w:rsidP="00963990">
      <w:pPr>
        <w:keepNext/>
        <w:keepLines/>
        <w:spacing w:before="160"/>
        <w:outlineLvl w:val="0"/>
        <w:rPr>
          <w:b/>
        </w:rPr>
      </w:pPr>
      <w:r w:rsidRPr="00963990">
        <w:rPr>
          <w:b/>
        </w:rPr>
        <w:t>Creation of fund for the long-term financing of the ASHI actuarial liability</w:t>
      </w:r>
    </w:p>
    <w:p w14:paraId="4B2A412E" w14:textId="6AFB62DE" w:rsidR="00963990" w:rsidRPr="00963990" w:rsidRDefault="00963990" w:rsidP="00963990">
      <w:pPr>
        <w:jc w:val="both"/>
      </w:pPr>
      <w:r w:rsidRPr="00963990">
        <w:t>4.3</w:t>
      </w:r>
      <w:r w:rsidRPr="00963990">
        <w:tab/>
        <w:t>As of 31 December 202</w:t>
      </w:r>
      <w:r w:rsidR="00D112F1">
        <w:t>5</w:t>
      </w:r>
      <w:r w:rsidRPr="00963990">
        <w:t>, the ASHI fund amounted to CHF 15 million</w:t>
      </w:r>
      <w:r w:rsidR="00D112F1">
        <w:t xml:space="preserve"> (CHF 15 million also as of</w:t>
      </w:r>
      <w:r w:rsidR="00367E90">
        <w:t xml:space="preserve"> 31 December 2024)</w:t>
      </w:r>
      <w:r w:rsidRPr="00963990">
        <w:t>. Since its creation in 2013, CHF 9 million have been paid into the fund in accordance with the different budget resolutions and a further CHF 6 million from surpluses resulting from budget implementation.</w:t>
      </w:r>
    </w:p>
    <w:p w14:paraId="2F136D29" w14:textId="1CD0777B" w:rsidR="00963990" w:rsidRPr="00963990" w:rsidRDefault="00963990" w:rsidP="00963990">
      <w:pPr>
        <w:jc w:val="both"/>
        <w:rPr>
          <w:color w:val="000000" w:themeColor="text1"/>
        </w:rPr>
      </w:pPr>
      <w:r>
        <w:t>4.4</w:t>
      </w:r>
      <w:r>
        <w:tab/>
        <w:t xml:space="preserve">As </w:t>
      </w:r>
      <w:r w:rsidR="00955D83" w:rsidRPr="00955D83">
        <w:t xml:space="preserve">the Council noted </w:t>
      </w:r>
      <w:r>
        <w:t xml:space="preserve">in document </w:t>
      </w:r>
      <w:hyperlink r:id="rId13">
        <w:r w:rsidRPr="3260D6B2">
          <w:rPr>
            <w:rStyle w:val="Hyperlink"/>
          </w:rPr>
          <w:t>C25/46</w:t>
        </w:r>
      </w:hyperlink>
      <w:r>
        <w:t xml:space="preserve"> of the Council 2025, </w:t>
      </w:r>
      <w:r w:rsidR="00D2688C" w:rsidRPr="00D2688C">
        <w:t>the UN ASHI working group (established under General Assembly Resolution</w:t>
      </w:r>
      <w:r>
        <w:t xml:space="preserve"> </w:t>
      </w:r>
      <w:hyperlink r:id="rId14">
        <w:r w:rsidRPr="3260D6B2">
          <w:rPr>
            <w:rStyle w:val="Hyperlink"/>
          </w:rPr>
          <w:t>A/RES/68/244</w:t>
        </w:r>
      </w:hyperlink>
      <w:r>
        <w:t>)</w:t>
      </w:r>
      <w:r w:rsidR="00456F30">
        <w:t>,</w:t>
      </w:r>
      <w:r>
        <w:t xml:space="preserve"> </w:t>
      </w:r>
      <w:r w:rsidR="00456F30">
        <w:t>the</w:t>
      </w:r>
      <w:r w:rsidR="00CD6B38" w:rsidRPr="00CD6B38">
        <w:t xml:space="preserve"> JIU and IMAC</w:t>
      </w:r>
      <w:r w:rsidR="00456F30">
        <w:t xml:space="preserve"> recommended the creation </w:t>
      </w:r>
      <w:r w:rsidR="00100258" w:rsidRPr="00100258">
        <w:t>of a dedicated financial reserve for each organization, financed through a contribution corresponding to 5.35 per cent of the salary of newly recruited staff. The Secretariat is therefore seeking the Council’s approval for the implementation of such measure for staff recruited starting from 1 January 2026, by submitting the draft decision</w:t>
      </w:r>
      <w:r w:rsidR="006C0958">
        <w:t xml:space="preserve"> </w:t>
      </w:r>
      <w:r w:rsidR="00CD6B38" w:rsidRPr="00CD6B38">
        <w:t xml:space="preserve">in </w:t>
      </w:r>
      <w:hyperlink w:anchor="Annex_A" w:history="1">
        <w:r w:rsidRPr="3260D6B2">
          <w:rPr>
            <w:rStyle w:val="Hyperlink"/>
          </w:rPr>
          <w:t>Annex A</w:t>
        </w:r>
      </w:hyperlink>
      <w:r w:rsidR="00CD6B38" w:rsidRPr="00CD6B38">
        <w:t xml:space="preserve"> for the Council consideration and approval</w:t>
      </w:r>
      <w:r w:rsidRPr="3260D6B2">
        <w:rPr>
          <w:color w:val="000000" w:themeColor="text1"/>
        </w:rPr>
        <w:t xml:space="preserve">. </w:t>
      </w:r>
    </w:p>
    <w:p w14:paraId="6074BBE3" w14:textId="77777777" w:rsidR="00963990" w:rsidRPr="00963990" w:rsidRDefault="00963990" w:rsidP="00963990">
      <w:pPr>
        <w:keepNext/>
        <w:keepLines/>
        <w:spacing w:before="360"/>
        <w:ind w:left="567" w:hanging="567"/>
        <w:outlineLvl w:val="0"/>
        <w:rPr>
          <w:b/>
          <w:sz w:val="28"/>
        </w:rPr>
      </w:pPr>
      <w:r w:rsidRPr="00963990">
        <w:rPr>
          <w:b/>
          <w:sz w:val="28"/>
        </w:rPr>
        <w:t>5</w:t>
      </w:r>
      <w:r w:rsidRPr="00963990">
        <w:rPr>
          <w:b/>
          <w:sz w:val="28"/>
        </w:rPr>
        <w:tab/>
        <w:t>Conclusion</w:t>
      </w:r>
    </w:p>
    <w:p w14:paraId="7958CD00" w14:textId="77777777" w:rsidR="00963990" w:rsidRPr="00963990" w:rsidRDefault="00963990" w:rsidP="00963990">
      <w:pPr>
        <w:jc w:val="both"/>
      </w:pPr>
      <w:r w:rsidRPr="00963990">
        <w:t>5.1</w:t>
      </w:r>
      <w:r w:rsidRPr="00963990">
        <w:tab/>
        <w:t xml:space="preserve">Regardless of the medical plan, financing the ASHI obligation remains an issue for many UN system organizations. </w:t>
      </w:r>
    </w:p>
    <w:p w14:paraId="5EBD7B86" w14:textId="77777777" w:rsidR="00963990" w:rsidRDefault="00963990" w:rsidP="00963990">
      <w:pPr>
        <w:jc w:val="both"/>
        <w:rPr>
          <w:szCs w:val="24"/>
        </w:rPr>
      </w:pPr>
      <w:bookmarkStart w:id="13" w:name="_Hlk38447710"/>
      <w:r w:rsidRPr="00963990">
        <w:rPr>
          <w:szCs w:val="24"/>
        </w:rPr>
        <w:t>5.2</w:t>
      </w:r>
      <w:r w:rsidRPr="00963990">
        <w:rPr>
          <w:szCs w:val="24"/>
        </w:rPr>
        <w:tab/>
      </w:r>
      <w:r w:rsidRPr="00963990">
        <w:rPr>
          <w:color w:val="000000" w:themeColor="text1"/>
        </w:rPr>
        <w:t xml:space="preserve">Given </w:t>
      </w:r>
      <w:r w:rsidRPr="00963990">
        <w:rPr>
          <w:szCs w:val="24"/>
        </w:rPr>
        <w:t>the magnitude of the unfunded portion of the ASHI obligation, the evolution of the liability will continue to be carefully monitored.</w:t>
      </w:r>
    </w:p>
    <w:p w14:paraId="2638ADB5" w14:textId="183C9416" w:rsidR="00963990" w:rsidRPr="00963990" w:rsidRDefault="00963990" w:rsidP="00DF69D9">
      <w:pPr>
        <w:spacing w:before="1080"/>
        <w:jc w:val="both"/>
        <w:rPr>
          <w:caps/>
          <w:sz w:val="28"/>
        </w:rPr>
      </w:pPr>
      <w:r w:rsidRPr="00963990">
        <w:rPr>
          <w:i/>
          <w:iCs/>
          <w:szCs w:val="24"/>
        </w:rPr>
        <w:t xml:space="preserve">Annex: </w:t>
      </w:r>
      <w:r w:rsidRPr="00963990">
        <w:rPr>
          <w:b/>
          <w:bCs/>
          <w:i/>
          <w:iCs/>
          <w:szCs w:val="24"/>
        </w:rPr>
        <w:t>1</w:t>
      </w:r>
      <w:bookmarkEnd w:id="13"/>
      <w:r w:rsidRPr="00963990">
        <w:br w:type="page"/>
      </w:r>
    </w:p>
    <w:p w14:paraId="676CAD0D" w14:textId="77777777" w:rsidR="00963990" w:rsidRPr="00963990" w:rsidRDefault="00963990" w:rsidP="00242684">
      <w:pPr>
        <w:pStyle w:val="AnnexNo"/>
      </w:pPr>
      <w:bookmarkStart w:id="14" w:name="Annex_A"/>
      <w:r w:rsidRPr="00963990">
        <w:lastRenderedPageBreak/>
        <w:t>ANNEX A</w:t>
      </w:r>
      <w:bookmarkEnd w:id="14"/>
    </w:p>
    <w:p w14:paraId="4F37C3AF" w14:textId="77777777" w:rsidR="00963990" w:rsidRPr="00963990" w:rsidRDefault="00963990" w:rsidP="00242684">
      <w:pPr>
        <w:pStyle w:val="AnnexNo"/>
      </w:pPr>
      <w:r w:rsidRPr="00963990">
        <w:t>DRAFT DECISION […]</w:t>
      </w:r>
    </w:p>
    <w:p w14:paraId="295AE2FF" w14:textId="2B327343" w:rsidR="00963990" w:rsidRPr="00963990" w:rsidRDefault="00963990" w:rsidP="00242684">
      <w:pPr>
        <w:pStyle w:val="Annextitle"/>
        <w:rPr>
          <w:rFonts w:asciiTheme="minorHAnsi" w:hAnsiTheme="minorHAnsi"/>
        </w:rPr>
      </w:pPr>
      <w:bookmarkStart w:id="15" w:name="OLE_LINK9"/>
      <w:bookmarkStart w:id="16" w:name="OLE_LINK10"/>
      <w:r w:rsidRPr="00963990">
        <w:t>The After-Service Health Insurance (ASHI) liability</w:t>
      </w:r>
    </w:p>
    <w:bookmarkEnd w:id="15"/>
    <w:bookmarkEnd w:id="16"/>
    <w:p w14:paraId="1EC322FC" w14:textId="77777777" w:rsidR="00963990" w:rsidRPr="00963990" w:rsidRDefault="00963990" w:rsidP="00242684">
      <w:pPr>
        <w:pStyle w:val="Normalaftertitle"/>
      </w:pPr>
      <w:r w:rsidRPr="00963990">
        <w:t>The ITU Council,</w:t>
      </w:r>
    </w:p>
    <w:p w14:paraId="3F21E8ED" w14:textId="77777777" w:rsidR="00963990" w:rsidRPr="00963990" w:rsidRDefault="00963990" w:rsidP="00242684">
      <w:pPr>
        <w:pStyle w:val="Call"/>
      </w:pPr>
      <w:r w:rsidRPr="00963990">
        <w:t>having examined</w:t>
      </w:r>
    </w:p>
    <w:p w14:paraId="12F19B9A" w14:textId="77777777" w:rsidR="00963990" w:rsidRPr="00963990" w:rsidRDefault="00963990" w:rsidP="00963990">
      <w:r w:rsidRPr="00963990">
        <w:t xml:space="preserve">Document </w:t>
      </w:r>
      <w:hyperlink r:id="rId15" w:history="1">
        <w:r w:rsidRPr="00963990">
          <w:rPr>
            <w:color w:val="4F81BD" w:themeColor="accent1"/>
            <w:u w:val="single"/>
          </w:rPr>
          <w:t>C26/46</w:t>
        </w:r>
      </w:hyperlink>
      <w:r w:rsidRPr="00963990">
        <w:t>,</w:t>
      </w:r>
    </w:p>
    <w:p w14:paraId="59EB0BB4" w14:textId="77777777" w:rsidR="00963990" w:rsidRPr="00963990" w:rsidRDefault="00963990" w:rsidP="00242684">
      <w:pPr>
        <w:pStyle w:val="Call"/>
      </w:pPr>
      <w:r w:rsidRPr="00963990">
        <w:t>considering</w:t>
      </w:r>
    </w:p>
    <w:p w14:paraId="292CF167" w14:textId="535C3C0B" w:rsidR="00963990" w:rsidRPr="00963990" w:rsidRDefault="00963990" w:rsidP="00963990">
      <w:pPr>
        <w:jc w:val="both"/>
        <w:rPr>
          <w:rFonts w:asciiTheme="minorHAnsi" w:hAnsiTheme="minorHAnsi"/>
          <w:szCs w:val="24"/>
        </w:rPr>
      </w:pPr>
      <w:r w:rsidRPr="00963990">
        <w:t xml:space="preserve">Decision 5 </w:t>
      </w:r>
      <w:r w:rsidR="00242684">
        <w:t>(</w:t>
      </w:r>
      <w:r w:rsidRPr="00963990">
        <w:rPr>
          <w:szCs w:val="24"/>
        </w:rPr>
        <w:t xml:space="preserve">Rev. Bucharest, 2022) of the Plenipotentiary Conference </w:t>
      </w:r>
      <w:r w:rsidRPr="00963990">
        <w:t>after a careful review of the recommendations issued by the UN ASHI working group (established under General Assembly Resolution A/RES/68/244) and further to the recommendations of both JIU and IMAC</w:t>
      </w:r>
      <w:r w:rsidR="00242684">
        <w:rPr>
          <w:szCs w:val="24"/>
        </w:rPr>
        <w:t>,</w:t>
      </w:r>
    </w:p>
    <w:p w14:paraId="3C35BD4E" w14:textId="77777777" w:rsidR="00963990" w:rsidRPr="00963990" w:rsidRDefault="00963990" w:rsidP="00242684">
      <w:pPr>
        <w:pStyle w:val="Call"/>
      </w:pPr>
      <w:r w:rsidRPr="00963990">
        <w:t>taking into account</w:t>
      </w:r>
    </w:p>
    <w:p w14:paraId="74AC3EB6" w14:textId="457065EF" w:rsidR="00963990" w:rsidRPr="002D3268" w:rsidRDefault="00963990" w:rsidP="00963990">
      <w:r w:rsidRPr="002D3268">
        <w:t>Article 2</w:t>
      </w:r>
      <w:r w:rsidR="002D3268" w:rsidRPr="002D3268">
        <w:t>5</w:t>
      </w:r>
      <w:r w:rsidRPr="002D3268">
        <w:t xml:space="preserve"> of the </w:t>
      </w:r>
      <w:hyperlink r:id="rId16" w:history="1">
        <w:r w:rsidRPr="002D3268">
          <w:rPr>
            <w:color w:val="0563C1"/>
            <w:u w:val="single"/>
          </w:rPr>
          <w:t>Financial Regulations</w:t>
        </w:r>
      </w:hyperlink>
      <w:r w:rsidRPr="002D3268">
        <w:t>,</w:t>
      </w:r>
    </w:p>
    <w:p w14:paraId="0EEEC31B" w14:textId="77777777" w:rsidR="00963990" w:rsidRPr="00963990" w:rsidRDefault="00963990" w:rsidP="007236A5">
      <w:pPr>
        <w:pStyle w:val="Call"/>
      </w:pPr>
      <w:r w:rsidRPr="002D3268">
        <w:t>decides</w:t>
      </w:r>
    </w:p>
    <w:p w14:paraId="78BFA75D" w14:textId="7FB498CC" w:rsidR="00963990" w:rsidRPr="00963990" w:rsidRDefault="00963990" w:rsidP="118542F6">
      <w:pPr>
        <w:jc w:val="both"/>
        <w:rPr>
          <w:rFonts w:asciiTheme="minorHAnsi" w:hAnsiTheme="minorHAnsi"/>
        </w:rPr>
      </w:pPr>
      <w:r>
        <w:t>as implemented</w:t>
      </w:r>
      <w:r w:rsidR="725F6AB4">
        <w:t>,</w:t>
      </w:r>
      <w:r>
        <w:t xml:space="preserve"> an additional financing measure whereby 5.35 per</w:t>
      </w:r>
      <w:r w:rsidRPr="118542F6">
        <w:rPr>
          <w:color w:val="000000" w:themeColor="text1"/>
        </w:rPr>
        <w:t xml:space="preserve"> cent of the base salary for new staff recruited as from 1 January 2026 has been integrated into the budget going forward, </w:t>
      </w:r>
    </w:p>
    <w:p w14:paraId="6B84A2B4" w14:textId="77777777" w:rsidR="00963990" w:rsidRPr="00963990" w:rsidRDefault="00963990" w:rsidP="007236A5">
      <w:pPr>
        <w:pStyle w:val="Call"/>
      </w:pPr>
      <w:r w:rsidRPr="00963990">
        <w:t>instructs the Secretary-General</w:t>
      </w:r>
    </w:p>
    <w:p w14:paraId="5A62C069" w14:textId="77777777" w:rsidR="00963990" w:rsidRPr="00963990" w:rsidRDefault="00963990" w:rsidP="00963990">
      <w:pPr>
        <w:jc w:val="both"/>
        <w:rPr>
          <w:color w:val="000000"/>
        </w:rPr>
      </w:pPr>
      <w:r w:rsidRPr="00963990">
        <w:rPr>
          <w:szCs w:val="24"/>
        </w:rPr>
        <w:t>to continue to report annually to the Council on the replenishment of the ASHI fund.</w:t>
      </w:r>
    </w:p>
    <w:p w14:paraId="197C6113" w14:textId="77777777" w:rsidR="00963990" w:rsidRPr="00963990" w:rsidRDefault="00963990" w:rsidP="00963990">
      <w:pPr>
        <w:jc w:val="both"/>
      </w:pPr>
    </w:p>
    <w:p w14:paraId="217A20CD" w14:textId="1EE78CFC" w:rsidR="007A3FCD" w:rsidRPr="00C0458D" w:rsidRDefault="00963990" w:rsidP="007236A5">
      <w:pPr>
        <w:spacing w:before="480"/>
        <w:jc w:val="center"/>
      </w:pPr>
      <w:r w:rsidRPr="00963990">
        <w:t>______________</w:t>
      </w:r>
    </w:p>
    <w:sectPr w:rsidR="007A3FCD" w:rsidRPr="00C0458D"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40C3" w14:textId="77777777" w:rsidR="009E2F41" w:rsidRDefault="009E2F41">
      <w:r>
        <w:separator/>
      </w:r>
    </w:p>
  </w:endnote>
  <w:endnote w:type="continuationSeparator" w:id="0">
    <w:p w14:paraId="3212B534" w14:textId="77777777" w:rsidR="009E2F41" w:rsidRDefault="009E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6184DB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F6551">
            <w:rPr>
              <w:bCs/>
            </w:rPr>
            <w:t>46</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44087AF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F6551">
            <w:rPr>
              <w:bCs/>
            </w:rPr>
            <w:t>46</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6FF7" w14:textId="77777777" w:rsidR="009E2F41" w:rsidRDefault="009E2F41">
      <w:r>
        <w:t>____________________</w:t>
      </w:r>
    </w:p>
  </w:footnote>
  <w:footnote w:type="continuationSeparator" w:id="0">
    <w:p w14:paraId="355564DF" w14:textId="77777777" w:rsidR="009E2F41" w:rsidRDefault="009E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13B59"/>
    <w:rsid w:val="000210D4"/>
    <w:rsid w:val="000215DF"/>
    <w:rsid w:val="00043916"/>
    <w:rsid w:val="00060051"/>
    <w:rsid w:val="0006007D"/>
    <w:rsid w:val="00063016"/>
    <w:rsid w:val="00066795"/>
    <w:rsid w:val="00076AF6"/>
    <w:rsid w:val="00085CF2"/>
    <w:rsid w:val="00090318"/>
    <w:rsid w:val="00093091"/>
    <w:rsid w:val="000956A6"/>
    <w:rsid w:val="000B1705"/>
    <w:rsid w:val="000D75B2"/>
    <w:rsid w:val="000E372C"/>
    <w:rsid w:val="000F026A"/>
    <w:rsid w:val="000F20D4"/>
    <w:rsid w:val="000F5DDB"/>
    <w:rsid w:val="00100258"/>
    <w:rsid w:val="001121F5"/>
    <w:rsid w:val="001400DC"/>
    <w:rsid w:val="00140CE1"/>
    <w:rsid w:val="0015189A"/>
    <w:rsid w:val="0015494D"/>
    <w:rsid w:val="0017539C"/>
    <w:rsid w:val="00175AC2"/>
    <w:rsid w:val="0017609F"/>
    <w:rsid w:val="00176F47"/>
    <w:rsid w:val="00190179"/>
    <w:rsid w:val="001A3154"/>
    <w:rsid w:val="001A7D1D"/>
    <w:rsid w:val="001B0AF0"/>
    <w:rsid w:val="001B51DD"/>
    <w:rsid w:val="001C628E"/>
    <w:rsid w:val="001E0F7B"/>
    <w:rsid w:val="001E2643"/>
    <w:rsid w:val="001F5569"/>
    <w:rsid w:val="0020487B"/>
    <w:rsid w:val="002119FD"/>
    <w:rsid w:val="002123DF"/>
    <w:rsid w:val="002130E0"/>
    <w:rsid w:val="00221F46"/>
    <w:rsid w:val="00242684"/>
    <w:rsid w:val="00264425"/>
    <w:rsid w:val="00265875"/>
    <w:rsid w:val="00266C8B"/>
    <w:rsid w:val="0027303B"/>
    <w:rsid w:val="00277DEA"/>
    <w:rsid w:val="0028109B"/>
    <w:rsid w:val="002916B4"/>
    <w:rsid w:val="002972F7"/>
    <w:rsid w:val="002A0615"/>
    <w:rsid w:val="002A133E"/>
    <w:rsid w:val="002A2188"/>
    <w:rsid w:val="002B1F58"/>
    <w:rsid w:val="002C1C7A"/>
    <w:rsid w:val="002C3F32"/>
    <w:rsid w:val="002C54E2"/>
    <w:rsid w:val="002D3268"/>
    <w:rsid w:val="002E58E9"/>
    <w:rsid w:val="002F69CB"/>
    <w:rsid w:val="0030160F"/>
    <w:rsid w:val="00320223"/>
    <w:rsid w:val="00322D0D"/>
    <w:rsid w:val="00361465"/>
    <w:rsid w:val="00367E90"/>
    <w:rsid w:val="003877F5"/>
    <w:rsid w:val="003936D3"/>
    <w:rsid w:val="003942D4"/>
    <w:rsid w:val="003958A8"/>
    <w:rsid w:val="003B29C2"/>
    <w:rsid w:val="003B33E4"/>
    <w:rsid w:val="003B4FAF"/>
    <w:rsid w:val="003C2533"/>
    <w:rsid w:val="003D5A7F"/>
    <w:rsid w:val="003F0228"/>
    <w:rsid w:val="0040435A"/>
    <w:rsid w:val="00416A24"/>
    <w:rsid w:val="00431D9E"/>
    <w:rsid w:val="00433CE8"/>
    <w:rsid w:val="00434A5C"/>
    <w:rsid w:val="00453079"/>
    <w:rsid w:val="004544D9"/>
    <w:rsid w:val="00456F30"/>
    <w:rsid w:val="00457F0E"/>
    <w:rsid w:val="00464F8D"/>
    <w:rsid w:val="00472BAD"/>
    <w:rsid w:val="00484009"/>
    <w:rsid w:val="00490E72"/>
    <w:rsid w:val="00491157"/>
    <w:rsid w:val="00491BA9"/>
    <w:rsid w:val="004921C8"/>
    <w:rsid w:val="0049369C"/>
    <w:rsid w:val="00495615"/>
    <w:rsid w:val="00495B0B"/>
    <w:rsid w:val="004A1B8B"/>
    <w:rsid w:val="004D1851"/>
    <w:rsid w:val="004D599D"/>
    <w:rsid w:val="004E2EA5"/>
    <w:rsid w:val="004E3AEB"/>
    <w:rsid w:val="004E565F"/>
    <w:rsid w:val="004F0476"/>
    <w:rsid w:val="0050223C"/>
    <w:rsid w:val="00503254"/>
    <w:rsid w:val="00512087"/>
    <w:rsid w:val="005243FF"/>
    <w:rsid w:val="00532599"/>
    <w:rsid w:val="00560D83"/>
    <w:rsid w:val="00564FBC"/>
    <w:rsid w:val="00573E94"/>
    <w:rsid w:val="005800BC"/>
    <w:rsid w:val="00582442"/>
    <w:rsid w:val="005F3269"/>
    <w:rsid w:val="0061071E"/>
    <w:rsid w:val="00623AE3"/>
    <w:rsid w:val="006430AA"/>
    <w:rsid w:val="00647183"/>
    <w:rsid w:val="0064737F"/>
    <w:rsid w:val="006535F1"/>
    <w:rsid w:val="0065557D"/>
    <w:rsid w:val="00660D50"/>
    <w:rsid w:val="00662984"/>
    <w:rsid w:val="006716BB"/>
    <w:rsid w:val="00684353"/>
    <w:rsid w:val="006A2F4B"/>
    <w:rsid w:val="006B1859"/>
    <w:rsid w:val="006B6680"/>
    <w:rsid w:val="006B6DCC"/>
    <w:rsid w:val="006B77F1"/>
    <w:rsid w:val="006C0958"/>
    <w:rsid w:val="00702DEF"/>
    <w:rsid w:val="00706775"/>
    <w:rsid w:val="00706861"/>
    <w:rsid w:val="00720631"/>
    <w:rsid w:val="00722551"/>
    <w:rsid w:val="007236A5"/>
    <w:rsid w:val="0075051B"/>
    <w:rsid w:val="00765C89"/>
    <w:rsid w:val="0077110E"/>
    <w:rsid w:val="00793188"/>
    <w:rsid w:val="00794D34"/>
    <w:rsid w:val="007A3FCD"/>
    <w:rsid w:val="007B19CF"/>
    <w:rsid w:val="007D01AF"/>
    <w:rsid w:val="00813E5E"/>
    <w:rsid w:val="00820ED8"/>
    <w:rsid w:val="0083581B"/>
    <w:rsid w:val="00835953"/>
    <w:rsid w:val="00836294"/>
    <w:rsid w:val="0084546D"/>
    <w:rsid w:val="00860305"/>
    <w:rsid w:val="00863874"/>
    <w:rsid w:val="00864AFF"/>
    <w:rsid w:val="00865925"/>
    <w:rsid w:val="008B4A6A"/>
    <w:rsid w:val="008C7E27"/>
    <w:rsid w:val="008F7448"/>
    <w:rsid w:val="0090147A"/>
    <w:rsid w:val="009173EF"/>
    <w:rsid w:val="00932906"/>
    <w:rsid w:val="00947F6C"/>
    <w:rsid w:val="00954C49"/>
    <w:rsid w:val="00955D83"/>
    <w:rsid w:val="00961B0B"/>
    <w:rsid w:val="00962D33"/>
    <w:rsid w:val="00963990"/>
    <w:rsid w:val="00981630"/>
    <w:rsid w:val="009842A1"/>
    <w:rsid w:val="00987E4B"/>
    <w:rsid w:val="009A76A8"/>
    <w:rsid w:val="009B38C3"/>
    <w:rsid w:val="009E17BD"/>
    <w:rsid w:val="009E2F41"/>
    <w:rsid w:val="009E485A"/>
    <w:rsid w:val="009E4B6F"/>
    <w:rsid w:val="00A04CEC"/>
    <w:rsid w:val="00A109AF"/>
    <w:rsid w:val="00A23C63"/>
    <w:rsid w:val="00A27F92"/>
    <w:rsid w:val="00A32257"/>
    <w:rsid w:val="00A36D20"/>
    <w:rsid w:val="00A43E55"/>
    <w:rsid w:val="00A514A4"/>
    <w:rsid w:val="00A53C8F"/>
    <w:rsid w:val="00A55622"/>
    <w:rsid w:val="00A83502"/>
    <w:rsid w:val="00A9184F"/>
    <w:rsid w:val="00A94BAB"/>
    <w:rsid w:val="00AB29D6"/>
    <w:rsid w:val="00AC2565"/>
    <w:rsid w:val="00AD15B3"/>
    <w:rsid w:val="00AD3606"/>
    <w:rsid w:val="00AD4291"/>
    <w:rsid w:val="00AD4A3D"/>
    <w:rsid w:val="00AF6E49"/>
    <w:rsid w:val="00B04A67"/>
    <w:rsid w:val="00B0583C"/>
    <w:rsid w:val="00B368F0"/>
    <w:rsid w:val="00B40A81"/>
    <w:rsid w:val="00B44910"/>
    <w:rsid w:val="00B6404F"/>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2840"/>
    <w:rsid w:val="00C0458D"/>
    <w:rsid w:val="00C2595F"/>
    <w:rsid w:val="00C374DE"/>
    <w:rsid w:val="00C47AD4"/>
    <w:rsid w:val="00C52D81"/>
    <w:rsid w:val="00C55198"/>
    <w:rsid w:val="00C61715"/>
    <w:rsid w:val="00C6520B"/>
    <w:rsid w:val="00CA6393"/>
    <w:rsid w:val="00CA7995"/>
    <w:rsid w:val="00CB18FF"/>
    <w:rsid w:val="00CB5AB3"/>
    <w:rsid w:val="00CC5224"/>
    <w:rsid w:val="00CD0C08"/>
    <w:rsid w:val="00CD6B38"/>
    <w:rsid w:val="00CE03FB"/>
    <w:rsid w:val="00CE433C"/>
    <w:rsid w:val="00CF0161"/>
    <w:rsid w:val="00CF33F3"/>
    <w:rsid w:val="00CF4A2B"/>
    <w:rsid w:val="00D024CA"/>
    <w:rsid w:val="00D06183"/>
    <w:rsid w:val="00D112F1"/>
    <w:rsid w:val="00D22C42"/>
    <w:rsid w:val="00D2688C"/>
    <w:rsid w:val="00D65041"/>
    <w:rsid w:val="00D70687"/>
    <w:rsid w:val="00D749A8"/>
    <w:rsid w:val="00DB1936"/>
    <w:rsid w:val="00DB384B"/>
    <w:rsid w:val="00DE532B"/>
    <w:rsid w:val="00DF0189"/>
    <w:rsid w:val="00DF6551"/>
    <w:rsid w:val="00DF69D9"/>
    <w:rsid w:val="00E06FD5"/>
    <w:rsid w:val="00E10E80"/>
    <w:rsid w:val="00E124F0"/>
    <w:rsid w:val="00E227F3"/>
    <w:rsid w:val="00E22B1B"/>
    <w:rsid w:val="00E32C55"/>
    <w:rsid w:val="00E530BC"/>
    <w:rsid w:val="00E545C6"/>
    <w:rsid w:val="00E60F04"/>
    <w:rsid w:val="00E65B24"/>
    <w:rsid w:val="00E854E4"/>
    <w:rsid w:val="00E86DBF"/>
    <w:rsid w:val="00E969AF"/>
    <w:rsid w:val="00EB0D6F"/>
    <w:rsid w:val="00EB2232"/>
    <w:rsid w:val="00EC5337"/>
    <w:rsid w:val="00EE49E8"/>
    <w:rsid w:val="00EF0BA9"/>
    <w:rsid w:val="00F16BAB"/>
    <w:rsid w:val="00F2150A"/>
    <w:rsid w:val="00F231D8"/>
    <w:rsid w:val="00F44C00"/>
    <w:rsid w:val="00F45D2C"/>
    <w:rsid w:val="00F46C5F"/>
    <w:rsid w:val="00F632C0"/>
    <w:rsid w:val="00F641E1"/>
    <w:rsid w:val="00F94A63"/>
    <w:rsid w:val="00FA1984"/>
    <w:rsid w:val="00FA1C28"/>
    <w:rsid w:val="00FB1279"/>
    <w:rsid w:val="00FB6B76"/>
    <w:rsid w:val="00FB7596"/>
    <w:rsid w:val="00FC4D41"/>
    <w:rsid w:val="00FD25B0"/>
    <w:rsid w:val="00FE4077"/>
    <w:rsid w:val="00FE500D"/>
    <w:rsid w:val="00FE77D2"/>
    <w:rsid w:val="00FF03A1"/>
    <w:rsid w:val="00FF1A60"/>
    <w:rsid w:val="00FF39B1"/>
    <w:rsid w:val="118542F6"/>
    <w:rsid w:val="156229BE"/>
    <w:rsid w:val="3260D6B2"/>
    <w:rsid w:val="36AC443E"/>
    <w:rsid w:val="3C3D57E2"/>
    <w:rsid w:val="725F6A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F3B0287B-7DB2-44A0-B7DB-5B1A68AF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093091"/>
    <w:rPr>
      <w:b/>
      <w:bCs/>
    </w:rPr>
  </w:style>
  <w:style w:type="character" w:customStyle="1" w:styleId="CommentSubjectChar">
    <w:name w:val="Comment Subject Char"/>
    <w:basedOn w:val="CommentTextChar"/>
    <w:link w:val="CommentSubject"/>
    <w:semiHidden/>
    <w:rsid w:val="00093091"/>
    <w:rPr>
      <w:rFonts w:ascii="Calibri" w:hAnsi="Calibri"/>
      <w:b/>
      <w:bCs/>
      <w:lang w:val="en-GB" w:eastAsia="en-US"/>
    </w:rPr>
  </w:style>
  <w:style w:type="character" w:styleId="Mention">
    <w:name w:val="Mention"/>
    <w:basedOn w:val="DefaultParagraphFont"/>
    <w:uiPriority w:val="99"/>
    <w:unhideWhenUsed/>
    <w:rsid w:val="00093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46/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aging.itu.int/en/council/Documents/basic-texts-2023/DEC-005-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en/council/Pages/Financial-Regulation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md/S24-CL-C-0046/en" TargetMode="External"/><Relationship Id="rId5" Type="http://schemas.openxmlformats.org/officeDocument/2006/relationships/numbering" Target="numbering.xml"/><Relationship Id="rId15" Type="http://schemas.openxmlformats.org/officeDocument/2006/relationships/hyperlink" Target="https://www.itu.int/md/S25-CL-C-0042/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A/RES/68/24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B256-21BD-4239-BFD8-28F3AF31D294}">
  <ds:schemaRefs>
    <ds:schemaRef ds:uri="http://schemas.microsoft.com/sharepoint/v3/contenttype/forms"/>
  </ds:schemaRefs>
</ds:datastoreItem>
</file>

<file path=customXml/itemProps2.xml><?xml version="1.0" encoding="utf-8"?>
<ds:datastoreItem xmlns:ds="http://schemas.openxmlformats.org/officeDocument/2006/customXml" ds:itemID="{CA47C124-1C46-4D6B-B717-2A6ECD350F9B}">
  <ds:schemaRefs>
    <ds:schemaRef ds:uri="http://www.w3.org/XML/1998/namespace"/>
    <ds:schemaRef ds:uri="a4c22657-7647-457b-a399-8471255bb166"/>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9B1FE9-127C-4C55-A791-FCA42240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1515</Words>
  <Characters>8294</Characters>
  <Application>Microsoft Office Word</Application>
  <DocSecurity>0</DocSecurity>
  <Lines>236</Lines>
  <Paragraphs>172</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After-Service Health Insurance (ASHI) liability</dc:title>
  <dc:subject>ITU Council 2026</dc:subject>
  <dc:creator/>
  <cp:keywords>C26; C2026; Council 2026; PP26</cp:keywords>
  <dc:description/>
  <cp:lastModifiedBy>GBS</cp:lastModifiedBy>
  <cp:revision>3</cp:revision>
  <cp:lastPrinted>2000-07-19T07:30:00Z</cp:lastPrinted>
  <dcterms:created xsi:type="dcterms:W3CDTF">2026-03-27T15:45:00Z</dcterms:created>
  <dcterms:modified xsi:type="dcterms:W3CDTF">2026-03-27T15:47:00Z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