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9EFA748" w14:textId="77777777" w:rsidTr="00555C29">
        <w:trPr>
          <w:cantSplit/>
          <w:trHeight w:val="23"/>
        </w:trPr>
        <w:tc>
          <w:tcPr>
            <w:tcW w:w="3969" w:type="dxa"/>
            <w:vMerge w:val="restart"/>
            <w:tcMar>
              <w:left w:w="0" w:type="dxa"/>
            </w:tcMar>
          </w:tcPr>
          <w:p w14:paraId="3C26D0AA" w14:textId="145E70F6"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871EE2" w:rsidRPr="00871EE2">
              <w:rPr>
                <w:rFonts w:cstheme="minorHAnsi"/>
                <w:b/>
                <w:bCs/>
                <w:lang w:val="ru-RU"/>
              </w:rPr>
              <w:t>ADM 1</w:t>
            </w:r>
          </w:p>
        </w:tc>
        <w:tc>
          <w:tcPr>
            <w:tcW w:w="5245" w:type="dxa"/>
          </w:tcPr>
          <w:p w14:paraId="381FE060" w14:textId="72588DB6"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871EE2">
              <w:rPr>
                <w:b/>
                <w:lang w:val="fr-CH"/>
              </w:rPr>
              <w:t>46</w:t>
            </w:r>
            <w:r w:rsidRPr="00E24D59">
              <w:rPr>
                <w:b/>
                <w:lang w:val="fr-CH"/>
              </w:rPr>
              <w:t>-C</w:t>
            </w:r>
          </w:p>
        </w:tc>
      </w:tr>
      <w:tr w:rsidR="00E24D59" w:rsidRPr="00813E5E" w14:paraId="3A276FC4" w14:textId="77777777" w:rsidTr="00555C29">
        <w:trPr>
          <w:cantSplit/>
        </w:trPr>
        <w:tc>
          <w:tcPr>
            <w:tcW w:w="3969" w:type="dxa"/>
            <w:vMerge/>
          </w:tcPr>
          <w:p w14:paraId="39F137EB"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75FB0623" w14:textId="65765D59" w:rsidR="00E24D59" w:rsidRPr="00E85629" w:rsidRDefault="00871EE2"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27</w:t>
            </w:r>
            <w:r>
              <w:rPr>
                <w:rFonts w:hint="eastAsia"/>
                <w:b/>
                <w:lang w:eastAsia="zh-CN"/>
              </w:rPr>
              <w:t>日</w:t>
            </w:r>
          </w:p>
        </w:tc>
      </w:tr>
      <w:tr w:rsidR="00E24D59" w:rsidRPr="00813E5E" w14:paraId="7B5545C8" w14:textId="77777777" w:rsidTr="00555C29">
        <w:trPr>
          <w:cantSplit/>
          <w:trHeight w:val="23"/>
        </w:trPr>
        <w:tc>
          <w:tcPr>
            <w:tcW w:w="3969" w:type="dxa"/>
            <w:vMerge/>
          </w:tcPr>
          <w:p w14:paraId="15F78035"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52FE281A" w14:textId="40DEE0BB"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871EE2">
              <w:rPr>
                <w:rFonts w:cstheme="minorHAnsi" w:hint="eastAsia"/>
                <w:b/>
                <w:bCs/>
                <w:lang w:val="ru-RU" w:eastAsia="zh-CN"/>
              </w:rPr>
              <w:t>英文</w:t>
            </w:r>
          </w:p>
        </w:tc>
      </w:tr>
      <w:tr w:rsidR="00E24D59" w:rsidRPr="00813E5E" w14:paraId="49C323B6" w14:textId="77777777" w:rsidTr="00555C29">
        <w:trPr>
          <w:cantSplit/>
          <w:trHeight w:val="23"/>
        </w:trPr>
        <w:tc>
          <w:tcPr>
            <w:tcW w:w="3969" w:type="dxa"/>
          </w:tcPr>
          <w:p w14:paraId="11630FC8" w14:textId="77777777" w:rsidR="00E24D59" w:rsidRPr="00813E5E" w:rsidRDefault="00E24D59" w:rsidP="00555C29">
            <w:pPr>
              <w:tabs>
                <w:tab w:val="left" w:pos="851"/>
              </w:tabs>
              <w:spacing w:line="240" w:lineRule="atLeast"/>
              <w:rPr>
                <w:b/>
              </w:rPr>
            </w:pPr>
          </w:p>
        </w:tc>
        <w:tc>
          <w:tcPr>
            <w:tcW w:w="5245" w:type="dxa"/>
          </w:tcPr>
          <w:p w14:paraId="20612487" w14:textId="77777777" w:rsidR="00E24D59" w:rsidRDefault="00E24D59" w:rsidP="00555C29">
            <w:pPr>
              <w:tabs>
                <w:tab w:val="left" w:pos="851"/>
              </w:tabs>
              <w:spacing w:before="0" w:line="240" w:lineRule="atLeast"/>
              <w:jc w:val="right"/>
              <w:rPr>
                <w:b/>
              </w:rPr>
            </w:pPr>
          </w:p>
        </w:tc>
      </w:tr>
      <w:tr w:rsidR="00E24D59" w:rsidRPr="00813E5E" w14:paraId="06E1F5DE" w14:textId="77777777" w:rsidTr="00555C29">
        <w:trPr>
          <w:cantSplit/>
        </w:trPr>
        <w:tc>
          <w:tcPr>
            <w:tcW w:w="9214" w:type="dxa"/>
            <w:gridSpan w:val="2"/>
            <w:tcMar>
              <w:left w:w="0" w:type="dxa"/>
            </w:tcMar>
          </w:tcPr>
          <w:p w14:paraId="5E3DE0B2"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520190BF" w14:textId="77777777" w:rsidTr="00555C29">
        <w:trPr>
          <w:cantSplit/>
        </w:trPr>
        <w:tc>
          <w:tcPr>
            <w:tcW w:w="9214" w:type="dxa"/>
            <w:gridSpan w:val="2"/>
            <w:tcMar>
              <w:left w:w="0" w:type="dxa"/>
            </w:tcMar>
          </w:tcPr>
          <w:p w14:paraId="25A1FA06" w14:textId="47449AD6" w:rsidR="00E24D59" w:rsidRPr="00C24DAC" w:rsidRDefault="00871EE2" w:rsidP="00C24DAC">
            <w:pPr>
              <w:pStyle w:val="Subtitle"/>
              <w:framePr w:hSpace="0" w:wrap="auto" w:vAnchor="margin" w:hAnchor="text" w:xAlign="left" w:yAlign="inline"/>
            </w:pPr>
            <w:bookmarkStart w:id="6" w:name="dtitle1" w:colFirst="0" w:colLast="0"/>
            <w:bookmarkEnd w:id="5"/>
            <w:r w:rsidRPr="00871EE2">
              <w:rPr>
                <w:rFonts w:hint="eastAsia"/>
              </w:rPr>
              <w:t>离职后健康保险（</w:t>
            </w:r>
            <w:r w:rsidRPr="00871EE2">
              <w:rPr>
                <w:rFonts w:hint="eastAsia"/>
              </w:rPr>
              <w:t>ASHI</w:t>
            </w:r>
            <w:r w:rsidRPr="00871EE2">
              <w:rPr>
                <w:rFonts w:hint="eastAsia"/>
              </w:rPr>
              <w:t>）负债</w:t>
            </w:r>
          </w:p>
        </w:tc>
      </w:tr>
      <w:tr w:rsidR="00E24D59" w:rsidRPr="00813E5E" w14:paraId="40476453" w14:textId="77777777" w:rsidTr="00555C29">
        <w:trPr>
          <w:cantSplit/>
        </w:trPr>
        <w:tc>
          <w:tcPr>
            <w:tcW w:w="9214" w:type="dxa"/>
            <w:gridSpan w:val="2"/>
            <w:tcBorders>
              <w:top w:val="single" w:sz="4" w:space="0" w:color="auto"/>
              <w:bottom w:val="single" w:sz="4" w:space="0" w:color="auto"/>
            </w:tcBorders>
            <w:tcMar>
              <w:left w:w="0" w:type="dxa"/>
            </w:tcMar>
          </w:tcPr>
          <w:p w14:paraId="211ABDB0" w14:textId="2F5B7CD7" w:rsidR="003F086E" w:rsidRPr="00477D57" w:rsidRDefault="003F086E" w:rsidP="00555C29">
            <w:pPr>
              <w:rPr>
                <w:b/>
                <w:bCs/>
                <w:lang w:eastAsia="zh-CN"/>
              </w:rPr>
            </w:pPr>
            <w:r w:rsidRPr="00477D57">
              <w:rPr>
                <w:b/>
                <w:bCs/>
                <w:lang w:eastAsia="zh-CN"/>
              </w:rPr>
              <w:t>目的</w:t>
            </w:r>
          </w:p>
          <w:p w14:paraId="19EBDBA9" w14:textId="3FBAB69E" w:rsidR="003F086E" w:rsidRPr="00871EE2" w:rsidRDefault="00871EE2" w:rsidP="00871EE2">
            <w:pPr>
              <w:ind w:firstLineChars="200" w:firstLine="480"/>
              <w:rPr>
                <w:rFonts w:asciiTheme="minorHAnsi" w:eastAsiaTheme="minorEastAsia" w:hAnsiTheme="minorHAnsi" w:cstheme="minorHAnsi"/>
                <w:lang w:eastAsia="zh-CN"/>
              </w:rPr>
            </w:pPr>
            <w:r w:rsidRPr="00871EE2">
              <w:rPr>
                <w:rFonts w:asciiTheme="minorHAnsi" w:eastAsiaTheme="minorEastAsia" w:hAnsiTheme="minorHAnsi" w:cstheme="minorHAnsi"/>
                <w:lang w:eastAsia="zh-CN"/>
              </w:rPr>
              <w:t>本文件应理事会</w:t>
            </w:r>
            <w:r w:rsidRPr="00871EE2">
              <w:rPr>
                <w:rFonts w:asciiTheme="minorHAnsi" w:eastAsiaTheme="minorEastAsia" w:hAnsiTheme="minorHAnsi" w:cstheme="minorHAnsi"/>
                <w:lang w:eastAsia="zh-CN"/>
              </w:rPr>
              <w:t>2014</w:t>
            </w:r>
            <w:r w:rsidRPr="00871EE2">
              <w:rPr>
                <w:rFonts w:asciiTheme="minorHAnsi" w:eastAsiaTheme="minorEastAsia" w:hAnsiTheme="minorHAnsi" w:cstheme="minorHAnsi"/>
                <w:lang w:eastAsia="zh-CN"/>
              </w:rPr>
              <w:t>年会议关于听取国际电联有关离职后健康保险负债情况年度汇报的要求，介绍了截至</w:t>
            </w:r>
            <w:r w:rsidRPr="00871EE2">
              <w:rPr>
                <w:rFonts w:asciiTheme="minorHAnsi" w:eastAsiaTheme="minorEastAsia" w:hAnsiTheme="minorHAnsi" w:cstheme="minorHAnsi"/>
                <w:lang w:eastAsia="zh-CN"/>
              </w:rPr>
              <w:t>2025</w:t>
            </w:r>
            <w:r w:rsidRPr="00871EE2">
              <w:rPr>
                <w:rFonts w:asciiTheme="minorHAnsi" w:eastAsiaTheme="minorEastAsia" w:hAnsiTheme="minorHAnsi" w:cstheme="minorHAnsi"/>
                <w:lang w:eastAsia="zh-CN"/>
              </w:rPr>
              <w:t>年</w:t>
            </w:r>
            <w:r w:rsidRPr="00871EE2">
              <w:rPr>
                <w:rFonts w:asciiTheme="minorHAnsi" w:eastAsiaTheme="minorEastAsia" w:hAnsiTheme="minorHAnsi" w:cstheme="minorHAnsi"/>
                <w:lang w:eastAsia="zh-CN"/>
              </w:rPr>
              <w:t>12</w:t>
            </w:r>
            <w:r w:rsidRPr="00871EE2">
              <w:rPr>
                <w:rFonts w:asciiTheme="minorHAnsi" w:eastAsiaTheme="minorEastAsia" w:hAnsiTheme="minorHAnsi" w:cstheme="minorHAnsi"/>
                <w:lang w:eastAsia="zh-CN"/>
              </w:rPr>
              <w:t>月</w:t>
            </w:r>
            <w:r w:rsidRPr="00871EE2">
              <w:rPr>
                <w:rFonts w:asciiTheme="minorHAnsi" w:eastAsiaTheme="minorEastAsia" w:hAnsiTheme="minorHAnsi" w:cstheme="minorHAnsi"/>
                <w:lang w:eastAsia="zh-CN"/>
              </w:rPr>
              <w:t>31</w:t>
            </w:r>
            <w:r w:rsidRPr="00871EE2">
              <w:rPr>
                <w:rFonts w:asciiTheme="minorHAnsi" w:eastAsiaTheme="minorEastAsia" w:hAnsiTheme="minorHAnsi" w:cstheme="minorHAnsi"/>
                <w:lang w:eastAsia="zh-CN"/>
              </w:rPr>
              <w:t>日的离职后健康保险（</w:t>
            </w:r>
            <w:r w:rsidRPr="00871EE2">
              <w:rPr>
                <w:rFonts w:asciiTheme="minorHAnsi" w:eastAsiaTheme="minorEastAsia" w:hAnsiTheme="minorHAnsi" w:cstheme="minorHAnsi"/>
                <w:lang w:eastAsia="zh-CN"/>
              </w:rPr>
              <w:t>ASHI</w:t>
            </w:r>
            <w:r w:rsidRPr="00871EE2">
              <w:rPr>
                <w:rFonts w:asciiTheme="minorHAnsi" w:eastAsiaTheme="minorEastAsia" w:hAnsiTheme="minorHAnsi" w:cstheme="minorHAnsi"/>
                <w:lang w:eastAsia="zh-CN"/>
              </w:rPr>
              <w:t>）负债情况。</w:t>
            </w:r>
          </w:p>
          <w:p w14:paraId="0856AA41" w14:textId="77777777" w:rsidR="003F086E" w:rsidRPr="00477D57" w:rsidRDefault="003F086E" w:rsidP="00555C29">
            <w:pPr>
              <w:rPr>
                <w:b/>
                <w:bCs/>
                <w:lang w:eastAsia="zh-CN"/>
              </w:rPr>
            </w:pPr>
            <w:r w:rsidRPr="00477D57">
              <w:rPr>
                <w:b/>
                <w:bCs/>
                <w:lang w:eastAsia="zh-CN"/>
              </w:rPr>
              <w:t>理事会需采取的行动</w:t>
            </w:r>
          </w:p>
          <w:p w14:paraId="7FCE3A81" w14:textId="3B39963F" w:rsidR="003F086E" w:rsidRPr="00871EE2" w:rsidRDefault="00871EE2" w:rsidP="00871EE2">
            <w:pPr>
              <w:ind w:firstLineChars="200" w:firstLine="480"/>
              <w:rPr>
                <w:rFonts w:asciiTheme="minorHAnsi" w:eastAsiaTheme="minorEastAsia" w:hAnsiTheme="minorHAnsi" w:cstheme="minorHAnsi"/>
                <w:lang w:eastAsia="zh-CN"/>
              </w:rPr>
            </w:pPr>
            <w:r w:rsidRPr="00871EE2">
              <w:rPr>
                <w:rFonts w:asciiTheme="minorHAnsi" w:eastAsiaTheme="minorEastAsia" w:hAnsiTheme="minorHAnsi" w:cstheme="minorHAnsi"/>
                <w:lang w:eastAsia="zh-CN"/>
              </w:rPr>
              <w:t>请理事会将本文件</w:t>
            </w:r>
            <w:r w:rsidRPr="00871EE2">
              <w:rPr>
                <w:rFonts w:asciiTheme="minorHAnsi" w:eastAsiaTheme="minorEastAsia" w:hAnsiTheme="minorHAnsi" w:cstheme="minorHAnsi"/>
                <w:b/>
                <w:bCs/>
                <w:lang w:eastAsia="zh-CN"/>
              </w:rPr>
              <w:t>记录在案</w:t>
            </w:r>
            <w:r w:rsidRPr="00871EE2">
              <w:rPr>
                <w:rFonts w:asciiTheme="minorHAnsi" w:eastAsiaTheme="minorEastAsia" w:hAnsiTheme="minorHAnsi" w:cstheme="minorHAnsi"/>
                <w:lang w:eastAsia="zh-CN"/>
              </w:rPr>
              <w:t>并批准本文件</w:t>
            </w:r>
            <w:hyperlink w:anchor="Annex_A" w:history="1">
              <w:r w:rsidRPr="004428D8">
                <w:rPr>
                  <w:rStyle w:val="Hyperlink"/>
                  <w:rFonts w:asciiTheme="minorHAnsi" w:eastAsiaTheme="minorEastAsia" w:hAnsiTheme="minorHAnsi" w:cstheme="minorHAnsi" w:hint="eastAsia"/>
                  <w:noProof w:val="0"/>
                  <w:u w:val="single"/>
                  <w:lang w:eastAsia="zh-CN"/>
                </w:rPr>
                <w:t>附件</w:t>
              </w:r>
              <w:r w:rsidRPr="004428D8">
                <w:rPr>
                  <w:rStyle w:val="Hyperlink"/>
                  <w:rFonts w:asciiTheme="minorHAnsi" w:eastAsiaTheme="minorEastAsia" w:hAnsiTheme="minorHAnsi" w:cstheme="minorHAnsi" w:hint="eastAsia"/>
                  <w:noProof w:val="0"/>
                  <w:u w:val="single"/>
                  <w:lang w:eastAsia="zh-CN"/>
                </w:rPr>
                <w:t>A</w:t>
              </w:r>
            </w:hyperlink>
            <w:r w:rsidRPr="00871EE2">
              <w:rPr>
                <w:rFonts w:asciiTheme="minorHAnsi" w:eastAsiaTheme="minorEastAsia" w:hAnsiTheme="minorHAnsi" w:cstheme="minorHAnsi"/>
                <w:lang w:eastAsia="zh-CN"/>
              </w:rPr>
              <w:t>中的决定草案。</w:t>
            </w:r>
          </w:p>
          <w:p w14:paraId="25A75E3A"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20D6982F" w14:textId="429EB279" w:rsidR="003F086E" w:rsidRPr="00477D57" w:rsidRDefault="00871EE2" w:rsidP="00871EE2">
            <w:pPr>
              <w:ind w:firstLineChars="200" w:firstLine="480"/>
              <w:rPr>
                <w:rFonts w:asciiTheme="majorEastAsia" w:eastAsiaTheme="majorEastAsia" w:hAnsiTheme="majorEastAsia"/>
                <w:lang w:eastAsia="zh-CN"/>
              </w:rPr>
            </w:pPr>
            <w:r w:rsidRPr="00871EE2">
              <w:rPr>
                <w:rFonts w:asciiTheme="majorEastAsia" w:eastAsiaTheme="majorEastAsia" w:hAnsiTheme="majorEastAsia" w:hint="eastAsia"/>
                <w:lang w:eastAsia="zh-CN"/>
              </w:rPr>
              <w:t>不适用</w:t>
            </w:r>
          </w:p>
          <w:p w14:paraId="639916FE" w14:textId="77777777" w:rsidR="003F086E" w:rsidRPr="00477D57" w:rsidRDefault="003F086E" w:rsidP="00555C29">
            <w:pPr>
              <w:rPr>
                <w:b/>
                <w:bCs/>
                <w:lang w:eastAsia="zh-CN"/>
              </w:rPr>
            </w:pPr>
            <w:r w:rsidRPr="00477D57">
              <w:rPr>
                <w:b/>
                <w:bCs/>
                <w:lang w:eastAsia="zh-CN"/>
              </w:rPr>
              <w:t>财务影响</w:t>
            </w:r>
          </w:p>
          <w:p w14:paraId="0313F8E7" w14:textId="5BE02271" w:rsidR="008F64AD" w:rsidRPr="00871EE2" w:rsidRDefault="00871EE2" w:rsidP="00871EE2">
            <w:pPr>
              <w:ind w:firstLineChars="200" w:firstLine="480"/>
              <w:rPr>
                <w:rFonts w:asciiTheme="minorHAnsi" w:eastAsiaTheme="minorEastAsia" w:hAnsiTheme="minorHAnsi" w:cstheme="minorHAnsi"/>
                <w:lang w:eastAsia="zh-CN"/>
              </w:rPr>
            </w:pPr>
            <w:r w:rsidRPr="00871EE2">
              <w:rPr>
                <w:rFonts w:asciiTheme="minorHAnsi" w:eastAsiaTheme="minorEastAsia" w:hAnsiTheme="minorHAnsi" w:cstheme="minorHAnsi"/>
                <w:lang w:eastAsia="zh-CN"/>
              </w:rPr>
              <w:t>在</w:t>
            </w:r>
            <w:r w:rsidRPr="00871EE2">
              <w:rPr>
                <w:rFonts w:asciiTheme="minorHAnsi" w:eastAsiaTheme="minorEastAsia" w:hAnsiTheme="minorHAnsi" w:cstheme="minorHAnsi"/>
                <w:lang w:eastAsia="zh-CN"/>
              </w:rPr>
              <w:t>2024-2025</w:t>
            </w:r>
            <w:r w:rsidRPr="00871EE2">
              <w:rPr>
                <w:rFonts w:asciiTheme="minorHAnsi" w:eastAsiaTheme="minorEastAsia" w:hAnsiTheme="minorHAnsi" w:cstheme="minorHAnsi"/>
                <w:lang w:eastAsia="zh-CN"/>
              </w:rPr>
              <w:t>年划拨的预算范围内。</w:t>
            </w:r>
          </w:p>
          <w:p w14:paraId="3040553D" w14:textId="77777777" w:rsidR="00E24D59" w:rsidRPr="00DA2D30" w:rsidRDefault="00DA2D30" w:rsidP="00DA2D30">
            <w:pPr>
              <w:rPr>
                <w:lang w:eastAsia="zh-CN"/>
              </w:rPr>
            </w:pPr>
            <w:r>
              <w:rPr>
                <w:lang w:eastAsia="zh-CN"/>
              </w:rPr>
              <w:t>_______________</w:t>
            </w:r>
          </w:p>
          <w:p w14:paraId="2F12DC28" w14:textId="77777777" w:rsidR="00E24D59" w:rsidRPr="00477D57" w:rsidRDefault="00E24D59" w:rsidP="00555C29">
            <w:pPr>
              <w:rPr>
                <w:b/>
                <w:bCs/>
                <w:lang w:eastAsia="zh-CN"/>
              </w:rPr>
            </w:pPr>
            <w:r w:rsidRPr="00477D57">
              <w:rPr>
                <w:rFonts w:hint="eastAsia"/>
                <w:b/>
                <w:bCs/>
                <w:lang w:eastAsia="zh-CN"/>
              </w:rPr>
              <w:t>参考文件</w:t>
            </w:r>
          </w:p>
          <w:p w14:paraId="0194B098" w14:textId="0697F0B0" w:rsidR="00E24D59" w:rsidRPr="00871EE2" w:rsidRDefault="00871EE2" w:rsidP="00871EE2">
            <w:pPr>
              <w:spacing w:after="120"/>
              <w:ind w:firstLineChars="200" w:firstLine="480"/>
              <w:rPr>
                <w:rFonts w:asciiTheme="minorHAnsi" w:eastAsia="STKaiti" w:hAnsiTheme="minorHAnsi" w:cstheme="minorHAnsi"/>
                <w:sz w:val="22"/>
                <w:szCs w:val="22"/>
                <w:lang w:eastAsia="zh-CN"/>
              </w:rPr>
            </w:pPr>
            <w:hyperlink r:id="rId8" w:history="1">
              <w:proofErr w:type="spellStart"/>
              <w:r w:rsidRPr="00871EE2">
                <w:rPr>
                  <w:rStyle w:val="Hyperlink"/>
                  <w:rFonts w:asciiTheme="minorHAnsi" w:eastAsia="STKaiti" w:hAnsiTheme="minorHAnsi" w:cstheme="minorHAnsi" w:hint="eastAsia"/>
                  <w:noProof w:val="0"/>
                  <w:sz w:val="22"/>
                  <w:szCs w:val="22"/>
                  <w:u w:val="single"/>
                  <w:lang w:eastAsia="zh-CN"/>
                </w:rPr>
                <w:t>C24</w:t>
              </w:r>
              <w:proofErr w:type="spellEnd"/>
              <w:r w:rsidRPr="00871EE2">
                <w:rPr>
                  <w:rStyle w:val="Hyperlink"/>
                  <w:rFonts w:asciiTheme="minorHAnsi" w:eastAsia="STKaiti" w:hAnsiTheme="minorHAnsi" w:cstheme="minorHAnsi" w:hint="eastAsia"/>
                  <w:noProof w:val="0"/>
                  <w:sz w:val="22"/>
                  <w:szCs w:val="22"/>
                  <w:u w:val="single"/>
                  <w:lang w:eastAsia="zh-CN"/>
                </w:rPr>
                <w:t>/46</w:t>
              </w:r>
            </w:hyperlink>
            <w:r w:rsidRPr="00871EE2">
              <w:rPr>
                <w:rFonts w:asciiTheme="minorHAnsi" w:eastAsia="STKaiti" w:hAnsiTheme="minorHAnsi" w:cstheme="minorHAnsi"/>
                <w:sz w:val="22"/>
                <w:szCs w:val="22"/>
                <w:lang w:eastAsia="zh-CN"/>
              </w:rPr>
              <w:t>号文件和全权代表大会</w:t>
            </w:r>
            <w:r>
              <w:fldChar w:fldCharType="begin"/>
            </w:r>
            <w:r>
              <w:rPr>
                <w:lang w:eastAsia="zh-CN"/>
              </w:rPr>
              <w:instrText>HYPERLINK "https://staging.itu.int/en/council/Documents/basic-texts-2023/DEC-005-C.pdf"</w:instrText>
            </w:r>
            <w:r>
              <w:fldChar w:fldCharType="separate"/>
            </w:r>
            <w:r w:rsidRPr="00871EE2">
              <w:rPr>
                <w:rStyle w:val="Hyperlink"/>
                <w:rFonts w:asciiTheme="minorHAnsi" w:eastAsia="STKaiti" w:hAnsiTheme="minorHAnsi" w:cstheme="minorHAnsi" w:hint="eastAsia"/>
                <w:noProof w:val="0"/>
                <w:sz w:val="22"/>
                <w:szCs w:val="22"/>
                <w:u w:val="single"/>
                <w:lang w:eastAsia="zh-CN"/>
              </w:rPr>
              <w:t>第</w:t>
            </w:r>
            <w:r w:rsidRPr="00871EE2">
              <w:rPr>
                <w:rStyle w:val="Hyperlink"/>
                <w:rFonts w:asciiTheme="minorHAnsi" w:eastAsia="STKaiti" w:hAnsiTheme="minorHAnsi" w:cstheme="minorHAnsi" w:hint="eastAsia"/>
                <w:noProof w:val="0"/>
                <w:sz w:val="22"/>
                <w:szCs w:val="22"/>
                <w:u w:val="single"/>
                <w:lang w:eastAsia="zh-CN"/>
              </w:rPr>
              <w:t>5</w:t>
            </w:r>
            <w:r w:rsidRPr="00871EE2">
              <w:rPr>
                <w:rStyle w:val="Hyperlink"/>
                <w:rFonts w:asciiTheme="minorHAnsi" w:eastAsia="STKaiti" w:hAnsiTheme="minorHAnsi" w:cstheme="minorHAnsi" w:hint="eastAsia"/>
                <w:noProof w:val="0"/>
                <w:sz w:val="22"/>
                <w:szCs w:val="22"/>
                <w:u w:val="single"/>
                <w:lang w:eastAsia="zh-CN"/>
              </w:rPr>
              <w:t>号决定</w:t>
            </w:r>
            <w:r>
              <w:fldChar w:fldCharType="end"/>
            </w:r>
            <w:r w:rsidRPr="00871EE2">
              <w:rPr>
                <w:rFonts w:asciiTheme="minorHAnsi" w:eastAsia="STKaiti" w:hAnsiTheme="minorHAnsi" w:cstheme="minorHAnsi"/>
                <w:sz w:val="22"/>
                <w:szCs w:val="22"/>
                <w:lang w:eastAsia="zh-CN"/>
              </w:rPr>
              <w:t>（</w:t>
            </w:r>
            <w:r w:rsidRPr="00871EE2">
              <w:rPr>
                <w:rFonts w:asciiTheme="minorHAnsi" w:eastAsia="STKaiti" w:hAnsiTheme="minorHAnsi" w:cstheme="minorHAnsi"/>
                <w:sz w:val="22"/>
                <w:szCs w:val="22"/>
                <w:lang w:eastAsia="zh-CN"/>
              </w:rPr>
              <w:t>2022</w:t>
            </w:r>
            <w:r w:rsidRPr="00871EE2">
              <w:rPr>
                <w:rFonts w:asciiTheme="minorHAnsi" w:eastAsia="STKaiti" w:hAnsiTheme="minorHAnsi" w:cstheme="minorHAnsi"/>
                <w:sz w:val="22"/>
                <w:szCs w:val="22"/>
                <w:lang w:eastAsia="zh-CN"/>
              </w:rPr>
              <w:t>年，布加勒斯特，修订版）</w:t>
            </w:r>
          </w:p>
        </w:tc>
      </w:tr>
      <w:bookmarkEnd w:id="2"/>
      <w:bookmarkEnd w:id="6"/>
    </w:tbl>
    <w:p w14:paraId="0DE0AB55"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7F199F63"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12CA3E9A" w14:textId="3B6E36EB" w:rsidR="00871EE2" w:rsidRPr="00871EE2" w:rsidRDefault="00871EE2" w:rsidP="00871EE2">
      <w:pPr>
        <w:pStyle w:val="Heading1"/>
        <w:rPr>
          <w:i/>
          <w:iCs/>
          <w:sz w:val="24"/>
          <w:lang w:eastAsia="zh-CN"/>
        </w:rPr>
      </w:pPr>
      <w:r>
        <w:rPr>
          <w:lang w:val="zh-CN" w:eastAsia="zh-CN"/>
        </w:rPr>
        <w:lastRenderedPageBreak/>
        <w:t>1</w:t>
      </w:r>
      <w:r>
        <w:rPr>
          <w:lang w:val="zh-CN" w:eastAsia="zh-CN"/>
        </w:rPr>
        <w:tab/>
      </w:r>
      <w:r>
        <w:rPr>
          <w:rFonts w:hint="eastAsia"/>
          <w:lang w:val="zh-CN" w:eastAsia="zh-CN"/>
        </w:rPr>
        <w:t>引言</w:t>
      </w:r>
    </w:p>
    <w:p w14:paraId="73D057D5" w14:textId="77777777" w:rsidR="00871EE2" w:rsidRPr="00963990" w:rsidRDefault="00871EE2" w:rsidP="00D70228">
      <w:pPr>
        <w:jc w:val="both"/>
        <w:rPr>
          <w:lang w:eastAsia="zh-CN"/>
        </w:rPr>
      </w:pPr>
      <w:r>
        <w:rPr>
          <w:lang w:val="zh-CN" w:eastAsia="zh-CN"/>
        </w:rPr>
        <w:t>1.1</w:t>
      </w:r>
      <w:r>
        <w:rPr>
          <w:lang w:val="zh-CN" w:eastAsia="zh-CN"/>
        </w:rPr>
        <w:tab/>
        <w:t>2010</w:t>
      </w:r>
      <w:r>
        <w:rPr>
          <w:lang w:val="zh-CN" w:eastAsia="zh-CN"/>
        </w:rPr>
        <w:t>年，国际电联净资产余额</w:t>
      </w:r>
      <w:r>
        <w:rPr>
          <w:rFonts w:hint="eastAsia"/>
          <w:lang w:val="zh-CN" w:eastAsia="zh-CN"/>
        </w:rPr>
        <w:t>由</w:t>
      </w:r>
      <w:r>
        <w:rPr>
          <w:lang w:val="zh-CN" w:eastAsia="zh-CN"/>
        </w:rPr>
        <w:t>正转负，</w:t>
      </w:r>
      <w:r>
        <w:rPr>
          <w:rFonts w:hint="eastAsia"/>
          <w:lang w:val="zh-CN" w:eastAsia="zh-CN"/>
        </w:rPr>
        <w:t>造成此现象的原因</w:t>
      </w:r>
      <w:r>
        <w:rPr>
          <w:lang w:val="zh-CN" w:eastAsia="zh-CN"/>
        </w:rPr>
        <w:t>是</w:t>
      </w:r>
      <w:r>
        <w:rPr>
          <w:rFonts w:hint="eastAsia"/>
          <w:lang w:val="zh-CN" w:eastAsia="zh-CN"/>
        </w:rPr>
        <w:t>采用了</w:t>
      </w:r>
      <w:r>
        <w:rPr>
          <w:lang w:val="zh-CN" w:eastAsia="zh-CN"/>
        </w:rPr>
        <w:t>《国际公共部门会计准则（</w:t>
      </w:r>
      <w:r>
        <w:rPr>
          <w:lang w:val="zh-CN" w:eastAsia="zh-CN"/>
        </w:rPr>
        <w:t>IPSAS</w:t>
      </w:r>
      <w:r>
        <w:rPr>
          <w:lang w:val="zh-CN" w:eastAsia="zh-CN"/>
        </w:rPr>
        <w:t>）》规则对离职后健康保险（</w:t>
      </w:r>
      <w:r>
        <w:rPr>
          <w:lang w:val="zh-CN" w:eastAsia="zh-CN"/>
        </w:rPr>
        <w:t>ASHI</w:t>
      </w:r>
      <w:r>
        <w:rPr>
          <w:lang w:val="zh-CN" w:eastAsia="zh-CN"/>
        </w:rPr>
        <w:t>）承付款项的处理方式，要求对未来承付款项的现值进行强制性确认。</w:t>
      </w:r>
    </w:p>
    <w:p w14:paraId="1AC687EF" w14:textId="77777777" w:rsidR="00871EE2" w:rsidRPr="00963990" w:rsidRDefault="00871EE2" w:rsidP="00D70228">
      <w:pPr>
        <w:jc w:val="both"/>
        <w:rPr>
          <w:lang w:eastAsia="zh-CN"/>
        </w:rPr>
      </w:pPr>
      <w:r>
        <w:rPr>
          <w:lang w:val="zh-CN" w:eastAsia="zh-CN"/>
        </w:rPr>
        <w:t>1.2</w:t>
      </w:r>
      <w:r>
        <w:rPr>
          <w:lang w:val="zh-CN" w:eastAsia="zh-CN"/>
        </w:rPr>
        <w:tab/>
      </w:r>
      <w:r>
        <w:rPr>
          <w:lang w:eastAsia="zh-CN"/>
        </w:rPr>
        <w:t>自筹资金的</w:t>
      </w:r>
      <w:r>
        <w:rPr>
          <w:lang w:eastAsia="zh-CN"/>
        </w:rPr>
        <w:t>ASHI</w:t>
      </w:r>
      <w:r>
        <w:rPr>
          <w:lang w:eastAsia="zh-CN"/>
        </w:rPr>
        <w:t>计划设立于</w:t>
      </w:r>
      <w:r>
        <w:rPr>
          <w:lang w:eastAsia="zh-CN"/>
        </w:rPr>
        <w:t>1967</w:t>
      </w:r>
      <w:r>
        <w:rPr>
          <w:lang w:eastAsia="zh-CN"/>
        </w:rPr>
        <w:t>年，</w:t>
      </w:r>
      <w:r w:rsidRPr="00EE596E">
        <w:rPr>
          <w:rFonts w:hint="eastAsia"/>
          <w:lang w:eastAsia="zh-CN"/>
        </w:rPr>
        <w:t>允许符合条件的雇员在退休后继续享有医疗保险。由于参保的退休人员越来越多，医疗费用也越来越高，</w:t>
      </w:r>
      <w:r>
        <w:rPr>
          <w:lang w:eastAsia="zh-CN"/>
        </w:rPr>
        <w:t>ASHI</w:t>
      </w:r>
      <w:r>
        <w:rPr>
          <w:lang w:eastAsia="zh-CN"/>
        </w:rPr>
        <w:t>计划</w:t>
      </w:r>
      <w:r>
        <w:rPr>
          <w:rFonts w:hint="eastAsia"/>
          <w:lang w:eastAsia="zh-CN"/>
        </w:rPr>
        <w:t>的</w:t>
      </w:r>
      <w:r>
        <w:rPr>
          <w:lang w:eastAsia="zh-CN"/>
        </w:rPr>
        <w:t>费用</w:t>
      </w:r>
      <w:r w:rsidRPr="00EE596E">
        <w:rPr>
          <w:rFonts w:hint="eastAsia"/>
          <w:lang w:eastAsia="zh-CN"/>
        </w:rPr>
        <w:t>大幅增加，</w:t>
      </w:r>
      <w:r>
        <w:rPr>
          <w:rFonts w:hint="eastAsia"/>
          <w:lang w:eastAsia="zh-CN"/>
        </w:rPr>
        <w:t>该费用</w:t>
      </w:r>
      <w:r>
        <w:rPr>
          <w:lang w:eastAsia="zh-CN"/>
        </w:rPr>
        <w:t>由国际电联和职员分摊。</w:t>
      </w:r>
    </w:p>
    <w:p w14:paraId="4D59918C" w14:textId="77777777" w:rsidR="00871EE2" w:rsidRPr="00963990" w:rsidRDefault="00871EE2" w:rsidP="00D70228">
      <w:pPr>
        <w:jc w:val="both"/>
        <w:rPr>
          <w:lang w:eastAsia="zh-CN"/>
        </w:rPr>
      </w:pPr>
      <w:r>
        <w:rPr>
          <w:lang w:val="zh-CN" w:eastAsia="zh-CN"/>
        </w:rPr>
        <w:t>1.3</w:t>
      </w:r>
      <w:r>
        <w:rPr>
          <w:lang w:val="zh-CN" w:eastAsia="zh-CN"/>
        </w:rPr>
        <w:tab/>
      </w:r>
      <w:r>
        <w:rPr>
          <w:lang w:eastAsia="zh-CN"/>
        </w:rPr>
        <w:t>ASHI</w:t>
      </w:r>
      <w:r>
        <w:rPr>
          <w:lang w:eastAsia="zh-CN"/>
        </w:rPr>
        <w:t>负债是按照结账日停止活动时国际电联必须支付的</w:t>
      </w:r>
      <w:r w:rsidRPr="00EE596E">
        <w:rPr>
          <w:rFonts w:hint="eastAsia"/>
          <w:lang w:eastAsia="zh-CN"/>
        </w:rPr>
        <w:t>费用</w:t>
      </w:r>
      <w:r>
        <w:rPr>
          <w:lang w:eastAsia="zh-CN"/>
        </w:rPr>
        <w:t>现值计算得出的。虽然这种情况</w:t>
      </w:r>
      <w:r w:rsidRPr="00EE596E">
        <w:rPr>
          <w:rFonts w:hint="eastAsia"/>
          <w:lang w:eastAsia="zh-CN"/>
        </w:rPr>
        <w:t>极不可能</w:t>
      </w:r>
      <w:r>
        <w:rPr>
          <w:lang w:eastAsia="zh-CN"/>
        </w:rPr>
        <w:t>出现，但国际电联的目标是扩大基金</w:t>
      </w:r>
      <w:r w:rsidRPr="00EE596E">
        <w:rPr>
          <w:rFonts w:hint="eastAsia"/>
          <w:lang w:eastAsia="zh-CN"/>
        </w:rPr>
        <w:t>的</w:t>
      </w:r>
      <w:r>
        <w:rPr>
          <w:lang w:eastAsia="zh-CN"/>
        </w:rPr>
        <w:t>覆盖</w:t>
      </w:r>
      <w:r>
        <w:rPr>
          <w:rFonts w:hint="eastAsia"/>
          <w:lang w:eastAsia="zh-CN"/>
        </w:rPr>
        <w:t>水平</w:t>
      </w:r>
      <w:r>
        <w:rPr>
          <w:lang w:eastAsia="zh-CN"/>
        </w:rPr>
        <w:t>，从而减少相关承付款。第</w:t>
      </w:r>
      <w:r>
        <w:rPr>
          <w:lang w:eastAsia="zh-CN"/>
        </w:rPr>
        <w:t>4</w:t>
      </w:r>
      <w:r>
        <w:rPr>
          <w:lang w:eastAsia="zh-CN"/>
        </w:rPr>
        <w:t>节所述行动</w:t>
      </w:r>
      <w:r w:rsidRPr="00EE596E">
        <w:rPr>
          <w:rFonts w:hint="eastAsia"/>
          <w:lang w:eastAsia="zh-CN"/>
        </w:rPr>
        <w:t>旨在</w:t>
      </w:r>
      <w:r>
        <w:rPr>
          <w:lang w:eastAsia="zh-CN"/>
        </w:rPr>
        <w:t>恢复健康保险计划实现盈余的状况，以便既</w:t>
      </w:r>
      <w:r w:rsidRPr="00EE596E">
        <w:rPr>
          <w:rFonts w:hint="eastAsia"/>
          <w:lang w:eastAsia="zh-CN"/>
        </w:rPr>
        <w:t>能</w:t>
      </w:r>
      <w:r>
        <w:rPr>
          <w:lang w:eastAsia="zh-CN"/>
        </w:rPr>
        <w:t>确保</w:t>
      </w:r>
      <w:r>
        <w:rPr>
          <w:rFonts w:hint="eastAsia"/>
          <w:lang w:eastAsia="zh-CN"/>
        </w:rPr>
        <w:t>以</w:t>
      </w:r>
      <w:r>
        <w:rPr>
          <w:lang w:eastAsia="zh-CN"/>
        </w:rPr>
        <w:t>现收现付的方式</w:t>
      </w:r>
      <w:r>
        <w:rPr>
          <w:rFonts w:hint="eastAsia"/>
          <w:lang w:eastAsia="zh-CN"/>
        </w:rPr>
        <w:t>支付</w:t>
      </w:r>
      <w:r w:rsidRPr="00EE596E">
        <w:rPr>
          <w:rFonts w:hint="eastAsia"/>
          <w:lang w:eastAsia="zh-CN"/>
        </w:rPr>
        <w:t>当前的</w:t>
      </w:r>
      <w:r>
        <w:rPr>
          <w:lang w:eastAsia="zh-CN"/>
        </w:rPr>
        <w:t>福利，又</w:t>
      </w:r>
      <w:r>
        <w:rPr>
          <w:rFonts w:hint="eastAsia"/>
          <w:lang w:eastAsia="zh-CN"/>
        </w:rPr>
        <w:t>能</w:t>
      </w:r>
      <w:r>
        <w:rPr>
          <w:lang w:eastAsia="zh-CN"/>
        </w:rPr>
        <w:t>分配资源以</w:t>
      </w:r>
      <w:r>
        <w:rPr>
          <w:rFonts w:hint="eastAsia"/>
          <w:lang w:eastAsia="zh-CN"/>
        </w:rPr>
        <w:t>支付</w:t>
      </w:r>
      <w:r>
        <w:rPr>
          <w:lang w:eastAsia="zh-CN"/>
        </w:rPr>
        <w:t>未来承付款的精算负债。</w:t>
      </w:r>
    </w:p>
    <w:p w14:paraId="00318AC5" w14:textId="77777777" w:rsidR="00871EE2" w:rsidRPr="00963990" w:rsidRDefault="00871EE2" w:rsidP="00871EE2">
      <w:pPr>
        <w:pStyle w:val="Heading1"/>
        <w:rPr>
          <w:lang w:eastAsia="zh-CN"/>
        </w:rPr>
      </w:pPr>
      <w:r>
        <w:rPr>
          <w:lang w:val="zh-CN" w:eastAsia="zh-CN"/>
        </w:rPr>
        <w:t>2</w:t>
      </w:r>
      <w:r>
        <w:rPr>
          <w:lang w:val="zh-CN" w:eastAsia="zh-CN"/>
        </w:rPr>
        <w:tab/>
      </w:r>
      <w:r w:rsidRPr="00EC4566">
        <w:rPr>
          <w:lang w:eastAsia="zh-CN"/>
        </w:rPr>
        <w:t>国际电联现有</w:t>
      </w:r>
      <w:r w:rsidRPr="00EC4566">
        <w:rPr>
          <w:rFonts w:hint="eastAsia"/>
          <w:lang w:eastAsia="zh-CN"/>
        </w:rPr>
        <w:t>健康</w:t>
      </w:r>
      <w:r w:rsidRPr="00EC4566">
        <w:rPr>
          <w:lang w:eastAsia="zh-CN"/>
        </w:rPr>
        <w:t>医疗计划</w:t>
      </w:r>
    </w:p>
    <w:p w14:paraId="07A5520E" w14:textId="77777777" w:rsidR="00871EE2" w:rsidRPr="00963990" w:rsidRDefault="00871EE2" w:rsidP="00D70228">
      <w:pPr>
        <w:jc w:val="both"/>
        <w:rPr>
          <w:lang w:eastAsia="zh-CN"/>
        </w:rPr>
      </w:pPr>
      <w:r>
        <w:rPr>
          <w:lang w:val="zh-CN" w:eastAsia="zh-CN"/>
        </w:rPr>
        <w:t>2.1</w:t>
      </w:r>
      <w:r>
        <w:rPr>
          <w:lang w:val="zh-CN" w:eastAsia="zh-CN"/>
        </w:rPr>
        <w:tab/>
      </w:r>
      <w:r>
        <w:rPr>
          <w:lang w:eastAsia="zh-CN"/>
        </w:rPr>
        <w:t>国际电联</w:t>
      </w:r>
      <w:r>
        <w:rPr>
          <w:rFonts w:hint="eastAsia"/>
          <w:lang w:eastAsia="zh-CN"/>
        </w:rPr>
        <w:t>是</w:t>
      </w:r>
      <w:r>
        <w:rPr>
          <w:lang w:eastAsia="zh-CN"/>
        </w:rPr>
        <w:t>联合国职员相互保险协会（</w:t>
      </w:r>
      <w:r>
        <w:rPr>
          <w:lang w:eastAsia="zh-CN"/>
        </w:rPr>
        <w:t>UNSMIS</w:t>
      </w:r>
      <w:r>
        <w:rPr>
          <w:lang w:eastAsia="zh-CN"/>
        </w:rPr>
        <w:t>）的成员。</w:t>
      </w:r>
      <w:r w:rsidRPr="00C718E5">
        <w:rPr>
          <w:lang w:eastAsia="zh-CN"/>
        </w:rPr>
        <w:t>UNSMIS</w:t>
      </w:r>
      <w:r w:rsidRPr="00C718E5">
        <w:rPr>
          <w:rFonts w:hint="eastAsia"/>
          <w:lang w:eastAsia="zh-CN"/>
        </w:rPr>
        <w:t>汇集了</w:t>
      </w:r>
      <w:r>
        <w:rPr>
          <w:rFonts w:hint="eastAsia"/>
          <w:lang w:eastAsia="zh-CN"/>
        </w:rPr>
        <w:t>若干联合国基金和项目以及</w:t>
      </w:r>
      <w:r w:rsidRPr="00C718E5">
        <w:rPr>
          <w:lang w:eastAsia="zh-CN"/>
        </w:rPr>
        <w:t>设在日内瓦的专门机构，为联合国日内瓦办事处、联合国难民事务高级专员办事处（</w:t>
      </w:r>
      <w:r w:rsidRPr="00C718E5">
        <w:rPr>
          <w:lang w:eastAsia="zh-CN"/>
        </w:rPr>
        <w:t>UNHCR</w:t>
      </w:r>
      <w:r w:rsidRPr="00C718E5">
        <w:rPr>
          <w:lang w:eastAsia="zh-CN"/>
        </w:rPr>
        <w:t>）和世界气象组织（</w:t>
      </w:r>
      <w:r w:rsidRPr="00C718E5">
        <w:rPr>
          <w:lang w:eastAsia="zh-CN"/>
        </w:rPr>
        <w:t>WMO</w:t>
      </w:r>
      <w:r w:rsidRPr="00C718E5">
        <w:rPr>
          <w:lang w:eastAsia="zh-CN"/>
        </w:rPr>
        <w:t>）</w:t>
      </w:r>
      <w:r>
        <w:rPr>
          <w:rFonts w:hint="eastAsia"/>
          <w:lang w:eastAsia="zh-CN"/>
        </w:rPr>
        <w:t>、</w:t>
      </w:r>
      <w:r w:rsidRPr="00A31B48">
        <w:rPr>
          <w:rFonts w:hint="eastAsia"/>
          <w:lang w:eastAsia="zh-CN"/>
        </w:rPr>
        <w:t>联合国开发计划署（</w:t>
      </w:r>
      <w:r w:rsidRPr="00A31B48">
        <w:rPr>
          <w:rFonts w:hint="eastAsia"/>
          <w:lang w:eastAsia="zh-CN"/>
        </w:rPr>
        <w:t>UNDP</w:t>
      </w:r>
      <w:r w:rsidRPr="00A31B48">
        <w:rPr>
          <w:rFonts w:hint="eastAsia"/>
          <w:lang w:eastAsia="zh-CN"/>
        </w:rPr>
        <w:t>）、联合国儿童基金会（</w:t>
      </w:r>
      <w:r w:rsidRPr="00A31B48">
        <w:rPr>
          <w:rFonts w:hint="eastAsia"/>
          <w:lang w:eastAsia="zh-CN"/>
        </w:rPr>
        <w:t>UNICEF</w:t>
      </w:r>
      <w:r w:rsidRPr="00A31B48">
        <w:rPr>
          <w:rFonts w:hint="eastAsia"/>
          <w:lang w:eastAsia="zh-CN"/>
        </w:rPr>
        <w:t>）</w:t>
      </w:r>
      <w:r>
        <w:rPr>
          <w:rFonts w:hint="eastAsia"/>
          <w:lang w:eastAsia="zh-CN"/>
        </w:rPr>
        <w:t>以及</w:t>
      </w:r>
      <w:r w:rsidRPr="00A31B48">
        <w:rPr>
          <w:rFonts w:hint="eastAsia"/>
          <w:lang w:eastAsia="zh-CN"/>
        </w:rPr>
        <w:t>联合国贸发会议（</w:t>
      </w:r>
      <w:r w:rsidRPr="00A31B48">
        <w:rPr>
          <w:rFonts w:hint="eastAsia"/>
          <w:lang w:eastAsia="zh-CN"/>
        </w:rPr>
        <w:t>UNCTAD</w:t>
      </w:r>
      <w:r w:rsidRPr="00A31B48">
        <w:rPr>
          <w:rFonts w:hint="eastAsia"/>
          <w:lang w:eastAsia="zh-CN"/>
        </w:rPr>
        <w:t>）</w:t>
      </w:r>
      <w:r w:rsidRPr="00C718E5">
        <w:rPr>
          <w:lang w:eastAsia="zh-CN"/>
        </w:rPr>
        <w:t>的</w:t>
      </w:r>
      <w:r w:rsidRPr="00C718E5">
        <w:rPr>
          <w:rFonts w:hint="eastAsia"/>
          <w:lang w:eastAsia="zh-CN"/>
        </w:rPr>
        <w:t>职员</w:t>
      </w:r>
      <w:r w:rsidRPr="00C718E5">
        <w:rPr>
          <w:lang w:eastAsia="zh-CN"/>
        </w:rPr>
        <w:t>提供</w:t>
      </w:r>
      <w:r w:rsidRPr="00C718E5">
        <w:rPr>
          <w:rFonts w:hint="eastAsia"/>
          <w:lang w:eastAsia="zh-CN"/>
        </w:rPr>
        <w:t>保险</w:t>
      </w:r>
      <w:r w:rsidRPr="00C718E5">
        <w:rPr>
          <w:lang w:eastAsia="zh-CN"/>
        </w:rPr>
        <w:t>。</w:t>
      </w:r>
    </w:p>
    <w:p w14:paraId="6C499630" w14:textId="77777777" w:rsidR="00871EE2" w:rsidRPr="00963990" w:rsidRDefault="00871EE2" w:rsidP="00D70228">
      <w:pPr>
        <w:jc w:val="both"/>
        <w:rPr>
          <w:rFonts w:cs="Calibri"/>
          <w:lang w:eastAsia="zh-CN"/>
        </w:rPr>
      </w:pPr>
      <w:r>
        <w:rPr>
          <w:lang w:val="zh-CN" w:eastAsia="zh-CN"/>
        </w:rPr>
        <w:t>2.2</w:t>
      </w:r>
      <w:r>
        <w:rPr>
          <w:lang w:val="zh-CN" w:eastAsia="zh-CN"/>
        </w:rPr>
        <w:tab/>
      </w:r>
      <w:r>
        <w:rPr>
          <w:lang w:eastAsia="zh-CN"/>
        </w:rPr>
        <w:t>UNSMIS</w:t>
      </w:r>
      <w:r w:rsidRPr="00C718E5">
        <w:rPr>
          <w:lang w:eastAsia="zh-CN"/>
        </w:rPr>
        <w:t>计划以</w:t>
      </w:r>
      <w:r>
        <w:rPr>
          <w:rFonts w:hint="eastAsia"/>
          <w:lang w:eastAsia="zh-CN"/>
        </w:rPr>
        <w:t>在职人员</w:t>
      </w:r>
      <w:r w:rsidRPr="00C718E5">
        <w:rPr>
          <w:rFonts w:hint="eastAsia"/>
          <w:lang w:eastAsia="zh-CN"/>
        </w:rPr>
        <w:t>薪金</w:t>
      </w:r>
      <w:r>
        <w:rPr>
          <w:rFonts w:hint="eastAsia"/>
          <w:lang w:eastAsia="zh-CN"/>
        </w:rPr>
        <w:t>或退休人员养老金</w:t>
      </w:r>
      <w:r w:rsidRPr="00C718E5">
        <w:rPr>
          <w:rFonts w:hint="eastAsia"/>
          <w:lang w:eastAsia="zh-CN"/>
        </w:rPr>
        <w:t>的</w:t>
      </w:r>
      <w:r w:rsidRPr="00C718E5">
        <w:rPr>
          <w:rFonts w:hint="eastAsia"/>
          <w:lang w:eastAsia="zh-CN"/>
        </w:rPr>
        <w:t>3.4%</w:t>
      </w:r>
      <w:r w:rsidRPr="00C718E5">
        <w:rPr>
          <w:lang w:eastAsia="zh-CN"/>
        </w:rPr>
        <w:t>的为缴费基础。</w:t>
      </w:r>
      <w:r w:rsidRPr="00A31B48">
        <w:rPr>
          <w:rFonts w:hint="eastAsia"/>
          <w:lang w:eastAsia="zh-CN"/>
        </w:rPr>
        <w:t>国际电联还通过</w:t>
      </w:r>
      <w:r>
        <w:rPr>
          <w:rFonts w:hint="eastAsia"/>
          <w:lang w:eastAsia="zh-CN"/>
        </w:rPr>
        <w:t>缴纳与</w:t>
      </w:r>
      <w:r w:rsidRPr="00A31B48">
        <w:rPr>
          <w:rFonts w:hint="eastAsia"/>
          <w:lang w:eastAsia="zh-CN"/>
        </w:rPr>
        <w:t>在职职员缴费</w:t>
      </w:r>
      <w:r>
        <w:rPr>
          <w:rFonts w:hint="eastAsia"/>
          <w:lang w:eastAsia="zh-CN"/>
        </w:rPr>
        <w:t>水平相同的金额（缴纳</w:t>
      </w:r>
      <w:r w:rsidRPr="00A31B48">
        <w:rPr>
          <w:rFonts w:hint="eastAsia"/>
          <w:lang w:eastAsia="zh-CN"/>
        </w:rPr>
        <w:t>退休人员缴费</w:t>
      </w:r>
      <w:r>
        <w:rPr>
          <w:rFonts w:hint="eastAsia"/>
          <w:lang w:eastAsia="zh-CN"/>
        </w:rPr>
        <w:t>金额的</w:t>
      </w:r>
      <w:r>
        <w:rPr>
          <w:rFonts w:hint="eastAsia"/>
          <w:lang w:eastAsia="zh-CN"/>
        </w:rPr>
        <w:t>2</w:t>
      </w:r>
      <w:r w:rsidRPr="00A31B48">
        <w:rPr>
          <w:rFonts w:hint="eastAsia"/>
          <w:lang w:eastAsia="zh-CN"/>
        </w:rPr>
        <w:t>/3</w:t>
      </w:r>
      <w:r>
        <w:rPr>
          <w:rFonts w:hint="eastAsia"/>
          <w:lang w:eastAsia="zh-CN"/>
        </w:rPr>
        <w:t>）</w:t>
      </w:r>
      <w:r w:rsidRPr="00A31B48">
        <w:rPr>
          <w:rFonts w:hint="eastAsia"/>
          <w:lang w:eastAsia="zh-CN"/>
        </w:rPr>
        <w:t>的方式</w:t>
      </w:r>
      <w:r>
        <w:rPr>
          <w:rFonts w:hint="eastAsia"/>
          <w:lang w:eastAsia="zh-CN"/>
        </w:rPr>
        <w:t>，向</w:t>
      </w:r>
      <w:r w:rsidRPr="00A31B48">
        <w:rPr>
          <w:rFonts w:hint="eastAsia"/>
          <w:lang w:eastAsia="zh-CN"/>
        </w:rPr>
        <w:t>健康保险计划缴费</w:t>
      </w:r>
      <w:r>
        <w:rPr>
          <w:rFonts w:hint="eastAsia"/>
          <w:lang w:eastAsia="zh-CN"/>
        </w:rPr>
        <w:t>。</w:t>
      </w:r>
    </w:p>
    <w:p w14:paraId="5E139302" w14:textId="77777777" w:rsidR="00871EE2" w:rsidRPr="00963990" w:rsidRDefault="00871EE2" w:rsidP="00D70228">
      <w:pPr>
        <w:jc w:val="both"/>
        <w:rPr>
          <w:rFonts w:cs="Calibri"/>
          <w:lang w:eastAsia="zh-CN"/>
        </w:rPr>
      </w:pPr>
      <w:r>
        <w:rPr>
          <w:lang w:val="zh-CN" w:eastAsia="zh-CN"/>
        </w:rPr>
        <w:t>2.3</w:t>
      </w:r>
      <w:r>
        <w:rPr>
          <w:lang w:val="zh-CN" w:eastAsia="zh-CN"/>
        </w:rPr>
        <w:tab/>
      </w:r>
      <w:r>
        <w:rPr>
          <w:lang w:val="zh-CN" w:eastAsia="zh-CN"/>
        </w:rPr>
        <w:t>成本控制的后续行动由</w:t>
      </w:r>
      <w:r>
        <w:rPr>
          <w:lang w:val="zh-CN" w:eastAsia="zh-CN"/>
        </w:rPr>
        <w:t>UNSMIS</w:t>
      </w:r>
      <w:r>
        <w:rPr>
          <w:lang w:val="zh-CN" w:eastAsia="zh-CN"/>
        </w:rPr>
        <w:t>执行委员会管理，国际电联作为成员在该委员会中占有一席之地。</w:t>
      </w:r>
    </w:p>
    <w:p w14:paraId="2FFB8DB7" w14:textId="77777777" w:rsidR="00871EE2" w:rsidRPr="00963990" w:rsidRDefault="00871EE2" w:rsidP="00871EE2">
      <w:pPr>
        <w:pStyle w:val="Heading1"/>
        <w:rPr>
          <w:lang w:eastAsia="zh-CN"/>
        </w:rPr>
      </w:pPr>
      <w:r>
        <w:rPr>
          <w:lang w:val="zh-CN" w:eastAsia="zh-CN"/>
        </w:rPr>
        <w:t>3</w:t>
      </w:r>
      <w:r>
        <w:rPr>
          <w:lang w:val="zh-CN" w:eastAsia="zh-CN"/>
        </w:rPr>
        <w:tab/>
        <w:t>2025</w:t>
      </w:r>
      <w:r>
        <w:rPr>
          <w:lang w:val="zh-CN" w:eastAsia="zh-CN"/>
        </w:rPr>
        <w:t>年</w:t>
      </w:r>
      <w:r>
        <w:rPr>
          <w:lang w:val="zh-CN" w:eastAsia="zh-CN"/>
        </w:rPr>
        <w:t>ASHI</w:t>
      </w:r>
      <w:r>
        <w:rPr>
          <w:lang w:val="zh-CN" w:eastAsia="zh-CN"/>
        </w:rPr>
        <w:t>负债情况的演变</w:t>
      </w:r>
    </w:p>
    <w:p w14:paraId="60788516" w14:textId="77777777" w:rsidR="00871EE2" w:rsidRPr="00963990" w:rsidRDefault="00871EE2" w:rsidP="00D70228">
      <w:pPr>
        <w:jc w:val="both"/>
        <w:rPr>
          <w:lang w:eastAsia="zh-CN"/>
        </w:rPr>
      </w:pPr>
      <w:r>
        <w:rPr>
          <w:lang w:val="zh-CN" w:eastAsia="zh-CN"/>
        </w:rPr>
        <w:t>3.1</w:t>
      </w:r>
      <w:r>
        <w:rPr>
          <w:lang w:val="zh-CN" w:eastAsia="zh-CN"/>
        </w:rPr>
        <w:tab/>
      </w:r>
      <w:r>
        <w:rPr>
          <w:lang w:val="zh-CN" w:eastAsia="zh-CN"/>
        </w:rPr>
        <w:t>自</w:t>
      </w:r>
      <w:r>
        <w:rPr>
          <w:lang w:val="zh-CN" w:eastAsia="zh-CN"/>
        </w:rPr>
        <w:t>2010</w:t>
      </w:r>
      <w:r>
        <w:rPr>
          <w:lang w:val="zh-CN" w:eastAsia="zh-CN"/>
        </w:rPr>
        <w:t>年以来，</w:t>
      </w:r>
      <w:r>
        <w:rPr>
          <w:lang w:val="zh-CN" w:eastAsia="zh-CN"/>
        </w:rPr>
        <w:t>ASHI</w:t>
      </w:r>
      <w:r>
        <w:rPr>
          <w:lang w:val="zh-CN" w:eastAsia="zh-CN"/>
        </w:rPr>
        <w:t>负债的变化对该组织的净资产产生了持续的负面影响，因为精算亏损已根据净资产完整入账。到</w:t>
      </w:r>
      <w:r>
        <w:rPr>
          <w:lang w:val="zh-CN" w:eastAsia="zh-CN"/>
        </w:rPr>
        <w:t>2025</w:t>
      </w:r>
      <w:r>
        <w:rPr>
          <w:lang w:val="zh-CN" w:eastAsia="zh-CN"/>
        </w:rPr>
        <w:t>年底，</w:t>
      </w:r>
      <w:r>
        <w:rPr>
          <w:rFonts w:hint="eastAsia"/>
          <w:lang w:val="zh-CN" w:eastAsia="zh-CN"/>
        </w:rPr>
        <w:t>主要由于</w:t>
      </w:r>
      <w:r>
        <w:rPr>
          <w:lang w:val="zh-CN" w:eastAsia="zh-CN"/>
        </w:rPr>
        <w:t>财务假设</w:t>
      </w:r>
      <w:r>
        <w:rPr>
          <w:rFonts w:hint="eastAsia"/>
          <w:lang w:val="zh-CN" w:eastAsia="zh-CN"/>
        </w:rPr>
        <w:t>呈现出</w:t>
      </w:r>
      <w:r>
        <w:rPr>
          <w:lang w:val="zh-CN" w:eastAsia="zh-CN"/>
        </w:rPr>
        <w:t>积极趋势</w:t>
      </w:r>
      <w:r>
        <w:rPr>
          <w:rFonts w:hint="eastAsia"/>
          <w:lang w:val="zh-CN" w:eastAsia="zh-CN"/>
        </w:rPr>
        <w:t>，</w:t>
      </w:r>
      <w:r>
        <w:rPr>
          <w:lang w:val="zh-CN" w:eastAsia="zh-CN"/>
        </w:rPr>
        <w:t>ASHI</w:t>
      </w:r>
      <w:r>
        <w:rPr>
          <w:lang w:val="zh-CN" w:eastAsia="zh-CN"/>
        </w:rPr>
        <w:t>负债减少了</w:t>
      </w:r>
      <w:r>
        <w:rPr>
          <w:lang w:val="zh-CN" w:eastAsia="zh-CN"/>
        </w:rPr>
        <w:t>3 700</w:t>
      </w:r>
      <w:r>
        <w:rPr>
          <w:lang w:val="zh-CN" w:eastAsia="zh-CN"/>
        </w:rPr>
        <w:t>万瑞郎，降至</w:t>
      </w:r>
      <w:r>
        <w:rPr>
          <w:lang w:val="zh-CN" w:eastAsia="zh-CN"/>
        </w:rPr>
        <w:t>37</w:t>
      </w:r>
      <w:r>
        <w:rPr>
          <w:rFonts w:hint="eastAsia"/>
          <w:lang w:val="zh-CN" w:eastAsia="zh-CN"/>
        </w:rPr>
        <w:t>.</w:t>
      </w:r>
      <w:r>
        <w:rPr>
          <w:lang w:val="zh-CN" w:eastAsia="zh-CN"/>
        </w:rPr>
        <w:t>88</w:t>
      </w:r>
      <w:r>
        <w:rPr>
          <w:lang w:val="zh-CN" w:eastAsia="zh-CN"/>
        </w:rPr>
        <w:t>亿瑞郎。</w:t>
      </w:r>
    </w:p>
    <w:p w14:paraId="6C9F642D" w14:textId="7147BF4B" w:rsidR="00E002C6" w:rsidRDefault="00871EE2" w:rsidP="00D70228">
      <w:pPr>
        <w:ind w:firstLineChars="200" w:firstLine="480"/>
        <w:jc w:val="both"/>
        <w:rPr>
          <w:lang w:eastAsia="zh-CN"/>
        </w:rPr>
      </w:pPr>
      <w:r>
        <w:rPr>
          <w:lang w:val="zh-CN" w:eastAsia="zh-CN"/>
        </w:rPr>
        <w:t>特别是贴现率扭转了此前的下降趋势，从</w:t>
      </w:r>
      <w:r>
        <w:rPr>
          <w:lang w:val="zh-CN" w:eastAsia="zh-CN"/>
        </w:rPr>
        <w:t>2024</w:t>
      </w:r>
      <w:r>
        <w:rPr>
          <w:lang w:val="zh-CN" w:eastAsia="zh-CN"/>
        </w:rPr>
        <w:t>年的</w:t>
      </w:r>
      <w:r>
        <w:rPr>
          <w:lang w:val="zh-CN" w:eastAsia="zh-CN"/>
        </w:rPr>
        <w:t>1</w:t>
      </w:r>
      <w:r>
        <w:rPr>
          <w:rFonts w:hint="eastAsia"/>
          <w:lang w:val="zh-CN" w:eastAsia="zh-CN"/>
        </w:rPr>
        <w:t>.</w:t>
      </w:r>
      <w:r>
        <w:rPr>
          <w:lang w:val="zh-CN" w:eastAsia="zh-CN"/>
        </w:rPr>
        <w:t>4%</w:t>
      </w:r>
      <w:r>
        <w:rPr>
          <w:lang w:val="zh-CN" w:eastAsia="zh-CN"/>
        </w:rPr>
        <w:t>上升到</w:t>
      </w:r>
      <w:r>
        <w:rPr>
          <w:lang w:val="zh-CN" w:eastAsia="zh-CN"/>
        </w:rPr>
        <w:t>2025</w:t>
      </w:r>
      <w:r>
        <w:rPr>
          <w:lang w:val="zh-CN" w:eastAsia="zh-CN"/>
        </w:rPr>
        <w:t>年的</w:t>
      </w:r>
      <w:r>
        <w:rPr>
          <w:lang w:val="zh-CN" w:eastAsia="zh-CN"/>
        </w:rPr>
        <w:t>1</w:t>
      </w:r>
      <w:r>
        <w:rPr>
          <w:rFonts w:hint="eastAsia"/>
          <w:lang w:val="zh-CN" w:eastAsia="zh-CN"/>
        </w:rPr>
        <w:t>.</w:t>
      </w:r>
      <w:r>
        <w:rPr>
          <w:lang w:val="zh-CN" w:eastAsia="zh-CN"/>
        </w:rPr>
        <w:t>8%</w:t>
      </w:r>
      <w:r>
        <w:rPr>
          <w:lang w:val="zh-CN" w:eastAsia="zh-CN"/>
        </w:rPr>
        <w:t>，</w:t>
      </w:r>
      <w:r>
        <w:rPr>
          <w:rFonts w:hint="eastAsia"/>
          <w:lang w:val="zh-CN" w:eastAsia="zh-CN"/>
        </w:rPr>
        <w:t>其</w:t>
      </w:r>
      <w:r>
        <w:rPr>
          <w:lang w:val="zh-CN" w:eastAsia="zh-CN"/>
        </w:rPr>
        <w:t>对负债</w:t>
      </w:r>
      <w:r>
        <w:rPr>
          <w:rFonts w:hint="eastAsia"/>
          <w:lang w:val="zh-CN" w:eastAsia="zh-CN"/>
        </w:rPr>
        <w:t>造成</w:t>
      </w:r>
      <w:r>
        <w:rPr>
          <w:lang w:val="zh-CN" w:eastAsia="zh-CN"/>
        </w:rPr>
        <w:t>的影响约为</w:t>
      </w:r>
      <w:r>
        <w:rPr>
          <w:lang w:val="zh-CN" w:eastAsia="zh-CN"/>
        </w:rPr>
        <w:t>2 900</w:t>
      </w:r>
      <w:r>
        <w:rPr>
          <w:lang w:val="zh-CN" w:eastAsia="zh-CN"/>
        </w:rPr>
        <w:t>万瑞郎。导致</w:t>
      </w:r>
      <w:r>
        <w:rPr>
          <w:lang w:val="zh-CN" w:eastAsia="zh-CN"/>
        </w:rPr>
        <w:t>ASHI</w:t>
      </w:r>
      <w:r>
        <w:rPr>
          <w:lang w:val="zh-CN" w:eastAsia="zh-CN"/>
        </w:rPr>
        <w:t>负债下降的第二个积极因素是</w:t>
      </w:r>
      <w:r>
        <w:rPr>
          <w:rFonts w:hint="eastAsia"/>
          <w:lang w:val="zh-CN" w:eastAsia="zh-CN"/>
        </w:rPr>
        <w:t>，</w:t>
      </w:r>
      <w:r w:rsidRPr="005D13C6">
        <w:rPr>
          <w:rFonts w:hint="eastAsia"/>
          <w:lang w:val="zh-CN" w:eastAsia="zh-CN"/>
        </w:rPr>
        <w:t>医疗费用增长率</w:t>
      </w:r>
      <w:r>
        <w:rPr>
          <w:rFonts w:hint="eastAsia"/>
          <w:lang w:val="zh-CN" w:eastAsia="zh-CN"/>
        </w:rPr>
        <w:t>在</w:t>
      </w:r>
      <w:r>
        <w:rPr>
          <w:lang w:val="zh-CN" w:eastAsia="zh-CN"/>
        </w:rPr>
        <w:t>2025</w:t>
      </w:r>
      <w:r>
        <w:rPr>
          <w:lang w:val="zh-CN" w:eastAsia="zh-CN"/>
        </w:rPr>
        <w:t>年底从</w:t>
      </w:r>
      <w:r>
        <w:rPr>
          <w:rFonts w:hint="eastAsia"/>
          <w:lang w:val="zh-CN" w:eastAsia="zh-CN"/>
        </w:rPr>
        <w:t>以往的</w:t>
      </w:r>
      <w:r>
        <w:rPr>
          <w:lang w:val="zh-CN" w:eastAsia="zh-CN"/>
        </w:rPr>
        <w:t>2</w:t>
      </w:r>
      <w:r>
        <w:rPr>
          <w:rFonts w:hint="eastAsia"/>
          <w:lang w:val="zh-CN" w:eastAsia="zh-CN"/>
        </w:rPr>
        <w:t>.</w:t>
      </w:r>
      <w:r>
        <w:rPr>
          <w:lang w:val="zh-CN" w:eastAsia="zh-CN"/>
        </w:rPr>
        <w:t>4%</w:t>
      </w:r>
      <w:r>
        <w:rPr>
          <w:lang w:val="zh-CN" w:eastAsia="zh-CN"/>
        </w:rPr>
        <w:t>下降</w:t>
      </w:r>
      <w:r>
        <w:rPr>
          <w:rFonts w:hint="eastAsia"/>
          <w:lang w:val="zh-CN" w:eastAsia="zh-CN"/>
        </w:rPr>
        <w:t>至</w:t>
      </w:r>
      <w:r>
        <w:rPr>
          <w:lang w:val="zh-CN" w:eastAsia="zh-CN"/>
        </w:rPr>
        <w:t>2</w:t>
      </w:r>
      <w:r>
        <w:rPr>
          <w:rFonts w:hint="eastAsia"/>
          <w:lang w:val="zh-CN" w:eastAsia="zh-CN"/>
        </w:rPr>
        <w:t>.</w:t>
      </w:r>
      <w:r>
        <w:rPr>
          <w:lang w:val="zh-CN" w:eastAsia="zh-CN"/>
        </w:rPr>
        <w:t>2%</w:t>
      </w:r>
      <w:r>
        <w:rPr>
          <w:lang w:val="zh-CN" w:eastAsia="zh-CN"/>
        </w:rPr>
        <w:t>。</w:t>
      </w:r>
    </w:p>
    <w:tbl>
      <w:tblPr>
        <w:tblW w:w="93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5"/>
        <w:gridCol w:w="1843"/>
        <w:gridCol w:w="1795"/>
      </w:tblGrid>
      <w:tr w:rsidR="00871EE2" w:rsidRPr="00963990" w14:paraId="01E1E327" w14:textId="77777777" w:rsidTr="004428D8">
        <w:trPr>
          <w:trHeight w:val="528"/>
          <w:jc w:val="center"/>
        </w:trPr>
        <w:tc>
          <w:tcPr>
            <w:tcW w:w="5665" w:type="dxa"/>
            <w:tcBorders>
              <w:top w:val="single" w:sz="4" w:space="0" w:color="auto"/>
              <w:bottom w:val="single" w:sz="4" w:space="0" w:color="auto"/>
              <w:right w:val="single" w:sz="4" w:space="0" w:color="auto"/>
            </w:tcBorders>
            <w:vAlign w:val="center"/>
            <w:hideMark/>
          </w:tcPr>
          <w:p w14:paraId="2289E7D1" w14:textId="77777777" w:rsidR="00871EE2" w:rsidRPr="00EC4566" w:rsidRDefault="00871EE2" w:rsidP="004428D8">
            <w:pPr>
              <w:pStyle w:val="Tablehead"/>
              <w:keepLines/>
              <w:jc w:val="left"/>
              <w:rPr>
                <w:szCs w:val="22"/>
                <w:lang w:eastAsia="zh-CN"/>
              </w:rPr>
            </w:pPr>
            <w:r w:rsidRPr="00EC4566">
              <w:rPr>
                <w:lang w:eastAsia="zh-CN"/>
              </w:rPr>
              <w:lastRenderedPageBreak/>
              <w:t>财务状况报表中截至</w:t>
            </w:r>
            <w:r w:rsidRPr="00EC4566">
              <w:rPr>
                <w:lang w:eastAsia="zh-CN"/>
              </w:rPr>
              <w:t>12</w:t>
            </w:r>
            <w:r w:rsidRPr="00EC4566">
              <w:rPr>
                <w:lang w:eastAsia="zh-CN"/>
              </w:rPr>
              <w:t>月</w:t>
            </w:r>
            <w:r w:rsidRPr="00EC4566">
              <w:rPr>
                <w:lang w:eastAsia="zh-CN"/>
              </w:rPr>
              <w:t>31</w:t>
            </w:r>
            <w:r w:rsidRPr="00EC4566">
              <w:rPr>
                <w:lang w:eastAsia="zh-CN"/>
              </w:rPr>
              <w:t>日的</w:t>
            </w:r>
            <w:r w:rsidRPr="00EC4566">
              <w:rPr>
                <w:lang w:eastAsia="zh-CN"/>
              </w:rPr>
              <w:br/>
              <w:t>ASHI</w:t>
            </w:r>
            <w:r w:rsidRPr="00EC4566">
              <w:rPr>
                <w:lang w:eastAsia="zh-CN"/>
              </w:rPr>
              <w:t>计划</w:t>
            </w:r>
            <w:r w:rsidRPr="00EC4566">
              <w:rPr>
                <w:rFonts w:hint="eastAsia"/>
                <w:lang w:eastAsia="zh-CN"/>
              </w:rPr>
              <w:t>承付款</w:t>
            </w:r>
            <w:r w:rsidRPr="00EC4566">
              <w:rPr>
                <w:lang w:eastAsia="zh-CN"/>
              </w:rPr>
              <w:t>金额</w:t>
            </w:r>
            <w:r w:rsidRPr="00EC4566">
              <w:rPr>
                <w:lang w:eastAsia="zh-CN"/>
              </w:rPr>
              <w:br/>
            </w:r>
            <w:r w:rsidRPr="00EC4566">
              <w:rPr>
                <w:lang w:eastAsia="zh-CN"/>
              </w:rPr>
              <w:t>（单位：千瑞郎）</w:t>
            </w:r>
          </w:p>
        </w:tc>
        <w:tc>
          <w:tcPr>
            <w:tcW w:w="1843" w:type="dxa"/>
            <w:tcBorders>
              <w:top w:val="single" w:sz="4" w:space="0" w:color="auto"/>
              <w:bottom w:val="single" w:sz="4" w:space="0" w:color="auto"/>
              <w:right w:val="single" w:sz="4" w:space="0" w:color="auto"/>
            </w:tcBorders>
            <w:vAlign w:val="center"/>
          </w:tcPr>
          <w:p w14:paraId="1F8F060F" w14:textId="77777777" w:rsidR="00871EE2" w:rsidRPr="00963990" w:rsidRDefault="00871EE2" w:rsidP="004428D8">
            <w:pPr>
              <w:pStyle w:val="Tablehead"/>
              <w:keepLines/>
              <w:rPr>
                <w:szCs w:val="22"/>
              </w:rPr>
            </w:pPr>
            <w:r>
              <w:rPr>
                <w:color w:val="000000"/>
                <w:lang w:val="zh-CN"/>
              </w:rPr>
              <w:t>2025</w:t>
            </w:r>
            <w:r>
              <w:rPr>
                <w:rFonts w:hint="eastAsia"/>
                <w:color w:val="000000"/>
                <w:lang w:val="zh-CN"/>
              </w:rPr>
              <w:t>年</w:t>
            </w:r>
            <w:r>
              <w:rPr>
                <w:rFonts w:hint="eastAsia"/>
                <w:color w:val="000000"/>
                <w:lang w:val="zh-CN"/>
              </w:rPr>
              <w:t>12</w:t>
            </w:r>
            <w:r>
              <w:rPr>
                <w:rFonts w:hint="eastAsia"/>
                <w:color w:val="000000"/>
                <w:lang w:val="zh-CN"/>
              </w:rPr>
              <w:t>月</w:t>
            </w:r>
            <w:r>
              <w:rPr>
                <w:rFonts w:hint="eastAsia"/>
                <w:color w:val="000000"/>
                <w:lang w:val="zh-CN"/>
              </w:rPr>
              <w:t>31</w:t>
            </w:r>
            <w:r>
              <w:rPr>
                <w:rFonts w:hint="eastAsia"/>
                <w:color w:val="000000"/>
                <w:lang w:val="zh-CN"/>
              </w:rPr>
              <w:t>日</w:t>
            </w:r>
          </w:p>
        </w:tc>
        <w:tc>
          <w:tcPr>
            <w:tcW w:w="1795" w:type="dxa"/>
            <w:tcBorders>
              <w:top w:val="single" w:sz="4" w:space="0" w:color="auto"/>
              <w:left w:val="single" w:sz="4" w:space="0" w:color="auto"/>
              <w:bottom w:val="single" w:sz="4" w:space="0" w:color="auto"/>
              <w:right w:val="single" w:sz="4" w:space="0" w:color="auto"/>
            </w:tcBorders>
            <w:noWrap/>
            <w:vAlign w:val="center"/>
            <w:hideMark/>
          </w:tcPr>
          <w:p w14:paraId="4CE82BB7" w14:textId="77777777" w:rsidR="00871EE2" w:rsidRPr="00963990" w:rsidRDefault="00871EE2" w:rsidP="004428D8">
            <w:pPr>
              <w:pStyle w:val="Tablehead"/>
              <w:keepLines/>
              <w:rPr>
                <w:szCs w:val="22"/>
              </w:rPr>
            </w:pPr>
            <w:r>
              <w:rPr>
                <w:color w:val="000000"/>
                <w:lang w:val="zh-CN"/>
              </w:rPr>
              <w:t>202</w:t>
            </w:r>
            <w:r>
              <w:rPr>
                <w:rFonts w:hint="eastAsia"/>
                <w:color w:val="000000"/>
                <w:lang w:val="zh-CN"/>
              </w:rPr>
              <w:t>4</w:t>
            </w:r>
            <w:r>
              <w:rPr>
                <w:rFonts w:hint="eastAsia"/>
                <w:color w:val="000000"/>
                <w:lang w:val="zh-CN"/>
              </w:rPr>
              <w:t>年</w:t>
            </w:r>
            <w:r>
              <w:rPr>
                <w:rFonts w:hint="eastAsia"/>
                <w:color w:val="000000"/>
                <w:lang w:val="zh-CN"/>
              </w:rPr>
              <w:t>12</w:t>
            </w:r>
            <w:r>
              <w:rPr>
                <w:rFonts w:hint="eastAsia"/>
                <w:color w:val="000000"/>
                <w:lang w:val="zh-CN"/>
              </w:rPr>
              <w:t>月</w:t>
            </w:r>
            <w:r>
              <w:rPr>
                <w:rFonts w:hint="eastAsia"/>
                <w:color w:val="000000"/>
                <w:lang w:val="zh-CN"/>
              </w:rPr>
              <w:t>31</w:t>
            </w:r>
            <w:r>
              <w:rPr>
                <w:rFonts w:hint="eastAsia"/>
                <w:color w:val="000000"/>
                <w:lang w:val="zh-CN"/>
              </w:rPr>
              <w:t>日</w:t>
            </w:r>
          </w:p>
        </w:tc>
      </w:tr>
      <w:tr w:rsidR="00871EE2" w:rsidRPr="00963990" w14:paraId="537E973D" w14:textId="77777777" w:rsidTr="004428D8">
        <w:trPr>
          <w:trHeight w:val="264"/>
          <w:jc w:val="center"/>
        </w:trPr>
        <w:tc>
          <w:tcPr>
            <w:tcW w:w="5665" w:type="dxa"/>
            <w:tcBorders>
              <w:top w:val="single" w:sz="4" w:space="0" w:color="auto"/>
              <w:right w:val="single" w:sz="4" w:space="0" w:color="auto"/>
            </w:tcBorders>
            <w:hideMark/>
          </w:tcPr>
          <w:p w14:paraId="51D3F036" w14:textId="77777777" w:rsidR="00871EE2" w:rsidRPr="00963990" w:rsidRDefault="00871EE2" w:rsidP="004428D8">
            <w:pPr>
              <w:pStyle w:val="Tabletext"/>
              <w:keepNext/>
              <w:keepLines/>
              <w:rPr>
                <w:szCs w:val="22"/>
              </w:rPr>
            </w:pPr>
            <w:r>
              <w:rPr>
                <w:lang w:val="zh-CN"/>
              </w:rPr>
              <w:t>1</w:t>
            </w:r>
            <w:r>
              <w:rPr>
                <w:lang w:val="zh-CN"/>
              </w:rPr>
              <w:t>月</w:t>
            </w:r>
            <w:r>
              <w:rPr>
                <w:lang w:val="zh-CN"/>
              </w:rPr>
              <w:t>1</w:t>
            </w:r>
            <w:proofErr w:type="spellStart"/>
            <w:r>
              <w:rPr>
                <w:lang w:val="zh-CN"/>
              </w:rPr>
              <w:t>日时的余额</w:t>
            </w:r>
            <w:proofErr w:type="spellEnd"/>
          </w:p>
        </w:tc>
        <w:tc>
          <w:tcPr>
            <w:tcW w:w="1843" w:type="dxa"/>
            <w:tcBorders>
              <w:top w:val="single" w:sz="4" w:space="0" w:color="auto"/>
              <w:right w:val="single" w:sz="4" w:space="0" w:color="auto"/>
            </w:tcBorders>
          </w:tcPr>
          <w:p w14:paraId="4AB3256E" w14:textId="0A8E6F22" w:rsidR="00871EE2" w:rsidRPr="00963990" w:rsidRDefault="00871EE2" w:rsidP="004428D8">
            <w:pPr>
              <w:pStyle w:val="Tabletext"/>
              <w:keepNext/>
              <w:keepLines/>
              <w:jc w:val="center"/>
              <w:rPr>
                <w:szCs w:val="22"/>
              </w:rPr>
            </w:pPr>
            <w:r>
              <w:rPr>
                <w:lang w:val="zh-CN"/>
              </w:rPr>
              <w:t>415</w:t>
            </w:r>
            <w:r w:rsidR="004428D8">
              <w:rPr>
                <w:szCs w:val="22"/>
              </w:rPr>
              <w:t> </w:t>
            </w:r>
            <w:r>
              <w:rPr>
                <w:lang w:val="zh-CN"/>
              </w:rPr>
              <w:t>835</w:t>
            </w:r>
          </w:p>
        </w:tc>
        <w:tc>
          <w:tcPr>
            <w:tcW w:w="1795" w:type="dxa"/>
            <w:tcBorders>
              <w:top w:val="single" w:sz="4" w:space="0" w:color="auto"/>
              <w:left w:val="single" w:sz="4" w:space="0" w:color="auto"/>
              <w:right w:val="single" w:sz="4" w:space="0" w:color="auto"/>
            </w:tcBorders>
          </w:tcPr>
          <w:p w14:paraId="55AFC753" w14:textId="64C456D4" w:rsidR="00871EE2" w:rsidRPr="00963990" w:rsidRDefault="00871EE2" w:rsidP="004428D8">
            <w:pPr>
              <w:pStyle w:val="Tabletext"/>
              <w:keepNext/>
              <w:keepLines/>
              <w:jc w:val="center"/>
              <w:rPr>
                <w:szCs w:val="22"/>
              </w:rPr>
            </w:pPr>
            <w:r>
              <w:rPr>
                <w:lang w:val="zh-CN"/>
              </w:rPr>
              <w:t>375</w:t>
            </w:r>
            <w:r w:rsidR="004428D8">
              <w:rPr>
                <w:szCs w:val="22"/>
              </w:rPr>
              <w:t> </w:t>
            </w:r>
            <w:r>
              <w:rPr>
                <w:lang w:val="zh-CN"/>
              </w:rPr>
              <w:t>271</w:t>
            </w:r>
          </w:p>
        </w:tc>
      </w:tr>
      <w:tr w:rsidR="00871EE2" w:rsidRPr="00963990" w14:paraId="6E376122" w14:textId="77777777" w:rsidTr="004428D8">
        <w:trPr>
          <w:trHeight w:val="264"/>
          <w:jc w:val="center"/>
        </w:trPr>
        <w:tc>
          <w:tcPr>
            <w:tcW w:w="5665" w:type="dxa"/>
            <w:tcBorders>
              <w:right w:val="single" w:sz="4" w:space="0" w:color="auto"/>
            </w:tcBorders>
          </w:tcPr>
          <w:p w14:paraId="3A7CE211" w14:textId="54BA7A47" w:rsidR="00871EE2" w:rsidRPr="00963990" w:rsidRDefault="004428D8" w:rsidP="004428D8">
            <w:pPr>
              <w:pStyle w:val="Tabletext"/>
              <w:keepNext/>
              <w:keepLines/>
              <w:rPr>
                <w:szCs w:val="22"/>
              </w:rPr>
            </w:pPr>
            <w:r w:rsidRPr="004428D8">
              <w:rPr>
                <w:lang w:val="zh-CN"/>
              </w:rPr>
              <w:t>–</w:t>
            </w:r>
            <w:r w:rsidR="00E002C6">
              <w:rPr>
                <w:lang w:val="zh-CN"/>
              </w:rPr>
              <w:tab/>
            </w:r>
            <w:proofErr w:type="spellStart"/>
            <w:r w:rsidR="00871EE2">
              <w:rPr>
                <w:lang w:val="zh-CN"/>
              </w:rPr>
              <w:t>净当前</w:t>
            </w:r>
            <w:r w:rsidR="00871EE2">
              <w:rPr>
                <w:rFonts w:hint="eastAsia"/>
                <w:lang w:val="zh-CN"/>
              </w:rPr>
              <w:t>服</w:t>
            </w:r>
            <w:r w:rsidR="00871EE2">
              <w:rPr>
                <w:lang w:val="zh-CN"/>
              </w:rPr>
              <w:t>务费用</w:t>
            </w:r>
            <w:proofErr w:type="spellEnd"/>
          </w:p>
        </w:tc>
        <w:tc>
          <w:tcPr>
            <w:tcW w:w="1843" w:type="dxa"/>
            <w:tcBorders>
              <w:right w:val="single" w:sz="4" w:space="0" w:color="auto"/>
            </w:tcBorders>
          </w:tcPr>
          <w:p w14:paraId="63F97706" w14:textId="05EF263E" w:rsidR="00871EE2" w:rsidRPr="00963990" w:rsidRDefault="00871EE2" w:rsidP="004428D8">
            <w:pPr>
              <w:pStyle w:val="Tabletext"/>
              <w:keepNext/>
              <w:keepLines/>
              <w:jc w:val="center"/>
              <w:rPr>
                <w:szCs w:val="22"/>
              </w:rPr>
            </w:pPr>
            <w:r>
              <w:rPr>
                <w:lang w:val="zh-CN"/>
              </w:rPr>
              <w:t>14</w:t>
            </w:r>
            <w:r w:rsidR="004428D8">
              <w:rPr>
                <w:szCs w:val="22"/>
              </w:rPr>
              <w:t> </w:t>
            </w:r>
            <w:r>
              <w:rPr>
                <w:lang w:val="zh-CN"/>
              </w:rPr>
              <w:t>048</w:t>
            </w:r>
          </w:p>
        </w:tc>
        <w:tc>
          <w:tcPr>
            <w:tcW w:w="1795" w:type="dxa"/>
            <w:tcBorders>
              <w:left w:val="single" w:sz="4" w:space="0" w:color="auto"/>
              <w:right w:val="single" w:sz="4" w:space="0" w:color="auto"/>
            </w:tcBorders>
          </w:tcPr>
          <w:p w14:paraId="7457FAA4" w14:textId="58301166" w:rsidR="00871EE2" w:rsidRPr="00963990" w:rsidRDefault="00871EE2" w:rsidP="004428D8">
            <w:pPr>
              <w:pStyle w:val="Tabletext"/>
              <w:keepNext/>
              <w:keepLines/>
              <w:jc w:val="center"/>
              <w:rPr>
                <w:szCs w:val="22"/>
              </w:rPr>
            </w:pPr>
            <w:r>
              <w:rPr>
                <w:lang w:val="zh-CN"/>
              </w:rPr>
              <w:t>11</w:t>
            </w:r>
            <w:r w:rsidR="004428D8">
              <w:rPr>
                <w:szCs w:val="22"/>
              </w:rPr>
              <w:t> </w:t>
            </w:r>
            <w:r>
              <w:rPr>
                <w:lang w:val="zh-CN"/>
              </w:rPr>
              <w:t>095</w:t>
            </w:r>
          </w:p>
        </w:tc>
      </w:tr>
      <w:tr w:rsidR="00871EE2" w:rsidRPr="00963990" w14:paraId="19207033" w14:textId="77777777" w:rsidTr="004428D8">
        <w:trPr>
          <w:trHeight w:val="264"/>
          <w:jc w:val="center"/>
        </w:trPr>
        <w:tc>
          <w:tcPr>
            <w:tcW w:w="5665" w:type="dxa"/>
            <w:tcBorders>
              <w:bottom w:val="single" w:sz="4" w:space="0" w:color="auto"/>
              <w:right w:val="single" w:sz="4" w:space="0" w:color="auto"/>
            </w:tcBorders>
          </w:tcPr>
          <w:p w14:paraId="5D96436B" w14:textId="2BCABC94" w:rsidR="00871EE2" w:rsidRPr="00963990" w:rsidRDefault="004428D8" w:rsidP="004428D8">
            <w:pPr>
              <w:pStyle w:val="Tabletext"/>
              <w:keepNext/>
              <w:keepLines/>
              <w:rPr>
                <w:szCs w:val="22"/>
              </w:rPr>
            </w:pPr>
            <w:r w:rsidRPr="004428D8">
              <w:rPr>
                <w:lang w:val="zh-CN"/>
              </w:rPr>
              <w:t>–</w:t>
            </w:r>
            <w:r w:rsidR="00E002C6">
              <w:rPr>
                <w:lang w:val="zh-CN"/>
              </w:rPr>
              <w:tab/>
            </w:r>
            <w:proofErr w:type="spellStart"/>
            <w:r w:rsidR="00871EE2">
              <w:rPr>
                <w:lang w:val="zh-CN"/>
              </w:rPr>
              <w:t>财务费用</w:t>
            </w:r>
            <w:proofErr w:type="spellEnd"/>
          </w:p>
        </w:tc>
        <w:tc>
          <w:tcPr>
            <w:tcW w:w="1843" w:type="dxa"/>
            <w:tcBorders>
              <w:bottom w:val="single" w:sz="4" w:space="0" w:color="auto"/>
              <w:right w:val="single" w:sz="4" w:space="0" w:color="auto"/>
            </w:tcBorders>
          </w:tcPr>
          <w:p w14:paraId="68A559A1" w14:textId="2B252553" w:rsidR="00871EE2" w:rsidRPr="00963990" w:rsidRDefault="00871EE2" w:rsidP="004428D8">
            <w:pPr>
              <w:pStyle w:val="Tabletext"/>
              <w:keepNext/>
              <w:keepLines/>
              <w:jc w:val="center"/>
              <w:rPr>
                <w:szCs w:val="22"/>
              </w:rPr>
            </w:pPr>
            <w:r>
              <w:rPr>
                <w:lang w:val="zh-CN"/>
              </w:rPr>
              <w:t>5</w:t>
            </w:r>
            <w:r w:rsidR="004428D8">
              <w:rPr>
                <w:szCs w:val="22"/>
              </w:rPr>
              <w:t> </w:t>
            </w:r>
            <w:r>
              <w:rPr>
                <w:lang w:val="zh-CN"/>
              </w:rPr>
              <w:t>753</w:t>
            </w:r>
          </w:p>
        </w:tc>
        <w:tc>
          <w:tcPr>
            <w:tcW w:w="1795" w:type="dxa"/>
            <w:tcBorders>
              <w:left w:val="single" w:sz="4" w:space="0" w:color="auto"/>
              <w:bottom w:val="single" w:sz="4" w:space="0" w:color="auto"/>
              <w:right w:val="single" w:sz="4" w:space="0" w:color="auto"/>
            </w:tcBorders>
          </w:tcPr>
          <w:p w14:paraId="2A6C55B3" w14:textId="66713FC6" w:rsidR="00871EE2" w:rsidRPr="00963990" w:rsidRDefault="00871EE2" w:rsidP="004428D8">
            <w:pPr>
              <w:pStyle w:val="Tabletext"/>
              <w:keepNext/>
              <w:keepLines/>
              <w:jc w:val="center"/>
              <w:rPr>
                <w:szCs w:val="22"/>
              </w:rPr>
            </w:pPr>
            <w:r>
              <w:rPr>
                <w:lang w:val="zh-CN"/>
              </w:rPr>
              <w:t>7</w:t>
            </w:r>
            <w:r w:rsidR="004428D8">
              <w:rPr>
                <w:szCs w:val="22"/>
              </w:rPr>
              <w:t> </w:t>
            </w:r>
            <w:r>
              <w:rPr>
                <w:lang w:val="zh-CN"/>
              </w:rPr>
              <w:t>046</w:t>
            </w:r>
          </w:p>
        </w:tc>
      </w:tr>
      <w:tr w:rsidR="00871EE2" w:rsidRPr="00963990" w14:paraId="76EF4CD1" w14:textId="77777777" w:rsidTr="004428D8">
        <w:trPr>
          <w:trHeight w:val="336"/>
          <w:jc w:val="center"/>
        </w:trPr>
        <w:tc>
          <w:tcPr>
            <w:tcW w:w="5665" w:type="dxa"/>
            <w:tcBorders>
              <w:top w:val="single" w:sz="4" w:space="0" w:color="auto"/>
              <w:left w:val="single" w:sz="4" w:space="0" w:color="auto"/>
              <w:bottom w:val="single" w:sz="4" w:space="0" w:color="auto"/>
              <w:right w:val="single" w:sz="4" w:space="0" w:color="auto"/>
            </w:tcBorders>
            <w:hideMark/>
          </w:tcPr>
          <w:p w14:paraId="0C7D0289" w14:textId="77777777" w:rsidR="00871EE2" w:rsidRPr="00EC4566" w:rsidRDefault="00871EE2" w:rsidP="004428D8">
            <w:pPr>
              <w:pStyle w:val="Tabletext"/>
              <w:keepNext/>
              <w:keepLines/>
              <w:rPr>
                <w:b/>
                <w:szCs w:val="22"/>
                <w:lang w:eastAsia="zh-CN"/>
              </w:rPr>
            </w:pPr>
            <w:r w:rsidRPr="00EC4566">
              <w:rPr>
                <w:b/>
                <w:lang w:val="zh-CN" w:eastAsia="zh-CN"/>
              </w:rPr>
              <w:t>财务业绩报表中确认的支出合计</w:t>
            </w:r>
          </w:p>
        </w:tc>
        <w:tc>
          <w:tcPr>
            <w:tcW w:w="1843" w:type="dxa"/>
            <w:tcBorders>
              <w:top w:val="single" w:sz="4" w:space="0" w:color="auto"/>
              <w:left w:val="single" w:sz="4" w:space="0" w:color="auto"/>
              <w:bottom w:val="single" w:sz="4" w:space="0" w:color="auto"/>
              <w:right w:val="single" w:sz="4" w:space="0" w:color="auto"/>
            </w:tcBorders>
          </w:tcPr>
          <w:p w14:paraId="32D7097A" w14:textId="32C9184B" w:rsidR="00871EE2" w:rsidRPr="00963990" w:rsidRDefault="00871EE2" w:rsidP="004428D8">
            <w:pPr>
              <w:pStyle w:val="Tabletext"/>
              <w:keepNext/>
              <w:keepLines/>
              <w:jc w:val="center"/>
              <w:rPr>
                <w:b/>
                <w:szCs w:val="22"/>
              </w:rPr>
            </w:pPr>
            <w:r>
              <w:rPr>
                <w:b/>
                <w:bCs/>
                <w:lang w:val="zh-CN"/>
              </w:rPr>
              <w:t>19</w:t>
            </w:r>
            <w:r w:rsidR="004428D8" w:rsidRPr="004428D8">
              <w:rPr>
                <w:b/>
                <w:bCs/>
                <w:szCs w:val="22"/>
              </w:rPr>
              <w:t> </w:t>
            </w:r>
            <w:r>
              <w:rPr>
                <w:b/>
                <w:bCs/>
                <w:lang w:val="zh-CN"/>
              </w:rPr>
              <w:t>801</w:t>
            </w:r>
          </w:p>
        </w:tc>
        <w:tc>
          <w:tcPr>
            <w:tcW w:w="1795" w:type="dxa"/>
            <w:tcBorders>
              <w:top w:val="single" w:sz="4" w:space="0" w:color="auto"/>
              <w:left w:val="single" w:sz="4" w:space="0" w:color="auto"/>
              <w:bottom w:val="single" w:sz="4" w:space="0" w:color="auto"/>
              <w:right w:val="single" w:sz="4" w:space="0" w:color="auto"/>
            </w:tcBorders>
          </w:tcPr>
          <w:p w14:paraId="7E9360A3" w14:textId="7E89AE88" w:rsidR="00871EE2" w:rsidRPr="00963990" w:rsidRDefault="00871EE2" w:rsidP="004428D8">
            <w:pPr>
              <w:pStyle w:val="Tabletext"/>
              <w:keepNext/>
              <w:keepLines/>
              <w:jc w:val="center"/>
              <w:rPr>
                <w:b/>
                <w:szCs w:val="22"/>
              </w:rPr>
            </w:pPr>
            <w:r>
              <w:rPr>
                <w:b/>
                <w:bCs/>
                <w:lang w:val="zh-CN"/>
              </w:rPr>
              <w:t>18</w:t>
            </w:r>
            <w:r w:rsidR="004428D8" w:rsidRPr="004428D8">
              <w:rPr>
                <w:b/>
                <w:bCs/>
                <w:szCs w:val="22"/>
              </w:rPr>
              <w:t> </w:t>
            </w:r>
            <w:r>
              <w:rPr>
                <w:b/>
                <w:bCs/>
                <w:lang w:val="zh-CN"/>
              </w:rPr>
              <w:t>141</w:t>
            </w:r>
          </w:p>
        </w:tc>
      </w:tr>
      <w:tr w:rsidR="00871EE2" w:rsidRPr="00963990" w14:paraId="29448F32" w14:textId="77777777" w:rsidTr="004428D8">
        <w:trPr>
          <w:trHeight w:val="336"/>
          <w:jc w:val="center"/>
        </w:trPr>
        <w:tc>
          <w:tcPr>
            <w:tcW w:w="5665" w:type="dxa"/>
            <w:tcBorders>
              <w:top w:val="single" w:sz="4" w:space="0" w:color="auto"/>
              <w:bottom w:val="nil"/>
              <w:right w:val="single" w:sz="4" w:space="0" w:color="auto"/>
            </w:tcBorders>
          </w:tcPr>
          <w:p w14:paraId="5562D4A7" w14:textId="01531A9E" w:rsidR="00871EE2" w:rsidRPr="00963990" w:rsidRDefault="00E002C6" w:rsidP="004428D8">
            <w:pPr>
              <w:pStyle w:val="Tabletext"/>
              <w:keepNext/>
              <w:keepLines/>
              <w:rPr>
                <w:szCs w:val="22"/>
                <w:lang w:eastAsia="zh-CN"/>
              </w:rPr>
            </w:pPr>
            <w:r>
              <w:rPr>
                <w:lang w:eastAsia="zh-CN"/>
              </w:rPr>
              <w:t>–</w:t>
            </w:r>
            <w:r>
              <w:rPr>
                <w:lang w:eastAsia="zh-CN"/>
              </w:rPr>
              <w:tab/>
            </w:r>
            <w:r w:rsidR="00871EE2">
              <w:rPr>
                <w:lang w:val="zh-CN" w:eastAsia="zh-CN"/>
              </w:rPr>
              <w:t>因人</w:t>
            </w:r>
            <w:r w:rsidR="00871EE2">
              <w:rPr>
                <w:rFonts w:hint="eastAsia"/>
                <w:lang w:val="zh-CN" w:eastAsia="zh-CN"/>
              </w:rPr>
              <w:t>口</w:t>
            </w:r>
            <w:r w:rsidR="00871EE2">
              <w:rPr>
                <w:lang w:val="zh-CN" w:eastAsia="zh-CN"/>
              </w:rPr>
              <w:t>统计假</w:t>
            </w:r>
            <w:r w:rsidR="00871EE2">
              <w:rPr>
                <w:rFonts w:hint="eastAsia"/>
                <w:lang w:val="zh-CN" w:eastAsia="zh-CN"/>
              </w:rPr>
              <w:t>设发生</w:t>
            </w:r>
            <w:r w:rsidR="00871EE2">
              <w:rPr>
                <w:lang w:val="zh-CN" w:eastAsia="zh-CN"/>
              </w:rPr>
              <w:t>变化而产生的</w:t>
            </w:r>
            <w:r w:rsidR="00871EE2" w:rsidRPr="00136826">
              <w:rPr>
                <w:rFonts w:hint="eastAsia"/>
                <w:lang w:val="zh-CN" w:eastAsia="zh-CN"/>
              </w:rPr>
              <w:t>承付款</w:t>
            </w:r>
          </w:p>
        </w:tc>
        <w:tc>
          <w:tcPr>
            <w:tcW w:w="1843" w:type="dxa"/>
            <w:tcBorders>
              <w:top w:val="single" w:sz="4" w:space="0" w:color="auto"/>
              <w:bottom w:val="nil"/>
              <w:right w:val="single" w:sz="4" w:space="0" w:color="auto"/>
            </w:tcBorders>
          </w:tcPr>
          <w:p w14:paraId="4B84E5B5" w14:textId="42D6A7AF" w:rsidR="00871EE2" w:rsidRPr="00963990" w:rsidRDefault="00871EE2" w:rsidP="004428D8">
            <w:pPr>
              <w:pStyle w:val="Tabletext"/>
              <w:keepNext/>
              <w:keepLines/>
              <w:jc w:val="center"/>
              <w:rPr>
                <w:szCs w:val="22"/>
              </w:rPr>
            </w:pPr>
            <w:r>
              <w:rPr>
                <w:lang w:val="zh-CN"/>
              </w:rPr>
              <w:t>(7</w:t>
            </w:r>
            <w:r w:rsidR="004428D8">
              <w:rPr>
                <w:szCs w:val="22"/>
              </w:rPr>
              <w:t> </w:t>
            </w:r>
            <w:r>
              <w:rPr>
                <w:lang w:val="zh-CN"/>
              </w:rPr>
              <w:t>026)</w:t>
            </w:r>
          </w:p>
        </w:tc>
        <w:tc>
          <w:tcPr>
            <w:tcW w:w="1795" w:type="dxa"/>
            <w:tcBorders>
              <w:top w:val="single" w:sz="4" w:space="0" w:color="auto"/>
              <w:left w:val="single" w:sz="4" w:space="0" w:color="auto"/>
              <w:bottom w:val="nil"/>
              <w:right w:val="single" w:sz="4" w:space="0" w:color="auto"/>
            </w:tcBorders>
          </w:tcPr>
          <w:p w14:paraId="446D1ED4" w14:textId="4387F4CA" w:rsidR="00871EE2" w:rsidRPr="00963990" w:rsidRDefault="00871EE2" w:rsidP="004428D8">
            <w:pPr>
              <w:pStyle w:val="Tabletext"/>
              <w:keepNext/>
              <w:keepLines/>
              <w:jc w:val="center"/>
              <w:rPr>
                <w:szCs w:val="22"/>
              </w:rPr>
            </w:pPr>
            <w:r>
              <w:rPr>
                <w:lang w:val="zh-CN"/>
              </w:rPr>
              <w:t>10</w:t>
            </w:r>
            <w:r w:rsidR="004428D8">
              <w:rPr>
                <w:szCs w:val="22"/>
              </w:rPr>
              <w:t> </w:t>
            </w:r>
            <w:r>
              <w:rPr>
                <w:lang w:val="zh-CN"/>
              </w:rPr>
              <w:t>602</w:t>
            </w:r>
          </w:p>
        </w:tc>
      </w:tr>
      <w:tr w:rsidR="00871EE2" w:rsidRPr="00963990" w14:paraId="064CFB6B" w14:textId="77777777" w:rsidTr="004428D8">
        <w:trPr>
          <w:trHeight w:val="336"/>
          <w:jc w:val="center"/>
        </w:trPr>
        <w:tc>
          <w:tcPr>
            <w:tcW w:w="5665" w:type="dxa"/>
            <w:tcBorders>
              <w:top w:val="nil"/>
              <w:bottom w:val="nil"/>
              <w:right w:val="single" w:sz="4" w:space="0" w:color="auto"/>
            </w:tcBorders>
          </w:tcPr>
          <w:p w14:paraId="46364562" w14:textId="6C30C16A" w:rsidR="00871EE2" w:rsidRPr="00963990" w:rsidRDefault="00871EE2" w:rsidP="004428D8">
            <w:pPr>
              <w:pStyle w:val="Tabletext"/>
              <w:keepNext/>
              <w:keepLines/>
              <w:rPr>
                <w:szCs w:val="22"/>
                <w:lang w:eastAsia="zh-CN"/>
              </w:rPr>
            </w:pPr>
            <w:r>
              <w:rPr>
                <w:lang w:val="zh-CN" w:eastAsia="zh-CN"/>
              </w:rPr>
              <w:t>–</w:t>
            </w:r>
            <w:r w:rsidR="00E002C6">
              <w:rPr>
                <w:lang w:val="zh-CN" w:eastAsia="zh-CN"/>
              </w:rPr>
              <w:tab/>
            </w:r>
            <w:r>
              <w:rPr>
                <w:lang w:val="zh-CN" w:eastAsia="zh-CN"/>
              </w:rPr>
              <w:t>财务假设变化</w:t>
            </w:r>
            <w:r>
              <w:rPr>
                <w:rFonts w:hint="eastAsia"/>
                <w:lang w:val="zh-CN" w:eastAsia="zh-CN"/>
              </w:rPr>
              <w:t>产生</w:t>
            </w:r>
            <w:r>
              <w:rPr>
                <w:lang w:val="zh-CN" w:eastAsia="zh-CN"/>
              </w:rPr>
              <w:t>的承付款</w:t>
            </w:r>
          </w:p>
        </w:tc>
        <w:tc>
          <w:tcPr>
            <w:tcW w:w="1843" w:type="dxa"/>
            <w:tcBorders>
              <w:top w:val="nil"/>
              <w:bottom w:val="nil"/>
              <w:right w:val="single" w:sz="4" w:space="0" w:color="auto"/>
            </w:tcBorders>
          </w:tcPr>
          <w:p w14:paraId="2B10A0BC" w14:textId="20D96A44" w:rsidR="00871EE2" w:rsidRPr="00963990" w:rsidRDefault="00871EE2" w:rsidP="004428D8">
            <w:pPr>
              <w:pStyle w:val="Tabletext"/>
              <w:keepNext/>
              <w:keepLines/>
              <w:jc w:val="center"/>
              <w:rPr>
                <w:szCs w:val="22"/>
              </w:rPr>
            </w:pPr>
            <w:r>
              <w:rPr>
                <w:lang w:val="zh-CN"/>
              </w:rPr>
              <w:t>(47</w:t>
            </w:r>
            <w:r w:rsidR="004428D8">
              <w:rPr>
                <w:szCs w:val="22"/>
              </w:rPr>
              <w:t> </w:t>
            </w:r>
            <w:r>
              <w:rPr>
                <w:lang w:val="zh-CN"/>
              </w:rPr>
              <w:t>713)</w:t>
            </w:r>
          </w:p>
        </w:tc>
        <w:tc>
          <w:tcPr>
            <w:tcW w:w="1795" w:type="dxa"/>
            <w:tcBorders>
              <w:top w:val="nil"/>
              <w:left w:val="single" w:sz="4" w:space="0" w:color="auto"/>
              <w:bottom w:val="nil"/>
              <w:right w:val="single" w:sz="4" w:space="0" w:color="auto"/>
            </w:tcBorders>
          </w:tcPr>
          <w:p w14:paraId="37F327DC" w14:textId="6D940E77" w:rsidR="00871EE2" w:rsidRPr="00963990" w:rsidRDefault="00871EE2" w:rsidP="004428D8">
            <w:pPr>
              <w:pStyle w:val="Tabletext"/>
              <w:keepNext/>
              <w:keepLines/>
              <w:jc w:val="center"/>
              <w:rPr>
                <w:szCs w:val="22"/>
              </w:rPr>
            </w:pPr>
            <w:r>
              <w:rPr>
                <w:lang w:val="zh-CN"/>
              </w:rPr>
              <w:t>20</w:t>
            </w:r>
            <w:r w:rsidR="004428D8">
              <w:rPr>
                <w:szCs w:val="22"/>
              </w:rPr>
              <w:t> </w:t>
            </w:r>
            <w:r>
              <w:rPr>
                <w:lang w:val="zh-CN"/>
              </w:rPr>
              <w:t>636</w:t>
            </w:r>
          </w:p>
        </w:tc>
      </w:tr>
      <w:tr w:rsidR="00871EE2" w:rsidRPr="00963990" w14:paraId="0971FA42" w14:textId="77777777" w:rsidTr="004428D8">
        <w:trPr>
          <w:trHeight w:val="336"/>
          <w:jc w:val="center"/>
        </w:trPr>
        <w:tc>
          <w:tcPr>
            <w:tcW w:w="5665" w:type="dxa"/>
            <w:tcBorders>
              <w:top w:val="nil"/>
              <w:bottom w:val="single" w:sz="4" w:space="0" w:color="auto"/>
              <w:right w:val="single" w:sz="4" w:space="0" w:color="auto"/>
            </w:tcBorders>
          </w:tcPr>
          <w:p w14:paraId="5255D8D7" w14:textId="2578EB2F" w:rsidR="00871EE2" w:rsidRPr="00963990" w:rsidRDefault="00871EE2" w:rsidP="004428D8">
            <w:pPr>
              <w:pStyle w:val="Tabletext"/>
              <w:keepNext/>
              <w:keepLines/>
              <w:rPr>
                <w:szCs w:val="22"/>
                <w:lang w:eastAsia="zh-CN"/>
              </w:rPr>
            </w:pPr>
            <w:r>
              <w:rPr>
                <w:lang w:val="zh-CN" w:eastAsia="zh-CN"/>
              </w:rPr>
              <w:t>–</w:t>
            </w:r>
            <w:r w:rsidR="00E002C6">
              <w:rPr>
                <w:lang w:val="zh-CN" w:eastAsia="zh-CN"/>
              </w:rPr>
              <w:tab/>
            </w:r>
            <w:r>
              <w:rPr>
                <w:rFonts w:hint="eastAsia"/>
                <w:lang w:val="zh-CN" w:eastAsia="zh-CN"/>
              </w:rPr>
              <w:t>因</w:t>
            </w:r>
            <w:r w:rsidRPr="00EA04D3">
              <w:rPr>
                <w:rFonts w:hint="eastAsia"/>
                <w:lang w:val="zh-CN" w:eastAsia="zh-CN"/>
              </w:rPr>
              <w:t>该期内经验</w:t>
            </w:r>
            <w:r>
              <w:rPr>
                <w:rFonts w:hint="eastAsia"/>
                <w:lang w:val="zh-CN" w:eastAsia="zh-CN"/>
              </w:rPr>
              <w:t>而形成</w:t>
            </w:r>
            <w:r w:rsidRPr="00EA04D3">
              <w:rPr>
                <w:rFonts w:hint="eastAsia"/>
                <w:lang w:val="zh-CN" w:eastAsia="zh-CN"/>
              </w:rPr>
              <w:t>的承付款</w:t>
            </w:r>
          </w:p>
        </w:tc>
        <w:tc>
          <w:tcPr>
            <w:tcW w:w="1843" w:type="dxa"/>
            <w:tcBorders>
              <w:top w:val="nil"/>
              <w:bottom w:val="single" w:sz="4" w:space="0" w:color="auto"/>
              <w:right w:val="single" w:sz="4" w:space="0" w:color="auto"/>
            </w:tcBorders>
          </w:tcPr>
          <w:p w14:paraId="426C86F3" w14:textId="7A72FB77" w:rsidR="00871EE2" w:rsidRPr="00963990" w:rsidRDefault="00871EE2" w:rsidP="004428D8">
            <w:pPr>
              <w:pStyle w:val="Tabletext"/>
              <w:keepNext/>
              <w:keepLines/>
              <w:jc w:val="center"/>
              <w:rPr>
                <w:szCs w:val="22"/>
              </w:rPr>
            </w:pPr>
            <w:r>
              <w:rPr>
                <w:lang w:val="zh-CN"/>
              </w:rPr>
              <w:t>6</w:t>
            </w:r>
            <w:r w:rsidR="004428D8">
              <w:rPr>
                <w:szCs w:val="22"/>
              </w:rPr>
              <w:t> </w:t>
            </w:r>
            <w:r>
              <w:rPr>
                <w:lang w:val="zh-CN"/>
              </w:rPr>
              <w:t>300</w:t>
            </w:r>
          </w:p>
        </w:tc>
        <w:tc>
          <w:tcPr>
            <w:tcW w:w="1795" w:type="dxa"/>
            <w:tcBorders>
              <w:top w:val="nil"/>
              <w:left w:val="single" w:sz="4" w:space="0" w:color="auto"/>
              <w:bottom w:val="single" w:sz="4" w:space="0" w:color="auto"/>
              <w:right w:val="single" w:sz="4" w:space="0" w:color="auto"/>
            </w:tcBorders>
          </w:tcPr>
          <w:p w14:paraId="5881DFC2" w14:textId="32BDE7FF" w:rsidR="00871EE2" w:rsidRPr="00963990" w:rsidRDefault="00871EE2" w:rsidP="004428D8">
            <w:pPr>
              <w:pStyle w:val="Tabletext"/>
              <w:keepNext/>
              <w:keepLines/>
              <w:jc w:val="center"/>
              <w:rPr>
                <w:szCs w:val="22"/>
              </w:rPr>
            </w:pPr>
            <w:r>
              <w:rPr>
                <w:lang w:val="zh-CN"/>
              </w:rPr>
              <w:t>1</w:t>
            </w:r>
            <w:r w:rsidR="004428D8">
              <w:rPr>
                <w:szCs w:val="22"/>
              </w:rPr>
              <w:t> </w:t>
            </w:r>
            <w:r>
              <w:rPr>
                <w:lang w:val="zh-CN"/>
              </w:rPr>
              <w:t>511</w:t>
            </w:r>
          </w:p>
        </w:tc>
      </w:tr>
      <w:tr w:rsidR="00871EE2" w:rsidRPr="00963990" w14:paraId="1FFFFA93" w14:textId="77777777" w:rsidTr="004428D8">
        <w:trPr>
          <w:trHeight w:val="336"/>
          <w:jc w:val="center"/>
        </w:trPr>
        <w:tc>
          <w:tcPr>
            <w:tcW w:w="5665" w:type="dxa"/>
            <w:tcBorders>
              <w:top w:val="single" w:sz="4" w:space="0" w:color="auto"/>
              <w:bottom w:val="nil"/>
              <w:right w:val="single" w:sz="4" w:space="0" w:color="auto"/>
            </w:tcBorders>
          </w:tcPr>
          <w:p w14:paraId="749A7537" w14:textId="77777777" w:rsidR="00871EE2" w:rsidRPr="00963990" w:rsidRDefault="00871EE2" w:rsidP="004428D8">
            <w:pPr>
              <w:pStyle w:val="Tabletext"/>
              <w:keepNext/>
              <w:keepLines/>
              <w:rPr>
                <w:b/>
                <w:bCs/>
                <w:szCs w:val="22"/>
                <w:lang w:eastAsia="zh-CN"/>
              </w:rPr>
            </w:pPr>
            <w:r>
              <w:rPr>
                <w:b/>
                <w:bCs/>
                <w:lang w:val="zh-CN" w:eastAsia="zh-CN"/>
              </w:rPr>
              <w:t>净资产中确认的精算损失（收益）</w:t>
            </w:r>
          </w:p>
        </w:tc>
        <w:tc>
          <w:tcPr>
            <w:tcW w:w="1843" w:type="dxa"/>
            <w:tcBorders>
              <w:top w:val="single" w:sz="4" w:space="0" w:color="auto"/>
              <w:bottom w:val="nil"/>
              <w:right w:val="single" w:sz="4" w:space="0" w:color="auto"/>
            </w:tcBorders>
          </w:tcPr>
          <w:p w14:paraId="648FA482" w14:textId="192D60DB" w:rsidR="00871EE2" w:rsidRPr="00963990" w:rsidRDefault="00871EE2" w:rsidP="004428D8">
            <w:pPr>
              <w:pStyle w:val="Tabletext"/>
              <w:keepNext/>
              <w:keepLines/>
              <w:jc w:val="center"/>
              <w:rPr>
                <w:b/>
                <w:bCs/>
                <w:szCs w:val="22"/>
              </w:rPr>
            </w:pPr>
            <w:r>
              <w:rPr>
                <w:b/>
                <w:bCs/>
                <w:lang w:val="zh-CN"/>
              </w:rPr>
              <w:t>(48</w:t>
            </w:r>
            <w:r w:rsidR="004428D8" w:rsidRPr="004428D8">
              <w:rPr>
                <w:b/>
                <w:bCs/>
                <w:szCs w:val="22"/>
              </w:rPr>
              <w:t> </w:t>
            </w:r>
            <w:r>
              <w:rPr>
                <w:b/>
                <w:bCs/>
                <w:lang w:val="zh-CN"/>
              </w:rPr>
              <w:t>439)</w:t>
            </w:r>
          </w:p>
        </w:tc>
        <w:tc>
          <w:tcPr>
            <w:tcW w:w="1795" w:type="dxa"/>
            <w:tcBorders>
              <w:top w:val="single" w:sz="4" w:space="0" w:color="auto"/>
              <w:left w:val="single" w:sz="4" w:space="0" w:color="auto"/>
              <w:bottom w:val="nil"/>
              <w:right w:val="single" w:sz="4" w:space="0" w:color="auto"/>
            </w:tcBorders>
          </w:tcPr>
          <w:p w14:paraId="75A6EDDC" w14:textId="60996736" w:rsidR="00871EE2" w:rsidRPr="00963990" w:rsidRDefault="00871EE2" w:rsidP="004428D8">
            <w:pPr>
              <w:pStyle w:val="Tabletext"/>
              <w:keepNext/>
              <w:keepLines/>
              <w:jc w:val="center"/>
              <w:rPr>
                <w:b/>
                <w:bCs/>
                <w:szCs w:val="22"/>
              </w:rPr>
            </w:pPr>
            <w:r>
              <w:rPr>
                <w:b/>
                <w:bCs/>
                <w:lang w:val="zh-CN"/>
              </w:rPr>
              <w:t>32</w:t>
            </w:r>
            <w:r w:rsidR="004428D8" w:rsidRPr="004428D8">
              <w:rPr>
                <w:b/>
                <w:bCs/>
                <w:szCs w:val="22"/>
              </w:rPr>
              <w:t> </w:t>
            </w:r>
            <w:r>
              <w:rPr>
                <w:b/>
                <w:bCs/>
                <w:lang w:val="zh-CN"/>
              </w:rPr>
              <w:t>748</w:t>
            </w:r>
          </w:p>
        </w:tc>
      </w:tr>
      <w:tr w:rsidR="00871EE2" w:rsidRPr="00963990" w14:paraId="36C19029" w14:textId="77777777" w:rsidTr="004428D8">
        <w:trPr>
          <w:trHeight w:val="336"/>
          <w:jc w:val="center"/>
        </w:trPr>
        <w:tc>
          <w:tcPr>
            <w:tcW w:w="5665" w:type="dxa"/>
            <w:tcBorders>
              <w:top w:val="nil"/>
              <w:bottom w:val="single" w:sz="4" w:space="0" w:color="auto"/>
              <w:right w:val="single" w:sz="4" w:space="0" w:color="auto"/>
            </w:tcBorders>
            <w:vAlign w:val="bottom"/>
          </w:tcPr>
          <w:p w14:paraId="3A3C9160" w14:textId="77777777" w:rsidR="00871EE2" w:rsidRPr="00963990" w:rsidRDefault="00871EE2" w:rsidP="004428D8">
            <w:pPr>
              <w:pStyle w:val="Tabletext"/>
              <w:keepNext/>
              <w:keepLines/>
              <w:rPr>
                <w:b/>
                <w:bCs/>
                <w:szCs w:val="22"/>
              </w:rPr>
            </w:pPr>
            <w:proofErr w:type="spellStart"/>
            <w:r>
              <w:rPr>
                <w:rFonts w:hint="eastAsia"/>
                <w:b/>
                <w:bCs/>
                <w:lang w:val="zh-CN"/>
              </w:rPr>
              <w:t>本</w:t>
            </w:r>
            <w:r>
              <w:rPr>
                <w:b/>
                <w:bCs/>
                <w:lang w:val="zh-CN"/>
              </w:rPr>
              <w:t>期缴款</w:t>
            </w:r>
            <w:proofErr w:type="spellEnd"/>
          </w:p>
        </w:tc>
        <w:tc>
          <w:tcPr>
            <w:tcW w:w="1843" w:type="dxa"/>
            <w:tcBorders>
              <w:top w:val="nil"/>
              <w:bottom w:val="single" w:sz="4" w:space="0" w:color="auto"/>
              <w:right w:val="single" w:sz="4" w:space="0" w:color="auto"/>
            </w:tcBorders>
          </w:tcPr>
          <w:p w14:paraId="40A1DDA7" w14:textId="5386D017" w:rsidR="00871EE2" w:rsidRPr="00963990" w:rsidRDefault="00871EE2" w:rsidP="004428D8">
            <w:pPr>
              <w:pStyle w:val="Tabletext"/>
              <w:keepNext/>
              <w:keepLines/>
              <w:jc w:val="center"/>
              <w:rPr>
                <w:b/>
                <w:bCs/>
                <w:szCs w:val="22"/>
              </w:rPr>
            </w:pPr>
            <w:r>
              <w:rPr>
                <w:b/>
                <w:bCs/>
                <w:lang w:val="zh-CN"/>
              </w:rPr>
              <w:t>(8</w:t>
            </w:r>
            <w:r w:rsidR="004428D8" w:rsidRPr="004428D8">
              <w:rPr>
                <w:b/>
                <w:bCs/>
                <w:szCs w:val="22"/>
              </w:rPr>
              <w:t> </w:t>
            </w:r>
            <w:r>
              <w:rPr>
                <w:b/>
                <w:bCs/>
                <w:lang w:val="zh-CN"/>
              </w:rPr>
              <w:t>373)</w:t>
            </w:r>
          </w:p>
        </w:tc>
        <w:tc>
          <w:tcPr>
            <w:tcW w:w="1795" w:type="dxa"/>
            <w:tcBorders>
              <w:top w:val="nil"/>
              <w:left w:val="single" w:sz="4" w:space="0" w:color="auto"/>
              <w:bottom w:val="single" w:sz="4" w:space="0" w:color="auto"/>
              <w:right w:val="single" w:sz="4" w:space="0" w:color="auto"/>
            </w:tcBorders>
          </w:tcPr>
          <w:p w14:paraId="1CC117FA" w14:textId="421DB964" w:rsidR="00871EE2" w:rsidRPr="00963990" w:rsidRDefault="00871EE2" w:rsidP="004428D8">
            <w:pPr>
              <w:pStyle w:val="Tabletext"/>
              <w:keepNext/>
              <w:keepLines/>
              <w:jc w:val="center"/>
              <w:rPr>
                <w:b/>
                <w:bCs/>
                <w:szCs w:val="22"/>
              </w:rPr>
            </w:pPr>
            <w:r>
              <w:rPr>
                <w:b/>
                <w:bCs/>
                <w:lang w:val="zh-CN"/>
              </w:rPr>
              <w:t>(10</w:t>
            </w:r>
            <w:r w:rsidR="004428D8" w:rsidRPr="004428D8">
              <w:rPr>
                <w:b/>
                <w:bCs/>
                <w:szCs w:val="22"/>
              </w:rPr>
              <w:t> </w:t>
            </w:r>
            <w:r>
              <w:rPr>
                <w:b/>
                <w:bCs/>
                <w:lang w:val="zh-CN"/>
              </w:rPr>
              <w:t>325)</w:t>
            </w:r>
          </w:p>
        </w:tc>
      </w:tr>
      <w:tr w:rsidR="00871EE2" w:rsidRPr="00963990" w14:paraId="618DB23F" w14:textId="77777777" w:rsidTr="004428D8">
        <w:trPr>
          <w:trHeight w:val="336"/>
          <w:jc w:val="center"/>
        </w:trPr>
        <w:tc>
          <w:tcPr>
            <w:tcW w:w="5665" w:type="dxa"/>
            <w:tcBorders>
              <w:top w:val="single" w:sz="4" w:space="0" w:color="auto"/>
              <w:right w:val="single" w:sz="4" w:space="0" w:color="auto"/>
            </w:tcBorders>
          </w:tcPr>
          <w:p w14:paraId="3AC45388" w14:textId="77777777" w:rsidR="00871EE2" w:rsidRPr="00963990" w:rsidRDefault="00871EE2" w:rsidP="004428D8">
            <w:pPr>
              <w:pStyle w:val="Tabletext"/>
              <w:keepNext/>
              <w:keepLines/>
              <w:rPr>
                <w:b/>
                <w:bCs/>
                <w:szCs w:val="22"/>
                <w:lang w:eastAsia="zh-CN"/>
              </w:rPr>
            </w:pPr>
            <w:r>
              <w:rPr>
                <w:b/>
                <w:bCs/>
                <w:lang w:val="zh-CN" w:eastAsia="zh-CN"/>
              </w:rPr>
              <w:t>截至</w:t>
            </w:r>
            <w:r>
              <w:rPr>
                <w:b/>
                <w:bCs/>
                <w:lang w:val="zh-CN" w:eastAsia="zh-CN"/>
              </w:rPr>
              <w:t>12</w:t>
            </w:r>
            <w:r>
              <w:rPr>
                <w:b/>
                <w:bCs/>
                <w:lang w:val="zh-CN" w:eastAsia="zh-CN"/>
              </w:rPr>
              <w:t>月</w:t>
            </w:r>
            <w:r>
              <w:rPr>
                <w:b/>
                <w:bCs/>
                <w:lang w:val="zh-CN" w:eastAsia="zh-CN"/>
              </w:rPr>
              <w:t>31</w:t>
            </w:r>
            <w:r>
              <w:rPr>
                <w:b/>
                <w:bCs/>
                <w:lang w:val="zh-CN" w:eastAsia="zh-CN"/>
              </w:rPr>
              <w:t>日的</w:t>
            </w:r>
            <w:r>
              <w:rPr>
                <w:b/>
                <w:bCs/>
                <w:lang w:val="zh-CN" w:eastAsia="zh-CN"/>
              </w:rPr>
              <w:t>ASHI</w:t>
            </w:r>
            <w:r>
              <w:rPr>
                <w:b/>
                <w:bCs/>
                <w:lang w:val="zh-CN" w:eastAsia="zh-CN"/>
              </w:rPr>
              <w:t>计划的承付款金额</w:t>
            </w:r>
          </w:p>
        </w:tc>
        <w:tc>
          <w:tcPr>
            <w:tcW w:w="1843" w:type="dxa"/>
            <w:tcBorders>
              <w:top w:val="single" w:sz="4" w:space="0" w:color="auto"/>
              <w:right w:val="single" w:sz="4" w:space="0" w:color="auto"/>
            </w:tcBorders>
          </w:tcPr>
          <w:p w14:paraId="18C54BB2" w14:textId="2D665533" w:rsidR="00871EE2" w:rsidRPr="00963990" w:rsidRDefault="00871EE2" w:rsidP="004428D8">
            <w:pPr>
              <w:pStyle w:val="Tabletext"/>
              <w:keepNext/>
              <w:keepLines/>
              <w:jc w:val="center"/>
              <w:rPr>
                <w:b/>
                <w:bCs/>
                <w:szCs w:val="22"/>
              </w:rPr>
            </w:pPr>
            <w:r>
              <w:rPr>
                <w:b/>
                <w:bCs/>
                <w:lang w:val="zh-CN"/>
              </w:rPr>
              <w:t>378</w:t>
            </w:r>
            <w:r w:rsidR="004428D8" w:rsidRPr="004428D8">
              <w:rPr>
                <w:b/>
                <w:bCs/>
                <w:szCs w:val="22"/>
              </w:rPr>
              <w:t> </w:t>
            </w:r>
            <w:r>
              <w:rPr>
                <w:b/>
                <w:bCs/>
                <w:lang w:val="zh-CN"/>
              </w:rPr>
              <w:t>824</w:t>
            </w:r>
          </w:p>
        </w:tc>
        <w:tc>
          <w:tcPr>
            <w:tcW w:w="1795" w:type="dxa"/>
            <w:tcBorders>
              <w:top w:val="single" w:sz="4" w:space="0" w:color="auto"/>
              <w:left w:val="single" w:sz="4" w:space="0" w:color="auto"/>
              <w:bottom w:val="single" w:sz="4" w:space="0" w:color="auto"/>
              <w:right w:val="single" w:sz="4" w:space="0" w:color="auto"/>
            </w:tcBorders>
          </w:tcPr>
          <w:p w14:paraId="63F5A37C" w14:textId="2E35B948" w:rsidR="00871EE2" w:rsidRPr="00963990" w:rsidRDefault="00871EE2" w:rsidP="004428D8">
            <w:pPr>
              <w:pStyle w:val="Tabletext"/>
              <w:keepNext/>
              <w:keepLines/>
              <w:jc w:val="center"/>
              <w:rPr>
                <w:b/>
                <w:bCs/>
                <w:szCs w:val="22"/>
              </w:rPr>
            </w:pPr>
            <w:r>
              <w:rPr>
                <w:b/>
                <w:bCs/>
                <w:lang w:val="zh-CN"/>
              </w:rPr>
              <w:t>415</w:t>
            </w:r>
            <w:r w:rsidR="004428D8" w:rsidRPr="004428D8">
              <w:rPr>
                <w:b/>
                <w:bCs/>
                <w:szCs w:val="22"/>
              </w:rPr>
              <w:t> </w:t>
            </w:r>
            <w:r>
              <w:rPr>
                <w:b/>
                <w:bCs/>
                <w:lang w:val="zh-CN"/>
              </w:rPr>
              <w:t>835</w:t>
            </w:r>
          </w:p>
        </w:tc>
      </w:tr>
    </w:tbl>
    <w:p w14:paraId="08C24280" w14:textId="77777777" w:rsidR="00D70228" w:rsidRDefault="00D70228" w:rsidP="00D70228">
      <w:pPr>
        <w:pStyle w:val="Tablefin"/>
      </w:pPr>
      <w:bookmarkStart w:id="7" w:name="_Hlk38446011"/>
    </w:p>
    <w:p w14:paraId="4843A310" w14:textId="215303B7" w:rsidR="00871EE2" w:rsidRPr="00963990" w:rsidRDefault="00871EE2" w:rsidP="005A03BC">
      <w:pPr>
        <w:jc w:val="both"/>
        <w:rPr>
          <w:szCs w:val="24"/>
          <w:lang w:eastAsia="zh-CN"/>
        </w:rPr>
      </w:pPr>
      <w:r>
        <w:rPr>
          <w:lang w:val="zh-CN" w:eastAsia="zh-CN"/>
        </w:rPr>
        <w:t>3.2</w:t>
      </w:r>
      <w:r>
        <w:rPr>
          <w:lang w:val="zh-CN" w:eastAsia="zh-CN"/>
        </w:rPr>
        <w:tab/>
      </w:r>
      <w:r>
        <w:rPr>
          <w:lang w:eastAsia="zh-CN"/>
        </w:rPr>
        <w:t>服务费用系指因当期职员服务而产生的确定受益承付款项现值的增加。</w:t>
      </w:r>
    </w:p>
    <w:p w14:paraId="65D3827D" w14:textId="77777777" w:rsidR="00871EE2" w:rsidRPr="00963990" w:rsidRDefault="00871EE2" w:rsidP="005A03BC">
      <w:pPr>
        <w:jc w:val="both"/>
        <w:rPr>
          <w:szCs w:val="24"/>
          <w:lang w:eastAsia="zh-CN"/>
        </w:rPr>
      </w:pPr>
      <w:r>
        <w:rPr>
          <w:lang w:val="zh-CN" w:eastAsia="zh-CN"/>
        </w:rPr>
        <w:t>3.3</w:t>
      </w:r>
      <w:r>
        <w:rPr>
          <w:lang w:val="zh-CN" w:eastAsia="zh-CN"/>
        </w:rPr>
        <w:tab/>
      </w:r>
      <w:r w:rsidRPr="00C718E5">
        <w:rPr>
          <w:lang w:eastAsia="zh-CN"/>
        </w:rPr>
        <w:t>根据联合国会计标准任务组做出的一项决定，自</w:t>
      </w:r>
      <w:r w:rsidRPr="00C718E5">
        <w:rPr>
          <w:lang w:eastAsia="zh-CN"/>
        </w:rPr>
        <w:t>2016</w:t>
      </w:r>
      <w:r w:rsidRPr="00C718E5">
        <w:rPr>
          <w:lang w:eastAsia="zh-CN"/>
        </w:rPr>
        <w:t>年以来，与</w:t>
      </w:r>
      <w:r w:rsidRPr="00C718E5">
        <w:rPr>
          <w:lang w:eastAsia="zh-CN"/>
        </w:rPr>
        <w:t>ASHI</w:t>
      </w:r>
      <w:r w:rsidRPr="00C718E5">
        <w:rPr>
          <w:lang w:eastAsia="zh-CN"/>
        </w:rPr>
        <w:t>估值有关的所有假设已在联合国机构之间进行了统一。</w:t>
      </w:r>
    </w:p>
    <w:bookmarkEnd w:id="7"/>
    <w:p w14:paraId="7E41E1E7" w14:textId="77777777" w:rsidR="00871EE2" w:rsidRPr="00963990" w:rsidRDefault="00871EE2" w:rsidP="005A03BC">
      <w:pPr>
        <w:jc w:val="both"/>
        <w:rPr>
          <w:lang w:eastAsia="zh-CN"/>
        </w:rPr>
      </w:pPr>
      <w:r>
        <w:rPr>
          <w:lang w:val="zh-CN" w:eastAsia="zh-CN"/>
        </w:rPr>
        <w:t>3.4</w:t>
      </w:r>
      <w:r>
        <w:rPr>
          <w:lang w:val="zh-CN" w:eastAsia="zh-CN"/>
        </w:rPr>
        <w:tab/>
      </w:r>
      <w:r>
        <w:rPr>
          <w:lang w:eastAsia="zh-CN"/>
        </w:rPr>
        <w:t>在精算估值使用的假设中，贴现率（基于</w:t>
      </w:r>
      <w:r>
        <w:rPr>
          <w:lang w:eastAsia="zh-CN"/>
        </w:rPr>
        <w:t>AA</w:t>
      </w:r>
      <w:r>
        <w:rPr>
          <w:lang w:eastAsia="zh-CN"/>
        </w:rPr>
        <w:t>企业</w:t>
      </w:r>
      <w:r>
        <w:rPr>
          <w:rFonts w:hint="eastAsia"/>
          <w:lang w:eastAsia="zh-CN"/>
        </w:rPr>
        <w:t>承付款</w:t>
      </w:r>
      <w:r>
        <w:rPr>
          <w:lang w:eastAsia="zh-CN"/>
        </w:rPr>
        <w:t>的回报）、医疗费用的增加和</w:t>
      </w:r>
      <w:r>
        <w:rPr>
          <w:rFonts w:hint="eastAsia"/>
          <w:lang w:eastAsia="zh-CN"/>
        </w:rPr>
        <w:t>薪金</w:t>
      </w:r>
      <w:r>
        <w:rPr>
          <w:lang w:eastAsia="zh-CN"/>
        </w:rPr>
        <w:t>的增加影响最大。贴现率的降低或医疗费用的</w:t>
      </w:r>
      <w:r w:rsidRPr="00F65067">
        <w:rPr>
          <w:rFonts w:hint="eastAsia"/>
          <w:lang w:eastAsia="zh-CN"/>
        </w:rPr>
        <w:t>增加会</w:t>
      </w:r>
      <w:r>
        <w:rPr>
          <w:lang w:eastAsia="zh-CN"/>
        </w:rPr>
        <w:t>导致</w:t>
      </w:r>
      <w:r>
        <w:rPr>
          <w:lang w:eastAsia="zh-CN"/>
        </w:rPr>
        <w:t>ASHI</w:t>
      </w:r>
      <w:r>
        <w:rPr>
          <w:lang w:eastAsia="zh-CN"/>
        </w:rPr>
        <w:t>负债</w:t>
      </w:r>
      <w:r>
        <w:rPr>
          <w:rFonts w:hint="eastAsia"/>
          <w:lang w:eastAsia="zh-CN"/>
        </w:rPr>
        <w:t>的</w:t>
      </w:r>
      <w:r>
        <w:rPr>
          <w:lang w:eastAsia="zh-CN"/>
        </w:rPr>
        <w:t>增加，而</w:t>
      </w:r>
      <w:r>
        <w:rPr>
          <w:rFonts w:hint="eastAsia"/>
          <w:lang w:eastAsia="zh-CN"/>
        </w:rPr>
        <w:t>薪金</w:t>
      </w:r>
      <w:r>
        <w:rPr>
          <w:lang w:eastAsia="zh-CN"/>
        </w:rPr>
        <w:t>的上涨则增加了成员和国际电联对</w:t>
      </w:r>
      <w:r>
        <w:rPr>
          <w:lang w:eastAsia="zh-CN"/>
        </w:rPr>
        <w:t>ASHI</w:t>
      </w:r>
      <w:r>
        <w:rPr>
          <w:lang w:eastAsia="zh-CN"/>
        </w:rPr>
        <w:t>负债</w:t>
      </w:r>
      <w:r>
        <w:rPr>
          <w:rFonts w:hint="eastAsia"/>
          <w:lang w:eastAsia="zh-CN"/>
        </w:rPr>
        <w:t>资金</w:t>
      </w:r>
      <w:r>
        <w:rPr>
          <w:lang w:eastAsia="zh-CN"/>
        </w:rPr>
        <w:t>的缴费</w:t>
      </w:r>
      <w:r>
        <w:rPr>
          <w:rFonts w:hint="eastAsia"/>
          <w:lang w:eastAsia="zh-CN"/>
        </w:rPr>
        <w:t>和支持</w:t>
      </w:r>
      <w:r>
        <w:rPr>
          <w:lang w:eastAsia="zh-CN"/>
        </w:rPr>
        <w:t>。</w:t>
      </w:r>
    </w:p>
    <w:p w14:paraId="40845BB8" w14:textId="77777777" w:rsidR="00871EE2" w:rsidRPr="00963990" w:rsidRDefault="00871EE2" w:rsidP="005A03BC">
      <w:pPr>
        <w:jc w:val="both"/>
        <w:rPr>
          <w:lang w:eastAsia="zh-CN"/>
        </w:rPr>
      </w:pPr>
      <w:r>
        <w:rPr>
          <w:lang w:val="zh-CN" w:eastAsia="zh-CN"/>
        </w:rPr>
        <w:t>3.5</w:t>
      </w:r>
      <w:r>
        <w:rPr>
          <w:lang w:val="zh-CN" w:eastAsia="zh-CN"/>
        </w:rPr>
        <w:tab/>
        <w:t>ASHI</w:t>
      </w:r>
      <w:r>
        <w:rPr>
          <w:lang w:val="zh-CN" w:eastAsia="zh-CN"/>
        </w:rPr>
        <w:t>估值中使用了两类假设：人口</w:t>
      </w:r>
      <w:r>
        <w:rPr>
          <w:rFonts w:hint="eastAsia"/>
          <w:lang w:val="zh-CN" w:eastAsia="zh-CN"/>
        </w:rPr>
        <w:t>统计假设</w:t>
      </w:r>
      <w:r>
        <w:rPr>
          <w:lang w:val="zh-CN" w:eastAsia="zh-CN"/>
        </w:rPr>
        <w:t>和财务假设。在财务假设中相关性最强的是贴现率、</w:t>
      </w:r>
      <w:r w:rsidRPr="005D13C6">
        <w:rPr>
          <w:rFonts w:hint="eastAsia"/>
          <w:lang w:val="zh-CN" w:eastAsia="zh-CN"/>
        </w:rPr>
        <w:t>医疗费用增长率</w:t>
      </w:r>
      <w:r>
        <w:rPr>
          <w:lang w:val="zh-CN" w:eastAsia="zh-CN"/>
        </w:rPr>
        <w:t>以及工资和养恤金增长率。与上一年相比，</w:t>
      </w:r>
      <w:r>
        <w:rPr>
          <w:lang w:val="zh-CN" w:eastAsia="zh-CN"/>
        </w:rPr>
        <w:t>2025</w:t>
      </w:r>
      <w:r>
        <w:rPr>
          <w:lang w:val="zh-CN" w:eastAsia="zh-CN"/>
        </w:rPr>
        <w:t>年</w:t>
      </w:r>
      <w:r>
        <w:rPr>
          <w:rFonts w:hint="eastAsia"/>
          <w:lang w:val="zh-CN" w:eastAsia="zh-CN"/>
        </w:rPr>
        <w:t>的</w:t>
      </w:r>
      <w:r>
        <w:rPr>
          <w:lang w:val="zh-CN" w:eastAsia="zh-CN"/>
        </w:rPr>
        <w:t>所有财务假设或有所改善或保持稳定，</w:t>
      </w:r>
      <w:r>
        <w:rPr>
          <w:rFonts w:hint="eastAsia"/>
          <w:lang w:val="zh-CN" w:eastAsia="zh-CN"/>
        </w:rPr>
        <w:t>这对</w:t>
      </w:r>
      <w:r>
        <w:rPr>
          <w:lang w:val="zh-CN" w:eastAsia="zh-CN"/>
        </w:rPr>
        <w:t>ASHI</w:t>
      </w:r>
      <w:r>
        <w:rPr>
          <w:lang w:val="zh-CN" w:eastAsia="zh-CN"/>
        </w:rPr>
        <w:t>负债的下降</w:t>
      </w:r>
      <w:r>
        <w:rPr>
          <w:rFonts w:hint="eastAsia"/>
          <w:lang w:val="zh-CN" w:eastAsia="zh-CN"/>
        </w:rPr>
        <w:t>产生了积极影响</w:t>
      </w:r>
      <w:r>
        <w:rPr>
          <w:lang w:val="zh-CN" w:eastAsia="zh-CN"/>
        </w:rPr>
        <w:t>。人口</w:t>
      </w:r>
      <w:r>
        <w:rPr>
          <w:rFonts w:hint="eastAsia"/>
          <w:lang w:val="zh-CN" w:eastAsia="zh-CN"/>
        </w:rPr>
        <w:t>统计假设的内容涉及</w:t>
      </w:r>
      <w:r>
        <w:rPr>
          <w:lang w:val="zh-CN" w:eastAsia="zh-CN"/>
        </w:rPr>
        <w:t>离职率、死亡率、残疾率和退休率等，</w:t>
      </w:r>
      <w:r>
        <w:rPr>
          <w:lang w:val="zh-CN" w:eastAsia="zh-CN"/>
        </w:rPr>
        <w:t>2025</w:t>
      </w:r>
      <w:r>
        <w:rPr>
          <w:lang w:val="zh-CN" w:eastAsia="zh-CN"/>
        </w:rPr>
        <w:t>年</w:t>
      </w:r>
      <w:r>
        <w:rPr>
          <w:rFonts w:hint="eastAsia"/>
          <w:lang w:val="zh-CN" w:eastAsia="zh-CN"/>
        </w:rPr>
        <w:t>的</w:t>
      </w:r>
      <w:r>
        <w:rPr>
          <w:lang w:val="zh-CN" w:eastAsia="zh-CN"/>
        </w:rPr>
        <w:t>人口</w:t>
      </w:r>
      <w:r>
        <w:rPr>
          <w:rFonts w:hint="eastAsia"/>
          <w:lang w:val="zh-CN" w:eastAsia="zh-CN"/>
        </w:rPr>
        <w:t>统计</w:t>
      </w:r>
      <w:r>
        <w:rPr>
          <w:lang w:val="zh-CN" w:eastAsia="zh-CN"/>
        </w:rPr>
        <w:t>假设趋势相当稳定或略</w:t>
      </w:r>
      <w:r>
        <w:rPr>
          <w:rFonts w:hint="eastAsia"/>
          <w:lang w:val="zh-CN" w:eastAsia="zh-CN"/>
        </w:rPr>
        <w:t>有</w:t>
      </w:r>
      <w:r>
        <w:rPr>
          <w:lang w:val="zh-CN" w:eastAsia="zh-CN"/>
        </w:rPr>
        <w:t>负</w:t>
      </w:r>
      <w:r>
        <w:rPr>
          <w:rFonts w:hint="eastAsia"/>
          <w:lang w:val="zh-CN" w:eastAsia="zh-CN"/>
        </w:rPr>
        <w:t>增长</w:t>
      </w:r>
      <w:r>
        <w:rPr>
          <w:lang w:val="zh-CN" w:eastAsia="zh-CN"/>
        </w:rPr>
        <w:t>，</w:t>
      </w:r>
      <w:r>
        <w:rPr>
          <w:rFonts w:hint="eastAsia"/>
          <w:lang w:val="zh-CN" w:eastAsia="zh-CN"/>
        </w:rPr>
        <w:t>因此</w:t>
      </w:r>
      <w:r>
        <w:rPr>
          <w:lang w:val="zh-CN" w:eastAsia="zh-CN"/>
        </w:rPr>
        <w:t>降低了财务假设变化的净影响。</w:t>
      </w:r>
    </w:p>
    <w:p w14:paraId="30BF84FA" w14:textId="77777777" w:rsidR="00871EE2" w:rsidRPr="00963990" w:rsidRDefault="00871EE2" w:rsidP="005A03BC">
      <w:pPr>
        <w:jc w:val="both"/>
        <w:rPr>
          <w:lang w:eastAsia="zh-CN"/>
        </w:rPr>
      </w:pPr>
      <w:r>
        <w:rPr>
          <w:lang w:val="zh-CN" w:eastAsia="zh-CN"/>
        </w:rPr>
        <w:t>3.6</w:t>
      </w:r>
      <w:r>
        <w:rPr>
          <w:lang w:val="zh-CN" w:eastAsia="zh-CN"/>
        </w:rPr>
        <w:tab/>
        <w:t>ASHI</w:t>
      </w:r>
      <w:r>
        <w:rPr>
          <w:lang w:val="zh-CN" w:eastAsia="zh-CN"/>
        </w:rPr>
        <w:t>负债本质上</w:t>
      </w:r>
      <w:r>
        <w:rPr>
          <w:rFonts w:hint="eastAsia"/>
          <w:lang w:val="zh-CN" w:eastAsia="zh-CN"/>
        </w:rPr>
        <w:t>具有</w:t>
      </w:r>
      <w:r>
        <w:rPr>
          <w:lang w:val="zh-CN" w:eastAsia="zh-CN"/>
        </w:rPr>
        <w:t>不稳定</w:t>
      </w:r>
      <w:r>
        <w:rPr>
          <w:rFonts w:hint="eastAsia"/>
          <w:lang w:val="zh-CN" w:eastAsia="zh-CN"/>
        </w:rPr>
        <w:t>性</w:t>
      </w:r>
      <w:r>
        <w:rPr>
          <w:lang w:val="zh-CN" w:eastAsia="zh-CN"/>
        </w:rPr>
        <w:t>。如下表所示，</w:t>
      </w:r>
      <w:r>
        <w:rPr>
          <w:rFonts w:hint="eastAsia"/>
          <w:lang w:val="zh-CN" w:eastAsia="zh-CN"/>
        </w:rPr>
        <w:t>此数值在</w:t>
      </w:r>
      <w:r>
        <w:rPr>
          <w:lang w:val="zh-CN" w:eastAsia="zh-CN"/>
        </w:rPr>
        <w:t>2022</w:t>
      </w:r>
      <w:r>
        <w:rPr>
          <w:lang w:val="zh-CN" w:eastAsia="zh-CN"/>
        </w:rPr>
        <w:t>年达到最低水平，</w:t>
      </w:r>
      <w:r>
        <w:rPr>
          <w:rFonts w:hint="eastAsia"/>
          <w:lang w:val="zh-CN" w:eastAsia="zh-CN"/>
        </w:rPr>
        <w:t>且</w:t>
      </w:r>
      <w:r>
        <w:rPr>
          <w:lang w:val="zh-CN" w:eastAsia="zh-CN"/>
        </w:rPr>
        <w:t>主要由于财务假设</w:t>
      </w:r>
      <w:r>
        <w:rPr>
          <w:rFonts w:hint="eastAsia"/>
          <w:lang w:val="zh-CN" w:eastAsia="zh-CN"/>
        </w:rPr>
        <w:t>发生</w:t>
      </w:r>
      <w:r>
        <w:rPr>
          <w:lang w:val="zh-CN" w:eastAsia="zh-CN"/>
        </w:rPr>
        <w:t>变化，</w:t>
      </w:r>
      <w:r>
        <w:rPr>
          <w:lang w:val="zh-CN" w:eastAsia="zh-CN"/>
        </w:rPr>
        <w:t>ASHI</w:t>
      </w:r>
      <w:r>
        <w:rPr>
          <w:lang w:val="zh-CN" w:eastAsia="zh-CN"/>
        </w:rPr>
        <w:t>负债在</w:t>
      </w:r>
      <w:r>
        <w:rPr>
          <w:lang w:val="zh-CN" w:eastAsia="zh-CN"/>
        </w:rPr>
        <w:t>2025</w:t>
      </w:r>
      <w:r>
        <w:rPr>
          <w:lang w:val="zh-CN" w:eastAsia="zh-CN"/>
        </w:rPr>
        <w:t>年再次下降。</w:t>
      </w:r>
    </w:p>
    <w:p w14:paraId="3E5D2A36" w14:textId="77777777" w:rsidR="00871EE2" w:rsidRPr="00963990" w:rsidRDefault="00871EE2" w:rsidP="005A03BC">
      <w:pPr>
        <w:jc w:val="both"/>
        <w:rPr>
          <w:lang w:eastAsia="zh-CN"/>
        </w:rPr>
      </w:pPr>
      <w:r>
        <w:rPr>
          <w:lang w:val="zh-CN" w:eastAsia="zh-CN"/>
        </w:rPr>
        <w:t>3.7</w:t>
      </w:r>
      <w:r>
        <w:rPr>
          <w:lang w:val="zh-CN" w:eastAsia="zh-CN"/>
        </w:rPr>
        <w:tab/>
      </w:r>
      <w:r>
        <w:rPr>
          <w:rFonts w:hint="eastAsia"/>
          <w:lang w:val="zh-CN" w:eastAsia="zh-CN"/>
        </w:rPr>
        <w:t>与以往</w:t>
      </w:r>
      <w:r>
        <w:rPr>
          <w:lang w:val="zh-CN" w:eastAsia="zh-CN"/>
        </w:rPr>
        <w:t>多年</w:t>
      </w:r>
      <w:r>
        <w:rPr>
          <w:rFonts w:hint="eastAsia"/>
          <w:lang w:val="zh-CN" w:eastAsia="zh-CN"/>
        </w:rPr>
        <w:t>进行的</w:t>
      </w:r>
      <w:r>
        <w:rPr>
          <w:lang w:val="zh-CN" w:eastAsia="zh-CN"/>
        </w:rPr>
        <w:t>比较显示，截至</w:t>
      </w:r>
      <w:r>
        <w:rPr>
          <w:lang w:val="zh-CN" w:eastAsia="zh-CN"/>
        </w:rPr>
        <w:t>12</w:t>
      </w:r>
      <w:r>
        <w:rPr>
          <w:lang w:val="zh-CN" w:eastAsia="zh-CN"/>
        </w:rPr>
        <w:t>月</w:t>
      </w:r>
      <w:r>
        <w:rPr>
          <w:lang w:val="zh-CN" w:eastAsia="zh-CN"/>
        </w:rPr>
        <w:t>31</w:t>
      </w:r>
      <w:r>
        <w:rPr>
          <w:lang w:val="zh-CN" w:eastAsia="zh-CN"/>
        </w:rPr>
        <w:t>日的</w:t>
      </w:r>
      <w:r>
        <w:rPr>
          <w:lang w:val="zh-CN" w:eastAsia="zh-CN"/>
        </w:rPr>
        <w:t>ASHI</w:t>
      </w:r>
      <w:r>
        <w:rPr>
          <w:lang w:val="zh-CN" w:eastAsia="zh-CN"/>
        </w:rPr>
        <w:t>负债处于较低水平，比</w:t>
      </w:r>
      <w:r>
        <w:rPr>
          <w:rFonts w:hint="eastAsia"/>
          <w:lang w:val="zh-CN" w:eastAsia="zh-CN"/>
        </w:rPr>
        <w:t>历史最低年份</w:t>
      </w:r>
      <w:r>
        <w:rPr>
          <w:lang w:val="zh-CN" w:eastAsia="zh-CN"/>
        </w:rPr>
        <w:t>2022</w:t>
      </w:r>
      <w:r>
        <w:rPr>
          <w:lang w:val="zh-CN" w:eastAsia="zh-CN"/>
        </w:rPr>
        <w:t>年高出约</w:t>
      </w:r>
      <w:r>
        <w:rPr>
          <w:lang w:val="zh-CN" w:eastAsia="zh-CN"/>
        </w:rPr>
        <w:t>10</w:t>
      </w:r>
      <w:r>
        <w:rPr>
          <w:rFonts w:hint="eastAsia"/>
          <w:lang w:val="zh-CN" w:eastAsia="zh-CN"/>
        </w:rPr>
        <w:t>.</w:t>
      </w:r>
      <w:r>
        <w:rPr>
          <w:lang w:val="zh-CN" w:eastAsia="zh-CN"/>
        </w:rPr>
        <w:t>1%</w:t>
      </w:r>
      <w:r>
        <w:rPr>
          <w:lang w:val="zh-CN" w:eastAsia="zh-CN"/>
        </w:rPr>
        <w:t>，比</w:t>
      </w:r>
      <w:r>
        <w:rPr>
          <w:lang w:val="zh-CN" w:eastAsia="zh-CN"/>
        </w:rPr>
        <w:t>ASHI</w:t>
      </w:r>
      <w:r>
        <w:rPr>
          <w:lang w:val="zh-CN" w:eastAsia="zh-CN"/>
        </w:rPr>
        <w:t>负债处于顶峰</w:t>
      </w:r>
      <w:r>
        <w:rPr>
          <w:rFonts w:hint="eastAsia"/>
          <w:lang w:val="zh-CN" w:eastAsia="zh-CN"/>
        </w:rPr>
        <w:t>时</w:t>
      </w:r>
      <w:r>
        <w:rPr>
          <w:lang w:val="zh-CN" w:eastAsia="zh-CN"/>
        </w:rPr>
        <w:t>的</w:t>
      </w:r>
      <w:r>
        <w:rPr>
          <w:lang w:val="zh-CN" w:eastAsia="zh-CN"/>
        </w:rPr>
        <w:t>2020</w:t>
      </w:r>
      <w:r>
        <w:rPr>
          <w:lang w:val="zh-CN" w:eastAsia="zh-CN"/>
        </w:rPr>
        <w:t>年低</w:t>
      </w:r>
      <w:r>
        <w:rPr>
          <w:lang w:val="zh-CN" w:eastAsia="zh-CN"/>
        </w:rPr>
        <w:t>40</w:t>
      </w:r>
      <w:r>
        <w:rPr>
          <w:rFonts w:hint="eastAsia"/>
          <w:lang w:val="zh-CN" w:eastAsia="zh-CN"/>
        </w:rPr>
        <w:t>.</w:t>
      </w:r>
      <w:r>
        <w:rPr>
          <w:lang w:val="zh-CN" w:eastAsia="zh-CN"/>
        </w:rPr>
        <w:t>0%</w:t>
      </w:r>
      <w:r>
        <w:rPr>
          <w:lang w:val="zh-CN" w:eastAsia="zh-CN"/>
        </w:rPr>
        <w:t>。</w:t>
      </w:r>
    </w:p>
    <w:p w14:paraId="172926B9" w14:textId="77777777" w:rsidR="00871EE2" w:rsidRPr="00963990" w:rsidRDefault="00871EE2" w:rsidP="005A03BC">
      <w:pPr>
        <w:spacing w:after="120"/>
        <w:jc w:val="both"/>
        <w:rPr>
          <w:b/>
          <w:bCs/>
          <w:lang w:eastAsia="zh-CN"/>
        </w:rPr>
      </w:pPr>
      <w:r>
        <w:rPr>
          <w:lang w:val="zh-CN" w:eastAsia="zh-CN"/>
        </w:rPr>
        <w:t>3.8</w:t>
      </w:r>
      <w:r>
        <w:rPr>
          <w:lang w:val="zh-CN" w:eastAsia="zh-CN"/>
        </w:rPr>
        <w:tab/>
      </w:r>
      <w:r w:rsidRPr="00C718E5">
        <w:rPr>
          <w:lang w:eastAsia="zh-CN"/>
        </w:rPr>
        <w:t>下表具体说明这些假设和</w:t>
      </w:r>
      <w:r w:rsidRPr="00C718E5">
        <w:rPr>
          <w:lang w:eastAsia="zh-CN"/>
        </w:rPr>
        <w:t>ASHI</w:t>
      </w:r>
      <w:r w:rsidRPr="00C718E5">
        <w:rPr>
          <w:lang w:eastAsia="zh-CN"/>
        </w:rPr>
        <w:t>负债的演变情况。</w:t>
      </w:r>
    </w:p>
    <w:tbl>
      <w:tblPr>
        <w:tblW w:w="10242" w:type="dxa"/>
        <w:jc w:val="center"/>
        <w:tblLayout w:type="fixed"/>
        <w:tblLook w:val="04A0" w:firstRow="1" w:lastRow="0" w:firstColumn="1" w:lastColumn="0" w:noHBand="0" w:noVBand="1"/>
      </w:tblPr>
      <w:tblGrid>
        <w:gridCol w:w="1833"/>
        <w:gridCol w:w="1050"/>
        <w:gridCol w:w="1050"/>
        <w:gridCol w:w="1051"/>
        <w:gridCol w:w="1052"/>
        <w:gridCol w:w="1051"/>
        <w:gridCol w:w="1051"/>
        <w:gridCol w:w="1052"/>
        <w:gridCol w:w="1052"/>
      </w:tblGrid>
      <w:tr w:rsidR="00871EE2" w:rsidRPr="00963990" w14:paraId="20C059C8" w14:textId="77777777" w:rsidTr="00C8490E">
        <w:trPr>
          <w:trHeight w:val="435"/>
          <w:jc w:val="center"/>
        </w:trPr>
        <w:tc>
          <w:tcPr>
            <w:tcW w:w="1833" w:type="dxa"/>
            <w:tcBorders>
              <w:top w:val="single" w:sz="8" w:space="0" w:color="auto"/>
              <w:left w:val="single" w:sz="8" w:space="0" w:color="auto"/>
              <w:bottom w:val="nil"/>
              <w:right w:val="single" w:sz="4" w:space="0" w:color="auto"/>
            </w:tcBorders>
            <w:vAlign w:val="center"/>
            <w:hideMark/>
          </w:tcPr>
          <w:p w14:paraId="20BF372A" w14:textId="77777777" w:rsidR="00871EE2" w:rsidRPr="00963990" w:rsidRDefault="00871EE2" w:rsidP="004428D8">
            <w:pPr>
              <w:pStyle w:val="Tablehead"/>
              <w:rPr>
                <w:lang w:eastAsia="zh-CN"/>
              </w:rPr>
            </w:pPr>
            <w:r w:rsidRPr="00963990">
              <w:rPr>
                <w:lang w:eastAsia="zh-CN"/>
              </w:rPr>
              <w:t> </w:t>
            </w:r>
          </w:p>
        </w:tc>
        <w:tc>
          <w:tcPr>
            <w:tcW w:w="1050" w:type="dxa"/>
            <w:tcBorders>
              <w:top w:val="single" w:sz="8" w:space="0" w:color="auto"/>
              <w:left w:val="nil"/>
              <w:bottom w:val="single" w:sz="8" w:space="0" w:color="auto"/>
              <w:right w:val="single" w:sz="8" w:space="0" w:color="auto"/>
            </w:tcBorders>
            <w:noWrap/>
            <w:vAlign w:val="center"/>
            <w:hideMark/>
          </w:tcPr>
          <w:p w14:paraId="62B40353" w14:textId="77777777" w:rsidR="00871EE2" w:rsidRPr="00963990" w:rsidRDefault="00871EE2" w:rsidP="004428D8">
            <w:pPr>
              <w:pStyle w:val="Tablehead"/>
            </w:pPr>
            <w:r>
              <w:rPr>
                <w:bCs/>
                <w:lang w:val="zh-CN"/>
              </w:rPr>
              <w:t>2018</w:t>
            </w:r>
            <w:r>
              <w:rPr>
                <w:rFonts w:hint="eastAsia"/>
                <w:bCs/>
                <w:lang w:val="zh-CN"/>
              </w:rPr>
              <w:t>年</w:t>
            </w:r>
          </w:p>
        </w:tc>
        <w:tc>
          <w:tcPr>
            <w:tcW w:w="1050" w:type="dxa"/>
            <w:tcBorders>
              <w:top w:val="single" w:sz="8" w:space="0" w:color="auto"/>
              <w:left w:val="nil"/>
              <w:bottom w:val="single" w:sz="8" w:space="0" w:color="auto"/>
              <w:right w:val="single" w:sz="8" w:space="0" w:color="auto"/>
            </w:tcBorders>
            <w:vAlign w:val="center"/>
            <w:hideMark/>
          </w:tcPr>
          <w:p w14:paraId="2EF0626B" w14:textId="77777777" w:rsidR="00871EE2" w:rsidRPr="00963990" w:rsidRDefault="00871EE2" w:rsidP="004428D8">
            <w:pPr>
              <w:pStyle w:val="Tablehead"/>
            </w:pPr>
            <w:r>
              <w:rPr>
                <w:bCs/>
                <w:lang w:val="zh-CN"/>
              </w:rPr>
              <w:t>2019</w:t>
            </w:r>
            <w:r>
              <w:rPr>
                <w:rFonts w:hint="eastAsia"/>
                <w:bCs/>
                <w:lang w:val="zh-CN"/>
              </w:rPr>
              <w:t>年</w:t>
            </w:r>
          </w:p>
        </w:tc>
        <w:tc>
          <w:tcPr>
            <w:tcW w:w="1051" w:type="dxa"/>
            <w:tcBorders>
              <w:top w:val="single" w:sz="8" w:space="0" w:color="auto"/>
              <w:left w:val="nil"/>
              <w:bottom w:val="single" w:sz="8" w:space="0" w:color="auto"/>
              <w:right w:val="single" w:sz="8" w:space="0" w:color="auto"/>
            </w:tcBorders>
            <w:noWrap/>
            <w:vAlign w:val="center"/>
            <w:hideMark/>
          </w:tcPr>
          <w:p w14:paraId="56FC5F7D" w14:textId="77777777" w:rsidR="00871EE2" w:rsidRPr="00963990" w:rsidRDefault="00871EE2" w:rsidP="004428D8">
            <w:pPr>
              <w:pStyle w:val="Tablehead"/>
            </w:pPr>
            <w:r>
              <w:rPr>
                <w:bCs/>
                <w:lang w:val="zh-CN"/>
              </w:rPr>
              <w:t>2020</w:t>
            </w:r>
            <w:r>
              <w:rPr>
                <w:rFonts w:hint="eastAsia"/>
                <w:bCs/>
                <w:lang w:val="zh-CN"/>
              </w:rPr>
              <w:t>年</w:t>
            </w:r>
          </w:p>
        </w:tc>
        <w:tc>
          <w:tcPr>
            <w:tcW w:w="1052" w:type="dxa"/>
            <w:tcBorders>
              <w:top w:val="single" w:sz="8" w:space="0" w:color="auto"/>
              <w:left w:val="nil"/>
              <w:bottom w:val="single" w:sz="8" w:space="0" w:color="auto"/>
              <w:right w:val="single" w:sz="8" w:space="0" w:color="auto"/>
            </w:tcBorders>
            <w:vAlign w:val="center"/>
            <w:hideMark/>
          </w:tcPr>
          <w:p w14:paraId="2AE8163A" w14:textId="77777777" w:rsidR="00871EE2" w:rsidRPr="00963990" w:rsidRDefault="00871EE2" w:rsidP="004428D8">
            <w:pPr>
              <w:pStyle w:val="Tablehead"/>
            </w:pPr>
            <w:r>
              <w:rPr>
                <w:bCs/>
                <w:lang w:val="zh-CN"/>
              </w:rPr>
              <w:t>2021</w:t>
            </w:r>
            <w:r>
              <w:rPr>
                <w:rFonts w:hint="eastAsia"/>
                <w:bCs/>
                <w:lang w:val="zh-CN"/>
              </w:rPr>
              <w:t>年</w:t>
            </w:r>
          </w:p>
        </w:tc>
        <w:tc>
          <w:tcPr>
            <w:tcW w:w="1051" w:type="dxa"/>
            <w:tcBorders>
              <w:top w:val="single" w:sz="8" w:space="0" w:color="auto"/>
              <w:left w:val="nil"/>
              <w:bottom w:val="single" w:sz="8" w:space="0" w:color="auto"/>
              <w:right w:val="single" w:sz="8" w:space="0" w:color="auto"/>
            </w:tcBorders>
            <w:vAlign w:val="center"/>
          </w:tcPr>
          <w:p w14:paraId="24A9846A" w14:textId="77777777" w:rsidR="00871EE2" w:rsidRPr="00963990" w:rsidRDefault="00871EE2" w:rsidP="004428D8">
            <w:pPr>
              <w:pStyle w:val="Tablehead"/>
            </w:pPr>
            <w:r>
              <w:rPr>
                <w:bCs/>
                <w:lang w:val="zh-CN"/>
              </w:rPr>
              <w:t>2022</w:t>
            </w:r>
            <w:r>
              <w:rPr>
                <w:rFonts w:hint="eastAsia"/>
                <w:bCs/>
                <w:lang w:val="zh-CN"/>
              </w:rPr>
              <w:t>年</w:t>
            </w:r>
          </w:p>
        </w:tc>
        <w:tc>
          <w:tcPr>
            <w:tcW w:w="1051" w:type="dxa"/>
            <w:tcBorders>
              <w:top w:val="single" w:sz="8" w:space="0" w:color="auto"/>
              <w:left w:val="nil"/>
              <w:bottom w:val="single" w:sz="8" w:space="0" w:color="auto"/>
              <w:right w:val="single" w:sz="4" w:space="0" w:color="auto"/>
            </w:tcBorders>
            <w:vAlign w:val="center"/>
          </w:tcPr>
          <w:p w14:paraId="1649AC14" w14:textId="77777777" w:rsidR="00871EE2" w:rsidRPr="00963990" w:rsidRDefault="00871EE2" w:rsidP="004428D8">
            <w:pPr>
              <w:pStyle w:val="Tablehead"/>
            </w:pPr>
            <w:r>
              <w:rPr>
                <w:bCs/>
                <w:lang w:val="zh-CN"/>
              </w:rPr>
              <w:t>2023</w:t>
            </w:r>
            <w:r>
              <w:rPr>
                <w:rFonts w:hint="eastAsia"/>
                <w:bCs/>
                <w:lang w:val="zh-CN"/>
              </w:rPr>
              <w:t>年</w:t>
            </w:r>
          </w:p>
        </w:tc>
        <w:tc>
          <w:tcPr>
            <w:tcW w:w="1052" w:type="dxa"/>
            <w:tcBorders>
              <w:top w:val="single" w:sz="8" w:space="0" w:color="auto"/>
              <w:left w:val="single" w:sz="4" w:space="0" w:color="auto"/>
              <w:bottom w:val="single" w:sz="8" w:space="0" w:color="auto"/>
              <w:right w:val="single" w:sz="4" w:space="0" w:color="auto"/>
            </w:tcBorders>
            <w:vAlign w:val="center"/>
          </w:tcPr>
          <w:p w14:paraId="235B3F61" w14:textId="77777777" w:rsidR="00871EE2" w:rsidRPr="00963990" w:rsidRDefault="00871EE2" w:rsidP="004428D8">
            <w:pPr>
              <w:pStyle w:val="Tablehead"/>
            </w:pPr>
            <w:r>
              <w:rPr>
                <w:bCs/>
                <w:lang w:val="zh-CN"/>
              </w:rPr>
              <w:t>2024</w:t>
            </w:r>
            <w:r>
              <w:rPr>
                <w:rFonts w:hint="eastAsia"/>
                <w:bCs/>
                <w:lang w:val="zh-CN"/>
              </w:rPr>
              <w:t>年</w:t>
            </w:r>
          </w:p>
        </w:tc>
        <w:tc>
          <w:tcPr>
            <w:tcW w:w="1052" w:type="dxa"/>
            <w:tcBorders>
              <w:top w:val="single" w:sz="8" w:space="0" w:color="auto"/>
              <w:left w:val="single" w:sz="4" w:space="0" w:color="auto"/>
              <w:bottom w:val="single" w:sz="8" w:space="0" w:color="auto"/>
              <w:right w:val="single" w:sz="8" w:space="0" w:color="auto"/>
            </w:tcBorders>
            <w:vAlign w:val="center"/>
          </w:tcPr>
          <w:p w14:paraId="7E9B23FB" w14:textId="77777777" w:rsidR="00871EE2" w:rsidRPr="00963990" w:rsidRDefault="00871EE2" w:rsidP="004428D8">
            <w:pPr>
              <w:pStyle w:val="Tablehead"/>
            </w:pPr>
            <w:r>
              <w:rPr>
                <w:bCs/>
                <w:lang w:val="zh-CN"/>
              </w:rPr>
              <w:t>2025</w:t>
            </w:r>
            <w:r>
              <w:rPr>
                <w:rFonts w:hint="eastAsia"/>
                <w:bCs/>
                <w:lang w:val="zh-CN"/>
              </w:rPr>
              <w:t>年</w:t>
            </w:r>
          </w:p>
        </w:tc>
      </w:tr>
      <w:tr w:rsidR="00871EE2" w:rsidRPr="00963990" w14:paraId="60C97583" w14:textId="77777777" w:rsidTr="00C8490E">
        <w:trPr>
          <w:trHeight w:val="480"/>
          <w:jc w:val="center"/>
        </w:trPr>
        <w:tc>
          <w:tcPr>
            <w:tcW w:w="1833" w:type="dxa"/>
            <w:tcBorders>
              <w:top w:val="nil"/>
              <w:left w:val="single" w:sz="8" w:space="0" w:color="auto"/>
              <w:bottom w:val="nil"/>
              <w:right w:val="single" w:sz="4" w:space="0" w:color="auto"/>
            </w:tcBorders>
            <w:vAlign w:val="center"/>
            <w:hideMark/>
          </w:tcPr>
          <w:p w14:paraId="0E412267" w14:textId="77777777" w:rsidR="00871EE2" w:rsidRPr="00963990" w:rsidRDefault="00871EE2" w:rsidP="004428D8">
            <w:pPr>
              <w:pStyle w:val="Tabletext"/>
              <w:rPr>
                <w:szCs w:val="22"/>
              </w:rPr>
            </w:pPr>
            <w:proofErr w:type="spellStart"/>
            <w:r>
              <w:rPr>
                <w:lang w:val="zh-CN"/>
              </w:rPr>
              <w:t>贴现率</w:t>
            </w:r>
            <w:proofErr w:type="spellEnd"/>
          </w:p>
        </w:tc>
        <w:tc>
          <w:tcPr>
            <w:tcW w:w="1050" w:type="dxa"/>
            <w:tcBorders>
              <w:top w:val="nil"/>
              <w:left w:val="nil"/>
              <w:bottom w:val="nil"/>
              <w:right w:val="single" w:sz="8" w:space="0" w:color="auto"/>
            </w:tcBorders>
            <w:noWrap/>
            <w:vAlign w:val="center"/>
            <w:hideMark/>
          </w:tcPr>
          <w:p w14:paraId="73D18D9A" w14:textId="77777777" w:rsidR="00871EE2" w:rsidRPr="00963990" w:rsidRDefault="00871EE2" w:rsidP="004428D8">
            <w:pPr>
              <w:pStyle w:val="Tabletext"/>
              <w:rPr>
                <w:szCs w:val="22"/>
              </w:rPr>
            </w:pPr>
            <w:r w:rsidRPr="00963990">
              <w:rPr>
                <w:szCs w:val="22"/>
              </w:rPr>
              <w:t>1.20%</w:t>
            </w:r>
          </w:p>
        </w:tc>
        <w:tc>
          <w:tcPr>
            <w:tcW w:w="1050" w:type="dxa"/>
            <w:tcBorders>
              <w:top w:val="nil"/>
              <w:left w:val="nil"/>
              <w:bottom w:val="nil"/>
              <w:right w:val="single" w:sz="8" w:space="0" w:color="auto"/>
            </w:tcBorders>
            <w:noWrap/>
            <w:vAlign w:val="center"/>
            <w:hideMark/>
          </w:tcPr>
          <w:p w14:paraId="49323206" w14:textId="77777777" w:rsidR="00871EE2" w:rsidRPr="00963990" w:rsidRDefault="00871EE2" w:rsidP="004428D8">
            <w:pPr>
              <w:pStyle w:val="Tabletext"/>
              <w:rPr>
                <w:szCs w:val="22"/>
              </w:rPr>
            </w:pPr>
            <w:r w:rsidRPr="00963990">
              <w:rPr>
                <w:szCs w:val="22"/>
              </w:rPr>
              <w:t>0.60%</w:t>
            </w:r>
          </w:p>
        </w:tc>
        <w:tc>
          <w:tcPr>
            <w:tcW w:w="1051" w:type="dxa"/>
            <w:tcBorders>
              <w:top w:val="nil"/>
              <w:left w:val="nil"/>
              <w:bottom w:val="nil"/>
              <w:right w:val="single" w:sz="8" w:space="0" w:color="auto"/>
            </w:tcBorders>
            <w:noWrap/>
            <w:vAlign w:val="center"/>
            <w:hideMark/>
          </w:tcPr>
          <w:p w14:paraId="25B5EB5F" w14:textId="77777777" w:rsidR="00871EE2" w:rsidRPr="00963990" w:rsidRDefault="00871EE2" w:rsidP="004428D8">
            <w:pPr>
              <w:pStyle w:val="Tabletext"/>
              <w:rPr>
                <w:szCs w:val="22"/>
              </w:rPr>
            </w:pPr>
            <w:r w:rsidRPr="00963990">
              <w:rPr>
                <w:szCs w:val="22"/>
              </w:rPr>
              <w:t>0.20%</w:t>
            </w:r>
          </w:p>
        </w:tc>
        <w:tc>
          <w:tcPr>
            <w:tcW w:w="1052" w:type="dxa"/>
            <w:tcBorders>
              <w:top w:val="nil"/>
              <w:left w:val="nil"/>
              <w:bottom w:val="nil"/>
              <w:right w:val="single" w:sz="8" w:space="0" w:color="auto"/>
            </w:tcBorders>
            <w:noWrap/>
            <w:vAlign w:val="center"/>
            <w:hideMark/>
          </w:tcPr>
          <w:p w14:paraId="4F135129" w14:textId="77777777" w:rsidR="00871EE2" w:rsidRPr="00963990" w:rsidRDefault="00871EE2" w:rsidP="004428D8">
            <w:pPr>
              <w:pStyle w:val="Tabletext"/>
              <w:rPr>
                <w:szCs w:val="22"/>
              </w:rPr>
            </w:pPr>
            <w:r w:rsidRPr="00963990">
              <w:rPr>
                <w:szCs w:val="22"/>
              </w:rPr>
              <w:t>0.50%</w:t>
            </w:r>
          </w:p>
        </w:tc>
        <w:tc>
          <w:tcPr>
            <w:tcW w:w="1051" w:type="dxa"/>
            <w:tcBorders>
              <w:top w:val="nil"/>
              <w:left w:val="nil"/>
              <w:bottom w:val="nil"/>
              <w:right w:val="single" w:sz="8" w:space="0" w:color="auto"/>
            </w:tcBorders>
            <w:vAlign w:val="center"/>
          </w:tcPr>
          <w:p w14:paraId="331D6DD5" w14:textId="77777777" w:rsidR="00871EE2" w:rsidRPr="00963990" w:rsidRDefault="00871EE2" w:rsidP="004428D8">
            <w:pPr>
              <w:pStyle w:val="Tabletext"/>
              <w:rPr>
                <w:szCs w:val="22"/>
              </w:rPr>
            </w:pPr>
            <w:r w:rsidRPr="00963990">
              <w:rPr>
                <w:szCs w:val="22"/>
              </w:rPr>
              <w:t>2.50%</w:t>
            </w:r>
          </w:p>
        </w:tc>
        <w:tc>
          <w:tcPr>
            <w:tcW w:w="1051" w:type="dxa"/>
            <w:tcBorders>
              <w:top w:val="nil"/>
              <w:left w:val="nil"/>
              <w:bottom w:val="nil"/>
              <w:right w:val="single" w:sz="4" w:space="0" w:color="auto"/>
            </w:tcBorders>
            <w:vAlign w:val="center"/>
          </w:tcPr>
          <w:p w14:paraId="0B0B595A" w14:textId="77777777" w:rsidR="00871EE2" w:rsidRPr="00963990" w:rsidRDefault="00871EE2" w:rsidP="004428D8">
            <w:pPr>
              <w:pStyle w:val="Tabletext"/>
              <w:rPr>
                <w:szCs w:val="22"/>
              </w:rPr>
            </w:pPr>
            <w:r w:rsidRPr="00963990">
              <w:rPr>
                <w:szCs w:val="22"/>
              </w:rPr>
              <w:t>1.90%</w:t>
            </w:r>
          </w:p>
        </w:tc>
        <w:tc>
          <w:tcPr>
            <w:tcW w:w="1052" w:type="dxa"/>
            <w:tcBorders>
              <w:top w:val="nil"/>
              <w:left w:val="single" w:sz="4" w:space="0" w:color="auto"/>
              <w:bottom w:val="nil"/>
              <w:right w:val="single" w:sz="4" w:space="0" w:color="auto"/>
            </w:tcBorders>
            <w:vAlign w:val="center"/>
          </w:tcPr>
          <w:p w14:paraId="4D6F846C" w14:textId="77777777" w:rsidR="00871EE2" w:rsidRPr="00963990" w:rsidRDefault="00871EE2" w:rsidP="004428D8">
            <w:pPr>
              <w:pStyle w:val="Tabletext"/>
              <w:rPr>
                <w:szCs w:val="22"/>
              </w:rPr>
            </w:pPr>
            <w:r w:rsidRPr="00963990">
              <w:rPr>
                <w:szCs w:val="22"/>
              </w:rPr>
              <w:t>1.40%</w:t>
            </w:r>
          </w:p>
        </w:tc>
        <w:tc>
          <w:tcPr>
            <w:tcW w:w="1052" w:type="dxa"/>
            <w:tcBorders>
              <w:top w:val="nil"/>
              <w:left w:val="single" w:sz="4" w:space="0" w:color="auto"/>
              <w:bottom w:val="nil"/>
              <w:right w:val="single" w:sz="8" w:space="0" w:color="auto"/>
            </w:tcBorders>
            <w:vAlign w:val="center"/>
          </w:tcPr>
          <w:p w14:paraId="4A37FBF3" w14:textId="77777777" w:rsidR="00871EE2" w:rsidRPr="00963990" w:rsidRDefault="00871EE2" w:rsidP="004428D8">
            <w:pPr>
              <w:pStyle w:val="Tabletext"/>
              <w:rPr>
                <w:szCs w:val="22"/>
              </w:rPr>
            </w:pPr>
            <w:r w:rsidRPr="00963990">
              <w:rPr>
                <w:szCs w:val="22"/>
              </w:rPr>
              <w:t>1.80%</w:t>
            </w:r>
          </w:p>
        </w:tc>
      </w:tr>
      <w:tr w:rsidR="00871EE2" w:rsidRPr="00963990" w14:paraId="79C41C7C" w14:textId="77777777" w:rsidTr="00C8490E">
        <w:trPr>
          <w:trHeight w:val="420"/>
          <w:jc w:val="center"/>
        </w:trPr>
        <w:tc>
          <w:tcPr>
            <w:tcW w:w="1833" w:type="dxa"/>
            <w:tcBorders>
              <w:top w:val="nil"/>
              <w:left w:val="single" w:sz="8" w:space="0" w:color="auto"/>
              <w:right w:val="single" w:sz="4" w:space="0" w:color="auto"/>
            </w:tcBorders>
            <w:vAlign w:val="center"/>
            <w:hideMark/>
          </w:tcPr>
          <w:p w14:paraId="2BAE136F" w14:textId="77777777" w:rsidR="00871EE2" w:rsidRPr="00963990" w:rsidRDefault="00871EE2" w:rsidP="004428D8">
            <w:pPr>
              <w:pStyle w:val="Tabletext"/>
              <w:rPr>
                <w:szCs w:val="22"/>
              </w:rPr>
            </w:pPr>
            <w:proofErr w:type="spellStart"/>
            <w:r>
              <w:rPr>
                <w:lang w:val="zh-CN"/>
              </w:rPr>
              <w:t>医疗费用增加</w:t>
            </w:r>
            <w:proofErr w:type="spellEnd"/>
          </w:p>
        </w:tc>
        <w:tc>
          <w:tcPr>
            <w:tcW w:w="1050" w:type="dxa"/>
            <w:tcBorders>
              <w:top w:val="nil"/>
              <w:left w:val="nil"/>
              <w:bottom w:val="nil"/>
              <w:right w:val="single" w:sz="8" w:space="0" w:color="auto"/>
            </w:tcBorders>
            <w:vAlign w:val="center"/>
            <w:hideMark/>
          </w:tcPr>
          <w:p w14:paraId="502C51EE" w14:textId="77777777" w:rsidR="00871EE2" w:rsidRPr="00963990" w:rsidRDefault="00871EE2" w:rsidP="004428D8">
            <w:pPr>
              <w:pStyle w:val="Tabletext"/>
              <w:rPr>
                <w:szCs w:val="22"/>
              </w:rPr>
            </w:pPr>
            <w:r w:rsidRPr="00963990">
              <w:rPr>
                <w:szCs w:val="22"/>
              </w:rPr>
              <w:t>3.90%</w:t>
            </w:r>
          </w:p>
        </w:tc>
        <w:tc>
          <w:tcPr>
            <w:tcW w:w="1050" w:type="dxa"/>
            <w:tcBorders>
              <w:top w:val="nil"/>
              <w:left w:val="nil"/>
              <w:bottom w:val="nil"/>
              <w:right w:val="single" w:sz="8" w:space="0" w:color="auto"/>
            </w:tcBorders>
            <w:vAlign w:val="center"/>
            <w:hideMark/>
          </w:tcPr>
          <w:p w14:paraId="4F4FF1AD" w14:textId="77777777" w:rsidR="00871EE2" w:rsidRPr="00963990" w:rsidRDefault="00871EE2" w:rsidP="004428D8">
            <w:pPr>
              <w:pStyle w:val="Tabletext"/>
              <w:rPr>
                <w:szCs w:val="22"/>
              </w:rPr>
            </w:pPr>
            <w:r w:rsidRPr="00963990">
              <w:rPr>
                <w:szCs w:val="22"/>
              </w:rPr>
              <w:t>3.00%</w:t>
            </w:r>
          </w:p>
        </w:tc>
        <w:tc>
          <w:tcPr>
            <w:tcW w:w="1051" w:type="dxa"/>
            <w:tcBorders>
              <w:top w:val="nil"/>
              <w:left w:val="nil"/>
              <w:bottom w:val="nil"/>
              <w:right w:val="single" w:sz="8" w:space="0" w:color="auto"/>
            </w:tcBorders>
            <w:vAlign w:val="center"/>
            <w:hideMark/>
          </w:tcPr>
          <w:p w14:paraId="48F747FF" w14:textId="77777777" w:rsidR="00871EE2" w:rsidRPr="00963990" w:rsidRDefault="00871EE2" w:rsidP="004428D8">
            <w:pPr>
              <w:pStyle w:val="Tabletext"/>
              <w:rPr>
                <w:szCs w:val="22"/>
              </w:rPr>
            </w:pPr>
            <w:r w:rsidRPr="00963990">
              <w:rPr>
                <w:szCs w:val="22"/>
              </w:rPr>
              <w:t>2.80%</w:t>
            </w:r>
          </w:p>
        </w:tc>
        <w:tc>
          <w:tcPr>
            <w:tcW w:w="1052" w:type="dxa"/>
            <w:tcBorders>
              <w:top w:val="nil"/>
              <w:left w:val="nil"/>
              <w:bottom w:val="nil"/>
              <w:right w:val="single" w:sz="8" w:space="0" w:color="auto"/>
            </w:tcBorders>
            <w:vAlign w:val="center"/>
            <w:hideMark/>
          </w:tcPr>
          <w:p w14:paraId="5191ECC9" w14:textId="77777777" w:rsidR="00871EE2" w:rsidRPr="00963990" w:rsidRDefault="00871EE2" w:rsidP="004428D8">
            <w:pPr>
              <w:pStyle w:val="Tabletext"/>
              <w:rPr>
                <w:szCs w:val="22"/>
              </w:rPr>
            </w:pPr>
            <w:r w:rsidRPr="00963990">
              <w:rPr>
                <w:szCs w:val="22"/>
              </w:rPr>
              <w:t>2.50%</w:t>
            </w:r>
          </w:p>
        </w:tc>
        <w:tc>
          <w:tcPr>
            <w:tcW w:w="1051" w:type="dxa"/>
            <w:tcBorders>
              <w:top w:val="nil"/>
              <w:left w:val="nil"/>
              <w:bottom w:val="nil"/>
              <w:right w:val="single" w:sz="8" w:space="0" w:color="auto"/>
            </w:tcBorders>
            <w:vAlign w:val="center"/>
          </w:tcPr>
          <w:p w14:paraId="6635AB1E" w14:textId="77777777" w:rsidR="00871EE2" w:rsidRPr="00963990" w:rsidRDefault="00871EE2" w:rsidP="004428D8">
            <w:pPr>
              <w:pStyle w:val="Tabletext"/>
              <w:rPr>
                <w:szCs w:val="22"/>
              </w:rPr>
            </w:pPr>
            <w:r w:rsidRPr="00963990">
              <w:rPr>
                <w:szCs w:val="22"/>
              </w:rPr>
              <w:t>2.80%</w:t>
            </w:r>
          </w:p>
        </w:tc>
        <w:tc>
          <w:tcPr>
            <w:tcW w:w="1051" w:type="dxa"/>
            <w:tcBorders>
              <w:top w:val="nil"/>
              <w:left w:val="nil"/>
              <w:bottom w:val="nil"/>
              <w:right w:val="single" w:sz="4" w:space="0" w:color="auto"/>
            </w:tcBorders>
            <w:vAlign w:val="center"/>
          </w:tcPr>
          <w:p w14:paraId="33F27E68" w14:textId="77777777" w:rsidR="00871EE2" w:rsidRPr="00963990" w:rsidRDefault="00871EE2" w:rsidP="004428D8">
            <w:pPr>
              <w:pStyle w:val="Tabletext"/>
              <w:rPr>
                <w:szCs w:val="22"/>
              </w:rPr>
            </w:pPr>
            <w:r w:rsidRPr="00963990">
              <w:rPr>
                <w:szCs w:val="22"/>
              </w:rPr>
              <w:t>2.60%</w:t>
            </w:r>
          </w:p>
        </w:tc>
        <w:tc>
          <w:tcPr>
            <w:tcW w:w="1052" w:type="dxa"/>
            <w:tcBorders>
              <w:top w:val="nil"/>
              <w:left w:val="single" w:sz="4" w:space="0" w:color="auto"/>
              <w:bottom w:val="nil"/>
              <w:right w:val="single" w:sz="4" w:space="0" w:color="auto"/>
            </w:tcBorders>
            <w:vAlign w:val="center"/>
          </w:tcPr>
          <w:p w14:paraId="78E833D2" w14:textId="77777777" w:rsidR="00871EE2" w:rsidRPr="00963990" w:rsidRDefault="00871EE2" w:rsidP="004428D8">
            <w:pPr>
              <w:pStyle w:val="Tabletext"/>
              <w:rPr>
                <w:szCs w:val="22"/>
              </w:rPr>
            </w:pPr>
            <w:r w:rsidRPr="00963990">
              <w:rPr>
                <w:szCs w:val="22"/>
              </w:rPr>
              <w:t>2.40%</w:t>
            </w:r>
          </w:p>
        </w:tc>
        <w:tc>
          <w:tcPr>
            <w:tcW w:w="1052" w:type="dxa"/>
            <w:tcBorders>
              <w:top w:val="nil"/>
              <w:left w:val="single" w:sz="4" w:space="0" w:color="auto"/>
              <w:bottom w:val="nil"/>
              <w:right w:val="single" w:sz="8" w:space="0" w:color="auto"/>
            </w:tcBorders>
            <w:vAlign w:val="center"/>
          </w:tcPr>
          <w:p w14:paraId="7F18E989" w14:textId="77777777" w:rsidR="00871EE2" w:rsidRPr="00963990" w:rsidRDefault="00871EE2" w:rsidP="004428D8">
            <w:pPr>
              <w:pStyle w:val="Tabletext"/>
              <w:rPr>
                <w:szCs w:val="22"/>
              </w:rPr>
            </w:pPr>
            <w:r w:rsidRPr="00963990">
              <w:rPr>
                <w:szCs w:val="22"/>
              </w:rPr>
              <w:t>2.20%</w:t>
            </w:r>
          </w:p>
        </w:tc>
      </w:tr>
      <w:tr w:rsidR="00871EE2" w:rsidRPr="00963990" w14:paraId="09DEBA1E" w14:textId="77777777" w:rsidTr="00C8490E">
        <w:trPr>
          <w:trHeight w:val="420"/>
          <w:jc w:val="center"/>
        </w:trPr>
        <w:tc>
          <w:tcPr>
            <w:tcW w:w="1833" w:type="dxa"/>
            <w:tcBorders>
              <w:top w:val="nil"/>
              <w:left w:val="single" w:sz="8" w:space="0" w:color="auto"/>
              <w:right w:val="single" w:sz="4" w:space="0" w:color="auto"/>
            </w:tcBorders>
            <w:hideMark/>
          </w:tcPr>
          <w:p w14:paraId="7385BAA7" w14:textId="77777777" w:rsidR="00871EE2" w:rsidRPr="00963990" w:rsidRDefault="00871EE2" w:rsidP="004428D8">
            <w:pPr>
              <w:pStyle w:val="Tabletext"/>
              <w:rPr>
                <w:szCs w:val="22"/>
              </w:rPr>
            </w:pPr>
            <w:proofErr w:type="spellStart"/>
            <w:r>
              <w:rPr>
                <w:lang w:val="zh-CN"/>
              </w:rPr>
              <w:t>薪金</w:t>
            </w:r>
            <w:r>
              <w:rPr>
                <w:rFonts w:hint="eastAsia"/>
                <w:lang w:val="zh-CN"/>
              </w:rPr>
              <w:t>上涨</w:t>
            </w:r>
            <w:proofErr w:type="spellEnd"/>
          </w:p>
        </w:tc>
        <w:tc>
          <w:tcPr>
            <w:tcW w:w="1050" w:type="dxa"/>
            <w:tcBorders>
              <w:top w:val="nil"/>
              <w:left w:val="nil"/>
              <w:bottom w:val="nil"/>
              <w:right w:val="single" w:sz="8" w:space="0" w:color="auto"/>
            </w:tcBorders>
            <w:vAlign w:val="center"/>
            <w:hideMark/>
          </w:tcPr>
          <w:p w14:paraId="6C569160" w14:textId="77777777" w:rsidR="00871EE2" w:rsidRPr="00963990" w:rsidRDefault="00871EE2" w:rsidP="004428D8">
            <w:pPr>
              <w:pStyle w:val="Tabletext"/>
              <w:rPr>
                <w:szCs w:val="22"/>
              </w:rPr>
            </w:pPr>
            <w:r w:rsidRPr="00963990">
              <w:rPr>
                <w:szCs w:val="22"/>
              </w:rPr>
              <w:t>3.50%</w:t>
            </w:r>
          </w:p>
        </w:tc>
        <w:tc>
          <w:tcPr>
            <w:tcW w:w="1050" w:type="dxa"/>
            <w:tcBorders>
              <w:top w:val="nil"/>
              <w:left w:val="nil"/>
              <w:bottom w:val="nil"/>
              <w:right w:val="single" w:sz="8" w:space="0" w:color="auto"/>
            </w:tcBorders>
            <w:vAlign w:val="center"/>
            <w:hideMark/>
          </w:tcPr>
          <w:p w14:paraId="501401B1" w14:textId="77777777" w:rsidR="00871EE2" w:rsidRPr="00963990" w:rsidRDefault="00871EE2" w:rsidP="004428D8">
            <w:pPr>
              <w:pStyle w:val="Tabletext"/>
              <w:rPr>
                <w:szCs w:val="22"/>
              </w:rPr>
            </w:pPr>
            <w:r w:rsidRPr="00963990">
              <w:rPr>
                <w:szCs w:val="22"/>
              </w:rPr>
              <w:t>3.00%</w:t>
            </w:r>
          </w:p>
        </w:tc>
        <w:tc>
          <w:tcPr>
            <w:tcW w:w="1051" w:type="dxa"/>
            <w:tcBorders>
              <w:top w:val="nil"/>
              <w:left w:val="nil"/>
              <w:bottom w:val="nil"/>
              <w:right w:val="single" w:sz="8" w:space="0" w:color="auto"/>
            </w:tcBorders>
            <w:vAlign w:val="center"/>
            <w:hideMark/>
          </w:tcPr>
          <w:p w14:paraId="2A91B9D8" w14:textId="77777777" w:rsidR="00871EE2" w:rsidRPr="00963990" w:rsidRDefault="00871EE2" w:rsidP="004428D8">
            <w:pPr>
              <w:pStyle w:val="Tabletext"/>
              <w:rPr>
                <w:szCs w:val="22"/>
              </w:rPr>
            </w:pPr>
            <w:r w:rsidRPr="00963990">
              <w:rPr>
                <w:szCs w:val="22"/>
              </w:rPr>
              <w:t>3.00%</w:t>
            </w:r>
          </w:p>
        </w:tc>
        <w:tc>
          <w:tcPr>
            <w:tcW w:w="1052" w:type="dxa"/>
            <w:tcBorders>
              <w:top w:val="nil"/>
              <w:left w:val="nil"/>
              <w:bottom w:val="nil"/>
              <w:right w:val="single" w:sz="8" w:space="0" w:color="auto"/>
            </w:tcBorders>
            <w:vAlign w:val="center"/>
            <w:hideMark/>
          </w:tcPr>
          <w:p w14:paraId="33936571" w14:textId="77777777" w:rsidR="00871EE2" w:rsidRPr="00963990" w:rsidRDefault="00871EE2" w:rsidP="004428D8">
            <w:pPr>
              <w:pStyle w:val="Tabletext"/>
              <w:rPr>
                <w:szCs w:val="22"/>
              </w:rPr>
            </w:pPr>
            <w:r w:rsidRPr="00963990">
              <w:rPr>
                <w:szCs w:val="22"/>
              </w:rPr>
              <w:t>3.00%</w:t>
            </w:r>
          </w:p>
        </w:tc>
        <w:tc>
          <w:tcPr>
            <w:tcW w:w="1051" w:type="dxa"/>
            <w:tcBorders>
              <w:top w:val="nil"/>
              <w:left w:val="nil"/>
              <w:bottom w:val="nil"/>
              <w:right w:val="single" w:sz="8" w:space="0" w:color="auto"/>
            </w:tcBorders>
            <w:vAlign w:val="center"/>
          </w:tcPr>
          <w:p w14:paraId="38A76EF3" w14:textId="77777777" w:rsidR="00871EE2" w:rsidRPr="00963990" w:rsidRDefault="00871EE2" w:rsidP="004428D8">
            <w:pPr>
              <w:pStyle w:val="Tabletext"/>
              <w:rPr>
                <w:szCs w:val="22"/>
              </w:rPr>
            </w:pPr>
            <w:r w:rsidRPr="00963990">
              <w:rPr>
                <w:szCs w:val="22"/>
              </w:rPr>
              <w:t>3.00%</w:t>
            </w:r>
          </w:p>
        </w:tc>
        <w:tc>
          <w:tcPr>
            <w:tcW w:w="1051" w:type="dxa"/>
            <w:tcBorders>
              <w:top w:val="nil"/>
              <w:left w:val="nil"/>
              <w:bottom w:val="nil"/>
              <w:right w:val="single" w:sz="4" w:space="0" w:color="auto"/>
            </w:tcBorders>
            <w:vAlign w:val="center"/>
          </w:tcPr>
          <w:p w14:paraId="0A584463" w14:textId="77777777" w:rsidR="00871EE2" w:rsidRPr="00963990" w:rsidRDefault="00871EE2" w:rsidP="004428D8">
            <w:pPr>
              <w:pStyle w:val="Tabletext"/>
              <w:rPr>
                <w:szCs w:val="22"/>
              </w:rPr>
            </w:pPr>
            <w:r w:rsidRPr="00963990">
              <w:rPr>
                <w:szCs w:val="22"/>
              </w:rPr>
              <w:t>3.10%</w:t>
            </w:r>
          </w:p>
        </w:tc>
        <w:tc>
          <w:tcPr>
            <w:tcW w:w="1052" w:type="dxa"/>
            <w:tcBorders>
              <w:top w:val="nil"/>
              <w:left w:val="single" w:sz="4" w:space="0" w:color="auto"/>
              <w:bottom w:val="nil"/>
              <w:right w:val="single" w:sz="4" w:space="0" w:color="auto"/>
            </w:tcBorders>
            <w:vAlign w:val="center"/>
          </w:tcPr>
          <w:p w14:paraId="774430D9" w14:textId="77777777" w:rsidR="00871EE2" w:rsidRPr="00963990" w:rsidRDefault="00871EE2" w:rsidP="004428D8">
            <w:pPr>
              <w:pStyle w:val="Tabletext"/>
              <w:rPr>
                <w:szCs w:val="22"/>
              </w:rPr>
            </w:pPr>
            <w:r w:rsidRPr="00963990">
              <w:rPr>
                <w:szCs w:val="22"/>
              </w:rPr>
              <w:t>3.10%</w:t>
            </w:r>
          </w:p>
        </w:tc>
        <w:tc>
          <w:tcPr>
            <w:tcW w:w="1052" w:type="dxa"/>
            <w:tcBorders>
              <w:top w:val="nil"/>
              <w:left w:val="single" w:sz="4" w:space="0" w:color="auto"/>
              <w:bottom w:val="nil"/>
              <w:right w:val="single" w:sz="8" w:space="0" w:color="auto"/>
            </w:tcBorders>
            <w:vAlign w:val="center"/>
          </w:tcPr>
          <w:p w14:paraId="0E12FF74" w14:textId="77777777" w:rsidR="00871EE2" w:rsidRPr="00963990" w:rsidRDefault="00871EE2" w:rsidP="004428D8">
            <w:pPr>
              <w:pStyle w:val="Tabletext"/>
              <w:rPr>
                <w:szCs w:val="22"/>
              </w:rPr>
            </w:pPr>
            <w:r w:rsidRPr="00963990">
              <w:rPr>
                <w:szCs w:val="22"/>
              </w:rPr>
              <w:t>3.1%</w:t>
            </w:r>
          </w:p>
        </w:tc>
      </w:tr>
      <w:tr w:rsidR="00871EE2" w:rsidRPr="00963990" w14:paraId="66922003" w14:textId="77777777" w:rsidTr="00C8490E">
        <w:trPr>
          <w:trHeight w:val="345"/>
          <w:jc w:val="center"/>
        </w:trPr>
        <w:tc>
          <w:tcPr>
            <w:tcW w:w="1833" w:type="dxa"/>
            <w:tcBorders>
              <w:left w:val="single" w:sz="8" w:space="0" w:color="auto"/>
              <w:bottom w:val="single" w:sz="8" w:space="0" w:color="000000"/>
              <w:right w:val="single" w:sz="4" w:space="0" w:color="auto"/>
            </w:tcBorders>
            <w:vAlign w:val="center"/>
            <w:hideMark/>
          </w:tcPr>
          <w:p w14:paraId="4096D47C" w14:textId="77777777" w:rsidR="00871EE2" w:rsidRPr="00963990" w:rsidRDefault="00871EE2" w:rsidP="004428D8">
            <w:pPr>
              <w:pStyle w:val="Tabletext"/>
              <w:rPr>
                <w:szCs w:val="22"/>
              </w:rPr>
            </w:pPr>
            <w:proofErr w:type="spellStart"/>
            <w:r>
              <w:rPr>
                <w:rFonts w:hint="eastAsia"/>
                <w:lang w:val="zh-CN"/>
              </w:rPr>
              <w:t>年末</w:t>
            </w:r>
            <w:r>
              <w:rPr>
                <w:lang w:val="zh-CN"/>
              </w:rPr>
              <w:t>的</w:t>
            </w:r>
            <w:proofErr w:type="spellEnd"/>
            <w:r>
              <w:rPr>
                <w:lang w:val="zh-CN"/>
              </w:rPr>
              <w:t>ASHI</w:t>
            </w:r>
            <w:proofErr w:type="spellStart"/>
            <w:r>
              <w:rPr>
                <w:lang w:val="zh-CN"/>
              </w:rPr>
              <w:t>负债</w:t>
            </w:r>
            <w:proofErr w:type="spellEnd"/>
          </w:p>
        </w:tc>
        <w:tc>
          <w:tcPr>
            <w:tcW w:w="1050" w:type="dxa"/>
            <w:tcBorders>
              <w:top w:val="nil"/>
              <w:left w:val="nil"/>
              <w:bottom w:val="single" w:sz="8" w:space="0" w:color="auto"/>
              <w:right w:val="single" w:sz="8" w:space="0" w:color="auto"/>
            </w:tcBorders>
            <w:vAlign w:val="center"/>
            <w:hideMark/>
          </w:tcPr>
          <w:p w14:paraId="75626CBD" w14:textId="77777777" w:rsidR="00871EE2" w:rsidRPr="00963990" w:rsidRDefault="00871EE2" w:rsidP="004428D8">
            <w:pPr>
              <w:pStyle w:val="Tabletext"/>
              <w:rPr>
                <w:szCs w:val="22"/>
              </w:rPr>
            </w:pPr>
            <w:r w:rsidRPr="00963990">
              <w:rPr>
                <w:szCs w:val="22"/>
              </w:rPr>
              <w:t>552 240</w:t>
            </w:r>
          </w:p>
        </w:tc>
        <w:tc>
          <w:tcPr>
            <w:tcW w:w="1050" w:type="dxa"/>
            <w:tcBorders>
              <w:top w:val="nil"/>
              <w:left w:val="nil"/>
              <w:bottom w:val="single" w:sz="8" w:space="0" w:color="auto"/>
              <w:right w:val="single" w:sz="8" w:space="0" w:color="auto"/>
            </w:tcBorders>
            <w:vAlign w:val="center"/>
            <w:hideMark/>
          </w:tcPr>
          <w:p w14:paraId="5BF28ABD" w14:textId="77777777" w:rsidR="00871EE2" w:rsidRPr="00963990" w:rsidRDefault="00871EE2" w:rsidP="004428D8">
            <w:pPr>
              <w:pStyle w:val="Tabletext"/>
              <w:rPr>
                <w:szCs w:val="22"/>
              </w:rPr>
            </w:pPr>
            <w:r w:rsidRPr="00963990">
              <w:rPr>
                <w:szCs w:val="22"/>
              </w:rPr>
              <w:t>611 896</w:t>
            </w:r>
          </w:p>
        </w:tc>
        <w:tc>
          <w:tcPr>
            <w:tcW w:w="1051" w:type="dxa"/>
            <w:tcBorders>
              <w:top w:val="nil"/>
              <w:left w:val="nil"/>
              <w:bottom w:val="single" w:sz="8" w:space="0" w:color="auto"/>
              <w:right w:val="single" w:sz="8" w:space="0" w:color="auto"/>
            </w:tcBorders>
            <w:vAlign w:val="center"/>
            <w:hideMark/>
          </w:tcPr>
          <w:p w14:paraId="02C16D13" w14:textId="77777777" w:rsidR="00871EE2" w:rsidRPr="00963990" w:rsidRDefault="00871EE2" w:rsidP="004428D8">
            <w:pPr>
              <w:pStyle w:val="Tabletext"/>
              <w:rPr>
                <w:szCs w:val="22"/>
              </w:rPr>
            </w:pPr>
            <w:r w:rsidRPr="00963990">
              <w:rPr>
                <w:szCs w:val="22"/>
              </w:rPr>
              <w:t>631 870</w:t>
            </w:r>
          </w:p>
        </w:tc>
        <w:tc>
          <w:tcPr>
            <w:tcW w:w="1052" w:type="dxa"/>
            <w:tcBorders>
              <w:top w:val="nil"/>
              <w:left w:val="nil"/>
              <w:bottom w:val="single" w:sz="8" w:space="0" w:color="auto"/>
              <w:right w:val="single" w:sz="8" w:space="0" w:color="auto"/>
            </w:tcBorders>
            <w:noWrap/>
            <w:vAlign w:val="center"/>
            <w:hideMark/>
          </w:tcPr>
          <w:p w14:paraId="51822168" w14:textId="77777777" w:rsidR="00871EE2" w:rsidRPr="00963990" w:rsidRDefault="00871EE2" w:rsidP="004428D8">
            <w:pPr>
              <w:pStyle w:val="Tabletext"/>
              <w:rPr>
                <w:szCs w:val="22"/>
              </w:rPr>
            </w:pPr>
            <w:r w:rsidRPr="00963990">
              <w:rPr>
                <w:szCs w:val="22"/>
              </w:rPr>
              <w:t>564 636</w:t>
            </w:r>
          </w:p>
        </w:tc>
        <w:tc>
          <w:tcPr>
            <w:tcW w:w="1051" w:type="dxa"/>
            <w:tcBorders>
              <w:top w:val="nil"/>
              <w:left w:val="nil"/>
              <w:bottom w:val="single" w:sz="8" w:space="0" w:color="auto"/>
              <w:right w:val="single" w:sz="8" w:space="0" w:color="auto"/>
            </w:tcBorders>
            <w:vAlign w:val="center"/>
          </w:tcPr>
          <w:p w14:paraId="084872C5" w14:textId="77777777" w:rsidR="00871EE2" w:rsidRPr="00963990" w:rsidRDefault="00871EE2" w:rsidP="004428D8">
            <w:pPr>
              <w:pStyle w:val="Tabletext"/>
              <w:rPr>
                <w:szCs w:val="22"/>
              </w:rPr>
            </w:pPr>
            <w:r w:rsidRPr="00963990">
              <w:rPr>
                <w:szCs w:val="22"/>
              </w:rPr>
              <w:t>344 102</w:t>
            </w:r>
          </w:p>
        </w:tc>
        <w:tc>
          <w:tcPr>
            <w:tcW w:w="1051" w:type="dxa"/>
            <w:tcBorders>
              <w:top w:val="nil"/>
              <w:left w:val="nil"/>
              <w:bottom w:val="single" w:sz="8" w:space="0" w:color="auto"/>
              <w:right w:val="single" w:sz="4" w:space="0" w:color="auto"/>
            </w:tcBorders>
            <w:vAlign w:val="center"/>
          </w:tcPr>
          <w:p w14:paraId="5E67ADD5" w14:textId="77777777" w:rsidR="00871EE2" w:rsidRPr="00963990" w:rsidRDefault="00871EE2" w:rsidP="004428D8">
            <w:pPr>
              <w:pStyle w:val="Tabletext"/>
              <w:rPr>
                <w:szCs w:val="22"/>
              </w:rPr>
            </w:pPr>
            <w:r w:rsidRPr="00963990">
              <w:rPr>
                <w:szCs w:val="22"/>
              </w:rPr>
              <w:t>375 271</w:t>
            </w:r>
          </w:p>
        </w:tc>
        <w:tc>
          <w:tcPr>
            <w:tcW w:w="1052" w:type="dxa"/>
            <w:tcBorders>
              <w:top w:val="nil"/>
              <w:left w:val="single" w:sz="4" w:space="0" w:color="auto"/>
              <w:bottom w:val="single" w:sz="8" w:space="0" w:color="auto"/>
              <w:right w:val="single" w:sz="4" w:space="0" w:color="auto"/>
            </w:tcBorders>
            <w:vAlign w:val="center"/>
          </w:tcPr>
          <w:p w14:paraId="4A849C0B" w14:textId="77777777" w:rsidR="00871EE2" w:rsidRPr="00963990" w:rsidRDefault="00871EE2" w:rsidP="004428D8">
            <w:pPr>
              <w:pStyle w:val="Tabletext"/>
              <w:rPr>
                <w:szCs w:val="22"/>
              </w:rPr>
            </w:pPr>
            <w:r w:rsidRPr="00963990">
              <w:rPr>
                <w:szCs w:val="22"/>
              </w:rPr>
              <w:t>415 835</w:t>
            </w:r>
          </w:p>
        </w:tc>
        <w:tc>
          <w:tcPr>
            <w:tcW w:w="1052" w:type="dxa"/>
            <w:tcBorders>
              <w:top w:val="nil"/>
              <w:left w:val="single" w:sz="4" w:space="0" w:color="auto"/>
              <w:bottom w:val="single" w:sz="8" w:space="0" w:color="auto"/>
              <w:right w:val="single" w:sz="8" w:space="0" w:color="auto"/>
            </w:tcBorders>
            <w:vAlign w:val="center"/>
          </w:tcPr>
          <w:p w14:paraId="5C633FC4" w14:textId="77777777" w:rsidR="00871EE2" w:rsidRPr="00963990" w:rsidRDefault="00871EE2" w:rsidP="004428D8">
            <w:pPr>
              <w:pStyle w:val="Tabletext"/>
              <w:rPr>
                <w:szCs w:val="22"/>
              </w:rPr>
            </w:pPr>
            <w:r w:rsidRPr="00963990">
              <w:rPr>
                <w:szCs w:val="22"/>
              </w:rPr>
              <w:t>378</w:t>
            </w:r>
            <w:r>
              <w:rPr>
                <w:szCs w:val="22"/>
              </w:rPr>
              <w:t> </w:t>
            </w:r>
            <w:r w:rsidRPr="00963990">
              <w:rPr>
                <w:szCs w:val="22"/>
              </w:rPr>
              <w:t>824</w:t>
            </w:r>
          </w:p>
        </w:tc>
      </w:tr>
    </w:tbl>
    <w:p w14:paraId="0EE2FCD1" w14:textId="77777777" w:rsidR="00871EE2" w:rsidRPr="00963990" w:rsidRDefault="00871EE2" w:rsidP="00871EE2">
      <w:pPr>
        <w:tabs>
          <w:tab w:val="left" w:pos="284"/>
        </w:tabs>
        <w:spacing w:before="0"/>
        <w:rPr>
          <w:sz w:val="22"/>
          <w:szCs w:val="22"/>
        </w:rPr>
      </w:pPr>
    </w:p>
    <w:p w14:paraId="35099CB7" w14:textId="77777777" w:rsidR="00871EE2" w:rsidRPr="00963990" w:rsidRDefault="00871EE2" w:rsidP="004428D8">
      <w:pPr>
        <w:pStyle w:val="Heading1"/>
      </w:pPr>
      <w:r>
        <w:rPr>
          <w:lang w:val="zh-CN"/>
        </w:rPr>
        <w:lastRenderedPageBreak/>
        <w:t>4</w:t>
      </w:r>
      <w:r>
        <w:rPr>
          <w:lang w:val="zh-CN"/>
        </w:rPr>
        <w:tab/>
      </w:r>
      <w:proofErr w:type="spellStart"/>
      <w:r>
        <w:rPr>
          <w:lang w:val="zh-CN"/>
        </w:rPr>
        <w:t>采取的行动</w:t>
      </w:r>
      <w:proofErr w:type="spellEnd"/>
    </w:p>
    <w:p w14:paraId="4CCDFA90" w14:textId="77777777" w:rsidR="00871EE2" w:rsidRPr="00963990" w:rsidRDefault="00871EE2" w:rsidP="005A03BC">
      <w:pPr>
        <w:jc w:val="both"/>
        <w:rPr>
          <w:lang w:eastAsia="zh-CN"/>
        </w:rPr>
      </w:pPr>
      <w:r>
        <w:rPr>
          <w:lang w:val="zh-CN" w:eastAsia="zh-CN"/>
        </w:rPr>
        <w:t>4.1</w:t>
      </w:r>
      <w:r>
        <w:rPr>
          <w:lang w:val="zh-CN" w:eastAsia="zh-CN"/>
        </w:rPr>
        <w:tab/>
      </w:r>
      <w:r>
        <w:rPr>
          <w:lang w:val="zh-CN" w:eastAsia="zh-CN"/>
        </w:rPr>
        <w:t>自</w:t>
      </w:r>
      <w:r>
        <w:rPr>
          <w:lang w:val="zh-CN" w:eastAsia="zh-CN"/>
        </w:rPr>
        <w:t>2010</w:t>
      </w:r>
      <w:r>
        <w:rPr>
          <w:lang w:val="zh-CN" w:eastAsia="zh-CN"/>
        </w:rPr>
        <w:t>年以来，为</w:t>
      </w:r>
      <w:r>
        <w:rPr>
          <w:lang w:val="zh-CN" w:eastAsia="zh-CN"/>
        </w:rPr>
        <w:t>ASHI</w:t>
      </w:r>
      <w:r>
        <w:rPr>
          <w:lang w:val="zh-CN" w:eastAsia="zh-CN"/>
        </w:rPr>
        <w:t>精算负债供资一直是联合国普遍关注的问题。已采取措施，确保现有健康保险福利能够继续在现收现付的基础上供资，同时确保为应计</w:t>
      </w:r>
      <w:r>
        <w:rPr>
          <w:lang w:val="zh-CN" w:eastAsia="zh-CN"/>
        </w:rPr>
        <w:t>ASHI</w:t>
      </w:r>
      <w:r>
        <w:rPr>
          <w:lang w:val="zh-CN" w:eastAsia="zh-CN"/>
        </w:rPr>
        <w:t>负债长期供资。</w:t>
      </w:r>
    </w:p>
    <w:p w14:paraId="1512373D" w14:textId="77777777" w:rsidR="00871EE2" w:rsidRPr="00963990" w:rsidRDefault="00871EE2" w:rsidP="005A03BC">
      <w:pPr>
        <w:jc w:val="both"/>
        <w:rPr>
          <w:lang w:eastAsia="zh-CN"/>
        </w:rPr>
      </w:pPr>
      <w:r>
        <w:rPr>
          <w:lang w:val="zh-CN" w:eastAsia="zh-CN"/>
        </w:rPr>
        <w:t>4.2</w:t>
      </w:r>
      <w:r>
        <w:rPr>
          <w:lang w:val="zh-CN" w:eastAsia="zh-CN"/>
        </w:rPr>
        <w:tab/>
      </w:r>
      <w:r>
        <w:rPr>
          <w:lang w:val="zh-CN" w:eastAsia="zh-CN"/>
        </w:rPr>
        <w:t>应当指出，国际电联为在职职员和退休人员缴纳的健康保险缴费估算已包含在提交理事会的双年度预算中。</w:t>
      </w:r>
    </w:p>
    <w:p w14:paraId="76DDD93A" w14:textId="77777777" w:rsidR="00871EE2" w:rsidRPr="004428D8" w:rsidRDefault="00871EE2" w:rsidP="00CC35EB">
      <w:pPr>
        <w:pStyle w:val="Headingb"/>
        <w:rPr>
          <w:lang w:eastAsia="zh-CN"/>
        </w:rPr>
      </w:pPr>
      <w:r w:rsidRPr="004428D8">
        <w:rPr>
          <w:rFonts w:hint="eastAsia"/>
          <w:lang w:val="zh-CN" w:eastAsia="zh-CN"/>
        </w:rPr>
        <w:t>为</w:t>
      </w:r>
      <w:r w:rsidRPr="004428D8">
        <w:rPr>
          <w:rFonts w:hint="eastAsia"/>
          <w:lang w:val="zh-CN" w:eastAsia="zh-CN"/>
        </w:rPr>
        <w:t>ASHI</w:t>
      </w:r>
      <w:r w:rsidRPr="004428D8">
        <w:rPr>
          <w:rFonts w:hint="eastAsia"/>
          <w:lang w:val="zh-CN" w:eastAsia="zh-CN"/>
        </w:rPr>
        <w:t>精算负债的长期筹资设立基金</w:t>
      </w:r>
    </w:p>
    <w:p w14:paraId="37E37D82" w14:textId="77777777" w:rsidR="00871EE2" w:rsidRPr="00963990" w:rsidRDefault="00871EE2" w:rsidP="005A03BC">
      <w:pPr>
        <w:jc w:val="both"/>
        <w:rPr>
          <w:lang w:eastAsia="zh-CN"/>
        </w:rPr>
      </w:pPr>
      <w:r>
        <w:rPr>
          <w:lang w:val="zh-CN" w:eastAsia="zh-CN"/>
        </w:rPr>
        <w:t>4.3</w:t>
      </w:r>
      <w:r>
        <w:rPr>
          <w:lang w:val="zh-CN" w:eastAsia="zh-CN"/>
        </w:rPr>
        <w:tab/>
      </w:r>
      <w:r>
        <w:rPr>
          <w:lang w:eastAsia="zh-CN"/>
        </w:rPr>
        <w:t>截至</w:t>
      </w:r>
      <w:r>
        <w:rPr>
          <w:lang w:eastAsia="zh-CN"/>
        </w:rPr>
        <w:t>202</w:t>
      </w:r>
      <w:r>
        <w:rPr>
          <w:rFonts w:hint="eastAsia"/>
          <w:lang w:eastAsia="zh-CN"/>
        </w:rPr>
        <w:t>5</w:t>
      </w:r>
      <w:r>
        <w:rPr>
          <w:lang w:eastAsia="zh-CN"/>
        </w:rPr>
        <w:t>年</w:t>
      </w:r>
      <w:r>
        <w:rPr>
          <w:lang w:eastAsia="zh-CN"/>
        </w:rPr>
        <w:t>12</w:t>
      </w:r>
      <w:r>
        <w:rPr>
          <w:lang w:eastAsia="zh-CN"/>
        </w:rPr>
        <w:t>月</w:t>
      </w:r>
      <w:r>
        <w:rPr>
          <w:lang w:eastAsia="zh-CN"/>
        </w:rPr>
        <w:t>31</w:t>
      </w:r>
      <w:r>
        <w:rPr>
          <w:lang w:eastAsia="zh-CN"/>
        </w:rPr>
        <w:t>日，</w:t>
      </w:r>
      <w:r>
        <w:rPr>
          <w:lang w:eastAsia="zh-CN"/>
        </w:rPr>
        <w:t>ASHI</w:t>
      </w:r>
      <w:r>
        <w:rPr>
          <w:lang w:eastAsia="zh-CN"/>
        </w:rPr>
        <w:t>基金</w:t>
      </w:r>
      <w:r>
        <w:rPr>
          <w:rFonts w:hint="eastAsia"/>
          <w:lang w:eastAsia="zh-CN"/>
        </w:rPr>
        <w:t>的资金</w:t>
      </w:r>
      <w:r>
        <w:rPr>
          <w:lang w:eastAsia="zh-CN"/>
        </w:rPr>
        <w:t>达</w:t>
      </w:r>
      <w:r>
        <w:rPr>
          <w:lang w:eastAsia="zh-CN"/>
        </w:rPr>
        <w:t xml:space="preserve">1 </w:t>
      </w:r>
      <w:r>
        <w:rPr>
          <w:rFonts w:hint="eastAsia"/>
          <w:lang w:eastAsia="zh-CN"/>
        </w:rPr>
        <w:t>5</w:t>
      </w:r>
      <w:r>
        <w:rPr>
          <w:lang w:eastAsia="zh-CN"/>
        </w:rPr>
        <w:t>00</w:t>
      </w:r>
      <w:r>
        <w:rPr>
          <w:lang w:eastAsia="zh-CN"/>
        </w:rPr>
        <w:t>万瑞郎</w:t>
      </w:r>
      <w:r>
        <w:rPr>
          <w:rFonts w:hint="eastAsia"/>
          <w:lang w:eastAsia="zh-CN"/>
        </w:rPr>
        <w:t>（截至</w:t>
      </w:r>
      <w:r>
        <w:rPr>
          <w:rFonts w:hint="eastAsia"/>
          <w:lang w:eastAsia="zh-CN"/>
        </w:rPr>
        <w:t>2024</w:t>
      </w:r>
      <w:r>
        <w:rPr>
          <w:rFonts w:hint="eastAsia"/>
          <w:lang w:eastAsia="zh-CN"/>
        </w:rPr>
        <w:t>年</w:t>
      </w:r>
      <w:r>
        <w:rPr>
          <w:rFonts w:hint="eastAsia"/>
          <w:lang w:eastAsia="zh-CN"/>
        </w:rPr>
        <w:t>12</w:t>
      </w:r>
      <w:r>
        <w:rPr>
          <w:rFonts w:hint="eastAsia"/>
          <w:lang w:eastAsia="zh-CN"/>
        </w:rPr>
        <w:t>月</w:t>
      </w:r>
      <w:r>
        <w:rPr>
          <w:rFonts w:hint="eastAsia"/>
          <w:lang w:eastAsia="zh-CN"/>
        </w:rPr>
        <w:t>31</w:t>
      </w:r>
      <w:r>
        <w:rPr>
          <w:rFonts w:hint="eastAsia"/>
          <w:lang w:eastAsia="zh-CN"/>
        </w:rPr>
        <w:t>日亦为</w:t>
      </w:r>
      <w:r>
        <w:rPr>
          <w:lang w:eastAsia="zh-CN"/>
        </w:rPr>
        <w:t xml:space="preserve">1 </w:t>
      </w:r>
      <w:r>
        <w:rPr>
          <w:rFonts w:hint="eastAsia"/>
          <w:lang w:eastAsia="zh-CN"/>
        </w:rPr>
        <w:t>5</w:t>
      </w:r>
      <w:r>
        <w:rPr>
          <w:lang w:eastAsia="zh-CN"/>
        </w:rPr>
        <w:t>00</w:t>
      </w:r>
      <w:r>
        <w:rPr>
          <w:lang w:eastAsia="zh-CN"/>
        </w:rPr>
        <w:t>万瑞郎</w:t>
      </w:r>
      <w:r>
        <w:rPr>
          <w:rFonts w:hint="eastAsia"/>
          <w:lang w:eastAsia="zh-CN"/>
        </w:rPr>
        <w:t>）</w:t>
      </w:r>
      <w:r>
        <w:rPr>
          <w:lang w:eastAsia="zh-CN"/>
        </w:rPr>
        <w:t>。自该基金于</w:t>
      </w:r>
      <w:r>
        <w:rPr>
          <w:lang w:eastAsia="zh-CN"/>
        </w:rPr>
        <w:t>2013</w:t>
      </w:r>
      <w:r>
        <w:rPr>
          <w:lang w:eastAsia="zh-CN"/>
        </w:rPr>
        <w:t>年成立以来，已根据不同的预算决议向该基金支付了</w:t>
      </w:r>
      <w:r>
        <w:rPr>
          <w:rFonts w:hint="eastAsia"/>
          <w:lang w:eastAsia="zh-CN"/>
        </w:rPr>
        <w:t>9</w:t>
      </w:r>
      <w:r>
        <w:rPr>
          <w:lang w:eastAsia="zh-CN"/>
        </w:rPr>
        <w:t>00</w:t>
      </w:r>
      <w:r>
        <w:rPr>
          <w:lang w:eastAsia="zh-CN"/>
        </w:rPr>
        <w:t>万瑞郎，另有</w:t>
      </w:r>
      <w:r>
        <w:rPr>
          <w:lang w:eastAsia="zh-CN"/>
        </w:rPr>
        <w:t>600</w:t>
      </w:r>
      <w:r>
        <w:rPr>
          <w:lang w:eastAsia="zh-CN"/>
        </w:rPr>
        <w:t>万瑞郎来自执行预算产生的盈余。</w:t>
      </w:r>
    </w:p>
    <w:p w14:paraId="2D52AC62" w14:textId="562E0F04" w:rsidR="00871EE2" w:rsidRPr="00963990" w:rsidRDefault="00871EE2" w:rsidP="005A03BC">
      <w:pPr>
        <w:jc w:val="both"/>
        <w:rPr>
          <w:color w:val="000000" w:themeColor="text1"/>
          <w:lang w:eastAsia="zh-CN"/>
        </w:rPr>
      </w:pPr>
      <w:r>
        <w:rPr>
          <w:lang w:val="zh-CN" w:eastAsia="zh-CN"/>
        </w:rPr>
        <w:t>4.4</w:t>
      </w:r>
      <w:r>
        <w:rPr>
          <w:lang w:val="zh-CN" w:eastAsia="zh-CN"/>
        </w:rPr>
        <w:tab/>
      </w:r>
      <w:r>
        <w:rPr>
          <w:lang w:val="zh-CN" w:eastAsia="zh-CN"/>
        </w:rPr>
        <w:t>正如理事会在</w:t>
      </w:r>
      <w:r>
        <w:rPr>
          <w:rFonts w:hint="eastAsia"/>
          <w:lang w:val="zh-CN" w:eastAsia="zh-CN"/>
        </w:rPr>
        <w:t>其</w:t>
      </w:r>
      <w:r>
        <w:rPr>
          <w:lang w:val="zh-CN" w:eastAsia="zh-CN"/>
        </w:rPr>
        <w:t>2025</w:t>
      </w:r>
      <w:r>
        <w:rPr>
          <w:lang w:val="zh-CN" w:eastAsia="zh-CN"/>
        </w:rPr>
        <w:t>年会议</w:t>
      </w:r>
      <w:r>
        <w:rPr>
          <w:rFonts w:hint="eastAsia"/>
          <w:lang w:val="zh-CN" w:eastAsia="zh-CN"/>
        </w:rPr>
        <w:t>的</w:t>
      </w:r>
      <w:hyperlink r:id="rId9" w:history="1">
        <w:r w:rsidRPr="004428D8">
          <w:rPr>
            <w:rStyle w:val="Hyperlink"/>
            <w:rFonts w:eastAsia="SimSun"/>
            <w:noProof w:val="0"/>
            <w:u w:val="single"/>
            <w:lang w:val="zh-CN" w:eastAsia="zh-CN"/>
          </w:rPr>
          <w:t>C25/46</w:t>
        </w:r>
      </w:hyperlink>
      <w:r>
        <w:rPr>
          <w:lang w:val="zh-CN" w:eastAsia="zh-CN"/>
        </w:rPr>
        <w:t>号文件中指出的那样，联合国</w:t>
      </w:r>
      <w:r>
        <w:rPr>
          <w:lang w:val="zh-CN" w:eastAsia="zh-CN"/>
        </w:rPr>
        <w:t>ASHI</w:t>
      </w:r>
      <w:r>
        <w:rPr>
          <w:lang w:val="zh-CN" w:eastAsia="zh-CN"/>
        </w:rPr>
        <w:t>工作组（根据联大第</w:t>
      </w:r>
      <w:hyperlink r:id="rId10" w:history="1">
        <w:r w:rsidRPr="004428D8">
          <w:rPr>
            <w:rStyle w:val="Hyperlink"/>
            <w:rFonts w:eastAsia="SimSun"/>
            <w:noProof w:val="0"/>
            <w:u w:val="single"/>
            <w:lang w:val="zh-CN" w:eastAsia="zh-CN"/>
          </w:rPr>
          <w:t>A/RES/68/244</w:t>
        </w:r>
      </w:hyperlink>
      <w:r>
        <w:rPr>
          <w:lang w:val="zh-CN" w:eastAsia="zh-CN"/>
        </w:rPr>
        <w:t>号决议成立）、联检组</w:t>
      </w:r>
      <w:r>
        <w:rPr>
          <w:rFonts w:hint="eastAsia"/>
          <w:lang w:val="zh-CN" w:eastAsia="zh-CN"/>
        </w:rPr>
        <w:t>（</w:t>
      </w:r>
      <w:r>
        <w:rPr>
          <w:rFonts w:hint="eastAsia"/>
          <w:lang w:val="zh-CN" w:eastAsia="zh-CN"/>
        </w:rPr>
        <w:t>JIU</w:t>
      </w:r>
      <w:r>
        <w:rPr>
          <w:rFonts w:hint="eastAsia"/>
          <w:lang w:val="zh-CN" w:eastAsia="zh-CN"/>
        </w:rPr>
        <w:t>）</w:t>
      </w:r>
      <w:r>
        <w:rPr>
          <w:lang w:val="zh-CN" w:eastAsia="zh-CN"/>
        </w:rPr>
        <w:t>和独立管理顾问委员会</w:t>
      </w:r>
      <w:r>
        <w:rPr>
          <w:rFonts w:hint="eastAsia"/>
          <w:lang w:val="zh-CN" w:eastAsia="zh-CN"/>
        </w:rPr>
        <w:t>（</w:t>
      </w:r>
      <w:r>
        <w:rPr>
          <w:rFonts w:hint="eastAsia"/>
          <w:lang w:val="zh-CN" w:eastAsia="zh-CN"/>
        </w:rPr>
        <w:t>IMAC</w:t>
      </w:r>
      <w:r>
        <w:rPr>
          <w:rFonts w:hint="eastAsia"/>
          <w:lang w:val="zh-CN" w:eastAsia="zh-CN"/>
        </w:rPr>
        <w:t>）</w:t>
      </w:r>
      <w:r>
        <w:rPr>
          <w:lang w:val="zh-CN" w:eastAsia="zh-CN"/>
        </w:rPr>
        <w:t>建议</w:t>
      </w:r>
      <w:r w:rsidRPr="003C05AC">
        <w:rPr>
          <w:rFonts w:hint="eastAsia"/>
          <w:lang w:val="zh-CN" w:eastAsia="zh-CN"/>
        </w:rPr>
        <w:t>为每个组织设立专项财务储备金，由</w:t>
      </w:r>
      <w:r>
        <w:rPr>
          <w:rFonts w:hint="eastAsia"/>
          <w:lang w:val="zh-CN" w:eastAsia="zh-CN"/>
        </w:rPr>
        <w:t>新</w:t>
      </w:r>
      <w:r w:rsidRPr="003C05AC">
        <w:rPr>
          <w:rFonts w:hint="eastAsia"/>
          <w:lang w:val="zh-CN" w:eastAsia="zh-CN"/>
        </w:rPr>
        <w:t>聘</w:t>
      </w:r>
      <w:r>
        <w:rPr>
          <w:rFonts w:hint="eastAsia"/>
          <w:lang w:val="zh-CN" w:eastAsia="zh-CN"/>
        </w:rPr>
        <w:t>用职员</w:t>
      </w:r>
      <w:r w:rsidRPr="003C05AC">
        <w:rPr>
          <w:rFonts w:hint="eastAsia"/>
          <w:lang w:val="zh-CN" w:eastAsia="zh-CN"/>
        </w:rPr>
        <w:t>缴纳薪金的</w:t>
      </w:r>
      <w:r w:rsidRPr="003C05AC">
        <w:rPr>
          <w:rFonts w:hint="eastAsia"/>
          <w:lang w:val="zh-CN" w:eastAsia="zh-CN"/>
        </w:rPr>
        <w:t>5.35%</w:t>
      </w:r>
      <w:r w:rsidRPr="003C05AC">
        <w:rPr>
          <w:rFonts w:hint="eastAsia"/>
          <w:lang w:val="zh-CN" w:eastAsia="zh-CN"/>
        </w:rPr>
        <w:t>作为资金。</w:t>
      </w:r>
      <w:r>
        <w:rPr>
          <w:lang w:val="zh-CN" w:eastAsia="zh-CN"/>
        </w:rPr>
        <w:t>因此，秘书处通过提交</w:t>
      </w:r>
      <w:hyperlink w:anchor="Annex_A" w:history="1">
        <w:r w:rsidRPr="004428D8">
          <w:rPr>
            <w:rStyle w:val="Hyperlink"/>
            <w:rFonts w:eastAsia="SimSun"/>
            <w:noProof w:val="0"/>
            <w:u w:val="single"/>
            <w:lang w:val="zh-CN" w:eastAsia="zh-CN"/>
          </w:rPr>
          <w:t>附件</w:t>
        </w:r>
        <w:r w:rsidRPr="004428D8">
          <w:rPr>
            <w:rStyle w:val="Hyperlink"/>
            <w:rFonts w:eastAsia="SimSun"/>
            <w:noProof w:val="0"/>
            <w:u w:val="single"/>
            <w:lang w:val="zh-CN" w:eastAsia="zh-CN"/>
          </w:rPr>
          <w:t>A</w:t>
        </w:r>
      </w:hyperlink>
      <w:r>
        <w:rPr>
          <w:lang w:val="zh-CN" w:eastAsia="zh-CN"/>
        </w:rPr>
        <w:t>中的决定草案</w:t>
      </w:r>
      <w:r>
        <w:rPr>
          <w:rFonts w:hint="eastAsia"/>
          <w:lang w:val="zh-CN" w:eastAsia="zh-CN"/>
        </w:rPr>
        <w:t>请</w:t>
      </w:r>
      <w:r>
        <w:rPr>
          <w:lang w:val="zh-CN" w:eastAsia="zh-CN"/>
        </w:rPr>
        <w:t>理事会审议</w:t>
      </w:r>
      <w:r>
        <w:rPr>
          <w:rFonts w:hint="eastAsia"/>
          <w:lang w:val="zh-CN" w:eastAsia="zh-CN"/>
        </w:rPr>
        <w:t>并</w:t>
      </w:r>
      <w:r>
        <w:rPr>
          <w:lang w:val="zh-CN" w:eastAsia="zh-CN"/>
        </w:rPr>
        <w:t>批准，</w:t>
      </w:r>
      <w:r>
        <w:rPr>
          <w:rFonts w:hint="eastAsia"/>
          <w:lang w:val="zh-CN" w:eastAsia="zh-CN"/>
        </w:rPr>
        <w:t>针对自</w:t>
      </w:r>
      <w:r>
        <w:rPr>
          <w:lang w:val="zh-CN" w:eastAsia="zh-CN"/>
        </w:rPr>
        <w:t>2026</w:t>
      </w:r>
      <w:r>
        <w:rPr>
          <w:lang w:val="zh-CN" w:eastAsia="zh-CN"/>
        </w:rPr>
        <w:t>年</w:t>
      </w:r>
      <w:r>
        <w:rPr>
          <w:lang w:val="zh-CN" w:eastAsia="zh-CN"/>
        </w:rPr>
        <w:t>1</w:t>
      </w:r>
      <w:r>
        <w:rPr>
          <w:lang w:val="zh-CN" w:eastAsia="zh-CN"/>
        </w:rPr>
        <w:t>月</w:t>
      </w:r>
      <w:r>
        <w:rPr>
          <w:lang w:val="zh-CN" w:eastAsia="zh-CN"/>
        </w:rPr>
        <w:t>1</w:t>
      </w:r>
      <w:r>
        <w:rPr>
          <w:lang w:val="zh-CN" w:eastAsia="zh-CN"/>
        </w:rPr>
        <w:t>日起招聘的</w:t>
      </w:r>
      <w:r>
        <w:rPr>
          <w:rFonts w:hint="eastAsia"/>
          <w:lang w:val="zh-CN" w:eastAsia="zh-CN"/>
        </w:rPr>
        <w:t>职员</w:t>
      </w:r>
      <w:r>
        <w:rPr>
          <w:lang w:val="zh-CN" w:eastAsia="zh-CN"/>
        </w:rPr>
        <w:t>实施这一措施。</w:t>
      </w:r>
      <w:hyperlink r:id="rId11"/>
      <w:hyperlink r:id="rId12"/>
      <w:hyperlink w:anchor="Annex_A" w:history="1"/>
    </w:p>
    <w:p w14:paraId="57AC025E" w14:textId="77777777" w:rsidR="00871EE2" w:rsidRPr="00963990" w:rsidRDefault="00871EE2" w:rsidP="004428D8">
      <w:pPr>
        <w:pStyle w:val="Heading1"/>
        <w:rPr>
          <w:lang w:eastAsia="zh-CN"/>
        </w:rPr>
      </w:pPr>
      <w:r>
        <w:rPr>
          <w:lang w:val="zh-CN" w:eastAsia="zh-CN"/>
        </w:rPr>
        <w:t>5</w:t>
      </w:r>
      <w:r>
        <w:rPr>
          <w:lang w:val="zh-CN" w:eastAsia="zh-CN"/>
        </w:rPr>
        <w:tab/>
      </w:r>
      <w:r>
        <w:rPr>
          <w:lang w:val="zh-CN" w:eastAsia="zh-CN"/>
        </w:rPr>
        <w:t>结论</w:t>
      </w:r>
    </w:p>
    <w:p w14:paraId="7CE3B706" w14:textId="77777777" w:rsidR="00871EE2" w:rsidRPr="00963990" w:rsidRDefault="00871EE2" w:rsidP="005A03BC">
      <w:pPr>
        <w:jc w:val="both"/>
        <w:rPr>
          <w:lang w:eastAsia="zh-CN"/>
        </w:rPr>
      </w:pPr>
      <w:r>
        <w:rPr>
          <w:lang w:val="zh-CN" w:eastAsia="zh-CN"/>
        </w:rPr>
        <w:t>5.1</w:t>
      </w:r>
      <w:r>
        <w:rPr>
          <w:lang w:val="zh-CN" w:eastAsia="zh-CN"/>
        </w:rPr>
        <w:tab/>
      </w:r>
      <w:r>
        <w:rPr>
          <w:lang w:val="zh-CN" w:eastAsia="zh-CN"/>
        </w:rPr>
        <w:t>无论医疗计划如何，为</w:t>
      </w:r>
      <w:r>
        <w:rPr>
          <w:lang w:val="zh-CN" w:eastAsia="zh-CN"/>
        </w:rPr>
        <w:t>ASHI</w:t>
      </w:r>
      <w:r>
        <w:rPr>
          <w:lang w:val="zh-CN" w:eastAsia="zh-CN"/>
        </w:rPr>
        <w:t>承付款项筹资对许多联合国系统组织</w:t>
      </w:r>
      <w:r>
        <w:rPr>
          <w:rFonts w:hint="eastAsia"/>
          <w:lang w:val="zh-CN" w:eastAsia="zh-CN"/>
        </w:rPr>
        <w:t>而言</w:t>
      </w:r>
      <w:r>
        <w:rPr>
          <w:lang w:val="zh-CN" w:eastAsia="zh-CN"/>
        </w:rPr>
        <w:t>仍然是一个问题。</w:t>
      </w:r>
    </w:p>
    <w:p w14:paraId="46F14A14" w14:textId="77777777" w:rsidR="00871EE2" w:rsidRDefault="00871EE2" w:rsidP="005A03BC">
      <w:pPr>
        <w:jc w:val="both"/>
        <w:rPr>
          <w:szCs w:val="24"/>
          <w:lang w:eastAsia="zh-CN"/>
        </w:rPr>
      </w:pPr>
      <w:bookmarkStart w:id="8" w:name="_Hlk38447710"/>
      <w:r>
        <w:rPr>
          <w:lang w:val="zh-CN" w:eastAsia="zh-CN"/>
        </w:rPr>
        <w:t>5.2</w:t>
      </w:r>
      <w:r>
        <w:rPr>
          <w:lang w:val="zh-CN" w:eastAsia="zh-CN"/>
        </w:rPr>
        <w:tab/>
      </w:r>
      <w:r>
        <w:rPr>
          <w:lang w:val="zh-CN" w:eastAsia="zh-CN"/>
        </w:rPr>
        <w:t>鉴于</w:t>
      </w:r>
      <w:r>
        <w:rPr>
          <w:lang w:val="zh-CN" w:eastAsia="zh-CN"/>
        </w:rPr>
        <w:t>ASHI</w:t>
      </w:r>
      <w:r>
        <w:rPr>
          <w:lang w:val="zh-CN" w:eastAsia="zh-CN"/>
        </w:rPr>
        <w:t>承付款中资金</w:t>
      </w:r>
      <w:r>
        <w:rPr>
          <w:rFonts w:hint="eastAsia"/>
          <w:lang w:val="zh-CN" w:eastAsia="zh-CN"/>
        </w:rPr>
        <w:t>尚无着落</w:t>
      </w:r>
      <w:r>
        <w:rPr>
          <w:lang w:val="zh-CN" w:eastAsia="zh-CN"/>
        </w:rPr>
        <w:t>部分</w:t>
      </w:r>
      <w:r>
        <w:rPr>
          <w:rFonts w:hint="eastAsia"/>
          <w:lang w:val="zh-CN" w:eastAsia="zh-CN"/>
        </w:rPr>
        <w:t>的规模</w:t>
      </w:r>
      <w:r>
        <w:rPr>
          <w:lang w:val="zh-CN" w:eastAsia="zh-CN"/>
        </w:rPr>
        <w:t>，将继续密切监督负债的变化情况。</w:t>
      </w:r>
    </w:p>
    <w:p w14:paraId="31B3C67F" w14:textId="23408D41" w:rsidR="004428D8" w:rsidRPr="00B4507A" w:rsidRDefault="00871EE2" w:rsidP="00871EE2">
      <w:pPr>
        <w:spacing w:before="1080"/>
        <w:rPr>
          <w:rFonts w:asciiTheme="minorHAnsi" w:eastAsiaTheme="minorEastAsia" w:hAnsiTheme="minorHAnsi" w:cstheme="minorHAnsi"/>
          <w:lang w:val="zh-CN" w:eastAsia="zh-CN"/>
        </w:rPr>
      </w:pPr>
      <w:r w:rsidRPr="005A4D8D">
        <w:rPr>
          <w:rFonts w:ascii="STKaiti" w:eastAsia="STKaiti" w:hAnsi="STKaiti" w:cstheme="minorHAnsi"/>
          <w:b/>
          <w:bCs/>
          <w:lang w:val="zh-CN" w:eastAsia="zh-CN"/>
        </w:rPr>
        <w:t>附件</w:t>
      </w:r>
      <w:r w:rsidRPr="00B4507A">
        <w:rPr>
          <w:rFonts w:asciiTheme="minorHAnsi" w:eastAsiaTheme="minorEastAsia" w:hAnsiTheme="minorHAnsi" w:cstheme="minorHAnsi"/>
          <w:lang w:val="zh-CN" w:eastAsia="zh-CN"/>
        </w:rPr>
        <w:t>：</w:t>
      </w:r>
      <w:r w:rsidRPr="00B4507A">
        <w:rPr>
          <w:rFonts w:asciiTheme="minorHAnsi" w:eastAsiaTheme="minorEastAsia" w:hAnsiTheme="minorHAnsi" w:cstheme="minorHAnsi"/>
          <w:lang w:val="zh-CN" w:eastAsia="zh-CN"/>
        </w:rPr>
        <w:t>1</w:t>
      </w:r>
      <w:bookmarkEnd w:id="8"/>
      <w:r w:rsidRPr="005A4D8D">
        <w:rPr>
          <w:rFonts w:ascii="STKaiti" w:eastAsia="STKaiti" w:hAnsi="STKaiti" w:cstheme="minorHAnsi"/>
          <w:lang w:val="zh-CN" w:eastAsia="zh-CN"/>
        </w:rPr>
        <w:t>件</w:t>
      </w:r>
      <w:r w:rsidR="004428D8" w:rsidRPr="00B4507A">
        <w:rPr>
          <w:rFonts w:asciiTheme="minorHAnsi" w:eastAsiaTheme="minorEastAsia" w:hAnsiTheme="minorHAnsi" w:cstheme="minorHAnsi"/>
          <w:lang w:val="zh-CN" w:eastAsia="zh-CN"/>
        </w:rPr>
        <w:br w:type="page"/>
      </w:r>
    </w:p>
    <w:p w14:paraId="58D2B8D2" w14:textId="77777777" w:rsidR="00871EE2" w:rsidRPr="004428D8" w:rsidRDefault="00871EE2" w:rsidP="004428D8">
      <w:pPr>
        <w:pStyle w:val="AnnexNo"/>
        <w:rPr>
          <w:lang w:eastAsia="zh-CN"/>
        </w:rPr>
      </w:pPr>
      <w:bookmarkStart w:id="9" w:name="Annex_A"/>
      <w:r w:rsidRPr="004428D8">
        <w:rPr>
          <w:lang w:eastAsia="zh-CN"/>
        </w:rPr>
        <w:lastRenderedPageBreak/>
        <w:t>附件</w:t>
      </w:r>
      <w:r w:rsidRPr="004428D8">
        <w:rPr>
          <w:lang w:eastAsia="zh-CN"/>
        </w:rPr>
        <w:t>A</w:t>
      </w:r>
      <w:bookmarkEnd w:id="9"/>
    </w:p>
    <w:p w14:paraId="27094375" w14:textId="563AA73E" w:rsidR="00871EE2" w:rsidRPr="00CD312E" w:rsidRDefault="00871EE2" w:rsidP="005A03BC">
      <w:pPr>
        <w:pStyle w:val="DecNo"/>
      </w:pPr>
      <w:r w:rsidRPr="00CD312E">
        <w:rPr>
          <w:rFonts w:hint="eastAsia"/>
        </w:rPr>
        <w:t>第</w:t>
      </w:r>
      <w:r w:rsidRPr="00CD312E">
        <w:t>[…]</w:t>
      </w:r>
      <w:r w:rsidRPr="00CD312E">
        <w:rPr>
          <w:rFonts w:hint="eastAsia"/>
        </w:rPr>
        <w:t>号</w:t>
      </w:r>
      <w:r w:rsidRPr="00CD312E">
        <w:t>决定草案</w:t>
      </w:r>
    </w:p>
    <w:p w14:paraId="296D99F3" w14:textId="77777777" w:rsidR="00871EE2" w:rsidRPr="004428D8" w:rsidRDefault="00871EE2" w:rsidP="005A03BC">
      <w:pPr>
        <w:pStyle w:val="Dectitle"/>
      </w:pPr>
      <w:bookmarkStart w:id="10" w:name="OLE_LINK9"/>
      <w:bookmarkStart w:id="11" w:name="OLE_LINK10"/>
      <w:r w:rsidRPr="004428D8">
        <w:t>离职后健康保险（</w:t>
      </w:r>
      <w:r w:rsidRPr="004428D8">
        <w:t>ASHI</w:t>
      </w:r>
      <w:r w:rsidRPr="004428D8">
        <w:t>）负债</w:t>
      </w:r>
    </w:p>
    <w:bookmarkEnd w:id="10"/>
    <w:bookmarkEnd w:id="11"/>
    <w:p w14:paraId="6CB7CCD3" w14:textId="77777777" w:rsidR="00871EE2" w:rsidRPr="00963990" w:rsidRDefault="00871EE2" w:rsidP="00871EE2">
      <w:pPr>
        <w:pStyle w:val="Normalaftertitle"/>
        <w:rPr>
          <w:lang w:eastAsia="zh-CN"/>
        </w:rPr>
      </w:pPr>
      <w:r>
        <w:rPr>
          <w:lang w:val="zh-CN" w:eastAsia="zh-CN"/>
        </w:rPr>
        <w:t>国际电联理事会，</w:t>
      </w:r>
    </w:p>
    <w:p w14:paraId="6239BAC7" w14:textId="77777777" w:rsidR="00871EE2" w:rsidRPr="00EC4566" w:rsidRDefault="00871EE2" w:rsidP="00871EE2">
      <w:pPr>
        <w:pStyle w:val="Call"/>
        <w:rPr>
          <w:rFonts w:eastAsia="STKaiti"/>
          <w:i/>
          <w:lang w:eastAsia="zh-CN"/>
        </w:rPr>
      </w:pPr>
      <w:r w:rsidRPr="00EC4566">
        <w:rPr>
          <w:rFonts w:eastAsia="STKaiti"/>
          <w:lang w:val="zh-CN" w:eastAsia="zh-CN"/>
        </w:rPr>
        <w:t>经审查</w:t>
      </w:r>
    </w:p>
    <w:p w14:paraId="5BBF5582" w14:textId="7D2CFF09" w:rsidR="00871EE2" w:rsidRPr="00963990" w:rsidRDefault="00871EE2" w:rsidP="00873125">
      <w:pPr>
        <w:ind w:firstLineChars="200" w:firstLine="480"/>
        <w:rPr>
          <w:lang w:eastAsia="zh-CN"/>
        </w:rPr>
      </w:pPr>
      <w:hyperlink r:id="rId13" w:history="1">
        <w:r w:rsidRPr="00873125">
          <w:rPr>
            <w:rStyle w:val="Hyperlink"/>
            <w:rFonts w:eastAsia="SimSun"/>
            <w:noProof w:val="0"/>
            <w:u w:val="single"/>
            <w:lang w:val="zh-CN" w:eastAsia="zh-CN"/>
          </w:rPr>
          <w:t>C26/46</w:t>
        </w:r>
      </w:hyperlink>
      <w:r>
        <w:rPr>
          <w:lang w:val="zh-CN" w:eastAsia="zh-CN"/>
        </w:rPr>
        <w:t>号文件，</w:t>
      </w:r>
      <w:hyperlink r:id="rId14" w:history="1"/>
    </w:p>
    <w:p w14:paraId="564047AC" w14:textId="77777777" w:rsidR="00871EE2" w:rsidRPr="00963990" w:rsidRDefault="00871EE2" w:rsidP="00871EE2">
      <w:pPr>
        <w:pStyle w:val="Call"/>
        <w:rPr>
          <w:lang w:eastAsia="zh-CN"/>
        </w:rPr>
      </w:pPr>
      <w:r w:rsidRPr="00EC4566">
        <w:rPr>
          <w:rFonts w:eastAsia="STKaiti"/>
          <w:lang w:val="zh-CN" w:eastAsia="zh-CN"/>
        </w:rPr>
        <w:t>考虑</w:t>
      </w:r>
      <w:r>
        <w:rPr>
          <w:rFonts w:eastAsia="STKaiti" w:hint="eastAsia"/>
          <w:lang w:val="zh-CN" w:eastAsia="zh-CN"/>
        </w:rPr>
        <w:t>到</w:t>
      </w:r>
    </w:p>
    <w:p w14:paraId="7B0A7D74" w14:textId="77777777" w:rsidR="00871EE2" w:rsidRPr="00963990" w:rsidRDefault="00871EE2" w:rsidP="00873125">
      <w:pPr>
        <w:ind w:firstLineChars="200" w:firstLine="480"/>
        <w:rPr>
          <w:rFonts w:asciiTheme="minorHAnsi" w:hAnsiTheme="minorHAnsi"/>
          <w:szCs w:val="24"/>
          <w:lang w:eastAsia="zh-CN"/>
        </w:rPr>
      </w:pPr>
      <w:r>
        <w:rPr>
          <w:lang w:val="zh-CN" w:eastAsia="zh-CN"/>
        </w:rPr>
        <w:t>全权代表大会第</w:t>
      </w:r>
      <w:r>
        <w:rPr>
          <w:lang w:val="zh-CN" w:eastAsia="zh-CN"/>
        </w:rPr>
        <w:t>5</w:t>
      </w:r>
      <w:r>
        <w:rPr>
          <w:lang w:val="zh-CN" w:eastAsia="zh-CN"/>
        </w:rPr>
        <w:t>号决定（</w:t>
      </w:r>
      <w:r>
        <w:rPr>
          <w:lang w:val="zh-CN" w:eastAsia="zh-CN"/>
        </w:rPr>
        <w:t>2022</w:t>
      </w:r>
      <w:r>
        <w:rPr>
          <w:lang w:val="zh-CN" w:eastAsia="zh-CN"/>
        </w:rPr>
        <w:t>年，布加勒斯特，修订版）是在仔细审议了（根据联合国大会第</w:t>
      </w:r>
      <w:r>
        <w:rPr>
          <w:lang w:val="zh-CN" w:eastAsia="zh-CN"/>
        </w:rPr>
        <w:t>A/RES/68/244</w:t>
      </w:r>
      <w:r>
        <w:rPr>
          <w:lang w:val="zh-CN" w:eastAsia="zh-CN"/>
        </w:rPr>
        <w:t>号决议设立的）联合国离职后健康保险（</w:t>
      </w:r>
      <w:r>
        <w:rPr>
          <w:lang w:val="zh-CN" w:eastAsia="zh-CN"/>
        </w:rPr>
        <w:t>ASHI</w:t>
      </w:r>
      <w:r>
        <w:rPr>
          <w:lang w:val="zh-CN" w:eastAsia="zh-CN"/>
        </w:rPr>
        <w:t>）工作组提出的建议以及联检组（</w:t>
      </w:r>
      <w:r>
        <w:rPr>
          <w:lang w:val="zh-CN" w:eastAsia="zh-CN"/>
        </w:rPr>
        <w:t>JIU</w:t>
      </w:r>
      <w:r>
        <w:rPr>
          <w:lang w:val="zh-CN" w:eastAsia="zh-CN"/>
        </w:rPr>
        <w:t>）和独立管理顾问委员会（</w:t>
      </w:r>
      <w:r>
        <w:rPr>
          <w:lang w:val="zh-CN" w:eastAsia="zh-CN"/>
        </w:rPr>
        <w:t>IMAC</w:t>
      </w:r>
      <w:r>
        <w:rPr>
          <w:lang w:val="zh-CN" w:eastAsia="zh-CN"/>
        </w:rPr>
        <w:t>）的建议之后做出的，</w:t>
      </w:r>
    </w:p>
    <w:p w14:paraId="5C7BC187" w14:textId="77777777" w:rsidR="00871EE2" w:rsidRPr="00963990" w:rsidRDefault="00871EE2" w:rsidP="00871EE2">
      <w:pPr>
        <w:pStyle w:val="Call"/>
        <w:rPr>
          <w:lang w:eastAsia="zh-CN"/>
        </w:rPr>
      </w:pPr>
      <w:r>
        <w:rPr>
          <w:rFonts w:eastAsia="STKaiti" w:hint="eastAsia"/>
          <w:lang w:val="zh-CN" w:eastAsia="zh-CN"/>
        </w:rPr>
        <w:t>顾及</w:t>
      </w:r>
    </w:p>
    <w:p w14:paraId="12BC3196" w14:textId="556F4C0E" w:rsidR="00871EE2" w:rsidRPr="002D3268" w:rsidRDefault="00871EE2" w:rsidP="00873125">
      <w:pPr>
        <w:ind w:firstLineChars="200" w:firstLine="480"/>
        <w:rPr>
          <w:lang w:eastAsia="zh-CN"/>
        </w:rPr>
      </w:pPr>
      <w:hyperlink r:id="rId15" w:history="1">
        <w:r w:rsidRPr="00873125">
          <w:rPr>
            <w:rStyle w:val="Hyperlink"/>
            <w:rFonts w:eastAsia="SimSun"/>
            <w:noProof w:val="0"/>
            <w:u w:val="single"/>
            <w:lang w:val="zh-CN" w:eastAsia="zh-CN"/>
          </w:rPr>
          <w:t>《财务规则》</w:t>
        </w:r>
      </w:hyperlink>
      <w:r>
        <w:rPr>
          <w:lang w:val="zh-CN" w:eastAsia="zh-CN"/>
        </w:rPr>
        <w:t>第</w:t>
      </w:r>
      <w:r>
        <w:rPr>
          <w:lang w:val="zh-CN" w:eastAsia="zh-CN"/>
        </w:rPr>
        <w:t>25</w:t>
      </w:r>
      <w:r>
        <w:rPr>
          <w:lang w:val="zh-CN" w:eastAsia="zh-CN"/>
        </w:rPr>
        <w:t>条，</w:t>
      </w:r>
      <w:hyperlink r:id="rId16" w:history="1"/>
    </w:p>
    <w:p w14:paraId="58C6FD4A" w14:textId="77777777" w:rsidR="00871EE2" w:rsidRPr="00963990" w:rsidRDefault="00871EE2" w:rsidP="00871EE2">
      <w:pPr>
        <w:pStyle w:val="Call"/>
        <w:rPr>
          <w:lang w:eastAsia="zh-CN"/>
        </w:rPr>
      </w:pPr>
      <w:r w:rsidRPr="00EC4566">
        <w:rPr>
          <w:rFonts w:eastAsia="STKaiti"/>
          <w:lang w:val="zh-CN" w:eastAsia="zh-CN"/>
        </w:rPr>
        <w:t>决定</w:t>
      </w:r>
    </w:p>
    <w:p w14:paraId="64EFE9C1" w14:textId="77777777" w:rsidR="00871EE2" w:rsidRPr="00963990" w:rsidRDefault="00871EE2" w:rsidP="00873125">
      <w:pPr>
        <w:ind w:firstLineChars="200" w:firstLine="480"/>
        <w:rPr>
          <w:rFonts w:asciiTheme="minorHAnsi" w:hAnsiTheme="minorHAnsi"/>
          <w:lang w:eastAsia="zh-CN"/>
        </w:rPr>
      </w:pPr>
      <w:r w:rsidRPr="00F54034">
        <w:rPr>
          <w:rFonts w:hint="eastAsia"/>
          <w:lang w:val="zh-CN" w:eastAsia="zh-CN"/>
        </w:rPr>
        <w:t>根据既定实施安排，自</w:t>
      </w:r>
      <w:r w:rsidRPr="00F54034">
        <w:rPr>
          <w:rFonts w:hint="eastAsia"/>
          <w:lang w:val="zh-CN" w:eastAsia="zh-CN"/>
        </w:rPr>
        <w:t>2026</w:t>
      </w:r>
      <w:r w:rsidRPr="00F54034">
        <w:rPr>
          <w:rFonts w:hint="eastAsia"/>
          <w:lang w:val="zh-CN" w:eastAsia="zh-CN"/>
        </w:rPr>
        <w:t>年</w:t>
      </w:r>
      <w:r w:rsidRPr="00F54034">
        <w:rPr>
          <w:rFonts w:hint="eastAsia"/>
          <w:lang w:val="zh-CN" w:eastAsia="zh-CN"/>
        </w:rPr>
        <w:t>1</w:t>
      </w:r>
      <w:r w:rsidRPr="00F54034">
        <w:rPr>
          <w:rFonts w:hint="eastAsia"/>
          <w:lang w:val="zh-CN" w:eastAsia="zh-CN"/>
        </w:rPr>
        <w:t>月</w:t>
      </w:r>
      <w:r w:rsidRPr="00F54034">
        <w:rPr>
          <w:rFonts w:hint="eastAsia"/>
          <w:lang w:val="zh-CN" w:eastAsia="zh-CN"/>
        </w:rPr>
        <w:t>1</w:t>
      </w:r>
      <w:r w:rsidRPr="00F54034">
        <w:rPr>
          <w:rFonts w:hint="eastAsia"/>
          <w:lang w:val="zh-CN" w:eastAsia="zh-CN"/>
        </w:rPr>
        <w:t>日起，新招聘</w:t>
      </w:r>
      <w:r>
        <w:rPr>
          <w:rFonts w:hint="eastAsia"/>
          <w:lang w:val="zh-CN" w:eastAsia="zh-CN"/>
        </w:rPr>
        <w:t>职员</w:t>
      </w:r>
      <w:r w:rsidRPr="00F54034">
        <w:rPr>
          <w:rFonts w:hint="eastAsia"/>
          <w:lang w:val="zh-CN" w:eastAsia="zh-CN"/>
        </w:rPr>
        <w:t>基础薪资的</w:t>
      </w:r>
      <w:r w:rsidRPr="00F54034">
        <w:rPr>
          <w:rFonts w:hint="eastAsia"/>
          <w:lang w:val="zh-CN" w:eastAsia="zh-CN"/>
        </w:rPr>
        <w:t>5.35%</w:t>
      </w:r>
      <w:r w:rsidRPr="00F54034">
        <w:rPr>
          <w:rFonts w:hint="eastAsia"/>
          <w:lang w:val="zh-CN" w:eastAsia="zh-CN"/>
        </w:rPr>
        <w:t>将作为额外融资措施</w:t>
      </w:r>
      <w:r>
        <w:rPr>
          <w:rFonts w:hint="eastAsia"/>
          <w:lang w:val="zh-CN" w:eastAsia="zh-CN"/>
        </w:rPr>
        <w:t>纳</w:t>
      </w:r>
      <w:r w:rsidRPr="00F54034">
        <w:rPr>
          <w:rFonts w:hint="eastAsia"/>
          <w:lang w:val="zh-CN" w:eastAsia="zh-CN"/>
        </w:rPr>
        <w:t>入后续预算</w:t>
      </w:r>
      <w:r>
        <w:rPr>
          <w:rFonts w:hint="eastAsia"/>
          <w:lang w:val="zh-CN" w:eastAsia="zh-CN"/>
        </w:rPr>
        <w:t>，</w:t>
      </w:r>
    </w:p>
    <w:p w14:paraId="62E78434" w14:textId="77777777" w:rsidR="00871EE2" w:rsidRPr="00963990" w:rsidRDefault="00871EE2" w:rsidP="00871EE2">
      <w:pPr>
        <w:pStyle w:val="Call"/>
        <w:rPr>
          <w:lang w:eastAsia="zh-CN"/>
        </w:rPr>
      </w:pPr>
      <w:r w:rsidRPr="00EC4566">
        <w:rPr>
          <w:rFonts w:eastAsia="STKaiti"/>
          <w:lang w:val="zh-CN" w:eastAsia="zh-CN"/>
        </w:rPr>
        <w:t>责成秘书长</w:t>
      </w:r>
    </w:p>
    <w:p w14:paraId="66C798BA" w14:textId="77777777" w:rsidR="00871EE2" w:rsidRPr="00963990" w:rsidRDefault="00871EE2" w:rsidP="00873125">
      <w:pPr>
        <w:ind w:firstLineChars="200" w:firstLine="480"/>
        <w:rPr>
          <w:color w:val="000000"/>
          <w:lang w:eastAsia="zh-CN"/>
        </w:rPr>
      </w:pPr>
      <w:r>
        <w:rPr>
          <w:lang w:val="zh-CN" w:eastAsia="zh-CN"/>
        </w:rPr>
        <w:t>继续每年向理事会报告</w:t>
      </w:r>
      <w:r>
        <w:rPr>
          <w:lang w:val="zh-CN" w:eastAsia="zh-CN"/>
        </w:rPr>
        <w:t>ASHI</w:t>
      </w:r>
      <w:r>
        <w:rPr>
          <w:lang w:val="zh-CN" w:eastAsia="zh-CN"/>
        </w:rPr>
        <w:t>基金的补充情况。</w:t>
      </w:r>
    </w:p>
    <w:p w14:paraId="123B0F9C" w14:textId="77777777" w:rsidR="00871EE2" w:rsidRPr="00963990" w:rsidRDefault="00871EE2" w:rsidP="00871EE2">
      <w:pPr>
        <w:rPr>
          <w:lang w:eastAsia="zh-CN"/>
        </w:rPr>
      </w:pPr>
    </w:p>
    <w:p w14:paraId="5833FDF4" w14:textId="1609B895" w:rsidR="00E323D0" w:rsidRPr="00E323D0" w:rsidRDefault="00871EE2" w:rsidP="00873125">
      <w:pPr>
        <w:spacing w:before="480"/>
        <w:jc w:val="center"/>
      </w:pPr>
      <w:r>
        <w:rPr>
          <w:lang w:val="zh-CN"/>
        </w:rPr>
        <w:t>______________</w:t>
      </w:r>
    </w:p>
    <w:sectPr w:rsidR="00E323D0" w:rsidRPr="00E323D0" w:rsidSect="00E24D59">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E2137" w14:textId="77777777" w:rsidR="00AA5D9C" w:rsidRDefault="00AA5D9C">
      <w:r>
        <w:separator/>
      </w:r>
    </w:p>
  </w:endnote>
  <w:endnote w:type="continuationSeparator" w:id="0">
    <w:p w14:paraId="366CD68E" w14:textId="77777777" w:rsidR="00AA5D9C" w:rsidRDefault="00AA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AA4D69B" w14:textId="77777777" w:rsidTr="00E31DCE">
      <w:trPr>
        <w:jc w:val="center"/>
      </w:trPr>
      <w:tc>
        <w:tcPr>
          <w:tcW w:w="1803" w:type="dxa"/>
          <w:vAlign w:val="center"/>
        </w:tcPr>
        <w:p w14:paraId="365B6E30" w14:textId="3BB9166C"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462FCC">
            <w:rPr>
              <w:noProof/>
              <w:color w:val="808080" w:themeColor="background1" w:themeShade="80"/>
            </w:rPr>
            <w:t xml:space="preserve"> 2600697</w:t>
          </w:r>
        </w:p>
      </w:tc>
      <w:tc>
        <w:tcPr>
          <w:tcW w:w="8261" w:type="dxa"/>
        </w:tcPr>
        <w:p w14:paraId="6C9EFEE0" w14:textId="2B06FDFB"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462FCC">
            <w:rPr>
              <w:bCs/>
              <w:color w:val="808080" w:themeColor="background1" w:themeShade="80"/>
            </w:rPr>
            <w:t>46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0C9BC46"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C5A40DB" w14:textId="77777777" w:rsidTr="00E31DCE">
      <w:trPr>
        <w:jc w:val="center"/>
      </w:trPr>
      <w:tc>
        <w:tcPr>
          <w:tcW w:w="1803" w:type="dxa"/>
          <w:vAlign w:val="center"/>
        </w:tcPr>
        <w:p w14:paraId="60F081F9"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5B71982" w14:textId="6640A41A"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462FCC">
            <w:rPr>
              <w:bCs/>
              <w:color w:val="808080" w:themeColor="background1" w:themeShade="80"/>
            </w:rPr>
            <w:t>46</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D76E6FB"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6E4D" w14:textId="77777777" w:rsidR="00AA5D9C" w:rsidRDefault="00AA5D9C">
      <w:r>
        <w:t>____________________</w:t>
      </w:r>
    </w:p>
  </w:footnote>
  <w:footnote w:type="continuationSeparator" w:id="0">
    <w:p w14:paraId="1826FC4F" w14:textId="77777777" w:rsidR="00AA5D9C" w:rsidRDefault="00AA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D2A3" w14:textId="77777777" w:rsidR="00E24D59" w:rsidRPr="00602842" w:rsidRDefault="00602842" w:rsidP="00602842">
    <w:pPr>
      <w:pStyle w:val="Header"/>
    </w:pPr>
    <w:r>
      <w:rPr>
        <w:noProof/>
      </w:rPr>
      <w:drawing>
        <wp:inline distT="0" distB="0" distL="0" distR="0" wp14:anchorId="0BE308A2" wp14:editId="1FCEE434">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0E39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D8C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F67D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5427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9071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7C6A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588E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8D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42BC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BE5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9"/>
  </w:num>
  <w:num w:numId="2" w16cid:durableId="501241818">
    <w:abstractNumId w:val="11"/>
  </w:num>
  <w:num w:numId="3" w16cid:durableId="371539808">
    <w:abstractNumId w:val="12"/>
  </w:num>
  <w:num w:numId="4" w16cid:durableId="1525828948">
    <w:abstractNumId w:val="13"/>
  </w:num>
  <w:num w:numId="5" w16cid:durableId="2033219779">
    <w:abstractNumId w:val="15"/>
  </w:num>
  <w:num w:numId="6" w16cid:durableId="349645790">
    <w:abstractNumId w:val="14"/>
  </w:num>
  <w:num w:numId="7" w16cid:durableId="1451586466">
    <w:abstractNumId w:val="10"/>
  </w:num>
  <w:num w:numId="8" w16cid:durableId="2060590073">
    <w:abstractNumId w:val="7"/>
  </w:num>
  <w:num w:numId="9" w16cid:durableId="147139815">
    <w:abstractNumId w:val="6"/>
  </w:num>
  <w:num w:numId="10" w16cid:durableId="877929891">
    <w:abstractNumId w:val="5"/>
  </w:num>
  <w:num w:numId="11" w16cid:durableId="613369115">
    <w:abstractNumId w:val="4"/>
  </w:num>
  <w:num w:numId="12" w16cid:durableId="101919633">
    <w:abstractNumId w:val="8"/>
  </w:num>
  <w:num w:numId="13" w16cid:durableId="1312752984">
    <w:abstractNumId w:val="3"/>
  </w:num>
  <w:num w:numId="14" w16cid:durableId="380441161">
    <w:abstractNumId w:val="2"/>
  </w:num>
  <w:num w:numId="15" w16cid:durableId="279603713">
    <w:abstractNumId w:val="1"/>
  </w:num>
  <w:num w:numId="16" w16cid:durableId="559100231">
    <w:abstractNumId w:val="0"/>
  </w:num>
  <w:num w:numId="17" w16cid:durableId="1986272594">
    <w:abstractNumId w:val="8"/>
  </w:num>
  <w:num w:numId="18" w16cid:durableId="431585200">
    <w:abstractNumId w:val="3"/>
  </w:num>
  <w:num w:numId="19" w16cid:durableId="839007414">
    <w:abstractNumId w:val="2"/>
  </w:num>
  <w:num w:numId="20" w16cid:durableId="599681667">
    <w:abstractNumId w:val="1"/>
  </w:num>
  <w:num w:numId="21" w16cid:durableId="151345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9C"/>
    <w:rsid w:val="00001B77"/>
    <w:rsid w:val="0000517A"/>
    <w:rsid w:val="0000538F"/>
    <w:rsid w:val="00031E72"/>
    <w:rsid w:val="000404D2"/>
    <w:rsid w:val="000646BD"/>
    <w:rsid w:val="00073C0B"/>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428D8"/>
    <w:rsid w:val="00462FCC"/>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759CC"/>
    <w:rsid w:val="00576C08"/>
    <w:rsid w:val="005A03BC"/>
    <w:rsid w:val="005A4D8D"/>
    <w:rsid w:val="005A72E1"/>
    <w:rsid w:val="005C6632"/>
    <w:rsid w:val="005D0496"/>
    <w:rsid w:val="005D1C9E"/>
    <w:rsid w:val="005E627B"/>
    <w:rsid w:val="00602842"/>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1EE2"/>
    <w:rsid w:val="00873125"/>
    <w:rsid w:val="00874C82"/>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A5D9C"/>
    <w:rsid w:val="00AB42C1"/>
    <w:rsid w:val="00AC516F"/>
    <w:rsid w:val="00AE195F"/>
    <w:rsid w:val="00AE2926"/>
    <w:rsid w:val="00B0184B"/>
    <w:rsid w:val="00B035CD"/>
    <w:rsid w:val="00B0769D"/>
    <w:rsid w:val="00B10A09"/>
    <w:rsid w:val="00B217F8"/>
    <w:rsid w:val="00B326AA"/>
    <w:rsid w:val="00B332EA"/>
    <w:rsid w:val="00B40A53"/>
    <w:rsid w:val="00B4507A"/>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C35EB"/>
    <w:rsid w:val="00CD312E"/>
    <w:rsid w:val="00CD47F0"/>
    <w:rsid w:val="00CD5566"/>
    <w:rsid w:val="00CD64D7"/>
    <w:rsid w:val="00CE6F22"/>
    <w:rsid w:val="00CF41F6"/>
    <w:rsid w:val="00CF7D3E"/>
    <w:rsid w:val="00D02B4E"/>
    <w:rsid w:val="00D21F11"/>
    <w:rsid w:val="00D36817"/>
    <w:rsid w:val="00D453EE"/>
    <w:rsid w:val="00D5666C"/>
    <w:rsid w:val="00D666BC"/>
    <w:rsid w:val="00D70228"/>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02C6"/>
    <w:rsid w:val="00E067C5"/>
    <w:rsid w:val="00E24D59"/>
    <w:rsid w:val="00E265BF"/>
    <w:rsid w:val="00E323D0"/>
    <w:rsid w:val="00E34C96"/>
    <w:rsid w:val="00E378D8"/>
    <w:rsid w:val="00E43A12"/>
    <w:rsid w:val="00E67C67"/>
    <w:rsid w:val="00E77476"/>
    <w:rsid w:val="00E8228B"/>
    <w:rsid w:val="00ED02CD"/>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89C18"/>
  <w15:docId w15:val="{03C76BBC-D0F4-49D9-A646-A4D56B93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styleId="CommentReference">
    <w:name w:val="annotation reference"/>
    <w:basedOn w:val="DefaultParagraphFont"/>
    <w:semiHidden/>
    <w:unhideWhenUsed/>
    <w:rsid w:val="004428D8"/>
    <w:rPr>
      <w:sz w:val="16"/>
      <w:szCs w:val="16"/>
    </w:rPr>
  </w:style>
  <w:style w:type="paragraph" w:styleId="CommentText">
    <w:name w:val="annotation text"/>
    <w:basedOn w:val="Normal"/>
    <w:link w:val="CommentTextChar"/>
    <w:semiHidden/>
    <w:unhideWhenUsed/>
    <w:rsid w:val="004428D8"/>
    <w:rPr>
      <w:sz w:val="20"/>
    </w:rPr>
  </w:style>
  <w:style w:type="character" w:customStyle="1" w:styleId="CommentTextChar">
    <w:name w:val="Comment Text Char"/>
    <w:basedOn w:val="DefaultParagraphFont"/>
    <w:link w:val="CommentText"/>
    <w:semiHidden/>
    <w:rsid w:val="004428D8"/>
    <w:rPr>
      <w:rFonts w:ascii="Calibri" w:hAnsi="Calibri"/>
      <w:lang w:val="en-GB" w:eastAsia="en-US"/>
    </w:rPr>
  </w:style>
  <w:style w:type="paragraph" w:styleId="CommentSubject">
    <w:name w:val="annotation subject"/>
    <w:basedOn w:val="CommentText"/>
    <w:next w:val="CommentText"/>
    <w:link w:val="CommentSubjectChar"/>
    <w:semiHidden/>
    <w:unhideWhenUsed/>
    <w:rsid w:val="004428D8"/>
    <w:rPr>
      <w:b/>
      <w:bCs/>
    </w:rPr>
  </w:style>
  <w:style w:type="character" w:customStyle="1" w:styleId="CommentSubjectChar">
    <w:name w:val="Comment Subject Char"/>
    <w:basedOn w:val="CommentTextChar"/>
    <w:link w:val="CommentSubject"/>
    <w:semiHidden/>
    <w:rsid w:val="004428D8"/>
    <w:rPr>
      <w:rFonts w:ascii="Calibri" w:hAnsi="Calibri"/>
      <w:b/>
      <w:bCs/>
      <w:lang w:val="en-GB" w:eastAsia="en-US"/>
    </w:rPr>
  </w:style>
  <w:style w:type="paragraph" w:customStyle="1" w:styleId="Tablefin">
    <w:name w:val="Table_fin"/>
    <w:basedOn w:val="Tabletext"/>
    <w:rsid w:val="00D70228"/>
    <w:pPr>
      <w:spacing w:before="0" w:after="0"/>
    </w:pPr>
    <w:rPr>
      <w:lang w:val="es-ES" w:eastAsia="zh-CN"/>
    </w:rPr>
  </w:style>
  <w:style w:type="paragraph" w:customStyle="1" w:styleId="DecNo">
    <w:name w:val="Dec_No"/>
    <w:basedOn w:val="AnnexNo"/>
    <w:rsid w:val="005A03BC"/>
    <w:rPr>
      <w:lang w:eastAsia="zh-CN"/>
    </w:rPr>
  </w:style>
  <w:style w:type="paragraph" w:customStyle="1" w:styleId="Dectitle">
    <w:name w:val="Dec_title"/>
    <w:basedOn w:val="Annextitle"/>
    <w:rsid w:val="005A03B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S24-CL-C-0046/en" TargetMode="External"/><Relationship Id="rId13" Type="http://schemas.openxmlformats.org/officeDocument/2006/relationships/hyperlink" Target="https://www.itu.int/md/S25-CL-C-0042/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un.org/A/RES/68/24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en/council/Pages/Financial-Regulation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46/en" TargetMode="External"/><Relationship Id="rId5" Type="http://schemas.openxmlformats.org/officeDocument/2006/relationships/webSettings" Target="webSettings.xml"/><Relationship Id="rId15" Type="http://schemas.openxmlformats.org/officeDocument/2006/relationships/hyperlink" Target="https://www.itu.int/en/council/Pages/Financial-Regulations.aspx" TargetMode="External"/><Relationship Id="rId10" Type="http://schemas.openxmlformats.org/officeDocument/2006/relationships/hyperlink" Target="https://docs.un.org/A/RES/68/24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5-CL-C-0046/en" TargetMode="External"/><Relationship Id="rId14" Type="http://schemas.openxmlformats.org/officeDocument/2006/relationships/hyperlink" Target="https://www.itu.int/md/S25-CL-C-004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629</Words>
  <Characters>3401</Characters>
  <Application>Microsoft Office Word</Application>
  <DocSecurity>0</DocSecurity>
  <Lines>85</Lines>
  <Paragraphs>57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After-Service Health Insurance (ASHI) liability</dc:title>
  <dc:subject>ITU Council 2026</dc:subject>
  <cp:keywords>C26; C2026; Council 2026; PP26</cp:keywords>
  <dc:description/>
  <cp:lastPrinted>2015-02-24T13:23:00Z</cp:lastPrinted>
  <dcterms:created xsi:type="dcterms:W3CDTF">2026-04-02T12:39:00Z</dcterms:created>
  <dcterms:modified xsi:type="dcterms:W3CDTF">2026-04-02T12:39:00Z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