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10067A" w:rsidRPr="00BB6FD8" w14:paraId="5FC76F0E" w14:textId="77777777" w:rsidTr="00C4421B">
        <w:trPr>
          <w:cantSplit/>
          <w:trHeight w:val="23"/>
        </w:trPr>
        <w:tc>
          <w:tcPr>
            <w:tcW w:w="3969" w:type="dxa"/>
            <w:vMerge w:val="restart"/>
            <w:tcMar>
              <w:left w:w="0" w:type="dxa"/>
            </w:tcMar>
          </w:tcPr>
          <w:p w14:paraId="03090392" w14:textId="7AD3B848" w:rsidR="0010067A" w:rsidRPr="00BB6FD8" w:rsidRDefault="0010067A" w:rsidP="0010067A">
            <w:pPr>
              <w:tabs>
                <w:tab w:val="left" w:pos="851"/>
              </w:tabs>
              <w:spacing w:before="0" w:line="240" w:lineRule="atLeast"/>
              <w:rPr>
                <w:b/>
              </w:rPr>
            </w:pPr>
            <w:bookmarkStart w:id="0" w:name="_Hlk133421839"/>
            <w:r w:rsidRPr="00BB6FD8">
              <w:rPr>
                <w:b/>
              </w:rPr>
              <w:t xml:space="preserve">Orden del día: </w:t>
            </w:r>
            <w:r>
              <w:rPr>
                <w:b/>
                <w:bCs/>
                <w:color w:val="000000"/>
                <w:lang w:val="es-ES"/>
              </w:rPr>
              <w:t>ADM 1</w:t>
            </w:r>
          </w:p>
        </w:tc>
        <w:tc>
          <w:tcPr>
            <w:tcW w:w="5245" w:type="dxa"/>
          </w:tcPr>
          <w:p w14:paraId="0BDAB110" w14:textId="1AC874D4" w:rsidR="0010067A" w:rsidRPr="00BB6FD8" w:rsidRDefault="0010067A" w:rsidP="0010067A">
            <w:pPr>
              <w:tabs>
                <w:tab w:val="left" w:pos="851"/>
              </w:tabs>
              <w:spacing w:before="0" w:line="240" w:lineRule="atLeast"/>
              <w:jc w:val="right"/>
              <w:rPr>
                <w:b/>
              </w:rPr>
            </w:pPr>
            <w:r>
              <w:rPr>
                <w:b/>
                <w:bCs/>
                <w:color w:val="000000"/>
                <w:lang w:val="es-ES"/>
              </w:rPr>
              <w:t>Documento C26/43-S</w:t>
            </w:r>
          </w:p>
        </w:tc>
      </w:tr>
      <w:tr w:rsidR="0010067A" w:rsidRPr="00666D09" w14:paraId="7681CE03" w14:textId="77777777" w:rsidTr="00C4421B">
        <w:trPr>
          <w:cantSplit/>
        </w:trPr>
        <w:tc>
          <w:tcPr>
            <w:tcW w:w="3969" w:type="dxa"/>
            <w:vMerge/>
          </w:tcPr>
          <w:p w14:paraId="00FC5E6C" w14:textId="77777777" w:rsidR="0010067A" w:rsidRPr="00BB6FD8" w:rsidRDefault="0010067A" w:rsidP="0010067A">
            <w:pPr>
              <w:tabs>
                <w:tab w:val="left" w:pos="851"/>
              </w:tabs>
              <w:spacing w:line="240" w:lineRule="atLeast"/>
              <w:rPr>
                <w:b/>
              </w:rPr>
            </w:pPr>
          </w:p>
        </w:tc>
        <w:tc>
          <w:tcPr>
            <w:tcW w:w="5245" w:type="dxa"/>
          </w:tcPr>
          <w:p w14:paraId="6CBF0077" w14:textId="278B4383" w:rsidR="0010067A" w:rsidRPr="00666D09" w:rsidRDefault="0010067A" w:rsidP="0010067A">
            <w:pPr>
              <w:tabs>
                <w:tab w:val="left" w:pos="851"/>
              </w:tabs>
              <w:spacing w:before="0"/>
              <w:jc w:val="right"/>
              <w:rPr>
                <w:b/>
                <w:lang w:val="en-GB"/>
              </w:rPr>
            </w:pPr>
            <w:r>
              <w:rPr>
                <w:b/>
                <w:bCs/>
                <w:color w:val="000000"/>
                <w:lang w:val="es-ES"/>
              </w:rPr>
              <w:t>3 de marzo de 2026</w:t>
            </w:r>
          </w:p>
        </w:tc>
      </w:tr>
      <w:tr w:rsidR="0010067A" w:rsidRPr="00BB6FD8" w14:paraId="43CDADCD" w14:textId="77777777" w:rsidTr="00C4421B">
        <w:trPr>
          <w:cantSplit/>
          <w:trHeight w:val="23"/>
        </w:trPr>
        <w:tc>
          <w:tcPr>
            <w:tcW w:w="3969" w:type="dxa"/>
            <w:vMerge/>
          </w:tcPr>
          <w:p w14:paraId="6CC94D56" w14:textId="77777777" w:rsidR="0010067A" w:rsidRPr="00666D09" w:rsidRDefault="0010067A" w:rsidP="0010067A">
            <w:pPr>
              <w:tabs>
                <w:tab w:val="left" w:pos="851"/>
              </w:tabs>
              <w:spacing w:line="240" w:lineRule="atLeast"/>
              <w:rPr>
                <w:b/>
                <w:lang w:val="en-GB"/>
              </w:rPr>
            </w:pPr>
          </w:p>
        </w:tc>
        <w:tc>
          <w:tcPr>
            <w:tcW w:w="5245" w:type="dxa"/>
          </w:tcPr>
          <w:p w14:paraId="01A8CD03" w14:textId="20BE65DC" w:rsidR="0010067A" w:rsidRPr="00BB6FD8" w:rsidRDefault="0010067A" w:rsidP="0010067A">
            <w:pPr>
              <w:tabs>
                <w:tab w:val="left" w:pos="851"/>
              </w:tabs>
              <w:spacing w:before="0" w:line="240" w:lineRule="atLeast"/>
              <w:jc w:val="right"/>
              <w:rPr>
                <w:b/>
                <w:bCs/>
              </w:rPr>
            </w:pPr>
            <w:r>
              <w:rPr>
                <w:b/>
                <w:bCs/>
                <w:color w:val="000000"/>
                <w:lang w:val="es-ES"/>
              </w:rPr>
              <w:t>Original: inglés</w:t>
            </w:r>
          </w:p>
        </w:tc>
      </w:tr>
      <w:tr w:rsidR="00FE57F6" w:rsidRPr="00BB6FD8" w14:paraId="12B8F42D" w14:textId="77777777" w:rsidTr="00C4421B">
        <w:trPr>
          <w:cantSplit/>
          <w:trHeight w:val="23"/>
        </w:trPr>
        <w:tc>
          <w:tcPr>
            <w:tcW w:w="3969" w:type="dxa"/>
          </w:tcPr>
          <w:p w14:paraId="449176C7" w14:textId="77777777" w:rsidR="00FE57F6" w:rsidRPr="00BB6FD8" w:rsidRDefault="00FE57F6" w:rsidP="00C4421B">
            <w:pPr>
              <w:tabs>
                <w:tab w:val="left" w:pos="851"/>
              </w:tabs>
              <w:spacing w:line="240" w:lineRule="atLeast"/>
              <w:rPr>
                <w:b/>
              </w:rPr>
            </w:pPr>
          </w:p>
        </w:tc>
        <w:tc>
          <w:tcPr>
            <w:tcW w:w="5245" w:type="dxa"/>
          </w:tcPr>
          <w:p w14:paraId="1B86856A" w14:textId="77777777" w:rsidR="00FE57F6" w:rsidRPr="00BB6FD8" w:rsidRDefault="00FE57F6" w:rsidP="00C4421B">
            <w:pPr>
              <w:tabs>
                <w:tab w:val="left" w:pos="851"/>
              </w:tabs>
              <w:spacing w:before="0" w:line="240" w:lineRule="atLeast"/>
              <w:jc w:val="right"/>
              <w:rPr>
                <w:b/>
              </w:rPr>
            </w:pPr>
          </w:p>
        </w:tc>
      </w:tr>
      <w:tr w:rsidR="00FE57F6" w:rsidRPr="00132EE4" w14:paraId="1DF6C17E" w14:textId="77777777" w:rsidTr="00C4421B">
        <w:trPr>
          <w:cantSplit/>
        </w:trPr>
        <w:tc>
          <w:tcPr>
            <w:tcW w:w="9214" w:type="dxa"/>
            <w:gridSpan w:val="2"/>
            <w:tcMar>
              <w:left w:w="0" w:type="dxa"/>
            </w:tcMar>
          </w:tcPr>
          <w:p w14:paraId="5C7C0C75" w14:textId="77777777" w:rsidR="00FE57F6" w:rsidRPr="00132EE4" w:rsidRDefault="00157AC4" w:rsidP="00132EE4">
            <w:pPr>
              <w:pStyle w:val="Source"/>
              <w:framePr w:hSpace="0" w:wrap="auto" w:vAnchor="margin" w:hAnchor="text" w:xAlign="left" w:yAlign="inline"/>
            </w:pPr>
            <w:r w:rsidRPr="00132EE4">
              <w:t>Informe de la Secretaria General</w:t>
            </w:r>
          </w:p>
        </w:tc>
      </w:tr>
      <w:tr w:rsidR="00FE57F6" w:rsidRPr="00132EE4" w14:paraId="5A4C5760" w14:textId="77777777" w:rsidTr="00C4421B">
        <w:trPr>
          <w:cantSplit/>
        </w:trPr>
        <w:tc>
          <w:tcPr>
            <w:tcW w:w="9214" w:type="dxa"/>
            <w:gridSpan w:val="2"/>
            <w:tcMar>
              <w:left w:w="0" w:type="dxa"/>
            </w:tcMar>
          </w:tcPr>
          <w:p w14:paraId="1E69C236" w14:textId="16C62986" w:rsidR="00FE57F6" w:rsidRPr="0010067A" w:rsidRDefault="0010067A" w:rsidP="00C4421B">
            <w:pPr>
              <w:pStyle w:val="Subtitle"/>
              <w:framePr w:hSpace="0" w:wrap="auto" w:hAnchor="text" w:xAlign="left" w:yAlign="inline"/>
              <w:rPr>
                <w:lang w:val="es-ES"/>
              </w:rPr>
            </w:pPr>
            <w:r>
              <w:rPr>
                <w:color w:val="000000"/>
                <w:lang w:val="es-ES"/>
              </w:rPr>
              <w:t>REPERCUSIONES PRESUPUESTARIAS ANUALES DE LA APLICACIÓN DE LAS RESOLUCIONES DE LA CMDT-25</w:t>
            </w:r>
          </w:p>
        </w:tc>
      </w:tr>
      <w:tr w:rsidR="00FE57F6" w:rsidRPr="00132EE4" w14:paraId="09B95E41" w14:textId="77777777" w:rsidTr="00C4421B">
        <w:trPr>
          <w:cantSplit/>
        </w:trPr>
        <w:tc>
          <w:tcPr>
            <w:tcW w:w="9214" w:type="dxa"/>
            <w:gridSpan w:val="2"/>
            <w:tcBorders>
              <w:top w:val="single" w:sz="4" w:space="0" w:color="auto"/>
              <w:bottom w:val="single" w:sz="4" w:space="0" w:color="auto"/>
            </w:tcBorders>
            <w:tcMar>
              <w:left w:w="0" w:type="dxa"/>
            </w:tcMar>
          </w:tcPr>
          <w:p w14:paraId="1F9F6AB2" w14:textId="77777777" w:rsidR="0010067A" w:rsidRPr="0070560B" w:rsidRDefault="0010067A" w:rsidP="0010067A">
            <w:pPr>
              <w:rPr>
                <w:b/>
                <w:bCs/>
                <w:sz w:val="26"/>
                <w:szCs w:val="26"/>
                <w:lang w:val="es-ES"/>
              </w:rPr>
            </w:pPr>
            <w:r>
              <w:rPr>
                <w:b/>
                <w:bCs/>
                <w:color w:val="000000"/>
                <w:lang w:val="es-ES"/>
              </w:rPr>
              <w:t>Objetivo</w:t>
            </w:r>
          </w:p>
          <w:p w14:paraId="41CCE357" w14:textId="221B9DFF" w:rsidR="0010067A" w:rsidRPr="0070560B" w:rsidRDefault="0010067A" w:rsidP="00132EE4">
            <w:pPr>
              <w:spacing w:before="100"/>
              <w:jc w:val="both"/>
              <w:rPr>
                <w:rFonts w:asciiTheme="minorHAnsi" w:hAnsiTheme="minorHAnsi" w:cstheme="minorHAnsi"/>
                <w:spacing w:val="-2"/>
                <w:lang w:val="es-ES"/>
              </w:rPr>
            </w:pPr>
            <w:r>
              <w:rPr>
                <w:color w:val="000000"/>
                <w:lang w:val="es-ES"/>
              </w:rPr>
              <w:t xml:space="preserve">En el Informe de la Comisión de Control del Presupuesto de la Conferencia Mundial de Desarrollo de las Telecomunicaciones (CMDT-25), se identificaron las Resoluciones, Decisiones de la Conferencia, incluidas esferas de trabajo adicionales, estudios técnicos y talleres, que requerían recursos financieros adicionales para su implementación. Los costos estimados para la realización de estas nuevas actividades se estimaron en </w:t>
            </w:r>
            <w:r w:rsidRPr="00985F7D">
              <w:rPr>
                <w:color w:val="000000"/>
                <w:lang w:val="es-ES"/>
              </w:rPr>
              <w:t>4,208</w:t>
            </w:r>
            <w:r w:rsidR="00232AB4" w:rsidRPr="00985F7D">
              <w:rPr>
                <w:color w:val="000000"/>
                <w:lang w:val="es-ES"/>
              </w:rPr>
              <w:t> </w:t>
            </w:r>
            <w:r w:rsidRPr="00985F7D">
              <w:rPr>
                <w:color w:val="000000"/>
                <w:lang w:val="es-ES"/>
              </w:rPr>
              <w:t>millones CHF</w:t>
            </w:r>
            <w:r>
              <w:rPr>
                <w:color w:val="000000"/>
                <w:lang w:val="es-ES"/>
              </w:rPr>
              <w:t xml:space="preserve"> en gastos combinados únicos y recurrentes. La CMDT-25 solicitó a la Secretaria General que señalara este asunto a la atención de la reunión del GTC-RHF de enero de 2026, en la que se presentó y debatió el documento. El GTC-RHF concluyó solicitando a la Secretaría que celebrara una sesión informativa sobre las estimaciones de costes a la luz de las implicaciones financieras de la CMDT-25. Se señaló a la atención de la CMDT-25 el número 142 (Artículo 22) de la Constitución de la Unión Internacional de Telecomunicaciones, así como los números 488 y 489 (Artículo 34) del Convenio de la Unión Internacional de Telecomunicaciones.</w:t>
            </w:r>
          </w:p>
          <w:p w14:paraId="47CB941F" w14:textId="77777777" w:rsidR="0010067A" w:rsidRDefault="0010067A" w:rsidP="00132EE4">
            <w:pPr>
              <w:spacing w:before="160"/>
              <w:jc w:val="both"/>
              <w:rPr>
                <w:color w:val="000000"/>
                <w:lang w:val="es-ES"/>
              </w:rPr>
            </w:pPr>
            <w:r>
              <w:rPr>
                <w:color w:val="000000"/>
                <w:lang w:val="es-ES"/>
              </w:rPr>
              <w:t xml:space="preserve">Las Resoluciones adoptadas en la CMDT-25 se aplicarán con cargo al presupuesto ordinario, así como a fondos extrapresupuestarios recibidos a través de proyectos y contribuciones voluntarias. A través del Documento </w:t>
            </w:r>
            <w:hyperlink r:id="rId7" w:history="1">
              <w:proofErr w:type="spellStart"/>
              <w:r w:rsidRPr="00D14D99">
                <w:rPr>
                  <w:rStyle w:val="Hyperlink"/>
                  <w:lang w:val="es-ES"/>
                </w:rPr>
                <w:t>C26</w:t>
              </w:r>
              <w:proofErr w:type="spellEnd"/>
              <w:r w:rsidRPr="00D14D99">
                <w:rPr>
                  <w:rStyle w:val="Hyperlink"/>
                  <w:lang w:val="es-ES"/>
                </w:rPr>
                <w:t>/42</w:t>
              </w:r>
            </w:hyperlink>
            <w:r>
              <w:rPr>
                <w:color w:val="000000"/>
                <w:lang w:val="es-ES"/>
              </w:rPr>
              <w:t xml:space="preserve"> del Consejo, la Secretaría propone asignar una parte de los ahorros de la ejecución del presupuesto de 2025 a las Iniciativas Regionales aprobadas por la CMDT-25. </w:t>
            </w:r>
          </w:p>
          <w:p w14:paraId="6729C68B" w14:textId="17197C8B" w:rsidR="00FE57F6" w:rsidRPr="00132EE4" w:rsidRDefault="00F24B71" w:rsidP="006E5D9A">
            <w:pPr>
              <w:spacing w:before="160"/>
              <w:rPr>
                <w:b/>
                <w:bCs/>
                <w:sz w:val="26"/>
                <w:szCs w:val="26"/>
                <w:lang w:val="es-ES"/>
              </w:rPr>
            </w:pPr>
            <w:r w:rsidRPr="00132EE4">
              <w:rPr>
                <w:b/>
                <w:bCs/>
                <w:sz w:val="26"/>
                <w:szCs w:val="26"/>
                <w:lang w:val="es-ES"/>
              </w:rPr>
              <w:t xml:space="preserve">Acción solicitada </w:t>
            </w:r>
            <w:r w:rsidR="00677A97" w:rsidRPr="00132EE4">
              <w:rPr>
                <w:b/>
                <w:bCs/>
                <w:sz w:val="26"/>
                <w:szCs w:val="26"/>
                <w:lang w:val="es-ES"/>
              </w:rPr>
              <w:t>al</w:t>
            </w:r>
            <w:r w:rsidRPr="00132EE4">
              <w:rPr>
                <w:b/>
                <w:bCs/>
                <w:sz w:val="26"/>
                <w:szCs w:val="26"/>
                <w:lang w:val="es-ES"/>
              </w:rPr>
              <w:t xml:space="preserve"> Consejo</w:t>
            </w:r>
          </w:p>
          <w:p w14:paraId="322CDDBB" w14:textId="77777777" w:rsidR="0010067A" w:rsidRDefault="0010067A" w:rsidP="006E5D9A">
            <w:pPr>
              <w:spacing w:before="160"/>
              <w:rPr>
                <w:color w:val="000000"/>
                <w:lang w:val="es-ES"/>
              </w:rPr>
            </w:pPr>
            <w:r>
              <w:rPr>
                <w:color w:val="000000"/>
                <w:lang w:val="es-ES"/>
              </w:rPr>
              <w:t xml:space="preserve">Se invita al Consejo a </w:t>
            </w:r>
            <w:r>
              <w:rPr>
                <w:b/>
                <w:bCs/>
                <w:color w:val="000000"/>
                <w:lang w:val="es-ES"/>
              </w:rPr>
              <w:t>examinar</w:t>
            </w:r>
            <w:r>
              <w:rPr>
                <w:color w:val="000000"/>
                <w:lang w:val="es-ES"/>
              </w:rPr>
              <w:t xml:space="preserve"> el Informe y a </w:t>
            </w:r>
            <w:r>
              <w:rPr>
                <w:b/>
                <w:bCs/>
                <w:color w:val="000000"/>
                <w:lang w:val="es-ES"/>
              </w:rPr>
              <w:t>proporcionar orientaciones adicionales</w:t>
            </w:r>
            <w:r>
              <w:rPr>
                <w:color w:val="000000"/>
                <w:lang w:val="es-ES"/>
              </w:rPr>
              <w:t>.</w:t>
            </w:r>
          </w:p>
          <w:p w14:paraId="087D5166" w14:textId="268407D2" w:rsidR="00F92BED" w:rsidRPr="00F24B71" w:rsidRDefault="00F92BED" w:rsidP="006E5D9A">
            <w:pPr>
              <w:spacing w:before="160"/>
              <w:rPr>
                <w:b/>
                <w:bCs/>
                <w:sz w:val="26"/>
                <w:szCs w:val="26"/>
                <w:lang w:val="es-ES"/>
              </w:rPr>
            </w:pPr>
            <w:r w:rsidRPr="00F24B71">
              <w:rPr>
                <w:b/>
                <w:bCs/>
                <w:sz w:val="26"/>
                <w:szCs w:val="26"/>
                <w:lang w:val="es-ES"/>
              </w:rPr>
              <w:t>Vínculo</w:t>
            </w:r>
            <w:r>
              <w:rPr>
                <w:b/>
                <w:bCs/>
                <w:sz w:val="26"/>
                <w:szCs w:val="26"/>
                <w:lang w:val="es-ES"/>
              </w:rPr>
              <w:t>(</w:t>
            </w:r>
            <w:r w:rsidRPr="00F24B71">
              <w:rPr>
                <w:b/>
                <w:bCs/>
                <w:sz w:val="26"/>
                <w:szCs w:val="26"/>
                <w:lang w:val="es-ES"/>
              </w:rPr>
              <w:t>s</w:t>
            </w:r>
            <w:r>
              <w:rPr>
                <w:b/>
                <w:bCs/>
                <w:sz w:val="26"/>
                <w:szCs w:val="26"/>
                <w:lang w:val="es-ES"/>
              </w:rPr>
              <w:t>)</w:t>
            </w:r>
            <w:r w:rsidRPr="00F24B71">
              <w:rPr>
                <w:b/>
                <w:bCs/>
                <w:sz w:val="26"/>
                <w:szCs w:val="26"/>
                <w:lang w:val="es-ES"/>
              </w:rPr>
              <w:t xml:space="preserve"> pertinente</w:t>
            </w:r>
            <w:r>
              <w:rPr>
                <w:b/>
                <w:bCs/>
                <w:sz w:val="26"/>
                <w:szCs w:val="26"/>
                <w:lang w:val="es-ES"/>
              </w:rPr>
              <w:t>(</w:t>
            </w:r>
            <w:r w:rsidRPr="00F24B71">
              <w:rPr>
                <w:b/>
                <w:bCs/>
                <w:sz w:val="26"/>
                <w:szCs w:val="26"/>
                <w:lang w:val="es-ES"/>
              </w:rPr>
              <w:t>s</w:t>
            </w:r>
            <w:r>
              <w:rPr>
                <w:b/>
                <w:bCs/>
                <w:sz w:val="26"/>
                <w:szCs w:val="26"/>
                <w:lang w:val="es-ES"/>
              </w:rPr>
              <w:t>)</w:t>
            </w:r>
            <w:r w:rsidRPr="00F24B71">
              <w:rPr>
                <w:b/>
                <w:bCs/>
                <w:sz w:val="26"/>
                <w:szCs w:val="26"/>
                <w:lang w:val="es-ES"/>
              </w:rPr>
              <w:t xml:space="preserve"> con el Plan Estratégico</w:t>
            </w:r>
          </w:p>
          <w:p w14:paraId="0F2E993C" w14:textId="25A08FC4" w:rsidR="00FE57F6" w:rsidRPr="00132EE4" w:rsidRDefault="0010067A" w:rsidP="005F70DE">
            <w:pPr>
              <w:spacing w:after="1560"/>
              <w:rPr>
                <w:lang w:val="es-ES"/>
              </w:rPr>
            </w:pPr>
            <w:r>
              <w:rPr>
                <w:color w:val="000000"/>
                <w:lang w:val="es-ES"/>
              </w:rPr>
              <w:t>Plataforma de colaboración</w:t>
            </w:r>
          </w:p>
        </w:tc>
      </w:tr>
      <w:tr w:rsidR="00132EE4" w:rsidRPr="00132EE4" w14:paraId="26806D04" w14:textId="77777777" w:rsidTr="00C4421B">
        <w:trPr>
          <w:cantSplit/>
        </w:trPr>
        <w:tc>
          <w:tcPr>
            <w:tcW w:w="9214" w:type="dxa"/>
            <w:gridSpan w:val="2"/>
            <w:tcBorders>
              <w:top w:val="single" w:sz="4" w:space="0" w:color="auto"/>
              <w:bottom w:val="single" w:sz="4" w:space="0" w:color="auto"/>
            </w:tcBorders>
            <w:tcMar>
              <w:left w:w="0" w:type="dxa"/>
            </w:tcMar>
          </w:tcPr>
          <w:p w14:paraId="423EF059" w14:textId="77777777" w:rsidR="00132EE4" w:rsidRPr="00132EE4" w:rsidRDefault="00132EE4" w:rsidP="005F70DE">
            <w:pPr>
              <w:keepNext/>
              <w:keepLines/>
              <w:spacing w:before="160"/>
              <w:rPr>
                <w:b/>
                <w:bCs/>
                <w:sz w:val="26"/>
                <w:szCs w:val="26"/>
                <w:lang w:val="es-ES"/>
              </w:rPr>
            </w:pPr>
            <w:r w:rsidRPr="00132EE4">
              <w:rPr>
                <w:b/>
                <w:bCs/>
                <w:sz w:val="26"/>
                <w:szCs w:val="26"/>
                <w:lang w:val="es-ES"/>
              </w:rPr>
              <w:lastRenderedPageBreak/>
              <w:t>Repercusiones financieras</w:t>
            </w:r>
          </w:p>
          <w:p w14:paraId="03975217" w14:textId="77777777" w:rsidR="00132EE4" w:rsidRPr="0070560B" w:rsidRDefault="00132EE4" w:rsidP="00132EE4">
            <w:pPr>
              <w:keepNext/>
              <w:keepLines/>
              <w:spacing w:before="100"/>
              <w:rPr>
                <w:rFonts w:asciiTheme="minorHAnsi" w:hAnsiTheme="minorHAnsi" w:cstheme="minorBidi"/>
                <w:lang w:val="es-ES"/>
              </w:rPr>
            </w:pPr>
            <w:r>
              <w:rPr>
                <w:color w:val="000000"/>
                <w:lang w:val="es-ES"/>
              </w:rPr>
              <w:t xml:space="preserve">La Comisión de Control del Presupuesto estimó que las consecuencias financieras de las decisiones de la </w:t>
            </w:r>
            <w:proofErr w:type="spellStart"/>
            <w:r>
              <w:rPr>
                <w:color w:val="000000"/>
                <w:lang w:val="es-ES"/>
              </w:rPr>
              <w:t>CMDT</w:t>
            </w:r>
            <w:proofErr w:type="spellEnd"/>
            <w:r>
              <w:rPr>
                <w:color w:val="000000"/>
                <w:lang w:val="es-ES"/>
              </w:rPr>
              <w:t xml:space="preserve">-25 ascendían a 4,208 millones CHF. Las Resoluciones adoptadas en la </w:t>
            </w:r>
            <w:proofErr w:type="spellStart"/>
            <w:r>
              <w:rPr>
                <w:color w:val="000000"/>
                <w:lang w:val="es-ES"/>
              </w:rPr>
              <w:t>CMDT</w:t>
            </w:r>
            <w:proofErr w:type="spellEnd"/>
            <w:r>
              <w:rPr>
                <w:color w:val="000000"/>
                <w:lang w:val="es-ES"/>
              </w:rPr>
              <w:t xml:space="preserve">-25 se aplicarán a través de iniciativas regionales con cargo al presupuesto ordinario y a fondos extrapresupuestarios recibidos a través de proyectos y contribuciones voluntarias. A través del Documento </w:t>
            </w:r>
            <w:hyperlink r:id="rId8" w:history="1">
              <w:proofErr w:type="spellStart"/>
              <w:r w:rsidRPr="00D14D99">
                <w:rPr>
                  <w:rStyle w:val="Hyperlink"/>
                  <w:lang w:val="es-ES"/>
                </w:rPr>
                <w:t>C26</w:t>
              </w:r>
              <w:proofErr w:type="spellEnd"/>
              <w:r w:rsidRPr="00D14D99">
                <w:rPr>
                  <w:rStyle w:val="Hyperlink"/>
                  <w:lang w:val="es-ES"/>
                </w:rPr>
                <w:t>/42</w:t>
              </w:r>
            </w:hyperlink>
            <w:r>
              <w:rPr>
                <w:color w:val="000000"/>
                <w:lang w:val="es-ES"/>
              </w:rPr>
              <w:t xml:space="preserve"> del Consejo, la Secretaría propone asignar una parte de los ahorros de la ejecución del presupuesto de 2025 a las Iniciativas Regionales aprobadas por la </w:t>
            </w:r>
            <w:proofErr w:type="spellStart"/>
            <w:r>
              <w:rPr>
                <w:color w:val="000000"/>
                <w:lang w:val="es-ES"/>
              </w:rPr>
              <w:t>CMDT</w:t>
            </w:r>
            <w:proofErr w:type="spellEnd"/>
            <w:r>
              <w:rPr>
                <w:color w:val="000000"/>
                <w:lang w:val="es-ES"/>
              </w:rPr>
              <w:t xml:space="preserve">-25. </w:t>
            </w:r>
            <w:hyperlink r:id="rId9"/>
          </w:p>
          <w:p w14:paraId="5F34E1F8" w14:textId="77777777" w:rsidR="00132EE4" w:rsidRPr="00132EE4" w:rsidRDefault="00132EE4" w:rsidP="00132EE4">
            <w:pPr>
              <w:spacing w:before="160"/>
              <w:rPr>
                <w:caps/>
                <w:sz w:val="22"/>
                <w:lang w:val="es-ES"/>
              </w:rPr>
            </w:pPr>
            <w:r w:rsidRPr="00132EE4">
              <w:rPr>
                <w:sz w:val="22"/>
                <w:lang w:val="es-ES"/>
              </w:rPr>
              <w:t>__________________</w:t>
            </w:r>
          </w:p>
          <w:p w14:paraId="0ACDC7FB" w14:textId="77777777" w:rsidR="00132EE4" w:rsidRPr="00132EE4" w:rsidRDefault="00132EE4" w:rsidP="00132EE4">
            <w:pPr>
              <w:spacing w:before="160"/>
              <w:rPr>
                <w:b/>
                <w:bCs/>
                <w:sz w:val="26"/>
                <w:szCs w:val="26"/>
                <w:lang w:val="es-ES"/>
              </w:rPr>
            </w:pPr>
            <w:r w:rsidRPr="00132EE4">
              <w:rPr>
                <w:b/>
                <w:bCs/>
                <w:sz w:val="26"/>
                <w:szCs w:val="26"/>
                <w:lang w:val="es-ES"/>
              </w:rPr>
              <w:t>Referencias</w:t>
            </w:r>
            <w:r w:rsidRPr="00132EE4">
              <w:rPr>
                <w:sz w:val="26"/>
                <w:szCs w:val="26"/>
                <w:lang w:val="es-ES"/>
              </w:rPr>
              <w:t xml:space="preserve"> </w:t>
            </w:r>
          </w:p>
          <w:p w14:paraId="69F63C9E" w14:textId="137D9658" w:rsidR="00132EE4" w:rsidRDefault="00132EE4" w:rsidP="00132EE4">
            <w:pPr>
              <w:rPr>
                <w:b/>
                <w:bCs/>
                <w:color w:val="000000"/>
                <w:lang w:val="es-ES"/>
              </w:rPr>
            </w:pPr>
            <w:r>
              <w:rPr>
                <w:i/>
                <w:iCs/>
                <w:color w:val="000000"/>
                <w:lang w:val="es-ES"/>
              </w:rPr>
              <w:t xml:space="preserve">Documentos </w:t>
            </w:r>
            <w:hyperlink r:id="rId10" w:history="1">
              <w:r>
                <w:rPr>
                  <w:rStyle w:val="Hyperlink"/>
                  <w:i/>
                  <w:iCs/>
                  <w:lang w:val="es-ES"/>
                </w:rPr>
                <w:t>WTDC-25/70</w:t>
              </w:r>
            </w:hyperlink>
            <w:r>
              <w:rPr>
                <w:i/>
                <w:iCs/>
                <w:color w:val="000000"/>
                <w:lang w:val="es-ES"/>
              </w:rPr>
              <w:t xml:space="preserve"> y </w:t>
            </w:r>
            <w:hyperlink r:id="rId11" w:history="1">
              <w:proofErr w:type="spellStart"/>
              <w:r w:rsidRPr="00193E3E">
                <w:rPr>
                  <w:rStyle w:val="Hyperlink"/>
                  <w:i/>
                  <w:iCs/>
                  <w:lang w:val="es-ES"/>
                </w:rPr>
                <w:t>CWG</w:t>
              </w:r>
              <w:proofErr w:type="spellEnd"/>
              <w:r w:rsidRPr="00193E3E">
                <w:rPr>
                  <w:rStyle w:val="Hyperlink"/>
                  <w:i/>
                  <w:iCs/>
                  <w:lang w:val="es-ES"/>
                </w:rPr>
                <w:t>-</w:t>
              </w:r>
              <w:proofErr w:type="spellStart"/>
              <w:r w:rsidRPr="00193E3E">
                <w:rPr>
                  <w:rStyle w:val="Hyperlink"/>
                  <w:i/>
                  <w:iCs/>
                  <w:lang w:val="es-ES"/>
                </w:rPr>
                <w:t>FHR</w:t>
              </w:r>
              <w:proofErr w:type="spellEnd"/>
              <w:r w:rsidRPr="00193E3E">
                <w:rPr>
                  <w:rStyle w:val="Hyperlink"/>
                  <w:i/>
                  <w:iCs/>
                  <w:lang w:val="es-ES"/>
                </w:rPr>
                <w:t>-22/7</w:t>
              </w:r>
            </w:hyperlink>
          </w:p>
        </w:tc>
      </w:tr>
      <w:bookmarkEnd w:id="0"/>
    </w:tbl>
    <w:p w14:paraId="276193B8" w14:textId="77777777" w:rsidR="00093EEB" w:rsidRPr="00132EE4" w:rsidRDefault="00093EEB">
      <w:pPr>
        <w:rPr>
          <w:lang w:val="es-ES"/>
        </w:rPr>
      </w:pPr>
    </w:p>
    <w:p w14:paraId="656CC4D8" w14:textId="77777777" w:rsidR="001559F5" w:rsidRPr="00132EE4" w:rsidRDefault="001559F5">
      <w:pPr>
        <w:tabs>
          <w:tab w:val="clear" w:pos="567"/>
          <w:tab w:val="clear" w:pos="1134"/>
          <w:tab w:val="clear" w:pos="1701"/>
          <w:tab w:val="clear" w:pos="2268"/>
          <w:tab w:val="clear" w:pos="2835"/>
        </w:tabs>
        <w:overflowPunct/>
        <w:autoSpaceDE/>
        <w:autoSpaceDN/>
        <w:adjustRightInd/>
        <w:spacing w:before="0"/>
        <w:textAlignment w:val="auto"/>
        <w:rPr>
          <w:lang w:val="es-ES"/>
        </w:rPr>
      </w:pPr>
      <w:r w:rsidRPr="00132EE4">
        <w:rPr>
          <w:lang w:val="es-ES"/>
        </w:rPr>
        <w:br w:type="page"/>
      </w:r>
    </w:p>
    <w:p w14:paraId="6BD74DAF" w14:textId="77777777" w:rsidR="0010067A" w:rsidRPr="0070560B" w:rsidRDefault="0010067A" w:rsidP="0010067A">
      <w:pPr>
        <w:pStyle w:val="Heading1"/>
        <w:rPr>
          <w:lang w:val="es-ES"/>
        </w:rPr>
      </w:pPr>
      <w:r>
        <w:rPr>
          <w:bCs/>
          <w:lang w:val="es-ES"/>
        </w:rPr>
        <w:lastRenderedPageBreak/>
        <w:t>1</w:t>
      </w:r>
      <w:r>
        <w:rPr>
          <w:lang w:val="es-ES"/>
        </w:rPr>
        <w:tab/>
      </w:r>
      <w:r>
        <w:rPr>
          <w:bCs/>
          <w:lang w:val="es-ES"/>
        </w:rPr>
        <w:t>Introducción</w:t>
      </w:r>
    </w:p>
    <w:p w14:paraId="3DCC116F" w14:textId="77777777" w:rsidR="0010067A" w:rsidRPr="0070560B" w:rsidRDefault="0010067A" w:rsidP="00132EE4">
      <w:pPr>
        <w:jc w:val="both"/>
        <w:rPr>
          <w:lang w:val="es-ES"/>
        </w:rPr>
      </w:pPr>
      <w:r>
        <w:rPr>
          <w:lang w:val="es-ES"/>
        </w:rPr>
        <w:t>1.1</w:t>
      </w:r>
      <w:r>
        <w:rPr>
          <w:lang w:val="es-ES"/>
        </w:rPr>
        <w:tab/>
        <w:t xml:space="preserve">La Conferencia Mundial de Desarrollo de las Telecomunicaciones (CMDT-25), celebrada en Bakú (República de Azerbaiyán) del 17 al 28 de noviembre de 2025, adoptó algunas decisiones sobre nuevas actividades, estudios y talleres para que la Oficina de Desarrollo de las Telecomunicaciones pueda responder de manera oportuna a las demandas de los miembros y abordar cuestiones estratégicas que requerirán la atención de la CMDT-29. </w:t>
      </w:r>
    </w:p>
    <w:p w14:paraId="58C5A7AA" w14:textId="77777777" w:rsidR="0010067A" w:rsidRPr="0070560B" w:rsidRDefault="0010067A" w:rsidP="00132EE4">
      <w:pPr>
        <w:tabs>
          <w:tab w:val="left" w:pos="1871"/>
        </w:tabs>
        <w:jc w:val="both"/>
        <w:rPr>
          <w:rFonts w:eastAsia="Calibri" w:cs="Calibri"/>
          <w:color w:val="000000" w:themeColor="text1"/>
          <w:szCs w:val="24"/>
          <w:lang w:val="es-ES"/>
        </w:rPr>
      </w:pPr>
      <w:r>
        <w:rPr>
          <w:lang w:val="es-ES"/>
        </w:rPr>
        <w:t>Se señala a la atención de la CMDT-25 el número 142 (Artículo 22) de la Constitución de la Unión Internacional de Telecomunicaciones, que estipula lo siguiente:</w:t>
      </w:r>
    </w:p>
    <w:p w14:paraId="31BE0484" w14:textId="6DE5D82D" w:rsidR="0010067A" w:rsidRPr="0070560B" w:rsidRDefault="0010067A" w:rsidP="00132EE4">
      <w:pPr>
        <w:pStyle w:val="enumlev1"/>
        <w:jc w:val="both"/>
        <w:rPr>
          <w:rFonts w:eastAsia="Calibri"/>
          <w:lang w:val="es-ES"/>
        </w:rPr>
      </w:pPr>
      <w:r>
        <w:rPr>
          <w:lang w:val="es-ES"/>
        </w:rPr>
        <w:tab/>
      </w:r>
      <w:r w:rsidR="0005281F">
        <w:rPr>
          <w:lang w:val="es-ES"/>
        </w:rPr>
        <w:t>"</w:t>
      </w:r>
      <w:r>
        <w:rPr>
          <w:lang w:val="es-ES"/>
        </w:rPr>
        <w:t>4</w:t>
      </w:r>
      <w:r>
        <w:rPr>
          <w:lang w:val="es-ES"/>
        </w:rPr>
        <w:tab/>
      </w:r>
      <w:r w:rsidRPr="007B11A1">
        <w:rPr>
          <w:lang w:val="es-ES"/>
        </w:rPr>
        <w:t>En las Conferencias de Desarrollo de las Telecomunicaciones no se producirán Actas Finales. Sus conclusiones adoptarán la forma de resoluciones, decisiones, recomendaciones o informes y en todos los casos deberán ajustarse a la presente Constitución, al Convenio y a los Reglamentos Administrativos. Al adoptar resoluciones y decisiones, las Conferencias tendrán en cuenta sus repercusiones financieras previsibles y deberían evitar la adopción de aquellas que puedan traer consigo el rebasamiento de los límites financieros fijados por la Conferencia de Plenipotenciarios</w:t>
      </w:r>
      <w:r>
        <w:rPr>
          <w:lang w:val="es-ES"/>
        </w:rPr>
        <w:t>."</w:t>
      </w:r>
    </w:p>
    <w:p w14:paraId="61C01B09" w14:textId="77777777" w:rsidR="0010067A" w:rsidRPr="0070560B" w:rsidRDefault="0010067A" w:rsidP="00132EE4">
      <w:pPr>
        <w:jc w:val="both"/>
        <w:rPr>
          <w:szCs w:val="24"/>
          <w:lang w:val="es-ES"/>
        </w:rPr>
      </w:pPr>
      <w:r>
        <w:rPr>
          <w:lang w:val="es-ES"/>
        </w:rPr>
        <w:t>1.2</w:t>
      </w:r>
      <w:r>
        <w:rPr>
          <w:lang w:val="es-ES"/>
        </w:rPr>
        <w:tab/>
        <w:t>Se señalaron a la atención de la Conferencia los números 488 y 489 (Artículo 34) del Convenio de la Unión Internacional de Telecomunicaciones, que disponen respectivamente:</w:t>
      </w:r>
    </w:p>
    <w:p w14:paraId="21DA155E" w14:textId="7CA8080F" w:rsidR="0010067A" w:rsidRPr="0070560B" w:rsidRDefault="0010067A" w:rsidP="00132EE4">
      <w:pPr>
        <w:pStyle w:val="enumlev1"/>
        <w:jc w:val="both"/>
        <w:rPr>
          <w:lang w:val="es-ES"/>
        </w:rPr>
      </w:pPr>
      <w:r>
        <w:rPr>
          <w:lang w:val="es-ES"/>
        </w:rPr>
        <w:tab/>
      </w:r>
      <w:r w:rsidR="0005281F">
        <w:rPr>
          <w:lang w:val="es-ES"/>
        </w:rPr>
        <w:t>"</w:t>
      </w:r>
      <w:r>
        <w:rPr>
          <w:lang w:val="es-ES"/>
        </w:rPr>
        <w:t>1</w:t>
      </w:r>
      <w:r>
        <w:rPr>
          <w:lang w:val="es-ES"/>
        </w:rPr>
        <w:tab/>
      </w:r>
      <w:r w:rsidRPr="007C0179">
        <w:rPr>
          <w:lang w:val="es-ES"/>
        </w:rPr>
        <w:t>Antes de adoptar propuestas o de tomar decisiones que tengan repercusiones financieras, las conferencias de la Unión tendrán presentes todas las previsiones presupuestarias de la Unión para cerciorarse de que no entrañan gastos superiores a los créditos que el Consejo está facultado para autorizar</w:t>
      </w:r>
      <w:r>
        <w:rPr>
          <w:lang w:val="es-ES"/>
        </w:rPr>
        <w:t>.</w:t>
      </w:r>
    </w:p>
    <w:p w14:paraId="46727C9B" w14:textId="77777777" w:rsidR="0010067A" w:rsidRPr="0070560B" w:rsidRDefault="0010067A" w:rsidP="00132EE4">
      <w:pPr>
        <w:pStyle w:val="enumlev1"/>
        <w:jc w:val="both"/>
        <w:rPr>
          <w:lang w:val="es-ES"/>
        </w:rPr>
      </w:pPr>
      <w:r>
        <w:rPr>
          <w:lang w:val="es-ES"/>
        </w:rPr>
        <w:tab/>
        <w:t>2</w:t>
      </w:r>
      <w:r>
        <w:rPr>
          <w:lang w:val="es-ES"/>
        </w:rPr>
        <w:tab/>
      </w:r>
      <w:r w:rsidRPr="00DA2A5B">
        <w:rPr>
          <w:lang w:val="es-ES"/>
        </w:rPr>
        <w:t>No se llevará a efecto ninguna decisión de una conferencia que entrañe un aumento directo o indirecto de los gastos por encima de los créditos que el Consejo está facultado para autorizar</w:t>
      </w:r>
      <w:r>
        <w:rPr>
          <w:lang w:val="es-ES"/>
        </w:rPr>
        <w:t>".</w:t>
      </w:r>
    </w:p>
    <w:p w14:paraId="31232EC3" w14:textId="77777777" w:rsidR="0010067A" w:rsidRPr="0070560B" w:rsidRDefault="0010067A" w:rsidP="00132EE4">
      <w:pPr>
        <w:jc w:val="both"/>
        <w:rPr>
          <w:lang w:val="es-ES"/>
        </w:rPr>
      </w:pPr>
      <w:r>
        <w:rPr>
          <w:lang w:val="es-ES"/>
        </w:rPr>
        <w:t>1.3</w:t>
      </w:r>
      <w:r>
        <w:rPr>
          <w:lang w:val="es-ES"/>
        </w:rPr>
        <w:tab/>
        <w:t xml:space="preserve">La Oficina de Desarrollo y Telecomunicaciones (BDT) tiene el mandato de llevar a cabo estas actividades e informar a la próxima conferencia (CMDT-29). Sobre la base de los resultados de la Asamblea, la Comisión de Control del Presupuesto estimó que las consecuencias financieras de las decisiones de la CMDT-25 ascendían a 4,208 millones CHF (véase el Documento </w:t>
      </w:r>
      <w:hyperlink r:id="rId12" w:history="1">
        <w:r w:rsidRPr="00E46823">
          <w:rPr>
            <w:rStyle w:val="Hyperlink"/>
            <w:lang w:val="es-ES"/>
          </w:rPr>
          <w:t>WTDC-25/70</w:t>
        </w:r>
      </w:hyperlink>
      <w:r>
        <w:rPr>
          <w:lang w:val="es-ES"/>
        </w:rPr>
        <w:t xml:space="preserve">). Para mayor comodidad, en esta sección se presenta la información proporcionada en el Informe de la Comisión de Control del Presupuesto de la CMDT-25. </w:t>
      </w:r>
      <w:hyperlink r:id="rId13"/>
    </w:p>
    <w:p w14:paraId="2DC5AA42" w14:textId="77777777" w:rsidR="0010067A" w:rsidRPr="0070560B" w:rsidRDefault="0010067A" w:rsidP="00132EE4">
      <w:pPr>
        <w:jc w:val="both"/>
        <w:rPr>
          <w:lang w:val="es-ES"/>
        </w:rPr>
      </w:pPr>
      <w:r>
        <w:rPr>
          <w:lang w:val="es-ES"/>
        </w:rPr>
        <w:t xml:space="preserve">Las Resoluciones adoptadas en la CMDT-25 se aplicarán con cargo al presupuesto ordinario, así como a fondos extrapresupuestarios recibidos a través de proyectos y contribuciones voluntarias. A través del Documento </w:t>
      </w:r>
      <w:hyperlink r:id="rId14" w:history="1">
        <w:proofErr w:type="spellStart"/>
        <w:r w:rsidRPr="00DE6BF7">
          <w:rPr>
            <w:rStyle w:val="Hyperlink"/>
            <w:lang w:val="es-ES"/>
          </w:rPr>
          <w:t>C26</w:t>
        </w:r>
        <w:proofErr w:type="spellEnd"/>
        <w:r w:rsidRPr="00DE6BF7">
          <w:rPr>
            <w:rStyle w:val="Hyperlink"/>
            <w:lang w:val="es-ES"/>
          </w:rPr>
          <w:t>/42</w:t>
        </w:r>
      </w:hyperlink>
      <w:r>
        <w:rPr>
          <w:lang w:val="es-ES"/>
        </w:rPr>
        <w:t xml:space="preserve"> del Consejo, la Secretaría propone asignar una parte de los ahorros de la ejecución del presupuesto de 2025 a las Iniciativas Regionales aprobadas por la </w:t>
      </w:r>
      <w:proofErr w:type="spellStart"/>
      <w:r>
        <w:rPr>
          <w:lang w:val="es-ES"/>
        </w:rPr>
        <w:t>CMDT</w:t>
      </w:r>
      <w:proofErr w:type="spellEnd"/>
      <w:r>
        <w:rPr>
          <w:lang w:val="es-ES"/>
        </w:rPr>
        <w:t>-25.</w:t>
      </w:r>
      <w:hyperlink r:id="rId15" w:history="1"/>
    </w:p>
    <w:p w14:paraId="13218164" w14:textId="77777777" w:rsidR="0010067A" w:rsidRPr="0070560B" w:rsidRDefault="0010067A" w:rsidP="00776299">
      <w:pPr>
        <w:pStyle w:val="Heading1"/>
        <w:rPr>
          <w:lang w:val="es-ES"/>
        </w:rPr>
      </w:pPr>
      <w:bookmarkStart w:id="1" w:name="_Hlk163251339"/>
      <w:r>
        <w:rPr>
          <w:bCs/>
          <w:lang w:val="es-ES"/>
        </w:rPr>
        <w:t>2</w:t>
      </w:r>
      <w:r>
        <w:rPr>
          <w:lang w:val="es-ES"/>
        </w:rPr>
        <w:tab/>
      </w:r>
      <w:r>
        <w:rPr>
          <w:bCs/>
          <w:lang w:val="es-ES"/>
        </w:rPr>
        <w:t>Repercusiones presupuestarias de las Resoluciones de la CMDT-25</w:t>
      </w:r>
    </w:p>
    <w:bookmarkEnd w:id="1"/>
    <w:p w14:paraId="076DA3E3" w14:textId="77777777" w:rsidR="0010067A" w:rsidRPr="0070560B" w:rsidRDefault="0010067A" w:rsidP="00132EE4">
      <w:pPr>
        <w:jc w:val="both"/>
        <w:rPr>
          <w:lang w:val="es-ES"/>
        </w:rPr>
      </w:pPr>
      <w:r>
        <w:rPr>
          <w:lang w:val="es-ES"/>
        </w:rPr>
        <w:t>2.1</w:t>
      </w:r>
      <w:r>
        <w:rPr>
          <w:lang w:val="es-ES"/>
        </w:rPr>
        <w:tab/>
        <w:t xml:space="preserve">La CMDT-25 revisó 44 Resoluciones existentes de la CMDT para garantizar que el UIT-D siguiera centrándose en las necesidades de los Miembros de la UIT. La Conferencia también elaboró cuatro (4) nuevas Resoluciones. La Comisión de Control del Presupuesto identificó los costes de las Resoluciones de la CMDT-25 con respecto a los recursos necesarios para aplicar </w:t>
      </w:r>
      <w:r>
        <w:rPr>
          <w:lang w:val="es-ES"/>
        </w:rPr>
        <w:lastRenderedPageBreak/>
        <w:t xml:space="preserve">las Resoluciones nuevas y modificadas. En el cuadro siguiente se detallan las repercusiones financieras de la CMDT-25 en términos de costes recurrentes anuales y no puntuales. </w:t>
      </w:r>
    </w:p>
    <w:p w14:paraId="1434E4AE" w14:textId="0256272F" w:rsidR="0010067A" w:rsidRPr="0070560B" w:rsidRDefault="0010067A" w:rsidP="00132EE4">
      <w:pPr>
        <w:jc w:val="both"/>
        <w:rPr>
          <w:lang w:val="es-ES"/>
        </w:rPr>
      </w:pPr>
      <w:r>
        <w:rPr>
          <w:lang w:val="es-ES"/>
        </w:rPr>
        <w:t>2.2</w:t>
      </w:r>
      <w:r>
        <w:rPr>
          <w:lang w:val="es-ES"/>
        </w:rPr>
        <w:tab/>
        <w:t xml:space="preserve">En la CMDT-25 se adoptaron una nueva Resolución 91 (Bakú, 2025) y cinco Resoluciones revisadas que tienen repercusiones financieras. Los resultados de la CMDT-25 se aplicarán utilizando el presupuesto ordinario, así como fondos extrapresupuestarios recibidos a través de proyectos y contribuciones voluntarias. En la reunión de 2026 del Grupo Asesor de Desarrollo de las Telecomunicaciones (GADT-26) se presentó a la reunión de 2026 un </w:t>
      </w:r>
      <w:hyperlink r:id="rId16" w:history="1">
        <w:r w:rsidRPr="00A018BA">
          <w:rPr>
            <w:rStyle w:val="Hyperlink"/>
            <w:lang w:val="es-ES"/>
          </w:rPr>
          <w:t>informe</w:t>
        </w:r>
      </w:hyperlink>
      <w:r>
        <w:rPr>
          <w:lang w:val="es-ES"/>
        </w:rPr>
        <w:t xml:space="preserve"> separado sobre las implicaciones financieras de las Resoluciones adoptadas por la </w:t>
      </w:r>
      <w:proofErr w:type="spellStart"/>
      <w:r>
        <w:rPr>
          <w:lang w:val="es-ES"/>
        </w:rPr>
        <w:t>CMDT</w:t>
      </w:r>
      <w:proofErr w:type="spellEnd"/>
      <w:r>
        <w:rPr>
          <w:lang w:val="es-ES"/>
        </w:rPr>
        <w:t>-25</w:t>
      </w:r>
      <w:r w:rsidR="007B5C20">
        <w:rPr>
          <w:lang w:val="es-ES"/>
        </w:rPr>
        <w:t>.</w:t>
      </w:r>
      <w:hyperlink r:id="rId17" w:tgtFrame="_blank" w:history="1"/>
    </w:p>
    <w:p w14:paraId="4C3596F1" w14:textId="77777777" w:rsidR="0010067A" w:rsidRPr="0070560B" w:rsidRDefault="0010067A" w:rsidP="00132EE4">
      <w:pPr>
        <w:jc w:val="both"/>
        <w:rPr>
          <w:lang w:val="es-ES"/>
        </w:rPr>
      </w:pPr>
      <w:r>
        <w:rPr>
          <w:lang w:val="es-ES"/>
        </w:rPr>
        <w:t>2.3</w:t>
      </w:r>
      <w:r>
        <w:rPr>
          <w:lang w:val="es-ES"/>
        </w:rPr>
        <w:tab/>
        <w:t>Podrían considerarse las siguientes fuentes para financiar los costes de aplicación de las decisiones de la CMDT:</w:t>
      </w:r>
    </w:p>
    <w:p w14:paraId="3EEC6A13" w14:textId="77777777" w:rsidR="0010067A" w:rsidRPr="0070560B" w:rsidRDefault="0010067A" w:rsidP="00132EE4">
      <w:pPr>
        <w:pStyle w:val="enumlev1"/>
        <w:jc w:val="both"/>
        <w:rPr>
          <w:lang w:val="es-ES"/>
        </w:rPr>
      </w:pPr>
      <w:r>
        <w:rPr>
          <w:lang w:val="es-ES"/>
        </w:rPr>
        <w:t>–</w:t>
      </w:r>
      <w:r>
        <w:rPr>
          <w:lang w:val="es-ES"/>
        </w:rPr>
        <w:tab/>
        <w:t>ahorros gracias a la financiación proporcionada por el país anfitrión a la organización de la Conferencia, a reserva del acuerdo del país anfitrión;</w:t>
      </w:r>
    </w:p>
    <w:p w14:paraId="0EAE4288" w14:textId="77777777" w:rsidR="0010067A" w:rsidRPr="0070560B" w:rsidRDefault="0010067A" w:rsidP="00132EE4">
      <w:pPr>
        <w:pStyle w:val="enumlev1"/>
        <w:jc w:val="both"/>
        <w:rPr>
          <w:lang w:val="es-ES"/>
        </w:rPr>
      </w:pPr>
      <w:r>
        <w:rPr>
          <w:lang w:val="es-ES"/>
        </w:rPr>
        <w:t>–</w:t>
      </w:r>
      <w:r>
        <w:rPr>
          <w:lang w:val="es-ES"/>
        </w:rPr>
        <w:tab/>
        <w:t>contribuciones voluntarias;</w:t>
      </w:r>
    </w:p>
    <w:p w14:paraId="4E3B16E6" w14:textId="77777777" w:rsidR="0010067A" w:rsidRPr="0070560B" w:rsidRDefault="0010067A" w:rsidP="00132EE4">
      <w:pPr>
        <w:pStyle w:val="enumlev1"/>
        <w:jc w:val="both"/>
        <w:rPr>
          <w:lang w:val="es-ES"/>
        </w:rPr>
      </w:pPr>
      <w:r>
        <w:rPr>
          <w:lang w:val="es-ES"/>
        </w:rPr>
        <w:t>–</w:t>
      </w:r>
      <w:r>
        <w:rPr>
          <w:lang w:val="es-ES"/>
        </w:rPr>
        <w:tab/>
        <w:t>créditos adicionales con cargo al presupuesto ordinario, a reserva de las fuentes de ingresos adicionales identificadas.</w:t>
      </w:r>
    </w:p>
    <w:p w14:paraId="4BEA57EF" w14:textId="77777777" w:rsidR="0010067A" w:rsidRPr="0070560B" w:rsidRDefault="0010067A" w:rsidP="00132EE4">
      <w:pPr>
        <w:jc w:val="both"/>
        <w:rPr>
          <w:lang w:val="es-ES"/>
        </w:rPr>
      </w:pPr>
      <w:r>
        <w:rPr>
          <w:lang w:val="es-ES"/>
        </w:rPr>
        <w:t>2.4</w:t>
      </w:r>
      <w:r>
        <w:rPr>
          <w:lang w:val="es-ES"/>
        </w:rPr>
        <w:tab/>
        <w:t xml:space="preserve">En resumen, los gastos adicionales identificados en las diversas Resoluciones de la CMDT-25 se estiman en </w:t>
      </w:r>
      <w:r w:rsidRPr="00097D68">
        <w:rPr>
          <w:lang w:val="es-ES"/>
        </w:rPr>
        <w:t>4</w:t>
      </w:r>
      <w:r>
        <w:rPr>
          <w:lang w:val="es-ES"/>
        </w:rPr>
        <w:t>,</w:t>
      </w:r>
      <w:r w:rsidRPr="00097D68">
        <w:rPr>
          <w:lang w:val="es-ES"/>
        </w:rPr>
        <w:t xml:space="preserve">208 </w:t>
      </w:r>
      <w:r>
        <w:rPr>
          <w:lang w:val="es-ES"/>
        </w:rPr>
        <w:t>millones CHF para el periodo cuadrienal.</w:t>
      </w:r>
    </w:p>
    <w:p w14:paraId="783C589E" w14:textId="78FC2DBC" w:rsidR="0010067A" w:rsidRPr="0070560B" w:rsidRDefault="0010067A" w:rsidP="00132EE4">
      <w:pPr>
        <w:jc w:val="both"/>
        <w:rPr>
          <w:lang w:val="es-ES"/>
        </w:rPr>
      </w:pPr>
      <w:r>
        <w:rPr>
          <w:lang w:val="es-ES"/>
        </w:rPr>
        <w:t>2.5</w:t>
      </w:r>
      <w:r>
        <w:rPr>
          <w:lang w:val="es-ES"/>
        </w:rPr>
        <w:tab/>
        <w:t>La metodología de estimación de costes se había presentado en dos reuniones del GTC</w:t>
      </w:r>
      <w:r w:rsidR="00010ACF">
        <w:rPr>
          <w:lang w:val="es-ES"/>
        </w:rPr>
        <w:noBreakHyphen/>
      </w:r>
      <w:r>
        <w:rPr>
          <w:lang w:val="es-ES"/>
        </w:rPr>
        <w:t>RHF en 2025. La Secretaría seguirá colaborando estrechamente con los Miembros para mejorar los métodos de cálculo y la coherencia de las estimaciones.</w:t>
      </w:r>
    </w:p>
    <w:p w14:paraId="3E209BB6" w14:textId="77777777" w:rsidR="0010067A" w:rsidRPr="0070560B" w:rsidRDefault="0010067A" w:rsidP="00132EE4">
      <w:pPr>
        <w:jc w:val="both"/>
        <w:rPr>
          <w:lang w:val="es-ES"/>
        </w:rPr>
      </w:pPr>
      <w:r>
        <w:rPr>
          <w:lang w:val="es-ES"/>
        </w:rPr>
        <w:t>2.6</w:t>
      </w:r>
      <w:r>
        <w:rPr>
          <w:lang w:val="es-ES"/>
        </w:rPr>
        <w:tab/>
        <w:t xml:space="preserve">Se pidió a la CMDT, COM 2, que la colaboración de la BDT con otras oficinas (en particular la TSB) evite la duplicación de la aplicación de las Resoluciones. Esta colaboración entre los Sectores contribuirá a reducir las consecuencias financieras y seguirá garantizando una mayor eficacia en la aplicación de algunas Resoluciones. </w:t>
      </w:r>
    </w:p>
    <w:p w14:paraId="040267C4" w14:textId="77777777" w:rsidR="0010067A" w:rsidRPr="0070560B" w:rsidRDefault="0010067A" w:rsidP="00132EE4">
      <w:pPr>
        <w:jc w:val="both"/>
        <w:rPr>
          <w:lang w:val="es-ES"/>
        </w:rPr>
      </w:pPr>
      <w:r>
        <w:rPr>
          <w:lang w:val="es-ES"/>
        </w:rPr>
        <w:t>2.7</w:t>
      </w:r>
      <w:r>
        <w:rPr>
          <w:lang w:val="es-ES"/>
        </w:rPr>
        <w:tab/>
        <w:t>La Presidenta del GTC-RHF, tras constatar un superávit en la situación financiera de la Conferencia, propuso que dicho superávit se asignara para empezar a aplicar las Resoluciones con repercusiones financieras aprobadas en la presente Conferencia.</w:t>
      </w:r>
    </w:p>
    <w:p w14:paraId="6B538B17" w14:textId="77777777" w:rsidR="0010067A" w:rsidRPr="0070560B" w:rsidRDefault="0010067A" w:rsidP="00132EE4">
      <w:pPr>
        <w:jc w:val="both"/>
        <w:rPr>
          <w:lang w:val="es-ES"/>
        </w:rPr>
      </w:pPr>
      <w:r>
        <w:rPr>
          <w:lang w:val="es-ES"/>
        </w:rPr>
        <w:t>2.8</w:t>
      </w:r>
      <w:r>
        <w:rPr>
          <w:lang w:val="es-ES"/>
        </w:rPr>
        <w:tab/>
        <w:t>La Secretaría invita a los Estados Miembros a aportar contribuciones voluntarias para apoyar la aplicación de las Resoluciones de la CMDT y a facilitar orientaciones sobre fuentes de ingresos adicionales. La Secretaría se esforzará por formular una recomendación al Consejo sobre la financiación del saldo de los costes, en función de la disponibilidad de las correspondientes fuentes de ingresos o ahorros.</w:t>
      </w:r>
    </w:p>
    <w:p w14:paraId="7F0BD6BB" w14:textId="77777777" w:rsidR="0010067A" w:rsidRPr="0070560B" w:rsidRDefault="0010067A" w:rsidP="00132EE4">
      <w:pPr>
        <w:jc w:val="both"/>
        <w:rPr>
          <w:lang w:val="es-ES"/>
        </w:rPr>
      </w:pPr>
      <w:r>
        <w:rPr>
          <w:lang w:val="es-ES"/>
        </w:rPr>
        <w:t>El cuadro del documento contiene un resumen general de las estimaciones para las Resoluciones nuevas y revisadas de la CMDT, como sigue:</w:t>
      </w:r>
    </w:p>
    <w:p w14:paraId="35C7943E" w14:textId="51B609C3" w:rsidR="0010067A" w:rsidRPr="0070560B" w:rsidRDefault="0010067A" w:rsidP="0010067A">
      <w:pPr>
        <w:pStyle w:val="Tabletitle"/>
        <w:rPr>
          <w:szCs w:val="24"/>
          <w:lang w:val="es-ES"/>
        </w:rPr>
      </w:pPr>
      <w:r>
        <w:rPr>
          <w:bCs/>
          <w:lang w:val="es-ES"/>
        </w:rPr>
        <w:lastRenderedPageBreak/>
        <w:t>Consecuencias financieras de las Resoluciones nuevas o modificadas</w:t>
      </w:r>
      <w:r w:rsidR="00010ACF">
        <w:rPr>
          <w:bCs/>
          <w:lang w:val="es-ES"/>
        </w:rPr>
        <w:br/>
      </w:r>
      <w:r>
        <w:rPr>
          <w:bCs/>
          <w:lang w:val="es-ES"/>
        </w:rPr>
        <w:t>de la CMDT-25</w:t>
      </w:r>
    </w:p>
    <w:tbl>
      <w:tblPr>
        <w:tblStyle w:val="TableGrid"/>
        <w:tblW w:w="10260" w:type="dxa"/>
        <w:jc w:val="center"/>
        <w:tblLayout w:type="fixed"/>
        <w:tblLook w:val="04A0" w:firstRow="1" w:lastRow="0" w:firstColumn="1" w:lastColumn="0" w:noHBand="0" w:noVBand="1"/>
      </w:tblPr>
      <w:tblGrid>
        <w:gridCol w:w="5800"/>
        <w:gridCol w:w="1348"/>
        <w:gridCol w:w="1472"/>
        <w:gridCol w:w="1640"/>
      </w:tblGrid>
      <w:tr w:rsidR="0010067A" w:rsidRPr="00624405" w14:paraId="09ED3176" w14:textId="77777777" w:rsidTr="001E5D39">
        <w:trPr>
          <w:cantSplit/>
          <w:tblHeader/>
          <w:jc w:val="center"/>
        </w:trPr>
        <w:tc>
          <w:tcPr>
            <w:tcW w:w="5800" w:type="dxa"/>
            <w:noWrap/>
            <w:hideMark/>
          </w:tcPr>
          <w:p w14:paraId="448ECC90" w14:textId="77777777" w:rsidR="0010067A" w:rsidRPr="0070560B" w:rsidRDefault="0010067A" w:rsidP="001E5D39">
            <w:pPr>
              <w:pStyle w:val="Tablehead"/>
              <w:rPr>
                <w:rFonts w:asciiTheme="minorHAnsi" w:hAnsiTheme="minorHAnsi" w:cstheme="minorHAnsi"/>
                <w:sz w:val="18"/>
                <w:szCs w:val="18"/>
                <w:lang w:val="es-ES" w:eastAsia="en-GB"/>
              </w:rPr>
            </w:pPr>
          </w:p>
        </w:tc>
        <w:tc>
          <w:tcPr>
            <w:tcW w:w="4460" w:type="dxa"/>
            <w:gridSpan w:val="3"/>
            <w:noWrap/>
            <w:hideMark/>
          </w:tcPr>
          <w:p w14:paraId="354A9970" w14:textId="77777777" w:rsidR="0010067A" w:rsidRPr="00624405" w:rsidRDefault="0010067A" w:rsidP="001E5D39">
            <w:pPr>
              <w:pStyle w:val="Tablehead"/>
              <w:rPr>
                <w:rFonts w:asciiTheme="minorHAnsi" w:hAnsiTheme="minorHAnsi" w:cstheme="minorHAnsi"/>
                <w:color w:val="000000"/>
                <w:sz w:val="18"/>
                <w:szCs w:val="18"/>
              </w:rPr>
            </w:pPr>
            <w:r>
              <w:rPr>
                <w:bCs/>
                <w:color w:val="000000"/>
                <w:lang w:val="es-ES"/>
              </w:rPr>
              <w:t>(000 CHF)</w:t>
            </w:r>
          </w:p>
        </w:tc>
      </w:tr>
      <w:tr w:rsidR="0010067A" w:rsidRPr="00132EE4" w14:paraId="5F29356F" w14:textId="77777777" w:rsidTr="001E5D39">
        <w:trPr>
          <w:cantSplit/>
          <w:tblHeader/>
          <w:jc w:val="center"/>
        </w:trPr>
        <w:tc>
          <w:tcPr>
            <w:tcW w:w="5800" w:type="dxa"/>
            <w:noWrap/>
            <w:hideMark/>
          </w:tcPr>
          <w:p w14:paraId="6B8F3230" w14:textId="77777777" w:rsidR="0010067A" w:rsidRPr="00624405" w:rsidRDefault="0010067A" w:rsidP="001E5D39">
            <w:pPr>
              <w:pStyle w:val="Tablehead"/>
            </w:pPr>
          </w:p>
        </w:tc>
        <w:tc>
          <w:tcPr>
            <w:tcW w:w="1348" w:type="dxa"/>
            <w:noWrap/>
            <w:hideMark/>
          </w:tcPr>
          <w:p w14:paraId="6F854FB9" w14:textId="77777777" w:rsidR="0010067A" w:rsidRPr="00624405" w:rsidRDefault="0010067A" w:rsidP="001E5D39">
            <w:pPr>
              <w:pStyle w:val="Tablehead"/>
            </w:pPr>
            <w:r>
              <w:rPr>
                <w:bCs/>
                <w:color w:val="000000"/>
                <w:lang w:val="es-ES"/>
              </w:rPr>
              <w:t>Alcance inicial</w:t>
            </w:r>
          </w:p>
        </w:tc>
        <w:tc>
          <w:tcPr>
            <w:tcW w:w="1472" w:type="dxa"/>
            <w:hideMark/>
          </w:tcPr>
          <w:p w14:paraId="685068D0" w14:textId="77777777" w:rsidR="0010067A" w:rsidRPr="0070560B" w:rsidRDefault="0010067A" w:rsidP="001E5D39">
            <w:pPr>
              <w:pStyle w:val="Tablehead"/>
              <w:rPr>
                <w:lang w:val="es-ES"/>
              </w:rPr>
            </w:pPr>
            <w:r>
              <w:rPr>
                <w:bCs/>
                <w:color w:val="000000"/>
                <w:lang w:val="es-ES"/>
              </w:rPr>
              <w:t>Costes recurrentes para un periodo de 3 años</w:t>
            </w:r>
          </w:p>
        </w:tc>
        <w:tc>
          <w:tcPr>
            <w:tcW w:w="1640" w:type="dxa"/>
            <w:hideMark/>
          </w:tcPr>
          <w:p w14:paraId="6FD1D019" w14:textId="77777777" w:rsidR="0010067A" w:rsidRPr="0070560B" w:rsidRDefault="0010067A" w:rsidP="001E5D39">
            <w:pPr>
              <w:pStyle w:val="Tablehead"/>
              <w:rPr>
                <w:lang w:val="es-ES"/>
              </w:rPr>
            </w:pPr>
            <w:r>
              <w:rPr>
                <w:bCs/>
                <w:color w:val="000000"/>
                <w:lang w:val="es-ES"/>
              </w:rPr>
              <w:t>Costes iniciales + costes recurrentes durante 3 años</w:t>
            </w:r>
          </w:p>
        </w:tc>
      </w:tr>
      <w:tr w:rsidR="0010067A" w:rsidRPr="00624405" w14:paraId="34E37B9B" w14:textId="77777777" w:rsidTr="001E5D39">
        <w:trPr>
          <w:cantSplit/>
          <w:jc w:val="center"/>
        </w:trPr>
        <w:tc>
          <w:tcPr>
            <w:tcW w:w="5800" w:type="dxa"/>
            <w:noWrap/>
            <w:hideMark/>
          </w:tcPr>
          <w:p w14:paraId="4AF3C1F5" w14:textId="77777777" w:rsidR="0010067A" w:rsidRPr="0070560B" w:rsidRDefault="0010067A" w:rsidP="001E5D39">
            <w:pPr>
              <w:pStyle w:val="Tabletext"/>
              <w:rPr>
                <w:rFonts w:asciiTheme="minorHAnsi" w:hAnsiTheme="minorHAnsi" w:cstheme="minorHAnsi"/>
                <w:b/>
                <w:bCs/>
                <w:color w:val="000000"/>
                <w:lang w:val="es-ES"/>
              </w:rPr>
            </w:pPr>
            <w:r>
              <w:rPr>
                <w:b/>
                <w:bCs/>
                <w:color w:val="000000"/>
                <w:lang w:val="es-ES"/>
              </w:rPr>
              <w:t>Nueva Resolución 91</w:t>
            </w:r>
            <w:r>
              <w:rPr>
                <w:color w:val="000000"/>
                <w:lang w:val="es-ES"/>
              </w:rPr>
              <w:t xml:space="preserve"> – IA para el desarrollo</w:t>
            </w:r>
          </w:p>
        </w:tc>
        <w:tc>
          <w:tcPr>
            <w:tcW w:w="1348" w:type="dxa"/>
            <w:noWrap/>
            <w:hideMark/>
          </w:tcPr>
          <w:p w14:paraId="0464BDA8" w14:textId="77777777" w:rsidR="0010067A" w:rsidRPr="00624405" w:rsidRDefault="0010067A" w:rsidP="001E5D39">
            <w:pPr>
              <w:pStyle w:val="Tabletext"/>
              <w:ind w:right="283"/>
              <w:jc w:val="right"/>
              <w:rPr>
                <w:rFonts w:asciiTheme="minorHAnsi" w:hAnsiTheme="minorHAnsi" w:cstheme="minorHAnsi"/>
                <w:color w:val="000000"/>
              </w:rPr>
            </w:pPr>
            <w:r>
              <w:rPr>
                <w:color w:val="000000"/>
                <w:lang w:val="es-ES"/>
              </w:rPr>
              <w:t>199</w:t>
            </w:r>
          </w:p>
        </w:tc>
        <w:tc>
          <w:tcPr>
            <w:tcW w:w="1472" w:type="dxa"/>
            <w:noWrap/>
            <w:hideMark/>
          </w:tcPr>
          <w:p w14:paraId="27CC8DDB" w14:textId="77777777" w:rsidR="0010067A" w:rsidRPr="00624405" w:rsidRDefault="0010067A" w:rsidP="001E5D39">
            <w:pPr>
              <w:pStyle w:val="Tabletext"/>
              <w:ind w:right="283"/>
              <w:jc w:val="right"/>
              <w:rPr>
                <w:rFonts w:asciiTheme="minorHAnsi" w:hAnsiTheme="minorHAnsi" w:cstheme="minorHAnsi"/>
                <w:color w:val="000000"/>
              </w:rPr>
            </w:pPr>
            <w:r>
              <w:rPr>
                <w:color w:val="000000"/>
                <w:lang w:val="es-ES"/>
              </w:rPr>
              <w:t>453</w:t>
            </w:r>
          </w:p>
        </w:tc>
        <w:tc>
          <w:tcPr>
            <w:tcW w:w="1640" w:type="dxa"/>
            <w:noWrap/>
            <w:hideMark/>
          </w:tcPr>
          <w:p w14:paraId="6D6ACA65" w14:textId="77777777" w:rsidR="0010067A" w:rsidRPr="00624405" w:rsidRDefault="0010067A" w:rsidP="001E5D39">
            <w:pPr>
              <w:pStyle w:val="Tabletext"/>
              <w:ind w:right="283"/>
              <w:jc w:val="right"/>
              <w:rPr>
                <w:rFonts w:asciiTheme="minorHAnsi" w:hAnsiTheme="minorHAnsi" w:cstheme="minorHAnsi"/>
                <w:b/>
                <w:bCs/>
                <w:color w:val="000000"/>
              </w:rPr>
            </w:pPr>
            <w:r>
              <w:rPr>
                <w:b/>
                <w:bCs/>
                <w:color w:val="000000"/>
                <w:lang w:val="es-ES"/>
              </w:rPr>
              <w:t>652</w:t>
            </w:r>
          </w:p>
        </w:tc>
      </w:tr>
      <w:tr w:rsidR="0010067A" w:rsidRPr="00624405" w14:paraId="575497FA" w14:textId="77777777" w:rsidTr="001E5D39">
        <w:trPr>
          <w:cantSplit/>
          <w:jc w:val="center"/>
        </w:trPr>
        <w:tc>
          <w:tcPr>
            <w:tcW w:w="5800" w:type="dxa"/>
            <w:hideMark/>
          </w:tcPr>
          <w:p w14:paraId="1609A6FA" w14:textId="77777777" w:rsidR="0010067A" w:rsidRPr="0070560B" w:rsidRDefault="0010067A" w:rsidP="001E5D39">
            <w:pPr>
              <w:pStyle w:val="Tabletext"/>
              <w:ind w:left="284" w:hanging="284"/>
              <w:rPr>
                <w:rFonts w:asciiTheme="minorHAnsi" w:hAnsiTheme="minorHAnsi" w:cstheme="minorHAnsi"/>
                <w:color w:val="000000"/>
                <w:lang w:val="es-ES"/>
              </w:rPr>
            </w:pPr>
            <w:r>
              <w:rPr>
                <w:color w:val="000000"/>
                <w:lang w:val="es-ES"/>
              </w:rPr>
              <w:t>–</w:t>
            </w:r>
            <w:r>
              <w:rPr>
                <w:color w:val="000000"/>
                <w:lang w:val="es-ES"/>
              </w:rPr>
              <w:tab/>
              <w:t xml:space="preserve">Experto desarrollará e implementará un servicio integrado de apoyo a la IA para los Estados Miembros </w:t>
            </w:r>
          </w:p>
        </w:tc>
        <w:tc>
          <w:tcPr>
            <w:tcW w:w="1348" w:type="dxa"/>
            <w:noWrap/>
            <w:hideMark/>
          </w:tcPr>
          <w:p w14:paraId="0B578B1B" w14:textId="77777777" w:rsidR="0010067A" w:rsidRPr="00624405" w:rsidRDefault="0010067A" w:rsidP="001E5D39">
            <w:pPr>
              <w:pStyle w:val="Tabletext"/>
              <w:ind w:right="283"/>
              <w:jc w:val="right"/>
              <w:rPr>
                <w:rFonts w:asciiTheme="minorHAnsi" w:hAnsiTheme="minorHAnsi" w:cstheme="minorHAnsi"/>
                <w:color w:val="000000"/>
              </w:rPr>
            </w:pPr>
            <w:r>
              <w:rPr>
                <w:color w:val="000000"/>
                <w:lang w:val="es-ES"/>
              </w:rPr>
              <w:t>96</w:t>
            </w:r>
          </w:p>
        </w:tc>
        <w:tc>
          <w:tcPr>
            <w:tcW w:w="1472" w:type="dxa"/>
            <w:noWrap/>
            <w:hideMark/>
          </w:tcPr>
          <w:p w14:paraId="38804CD2" w14:textId="77777777" w:rsidR="0010067A" w:rsidRPr="00624405" w:rsidRDefault="0010067A" w:rsidP="001E5D39">
            <w:pPr>
              <w:pStyle w:val="Tabletext"/>
              <w:ind w:right="283"/>
              <w:jc w:val="right"/>
              <w:rPr>
                <w:rFonts w:asciiTheme="minorHAnsi" w:hAnsiTheme="minorHAnsi" w:cstheme="minorHAnsi"/>
                <w:color w:val="000000"/>
              </w:rPr>
            </w:pPr>
            <w:r>
              <w:rPr>
                <w:color w:val="000000"/>
                <w:lang w:val="es-ES"/>
              </w:rPr>
              <w:t>144</w:t>
            </w:r>
          </w:p>
        </w:tc>
        <w:tc>
          <w:tcPr>
            <w:tcW w:w="1640" w:type="dxa"/>
            <w:noWrap/>
            <w:hideMark/>
          </w:tcPr>
          <w:p w14:paraId="2D0FEF1B" w14:textId="77777777" w:rsidR="0010067A" w:rsidRPr="00624405" w:rsidRDefault="0010067A" w:rsidP="001E5D39">
            <w:pPr>
              <w:pStyle w:val="Tabletext"/>
              <w:ind w:right="283"/>
              <w:jc w:val="right"/>
              <w:rPr>
                <w:rFonts w:asciiTheme="minorHAnsi" w:hAnsiTheme="minorHAnsi" w:cstheme="minorHAnsi"/>
                <w:color w:val="000000"/>
              </w:rPr>
            </w:pPr>
            <w:r>
              <w:rPr>
                <w:color w:val="000000"/>
                <w:lang w:val="es-ES"/>
              </w:rPr>
              <w:t>240</w:t>
            </w:r>
          </w:p>
        </w:tc>
      </w:tr>
      <w:tr w:rsidR="0010067A" w:rsidRPr="00624405" w14:paraId="470EDB7A" w14:textId="77777777" w:rsidTr="001E5D39">
        <w:trPr>
          <w:cantSplit/>
          <w:jc w:val="center"/>
        </w:trPr>
        <w:tc>
          <w:tcPr>
            <w:tcW w:w="5800" w:type="dxa"/>
            <w:noWrap/>
            <w:hideMark/>
          </w:tcPr>
          <w:p w14:paraId="6357425C" w14:textId="77777777" w:rsidR="0010067A" w:rsidRPr="0070560B" w:rsidRDefault="0010067A" w:rsidP="001E5D39">
            <w:pPr>
              <w:pStyle w:val="Tabletext"/>
              <w:ind w:left="284" w:hanging="284"/>
              <w:rPr>
                <w:rFonts w:asciiTheme="minorHAnsi" w:hAnsiTheme="minorHAnsi" w:cstheme="minorHAnsi"/>
                <w:color w:val="000000"/>
                <w:lang w:val="es-ES"/>
              </w:rPr>
            </w:pPr>
            <w:r>
              <w:rPr>
                <w:color w:val="000000"/>
                <w:lang w:val="es-ES"/>
              </w:rPr>
              <w:t>–</w:t>
            </w:r>
            <w:r>
              <w:rPr>
                <w:color w:val="000000"/>
                <w:lang w:val="es-ES"/>
              </w:rPr>
              <w:tab/>
              <w:t>Organización de cursos de formación y becas</w:t>
            </w:r>
          </w:p>
        </w:tc>
        <w:tc>
          <w:tcPr>
            <w:tcW w:w="1348" w:type="dxa"/>
            <w:noWrap/>
            <w:hideMark/>
          </w:tcPr>
          <w:p w14:paraId="2599BCE2" w14:textId="77777777" w:rsidR="0010067A" w:rsidRPr="00624405" w:rsidRDefault="0010067A" w:rsidP="001E5D39">
            <w:pPr>
              <w:pStyle w:val="Tabletext"/>
              <w:ind w:right="283"/>
              <w:jc w:val="right"/>
              <w:rPr>
                <w:rFonts w:asciiTheme="minorHAnsi" w:hAnsiTheme="minorHAnsi" w:cstheme="minorHAnsi"/>
                <w:color w:val="000000"/>
              </w:rPr>
            </w:pPr>
            <w:r>
              <w:rPr>
                <w:color w:val="000000"/>
                <w:lang w:val="es-ES"/>
              </w:rPr>
              <w:t>60</w:t>
            </w:r>
          </w:p>
        </w:tc>
        <w:tc>
          <w:tcPr>
            <w:tcW w:w="1472" w:type="dxa"/>
            <w:noWrap/>
            <w:hideMark/>
          </w:tcPr>
          <w:p w14:paraId="15EFEE70" w14:textId="77777777" w:rsidR="0010067A" w:rsidRPr="00624405" w:rsidRDefault="0010067A" w:rsidP="001E5D39">
            <w:pPr>
              <w:pStyle w:val="Tabletext"/>
              <w:ind w:right="283"/>
              <w:jc w:val="right"/>
              <w:rPr>
                <w:rFonts w:asciiTheme="minorHAnsi" w:hAnsiTheme="minorHAnsi" w:cstheme="minorHAnsi"/>
                <w:color w:val="000000"/>
              </w:rPr>
            </w:pPr>
            <w:r>
              <w:rPr>
                <w:color w:val="000000"/>
                <w:lang w:val="es-ES"/>
              </w:rPr>
              <w:t>180</w:t>
            </w:r>
          </w:p>
        </w:tc>
        <w:tc>
          <w:tcPr>
            <w:tcW w:w="1640" w:type="dxa"/>
            <w:noWrap/>
            <w:hideMark/>
          </w:tcPr>
          <w:p w14:paraId="309B0B57" w14:textId="77777777" w:rsidR="0010067A" w:rsidRPr="00624405" w:rsidRDefault="0010067A" w:rsidP="001E5D39">
            <w:pPr>
              <w:pStyle w:val="Tabletext"/>
              <w:ind w:right="283"/>
              <w:jc w:val="right"/>
              <w:rPr>
                <w:rFonts w:asciiTheme="minorHAnsi" w:hAnsiTheme="minorHAnsi" w:cstheme="minorHAnsi"/>
                <w:color w:val="000000"/>
              </w:rPr>
            </w:pPr>
            <w:r>
              <w:rPr>
                <w:color w:val="000000"/>
                <w:lang w:val="es-ES"/>
              </w:rPr>
              <w:t>240</w:t>
            </w:r>
          </w:p>
        </w:tc>
      </w:tr>
      <w:tr w:rsidR="0010067A" w:rsidRPr="00624405" w14:paraId="22C5023F" w14:textId="77777777" w:rsidTr="001E5D39">
        <w:trPr>
          <w:cantSplit/>
          <w:jc w:val="center"/>
        </w:trPr>
        <w:tc>
          <w:tcPr>
            <w:tcW w:w="5800" w:type="dxa"/>
            <w:noWrap/>
            <w:hideMark/>
          </w:tcPr>
          <w:p w14:paraId="2006AD1E" w14:textId="77777777" w:rsidR="0010067A" w:rsidRPr="00624405" w:rsidRDefault="0010067A" w:rsidP="001E5D39">
            <w:pPr>
              <w:pStyle w:val="Tabletext"/>
              <w:ind w:left="284" w:hanging="284"/>
              <w:rPr>
                <w:rFonts w:asciiTheme="minorHAnsi" w:hAnsiTheme="minorHAnsi" w:cstheme="minorHAnsi"/>
                <w:color w:val="000000"/>
              </w:rPr>
            </w:pPr>
            <w:r>
              <w:rPr>
                <w:color w:val="000000"/>
                <w:lang w:val="es-ES"/>
              </w:rPr>
              <w:t>–</w:t>
            </w:r>
            <w:r>
              <w:rPr>
                <w:color w:val="000000"/>
                <w:lang w:val="es-ES"/>
              </w:rPr>
              <w:tab/>
              <w:t>Traducción (+ tratamiento de textos)</w:t>
            </w:r>
          </w:p>
        </w:tc>
        <w:tc>
          <w:tcPr>
            <w:tcW w:w="1348" w:type="dxa"/>
            <w:noWrap/>
            <w:hideMark/>
          </w:tcPr>
          <w:p w14:paraId="3B2C0A8D" w14:textId="77777777" w:rsidR="0010067A" w:rsidRPr="00624405" w:rsidRDefault="0010067A" w:rsidP="001E5D39">
            <w:pPr>
              <w:pStyle w:val="Tabletext"/>
              <w:ind w:right="283"/>
              <w:jc w:val="right"/>
              <w:rPr>
                <w:rFonts w:asciiTheme="minorHAnsi" w:hAnsiTheme="minorHAnsi" w:cstheme="minorHAnsi"/>
                <w:color w:val="000000"/>
              </w:rPr>
            </w:pPr>
            <w:r>
              <w:rPr>
                <w:color w:val="000000"/>
                <w:lang w:val="es-ES"/>
              </w:rPr>
              <w:t>43</w:t>
            </w:r>
          </w:p>
        </w:tc>
        <w:tc>
          <w:tcPr>
            <w:tcW w:w="1472" w:type="dxa"/>
            <w:noWrap/>
            <w:hideMark/>
          </w:tcPr>
          <w:p w14:paraId="239D94F9" w14:textId="77777777" w:rsidR="0010067A" w:rsidRPr="00624405" w:rsidRDefault="0010067A" w:rsidP="001E5D39">
            <w:pPr>
              <w:pStyle w:val="Tabletext"/>
              <w:ind w:right="283"/>
              <w:jc w:val="right"/>
              <w:rPr>
                <w:rFonts w:asciiTheme="minorHAnsi" w:hAnsiTheme="minorHAnsi" w:cstheme="minorHAnsi"/>
                <w:color w:val="000000"/>
              </w:rPr>
            </w:pPr>
            <w:r>
              <w:rPr>
                <w:color w:val="000000"/>
                <w:lang w:val="es-ES"/>
              </w:rPr>
              <w:t>129</w:t>
            </w:r>
          </w:p>
        </w:tc>
        <w:tc>
          <w:tcPr>
            <w:tcW w:w="1640" w:type="dxa"/>
            <w:noWrap/>
            <w:hideMark/>
          </w:tcPr>
          <w:p w14:paraId="6F68CE73" w14:textId="77777777" w:rsidR="0010067A" w:rsidRPr="00624405" w:rsidRDefault="0010067A" w:rsidP="001E5D39">
            <w:pPr>
              <w:pStyle w:val="Tabletext"/>
              <w:ind w:right="283"/>
              <w:jc w:val="right"/>
              <w:rPr>
                <w:rFonts w:asciiTheme="minorHAnsi" w:hAnsiTheme="minorHAnsi" w:cstheme="minorHAnsi"/>
                <w:color w:val="000000"/>
              </w:rPr>
            </w:pPr>
            <w:r>
              <w:rPr>
                <w:color w:val="000000"/>
                <w:lang w:val="es-ES"/>
              </w:rPr>
              <w:t>172</w:t>
            </w:r>
          </w:p>
        </w:tc>
      </w:tr>
      <w:tr w:rsidR="0010067A" w:rsidRPr="00624405" w14:paraId="5D5CC343" w14:textId="77777777" w:rsidTr="001E5D39">
        <w:trPr>
          <w:cantSplit/>
          <w:jc w:val="center"/>
        </w:trPr>
        <w:tc>
          <w:tcPr>
            <w:tcW w:w="5800" w:type="dxa"/>
            <w:noWrap/>
            <w:hideMark/>
          </w:tcPr>
          <w:p w14:paraId="7AF3F716" w14:textId="77777777" w:rsidR="0010067A" w:rsidRPr="00624405" w:rsidRDefault="0010067A" w:rsidP="001E5D39">
            <w:pPr>
              <w:pStyle w:val="Tabletext"/>
              <w:rPr>
                <w:rFonts w:asciiTheme="minorHAnsi" w:hAnsiTheme="minorHAnsi" w:cstheme="minorHAnsi"/>
                <w:color w:val="000000"/>
                <w:sz w:val="10"/>
                <w:szCs w:val="10"/>
                <w:lang w:eastAsia="en-GB"/>
              </w:rPr>
            </w:pPr>
          </w:p>
        </w:tc>
        <w:tc>
          <w:tcPr>
            <w:tcW w:w="1348" w:type="dxa"/>
            <w:noWrap/>
            <w:hideMark/>
          </w:tcPr>
          <w:p w14:paraId="7C5AFCC7" w14:textId="77777777" w:rsidR="0010067A" w:rsidRPr="00624405" w:rsidRDefault="0010067A" w:rsidP="001E5D39">
            <w:pPr>
              <w:pStyle w:val="Tabletext"/>
              <w:jc w:val="center"/>
              <w:rPr>
                <w:rFonts w:asciiTheme="minorHAnsi" w:hAnsiTheme="minorHAnsi" w:cstheme="minorHAnsi"/>
                <w:color w:val="000000"/>
                <w:sz w:val="10"/>
                <w:szCs w:val="10"/>
                <w:lang w:eastAsia="en-GB"/>
              </w:rPr>
            </w:pPr>
          </w:p>
        </w:tc>
        <w:tc>
          <w:tcPr>
            <w:tcW w:w="1472" w:type="dxa"/>
            <w:noWrap/>
            <w:hideMark/>
          </w:tcPr>
          <w:p w14:paraId="49A04CD0" w14:textId="77777777" w:rsidR="0010067A" w:rsidRPr="00624405" w:rsidRDefault="0010067A" w:rsidP="001E5D39">
            <w:pPr>
              <w:pStyle w:val="Tabletext"/>
              <w:jc w:val="center"/>
              <w:rPr>
                <w:rFonts w:asciiTheme="minorHAnsi" w:hAnsiTheme="minorHAnsi" w:cstheme="minorHAnsi"/>
                <w:color w:val="000000"/>
                <w:sz w:val="10"/>
                <w:szCs w:val="10"/>
                <w:lang w:eastAsia="en-GB"/>
              </w:rPr>
            </w:pPr>
          </w:p>
        </w:tc>
        <w:tc>
          <w:tcPr>
            <w:tcW w:w="1640" w:type="dxa"/>
            <w:noWrap/>
            <w:hideMark/>
          </w:tcPr>
          <w:p w14:paraId="25AF9E68" w14:textId="77777777" w:rsidR="0010067A" w:rsidRPr="00624405" w:rsidRDefault="0010067A" w:rsidP="001E5D39">
            <w:pPr>
              <w:pStyle w:val="Tabletext"/>
              <w:jc w:val="center"/>
              <w:rPr>
                <w:rFonts w:asciiTheme="minorHAnsi" w:hAnsiTheme="minorHAnsi" w:cstheme="minorHAnsi"/>
                <w:color w:val="000000"/>
                <w:sz w:val="10"/>
                <w:szCs w:val="10"/>
                <w:lang w:eastAsia="en-GB"/>
              </w:rPr>
            </w:pPr>
          </w:p>
        </w:tc>
      </w:tr>
      <w:tr w:rsidR="0010067A" w:rsidRPr="00624405" w14:paraId="40627520" w14:textId="77777777" w:rsidTr="001E5D39">
        <w:trPr>
          <w:cantSplit/>
          <w:jc w:val="center"/>
        </w:trPr>
        <w:tc>
          <w:tcPr>
            <w:tcW w:w="5800" w:type="dxa"/>
            <w:hideMark/>
          </w:tcPr>
          <w:p w14:paraId="4ABBC61E" w14:textId="77777777" w:rsidR="0010067A" w:rsidRPr="0070560B" w:rsidRDefault="0010067A" w:rsidP="001E5D39">
            <w:pPr>
              <w:pStyle w:val="Tabletext"/>
              <w:keepNext/>
              <w:rPr>
                <w:rFonts w:asciiTheme="minorHAnsi" w:hAnsiTheme="minorHAnsi" w:cstheme="minorHAnsi"/>
                <w:color w:val="000000"/>
                <w:lang w:val="es-ES"/>
              </w:rPr>
            </w:pPr>
            <w:r w:rsidRPr="00BD323D">
              <w:rPr>
                <w:b/>
                <w:bCs/>
                <w:color w:val="000000"/>
                <w:lang w:val="es-ES"/>
              </w:rPr>
              <w:t>Resolución 34</w:t>
            </w:r>
            <w:r>
              <w:rPr>
                <w:color w:val="000000"/>
                <w:lang w:val="es-ES"/>
              </w:rPr>
              <w:t xml:space="preserve"> – Función de las telecomunicaciones/tecnologías de la información y la comunicación en la preparación, alerta temprana, rescate, mitigación, socorro y respuesta en situaciones de catástrofe</w:t>
            </w:r>
          </w:p>
        </w:tc>
        <w:tc>
          <w:tcPr>
            <w:tcW w:w="1348" w:type="dxa"/>
            <w:noWrap/>
            <w:hideMark/>
          </w:tcPr>
          <w:p w14:paraId="20AC5281" w14:textId="77777777" w:rsidR="0010067A" w:rsidRPr="00624405" w:rsidRDefault="0010067A" w:rsidP="001E5D39">
            <w:pPr>
              <w:pStyle w:val="Tabletext"/>
              <w:keepNext/>
              <w:ind w:right="283"/>
              <w:jc w:val="right"/>
              <w:rPr>
                <w:rFonts w:asciiTheme="minorHAnsi" w:hAnsiTheme="minorHAnsi" w:cstheme="minorHAnsi"/>
                <w:color w:val="000000"/>
              </w:rPr>
            </w:pPr>
            <w:r>
              <w:rPr>
                <w:color w:val="000000"/>
                <w:lang w:val="es-ES"/>
              </w:rPr>
              <w:t>156</w:t>
            </w:r>
          </w:p>
        </w:tc>
        <w:tc>
          <w:tcPr>
            <w:tcW w:w="1472" w:type="dxa"/>
            <w:noWrap/>
            <w:hideMark/>
          </w:tcPr>
          <w:p w14:paraId="0DE5DE08" w14:textId="77777777" w:rsidR="0010067A" w:rsidRPr="00624405" w:rsidRDefault="0010067A" w:rsidP="001E5D39">
            <w:pPr>
              <w:pStyle w:val="Tabletext"/>
              <w:keepNext/>
              <w:ind w:right="283"/>
              <w:jc w:val="right"/>
              <w:rPr>
                <w:rFonts w:asciiTheme="minorHAnsi" w:hAnsiTheme="minorHAnsi" w:cstheme="minorHAnsi"/>
                <w:color w:val="000000"/>
              </w:rPr>
            </w:pPr>
            <w:r>
              <w:rPr>
                <w:color w:val="000000"/>
                <w:lang w:val="es-ES"/>
              </w:rPr>
              <w:t>468</w:t>
            </w:r>
          </w:p>
        </w:tc>
        <w:tc>
          <w:tcPr>
            <w:tcW w:w="1640" w:type="dxa"/>
            <w:noWrap/>
            <w:hideMark/>
          </w:tcPr>
          <w:p w14:paraId="4683911A" w14:textId="77777777" w:rsidR="0010067A" w:rsidRPr="00624405" w:rsidRDefault="0010067A" w:rsidP="001E5D39">
            <w:pPr>
              <w:pStyle w:val="Tabletext"/>
              <w:keepNext/>
              <w:ind w:right="283"/>
              <w:jc w:val="right"/>
              <w:rPr>
                <w:rFonts w:asciiTheme="minorHAnsi" w:hAnsiTheme="minorHAnsi" w:cstheme="minorHAnsi"/>
                <w:b/>
                <w:bCs/>
                <w:color w:val="000000"/>
              </w:rPr>
            </w:pPr>
            <w:r>
              <w:rPr>
                <w:b/>
                <w:bCs/>
                <w:color w:val="000000"/>
                <w:lang w:val="es-ES"/>
              </w:rPr>
              <w:t>624</w:t>
            </w:r>
          </w:p>
        </w:tc>
      </w:tr>
      <w:tr w:rsidR="0010067A" w:rsidRPr="00624405" w14:paraId="41C0A78C" w14:textId="77777777" w:rsidTr="001E5D39">
        <w:trPr>
          <w:cantSplit/>
          <w:jc w:val="center"/>
        </w:trPr>
        <w:tc>
          <w:tcPr>
            <w:tcW w:w="5800" w:type="dxa"/>
            <w:hideMark/>
          </w:tcPr>
          <w:p w14:paraId="1C342EEF" w14:textId="77777777" w:rsidR="0010067A" w:rsidRPr="0070560B" w:rsidRDefault="0010067A" w:rsidP="001E5D39">
            <w:pPr>
              <w:pStyle w:val="Tabletext"/>
              <w:ind w:left="284" w:hanging="284"/>
              <w:rPr>
                <w:rFonts w:asciiTheme="minorHAnsi" w:hAnsiTheme="minorHAnsi" w:cstheme="minorHAnsi"/>
                <w:color w:val="000000"/>
                <w:lang w:val="es-ES"/>
              </w:rPr>
            </w:pPr>
            <w:r>
              <w:rPr>
                <w:color w:val="000000"/>
                <w:lang w:val="es-ES"/>
              </w:rPr>
              <w:t>–</w:t>
            </w:r>
            <w:r>
              <w:rPr>
                <w:color w:val="000000"/>
                <w:lang w:val="es-ES"/>
              </w:rPr>
              <w:tab/>
              <w:t>Experto para prestar asistencia técnica y apoyo en materia de capacitación a los Estados Miembros</w:t>
            </w:r>
          </w:p>
        </w:tc>
        <w:tc>
          <w:tcPr>
            <w:tcW w:w="1348" w:type="dxa"/>
            <w:noWrap/>
            <w:hideMark/>
          </w:tcPr>
          <w:p w14:paraId="18F9464B" w14:textId="77777777" w:rsidR="0010067A" w:rsidRPr="00624405" w:rsidRDefault="0010067A" w:rsidP="001E5D39">
            <w:pPr>
              <w:pStyle w:val="Tabletext"/>
              <w:ind w:right="283"/>
              <w:jc w:val="right"/>
              <w:rPr>
                <w:rFonts w:asciiTheme="minorHAnsi" w:hAnsiTheme="minorHAnsi" w:cstheme="minorHAnsi"/>
                <w:color w:val="000000"/>
              </w:rPr>
            </w:pPr>
            <w:r>
              <w:rPr>
                <w:color w:val="000000"/>
                <w:lang w:val="es-ES"/>
              </w:rPr>
              <w:t>96</w:t>
            </w:r>
          </w:p>
        </w:tc>
        <w:tc>
          <w:tcPr>
            <w:tcW w:w="1472" w:type="dxa"/>
            <w:noWrap/>
            <w:hideMark/>
          </w:tcPr>
          <w:p w14:paraId="2E0A58F4" w14:textId="77777777" w:rsidR="0010067A" w:rsidRPr="00624405" w:rsidRDefault="0010067A" w:rsidP="001E5D39">
            <w:pPr>
              <w:pStyle w:val="Tabletext"/>
              <w:ind w:right="283"/>
              <w:jc w:val="right"/>
              <w:rPr>
                <w:rFonts w:asciiTheme="minorHAnsi" w:hAnsiTheme="minorHAnsi" w:cstheme="minorHAnsi"/>
                <w:color w:val="000000"/>
              </w:rPr>
            </w:pPr>
            <w:r>
              <w:rPr>
                <w:color w:val="000000"/>
                <w:lang w:val="es-ES"/>
              </w:rPr>
              <w:t>288</w:t>
            </w:r>
          </w:p>
        </w:tc>
        <w:tc>
          <w:tcPr>
            <w:tcW w:w="1640" w:type="dxa"/>
            <w:noWrap/>
            <w:hideMark/>
          </w:tcPr>
          <w:p w14:paraId="5E035AD6" w14:textId="77777777" w:rsidR="0010067A" w:rsidRPr="00624405" w:rsidRDefault="0010067A" w:rsidP="001E5D39">
            <w:pPr>
              <w:pStyle w:val="Tabletext"/>
              <w:ind w:right="283"/>
              <w:jc w:val="right"/>
              <w:rPr>
                <w:rFonts w:asciiTheme="minorHAnsi" w:hAnsiTheme="minorHAnsi" w:cstheme="minorHAnsi"/>
                <w:color w:val="000000"/>
              </w:rPr>
            </w:pPr>
            <w:r>
              <w:rPr>
                <w:color w:val="000000"/>
                <w:lang w:val="es-ES"/>
              </w:rPr>
              <w:t>384</w:t>
            </w:r>
          </w:p>
        </w:tc>
      </w:tr>
      <w:tr w:rsidR="0010067A" w:rsidRPr="00624405" w14:paraId="3DD0E660" w14:textId="77777777" w:rsidTr="001E5D39">
        <w:trPr>
          <w:cantSplit/>
          <w:jc w:val="center"/>
        </w:trPr>
        <w:tc>
          <w:tcPr>
            <w:tcW w:w="5800" w:type="dxa"/>
            <w:noWrap/>
            <w:hideMark/>
          </w:tcPr>
          <w:p w14:paraId="16E87D9A" w14:textId="77777777" w:rsidR="0010067A" w:rsidRPr="0070560B" w:rsidRDefault="0010067A" w:rsidP="001E5D39">
            <w:pPr>
              <w:pStyle w:val="Tabletext"/>
              <w:ind w:left="284" w:hanging="284"/>
              <w:rPr>
                <w:rFonts w:asciiTheme="minorHAnsi" w:hAnsiTheme="minorHAnsi" w:cstheme="minorHAnsi"/>
                <w:color w:val="000000"/>
                <w:lang w:val="es-ES"/>
              </w:rPr>
            </w:pPr>
            <w:r>
              <w:rPr>
                <w:color w:val="000000"/>
                <w:lang w:val="es-ES"/>
              </w:rPr>
              <w:t>–</w:t>
            </w:r>
            <w:r>
              <w:rPr>
                <w:color w:val="000000"/>
                <w:lang w:val="es-ES"/>
              </w:rPr>
              <w:tab/>
              <w:t>Organización de cursos de formación y becas (IA para EW4All)</w:t>
            </w:r>
          </w:p>
        </w:tc>
        <w:tc>
          <w:tcPr>
            <w:tcW w:w="1348" w:type="dxa"/>
            <w:noWrap/>
            <w:hideMark/>
          </w:tcPr>
          <w:p w14:paraId="70274B51" w14:textId="77777777" w:rsidR="0010067A" w:rsidRPr="00624405" w:rsidRDefault="0010067A" w:rsidP="001E5D39">
            <w:pPr>
              <w:pStyle w:val="Tabletext"/>
              <w:ind w:right="283"/>
              <w:jc w:val="right"/>
              <w:rPr>
                <w:rFonts w:asciiTheme="minorHAnsi" w:hAnsiTheme="minorHAnsi" w:cstheme="minorHAnsi"/>
                <w:color w:val="000000"/>
              </w:rPr>
            </w:pPr>
            <w:r>
              <w:rPr>
                <w:color w:val="000000"/>
                <w:lang w:val="es-ES"/>
              </w:rPr>
              <w:t>60</w:t>
            </w:r>
          </w:p>
        </w:tc>
        <w:tc>
          <w:tcPr>
            <w:tcW w:w="1472" w:type="dxa"/>
            <w:noWrap/>
            <w:hideMark/>
          </w:tcPr>
          <w:p w14:paraId="2E81627B" w14:textId="77777777" w:rsidR="0010067A" w:rsidRPr="00624405" w:rsidRDefault="0010067A" w:rsidP="001E5D39">
            <w:pPr>
              <w:pStyle w:val="Tabletext"/>
              <w:ind w:right="283"/>
              <w:jc w:val="right"/>
              <w:rPr>
                <w:rFonts w:asciiTheme="minorHAnsi" w:hAnsiTheme="minorHAnsi" w:cstheme="minorHAnsi"/>
                <w:color w:val="000000"/>
              </w:rPr>
            </w:pPr>
            <w:r>
              <w:rPr>
                <w:color w:val="000000"/>
                <w:lang w:val="es-ES"/>
              </w:rPr>
              <w:t>180</w:t>
            </w:r>
          </w:p>
        </w:tc>
        <w:tc>
          <w:tcPr>
            <w:tcW w:w="1640" w:type="dxa"/>
            <w:noWrap/>
            <w:hideMark/>
          </w:tcPr>
          <w:p w14:paraId="34ABCC7F" w14:textId="77777777" w:rsidR="0010067A" w:rsidRPr="00624405" w:rsidRDefault="0010067A" w:rsidP="001E5D39">
            <w:pPr>
              <w:pStyle w:val="Tabletext"/>
              <w:ind w:right="283"/>
              <w:jc w:val="right"/>
              <w:rPr>
                <w:rFonts w:asciiTheme="minorHAnsi" w:hAnsiTheme="minorHAnsi" w:cstheme="minorHAnsi"/>
                <w:color w:val="000000"/>
              </w:rPr>
            </w:pPr>
            <w:r>
              <w:rPr>
                <w:color w:val="000000"/>
                <w:lang w:val="es-ES"/>
              </w:rPr>
              <w:t>240</w:t>
            </w:r>
          </w:p>
        </w:tc>
      </w:tr>
      <w:tr w:rsidR="0010067A" w:rsidRPr="00624405" w14:paraId="167259ED" w14:textId="77777777" w:rsidTr="001E5D39">
        <w:trPr>
          <w:cantSplit/>
          <w:jc w:val="center"/>
        </w:trPr>
        <w:tc>
          <w:tcPr>
            <w:tcW w:w="5800" w:type="dxa"/>
            <w:noWrap/>
            <w:hideMark/>
          </w:tcPr>
          <w:p w14:paraId="1222BA3C" w14:textId="77777777" w:rsidR="0010067A" w:rsidRPr="00624405" w:rsidRDefault="0010067A" w:rsidP="001E5D39">
            <w:pPr>
              <w:pStyle w:val="Tabletext"/>
              <w:rPr>
                <w:rFonts w:asciiTheme="minorHAnsi" w:hAnsiTheme="minorHAnsi" w:cstheme="minorHAnsi"/>
                <w:color w:val="000000"/>
                <w:sz w:val="10"/>
                <w:szCs w:val="10"/>
                <w:lang w:eastAsia="en-GB"/>
              </w:rPr>
            </w:pPr>
            <w:r>
              <w:rPr>
                <w:rFonts w:asciiTheme="minorHAnsi" w:hAnsiTheme="minorHAnsi" w:cstheme="minorHAnsi"/>
                <w:color w:val="000000"/>
                <w:sz w:val="10"/>
                <w:szCs w:val="10"/>
                <w:lang w:eastAsia="en-GB"/>
              </w:rPr>
              <w:t xml:space="preserve"> </w:t>
            </w:r>
          </w:p>
        </w:tc>
        <w:tc>
          <w:tcPr>
            <w:tcW w:w="1348" w:type="dxa"/>
            <w:noWrap/>
            <w:hideMark/>
          </w:tcPr>
          <w:p w14:paraId="594F3C9A" w14:textId="77777777" w:rsidR="0010067A" w:rsidRPr="00624405" w:rsidRDefault="0010067A" w:rsidP="001E5D39">
            <w:pPr>
              <w:pStyle w:val="Tabletext"/>
              <w:jc w:val="center"/>
              <w:rPr>
                <w:rFonts w:asciiTheme="minorHAnsi" w:hAnsiTheme="minorHAnsi" w:cstheme="minorHAnsi"/>
                <w:color w:val="000000"/>
                <w:sz w:val="10"/>
                <w:szCs w:val="10"/>
                <w:lang w:eastAsia="en-GB"/>
              </w:rPr>
            </w:pPr>
          </w:p>
        </w:tc>
        <w:tc>
          <w:tcPr>
            <w:tcW w:w="1472" w:type="dxa"/>
            <w:noWrap/>
            <w:hideMark/>
          </w:tcPr>
          <w:p w14:paraId="4FD4D19C" w14:textId="77777777" w:rsidR="0010067A" w:rsidRPr="00624405" w:rsidRDefault="0010067A" w:rsidP="001E5D39">
            <w:pPr>
              <w:pStyle w:val="Tabletext"/>
              <w:jc w:val="center"/>
              <w:rPr>
                <w:rFonts w:asciiTheme="minorHAnsi" w:hAnsiTheme="minorHAnsi" w:cstheme="minorHAnsi"/>
                <w:color w:val="000000"/>
                <w:sz w:val="10"/>
                <w:szCs w:val="10"/>
                <w:lang w:eastAsia="en-GB"/>
              </w:rPr>
            </w:pPr>
          </w:p>
        </w:tc>
        <w:tc>
          <w:tcPr>
            <w:tcW w:w="1640" w:type="dxa"/>
            <w:noWrap/>
            <w:hideMark/>
          </w:tcPr>
          <w:p w14:paraId="327A3C91" w14:textId="77777777" w:rsidR="0010067A" w:rsidRPr="00624405" w:rsidRDefault="0010067A" w:rsidP="001E5D39">
            <w:pPr>
              <w:pStyle w:val="Tabletext"/>
              <w:jc w:val="center"/>
              <w:rPr>
                <w:rFonts w:asciiTheme="minorHAnsi" w:hAnsiTheme="minorHAnsi" w:cstheme="minorHAnsi"/>
                <w:color w:val="000000"/>
                <w:sz w:val="10"/>
                <w:szCs w:val="10"/>
                <w:lang w:eastAsia="en-GB"/>
              </w:rPr>
            </w:pPr>
          </w:p>
        </w:tc>
      </w:tr>
      <w:tr w:rsidR="0010067A" w:rsidRPr="00624405" w14:paraId="5EB13F70" w14:textId="77777777" w:rsidTr="001E5D39">
        <w:trPr>
          <w:cantSplit/>
          <w:jc w:val="center"/>
        </w:trPr>
        <w:tc>
          <w:tcPr>
            <w:tcW w:w="5800" w:type="dxa"/>
            <w:hideMark/>
          </w:tcPr>
          <w:p w14:paraId="3BF08502" w14:textId="77777777" w:rsidR="0010067A" w:rsidRPr="0070560B" w:rsidRDefault="0010067A" w:rsidP="001E5D39">
            <w:pPr>
              <w:pStyle w:val="Tabletext"/>
              <w:rPr>
                <w:rFonts w:asciiTheme="minorHAnsi" w:hAnsiTheme="minorHAnsi" w:cstheme="minorHAnsi"/>
                <w:color w:val="000000"/>
                <w:lang w:val="es-ES"/>
              </w:rPr>
            </w:pPr>
            <w:r w:rsidRPr="00BD323D">
              <w:rPr>
                <w:b/>
                <w:bCs/>
                <w:color w:val="000000"/>
                <w:lang w:val="es-ES"/>
              </w:rPr>
              <w:t>Resolución 46</w:t>
            </w:r>
            <w:r>
              <w:rPr>
                <w:color w:val="000000"/>
                <w:lang w:val="es-ES"/>
              </w:rPr>
              <w:t xml:space="preserve"> – Prestación de asistencia a los pueblos y comunidades indígenas a través de las tecnologías de la información y la comunicación</w:t>
            </w:r>
          </w:p>
        </w:tc>
        <w:tc>
          <w:tcPr>
            <w:tcW w:w="1348" w:type="dxa"/>
            <w:noWrap/>
            <w:hideMark/>
          </w:tcPr>
          <w:p w14:paraId="152B6224" w14:textId="77777777" w:rsidR="0010067A" w:rsidRPr="00624405" w:rsidRDefault="0010067A" w:rsidP="001E5D39">
            <w:pPr>
              <w:pStyle w:val="Tabletext"/>
              <w:ind w:right="283"/>
              <w:jc w:val="right"/>
              <w:rPr>
                <w:rFonts w:asciiTheme="minorHAnsi" w:hAnsiTheme="minorHAnsi" w:cstheme="minorHAnsi"/>
                <w:color w:val="000000"/>
              </w:rPr>
            </w:pPr>
            <w:r>
              <w:rPr>
                <w:color w:val="000000"/>
                <w:lang w:val="es-ES"/>
              </w:rPr>
              <w:t>139</w:t>
            </w:r>
          </w:p>
        </w:tc>
        <w:tc>
          <w:tcPr>
            <w:tcW w:w="1472" w:type="dxa"/>
            <w:noWrap/>
            <w:hideMark/>
          </w:tcPr>
          <w:p w14:paraId="3C60AC56" w14:textId="77777777" w:rsidR="0010067A" w:rsidRPr="00624405" w:rsidRDefault="0010067A" w:rsidP="001E5D39">
            <w:pPr>
              <w:pStyle w:val="Tabletext"/>
              <w:ind w:right="283"/>
              <w:jc w:val="right"/>
              <w:rPr>
                <w:rFonts w:asciiTheme="minorHAnsi" w:hAnsiTheme="minorHAnsi" w:cstheme="minorHAnsi"/>
                <w:color w:val="000000"/>
              </w:rPr>
            </w:pPr>
            <w:r>
              <w:rPr>
                <w:color w:val="000000"/>
                <w:lang w:val="es-ES"/>
              </w:rPr>
              <w:t>273</w:t>
            </w:r>
          </w:p>
        </w:tc>
        <w:tc>
          <w:tcPr>
            <w:tcW w:w="1640" w:type="dxa"/>
            <w:noWrap/>
            <w:hideMark/>
          </w:tcPr>
          <w:p w14:paraId="63C02DFD" w14:textId="77777777" w:rsidR="0010067A" w:rsidRPr="00624405" w:rsidRDefault="0010067A" w:rsidP="001E5D39">
            <w:pPr>
              <w:pStyle w:val="Tabletext"/>
              <w:ind w:right="283"/>
              <w:jc w:val="right"/>
              <w:rPr>
                <w:rFonts w:asciiTheme="minorHAnsi" w:hAnsiTheme="minorHAnsi" w:cstheme="minorHAnsi"/>
                <w:b/>
                <w:bCs/>
                <w:color w:val="000000"/>
              </w:rPr>
            </w:pPr>
            <w:r>
              <w:rPr>
                <w:b/>
                <w:bCs/>
                <w:color w:val="000000"/>
                <w:lang w:val="es-ES"/>
              </w:rPr>
              <w:t>412</w:t>
            </w:r>
          </w:p>
        </w:tc>
      </w:tr>
      <w:tr w:rsidR="0010067A" w:rsidRPr="00624405" w14:paraId="53E39470" w14:textId="77777777" w:rsidTr="001E5D39">
        <w:trPr>
          <w:cantSplit/>
          <w:jc w:val="center"/>
        </w:trPr>
        <w:tc>
          <w:tcPr>
            <w:tcW w:w="5800" w:type="dxa"/>
            <w:hideMark/>
          </w:tcPr>
          <w:p w14:paraId="50DBA78B" w14:textId="77777777" w:rsidR="0010067A" w:rsidRPr="0070560B" w:rsidRDefault="0010067A" w:rsidP="001E5D39">
            <w:pPr>
              <w:pStyle w:val="Tabletext"/>
              <w:ind w:left="284" w:hanging="284"/>
              <w:rPr>
                <w:rFonts w:asciiTheme="minorHAnsi" w:hAnsiTheme="minorHAnsi" w:cstheme="minorHAnsi"/>
                <w:lang w:val="es-ES"/>
              </w:rPr>
            </w:pPr>
            <w:r>
              <w:rPr>
                <w:color w:val="000000"/>
                <w:lang w:val="es-ES"/>
              </w:rPr>
              <w:t>–</w:t>
            </w:r>
            <w:r>
              <w:rPr>
                <w:color w:val="000000"/>
                <w:lang w:val="es-ES"/>
              </w:rPr>
              <w:tab/>
              <w:t>Experto que prestará apoyo para la integración de conocimientos indígenas y el desarrollo de programas de alfabetización digital.</w:t>
            </w:r>
          </w:p>
        </w:tc>
        <w:tc>
          <w:tcPr>
            <w:tcW w:w="1348" w:type="dxa"/>
            <w:noWrap/>
            <w:hideMark/>
          </w:tcPr>
          <w:p w14:paraId="15B76301" w14:textId="77777777" w:rsidR="0010067A" w:rsidRPr="00624405" w:rsidRDefault="0010067A" w:rsidP="001E5D39">
            <w:pPr>
              <w:pStyle w:val="Tabletext"/>
              <w:ind w:right="283"/>
              <w:jc w:val="right"/>
              <w:rPr>
                <w:rFonts w:asciiTheme="minorHAnsi" w:hAnsiTheme="minorHAnsi" w:cstheme="minorHAnsi"/>
                <w:color w:val="000000"/>
              </w:rPr>
            </w:pPr>
            <w:r>
              <w:rPr>
                <w:color w:val="000000"/>
                <w:lang w:val="es-ES"/>
              </w:rPr>
              <w:t>96</w:t>
            </w:r>
          </w:p>
        </w:tc>
        <w:tc>
          <w:tcPr>
            <w:tcW w:w="1472" w:type="dxa"/>
            <w:noWrap/>
            <w:hideMark/>
          </w:tcPr>
          <w:p w14:paraId="375DD93B" w14:textId="77777777" w:rsidR="0010067A" w:rsidRPr="00624405" w:rsidRDefault="0010067A" w:rsidP="001E5D39">
            <w:pPr>
              <w:pStyle w:val="Tabletext"/>
              <w:ind w:right="283"/>
              <w:jc w:val="right"/>
              <w:rPr>
                <w:rFonts w:asciiTheme="minorHAnsi" w:hAnsiTheme="minorHAnsi" w:cstheme="minorHAnsi"/>
                <w:color w:val="000000"/>
              </w:rPr>
            </w:pPr>
            <w:r>
              <w:rPr>
                <w:color w:val="000000"/>
                <w:lang w:val="es-ES"/>
              </w:rPr>
              <w:t>144</w:t>
            </w:r>
          </w:p>
        </w:tc>
        <w:tc>
          <w:tcPr>
            <w:tcW w:w="1640" w:type="dxa"/>
            <w:noWrap/>
            <w:hideMark/>
          </w:tcPr>
          <w:p w14:paraId="26638B4B" w14:textId="77777777" w:rsidR="0010067A" w:rsidRPr="00624405" w:rsidRDefault="0010067A" w:rsidP="001E5D39">
            <w:pPr>
              <w:pStyle w:val="Tabletext"/>
              <w:ind w:right="283"/>
              <w:jc w:val="right"/>
              <w:rPr>
                <w:rFonts w:asciiTheme="minorHAnsi" w:hAnsiTheme="minorHAnsi" w:cstheme="minorHAnsi"/>
                <w:color w:val="000000"/>
              </w:rPr>
            </w:pPr>
            <w:r>
              <w:rPr>
                <w:color w:val="000000"/>
                <w:lang w:val="es-ES"/>
              </w:rPr>
              <w:t>240</w:t>
            </w:r>
          </w:p>
        </w:tc>
      </w:tr>
      <w:tr w:rsidR="0010067A" w:rsidRPr="00624405" w14:paraId="09704F6F" w14:textId="77777777" w:rsidTr="001E5D39">
        <w:trPr>
          <w:cantSplit/>
          <w:jc w:val="center"/>
        </w:trPr>
        <w:tc>
          <w:tcPr>
            <w:tcW w:w="5800" w:type="dxa"/>
            <w:hideMark/>
          </w:tcPr>
          <w:p w14:paraId="5CC25E82" w14:textId="77777777" w:rsidR="0010067A" w:rsidRPr="00624405" w:rsidRDefault="0010067A" w:rsidP="001E5D39">
            <w:pPr>
              <w:pStyle w:val="Tabletext"/>
              <w:ind w:left="284" w:hanging="284"/>
              <w:rPr>
                <w:rFonts w:asciiTheme="minorHAnsi" w:hAnsiTheme="minorHAnsi" w:cstheme="minorHAnsi"/>
              </w:rPr>
            </w:pPr>
            <w:r>
              <w:rPr>
                <w:color w:val="000000"/>
                <w:lang w:val="es-ES"/>
              </w:rPr>
              <w:t>–</w:t>
            </w:r>
            <w:r>
              <w:rPr>
                <w:color w:val="000000"/>
                <w:lang w:val="es-ES"/>
              </w:rPr>
              <w:tab/>
              <w:t xml:space="preserve">Traducción (+ tratamiento de textos) </w:t>
            </w:r>
          </w:p>
        </w:tc>
        <w:tc>
          <w:tcPr>
            <w:tcW w:w="1348" w:type="dxa"/>
            <w:noWrap/>
            <w:hideMark/>
          </w:tcPr>
          <w:p w14:paraId="27B0888E" w14:textId="77777777" w:rsidR="0010067A" w:rsidRPr="00624405" w:rsidRDefault="0010067A" w:rsidP="001E5D39">
            <w:pPr>
              <w:pStyle w:val="Tabletext"/>
              <w:ind w:right="283"/>
              <w:jc w:val="right"/>
              <w:rPr>
                <w:rFonts w:asciiTheme="minorHAnsi" w:hAnsiTheme="minorHAnsi" w:cstheme="minorHAnsi"/>
                <w:color w:val="000000"/>
              </w:rPr>
            </w:pPr>
            <w:r>
              <w:rPr>
                <w:color w:val="000000"/>
                <w:lang w:val="es-ES"/>
              </w:rPr>
              <w:t>43</w:t>
            </w:r>
          </w:p>
        </w:tc>
        <w:tc>
          <w:tcPr>
            <w:tcW w:w="1472" w:type="dxa"/>
            <w:noWrap/>
            <w:hideMark/>
          </w:tcPr>
          <w:p w14:paraId="3A737592" w14:textId="77777777" w:rsidR="0010067A" w:rsidRPr="00624405" w:rsidRDefault="0010067A" w:rsidP="001E5D39">
            <w:pPr>
              <w:pStyle w:val="Tabletext"/>
              <w:ind w:right="283"/>
              <w:jc w:val="right"/>
              <w:rPr>
                <w:rFonts w:asciiTheme="minorHAnsi" w:hAnsiTheme="minorHAnsi" w:cstheme="minorHAnsi"/>
                <w:color w:val="000000"/>
              </w:rPr>
            </w:pPr>
            <w:r>
              <w:rPr>
                <w:color w:val="000000"/>
                <w:lang w:val="es-ES"/>
              </w:rPr>
              <w:t>129</w:t>
            </w:r>
          </w:p>
        </w:tc>
        <w:tc>
          <w:tcPr>
            <w:tcW w:w="1640" w:type="dxa"/>
            <w:noWrap/>
            <w:hideMark/>
          </w:tcPr>
          <w:p w14:paraId="7A722E8A" w14:textId="77777777" w:rsidR="0010067A" w:rsidRPr="00624405" w:rsidRDefault="0010067A" w:rsidP="001E5D39">
            <w:pPr>
              <w:pStyle w:val="Tabletext"/>
              <w:ind w:right="283"/>
              <w:jc w:val="right"/>
              <w:rPr>
                <w:rFonts w:asciiTheme="minorHAnsi" w:hAnsiTheme="minorHAnsi" w:cstheme="minorHAnsi"/>
                <w:color w:val="000000"/>
              </w:rPr>
            </w:pPr>
            <w:r>
              <w:rPr>
                <w:color w:val="000000"/>
                <w:lang w:val="es-ES"/>
              </w:rPr>
              <w:t>172</w:t>
            </w:r>
          </w:p>
        </w:tc>
      </w:tr>
      <w:tr w:rsidR="0010067A" w:rsidRPr="00624405" w14:paraId="451915BA" w14:textId="77777777" w:rsidTr="001E5D39">
        <w:trPr>
          <w:cantSplit/>
          <w:jc w:val="center"/>
        </w:trPr>
        <w:tc>
          <w:tcPr>
            <w:tcW w:w="5800" w:type="dxa"/>
            <w:noWrap/>
            <w:hideMark/>
          </w:tcPr>
          <w:p w14:paraId="34A40CFF" w14:textId="77777777" w:rsidR="0010067A" w:rsidRPr="00624405" w:rsidRDefault="0010067A" w:rsidP="001E5D39">
            <w:pPr>
              <w:pStyle w:val="Tabletext"/>
              <w:rPr>
                <w:rFonts w:asciiTheme="minorHAnsi" w:hAnsiTheme="minorHAnsi" w:cstheme="minorHAnsi"/>
                <w:color w:val="000000"/>
                <w:sz w:val="10"/>
                <w:szCs w:val="10"/>
                <w:lang w:eastAsia="en-GB"/>
              </w:rPr>
            </w:pPr>
          </w:p>
        </w:tc>
        <w:tc>
          <w:tcPr>
            <w:tcW w:w="1348" w:type="dxa"/>
            <w:noWrap/>
            <w:hideMark/>
          </w:tcPr>
          <w:p w14:paraId="14936AE8" w14:textId="77777777" w:rsidR="0010067A" w:rsidRPr="00624405" w:rsidRDefault="0010067A" w:rsidP="001E5D39">
            <w:pPr>
              <w:pStyle w:val="Tabletext"/>
              <w:jc w:val="center"/>
              <w:rPr>
                <w:rFonts w:asciiTheme="minorHAnsi" w:hAnsiTheme="minorHAnsi" w:cstheme="minorHAnsi"/>
                <w:color w:val="000000"/>
                <w:sz w:val="10"/>
                <w:szCs w:val="10"/>
                <w:lang w:eastAsia="en-GB"/>
              </w:rPr>
            </w:pPr>
          </w:p>
        </w:tc>
        <w:tc>
          <w:tcPr>
            <w:tcW w:w="1472" w:type="dxa"/>
            <w:noWrap/>
            <w:hideMark/>
          </w:tcPr>
          <w:p w14:paraId="7678F8B4" w14:textId="77777777" w:rsidR="0010067A" w:rsidRPr="00624405" w:rsidRDefault="0010067A" w:rsidP="001E5D39">
            <w:pPr>
              <w:pStyle w:val="Tabletext"/>
              <w:jc w:val="center"/>
              <w:rPr>
                <w:rFonts w:asciiTheme="minorHAnsi" w:hAnsiTheme="minorHAnsi" w:cstheme="minorHAnsi"/>
                <w:color w:val="000000"/>
                <w:sz w:val="10"/>
                <w:szCs w:val="10"/>
                <w:lang w:eastAsia="en-GB"/>
              </w:rPr>
            </w:pPr>
          </w:p>
        </w:tc>
        <w:tc>
          <w:tcPr>
            <w:tcW w:w="1640" w:type="dxa"/>
            <w:noWrap/>
            <w:hideMark/>
          </w:tcPr>
          <w:p w14:paraId="19EA1AF6" w14:textId="77777777" w:rsidR="0010067A" w:rsidRPr="00624405" w:rsidRDefault="0010067A" w:rsidP="001E5D39">
            <w:pPr>
              <w:pStyle w:val="Tabletext"/>
              <w:jc w:val="center"/>
              <w:rPr>
                <w:rFonts w:asciiTheme="minorHAnsi" w:hAnsiTheme="minorHAnsi" w:cstheme="minorHAnsi"/>
                <w:color w:val="000000"/>
                <w:sz w:val="10"/>
                <w:szCs w:val="10"/>
                <w:lang w:eastAsia="en-GB"/>
              </w:rPr>
            </w:pPr>
          </w:p>
        </w:tc>
      </w:tr>
      <w:tr w:rsidR="0010067A" w:rsidRPr="00624405" w14:paraId="2D5D5D3C" w14:textId="77777777" w:rsidTr="001E5D39">
        <w:trPr>
          <w:cantSplit/>
          <w:jc w:val="center"/>
        </w:trPr>
        <w:tc>
          <w:tcPr>
            <w:tcW w:w="5800" w:type="dxa"/>
            <w:hideMark/>
          </w:tcPr>
          <w:p w14:paraId="6E63498C" w14:textId="77777777" w:rsidR="0010067A" w:rsidRPr="0070560B" w:rsidRDefault="0010067A" w:rsidP="001E5D39">
            <w:pPr>
              <w:pStyle w:val="Tabletext"/>
              <w:rPr>
                <w:rFonts w:asciiTheme="minorHAnsi" w:hAnsiTheme="minorHAnsi" w:cstheme="minorHAnsi"/>
                <w:color w:val="000000"/>
                <w:lang w:val="es-ES"/>
              </w:rPr>
            </w:pPr>
            <w:r w:rsidRPr="00BD323D">
              <w:rPr>
                <w:b/>
                <w:bCs/>
                <w:color w:val="000000"/>
                <w:lang w:val="es-ES"/>
              </w:rPr>
              <w:t>Resolución 55</w:t>
            </w:r>
            <w:r>
              <w:rPr>
                <w:color w:val="000000"/>
                <w:lang w:val="es-ES"/>
              </w:rPr>
              <w:t xml:space="preserve"> – Integración de una perspectiva de género en el UIT-D y promoción de la igualdad de género y empoderamiento de las mujeres y las niñas por medio de las telecomunicaciones/tecnologías de la información y la comunicación</w:t>
            </w:r>
          </w:p>
        </w:tc>
        <w:tc>
          <w:tcPr>
            <w:tcW w:w="1348" w:type="dxa"/>
            <w:noWrap/>
            <w:hideMark/>
          </w:tcPr>
          <w:p w14:paraId="72097CE9" w14:textId="77777777" w:rsidR="0010067A" w:rsidRPr="00624405" w:rsidRDefault="0010067A" w:rsidP="001E5D39">
            <w:pPr>
              <w:pStyle w:val="Tabletext"/>
              <w:ind w:right="283"/>
              <w:jc w:val="right"/>
              <w:rPr>
                <w:rFonts w:asciiTheme="minorHAnsi" w:hAnsiTheme="minorHAnsi" w:cstheme="minorHAnsi"/>
                <w:color w:val="000000"/>
              </w:rPr>
            </w:pPr>
            <w:r>
              <w:rPr>
                <w:color w:val="000000"/>
                <w:lang w:val="es-ES"/>
              </w:rPr>
              <w:t>266</w:t>
            </w:r>
          </w:p>
        </w:tc>
        <w:tc>
          <w:tcPr>
            <w:tcW w:w="1472" w:type="dxa"/>
            <w:noWrap/>
            <w:hideMark/>
          </w:tcPr>
          <w:p w14:paraId="7109FCFD" w14:textId="77777777" w:rsidR="0010067A" w:rsidRPr="00624405" w:rsidRDefault="0010067A" w:rsidP="001E5D39">
            <w:pPr>
              <w:pStyle w:val="Tabletext"/>
              <w:ind w:right="283"/>
              <w:jc w:val="right"/>
              <w:rPr>
                <w:rFonts w:asciiTheme="minorHAnsi" w:hAnsiTheme="minorHAnsi" w:cstheme="minorHAnsi"/>
                <w:color w:val="000000"/>
              </w:rPr>
            </w:pPr>
            <w:r>
              <w:rPr>
                <w:color w:val="000000"/>
                <w:lang w:val="es-ES"/>
              </w:rPr>
              <w:t>798</w:t>
            </w:r>
          </w:p>
        </w:tc>
        <w:tc>
          <w:tcPr>
            <w:tcW w:w="1640" w:type="dxa"/>
            <w:noWrap/>
            <w:hideMark/>
          </w:tcPr>
          <w:p w14:paraId="273B69FA" w14:textId="77777777" w:rsidR="0010067A" w:rsidRPr="00624405" w:rsidRDefault="0010067A" w:rsidP="001E5D39">
            <w:pPr>
              <w:pStyle w:val="Tabletext"/>
              <w:ind w:right="283"/>
              <w:jc w:val="right"/>
              <w:rPr>
                <w:rFonts w:asciiTheme="minorHAnsi" w:hAnsiTheme="minorHAnsi" w:cstheme="minorHAnsi"/>
                <w:b/>
                <w:bCs/>
                <w:color w:val="000000"/>
              </w:rPr>
            </w:pPr>
            <w:r>
              <w:rPr>
                <w:b/>
                <w:bCs/>
                <w:color w:val="000000"/>
                <w:lang w:val="es-ES"/>
              </w:rPr>
              <w:t>1 064</w:t>
            </w:r>
          </w:p>
        </w:tc>
      </w:tr>
      <w:tr w:rsidR="0010067A" w:rsidRPr="00624405" w14:paraId="1D353501" w14:textId="77777777" w:rsidTr="001E5D39">
        <w:trPr>
          <w:cantSplit/>
          <w:jc w:val="center"/>
        </w:trPr>
        <w:tc>
          <w:tcPr>
            <w:tcW w:w="5800" w:type="dxa"/>
            <w:hideMark/>
          </w:tcPr>
          <w:p w14:paraId="71CE9039" w14:textId="77777777" w:rsidR="0010067A" w:rsidRPr="0070560B" w:rsidRDefault="0010067A" w:rsidP="001E5D39">
            <w:pPr>
              <w:pStyle w:val="Tabletext"/>
              <w:ind w:left="284" w:hanging="284"/>
              <w:rPr>
                <w:rFonts w:asciiTheme="minorHAnsi" w:hAnsiTheme="minorHAnsi" w:cstheme="minorHAnsi"/>
                <w:lang w:val="es-ES"/>
              </w:rPr>
            </w:pPr>
            <w:r>
              <w:rPr>
                <w:color w:val="000000"/>
                <w:lang w:val="es-ES"/>
              </w:rPr>
              <w:t>–</w:t>
            </w:r>
            <w:r>
              <w:rPr>
                <w:color w:val="000000"/>
                <w:lang w:val="es-ES"/>
              </w:rPr>
              <w:tab/>
              <w:t xml:space="preserve">Experto impartirá programas de capacitación en competencias digitales y de liderazgo </w:t>
            </w:r>
          </w:p>
        </w:tc>
        <w:tc>
          <w:tcPr>
            <w:tcW w:w="1348" w:type="dxa"/>
            <w:noWrap/>
            <w:hideMark/>
          </w:tcPr>
          <w:p w14:paraId="1C7FDB36" w14:textId="77777777" w:rsidR="0010067A" w:rsidRPr="00624405" w:rsidRDefault="0010067A" w:rsidP="001E5D39">
            <w:pPr>
              <w:pStyle w:val="Tabletext"/>
              <w:ind w:right="283"/>
              <w:jc w:val="right"/>
              <w:rPr>
                <w:rFonts w:asciiTheme="minorHAnsi" w:hAnsiTheme="minorHAnsi" w:cstheme="minorHAnsi"/>
                <w:color w:val="000000"/>
              </w:rPr>
            </w:pPr>
            <w:r>
              <w:rPr>
                <w:color w:val="000000"/>
                <w:lang w:val="es-ES"/>
              </w:rPr>
              <w:t>96</w:t>
            </w:r>
          </w:p>
        </w:tc>
        <w:tc>
          <w:tcPr>
            <w:tcW w:w="1472" w:type="dxa"/>
            <w:noWrap/>
            <w:hideMark/>
          </w:tcPr>
          <w:p w14:paraId="70096DDF" w14:textId="77777777" w:rsidR="0010067A" w:rsidRPr="00624405" w:rsidRDefault="0010067A" w:rsidP="001E5D39">
            <w:pPr>
              <w:pStyle w:val="Tabletext"/>
              <w:ind w:right="283"/>
              <w:jc w:val="right"/>
              <w:rPr>
                <w:rFonts w:asciiTheme="minorHAnsi" w:hAnsiTheme="minorHAnsi" w:cstheme="minorHAnsi"/>
                <w:color w:val="000000"/>
              </w:rPr>
            </w:pPr>
            <w:r>
              <w:rPr>
                <w:color w:val="000000"/>
                <w:lang w:val="es-ES"/>
              </w:rPr>
              <w:t>288</w:t>
            </w:r>
          </w:p>
        </w:tc>
        <w:tc>
          <w:tcPr>
            <w:tcW w:w="1640" w:type="dxa"/>
            <w:noWrap/>
            <w:hideMark/>
          </w:tcPr>
          <w:p w14:paraId="34C8FA40" w14:textId="77777777" w:rsidR="0010067A" w:rsidRPr="00624405" w:rsidRDefault="0010067A" w:rsidP="001E5D39">
            <w:pPr>
              <w:pStyle w:val="Tabletext"/>
              <w:ind w:right="283"/>
              <w:jc w:val="right"/>
              <w:rPr>
                <w:rFonts w:asciiTheme="minorHAnsi" w:hAnsiTheme="minorHAnsi" w:cstheme="minorHAnsi"/>
                <w:color w:val="000000"/>
              </w:rPr>
            </w:pPr>
            <w:r>
              <w:rPr>
                <w:color w:val="000000"/>
                <w:lang w:val="es-ES"/>
              </w:rPr>
              <w:t>384</w:t>
            </w:r>
          </w:p>
        </w:tc>
      </w:tr>
      <w:tr w:rsidR="0010067A" w:rsidRPr="00624405" w14:paraId="4A78D2F6" w14:textId="77777777" w:rsidTr="001E5D39">
        <w:trPr>
          <w:cantSplit/>
          <w:jc w:val="center"/>
        </w:trPr>
        <w:tc>
          <w:tcPr>
            <w:tcW w:w="5800" w:type="dxa"/>
            <w:hideMark/>
          </w:tcPr>
          <w:p w14:paraId="1D3F3358" w14:textId="77777777" w:rsidR="0010067A" w:rsidRPr="0070560B" w:rsidRDefault="0010067A" w:rsidP="001E5D39">
            <w:pPr>
              <w:pStyle w:val="Tabletext"/>
              <w:ind w:left="284" w:hanging="284"/>
              <w:rPr>
                <w:rFonts w:asciiTheme="minorHAnsi" w:hAnsiTheme="minorHAnsi" w:cstheme="minorHAnsi"/>
                <w:lang w:val="es-ES"/>
              </w:rPr>
            </w:pPr>
            <w:r>
              <w:rPr>
                <w:color w:val="000000"/>
                <w:lang w:val="es-ES"/>
              </w:rPr>
              <w:t>–</w:t>
            </w:r>
            <w:r>
              <w:rPr>
                <w:color w:val="000000"/>
                <w:lang w:val="es-ES"/>
              </w:rPr>
              <w:tab/>
              <w:t>Organización de cursos de formación y becas</w:t>
            </w:r>
          </w:p>
        </w:tc>
        <w:tc>
          <w:tcPr>
            <w:tcW w:w="1348" w:type="dxa"/>
            <w:noWrap/>
            <w:hideMark/>
          </w:tcPr>
          <w:p w14:paraId="1CA1717D" w14:textId="77777777" w:rsidR="0010067A" w:rsidRPr="00624405" w:rsidRDefault="0010067A" w:rsidP="001E5D39">
            <w:pPr>
              <w:pStyle w:val="Tabletext"/>
              <w:ind w:right="283"/>
              <w:jc w:val="right"/>
              <w:rPr>
                <w:rFonts w:asciiTheme="minorHAnsi" w:hAnsiTheme="minorHAnsi" w:cstheme="minorHAnsi"/>
                <w:color w:val="000000"/>
              </w:rPr>
            </w:pPr>
            <w:r>
              <w:rPr>
                <w:color w:val="000000"/>
                <w:lang w:val="es-ES"/>
              </w:rPr>
              <w:t>60</w:t>
            </w:r>
          </w:p>
        </w:tc>
        <w:tc>
          <w:tcPr>
            <w:tcW w:w="1472" w:type="dxa"/>
            <w:noWrap/>
            <w:hideMark/>
          </w:tcPr>
          <w:p w14:paraId="788B9CED" w14:textId="77777777" w:rsidR="0010067A" w:rsidRPr="00624405" w:rsidRDefault="0010067A" w:rsidP="001E5D39">
            <w:pPr>
              <w:pStyle w:val="Tabletext"/>
              <w:ind w:right="283"/>
              <w:jc w:val="right"/>
              <w:rPr>
                <w:rFonts w:asciiTheme="minorHAnsi" w:hAnsiTheme="minorHAnsi" w:cstheme="minorHAnsi"/>
                <w:color w:val="000000"/>
              </w:rPr>
            </w:pPr>
            <w:r>
              <w:rPr>
                <w:color w:val="000000"/>
                <w:lang w:val="es-ES"/>
              </w:rPr>
              <w:t>180</w:t>
            </w:r>
          </w:p>
        </w:tc>
        <w:tc>
          <w:tcPr>
            <w:tcW w:w="1640" w:type="dxa"/>
            <w:noWrap/>
            <w:hideMark/>
          </w:tcPr>
          <w:p w14:paraId="1F102C1B" w14:textId="77777777" w:rsidR="0010067A" w:rsidRPr="00624405" w:rsidRDefault="0010067A" w:rsidP="001E5D39">
            <w:pPr>
              <w:pStyle w:val="Tabletext"/>
              <w:ind w:right="283"/>
              <w:jc w:val="right"/>
              <w:rPr>
                <w:rFonts w:asciiTheme="minorHAnsi" w:hAnsiTheme="minorHAnsi" w:cstheme="minorHAnsi"/>
                <w:color w:val="000000"/>
              </w:rPr>
            </w:pPr>
            <w:r>
              <w:rPr>
                <w:color w:val="000000"/>
                <w:lang w:val="es-ES"/>
              </w:rPr>
              <w:t>240</w:t>
            </w:r>
          </w:p>
        </w:tc>
      </w:tr>
      <w:tr w:rsidR="0010067A" w:rsidRPr="00624405" w14:paraId="2B838A19" w14:textId="77777777" w:rsidTr="001E5D39">
        <w:trPr>
          <w:cantSplit/>
          <w:jc w:val="center"/>
        </w:trPr>
        <w:tc>
          <w:tcPr>
            <w:tcW w:w="5800" w:type="dxa"/>
            <w:hideMark/>
          </w:tcPr>
          <w:p w14:paraId="18420854" w14:textId="77777777" w:rsidR="0010067A" w:rsidRPr="0070560B" w:rsidRDefault="0010067A" w:rsidP="001E5D39">
            <w:pPr>
              <w:pStyle w:val="Tabletext"/>
              <w:ind w:left="284" w:hanging="284"/>
              <w:rPr>
                <w:rFonts w:asciiTheme="minorHAnsi" w:hAnsiTheme="minorHAnsi" w:cstheme="minorHAnsi"/>
                <w:lang w:val="es-ES"/>
              </w:rPr>
            </w:pPr>
            <w:r>
              <w:rPr>
                <w:color w:val="000000"/>
                <w:lang w:val="es-ES"/>
              </w:rPr>
              <w:t>–</w:t>
            </w:r>
            <w:r>
              <w:rPr>
                <w:color w:val="000000"/>
                <w:lang w:val="es-ES"/>
              </w:rPr>
              <w:tab/>
              <w:t>Apoyo a iniciativas – Las niñas en las TIC, ...</w:t>
            </w:r>
          </w:p>
        </w:tc>
        <w:tc>
          <w:tcPr>
            <w:tcW w:w="1348" w:type="dxa"/>
            <w:noWrap/>
            <w:hideMark/>
          </w:tcPr>
          <w:p w14:paraId="384633A4" w14:textId="77777777" w:rsidR="0010067A" w:rsidRPr="00624405" w:rsidRDefault="0010067A" w:rsidP="001E5D39">
            <w:pPr>
              <w:pStyle w:val="Tabletext"/>
              <w:ind w:right="283"/>
              <w:jc w:val="right"/>
              <w:rPr>
                <w:rFonts w:asciiTheme="minorHAnsi" w:hAnsiTheme="minorHAnsi" w:cstheme="minorHAnsi"/>
                <w:color w:val="000000"/>
              </w:rPr>
            </w:pPr>
            <w:r>
              <w:rPr>
                <w:color w:val="000000"/>
                <w:lang w:val="es-ES"/>
              </w:rPr>
              <w:t>50</w:t>
            </w:r>
          </w:p>
        </w:tc>
        <w:tc>
          <w:tcPr>
            <w:tcW w:w="1472" w:type="dxa"/>
            <w:noWrap/>
            <w:hideMark/>
          </w:tcPr>
          <w:p w14:paraId="7837EC19" w14:textId="77777777" w:rsidR="0010067A" w:rsidRPr="00624405" w:rsidRDefault="0010067A" w:rsidP="001E5D39">
            <w:pPr>
              <w:pStyle w:val="Tabletext"/>
              <w:ind w:right="283"/>
              <w:jc w:val="right"/>
              <w:rPr>
                <w:rFonts w:asciiTheme="minorHAnsi" w:hAnsiTheme="minorHAnsi" w:cstheme="minorHAnsi"/>
                <w:color w:val="000000"/>
              </w:rPr>
            </w:pPr>
            <w:r>
              <w:rPr>
                <w:color w:val="000000"/>
                <w:lang w:val="es-ES"/>
              </w:rPr>
              <w:t>150</w:t>
            </w:r>
          </w:p>
        </w:tc>
        <w:tc>
          <w:tcPr>
            <w:tcW w:w="1640" w:type="dxa"/>
            <w:noWrap/>
            <w:hideMark/>
          </w:tcPr>
          <w:p w14:paraId="14696CE7" w14:textId="77777777" w:rsidR="0010067A" w:rsidRPr="00624405" w:rsidRDefault="0010067A" w:rsidP="001E5D39">
            <w:pPr>
              <w:pStyle w:val="Tabletext"/>
              <w:ind w:right="283"/>
              <w:jc w:val="right"/>
              <w:rPr>
                <w:rFonts w:asciiTheme="minorHAnsi" w:hAnsiTheme="minorHAnsi" w:cstheme="minorHAnsi"/>
                <w:color w:val="000000"/>
              </w:rPr>
            </w:pPr>
            <w:r>
              <w:rPr>
                <w:color w:val="000000"/>
                <w:lang w:val="es-ES"/>
              </w:rPr>
              <w:t>200</w:t>
            </w:r>
          </w:p>
        </w:tc>
      </w:tr>
      <w:tr w:rsidR="0010067A" w:rsidRPr="00624405" w14:paraId="7E54F183" w14:textId="77777777" w:rsidTr="001E5D39">
        <w:trPr>
          <w:cantSplit/>
          <w:jc w:val="center"/>
        </w:trPr>
        <w:tc>
          <w:tcPr>
            <w:tcW w:w="5800" w:type="dxa"/>
            <w:hideMark/>
          </w:tcPr>
          <w:p w14:paraId="7055B30D" w14:textId="77777777" w:rsidR="0010067A" w:rsidRPr="0070560B" w:rsidRDefault="0010067A" w:rsidP="001E5D39">
            <w:pPr>
              <w:pStyle w:val="Tabletext"/>
              <w:ind w:left="284" w:hanging="284"/>
              <w:rPr>
                <w:rFonts w:asciiTheme="minorHAnsi" w:hAnsiTheme="minorHAnsi" w:cstheme="minorHAnsi"/>
                <w:lang w:val="es-ES"/>
              </w:rPr>
            </w:pPr>
            <w:r>
              <w:rPr>
                <w:color w:val="000000"/>
                <w:lang w:val="es-ES"/>
              </w:rPr>
              <w:t>–</w:t>
            </w:r>
            <w:r>
              <w:rPr>
                <w:color w:val="000000"/>
                <w:lang w:val="es-ES"/>
              </w:rPr>
              <w:tab/>
              <w:t xml:space="preserve">Actividades de la Red NoW4WTDC </w:t>
            </w:r>
          </w:p>
        </w:tc>
        <w:tc>
          <w:tcPr>
            <w:tcW w:w="1348" w:type="dxa"/>
            <w:noWrap/>
            <w:hideMark/>
          </w:tcPr>
          <w:p w14:paraId="22C2EEFD" w14:textId="77777777" w:rsidR="0010067A" w:rsidRPr="00624405" w:rsidRDefault="0010067A" w:rsidP="001E5D39">
            <w:pPr>
              <w:pStyle w:val="Tabletext"/>
              <w:ind w:right="283"/>
              <w:jc w:val="right"/>
              <w:rPr>
                <w:rFonts w:asciiTheme="minorHAnsi" w:hAnsiTheme="minorHAnsi" w:cstheme="minorHAnsi"/>
                <w:color w:val="000000"/>
              </w:rPr>
            </w:pPr>
            <w:r>
              <w:rPr>
                <w:color w:val="000000"/>
                <w:lang w:val="es-ES"/>
              </w:rPr>
              <w:t>60</w:t>
            </w:r>
          </w:p>
        </w:tc>
        <w:tc>
          <w:tcPr>
            <w:tcW w:w="1472" w:type="dxa"/>
            <w:noWrap/>
            <w:hideMark/>
          </w:tcPr>
          <w:p w14:paraId="2B571DBA" w14:textId="77777777" w:rsidR="0010067A" w:rsidRPr="00624405" w:rsidRDefault="0010067A" w:rsidP="001E5D39">
            <w:pPr>
              <w:pStyle w:val="Tabletext"/>
              <w:ind w:right="283"/>
              <w:jc w:val="right"/>
              <w:rPr>
                <w:rFonts w:asciiTheme="minorHAnsi" w:hAnsiTheme="minorHAnsi" w:cstheme="minorHAnsi"/>
                <w:color w:val="000000"/>
              </w:rPr>
            </w:pPr>
            <w:r>
              <w:rPr>
                <w:color w:val="000000"/>
                <w:lang w:val="es-ES"/>
              </w:rPr>
              <w:t>180</w:t>
            </w:r>
          </w:p>
        </w:tc>
        <w:tc>
          <w:tcPr>
            <w:tcW w:w="1640" w:type="dxa"/>
            <w:noWrap/>
            <w:hideMark/>
          </w:tcPr>
          <w:p w14:paraId="481C3CCA" w14:textId="77777777" w:rsidR="0010067A" w:rsidRPr="00624405" w:rsidRDefault="0010067A" w:rsidP="001E5D39">
            <w:pPr>
              <w:pStyle w:val="Tabletext"/>
              <w:ind w:right="283"/>
              <w:jc w:val="right"/>
              <w:rPr>
                <w:rFonts w:asciiTheme="minorHAnsi" w:hAnsiTheme="minorHAnsi" w:cstheme="minorHAnsi"/>
                <w:color w:val="000000"/>
              </w:rPr>
            </w:pPr>
            <w:r>
              <w:rPr>
                <w:color w:val="000000"/>
                <w:lang w:val="es-ES"/>
              </w:rPr>
              <w:t>240</w:t>
            </w:r>
          </w:p>
        </w:tc>
      </w:tr>
      <w:tr w:rsidR="0010067A" w:rsidRPr="00624405" w14:paraId="509C2952" w14:textId="77777777" w:rsidTr="001E5D39">
        <w:trPr>
          <w:cantSplit/>
          <w:jc w:val="center"/>
        </w:trPr>
        <w:tc>
          <w:tcPr>
            <w:tcW w:w="5800" w:type="dxa"/>
            <w:noWrap/>
            <w:hideMark/>
          </w:tcPr>
          <w:p w14:paraId="1BC23085" w14:textId="77777777" w:rsidR="0010067A" w:rsidRPr="00624405" w:rsidRDefault="0010067A" w:rsidP="001E5D39">
            <w:pPr>
              <w:pStyle w:val="Tabletext"/>
              <w:rPr>
                <w:rFonts w:asciiTheme="minorHAnsi" w:hAnsiTheme="minorHAnsi" w:cstheme="minorHAnsi"/>
                <w:color w:val="000000"/>
                <w:sz w:val="10"/>
                <w:szCs w:val="10"/>
                <w:lang w:eastAsia="en-GB"/>
              </w:rPr>
            </w:pPr>
          </w:p>
        </w:tc>
        <w:tc>
          <w:tcPr>
            <w:tcW w:w="1348" w:type="dxa"/>
            <w:noWrap/>
            <w:hideMark/>
          </w:tcPr>
          <w:p w14:paraId="03CC1099" w14:textId="77777777" w:rsidR="0010067A" w:rsidRPr="00624405" w:rsidRDefault="0010067A" w:rsidP="001E5D39">
            <w:pPr>
              <w:pStyle w:val="Tabletext"/>
              <w:jc w:val="center"/>
              <w:rPr>
                <w:rFonts w:asciiTheme="minorHAnsi" w:hAnsiTheme="minorHAnsi" w:cstheme="minorHAnsi"/>
                <w:color w:val="000000"/>
                <w:sz w:val="10"/>
                <w:szCs w:val="10"/>
                <w:lang w:eastAsia="en-GB"/>
              </w:rPr>
            </w:pPr>
          </w:p>
        </w:tc>
        <w:tc>
          <w:tcPr>
            <w:tcW w:w="1472" w:type="dxa"/>
            <w:noWrap/>
            <w:hideMark/>
          </w:tcPr>
          <w:p w14:paraId="46A56C7D" w14:textId="77777777" w:rsidR="0010067A" w:rsidRPr="00624405" w:rsidRDefault="0010067A" w:rsidP="001E5D39">
            <w:pPr>
              <w:pStyle w:val="Tabletext"/>
              <w:jc w:val="center"/>
              <w:rPr>
                <w:rFonts w:asciiTheme="minorHAnsi" w:hAnsiTheme="minorHAnsi" w:cstheme="minorHAnsi"/>
                <w:color w:val="000000"/>
                <w:sz w:val="10"/>
                <w:szCs w:val="10"/>
                <w:lang w:eastAsia="en-GB"/>
              </w:rPr>
            </w:pPr>
          </w:p>
        </w:tc>
        <w:tc>
          <w:tcPr>
            <w:tcW w:w="1640" w:type="dxa"/>
            <w:noWrap/>
            <w:hideMark/>
          </w:tcPr>
          <w:p w14:paraId="533FC602" w14:textId="77777777" w:rsidR="0010067A" w:rsidRPr="00624405" w:rsidRDefault="0010067A" w:rsidP="001E5D39">
            <w:pPr>
              <w:pStyle w:val="Tabletext"/>
              <w:jc w:val="center"/>
              <w:rPr>
                <w:rFonts w:asciiTheme="minorHAnsi" w:hAnsiTheme="minorHAnsi" w:cstheme="minorHAnsi"/>
                <w:color w:val="000000"/>
                <w:sz w:val="10"/>
                <w:szCs w:val="10"/>
                <w:lang w:eastAsia="en-GB"/>
              </w:rPr>
            </w:pPr>
          </w:p>
        </w:tc>
      </w:tr>
      <w:tr w:rsidR="0010067A" w:rsidRPr="00624405" w14:paraId="3F29E054" w14:textId="77777777" w:rsidTr="001E5D39">
        <w:trPr>
          <w:cantSplit/>
          <w:jc w:val="center"/>
        </w:trPr>
        <w:tc>
          <w:tcPr>
            <w:tcW w:w="5800" w:type="dxa"/>
            <w:hideMark/>
          </w:tcPr>
          <w:p w14:paraId="11EA0C87" w14:textId="77777777" w:rsidR="0010067A" w:rsidRPr="0070560B" w:rsidRDefault="0010067A" w:rsidP="001E5D39">
            <w:pPr>
              <w:pStyle w:val="Tabletext"/>
              <w:rPr>
                <w:rFonts w:asciiTheme="minorHAnsi" w:hAnsiTheme="minorHAnsi" w:cstheme="minorHAnsi"/>
                <w:color w:val="000000"/>
                <w:lang w:val="es-ES"/>
              </w:rPr>
            </w:pPr>
            <w:r w:rsidRPr="00BD323D">
              <w:rPr>
                <w:b/>
                <w:bCs/>
                <w:color w:val="000000"/>
                <w:lang w:val="es-ES"/>
              </w:rPr>
              <w:t>Resolución 66</w:t>
            </w:r>
            <w:r>
              <w:rPr>
                <w:color w:val="000000"/>
                <w:lang w:val="es-ES"/>
              </w:rPr>
              <w:t xml:space="preserve"> – Tecnologías de la información y comunicación, medio ambiente, cambio climático y economía circular</w:t>
            </w:r>
          </w:p>
        </w:tc>
        <w:tc>
          <w:tcPr>
            <w:tcW w:w="1348" w:type="dxa"/>
            <w:noWrap/>
            <w:hideMark/>
          </w:tcPr>
          <w:p w14:paraId="5AEF536F" w14:textId="77777777" w:rsidR="0010067A" w:rsidRPr="00624405" w:rsidRDefault="0010067A" w:rsidP="001E5D39">
            <w:pPr>
              <w:pStyle w:val="Tabletext"/>
              <w:ind w:right="283"/>
              <w:jc w:val="right"/>
              <w:rPr>
                <w:rFonts w:asciiTheme="minorHAnsi" w:hAnsiTheme="minorHAnsi" w:cstheme="minorHAnsi"/>
                <w:color w:val="000000"/>
              </w:rPr>
            </w:pPr>
            <w:r>
              <w:rPr>
                <w:color w:val="000000"/>
                <w:lang w:val="es-ES"/>
              </w:rPr>
              <w:t>96</w:t>
            </w:r>
          </w:p>
        </w:tc>
        <w:tc>
          <w:tcPr>
            <w:tcW w:w="1472" w:type="dxa"/>
            <w:noWrap/>
            <w:hideMark/>
          </w:tcPr>
          <w:p w14:paraId="2A60B29A" w14:textId="77777777" w:rsidR="0010067A" w:rsidRPr="00624405" w:rsidRDefault="0010067A" w:rsidP="001E5D39">
            <w:pPr>
              <w:pStyle w:val="Tabletext"/>
              <w:ind w:right="283"/>
              <w:jc w:val="right"/>
              <w:rPr>
                <w:rFonts w:asciiTheme="minorHAnsi" w:hAnsiTheme="minorHAnsi" w:cstheme="minorHAnsi"/>
                <w:color w:val="000000"/>
              </w:rPr>
            </w:pPr>
            <w:r>
              <w:rPr>
                <w:color w:val="000000"/>
                <w:lang w:val="es-ES"/>
              </w:rPr>
              <w:t>144</w:t>
            </w:r>
          </w:p>
        </w:tc>
        <w:tc>
          <w:tcPr>
            <w:tcW w:w="1640" w:type="dxa"/>
            <w:noWrap/>
            <w:hideMark/>
          </w:tcPr>
          <w:p w14:paraId="5AB0794A" w14:textId="77777777" w:rsidR="0010067A" w:rsidRPr="00624405" w:rsidRDefault="0010067A" w:rsidP="001E5D39">
            <w:pPr>
              <w:pStyle w:val="Tabletext"/>
              <w:ind w:right="283"/>
              <w:jc w:val="right"/>
              <w:rPr>
                <w:rFonts w:asciiTheme="minorHAnsi" w:hAnsiTheme="minorHAnsi" w:cstheme="minorHAnsi"/>
                <w:b/>
                <w:bCs/>
                <w:color w:val="000000"/>
              </w:rPr>
            </w:pPr>
            <w:r>
              <w:rPr>
                <w:b/>
                <w:bCs/>
                <w:color w:val="000000"/>
                <w:lang w:val="es-ES"/>
              </w:rPr>
              <w:t>240</w:t>
            </w:r>
          </w:p>
        </w:tc>
      </w:tr>
      <w:tr w:rsidR="0010067A" w:rsidRPr="00624405" w14:paraId="5BD4AC02" w14:textId="77777777" w:rsidTr="001E5D39">
        <w:trPr>
          <w:cantSplit/>
          <w:jc w:val="center"/>
        </w:trPr>
        <w:tc>
          <w:tcPr>
            <w:tcW w:w="5800" w:type="dxa"/>
            <w:hideMark/>
          </w:tcPr>
          <w:p w14:paraId="448FC531" w14:textId="77777777" w:rsidR="0010067A" w:rsidRPr="0070560B" w:rsidRDefault="0010067A" w:rsidP="001E5D39">
            <w:pPr>
              <w:pStyle w:val="Tabletext"/>
              <w:ind w:left="284" w:hanging="284"/>
              <w:rPr>
                <w:rFonts w:asciiTheme="minorHAnsi" w:hAnsiTheme="minorHAnsi" w:cstheme="minorHAnsi"/>
                <w:lang w:val="es-ES"/>
              </w:rPr>
            </w:pPr>
            <w:r>
              <w:rPr>
                <w:color w:val="000000"/>
                <w:lang w:val="es-ES"/>
              </w:rPr>
              <w:lastRenderedPageBreak/>
              <w:t>–</w:t>
            </w:r>
            <w:r>
              <w:rPr>
                <w:color w:val="000000"/>
                <w:lang w:val="es-ES"/>
              </w:rPr>
              <w:tab/>
              <w:t>Experta en la realización de campañas de sensibilización pública sobre la eliminación de residuos electrónicos</w:t>
            </w:r>
          </w:p>
        </w:tc>
        <w:tc>
          <w:tcPr>
            <w:tcW w:w="1348" w:type="dxa"/>
            <w:noWrap/>
            <w:hideMark/>
          </w:tcPr>
          <w:p w14:paraId="5A8CB800" w14:textId="77777777" w:rsidR="0010067A" w:rsidRPr="00624405" w:rsidRDefault="0010067A" w:rsidP="001E5D39">
            <w:pPr>
              <w:pStyle w:val="Tabletext"/>
              <w:ind w:right="283"/>
              <w:jc w:val="right"/>
              <w:rPr>
                <w:rFonts w:asciiTheme="minorHAnsi" w:hAnsiTheme="minorHAnsi" w:cstheme="minorHAnsi"/>
                <w:color w:val="000000"/>
              </w:rPr>
            </w:pPr>
            <w:r>
              <w:rPr>
                <w:color w:val="000000"/>
                <w:lang w:val="es-ES"/>
              </w:rPr>
              <w:t>96</w:t>
            </w:r>
          </w:p>
        </w:tc>
        <w:tc>
          <w:tcPr>
            <w:tcW w:w="1472" w:type="dxa"/>
            <w:noWrap/>
            <w:hideMark/>
          </w:tcPr>
          <w:p w14:paraId="637BB19D" w14:textId="77777777" w:rsidR="0010067A" w:rsidRPr="00624405" w:rsidRDefault="0010067A" w:rsidP="001E5D39">
            <w:pPr>
              <w:pStyle w:val="Tabletext"/>
              <w:ind w:right="283"/>
              <w:jc w:val="right"/>
              <w:rPr>
                <w:rFonts w:asciiTheme="minorHAnsi" w:hAnsiTheme="minorHAnsi" w:cstheme="minorHAnsi"/>
                <w:color w:val="000000"/>
              </w:rPr>
            </w:pPr>
            <w:r>
              <w:rPr>
                <w:color w:val="000000"/>
                <w:lang w:val="es-ES"/>
              </w:rPr>
              <w:t>144</w:t>
            </w:r>
          </w:p>
        </w:tc>
        <w:tc>
          <w:tcPr>
            <w:tcW w:w="1640" w:type="dxa"/>
            <w:noWrap/>
            <w:hideMark/>
          </w:tcPr>
          <w:p w14:paraId="1B59B72B" w14:textId="77777777" w:rsidR="0010067A" w:rsidRPr="00624405" w:rsidRDefault="0010067A" w:rsidP="001E5D39">
            <w:pPr>
              <w:pStyle w:val="Tabletext"/>
              <w:ind w:right="283"/>
              <w:jc w:val="right"/>
              <w:rPr>
                <w:rFonts w:asciiTheme="minorHAnsi" w:hAnsiTheme="minorHAnsi" w:cstheme="minorHAnsi"/>
                <w:color w:val="000000"/>
              </w:rPr>
            </w:pPr>
            <w:r>
              <w:rPr>
                <w:color w:val="000000"/>
                <w:lang w:val="es-ES"/>
              </w:rPr>
              <w:t>240</w:t>
            </w:r>
          </w:p>
        </w:tc>
      </w:tr>
      <w:tr w:rsidR="0010067A" w:rsidRPr="00624405" w14:paraId="2848166D" w14:textId="77777777" w:rsidTr="001E5D39">
        <w:trPr>
          <w:cantSplit/>
          <w:jc w:val="center"/>
        </w:trPr>
        <w:tc>
          <w:tcPr>
            <w:tcW w:w="5800" w:type="dxa"/>
            <w:noWrap/>
            <w:hideMark/>
          </w:tcPr>
          <w:p w14:paraId="08D7BC32" w14:textId="77777777" w:rsidR="0010067A" w:rsidRPr="00624405" w:rsidRDefault="0010067A" w:rsidP="001E5D39">
            <w:pPr>
              <w:pStyle w:val="Tabletext"/>
              <w:rPr>
                <w:rFonts w:asciiTheme="minorHAnsi" w:hAnsiTheme="minorHAnsi" w:cstheme="minorHAnsi"/>
                <w:color w:val="000000"/>
                <w:sz w:val="10"/>
                <w:szCs w:val="10"/>
                <w:lang w:eastAsia="en-GB"/>
              </w:rPr>
            </w:pPr>
          </w:p>
        </w:tc>
        <w:tc>
          <w:tcPr>
            <w:tcW w:w="1348" w:type="dxa"/>
            <w:noWrap/>
            <w:hideMark/>
          </w:tcPr>
          <w:p w14:paraId="575B7A1E" w14:textId="77777777" w:rsidR="0010067A" w:rsidRPr="00624405" w:rsidRDefault="0010067A" w:rsidP="001E5D39">
            <w:pPr>
              <w:pStyle w:val="Tabletext"/>
              <w:jc w:val="center"/>
              <w:rPr>
                <w:rFonts w:asciiTheme="minorHAnsi" w:hAnsiTheme="minorHAnsi" w:cstheme="minorHAnsi"/>
                <w:color w:val="000000"/>
                <w:sz w:val="10"/>
                <w:szCs w:val="10"/>
                <w:lang w:eastAsia="en-GB"/>
              </w:rPr>
            </w:pPr>
          </w:p>
        </w:tc>
        <w:tc>
          <w:tcPr>
            <w:tcW w:w="1472" w:type="dxa"/>
            <w:noWrap/>
            <w:hideMark/>
          </w:tcPr>
          <w:p w14:paraId="6B68B453" w14:textId="77777777" w:rsidR="0010067A" w:rsidRPr="00624405" w:rsidRDefault="0010067A" w:rsidP="001E5D39">
            <w:pPr>
              <w:pStyle w:val="Tabletext"/>
              <w:jc w:val="center"/>
              <w:rPr>
                <w:rFonts w:asciiTheme="minorHAnsi" w:hAnsiTheme="minorHAnsi" w:cstheme="minorHAnsi"/>
                <w:color w:val="000000"/>
                <w:sz w:val="10"/>
                <w:szCs w:val="10"/>
                <w:lang w:eastAsia="en-GB"/>
              </w:rPr>
            </w:pPr>
          </w:p>
        </w:tc>
        <w:tc>
          <w:tcPr>
            <w:tcW w:w="1640" w:type="dxa"/>
            <w:noWrap/>
            <w:hideMark/>
          </w:tcPr>
          <w:p w14:paraId="2ADAD5C8" w14:textId="77777777" w:rsidR="0010067A" w:rsidRPr="00624405" w:rsidRDefault="0010067A" w:rsidP="001E5D39">
            <w:pPr>
              <w:pStyle w:val="Tabletext"/>
              <w:jc w:val="center"/>
              <w:rPr>
                <w:rFonts w:asciiTheme="minorHAnsi" w:hAnsiTheme="minorHAnsi" w:cstheme="minorHAnsi"/>
                <w:color w:val="000000"/>
                <w:sz w:val="10"/>
                <w:szCs w:val="10"/>
                <w:lang w:eastAsia="en-GB"/>
              </w:rPr>
            </w:pPr>
          </w:p>
        </w:tc>
      </w:tr>
      <w:tr w:rsidR="0010067A" w:rsidRPr="00624405" w14:paraId="209FE7C6" w14:textId="77777777" w:rsidTr="001E5D39">
        <w:trPr>
          <w:cantSplit/>
          <w:jc w:val="center"/>
        </w:trPr>
        <w:tc>
          <w:tcPr>
            <w:tcW w:w="5800" w:type="dxa"/>
            <w:hideMark/>
          </w:tcPr>
          <w:p w14:paraId="709112FC" w14:textId="77777777" w:rsidR="0010067A" w:rsidRPr="0070560B" w:rsidRDefault="0010067A" w:rsidP="001E5D39">
            <w:pPr>
              <w:pStyle w:val="Tabletext"/>
              <w:keepNext/>
              <w:rPr>
                <w:rFonts w:asciiTheme="minorHAnsi" w:hAnsiTheme="minorHAnsi" w:cstheme="minorHAnsi"/>
                <w:color w:val="000000"/>
                <w:lang w:val="es-ES"/>
              </w:rPr>
            </w:pPr>
            <w:r w:rsidRPr="00BD323D">
              <w:rPr>
                <w:b/>
                <w:bCs/>
                <w:color w:val="000000"/>
                <w:lang w:val="es-ES"/>
              </w:rPr>
              <w:t>Resolución 76</w:t>
            </w:r>
            <w:r>
              <w:rPr>
                <w:color w:val="000000"/>
                <w:lang w:val="es-ES"/>
              </w:rPr>
              <w:t xml:space="preserve"> – Promoción de las tecnologías de la información y la comunicación entre los hombres y mujeres jóvenes para su emancipación social y económica 1 216</w:t>
            </w:r>
          </w:p>
        </w:tc>
        <w:tc>
          <w:tcPr>
            <w:tcW w:w="1348" w:type="dxa"/>
            <w:noWrap/>
            <w:hideMark/>
          </w:tcPr>
          <w:p w14:paraId="08924104" w14:textId="77777777" w:rsidR="0010067A" w:rsidRPr="00624405" w:rsidRDefault="0010067A" w:rsidP="001E5D39">
            <w:pPr>
              <w:pStyle w:val="Tabletext"/>
              <w:ind w:right="283"/>
              <w:jc w:val="right"/>
              <w:rPr>
                <w:rFonts w:asciiTheme="minorHAnsi" w:hAnsiTheme="minorHAnsi" w:cstheme="minorHAnsi"/>
                <w:color w:val="000000"/>
              </w:rPr>
            </w:pPr>
            <w:r>
              <w:rPr>
                <w:color w:val="000000"/>
                <w:lang w:val="es-ES"/>
              </w:rPr>
              <w:t>304</w:t>
            </w:r>
          </w:p>
        </w:tc>
        <w:tc>
          <w:tcPr>
            <w:tcW w:w="1472" w:type="dxa"/>
            <w:noWrap/>
            <w:hideMark/>
          </w:tcPr>
          <w:p w14:paraId="6DD4E67B" w14:textId="77777777" w:rsidR="0010067A" w:rsidRPr="00624405" w:rsidRDefault="0010067A" w:rsidP="001E5D39">
            <w:pPr>
              <w:pStyle w:val="Tabletext"/>
              <w:ind w:right="283"/>
              <w:jc w:val="right"/>
              <w:rPr>
                <w:rFonts w:asciiTheme="minorHAnsi" w:hAnsiTheme="minorHAnsi" w:cstheme="minorHAnsi"/>
                <w:color w:val="000000"/>
              </w:rPr>
            </w:pPr>
            <w:r>
              <w:rPr>
                <w:color w:val="000000"/>
                <w:lang w:val="es-ES"/>
              </w:rPr>
              <w:t>912</w:t>
            </w:r>
          </w:p>
        </w:tc>
        <w:tc>
          <w:tcPr>
            <w:tcW w:w="1640" w:type="dxa"/>
            <w:noWrap/>
            <w:hideMark/>
          </w:tcPr>
          <w:p w14:paraId="1B9AE716" w14:textId="77777777" w:rsidR="0010067A" w:rsidRPr="00624405" w:rsidRDefault="0010067A" w:rsidP="001E5D39">
            <w:pPr>
              <w:pStyle w:val="Tabletext"/>
              <w:ind w:right="283"/>
              <w:jc w:val="right"/>
              <w:rPr>
                <w:rFonts w:asciiTheme="minorHAnsi" w:hAnsiTheme="minorHAnsi" w:cstheme="minorHAnsi"/>
                <w:b/>
                <w:bCs/>
                <w:color w:val="000000"/>
              </w:rPr>
            </w:pPr>
            <w:r>
              <w:rPr>
                <w:b/>
                <w:bCs/>
                <w:color w:val="000000"/>
                <w:lang w:val="es-ES"/>
              </w:rPr>
              <w:t>1 216</w:t>
            </w:r>
          </w:p>
        </w:tc>
      </w:tr>
      <w:tr w:rsidR="0010067A" w:rsidRPr="00624405" w14:paraId="28C6BD78" w14:textId="77777777" w:rsidTr="001E5D39">
        <w:trPr>
          <w:cantSplit/>
          <w:jc w:val="center"/>
        </w:trPr>
        <w:tc>
          <w:tcPr>
            <w:tcW w:w="5800" w:type="dxa"/>
            <w:hideMark/>
          </w:tcPr>
          <w:p w14:paraId="318B53EC" w14:textId="77777777" w:rsidR="0010067A" w:rsidRPr="00624405" w:rsidRDefault="0010067A" w:rsidP="001E5D39">
            <w:pPr>
              <w:pStyle w:val="Tabletext"/>
              <w:ind w:left="284" w:hanging="284"/>
              <w:rPr>
                <w:rFonts w:asciiTheme="minorHAnsi" w:hAnsiTheme="minorHAnsi" w:cstheme="minorHAnsi"/>
              </w:rPr>
            </w:pPr>
            <w:r>
              <w:rPr>
                <w:color w:val="000000"/>
                <w:lang w:val="es-ES"/>
              </w:rPr>
              <w:t>–</w:t>
            </w:r>
            <w:r>
              <w:rPr>
                <w:color w:val="000000"/>
                <w:lang w:val="es-ES"/>
              </w:rPr>
              <w:tab/>
              <w:t>Jóvenes profesionales</w:t>
            </w:r>
          </w:p>
        </w:tc>
        <w:tc>
          <w:tcPr>
            <w:tcW w:w="1348" w:type="dxa"/>
            <w:noWrap/>
            <w:hideMark/>
          </w:tcPr>
          <w:p w14:paraId="491F5907" w14:textId="77777777" w:rsidR="0010067A" w:rsidRPr="00624405" w:rsidRDefault="0010067A" w:rsidP="001E5D39">
            <w:pPr>
              <w:pStyle w:val="Tabletext"/>
              <w:ind w:right="283"/>
              <w:jc w:val="right"/>
              <w:rPr>
                <w:rFonts w:asciiTheme="minorHAnsi" w:hAnsiTheme="minorHAnsi" w:cstheme="minorHAnsi"/>
                <w:color w:val="000000"/>
              </w:rPr>
            </w:pPr>
            <w:r>
              <w:rPr>
                <w:color w:val="000000"/>
                <w:lang w:val="es-ES"/>
              </w:rPr>
              <w:t>254</w:t>
            </w:r>
          </w:p>
        </w:tc>
        <w:tc>
          <w:tcPr>
            <w:tcW w:w="1472" w:type="dxa"/>
            <w:noWrap/>
            <w:hideMark/>
          </w:tcPr>
          <w:p w14:paraId="52A748A5" w14:textId="77777777" w:rsidR="0010067A" w:rsidRPr="00624405" w:rsidRDefault="0010067A" w:rsidP="001E5D39">
            <w:pPr>
              <w:pStyle w:val="Tabletext"/>
              <w:ind w:right="283"/>
              <w:jc w:val="right"/>
              <w:rPr>
                <w:rFonts w:asciiTheme="minorHAnsi" w:hAnsiTheme="minorHAnsi" w:cstheme="minorHAnsi"/>
                <w:color w:val="000000"/>
              </w:rPr>
            </w:pPr>
            <w:r>
              <w:rPr>
                <w:color w:val="000000"/>
                <w:lang w:val="es-ES"/>
              </w:rPr>
              <w:t>762</w:t>
            </w:r>
          </w:p>
        </w:tc>
        <w:tc>
          <w:tcPr>
            <w:tcW w:w="1640" w:type="dxa"/>
            <w:noWrap/>
            <w:hideMark/>
          </w:tcPr>
          <w:p w14:paraId="769AB961" w14:textId="77777777" w:rsidR="0010067A" w:rsidRPr="00624405" w:rsidRDefault="0010067A" w:rsidP="001E5D39">
            <w:pPr>
              <w:pStyle w:val="Tabletext"/>
              <w:ind w:right="283"/>
              <w:jc w:val="right"/>
              <w:rPr>
                <w:rFonts w:asciiTheme="minorHAnsi" w:hAnsiTheme="minorHAnsi" w:cstheme="minorHAnsi"/>
                <w:color w:val="000000"/>
              </w:rPr>
            </w:pPr>
            <w:r>
              <w:rPr>
                <w:color w:val="000000"/>
                <w:lang w:val="es-ES"/>
              </w:rPr>
              <w:t>1 016</w:t>
            </w:r>
          </w:p>
        </w:tc>
      </w:tr>
      <w:tr w:rsidR="0010067A" w:rsidRPr="00624405" w14:paraId="6FA05C5A" w14:textId="77777777" w:rsidTr="001E5D39">
        <w:trPr>
          <w:cantSplit/>
          <w:jc w:val="center"/>
        </w:trPr>
        <w:tc>
          <w:tcPr>
            <w:tcW w:w="5800" w:type="dxa"/>
            <w:hideMark/>
          </w:tcPr>
          <w:p w14:paraId="6B5F688D" w14:textId="77777777" w:rsidR="0010067A" w:rsidRPr="0070560B" w:rsidRDefault="0010067A" w:rsidP="001E5D39">
            <w:pPr>
              <w:pStyle w:val="Tabletext"/>
              <w:ind w:left="284" w:hanging="284"/>
              <w:rPr>
                <w:rFonts w:asciiTheme="minorHAnsi" w:hAnsiTheme="minorHAnsi" w:cstheme="minorHAnsi"/>
                <w:lang w:val="es-ES"/>
              </w:rPr>
            </w:pPr>
            <w:r>
              <w:rPr>
                <w:color w:val="000000"/>
                <w:lang w:val="es-ES"/>
              </w:rPr>
              <w:t>–</w:t>
            </w:r>
            <w:r>
              <w:rPr>
                <w:color w:val="000000"/>
                <w:lang w:val="es-ES"/>
              </w:rPr>
              <w:tab/>
              <w:t>Becas para la participación de hombres y mujeres jóvenes en programas sobre competencias digitales</w:t>
            </w:r>
          </w:p>
        </w:tc>
        <w:tc>
          <w:tcPr>
            <w:tcW w:w="1348" w:type="dxa"/>
            <w:noWrap/>
            <w:hideMark/>
          </w:tcPr>
          <w:p w14:paraId="463ADFC2" w14:textId="77777777" w:rsidR="0010067A" w:rsidRPr="00624405" w:rsidRDefault="0010067A" w:rsidP="001E5D39">
            <w:pPr>
              <w:pStyle w:val="Tabletext"/>
              <w:ind w:right="283"/>
              <w:jc w:val="right"/>
              <w:rPr>
                <w:rFonts w:asciiTheme="minorHAnsi" w:hAnsiTheme="minorHAnsi" w:cstheme="minorHAnsi"/>
                <w:color w:val="000000"/>
              </w:rPr>
            </w:pPr>
            <w:r>
              <w:rPr>
                <w:color w:val="000000"/>
                <w:lang w:val="es-ES"/>
              </w:rPr>
              <w:t>50</w:t>
            </w:r>
          </w:p>
        </w:tc>
        <w:tc>
          <w:tcPr>
            <w:tcW w:w="1472" w:type="dxa"/>
            <w:noWrap/>
            <w:hideMark/>
          </w:tcPr>
          <w:p w14:paraId="5BA6FD1A" w14:textId="77777777" w:rsidR="0010067A" w:rsidRPr="00624405" w:rsidRDefault="0010067A" w:rsidP="001E5D39">
            <w:pPr>
              <w:pStyle w:val="Tabletext"/>
              <w:ind w:right="283"/>
              <w:jc w:val="right"/>
              <w:rPr>
                <w:rFonts w:asciiTheme="minorHAnsi" w:hAnsiTheme="minorHAnsi" w:cstheme="minorHAnsi"/>
                <w:color w:val="000000"/>
              </w:rPr>
            </w:pPr>
            <w:r>
              <w:rPr>
                <w:color w:val="000000"/>
                <w:lang w:val="es-ES"/>
              </w:rPr>
              <w:t>150</w:t>
            </w:r>
          </w:p>
        </w:tc>
        <w:tc>
          <w:tcPr>
            <w:tcW w:w="1640" w:type="dxa"/>
            <w:noWrap/>
            <w:hideMark/>
          </w:tcPr>
          <w:p w14:paraId="3048B04E" w14:textId="77777777" w:rsidR="0010067A" w:rsidRPr="00624405" w:rsidRDefault="0010067A" w:rsidP="001E5D39">
            <w:pPr>
              <w:pStyle w:val="Tabletext"/>
              <w:ind w:right="283"/>
              <w:jc w:val="right"/>
              <w:rPr>
                <w:rFonts w:asciiTheme="minorHAnsi" w:hAnsiTheme="minorHAnsi" w:cstheme="minorHAnsi"/>
                <w:color w:val="000000"/>
              </w:rPr>
            </w:pPr>
            <w:r>
              <w:rPr>
                <w:color w:val="000000"/>
                <w:lang w:val="es-ES"/>
              </w:rPr>
              <w:t>200</w:t>
            </w:r>
          </w:p>
        </w:tc>
      </w:tr>
      <w:tr w:rsidR="0010067A" w:rsidRPr="00624405" w14:paraId="658681CA" w14:textId="77777777" w:rsidTr="001E5D39">
        <w:trPr>
          <w:cantSplit/>
          <w:jc w:val="center"/>
        </w:trPr>
        <w:tc>
          <w:tcPr>
            <w:tcW w:w="5800" w:type="dxa"/>
            <w:hideMark/>
          </w:tcPr>
          <w:p w14:paraId="7603D57D" w14:textId="77777777" w:rsidR="0010067A" w:rsidRPr="00624405" w:rsidRDefault="0010067A" w:rsidP="001E5D39">
            <w:pPr>
              <w:pStyle w:val="Tabletext"/>
              <w:jc w:val="right"/>
              <w:rPr>
                <w:rFonts w:asciiTheme="minorHAnsi" w:hAnsiTheme="minorHAnsi" w:cstheme="minorHAnsi"/>
                <w:b/>
                <w:bCs/>
              </w:rPr>
            </w:pPr>
            <w:r>
              <w:rPr>
                <w:b/>
                <w:bCs/>
                <w:color w:val="000000"/>
                <w:lang w:val="es-ES"/>
              </w:rPr>
              <w:t>TOTAL</w:t>
            </w:r>
          </w:p>
        </w:tc>
        <w:tc>
          <w:tcPr>
            <w:tcW w:w="1348" w:type="dxa"/>
            <w:noWrap/>
            <w:hideMark/>
          </w:tcPr>
          <w:p w14:paraId="0C2212BA" w14:textId="77777777" w:rsidR="0010067A" w:rsidRPr="00624405" w:rsidRDefault="0010067A" w:rsidP="001E5D39">
            <w:pPr>
              <w:pStyle w:val="Tabletext"/>
              <w:ind w:right="283"/>
              <w:jc w:val="right"/>
              <w:rPr>
                <w:rFonts w:asciiTheme="minorHAnsi" w:hAnsiTheme="minorHAnsi" w:cstheme="minorHAnsi"/>
                <w:b/>
                <w:bCs/>
                <w:color w:val="000000"/>
              </w:rPr>
            </w:pPr>
            <w:r>
              <w:rPr>
                <w:b/>
                <w:bCs/>
                <w:color w:val="000000"/>
                <w:lang w:val="es-ES"/>
              </w:rPr>
              <w:t>1 160</w:t>
            </w:r>
          </w:p>
        </w:tc>
        <w:tc>
          <w:tcPr>
            <w:tcW w:w="1472" w:type="dxa"/>
            <w:noWrap/>
            <w:hideMark/>
          </w:tcPr>
          <w:p w14:paraId="123515DB" w14:textId="77777777" w:rsidR="0010067A" w:rsidRPr="00624405" w:rsidRDefault="0010067A" w:rsidP="001E5D39">
            <w:pPr>
              <w:pStyle w:val="Tabletext"/>
              <w:ind w:right="283"/>
              <w:jc w:val="right"/>
              <w:rPr>
                <w:rFonts w:asciiTheme="minorHAnsi" w:hAnsiTheme="minorHAnsi" w:cstheme="minorHAnsi"/>
                <w:b/>
                <w:bCs/>
                <w:color w:val="000000"/>
              </w:rPr>
            </w:pPr>
            <w:r>
              <w:rPr>
                <w:b/>
                <w:bCs/>
                <w:color w:val="000000"/>
                <w:lang w:val="es-ES"/>
              </w:rPr>
              <w:t>3 048</w:t>
            </w:r>
          </w:p>
        </w:tc>
        <w:tc>
          <w:tcPr>
            <w:tcW w:w="1640" w:type="dxa"/>
            <w:noWrap/>
            <w:hideMark/>
          </w:tcPr>
          <w:p w14:paraId="19943373" w14:textId="77777777" w:rsidR="0010067A" w:rsidRPr="00624405" w:rsidRDefault="0010067A" w:rsidP="001E5D39">
            <w:pPr>
              <w:pStyle w:val="Tabletext"/>
              <w:ind w:right="283"/>
              <w:jc w:val="right"/>
              <w:rPr>
                <w:rFonts w:asciiTheme="minorHAnsi" w:hAnsiTheme="minorHAnsi" w:cstheme="minorHAnsi"/>
                <w:b/>
                <w:bCs/>
                <w:color w:val="000000"/>
              </w:rPr>
            </w:pPr>
            <w:r>
              <w:rPr>
                <w:b/>
                <w:bCs/>
                <w:color w:val="000000"/>
                <w:lang w:val="es-ES"/>
              </w:rPr>
              <w:t>4 208</w:t>
            </w:r>
          </w:p>
        </w:tc>
      </w:tr>
    </w:tbl>
    <w:p w14:paraId="6769C9DC" w14:textId="77777777" w:rsidR="007B5C20" w:rsidRDefault="007B5C20" w:rsidP="00411C49">
      <w:pPr>
        <w:pStyle w:val="Reasons"/>
      </w:pPr>
    </w:p>
    <w:p w14:paraId="6071DDBA" w14:textId="77777777" w:rsidR="007B5C20" w:rsidRDefault="007B5C20">
      <w:pPr>
        <w:jc w:val="center"/>
      </w:pPr>
      <w:r>
        <w:t>______________</w:t>
      </w:r>
    </w:p>
    <w:sectPr w:rsidR="007B5C20" w:rsidSect="00C538FC">
      <w:footerReference w:type="default" r:id="rId18"/>
      <w:headerReference w:type="first" r:id="rId19"/>
      <w:footerReference w:type="first" r:id="rId20"/>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84892" w14:textId="77777777" w:rsidR="00155EC9" w:rsidRDefault="00155EC9">
      <w:r>
        <w:separator/>
      </w:r>
    </w:p>
  </w:endnote>
  <w:endnote w:type="continuationSeparator" w:id="0">
    <w:p w14:paraId="1F4EFE84" w14:textId="77777777" w:rsidR="00155EC9" w:rsidRDefault="00155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73A4" w:rsidRPr="00784011" w14:paraId="12BF0B10" w14:textId="77777777" w:rsidTr="00E31DCE">
      <w:trPr>
        <w:jc w:val="center"/>
      </w:trPr>
      <w:tc>
        <w:tcPr>
          <w:tcW w:w="1803" w:type="dxa"/>
          <w:vAlign w:val="center"/>
        </w:tcPr>
        <w:p w14:paraId="4E0A36CE" w14:textId="77777777" w:rsidR="003273A4" w:rsidRDefault="002946E2" w:rsidP="003273A4">
          <w:pPr>
            <w:pStyle w:val="Header"/>
            <w:jc w:val="left"/>
            <w:rPr>
              <w:noProof/>
            </w:rPr>
          </w:pPr>
          <w:r>
            <w:rPr>
              <w:noProof/>
            </w:rPr>
            <w:t>gDoc #</w:t>
          </w:r>
        </w:p>
      </w:tc>
      <w:tc>
        <w:tcPr>
          <w:tcW w:w="8261" w:type="dxa"/>
        </w:tcPr>
        <w:p w14:paraId="78E560CA" w14:textId="5541FAD9" w:rsidR="003273A4" w:rsidRPr="00E06FD5" w:rsidRDefault="003273A4" w:rsidP="00B060DF">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F85E5C">
            <w:rPr>
              <w:bCs/>
            </w:rPr>
            <w:t>6</w:t>
          </w:r>
          <w:proofErr w:type="spellEnd"/>
          <w:r w:rsidRPr="00623AE3">
            <w:rPr>
              <w:bCs/>
            </w:rPr>
            <w:t>/</w:t>
          </w:r>
          <w:r w:rsidR="000C706B">
            <w:rPr>
              <w:bCs/>
            </w:rPr>
            <w:t>43</w:t>
          </w:r>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46182B05" w14:textId="77777777" w:rsidR="00760F1C" w:rsidRPr="003273A4" w:rsidRDefault="00760F1C" w:rsidP="003273A4">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609F2E16" w14:textId="77777777" w:rsidTr="00E31DCE">
      <w:trPr>
        <w:jc w:val="center"/>
      </w:trPr>
      <w:tc>
        <w:tcPr>
          <w:tcW w:w="1803" w:type="dxa"/>
          <w:vAlign w:val="center"/>
        </w:tcPr>
        <w:p w14:paraId="23183B5D" w14:textId="77777777" w:rsidR="00F24B71" w:rsidRPr="002946E2" w:rsidRDefault="00F85E5C" w:rsidP="00F24B71">
          <w:pPr>
            <w:pStyle w:val="Header"/>
            <w:jc w:val="left"/>
            <w:rPr>
              <w:noProof/>
            </w:rPr>
          </w:pPr>
          <w:hyperlink r:id="rId1" w:anchor="/es" w:history="1">
            <w:r>
              <w:rPr>
                <w:rStyle w:val="Hyperlink"/>
                <w:noProof/>
              </w:rPr>
              <w:t>council.itu.int/2026</w:t>
            </w:r>
          </w:hyperlink>
          <w:r w:rsidR="002946E2" w:rsidRPr="002946E2">
            <w:rPr>
              <w:noProof/>
            </w:rPr>
            <w:t xml:space="preserve"> </w:t>
          </w:r>
        </w:p>
      </w:tc>
      <w:tc>
        <w:tcPr>
          <w:tcW w:w="8261" w:type="dxa"/>
        </w:tcPr>
        <w:p w14:paraId="73AA201F" w14:textId="77777777" w:rsidR="00F24B71" w:rsidRPr="00E06FD5" w:rsidRDefault="00F24B71" w:rsidP="00B060DF">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F85E5C">
            <w:rPr>
              <w:bCs/>
            </w:rPr>
            <w:t>6</w:t>
          </w:r>
          <w:proofErr w:type="spellEnd"/>
          <w:r w:rsidRPr="00623AE3">
            <w:rPr>
              <w:bCs/>
            </w:rPr>
            <w:t>/xx-</w:t>
          </w:r>
          <w:r w:rsidR="003273A4">
            <w:rPr>
              <w:bCs/>
            </w:rPr>
            <w:t>S</w:t>
          </w:r>
          <w:r>
            <w:rPr>
              <w:bCs/>
            </w:rPr>
            <w:tab/>
          </w:r>
          <w:r>
            <w:fldChar w:fldCharType="begin"/>
          </w:r>
          <w:r>
            <w:instrText>PAGE</w:instrText>
          </w:r>
          <w:r>
            <w:fldChar w:fldCharType="separate"/>
          </w:r>
          <w:r>
            <w:t>1</w:t>
          </w:r>
          <w:r>
            <w:rPr>
              <w:noProof/>
            </w:rPr>
            <w:fldChar w:fldCharType="end"/>
          </w:r>
        </w:p>
      </w:tc>
    </w:tr>
  </w:tbl>
  <w:p w14:paraId="55B7E053" w14:textId="77777777" w:rsidR="00760F1C" w:rsidRPr="00F24B71" w:rsidRDefault="00760F1C" w:rsidP="00F2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59F8E" w14:textId="77777777" w:rsidR="00155EC9" w:rsidRDefault="00155EC9">
      <w:r>
        <w:t>____________________</w:t>
      </w:r>
    </w:p>
  </w:footnote>
  <w:footnote w:type="continuationSeparator" w:id="0">
    <w:p w14:paraId="487EEDA6" w14:textId="77777777" w:rsidR="00155EC9" w:rsidRDefault="00155E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7A9A4" w14:textId="77777777" w:rsidR="001559F5" w:rsidRPr="00B1560D" w:rsidRDefault="00B1560D" w:rsidP="00B1560D">
    <w:pPr>
      <w:pStyle w:val="Header"/>
    </w:pPr>
    <w:r>
      <w:rPr>
        <w:noProof/>
      </w:rPr>
      <w:drawing>
        <wp:inline distT="0" distB="0" distL="0" distR="0" wp14:anchorId="51ECF0F0" wp14:editId="7373E94A">
          <wp:extent cx="5760085" cy="840740"/>
          <wp:effectExtent l="0" t="0" r="0" b="0"/>
          <wp:docPr id="397875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875340" name="Picture 397875340"/>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67A"/>
    <w:rsid w:val="000007D1"/>
    <w:rsid w:val="00010ACF"/>
    <w:rsid w:val="0005281F"/>
    <w:rsid w:val="0006007D"/>
    <w:rsid w:val="00093EEB"/>
    <w:rsid w:val="000B0D00"/>
    <w:rsid w:val="000B7C15"/>
    <w:rsid w:val="000C706B"/>
    <w:rsid w:val="000D1D0F"/>
    <w:rsid w:val="000E3F07"/>
    <w:rsid w:val="000F5290"/>
    <w:rsid w:val="000F5A95"/>
    <w:rsid w:val="0010067A"/>
    <w:rsid w:val="0010165C"/>
    <w:rsid w:val="00132EE4"/>
    <w:rsid w:val="00146BFB"/>
    <w:rsid w:val="001559F5"/>
    <w:rsid w:val="00155EC9"/>
    <w:rsid w:val="00157AC4"/>
    <w:rsid w:val="0016169C"/>
    <w:rsid w:val="001958F5"/>
    <w:rsid w:val="001A64EF"/>
    <w:rsid w:val="001B6E2B"/>
    <w:rsid w:val="001F14A2"/>
    <w:rsid w:val="00211175"/>
    <w:rsid w:val="00232AB4"/>
    <w:rsid w:val="00277DEA"/>
    <w:rsid w:val="002801AA"/>
    <w:rsid w:val="002946E2"/>
    <w:rsid w:val="002C31F1"/>
    <w:rsid w:val="002C3F32"/>
    <w:rsid w:val="002C4676"/>
    <w:rsid w:val="002C70B0"/>
    <w:rsid w:val="002F3CC4"/>
    <w:rsid w:val="003032E2"/>
    <w:rsid w:val="0031300A"/>
    <w:rsid w:val="003273A4"/>
    <w:rsid w:val="0034796E"/>
    <w:rsid w:val="004571B0"/>
    <w:rsid w:val="00465C35"/>
    <w:rsid w:val="00473962"/>
    <w:rsid w:val="004B5D49"/>
    <w:rsid w:val="004D3A3C"/>
    <w:rsid w:val="00513630"/>
    <w:rsid w:val="00560125"/>
    <w:rsid w:val="00580BA8"/>
    <w:rsid w:val="00585553"/>
    <w:rsid w:val="005B34D9"/>
    <w:rsid w:val="005D0CCF"/>
    <w:rsid w:val="005E627B"/>
    <w:rsid w:val="005F0915"/>
    <w:rsid w:val="005F3BCB"/>
    <w:rsid w:val="005F410F"/>
    <w:rsid w:val="005F70DE"/>
    <w:rsid w:val="0060149A"/>
    <w:rsid w:val="00601924"/>
    <w:rsid w:val="006447EA"/>
    <w:rsid w:val="0064481D"/>
    <w:rsid w:val="0064731F"/>
    <w:rsid w:val="00664572"/>
    <w:rsid w:val="00666D09"/>
    <w:rsid w:val="00670579"/>
    <w:rsid w:val="006710F6"/>
    <w:rsid w:val="00677A97"/>
    <w:rsid w:val="006C1B56"/>
    <w:rsid w:val="006D1F8B"/>
    <w:rsid w:val="006D4761"/>
    <w:rsid w:val="006E5D9A"/>
    <w:rsid w:val="00726872"/>
    <w:rsid w:val="00753FE6"/>
    <w:rsid w:val="00760F1C"/>
    <w:rsid w:val="007657F0"/>
    <w:rsid w:val="0077110E"/>
    <w:rsid w:val="0077252D"/>
    <w:rsid w:val="00776299"/>
    <w:rsid w:val="007955DA"/>
    <w:rsid w:val="007B5C20"/>
    <w:rsid w:val="007E5DD3"/>
    <w:rsid w:val="007F350B"/>
    <w:rsid w:val="00820BE4"/>
    <w:rsid w:val="008451E8"/>
    <w:rsid w:val="0084546D"/>
    <w:rsid w:val="008F6ABC"/>
    <w:rsid w:val="00913B9C"/>
    <w:rsid w:val="00927F93"/>
    <w:rsid w:val="00956E77"/>
    <w:rsid w:val="00985F7D"/>
    <w:rsid w:val="009A338E"/>
    <w:rsid w:val="009A76A8"/>
    <w:rsid w:val="009F4811"/>
    <w:rsid w:val="00A01F4F"/>
    <w:rsid w:val="00A109AF"/>
    <w:rsid w:val="00A94438"/>
    <w:rsid w:val="00AA390C"/>
    <w:rsid w:val="00AD5A4D"/>
    <w:rsid w:val="00AF0EAC"/>
    <w:rsid w:val="00B0200A"/>
    <w:rsid w:val="00B060DF"/>
    <w:rsid w:val="00B1560D"/>
    <w:rsid w:val="00B574DB"/>
    <w:rsid w:val="00B826C2"/>
    <w:rsid w:val="00B8298E"/>
    <w:rsid w:val="00BB6FD8"/>
    <w:rsid w:val="00BD0723"/>
    <w:rsid w:val="00BD2518"/>
    <w:rsid w:val="00BF1D1C"/>
    <w:rsid w:val="00C20C59"/>
    <w:rsid w:val="00C2727F"/>
    <w:rsid w:val="00C4421B"/>
    <w:rsid w:val="00C538FC"/>
    <w:rsid w:val="00C55B1F"/>
    <w:rsid w:val="00CF1A67"/>
    <w:rsid w:val="00D2750E"/>
    <w:rsid w:val="00D375E0"/>
    <w:rsid w:val="00D50A36"/>
    <w:rsid w:val="00D62446"/>
    <w:rsid w:val="00DA4EA2"/>
    <w:rsid w:val="00DC3D3E"/>
    <w:rsid w:val="00DE2C90"/>
    <w:rsid w:val="00DE32A2"/>
    <w:rsid w:val="00DE3B24"/>
    <w:rsid w:val="00DE7376"/>
    <w:rsid w:val="00E06947"/>
    <w:rsid w:val="00E11319"/>
    <w:rsid w:val="00E21444"/>
    <w:rsid w:val="00E34072"/>
    <w:rsid w:val="00E3592D"/>
    <w:rsid w:val="00E50D76"/>
    <w:rsid w:val="00E8018B"/>
    <w:rsid w:val="00E92DE8"/>
    <w:rsid w:val="00EB1212"/>
    <w:rsid w:val="00ED65AB"/>
    <w:rsid w:val="00F12850"/>
    <w:rsid w:val="00F24B71"/>
    <w:rsid w:val="00F33BF4"/>
    <w:rsid w:val="00F7105E"/>
    <w:rsid w:val="00F75F57"/>
    <w:rsid w:val="00F82FEE"/>
    <w:rsid w:val="00F85E5C"/>
    <w:rsid w:val="00F92BED"/>
    <w:rsid w:val="00FD57D3"/>
    <w:rsid w:val="00FE57F6"/>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B3F4BB"/>
  <w15:docId w15:val="{E10EC9D0-50A7-46B7-8DC3-A9E6069BC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5A9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0F5A95"/>
    <w:pPr>
      <w:keepNext/>
      <w:keepLines/>
      <w:spacing w:before="360"/>
      <w:ind w:left="567" w:hanging="567"/>
      <w:outlineLvl w:val="0"/>
    </w:pPr>
    <w:rPr>
      <w:b/>
      <w:sz w:val="28"/>
    </w:rPr>
  </w:style>
  <w:style w:type="paragraph" w:styleId="Heading2">
    <w:name w:val="heading 2"/>
    <w:basedOn w:val="Heading1"/>
    <w:next w:val="Normal"/>
    <w:qFormat/>
    <w:rsid w:val="000F5A95"/>
    <w:pPr>
      <w:spacing w:before="200"/>
      <w:outlineLvl w:val="1"/>
    </w:pPr>
    <w:rPr>
      <w:sz w:val="24"/>
    </w:rPr>
  </w:style>
  <w:style w:type="paragraph" w:styleId="Heading3">
    <w:name w:val="heading 3"/>
    <w:basedOn w:val="Heading1"/>
    <w:next w:val="Normal"/>
    <w:qFormat/>
    <w:rsid w:val="000F5A95"/>
    <w:pPr>
      <w:spacing w:before="200"/>
      <w:outlineLvl w:val="2"/>
    </w:pPr>
    <w:rPr>
      <w:sz w:val="24"/>
    </w:rPr>
  </w:style>
  <w:style w:type="paragraph" w:styleId="Heading4">
    <w:name w:val="heading 4"/>
    <w:basedOn w:val="Heading3"/>
    <w:next w:val="Normal"/>
    <w:qFormat/>
    <w:rsid w:val="000F5A95"/>
    <w:pPr>
      <w:ind w:left="1134" w:hanging="1134"/>
      <w:outlineLvl w:val="3"/>
    </w:pPr>
  </w:style>
  <w:style w:type="paragraph" w:styleId="Heading5">
    <w:name w:val="heading 5"/>
    <w:basedOn w:val="Heading4"/>
    <w:next w:val="Normal"/>
    <w:qFormat/>
    <w:rsid w:val="000F5A95"/>
    <w:pPr>
      <w:outlineLvl w:val="4"/>
    </w:pPr>
  </w:style>
  <w:style w:type="paragraph" w:styleId="Heading6">
    <w:name w:val="heading 6"/>
    <w:basedOn w:val="Heading4"/>
    <w:next w:val="Normal"/>
    <w:qFormat/>
    <w:rsid w:val="000F5A95"/>
    <w:pPr>
      <w:outlineLvl w:val="5"/>
    </w:pPr>
  </w:style>
  <w:style w:type="paragraph" w:styleId="Heading7">
    <w:name w:val="heading 7"/>
    <w:basedOn w:val="Heading4"/>
    <w:next w:val="Normal"/>
    <w:qFormat/>
    <w:rsid w:val="000F5A95"/>
    <w:pPr>
      <w:ind w:left="1701" w:hanging="1701"/>
      <w:outlineLvl w:val="6"/>
    </w:pPr>
  </w:style>
  <w:style w:type="paragraph" w:styleId="Heading8">
    <w:name w:val="heading 8"/>
    <w:basedOn w:val="Heading4"/>
    <w:next w:val="Normal"/>
    <w:qFormat/>
    <w:rsid w:val="000F5A95"/>
    <w:pPr>
      <w:ind w:left="1701" w:hanging="1701"/>
      <w:outlineLvl w:val="7"/>
    </w:pPr>
  </w:style>
  <w:style w:type="paragraph" w:styleId="Heading9">
    <w:name w:val="heading 9"/>
    <w:basedOn w:val="Heading4"/>
    <w:next w:val="Normal"/>
    <w:qFormat/>
    <w:rsid w:val="000F5A95"/>
    <w:pPr>
      <w:ind w:left="1701" w:hanging="1701"/>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0F5A95"/>
  </w:style>
  <w:style w:type="paragraph" w:styleId="TOC4">
    <w:name w:val="toc 4"/>
    <w:basedOn w:val="TOC1"/>
    <w:next w:val="Normal"/>
    <w:rsid w:val="000F5A95"/>
  </w:style>
  <w:style w:type="paragraph" w:styleId="TOC3">
    <w:name w:val="toc 3"/>
    <w:basedOn w:val="TOC1"/>
    <w:next w:val="Normal"/>
    <w:rsid w:val="000F5A95"/>
  </w:style>
  <w:style w:type="paragraph" w:styleId="TOC2">
    <w:name w:val="toc 2"/>
    <w:basedOn w:val="TOC1"/>
    <w:next w:val="Normal"/>
    <w:rsid w:val="000F5A95"/>
    <w:pPr>
      <w:spacing w:before="160"/>
    </w:pPr>
  </w:style>
  <w:style w:type="paragraph" w:styleId="TOC1">
    <w:name w:val="toc 1"/>
    <w:basedOn w:val="Normal"/>
    <w:rsid w:val="000F5A95"/>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0F5A95"/>
  </w:style>
  <w:style w:type="paragraph" w:styleId="TOC6">
    <w:name w:val="toc 6"/>
    <w:basedOn w:val="TOC5"/>
    <w:next w:val="Normal"/>
    <w:rsid w:val="000F5A95"/>
  </w:style>
  <w:style w:type="paragraph" w:styleId="TOC5">
    <w:name w:val="toc 5"/>
    <w:basedOn w:val="TOC4"/>
    <w:next w:val="Normal"/>
    <w:rsid w:val="000F5A95"/>
    <w:rPr>
      <w:lang w:val="fr-CH"/>
    </w:rPr>
  </w:style>
  <w:style w:type="paragraph" w:styleId="Index7">
    <w:name w:val="index 7"/>
    <w:basedOn w:val="Normal"/>
    <w:next w:val="Normal"/>
    <w:rsid w:val="000F5A95"/>
    <w:pPr>
      <w:ind w:left="1698"/>
    </w:pPr>
  </w:style>
  <w:style w:type="paragraph" w:styleId="Index6">
    <w:name w:val="index 6"/>
    <w:basedOn w:val="Normal"/>
    <w:next w:val="Normal"/>
    <w:rsid w:val="000F5A95"/>
    <w:pPr>
      <w:ind w:left="1415"/>
    </w:pPr>
  </w:style>
  <w:style w:type="paragraph" w:styleId="Index5">
    <w:name w:val="index 5"/>
    <w:basedOn w:val="Normal"/>
    <w:next w:val="Normal"/>
    <w:rsid w:val="000F5A95"/>
    <w:pPr>
      <w:ind w:left="1132"/>
    </w:pPr>
  </w:style>
  <w:style w:type="paragraph" w:styleId="Index4">
    <w:name w:val="index 4"/>
    <w:basedOn w:val="Normal"/>
    <w:next w:val="Normal"/>
    <w:rsid w:val="000F5A95"/>
    <w:pPr>
      <w:ind w:left="849"/>
    </w:pPr>
  </w:style>
  <w:style w:type="paragraph" w:styleId="Index3">
    <w:name w:val="index 3"/>
    <w:basedOn w:val="Normal"/>
    <w:next w:val="Normal"/>
    <w:rsid w:val="000F5A95"/>
    <w:pPr>
      <w:ind w:left="566"/>
    </w:pPr>
  </w:style>
  <w:style w:type="paragraph" w:styleId="Index2">
    <w:name w:val="index 2"/>
    <w:basedOn w:val="Normal"/>
    <w:next w:val="Normal"/>
    <w:rsid w:val="000F5A95"/>
    <w:pPr>
      <w:ind w:left="283"/>
    </w:pPr>
  </w:style>
  <w:style w:type="paragraph" w:styleId="Index1">
    <w:name w:val="index 1"/>
    <w:basedOn w:val="Normal"/>
    <w:next w:val="Normal"/>
    <w:rsid w:val="000F5A95"/>
  </w:style>
  <w:style w:type="character" w:styleId="LineNumber">
    <w:name w:val="line number"/>
    <w:basedOn w:val="DefaultParagraphFont"/>
    <w:rsid w:val="000F5A95"/>
  </w:style>
  <w:style w:type="paragraph" w:styleId="IndexHeading">
    <w:name w:val="index heading"/>
    <w:basedOn w:val="Normal"/>
    <w:next w:val="Index1"/>
    <w:rsid w:val="000F5A95"/>
  </w:style>
  <w:style w:type="paragraph" w:styleId="Footer">
    <w:name w:val="footer"/>
    <w:basedOn w:val="Normal"/>
    <w:rsid w:val="000F5A9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F5A9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F5A95"/>
    <w:rPr>
      <w:rFonts w:ascii="Calibri" w:hAnsi="Calibri"/>
      <w:position w:val="6"/>
      <w:sz w:val="16"/>
    </w:rPr>
  </w:style>
  <w:style w:type="paragraph" w:styleId="FootnoteText">
    <w:name w:val="footnote text"/>
    <w:basedOn w:val="Normal"/>
    <w:rsid w:val="000F5A95"/>
    <w:pPr>
      <w:keepLines/>
      <w:tabs>
        <w:tab w:val="left" w:pos="256"/>
      </w:tabs>
      <w:ind w:left="256" w:hanging="256"/>
    </w:pPr>
    <w:rPr>
      <w:sz w:val="22"/>
    </w:rPr>
  </w:style>
  <w:style w:type="paragraph" w:styleId="NormalIndent">
    <w:name w:val="Normal Indent"/>
    <w:basedOn w:val="Normal"/>
    <w:rsid w:val="000F5A95"/>
    <w:pPr>
      <w:ind w:left="567"/>
    </w:pPr>
  </w:style>
  <w:style w:type="paragraph" w:customStyle="1" w:styleId="AnnexNo">
    <w:name w:val="Annex_No"/>
    <w:basedOn w:val="Normal"/>
    <w:next w:val="Annexref"/>
    <w:rsid w:val="000F5A95"/>
    <w:pPr>
      <w:keepNext/>
      <w:keepLines/>
      <w:spacing w:before="720"/>
      <w:jc w:val="center"/>
    </w:pPr>
    <w:rPr>
      <w:caps/>
      <w:sz w:val="28"/>
    </w:rPr>
  </w:style>
  <w:style w:type="paragraph" w:customStyle="1" w:styleId="Annextitle">
    <w:name w:val="Annex_title"/>
    <w:basedOn w:val="Normal"/>
    <w:next w:val="Normalaftertitle"/>
    <w:rsid w:val="000F5A95"/>
    <w:pPr>
      <w:keepNext/>
      <w:keepLines/>
      <w:spacing w:before="240" w:after="240"/>
      <w:jc w:val="center"/>
    </w:pPr>
    <w:rPr>
      <w:b/>
      <w:sz w:val="28"/>
    </w:rPr>
  </w:style>
  <w:style w:type="paragraph" w:customStyle="1" w:styleId="Annexref">
    <w:name w:val="Annex_ref"/>
    <w:basedOn w:val="Normal"/>
    <w:next w:val="Annextitle"/>
    <w:rsid w:val="000F5A95"/>
    <w:pPr>
      <w:keepNext/>
      <w:keepLines/>
      <w:jc w:val="center"/>
    </w:pPr>
    <w:rPr>
      <w:sz w:val="28"/>
    </w:rPr>
  </w:style>
  <w:style w:type="paragraph" w:customStyle="1" w:styleId="Normalaftertitle">
    <w:name w:val="Normal after title"/>
    <w:basedOn w:val="Normal"/>
    <w:next w:val="Normal"/>
    <w:rsid w:val="000F5A95"/>
    <w:pPr>
      <w:spacing w:before="240"/>
    </w:pPr>
  </w:style>
  <w:style w:type="paragraph" w:customStyle="1" w:styleId="AppendixNo">
    <w:name w:val="Appendix_No"/>
    <w:basedOn w:val="AnnexNo"/>
    <w:next w:val="Appendixref"/>
    <w:rsid w:val="000F5A95"/>
  </w:style>
  <w:style w:type="paragraph" w:customStyle="1" w:styleId="Appendixtitle">
    <w:name w:val="Appendix_title"/>
    <w:basedOn w:val="Annextitle"/>
    <w:next w:val="Normalaftertitle"/>
    <w:rsid w:val="000F5A95"/>
  </w:style>
  <w:style w:type="paragraph" w:customStyle="1" w:styleId="Appendixref">
    <w:name w:val="Appendix_ref"/>
    <w:basedOn w:val="Annexref"/>
    <w:next w:val="Appendixtitle"/>
    <w:rsid w:val="000F5A95"/>
  </w:style>
  <w:style w:type="paragraph" w:customStyle="1" w:styleId="enumlev1">
    <w:name w:val="enumlev1"/>
    <w:basedOn w:val="Normal"/>
    <w:qFormat/>
    <w:rsid w:val="000F5A95"/>
    <w:pPr>
      <w:spacing w:before="80"/>
      <w:ind w:left="567" w:hanging="567"/>
    </w:pPr>
  </w:style>
  <w:style w:type="paragraph" w:customStyle="1" w:styleId="enumlev2">
    <w:name w:val="enumlev2"/>
    <w:basedOn w:val="enumlev1"/>
    <w:rsid w:val="000F5A95"/>
    <w:pPr>
      <w:ind w:left="1134"/>
    </w:pPr>
  </w:style>
  <w:style w:type="paragraph" w:customStyle="1" w:styleId="enumlev3">
    <w:name w:val="enumlev3"/>
    <w:basedOn w:val="enumlev2"/>
    <w:rsid w:val="000F5A95"/>
    <w:pPr>
      <w:ind w:left="1701"/>
    </w:pPr>
  </w:style>
  <w:style w:type="paragraph" w:customStyle="1" w:styleId="Artheading">
    <w:name w:val="Art_heading"/>
    <w:basedOn w:val="Normal"/>
    <w:next w:val="Normalaftertitle"/>
    <w:rsid w:val="000F5A9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F5A95"/>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F5A95"/>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F5A95"/>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F5A95"/>
  </w:style>
  <w:style w:type="paragraph" w:customStyle="1" w:styleId="Chaptitle">
    <w:name w:val="Chap_title"/>
    <w:basedOn w:val="Arttitle"/>
    <w:next w:val="Normalaftertitle"/>
    <w:rsid w:val="000F5A95"/>
  </w:style>
  <w:style w:type="paragraph" w:customStyle="1" w:styleId="Equationlegend">
    <w:name w:val="Equation_legend"/>
    <w:basedOn w:val="NormalIndent"/>
    <w:rsid w:val="000F5A95"/>
    <w:pPr>
      <w:tabs>
        <w:tab w:val="right" w:pos="1531"/>
      </w:tabs>
      <w:spacing w:before="80"/>
      <w:ind w:left="1701" w:hanging="1701"/>
    </w:pPr>
  </w:style>
  <w:style w:type="paragraph" w:customStyle="1" w:styleId="Figure">
    <w:name w:val="Figure"/>
    <w:basedOn w:val="Normal"/>
    <w:next w:val="Normal"/>
    <w:rsid w:val="000F5A95"/>
    <w:pPr>
      <w:spacing w:after="240"/>
      <w:jc w:val="center"/>
    </w:pPr>
  </w:style>
  <w:style w:type="paragraph" w:customStyle="1" w:styleId="Figuretitle">
    <w:name w:val="Figure_title"/>
    <w:basedOn w:val="Tabletitle"/>
    <w:next w:val="Normalaftertitle"/>
    <w:rsid w:val="000F5A95"/>
    <w:pPr>
      <w:spacing w:before="120" w:after="0"/>
    </w:pPr>
  </w:style>
  <w:style w:type="paragraph" w:customStyle="1" w:styleId="Tabletitle">
    <w:name w:val="Table_title"/>
    <w:basedOn w:val="TableNo"/>
    <w:next w:val="Tabletext"/>
    <w:rsid w:val="000F5A9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F5A95"/>
    <w:pPr>
      <w:keepNext/>
      <w:keepLines/>
      <w:spacing w:before="480" w:after="120"/>
      <w:jc w:val="center"/>
    </w:pPr>
    <w:rPr>
      <w:caps/>
    </w:rPr>
  </w:style>
  <w:style w:type="paragraph" w:customStyle="1" w:styleId="Tabletext">
    <w:name w:val="Table_text"/>
    <w:basedOn w:val="Normal"/>
    <w:rsid w:val="000F5A95"/>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next w:val="Normal"/>
    <w:rsid w:val="000F5A95"/>
    <w:pPr>
      <w:spacing w:before="20" w:after="240"/>
    </w:pPr>
    <w:rPr>
      <w:sz w:val="18"/>
    </w:rPr>
  </w:style>
  <w:style w:type="paragraph" w:customStyle="1" w:styleId="Equation">
    <w:name w:val="Equation"/>
    <w:basedOn w:val="Normal"/>
    <w:rsid w:val="000F5A95"/>
    <w:pPr>
      <w:tabs>
        <w:tab w:val="center" w:pos="4820"/>
        <w:tab w:val="right" w:pos="9639"/>
      </w:tabs>
    </w:pPr>
  </w:style>
  <w:style w:type="paragraph" w:customStyle="1" w:styleId="Head">
    <w:name w:val="Head"/>
    <w:basedOn w:val="Normal"/>
    <w:rsid w:val="000F5A95"/>
    <w:pPr>
      <w:tabs>
        <w:tab w:val="left" w:pos="6663"/>
      </w:tabs>
      <w:overflowPunct/>
      <w:autoSpaceDE/>
      <w:autoSpaceDN/>
      <w:adjustRightInd/>
      <w:spacing w:before="0"/>
      <w:textAlignment w:val="auto"/>
    </w:pPr>
  </w:style>
  <w:style w:type="paragraph" w:customStyle="1" w:styleId="toc0">
    <w:name w:val="toc 0"/>
    <w:basedOn w:val="Normal"/>
    <w:next w:val="TOC1"/>
    <w:rsid w:val="000F5A95"/>
    <w:pPr>
      <w:tabs>
        <w:tab w:val="clear" w:pos="567"/>
        <w:tab w:val="clear" w:pos="1134"/>
        <w:tab w:val="clear" w:pos="1701"/>
        <w:tab w:val="clear" w:pos="2268"/>
        <w:tab w:val="clear" w:pos="2835"/>
        <w:tab w:val="right" w:pos="9781"/>
      </w:tabs>
    </w:pPr>
    <w:rPr>
      <w:b/>
    </w:rPr>
  </w:style>
  <w:style w:type="paragraph" w:styleId="List">
    <w:name w:val="List"/>
    <w:basedOn w:val="Normal"/>
    <w:rsid w:val="000F5A95"/>
    <w:pPr>
      <w:tabs>
        <w:tab w:val="left" w:pos="2127"/>
      </w:tabs>
      <w:ind w:left="2127" w:hanging="2127"/>
    </w:pPr>
  </w:style>
  <w:style w:type="paragraph" w:customStyle="1" w:styleId="Part">
    <w:name w:val="Part"/>
    <w:basedOn w:val="Normal"/>
    <w:rsid w:val="000F5A95"/>
    <w:pPr>
      <w:tabs>
        <w:tab w:val="left" w:pos="1276"/>
      </w:tabs>
      <w:spacing w:before="199"/>
      <w:ind w:left="1701" w:hanging="1701"/>
    </w:pPr>
    <w:rPr>
      <w:caps/>
    </w:rPr>
  </w:style>
  <w:style w:type="paragraph" w:customStyle="1" w:styleId="Figurewithouttitle">
    <w:name w:val="Figure_without_title"/>
    <w:basedOn w:val="Figure"/>
    <w:next w:val="Normal"/>
    <w:rsid w:val="000F5A95"/>
  </w:style>
  <w:style w:type="character" w:styleId="PageNumber">
    <w:name w:val="page number"/>
    <w:basedOn w:val="DefaultParagraphFont"/>
    <w:rsid w:val="000F5A95"/>
    <w:rPr>
      <w:rFonts w:ascii="Calibri" w:hAnsi="Calibri"/>
    </w:rPr>
  </w:style>
  <w:style w:type="paragraph" w:customStyle="1" w:styleId="meeting">
    <w:name w:val="meeting"/>
    <w:basedOn w:val="Head"/>
    <w:next w:val="Head"/>
    <w:rsid w:val="000F5A95"/>
    <w:pPr>
      <w:tabs>
        <w:tab w:val="left" w:pos="7371"/>
      </w:tabs>
      <w:spacing w:after="567"/>
    </w:pPr>
  </w:style>
  <w:style w:type="paragraph" w:customStyle="1" w:styleId="PartNo">
    <w:name w:val="Part_No"/>
    <w:basedOn w:val="AnnexNo"/>
    <w:next w:val="Parttitle"/>
    <w:rsid w:val="000F5A95"/>
  </w:style>
  <w:style w:type="paragraph" w:customStyle="1" w:styleId="Parttitle">
    <w:name w:val="Part_title"/>
    <w:basedOn w:val="Annextitle"/>
    <w:next w:val="Partref"/>
    <w:rsid w:val="000F5A95"/>
  </w:style>
  <w:style w:type="paragraph" w:customStyle="1" w:styleId="Partref">
    <w:name w:val="Part_ref"/>
    <w:basedOn w:val="Annexref"/>
    <w:next w:val="Normalaftertitle"/>
    <w:rsid w:val="000F5A95"/>
  </w:style>
  <w:style w:type="paragraph" w:customStyle="1" w:styleId="Headingb">
    <w:name w:val="Heading_b"/>
    <w:basedOn w:val="Heading3"/>
    <w:next w:val="Normal"/>
    <w:rsid w:val="000F5A95"/>
    <w:pPr>
      <w:spacing w:before="160"/>
      <w:ind w:left="0" w:firstLine="0"/>
      <w:outlineLvl w:val="0"/>
    </w:pPr>
  </w:style>
  <w:style w:type="paragraph" w:customStyle="1" w:styleId="Subject">
    <w:name w:val="Subject"/>
    <w:basedOn w:val="Normal"/>
    <w:next w:val="Source"/>
    <w:rsid w:val="000F5A95"/>
    <w:pPr>
      <w:tabs>
        <w:tab w:val="left" w:pos="709"/>
      </w:tabs>
      <w:spacing w:before="0"/>
      <w:ind w:left="709" w:hanging="709"/>
    </w:pPr>
  </w:style>
  <w:style w:type="paragraph" w:customStyle="1" w:styleId="Source">
    <w:name w:val="Source"/>
    <w:basedOn w:val="Normal"/>
    <w:next w:val="Title1"/>
    <w:rsid w:val="00132EE4"/>
    <w:pPr>
      <w:framePr w:hSpace="181" w:wrap="around" w:vAnchor="page" w:hAnchor="page" w:x="1589" w:y="2314"/>
      <w:spacing w:before="840"/>
    </w:pPr>
    <w:rPr>
      <w:rFonts w:cstheme="minorHAnsi"/>
      <w:b/>
      <w:sz w:val="32"/>
      <w:szCs w:val="32"/>
      <w:lang w:val="es-ES"/>
    </w:rPr>
  </w:style>
  <w:style w:type="paragraph" w:customStyle="1" w:styleId="Data">
    <w:name w:val="Data"/>
    <w:basedOn w:val="Subject"/>
    <w:next w:val="Subject"/>
    <w:rsid w:val="000F5A95"/>
  </w:style>
  <w:style w:type="character" w:styleId="Hyperlink">
    <w:name w:val="Hyperlink"/>
    <w:basedOn w:val="DefaultParagraphFont"/>
    <w:rsid w:val="000F5A95"/>
    <w:rPr>
      <w:rFonts w:eastAsiaTheme="minorHAnsi" w:cstheme="minorBidi"/>
      <w:color w:val="4F81BD" w:themeColor="accent1"/>
      <w:szCs w:val="22"/>
    </w:rPr>
  </w:style>
  <w:style w:type="character" w:styleId="FollowedHyperlink">
    <w:name w:val="FollowedHyperlink"/>
    <w:basedOn w:val="DefaultParagraphFont"/>
    <w:rsid w:val="000F5A95"/>
    <w:rPr>
      <w:color w:val="800080"/>
      <w:u w:val="single"/>
    </w:rPr>
  </w:style>
  <w:style w:type="paragraph" w:customStyle="1" w:styleId="FirstFooter">
    <w:name w:val="FirstFooter"/>
    <w:basedOn w:val="Footer"/>
    <w:rsid w:val="000F5A95"/>
    <w:rPr>
      <w:caps w:val="0"/>
    </w:rPr>
  </w:style>
  <w:style w:type="paragraph" w:customStyle="1" w:styleId="Note">
    <w:name w:val="Note"/>
    <w:basedOn w:val="Normal"/>
    <w:rsid w:val="000F5A95"/>
    <w:pPr>
      <w:spacing w:before="80"/>
    </w:pPr>
    <w:rPr>
      <w:sz w:val="22"/>
    </w:rPr>
  </w:style>
  <w:style w:type="paragraph" w:styleId="TOC9">
    <w:name w:val="toc 9"/>
    <w:basedOn w:val="Normal"/>
    <w:next w:val="Normal"/>
    <w:rsid w:val="000F5A95"/>
    <w:pPr>
      <w:tabs>
        <w:tab w:val="clear" w:pos="567"/>
        <w:tab w:val="clear" w:pos="1134"/>
        <w:tab w:val="clear" w:pos="1701"/>
        <w:tab w:val="clear" w:pos="2268"/>
        <w:tab w:val="clear" w:pos="2835"/>
        <w:tab w:val="right" w:leader="dot" w:pos="9645"/>
      </w:tabs>
      <w:ind w:left="1920"/>
    </w:pPr>
  </w:style>
  <w:style w:type="paragraph" w:customStyle="1" w:styleId="Headingi">
    <w:name w:val="Heading_i"/>
    <w:basedOn w:val="Heading3"/>
    <w:next w:val="Normal"/>
    <w:rsid w:val="000F5A95"/>
    <w:pPr>
      <w:spacing w:before="160"/>
      <w:ind w:left="0" w:firstLine="0"/>
      <w:outlineLvl w:val="0"/>
    </w:pPr>
    <w:rPr>
      <w:b w:val="0"/>
      <w:i/>
    </w:rPr>
  </w:style>
  <w:style w:type="paragraph" w:customStyle="1" w:styleId="Title1">
    <w:name w:val="Title 1"/>
    <w:basedOn w:val="Normal"/>
    <w:next w:val="Normalaftertitle"/>
    <w:rsid w:val="000F5A95"/>
    <w:pPr>
      <w:spacing w:before="360"/>
      <w:jc w:val="center"/>
    </w:pPr>
    <w:rPr>
      <w:caps/>
    </w:rPr>
  </w:style>
  <w:style w:type="paragraph" w:customStyle="1" w:styleId="Title2">
    <w:name w:val="Title 2"/>
    <w:basedOn w:val="Title1"/>
    <w:next w:val="Normalaftertitle"/>
    <w:rsid w:val="000F5A95"/>
    <w:pPr>
      <w:keepNext/>
      <w:keepLines/>
      <w:spacing w:before="240"/>
    </w:pPr>
    <w:rPr>
      <w:b/>
      <w:caps w:val="0"/>
    </w:rPr>
  </w:style>
  <w:style w:type="paragraph" w:customStyle="1" w:styleId="Title3">
    <w:name w:val="Title 3"/>
    <w:basedOn w:val="Title2"/>
    <w:next w:val="Normalaftertitle"/>
    <w:rsid w:val="000F5A95"/>
    <w:rPr>
      <w:b w:val="0"/>
      <w:caps/>
    </w:rPr>
  </w:style>
  <w:style w:type="paragraph" w:customStyle="1" w:styleId="Title4">
    <w:name w:val="Title 4"/>
    <w:basedOn w:val="Annextitle"/>
    <w:next w:val="Normal"/>
    <w:rsid w:val="000F5A95"/>
    <w:pPr>
      <w:spacing w:after="120"/>
    </w:pPr>
    <w:rPr>
      <w:b w:val="0"/>
    </w:rPr>
  </w:style>
  <w:style w:type="paragraph" w:customStyle="1" w:styleId="dnum">
    <w:name w:val="dnum"/>
    <w:basedOn w:val="Normal"/>
    <w:rsid w:val="000F5A95"/>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F5A95"/>
    <w:pPr>
      <w:keepNext/>
      <w:keepLines/>
      <w:spacing w:before="720"/>
      <w:jc w:val="center"/>
    </w:pPr>
    <w:rPr>
      <w:caps/>
      <w:sz w:val="28"/>
    </w:rPr>
  </w:style>
  <w:style w:type="paragraph" w:customStyle="1" w:styleId="Rectitle">
    <w:name w:val="Rec_title"/>
    <w:basedOn w:val="Normal"/>
    <w:next w:val="Heading1"/>
    <w:rsid w:val="000F5A95"/>
    <w:pPr>
      <w:keepNext/>
      <w:keepLines/>
      <w:jc w:val="center"/>
    </w:pPr>
    <w:rPr>
      <w:b/>
      <w:sz w:val="28"/>
    </w:rPr>
  </w:style>
  <w:style w:type="paragraph" w:customStyle="1" w:styleId="Recref">
    <w:name w:val="Rec_ref"/>
    <w:basedOn w:val="Rectitle"/>
    <w:next w:val="Recdate"/>
    <w:rsid w:val="000F5A95"/>
    <w:rPr>
      <w:rFonts w:ascii="Times New Roman" w:hAnsi="Times New Roman"/>
      <w:b w:val="0"/>
      <w:sz w:val="24"/>
    </w:rPr>
  </w:style>
  <w:style w:type="paragraph" w:customStyle="1" w:styleId="Recdate">
    <w:name w:val="Rec_date"/>
    <w:basedOn w:val="Recref"/>
    <w:next w:val="Normalaftertitle"/>
    <w:rsid w:val="000F5A95"/>
    <w:pPr>
      <w:jc w:val="right"/>
    </w:pPr>
    <w:rPr>
      <w:sz w:val="22"/>
    </w:rPr>
  </w:style>
  <w:style w:type="paragraph" w:customStyle="1" w:styleId="Questiondate">
    <w:name w:val="Question_date"/>
    <w:basedOn w:val="Recdate"/>
    <w:next w:val="Normalaftertitle"/>
    <w:rsid w:val="000F5A95"/>
  </w:style>
  <w:style w:type="paragraph" w:customStyle="1" w:styleId="QuestionNo">
    <w:name w:val="Question_No"/>
    <w:basedOn w:val="RecNo"/>
    <w:next w:val="Questiontitle"/>
    <w:rsid w:val="000F5A95"/>
  </w:style>
  <w:style w:type="paragraph" w:customStyle="1" w:styleId="Questiontitle">
    <w:name w:val="Question_title"/>
    <w:basedOn w:val="Rectitle"/>
    <w:next w:val="Questionref"/>
    <w:rsid w:val="000F5A95"/>
  </w:style>
  <w:style w:type="paragraph" w:customStyle="1" w:styleId="Questionref">
    <w:name w:val="Question_ref"/>
    <w:basedOn w:val="Recref"/>
    <w:next w:val="Questiondate"/>
    <w:rsid w:val="000F5A95"/>
  </w:style>
  <w:style w:type="paragraph" w:customStyle="1" w:styleId="Reftext">
    <w:name w:val="Ref_text"/>
    <w:basedOn w:val="Normal"/>
    <w:rsid w:val="000F5A95"/>
    <w:pPr>
      <w:ind w:left="567" w:hanging="567"/>
    </w:pPr>
  </w:style>
  <w:style w:type="paragraph" w:customStyle="1" w:styleId="Reftitle">
    <w:name w:val="Ref_title"/>
    <w:basedOn w:val="Normal"/>
    <w:next w:val="Reftext"/>
    <w:rsid w:val="000F5A95"/>
    <w:pPr>
      <w:spacing w:before="480"/>
      <w:jc w:val="center"/>
    </w:pPr>
    <w:rPr>
      <w:caps/>
      <w:sz w:val="28"/>
    </w:rPr>
  </w:style>
  <w:style w:type="paragraph" w:customStyle="1" w:styleId="Repdate">
    <w:name w:val="Rep_date"/>
    <w:basedOn w:val="Recdate"/>
    <w:next w:val="Normalaftertitle"/>
    <w:rsid w:val="000F5A95"/>
  </w:style>
  <w:style w:type="paragraph" w:customStyle="1" w:styleId="RepNo">
    <w:name w:val="Rep_No"/>
    <w:basedOn w:val="RecNo"/>
    <w:next w:val="Reptitle"/>
    <w:rsid w:val="000F5A95"/>
  </w:style>
  <w:style w:type="paragraph" w:customStyle="1" w:styleId="Reptitle">
    <w:name w:val="Rep_title"/>
    <w:basedOn w:val="Rectitle"/>
    <w:next w:val="Repref"/>
    <w:rsid w:val="000F5A95"/>
  </w:style>
  <w:style w:type="paragraph" w:customStyle="1" w:styleId="Repref">
    <w:name w:val="Rep_ref"/>
    <w:basedOn w:val="Recref"/>
    <w:next w:val="Repdate"/>
    <w:rsid w:val="000F5A95"/>
  </w:style>
  <w:style w:type="paragraph" w:customStyle="1" w:styleId="Resdate">
    <w:name w:val="Res_date"/>
    <w:basedOn w:val="Recdate"/>
    <w:next w:val="Normalaftertitle"/>
    <w:rsid w:val="000F5A95"/>
  </w:style>
  <w:style w:type="paragraph" w:customStyle="1" w:styleId="ResNo">
    <w:name w:val="Res_No"/>
    <w:basedOn w:val="AnnexNo"/>
    <w:next w:val="Restitle"/>
    <w:rsid w:val="000F5A95"/>
  </w:style>
  <w:style w:type="paragraph" w:customStyle="1" w:styleId="Restitle">
    <w:name w:val="Res_title"/>
    <w:basedOn w:val="Annextitle"/>
    <w:next w:val="Normal"/>
    <w:rsid w:val="000F5A95"/>
  </w:style>
  <w:style w:type="paragraph" w:customStyle="1" w:styleId="Resref">
    <w:name w:val="Res_ref"/>
    <w:basedOn w:val="Recref"/>
    <w:next w:val="Resdate"/>
    <w:rsid w:val="000F5A95"/>
  </w:style>
  <w:style w:type="paragraph" w:customStyle="1" w:styleId="SectionNo">
    <w:name w:val="Section_No"/>
    <w:basedOn w:val="AnnexNo"/>
    <w:next w:val="Sectiontitle"/>
    <w:rsid w:val="000F5A95"/>
  </w:style>
  <w:style w:type="paragraph" w:customStyle="1" w:styleId="Sectiontitle">
    <w:name w:val="Section_title"/>
    <w:basedOn w:val="Normal"/>
    <w:next w:val="Normalaftertitle"/>
    <w:rsid w:val="000F5A95"/>
    <w:rPr>
      <w:sz w:val="28"/>
    </w:rPr>
  </w:style>
  <w:style w:type="paragraph" w:customStyle="1" w:styleId="SpecialFooter">
    <w:name w:val="Special Footer"/>
    <w:basedOn w:val="Footer"/>
    <w:rsid w:val="000F5A95"/>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F5A95"/>
    <w:pPr>
      <w:keepNext/>
      <w:keepLines/>
      <w:spacing w:before="80" w:after="80"/>
      <w:jc w:val="center"/>
    </w:pPr>
    <w:rPr>
      <w:b/>
    </w:rPr>
  </w:style>
  <w:style w:type="paragraph" w:customStyle="1" w:styleId="Tablelegend">
    <w:name w:val="Table_legend"/>
    <w:basedOn w:val="Tabletext"/>
    <w:rsid w:val="000F5A95"/>
    <w:pPr>
      <w:ind w:left="284" w:hanging="284"/>
    </w:pPr>
    <w:rPr>
      <w:sz w:val="20"/>
    </w:rPr>
  </w:style>
  <w:style w:type="paragraph" w:customStyle="1" w:styleId="Tableref">
    <w:name w:val="Table_ref"/>
    <w:basedOn w:val="Normal"/>
    <w:next w:val="Tabletitle"/>
    <w:rsid w:val="000F5A95"/>
    <w:pPr>
      <w:keepNext/>
      <w:keepLines/>
      <w:jc w:val="center"/>
    </w:pPr>
    <w:rPr>
      <w:sz w:val="20"/>
    </w:rPr>
  </w:style>
  <w:style w:type="paragraph" w:customStyle="1" w:styleId="Reasons">
    <w:name w:val="Reasons"/>
    <w:basedOn w:val="Normal"/>
    <w:qFormat/>
    <w:rsid w:val="000F5A95"/>
  </w:style>
  <w:style w:type="paragraph" w:customStyle="1" w:styleId="FigureNo">
    <w:name w:val="Figure_No"/>
    <w:basedOn w:val="Normal"/>
    <w:next w:val="Figuretitle"/>
    <w:rsid w:val="000F5A95"/>
    <w:pPr>
      <w:keepNext/>
      <w:keepLines/>
      <w:spacing w:before="48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Normal"/>
    <w:qFormat/>
    <w:rsid w:val="000F5A95"/>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0F5A95"/>
    <w:rPr>
      <w:rFonts w:ascii="Calibri" w:hAnsi="Calibri"/>
      <w:sz w:val="18"/>
      <w:lang w:val="fr-FR" w:eastAsia="en-US"/>
    </w:rPr>
  </w:style>
  <w:style w:type="table" w:styleId="TableGrid">
    <w:name w:val="Table Grid"/>
    <w:basedOn w:val="TableNormal"/>
    <w:uiPriority w:val="39"/>
    <w:rsid w:val="000F5A9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5A95"/>
    <w:rPr>
      <w:color w:val="666666"/>
    </w:rPr>
  </w:style>
  <w:style w:type="character" w:styleId="UnresolvedMention">
    <w:name w:val="Unresolved Mention"/>
    <w:basedOn w:val="DefaultParagraphFont"/>
    <w:uiPriority w:val="99"/>
    <w:semiHidden/>
    <w:unhideWhenUsed/>
    <w:rsid w:val="002946E2"/>
    <w:rPr>
      <w:color w:val="605E5C"/>
      <w:shd w:val="clear" w:color="auto" w:fill="E1DFDD"/>
    </w:rPr>
  </w:style>
  <w:style w:type="paragraph" w:customStyle="1" w:styleId="firstfooter0">
    <w:name w:val="firstfooter"/>
    <w:basedOn w:val="Normal"/>
    <w:rsid w:val="000F5A9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Object">
    <w:name w:val="Object"/>
    <w:basedOn w:val="Subject"/>
    <w:next w:val="Subject"/>
    <w:rsid w:val="000F5A95"/>
  </w:style>
  <w:style w:type="paragraph" w:customStyle="1" w:styleId="Referencetext">
    <w:name w:val="Reference_text"/>
    <w:basedOn w:val="Normal"/>
    <w:rsid w:val="000F5A95"/>
    <w:pPr>
      <w:framePr w:hSpace="181" w:wrap="around" w:vAnchor="page" w:hAnchor="page" w:x="1589" w:y="2314"/>
      <w:spacing w:after="160"/>
    </w:pPr>
    <w:rPr>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6-CL-C-0042/es" TargetMode="External"/><Relationship Id="rId13" Type="http://schemas.openxmlformats.org/officeDocument/2006/relationships/hyperlink" Target="https://www.itu.int/md/D22-WTDC25-C-0070/en"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itu.int/md/S26-CL-C-0042/es" TargetMode="External"/><Relationship Id="rId12" Type="http://schemas.openxmlformats.org/officeDocument/2006/relationships/hyperlink" Target="https://www.itu.int/md/D22-WTDC25-C-0070/es" TargetMode="External"/><Relationship Id="rId17" Type="http://schemas.openxmlformats.org/officeDocument/2006/relationships/hyperlink" Target="https://www.itu.int/md/D26-TDAG33-C-0004/en" TargetMode="External"/><Relationship Id="rId2" Type="http://schemas.openxmlformats.org/officeDocument/2006/relationships/styles" Target="styles.xml"/><Relationship Id="rId16" Type="http://schemas.openxmlformats.org/officeDocument/2006/relationships/hyperlink" Target="https://www.itu.int/md/D26-TDAG33-C-0004/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itu.int/md/S26-CWGFHR22-C-0007/es" TargetMode="External"/><Relationship Id="rId5" Type="http://schemas.openxmlformats.org/officeDocument/2006/relationships/footnotes" Target="footnotes.xml"/><Relationship Id="rId15" Type="http://schemas.openxmlformats.org/officeDocument/2006/relationships/hyperlink" Target="https://www.itu.int/md/S26-CL-C-0042/en" TargetMode="External"/><Relationship Id="rId10" Type="http://schemas.openxmlformats.org/officeDocument/2006/relationships/hyperlink" Target="https://www.itu.int/md/D22-WTDC25-C-0070/es"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tu.int/md/S26-CL-C-0042/en" TargetMode="External"/><Relationship Id="rId14" Type="http://schemas.openxmlformats.org/officeDocument/2006/relationships/hyperlink" Target="https://www.itu.int/md/S26-CL-C-0042/es"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eda\AppData\Roaming\Microsoft\Templates\POOL%20S%20-%20ITU\GS\PS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F3D5F-BC5B-4E7C-9B9D-25C05AD68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PS_Council26.dotx</Template>
  <TotalTime>5</TotalTime>
  <Pages>6</Pages>
  <Words>1739</Words>
  <Characters>9727</Characters>
  <Application>Microsoft Office Word</Application>
  <DocSecurity>0</DocSecurity>
  <Lines>294</Lines>
  <Paragraphs>163</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International Telecommunication Union</Company>
  <LinksUpToDate>false</LinksUpToDate>
  <CharactersWithSpaces>11303</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Repercusiones presupuestarias anuales de la aplicación de las resoluciones de la CMDT-25</dc:title>
  <dc:subject>Consejo 2026 de la UIT</dc:subject>
  <cp:keywords>C26; C2026; Council 2026; PP26</cp:keywords>
  <dc:description/>
  <cp:lastPrinted>2006-03-24T09:51:00Z</cp:lastPrinted>
  <dcterms:created xsi:type="dcterms:W3CDTF">2026-04-02T09:24:00Z</dcterms:created>
  <dcterms:modified xsi:type="dcterms:W3CDTF">2026-04-02T09:28:00Z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y fmtid="{D5CDD505-2E9C-101B-9397-08002B2CF9AE}" pid="8" name="GrammarlyDocumentId">
    <vt:lpwstr>5c03a5c9b91678b956e25536f0296632c716f66cf9a10e87f22af88ff3e788b1</vt:lpwstr>
  </property>
</Properties>
</file>