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0E326866" w14:textId="77777777" w:rsidTr="00796BDB">
        <w:trPr>
          <w:cantSplit/>
          <w:trHeight w:val="23"/>
        </w:trPr>
        <w:tc>
          <w:tcPr>
            <w:tcW w:w="3969" w:type="dxa"/>
            <w:vMerge w:val="restart"/>
            <w:tcMar>
              <w:left w:w="0" w:type="dxa"/>
            </w:tcMar>
          </w:tcPr>
          <w:p w14:paraId="7F68B003" w14:textId="6ADAFE51" w:rsidR="00D72F49" w:rsidRPr="00E85629" w:rsidRDefault="00D72F49" w:rsidP="00796BDB">
            <w:pPr>
              <w:tabs>
                <w:tab w:val="left" w:pos="851"/>
              </w:tabs>
              <w:spacing w:before="0" w:line="240" w:lineRule="atLeast"/>
              <w:rPr>
                <w:b/>
              </w:rPr>
            </w:pPr>
            <w:r w:rsidRPr="00122CE1">
              <w:rPr>
                <w:b/>
              </w:rPr>
              <w:t>Point de l</w:t>
            </w:r>
            <w:r w:rsidR="00462E4E">
              <w:rPr>
                <w:b/>
              </w:rPr>
              <w:t>'</w:t>
            </w:r>
            <w:r w:rsidRPr="00122CE1">
              <w:rPr>
                <w:b/>
              </w:rPr>
              <w:t xml:space="preserve">ordre du </w:t>
            </w:r>
            <w:proofErr w:type="gramStart"/>
            <w:r w:rsidRPr="00122CE1">
              <w:rPr>
                <w:b/>
              </w:rPr>
              <w:t>jour</w:t>
            </w:r>
            <w:r>
              <w:rPr>
                <w:b/>
              </w:rPr>
              <w:t>:</w:t>
            </w:r>
            <w:proofErr w:type="gramEnd"/>
            <w:r w:rsidR="00702DE0">
              <w:rPr>
                <w:b/>
              </w:rPr>
              <w:t xml:space="preserve"> ADM 1</w:t>
            </w:r>
          </w:p>
        </w:tc>
        <w:tc>
          <w:tcPr>
            <w:tcW w:w="5245" w:type="dxa"/>
          </w:tcPr>
          <w:p w14:paraId="6E354F5C" w14:textId="78145445" w:rsidR="00D72F49" w:rsidRPr="00E85629" w:rsidRDefault="00D72F49" w:rsidP="00796BDB">
            <w:pPr>
              <w:tabs>
                <w:tab w:val="left" w:pos="851"/>
              </w:tabs>
              <w:spacing w:before="0" w:line="240" w:lineRule="atLeast"/>
              <w:jc w:val="right"/>
              <w:rPr>
                <w:b/>
              </w:rPr>
            </w:pPr>
            <w:r>
              <w:rPr>
                <w:b/>
              </w:rPr>
              <w:t xml:space="preserve">Document </w:t>
            </w:r>
            <w:proofErr w:type="spellStart"/>
            <w:r>
              <w:rPr>
                <w:b/>
              </w:rPr>
              <w:t>C2</w:t>
            </w:r>
            <w:r w:rsidR="00E4448E">
              <w:rPr>
                <w:b/>
              </w:rPr>
              <w:t>6</w:t>
            </w:r>
            <w:proofErr w:type="spellEnd"/>
            <w:r>
              <w:rPr>
                <w:b/>
              </w:rPr>
              <w:t>/</w:t>
            </w:r>
            <w:r w:rsidR="00DB2EB3">
              <w:rPr>
                <w:b/>
              </w:rPr>
              <w:t>43</w:t>
            </w:r>
            <w:r>
              <w:rPr>
                <w:b/>
              </w:rPr>
              <w:t>-F</w:t>
            </w:r>
          </w:p>
        </w:tc>
      </w:tr>
      <w:tr w:rsidR="00D72F49" w:rsidRPr="00C049D7" w14:paraId="3A307DDF" w14:textId="77777777" w:rsidTr="00796BDB">
        <w:trPr>
          <w:cantSplit/>
        </w:trPr>
        <w:tc>
          <w:tcPr>
            <w:tcW w:w="3969" w:type="dxa"/>
            <w:vMerge/>
          </w:tcPr>
          <w:p w14:paraId="3EDBBACA" w14:textId="77777777" w:rsidR="00D72F49" w:rsidRPr="00813E5E" w:rsidRDefault="00D72F49" w:rsidP="00796BDB">
            <w:pPr>
              <w:tabs>
                <w:tab w:val="left" w:pos="851"/>
              </w:tabs>
              <w:spacing w:line="240" w:lineRule="atLeast"/>
              <w:rPr>
                <w:b/>
              </w:rPr>
            </w:pPr>
          </w:p>
        </w:tc>
        <w:tc>
          <w:tcPr>
            <w:tcW w:w="5245" w:type="dxa"/>
          </w:tcPr>
          <w:p w14:paraId="0E99B7E5" w14:textId="3C8012AF" w:rsidR="00D72F49" w:rsidRPr="00FC6D7D" w:rsidRDefault="00DB2EB3" w:rsidP="00796BDB">
            <w:pPr>
              <w:tabs>
                <w:tab w:val="left" w:pos="851"/>
              </w:tabs>
              <w:spacing w:before="0"/>
              <w:jc w:val="right"/>
              <w:rPr>
                <w:b/>
                <w:lang w:val="en-GB"/>
              </w:rPr>
            </w:pPr>
            <w:r>
              <w:rPr>
                <w:b/>
              </w:rPr>
              <w:t>3 mars 2026</w:t>
            </w:r>
          </w:p>
        </w:tc>
      </w:tr>
      <w:tr w:rsidR="00D72F49" w:rsidRPr="00813E5E" w14:paraId="4BA6CD26" w14:textId="77777777" w:rsidTr="00796BDB">
        <w:trPr>
          <w:cantSplit/>
          <w:trHeight w:val="23"/>
        </w:trPr>
        <w:tc>
          <w:tcPr>
            <w:tcW w:w="3969" w:type="dxa"/>
            <w:vMerge/>
          </w:tcPr>
          <w:p w14:paraId="715997E5" w14:textId="77777777" w:rsidR="00D72F49" w:rsidRPr="00FC6D7D" w:rsidRDefault="00D72F49" w:rsidP="00796BDB">
            <w:pPr>
              <w:tabs>
                <w:tab w:val="left" w:pos="851"/>
              </w:tabs>
              <w:spacing w:line="240" w:lineRule="atLeast"/>
              <w:rPr>
                <w:b/>
                <w:lang w:val="en-GB"/>
              </w:rPr>
            </w:pPr>
          </w:p>
        </w:tc>
        <w:tc>
          <w:tcPr>
            <w:tcW w:w="5245" w:type="dxa"/>
          </w:tcPr>
          <w:p w14:paraId="15251BC3" w14:textId="77777777" w:rsidR="00D72F49" w:rsidRPr="00E85629" w:rsidRDefault="00D72F49" w:rsidP="00796BDB">
            <w:pPr>
              <w:tabs>
                <w:tab w:val="left" w:pos="851"/>
              </w:tabs>
              <w:spacing w:before="0" w:line="240" w:lineRule="atLeast"/>
              <w:jc w:val="right"/>
              <w:rPr>
                <w:b/>
              </w:rPr>
            </w:pPr>
            <w:proofErr w:type="gramStart"/>
            <w:r w:rsidRPr="00122CE1">
              <w:rPr>
                <w:b/>
                <w:lang w:val="fr-CH"/>
              </w:rPr>
              <w:t>Original:</w:t>
            </w:r>
            <w:proofErr w:type="gramEnd"/>
            <w:r w:rsidRPr="00122CE1">
              <w:rPr>
                <w:b/>
                <w:lang w:val="fr-CH"/>
              </w:rPr>
              <w:t xml:space="preserve"> anglais</w:t>
            </w:r>
          </w:p>
        </w:tc>
      </w:tr>
      <w:tr w:rsidR="00D72F49" w:rsidRPr="00813E5E" w14:paraId="537BBC71" w14:textId="77777777" w:rsidTr="00796BDB">
        <w:trPr>
          <w:cantSplit/>
          <w:trHeight w:val="23"/>
        </w:trPr>
        <w:tc>
          <w:tcPr>
            <w:tcW w:w="3969" w:type="dxa"/>
          </w:tcPr>
          <w:p w14:paraId="59190551" w14:textId="77777777" w:rsidR="00D72F49" w:rsidRPr="00813E5E" w:rsidRDefault="00D72F49" w:rsidP="00796BDB">
            <w:pPr>
              <w:tabs>
                <w:tab w:val="left" w:pos="851"/>
              </w:tabs>
              <w:spacing w:line="240" w:lineRule="atLeast"/>
              <w:rPr>
                <w:b/>
              </w:rPr>
            </w:pPr>
          </w:p>
        </w:tc>
        <w:tc>
          <w:tcPr>
            <w:tcW w:w="5245" w:type="dxa"/>
          </w:tcPr>
          <w:p w14:paraId="2FEDDE73" w14:textId="77777777" w:rsidR="00D72F49" w:rsidRDefault="00D72F49" w:rsidP="00796BDB">
            <w:pPr>
              <w:tabs>
                <w:tab w:val="left" w:pos="851"/>
              </w:tabs>
              <w:spacing w:before="0" w:line="240" w:lineRule="atLeast"/>
              <w:jc w:val="right"/>
              <w:rPr>
                <w:b/>
              </w:rPr>
            </w:pPr>
          </w:p>
        </w:tc>
      </w:tr>
      <w:tr w:rsidR="00D72F49" w:rsidRPr="00122CE1" w14:paraId="09670EBB" w14:textId="77777777" w:rsidTr="00796BDB">
        <w:trPr>
          <w:cantSplit/>
        </w:trPr>
        <w:tc>
          <w:tcPr>
            <w:tcW w:w="9214" w:type="dxa"/>
            <w:gridSpan w:val="2"/>
            <w:tcMar>
              <w:left w:w="0" w:type="dxa"/>
            </w:tcMar>
          </w:tcPr>
          <w:p w14:paraId="4CF90CA6" w14:textId="77777777" w:rsidR="00D72F49" w:rsidRPr="00C42437" w:rsidRDefault="00D72F49" w:rsidP="00796BDB">
            <w:pPr>
              <w:pStyle w:val="Source"/>
              <w:jc w:val="left"/>
              <w:rPr>
                <w:sz w:val="34"/>
                <w:szCs w:val="34"/>
                <w:lang w:val="fr-CH"/>
              </w:rPr>
            </w:pPr>
            <w:r w:rsidRPr="00D72F49">
              <w:rPr>
                <w:rFonts w:cstheme="minorHAnsi"/>
                <w:color w:val="000000"/>
                <w:sz w:val="34"/>
                <w:szCs w:val="34"/>
              </w:rPr>
              <w:t xml:space="preserve">Rapport </w:t>
            </w:r>
            <w:r w:rsidR="00E95647">
              <w:rPr>
                <w:rFonts w:cstheme="minorHAnsi"/>
                <w:color w:val="000000"/>
                <w:sz w:val="34"/>
                <w:szCs w:val="34"/>
              </w:rPr>
              <w:t xml:space="preserve">de la </w:t>
            </w:r>
            <w:r w:rsidRPr="00D72F49">
              <w:rPr>
                <w:rFonts w:cstheme="minorHAnsi"/>
                <w:color w:val="000000"/>
                <w:sz w:val="34"/>
                <w:szCs w:val="34"/>
              </w:rPr>
              <w:t>Secrétaire général</w:t>
            </w:r>
            <w:r w:rsidR="00E95647">
              <w:rPr>
                <w:rFonts w:cstheme="minorHAnsi"/>
                <w:color w:val="000000"/>
                <w:sz w:val="34"/>
                <w:szCs w:val="34"/>
              </w:rPr>
              <w:t>e</w:t>
            </w:r>
          </w:p>
        </w:tc>
      </w:tr>
      <w:tr w:rsidR="00D72F49" w:rsidRPr="00813E5E" w14:paraId="6C7E4DBF" w14:textId="77777777" w:rsidTr="00796BDB">
        <w:trPr>
          <w:cantSplit/>
        </w:trPr>
        <w:tc>
          <w:tcPr>
            <w:tcW w:w="9214" w:type="dxa"/>
            <w:gridSpan w:val="2"/>
            <w:tcMar>
              <w:left w:w="0" w:type="dxa"/>
            </w:tcMar>
          </w:tcPr>
          <w:p w14:paraId="51ACC7EA" w14:textId="7B06CB79" w:rsidR="00D72F49" w:rsidRPr="00DB2EB3" w:rsidRDefault="003A26CA" w:rsidP="00796BDB">
            <w:pPr>
              <w:pStyle w:val="Subtitle"/>
              <w:framePr w:hSpace="0" w:wrap="auto" w:hAnchor="text" w:xAlign="left" w:yAlign="inline"/>
              <w:rPr>
                <w:sz w:val="32"/>
                <w:szCs w:val="32"/>
                <w:lang w:val="fr-FR"/>
              </w:rPr>
            </w:pPr>
            <w:r w:rsidRPr="00DB2EB3">
              <w:rPr>
                <w:rFonts w:cstheme="minorHAnsi"/>
                <w:sz w:val="32"/>
                <w:szCs w:val="32"/>
                <w:lang w:val="fr-FR"/>
              </w:rPr>
              <w:t xml:space="preserve">INCIDENCES BUDGÉTAIRES ANNUELLES DE LA SUITE DONNÉE AUX </w:t>
            </w:r>
            <w:r>
              <w:rPr>
                <w:rFonts w:cstheme="minorHAnsi"/>
                <w:sz w:val="32"/>
                <w:szCs w:val="32"/>
                <w:lang w:val="fr-FR"/>
              </w:rPr>
              <w:t>RÉSOLUTIONS</w:t>
            </w:r>
            <w:r w:rsidRPr="00DB2EB3">
              <w:rPr>
                <w:rFonts w:cstheme="minorHAnsi"/>
                <w:sz w:val="32"/>
                <w:szCs w:val="32"/>
                <w:lang w:val="fr-FR"/>
              </w:rPr>
              <w:t xml:space="preserve"> DE LA </w:t>
            </w:r>
            <w:proofErr w:type="spellStart"/>
            <w:r w:rsidRPr="00DB2EB3">
              <w:rPr>
                <w:rFonts w:cstheme="minorHAnsi"/>
                <w:sz w:val="32"/>
                <w:szCs w:val="32"/>
                <w:lang w:val="fr-FR"/>
              </w:rPr>
              <w:t>CMDT</w:t>
            </w:r>
            <w:proofErr w:type="spellEnd"/>
            <w:r w:rsidRPr="00DB2EB3">
              <w:rPr>
                <w:rFonts w:cstheme="minorHAnsi"/>
                <w:sz w:val="32"/>
                <w:szCs w:val="32"/>
                <w:lang w:val="fr-FR"/>
              </w:rPr>
              <w:t>-25</w:t>
            </w:r>
          </w:p>
        </w:tc>
      </w:tr>
      <w:tr w:rsidR="00D72F49" w:rsidRPr="00813E5E" w14:paraId="63455631" w14:textId="77777777" w:rsidTr="00796BDB">
        <w:trPr>
          <w:cantSplit/>
        </w:trPr>
        <w:tc>
          <w:tcPr>
            <w:tcW w:w="9214" w:type="dxa"/>
            <w:gridSpan w:val="2"/>
            <w:tcBorders>
              <w:top w:val="single" w:sz="4" w:space="0" w:color="auto"/>
              <w:bottom w:val="single" w:sz="4" w:space="0" w:color="auto"/>
            </w:tcBorders>
            <w:tcMar>
              <w:left w:w="0" w:type="dxa"/>
            </w:tcMar>
          </w:tcPr>
          <w:p w14:paraId="44798E40" w14:textId="77777777" w:rsidR="00D72F49" w:rsidRPr="0099485B" w:rsidRDefault="00F37FE5" w:rsidP="00796BDB">
            <w:pPr>
              <w:spacing w:before="160"/>
              <w:rPr>
                <w:b/>
                <w:bCs/>
                <w:sz w:val="26"/>
                <w:szCs w:val="26"/>
                <w:lang w:val="fr-CH"/>
              </w:rPr>
            </w:pPr>
            <w:r>
              <w:rPr>
                <w:b/>
                <w:bCs/>
                <w:sz w:val="26"/>
                <w:szCs w:val="26"/>
                <w:lang w:val="fr-CH"/>
              </w:rPr>
              <w:t>Objet</w:t>
            </w:r>
          </w:p>
          <w:p w14:paraId="4B838F08" w14:textId="6F760DB1" w:rsidR="00DB2EB3" w:rsidRPr="003A26CA" w:rsidRDefault="00DB2EB3" w:rsidP="003A26CA">
            <w:pPr>
              <w:jc w:val="both"/>
              <w:rPr>
                <w:spacing w:val="-2"/>
                <w:lang w:val="fr-CH"/>
              </w:rPr>
            </w:pPr>
            <w:r w:rsidRPr="003A26CA">
              <w:rPr>
                <w:spacing w:val="-2"/>
                <w:lang w:val="fr-CH"/>
              </w:rPr>
              <w:t xml:space="preserve">Dans son </w:t>
            </w:r>
            <w:r w:rsidR="00DD2100" w:rsidRPr="003A26CA">
              <w:rPr>
                <w:spacing w:val="-2"/>
                <w:lang w:val="fr-CH"/>
              </w:rPr>
              <w:t>r</w:t>
            </w:r>
            <w:r w:rsidRPr="003A26CA">
              <w:rPr>
                <w:spacing w:val="-2"/>
                <w:lang w:val="fr-CH"/>
              </w:rPr>
              <w:t>apport, la Commission de contrôle budgétaire de la Conférence mondiale de développement des télécommunications (</w:t>
            </w:r>
            <w:proofErr w:type="spellStart"/>
            <w:r w:rsidRPr="003A26CA">
              <w:rPr>
                <w:spacing w:val="-2"/>
                <w:lang w:val="fr-CH"/>
              </w:rPr>
              <w:t>CMDT</w:t>
            </w:r>
            <w:proofErr w:type="spellEnd"/>
            <w:r w:rsidRPr="003A26CA">
              <w:rPr>
                <w:spacing w:val="-2"/>
                <w:lang w:val="fr-CH"/>
              </w:rPr>
              <w:t xml:space="preserve">-25) a recensé les </w:t>
            </w:r>
            <w:r w:rsidR="00913A9D" w:rsidRPr="003A26CA">
              <w:rPr>
                <w:spacing w:val="-2"/>
                <w:lang w:val="fr-CH"/>
              </w:rPr>
              <w:t>R</w:t>
            </w:r>
            <w:r w:rsidRPr="003A26CA">
              <w:rPr>
                <w:spacing w:val="-2"/>
                <w:lang w:val="fr-CH"/>
              </w:rPr>
              <w:t xml:space="preserve">ésolutions et les </w:t>
            </w:r>
            <w:r w:rsidR="00DD2100" w:rsidRPr="003A26CA">
              <w:rPr>
                <w:spacing w:val="-2"/>
                <w:lang w:val="fr-CH"/>
              </w:rPr>
              <w:t>d</w:t>
            </w:r>
            <w:r w:rsidRPr="003A26CA">
              <w:rPr>
                <w:spacing w:val="-2"/>
                <w:lang w:val="fr-CH"/>
              </w:rPr>
              <w:t>écisions de la Conférence, y compris les nouvelles activités et études techniques et les ateliers, qui nécessitent des ressources financières supplémentaires pour être mises en œuvre. Les coûts estimés pour la réalisation de ces nouveaux travaux sont de l</w:t>
            </w:r>
            <w:r w:rsidR="00462E4E" w:rsidRPr="003A26CA">
              <w:rPr>
                <w:spacing w:val="-2"/>
                <w:lang w:val="fr-CH"/>
              </w:rPr>
              <w:t>'</w:t>
            </w:r>
            <w:r w:rsidRPr="003A26CA">
              <w:rPr>
                <w:spacing w:val="-2"/>
                <w:lang w:val="fr-CH"/>
              </w:rPr>
              <w:t>ordre de 4 208</w:t>
            </w:r>
            <w:r w:rsidR="002673D9" w:rsidRPr="003A26CA">
              <w:rPr>
                <w:spacing w:val="-2"/>
                <w:lang w:val="fr-CH"/>
              </w:rPr>
              <w:t xml:space="preserve"> </w:t>
            </w:r>
            <w:r w:rsidRPr="003A26CA">
              <w:rPr>
                <w:spacing w:val="-2"/>
                <w:lang w:val="fr-CH"/>
              </w:rPr>
              <w:t>millions</w:t>
            </w:r>
            <w:r w:rsidR="002673D9" w:rsidRPr="003A26CA">
              <w:rPr>
                <w:spacing w:val="-2"/>
                <w:lang w:val="fr-CH"/>
              </w:rPr>
              <w:t xml:space="preserve"> </w:t>
            </w:r>
            <w:r w:rsidRPr="003A26CA">
              <w:rPr>
                <w:spacing w:val="-2"/>
                <w:lang w:val="fr-CH"/>
              </w:rPr>
              <w:t xml:space="preserve">CHF en dépenses uniques et récurrentes. La </w:t>
            </w:r>
            <w:proofErr w:type="spellStart"/>
            <w:r w:rsidRPr="003A26CA">
              <w:rPr>
                <w:spacing w:val="-2"/>
                <w:lang w:val="fr-CH"/>
              </w:rPr>
              <w:t>CMDT</w:t>
            </w:r>
            <w:proofErr w:type="spellEnd"/>
            <w:r w:rsidRPr="003A26CA">
              <w:rPr>
                <w:spacing w:val="-2"/>
                <w:lang w:val="fr-CH"/>
              </w:rPr>
              <w:t>-25 a prié la Secrétaire</w:t>
            </w:r>
            <w:r w:rsidR="00702DE0" w:rsidRPr="003A26CA">
              <w:rPr>
                <w:spacing w:val="-2"/>
                <w:lang w:val="fr-CH"/>
              </w:rPr>
              <w:t> </w:t>
            </w:r>
            <w:r w:rsidRPr="003A26CA">
              <w:rPr>
                <w:spacing w:val="-2"/>
                <w:lang w:val="fr-CH"/>
              </w:rPr>
              <w:t>générale de porter cette question à l</w:t>
            </w:r>
            <w:r w:rsidR="00462E4E" w:rsidRPr="003A26CA">
              <w:rPr>
                <w:spacing w:val="-2"/>
                <w:lang w:val="fr-CH"/>
              </w:rPr>
              <w:t>'</w:t>
            </w:r>
            <w:r w:rsidRPr="003A26CA">
              <w:rPr>
                <w:spacing w:val="-2"/>
                <w:lang w:val="fr-CH"/>
              </w:rPr>
              <w:t xml:space="preserve">attention de la réunion de janvier 2026 du </w:t>
            </w:r>
            <w:proofErr w:type="spellStart"/>
            <w:r w:rsidRPr="003A26CA">
              <w:rPr>
                <w:spacing w:val="-2"/>
                <w:lang w:val="fr-CH"/>
              </w:rPr>
              <w:t>GTC-FHR</w:t>
            </w:r>
            <w:proofErr w:type="spellEnd"/>
            <w:r w:rsidRPr="003A26CA">
              <w:rPr>
                <w:spacing w:val="-2"/>
                <w:lang w:val="fr-CH"/>
              </w:rPr>
              <w:t xml:space="preserve">, où le document a été présenté et examiné. Dans ses conclusions, le </w:t>
            </w:r>
            <w:proofErr w:type="spellStart"/>
            <w:r w:rsidRPr="003A26CA">
              <w:rPr>
                <w:spacing w:val="-2"/>
                <w:lang w:val="fr-CH"/>
              </w:rPr>
              <w:t>GTC-FHR</w:t>
            </w:r>
            <w:proofErr w:type="spellEnd"/>
            <w:r w:rsidRPr="003A26CA">
              <w:rPr>
                <w:spacing w:val="-2"/>
                <w:lang w:val="fr-CH"/>
              </w:rPr>
              <w:t xml:space="preserve"> a prié le Secrétariat d</w:t>
            </w:r>
            <w:r w:rsidR="00462E4E" w:rsidRPr="003A26CA">
              <w:rPr>
                <w:spacing w:val="-2"/>
                <w:lang w:val="fr-CH"/>
              </w:rPr>
              <w:t>'</w:t>
            </w:r>
            <w:r w:rsidRPr="003A26CA">
              <w:rPr>
                <w:spacing w:val="-2"/>
                <w:lang w:val="fr-CH"/>
              </w:rPr>
              <w:t>organiser une séance d</w:t>
            </w:r>
            <w:r w:rsidR="00462E4E" w:rsidRPr="003A26CA">
              <w:rPr>
                <w:spacing w:val="-2"/>
                <w:lang w:val="fr-CH"/>
              </w:rPr>
              <w:t>'</w:t>
            </w:r>
            <w:r w:rsidRPr="003A26CA">
              <w:rPr>
                <w:spacing w:val="-2"/>
                <w:lang w:val="fr-CH"/>
              </w:rPr>
              <w:t xml:space="preserve">information sur les estimations de coûts eu égard aux incidences financières de la </w:t>
            </w:r>
            <w:proofErr w:type="spellStart"/>
            <w:r w:rsidRPr="003A26CA">
              <w:rPr>
                <w:spacing w:val="-2"/>
                <w:lang w:val="fr-CH"/>
              </w:rPr>
              <w:t>CMDT</w:t>
            </w:r>
            <w:proofErr w:type="spellEnd"/>
            <w:r w:rsidRPr="003A26CA">
              <w:rPr>
                <w:spacing w:val="-2"/>
                <w:lang w:val="fr-CH"/>
              </w:rPr>
              <w:t>-25. L</w:t>
            </w:r>
            <w:r w:rsidR="00462E4E" w:rsidRPr="003A26CA">
              <w:rPr>
                <w:spacing w:val="-2"/>
                <w:lang w:val="fr-CH"/>
              </w:rPr>
              <w:t>'</w:t>
            </w:r>
            <w:r w:rsidRPr="003A26CA">
              <w:rPr>
                <w:spacing w:val="-2"/>
                <w:lang w:val="fr-CH"/>
              </w:rPr>
              <w:t xml:space="preserve">attention de la </w:t>
            </w:r>
            <w:proofErr w:type="spellStart"/>
            <w:r w:rsidRPr="003A26CA">
              <w:rPr>
                <w:spacing w:val="-2"/>
                <w:lang w:val="fr-CH"/>
              </w:rPr>
              <w:t>CMDT</w:t>
            </w:r>
            <w:proofErr w:type="spellEnd"/>
            <w:r w:rsidRPr="003A26CA">
              <w:rPr>
                <w:spacing w:val="-2"/>
                <w:lang w:val="fr-CH"/>
              </w:rPr>
              <w:t>-25 a été appelée sur le</w:t>
            </w:r>
            <w:r w:rsidR="00702DE0" w:rsidRPr="003A26CA">
              <w:rPr>
                <w:spacing w:val="-2"/>
                <w:lang w:val="fr-CH"/>
              </w:rPr>
              <w:t> </w:t>
            </w:r>
            <w:r w:rsidRPr="003A26CA">
              <w:rPr>
                <w:spacing w:val="-2"/>
                <w:lang w:val="fr-CH"/>
              </w:rPr>
              <w:t>numéro</w:t>
            </w:r>
            <w:r w:rsidR="00702DE0" w:rsidRPr="003A26CA">
              <w:rPr>
                <w:spacing w:val="-2"/>
                <w:lang w:val="fr-CH"/>
              </w:rPr>
              <w:t> </w:t>
            </w:r>
            <w:r w:rsidRPr="003A26CA">
              <w:rPr>
                <w:spacing w:val="-2"/>
                <w:lang w:val="fr-CH"/>
              </w:rPr>
              <w:t>142 (article 22) de la Constitution de l</w:t>
            </w:r>
            <w:r w:rsidR="00462E4E" w:rsidRPr="003A26CA">
              <w:rPr>
                <w:spacing w:val="-2"/>
                <w:lang w:val="fr-CH"/>
              </w:rPr>
              <w:t>'</w:t>
            </w:r>
            <w:r w:rsidRPr="003A26CA">
              <w:rPr>
                <w:spacing w:val="-2"/>
                <w:lang w:val="fr-CH"/>
              </w:rPr>
              <w:t>Union internationale des télécommunications ainsi que les numéros 488 et</w:t>
            </w:r>
            <w:r w:rsidR="00DD2100" w:rsidRPr="003A26CA">
              <w:rPr>
                <w:spacing w:val="-2"/>
                <w:lang w:val="fr-CH"/>
              </w:rPr>
              <w:t xml:space="preserve"> </w:t>
            </w:r>
            <w:r w:rsidRPr="003A26CA">
              <w:rPr>
                <w:spacing w:val="-2"/>
                <w:lang w:val="fr-CH"/>
              </w:rPr>
              <w:t>489 de l</w:t>
            </w:r>
            <w:r w:rsidR="00462E4E" w:rsidRPr="003A26CA">
              <w:rPr>
                <w:spacing w:val="-2"/>
                <w:lang w:val="fr-CH"/>
              </w:rPr>
              <w:t>'</w:t>
            </w:r>
            <w:r w:rsidRPr="003A26CA">
              <w:rPr>
                <w:spacing w:val="-2"/>
                <w:lang w:val="fr-CH"/>
              </w:rPr>
              <w:t>article 34 de la Convention de l</w:t>
            </w:r>
            <w:r w:rsidR="00462E4E" w:rsidRPr="003A26CA">
              <w:rPr>
                <w:spacing w:val="-2"/>
                <w:lang w:val="fr-CH"/>
              </w:rPr>
              <w:t>'</w:t>
            </w:r>
            <w:r w:rsidRPr="003A26CA">
              <w:rPr>
                <w:spacing w:val="-2"/>
                <w:lang w:val="fr-CH"/>
              </w:rPr>
              <w:t>Union internationale des télécommunications.</w:t>
            </w:r>
          </w:p>
          <w:p w14:paraId="65A4DAD8" w14:textId="40547014" w:rsidR="00DB2EB3" w:rsidRPr="00F11D6D" w:rsidRDefault="00DB2EB3" w:rsidP="003A26CA">
            <w:pPr>
              <w:jc w:val="both"/>
              <w:rPr>
                <w:spacing w:val="-2"/>
                <w:lang w:val="fr-CH"/>
              </w:rPr>
            </w:pPr>
            <w:r w:rsidRPr="00F11D6D">
              <w:rPr>
                <w:spacing w:val="-2"/>
                <w:lang w:val="fr-CH"/>
              </w:rPr>
              <w:t xml:space="preserve">Les </w:t>
            </w:r>
            <w:r w:rsidR="00913A9D" w:rsidRPr="00F11D6D">
              <w:rPr>
                <w:spacing w:val="-2"/>
                <w:lang w:val="fr-CH"/>
              </w:rPr>
              <w:t>R</w:t>
            </w:r>
            <w:r w:rsidRPr="00F11D6D">
              <w:rPr>
                <w:spacing w:val="-2"/>
                <w:lang w:val="fr-CH"/>
              </w:rPr>
              <w:t xml:space="preserve">ésolutions adoptées à la </w:t>
            </w:r>
            <w:proofErr w:type="spellStart"/>
            <w:r w:rsidRPr="00F11D6D">
              <w:rPr>
                <w:spacing w:val="-2"/>
                <w:lang w:val="fr-CH"/>
              </w:rPr>
              <w:t>CMDT</w:t>
            </w:r>
            <w:proofErr w:type="spellEnd"/>
            <w:r w:rsidRPr="00F11D6D">
              <w:rPr>
                <w:spacing w:val="-2"/>
                <w:lang w:val="fr-CH"/>
              </w:rPr>
              <w:t>-25 seront mises en œuvre au moyen du budget ordinaire, ainsi que de fonds extrabudgétaires reçus par l</w:t>
            </w:r>
            <w:r w:rsidR="00462E4E" w:rsidRPr="00F11D6D">
              <w:rPr>
                <w:spacing w:val="-2"/>
                <w:lang w:val="fr-CH"/>
              </w:rPr>
              <w:t>'</w:t>
            </w:r>
            <w:r w:rsidRPr="00F11D6D">
              <w:rPr>
                <w:spacing w:val="-2"/>
                <w:lang w:val="fr-CH"/>
              </w:rPr>
              <w:t xml:space="preserve">intermédiaire de projets et de contributions volontaires. Dans le Document </w:t>
            </w:r>
            <w:hyperlink r:id="rId7" w:history="1">
              <w:proofErr w:type="spellStart"/>
              <w:r w:rsidRPr="00F11D6D">
                <w:rPr>
                  <w:rStyle w:val="Hyperlink"/>
                  <w:spacing w:val="-2"/>
                </w:rPr>
                <w:t>C26</w:t>
              </w:r>
              <w:proofErr w:type="spellEnd"/>
              <w:r w:rsidRPr="00F11D6D">
                <w:rPr>
                  <w:rStyle w:val="Hyperlink"/>
                  <w:spacing w:val="-2"/>
                </w:rPr>
                <w:t>/42</w:t>
              </w:r>
            </w:hyperlink>
            <w:r w:rsidRPr="00F11D6D">
              <w:rPr>
                <w:spacing w:val="-2"/>
                <w:lang w:val="fr-CH"/>
              </w:rPr>
              <w:t>, le Secrétariat propose d</w:t>
            </w:r>
            <w:r w:rsidR="00462E4E" w:rsidRPr="00F11D6D">
              <w:rPr>
                <w:spacing w:val="-2"/>
                <w:lang w:val="fr-CH"/>
              </w:rPr>
              <w:t>'</w:t>
            </w:r>
            <w:r w:rsidRPr="00F11D6D">
              <w:rPr>
                <w:spacing w:val="-2"/>
                <w:lang w:val="fr-CH"/>
              </w:rPr>
              <w:t>affecter une partie des économies réalisées dans le cadre de l</w:t>
            </w:r>
            <w:r w:rsidR="00462E4E" w:rsidRPr="00F11D6D">
              <w:rPr>
                <w:spacing w:val="-2"/>
                <w:lang w:val="fr-CH"/>
              </w:rPr>
              <w:t>'</w:t>
            </w:r>
            <w:r w:rsidRPr="00F11D6D">
              <w:rPr>
                <w:spacing w:val="-2"/>
                <w:lang w:val="fr-CH"/>
              </w:rPr>
              <w:t xml:space="preserve">exécution du budget 2025 aux initiatives régionales approuvées par la </w:t>
            </w:r>
            <w:proofErr w:type="spellStart"/>
            <w:r w:rsidRPr="00F11D6D">
              <w:rPr>
                <w:spacing w:val="-2"/>
                <w:lang w:val="fr-CH"/>
              </w:rPr>
              <w:t>CMDT</w:t>
            </w:r>
            <w:proofErr w:type="spellEnd"/>
            <w:r w:rsidRPr="00F11D6D">
              <w:rPr>
                <w:spacing w:val="-2"/>
                <w:lang w:val="fr-CH"/>
              </w:rPr>
              <w:t>-25.</w:t>
            </w:r>
          </w:p>
          <w:p w14:paraId="38ABA164" w14:textId="6FAD47B5" w:rsidR="00D72F49" w:rsidRPr="00122CE1" w:rsidRDefault="00D72F49" w:rsidP="00DB2EB3">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2B5B5C76" w14:textId="3BD20CE7" w:rsidR="00D72F49" w:rsidRPr="00122CE1" w:rsidRDefault="00DB2EB3" w:rsidP="00702DE0">
            <w:pPr>
              <w:rPr>
                <w:lang w:val="fr-CH"/>
              </w:rPr>
            </w:pPr>
            <w:r w:rsidRPr="00DB2EB3">
              <w:rPr>
                <w:lang w:val="fr-CH"/>
              </w:rPr>
              <w:t xml:space="preserve">Le Conseil est invité à </w:t>
            </w:r>
            <w:r w:rsidRPr="00DB2EB3">
              <w:rPr>
                <w:b/>
                <w:bCs/>
                <w:lang w:val="fr-CH"/>
              </w:rPr>
              <w:t>examiner</w:t>
            </w:r>
            <w:r w:rsidRPr="00DB2EB3">
              <w:rPr>
                <w:lang w:val="fr-CH"/>
              </w:rPr>
              <w:t xml:space="preserve"> le présent rapport et à </w:t>
            </w:r>
            <w:r w:rsidRPr="00DB2EB3">
              <w:rPr>
                <w:b/>
                <w:bCs/>
                <w:lang w:val="fr-CH"/>
              </w:rPr>
              <w:t>donner des orientations complémentaires</w:t>
            </w:r>
            <w:r w:rsidRPr="00DB2EB3">
              <w:rPr>
                <w:lang w:val="fr-CH"/>
              </w:rPr>
              <w:t>.</w:t>
            </w:r>
          </w:p>
          <w:p w14:paraId="6AF6DA41" w14:textId="5196D591" w:rsidR="00D72F49" w:rsidRPr="00122CE1" w:rsidRDefault="00D72F49" w:rsidP="00796BDB">
            <w:pPr>
              <w:spacing w:before="160"/>
              <w:rPr>
                <w:b/>
                <w:bCs/>
                <w:sz w:val="26"/>
                <w:szCs w:val="26"/>
                <w:lang w:val="fr-CH"/>
              </w:rPr>
            </w:pPr>
            <w:r w:rsidRPr="00122CE1">
              <w:rPr>
                <w:b/>
                <w:bCs/>
                <w:sz w:val="26"/>
                <w:szCs w:val="26"/>
                <w:lang w:val="fr-CH"/>
              </w:rPr>
              <w:t xml:space="preserve">Lien pertinent avec le </w:t>
            </w:r>
            <w:r w:rsidR="00F37FE5">
              <w:rPr>
                <w:b/>
                <w:bCs/>
                <w:sz w:val="26"/>
                <w:szCs w:val="26"/>
                <w:lang w:val="fr-CH"/>
              </w:rPr>
              <w:t>p</w:t>
            </w:r>
            <w:r w:rsidRPr="00122CE1">
              <w:rPr>
                <w:b/>
                <w:bCs/>
                <w:sz w:val="26"/>
                <w:szCs w:val="26"/>
                <w:lang w:val="fr-CH"/>
              </w:rPr>
              <w:t>lan stratégique</w:t>
            </w:r>
          </w:p>
          <w:p w14:paraId="71D3BEA3" w14:textId="30EBC2D5" w:rsidR="00D72F49" w:rsidRPr="00DD2100" w:rsidRDefault="00DB2EB3" w:rsidP="00DD2100">
            <w:pPr>
              <w:spacing w:after="120"/>
              <w:rPr>
                <w:lang w:val="fr-CH"/>
              </w:rPr>
            </w:pPr>
            <w:r w:rsidRPr="00DB2EB3">
              <w:rPr>
                <w:lang w:val="fr-CH"/>
              </w:rPr>
              <w:t>Plate-forme fédératrice</w:t>
            </w:r>
          </w:p>
        </w:tc>
      </w:tr>
    </w:tbl>
    <w:p w14:paraId="30E24A2B" w14:textId="5062CD43" w:rsidR="00DD2100" w:rsidRDefault="00DD2100" w:rsidP="00DD2100">
      <w:pPr>
        <w:tabs>
          <w:tab w:val="clear" w:pos="567"/>
          <w:tab w:val="clear" w:pos="1134"/>
          <w:tab w:val="clear" w:pos="1701"/>
          <w:tab w:val="clear" w:pos="2268"/>
          <w:tab w:val="clear" w:pos="2835"/>
        </w:tabs>
        <w:overflowPunct/>
        <w:autoSpaceDE/>
        <w:autoSpaceDN/>
        <w:adjustRightInd/>
        <w:textAlignment w:val="auto"/>
      </w:pPr>
      <w:r>
        <w:br w:type="page"/>
      </w:r>
    </w:p>
    <w:tbl>
      <w:tblPr>
        <w:tblStyle w:val="TableGrid"/>
        <w:tblW w:w="9239" w:type="dxa"/>
        <w:tblInd w:w="163" w:type="dxa"/>
        <w:tblLook w:val="04A0" w:firstRow="1" w:lastRow="0" w:firstColumn="1" w:lastColumn="0" w:noHBand="0" w:noVBand="1"/>
      </w:tblPr>
      <w:tblGrid>
        <w:gridCol w:w="9239"/>
      </w:tblGrid>
      <w:tr w:rsidR="00DD2100" w14:paraId="627E2502" w14:textId="77777777" w:rsidTr="00DD2100">
        <w:tc>
          <w:tcPr>
            <w:tcW w:w="9239" w:type="dxa"/>
            <w:tcBorders>
              <w:left w:val="nil"/>
              <w:right w:val="nil"/>
            </w:tcBorders>
          </w:tcPr>
          <w:p w14:paraId="67D377CE" w14:textId="77777777" w:rsidR="00DD2100" w:rsidRDefault="00DD2100" w:rsidP="00DD2100">
            <w:pPr>
              <w:keepNext/>
              <w:keepLines/>
              <w:spacing w:before="160"/>
              <w:rPr>
                <w:b/>
                <w:bCs/>
                <w:sz w:val="26"/>
                <w:szCs w:val="26"/>
                <w:lang w:val="fr-CH"/>
              </w:rPr>
            </w:pPr>
            <w:r w:rsidRPr="00122CE1">
              <w:rPr>
                <w:b/>
                <w:bCs/>
                <w:sz w:val="26"/>
                <w:szCs w:val="26"/>
                <w:lang w:val="fr-CH"/>
              </w:rPr>
              <w:lastRenderedPageBreak/>
              <w:t>Incidences financières</w:t>
            </w:r>
          </w:p>
          <w:p w14:paraId="36A80F19" w14:textId="77777777" w:rsidR="00DD2100" w:rsidRPr="00882919" w:rsidRDefault="00DD2100" w:rsidP="00DD2100">
            <w:pPr>
              <w:keepNext/>
              <w:keepLines/>
            </w:pPr>
            <w:r w:rsidRPr="00DB2EB3">
              <w:t xml:space="preserve">La Commission de contrôle budgétaire a estimé que les incidences financières des décisions de la </w:t>
            </w:r>
            <w:proofErr w:type="spellStart"/>
            <w:r w:rsidRPr="00DB2EB3">
              <w:t>CM</w:t>
            </w:r>
            <w:r>
              <w:t>DT</w:t>
            </w:r>
            <w:proofErr w:type="spellEnd"/>
            <w:r w:rsidRPr="00DB2EB3">
              <w:t>-2</w:t>
            </w:r>
            <w:r>
              <w:t>5</w:t>
            </w:r>
            <w:r w:rsidRPr="00DB2EB3">
              <w:t xml:space="preserve"> s</w:t>
            </w:r>
            <w:r>
              <w:t>'</w:t>
            </w:r>
            <w:r w:rsidRPr="00DB2EB3">
              <w:t>élèvent à 4</w:t>
            </w:r>
            <w:r>
              <w:t> </w:t>
            </w:r>
            <w:r w:rsidRPr="00DB2EB3">
              <w:t xml:space="preserve">208 millions CHF. Les </w:t>
            </w:r>
            <w:r>
              <w:t>R</w:t>
            </w:r>
            <w:r w:rsidRPr="00DB2EB3">
              <w:t xml:space="preserve">ésolutions adoptées à la </w:t>
            </w:r>
            <w:proofErr w:type="spellStart"/>
            <w:r w:rsidRPr="00DB2EB3">
              <w:t>CMDT</w:t>
            </w:r>
            <w:proofErr w:type="spellEnd"/>
            <w:r w:rsidRPr="00DB2EB3">
              <w:t>-25 seront mises en œuvre par des initiatives régionales au moyen du budget ordinaire, ainsi que de fonds extrabudgétaires reçus par l</w:t>
            </w:r>
            <w:r>
              <w:t>'</w:t>
            </w:r>
            <w:r w:rsidRPr="00DB2EB3">
              <w:t xml:space="preserve">intermédiaire de projets et de contributions volontaires. Dans le </w:t>
            </w:r>
            <w:r>
              <w:t>D</w:t>
            </w:r>
            <w:r w:rsidRPr="00DB2EB3">
              <w:t xml:space="preserve">ocument </w:t>
            </w:r>
            <w:hyperlink r:id="rId8" w:history="1">
              <w:proofErr w:type="spellStart"/>
              <w:r w:rsidRPr="00AB698D">
                <w:rPr>
                  <w:rStyle w:val="Hyperlink"/>
                  <w:rFonts w:eastAsia="Times New Roman" w:cs="Times New Roman"/>
                  <w:szCs w:val="24"/>
                </w:rPr>
                <w:t>C26</w:t>
              </w:r>
              <w:proofErr w:type="spellEnd"/>
              <w:r w:rsidRPr="00AB698D">
                <w:rPr>
                  <w:rStyle w:val="Hyperlink"/>
                  <w:rFonts w:eastAsia="Times New Roman" w:cs="Times New Roman"/>
                  <w:szCs w:val="24"/>
                </w:rPr>
                <w:t>/42</w:t>
              </w:r>
            </w:hyperlink>
            <w:r w:rsidRPr="00DB2EB3">
              <w:t>, le Secrétariat propose d</w:t>
            </w:r>
            <w:r>
              <w:t>'</w:t>
            </w:r>
            <w:r w:rsidRPr="00DB2EB3">
              <w:t>affecter une partie des économies réalisées dans le cadre de l</w:t>
            </w:r>
            <w:r>
              <w:t>'</w:t>
            </w:r>
            <w:r w:rsidRPr="00DB2EB3">
              <w:t xml:space="preserve">exécution du budget 2025 aux initiatives régionales approuvées par la </w:t>
            </w:r>
            <w:proofErr w:type="spellStart"/>
            <w:r w:rsidRPr="00DB2EB3">
              <w:t>CMDT</w:t>
            </w:r>
            <w:proofErr w:type="spellEnd"/>
            <w:r w:rsidRPr="00DB2EB3">
              <w:t>-25.</w:t>
            </w:r>
          </w:p>
          <w:p w14:paraId="6858162F" w14:textId="77777777" w:rsidR="00DD2100" w:rsidRPr="00813E5E" w:rsidRDefault="00DD2100" w:rsidP="00DD2100">
            <w:pPr>
              <w:keepNext/>
              <w:keepLines/>
              <w:spacing w:before="160"/>
              <w:rPr>
                <w:caps/>
                <w:sz w:val="22"/>
              </w:rPr>
            </w:pPr>
            <w:r w:rsidRPr="00813E5E">
              <w:rPr>
                <w:sz w:val="22"/>
              </w:rPr>
              <w:t>____________</w:t>
            </w:r>
            <w:r>
              <w:rPr>
                <w:sz w:val="22"/>
              </w:rPr>
              <w:t>______</w:t>
            </w:r>
          </w:p>
          <w:p w14:paraId="1657FCB1" w14:textId="77777777" w:rsidR="00DD2100" w:rsidRDefault="00DD2100" w:rsidP="00DD2100">
            <w:pPr>
              <w:keepNext/>
              <w:keepLines/>
              <w:spacing w:before="160"/>
              <w:rPr>
                <w:b/>
                <w:bCs/>
                <w:sz w:val="26"/>
                <w:szCs w:val="26"/>
              </w:rPr>
            </w:pPr>
            <w:r w:rsidRPr="00F16BAB">
              <w:rPr>
                <w:b/>
                <w:bCs/>
                <w:sz w:val="26"/>
                <w:szCs w:val="26"/>
              </w:rPr>
              <w:t>Références</w:t>
            </w:r>
          </w:p>
          <w:p w14:paraId="2AADA420" w14:textId="4885D031" w:rsidR="00DD2100" w:rsidRPr="003A26CA" w:rsidRDefault="00DD2100" w:rsidP="003A26CA">
            <w:pPr>
              <w:tabs>
                <w:tab w:val="clear" w:pos="567"/>
                <w:tab w:val="clear" w:pos="1134"/>
                <w:tab w:val="clear" w:pos="1701"/>
                <w:tab w:val="clear" w:pos="2268"/>
                <w:tab w:val="clear" w:pos="2835"/>
              </w:tabs>
              <w:overflowPunct/>
              <w:autoSpaceDE/>
              <w:autoSpaceDN/>
              <w:adjustRightInd/>
              <w:spacing w:after="120"/>
              <w:textAlignment w:val="auto"/>
              <w:rPr>
                <w:sz w:val="22"/>
              </w:rPr>
            </w:pPr>
            <w:r w:rsidRPr="003A26CA">
              <w:rPr>
                <w:i/>
                <w:iCs/>
                <w:sz w:val="22"/>
              </w:rPr>
              <w:t xml:space="preserve">Documents </w:t>
            </w:r>
            <w:hyperlink r:id="rId9" w:history="1">
              <w:proofErr w:type="spellStart"/>
              <w:r w:rsidRPr="003A26CA">
                <w:rPr>
                  <w:rStyle w:val="Hyperlink"/>
                  <w:i/>
                  <w:iCs/>
                  <w:sz w:val="22"/>
                </w:rPr>
                <w:t>WTDC-25</w:t>
              </w:r>
              <w:proofErr w:type="spellEnd"/>
              <w:r w:rsidRPr="003A26CA">
                <w:rPr>
                  <w:rStyle w:val="Hyperlink"/>
                  <w:i/>
                  <w:iCs/>
                  <w:sz w:val="22"/>
                </w:rPr>
                <w:t>/70</w:t>
              </w:r>
            </w:hyperlink>
            <w:r w:rsidRPr="003A26CA">
              <w:rPr>
                <w:i/>
                <w:iCs/>
                <w:sz w:val="22"/>
              </w:rPr>
              <w:t xml:space="preserve"> et </w:t>
            </w:r>
            <w:hyperlink r:id="rId10" w:history="1">
              <w:proofErr w:type="spellStart"/>
              <w:r w:rsidRPr="003A26CA">
                <w:rPr>
                  <w:rStyle w:val="Hyperlink"/>
                  <w:i/>
                  <w:iCs/>
                  <w:sz w:val="22"/>
                </w:rPr>
                <w:t>CWG</w:t>
              </w:r>
              <w:proofErr w:type="spellEnd"/>
              <w:r w:rsidRPr="003A26CA">
                <w:rPr>
                  <w:rStyle w:val="Hyperlink"/>
                  <w:i/>
                  <w:iCs/>
                  <w:sz w:val="22"/>
                </w:rPr>
                <w:t>-</w:t>
              </w:r>
              <w:proofErr w:type="spellStart"/>
              <w:r w:rsidRPr="003A26CA">
                <w:rPr>
                  <w:rStyle w:val="Hyperlink"/>
                  <w:i/>
                  <w:iCs/>
                  <w:sz w:val="22"/>
                </w:rPr>
                <w:t>FHR</w:t>
              </w:r>
              <w:proofErr w:type="spellEnd"/>
              <w:r w:rsidRPr="003A26CA">
                <w:rPr>
                  <w:rStyle w:val="Hyperlink"/>
                  <w:i/>
                  <w:iCs/>
                  <w:sz w:val="22"/>
                </w:rPr>
                <w:t>-22/7</w:t>
              </w:r>
            </w:hyperlink>
          </w:p>
        </w:tc>
      </w:tr>
    </w:tbl>
    <w:p w14:paraId="4224B966" w14:textId="2E0FD81B"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4C6F3627" w14:textId="77777777" w:rsidR="00DB2EB3" w:rsidRPr="00713B26" w:rsidRDefault="00DB2EB3" w:rsidP="00DB2EB3">
      <w:pPr>
        <w:pStyle w:val="Heading1"/>
      </w:pPr>
      <w:r w:rsidRPr="00713B26">
        <w:lastRenderedPageBreak/>
        <w:t>1</w:t>
      </w:r>
      <w:r w:rsidRPr="00713B26">
        <w:tab/>
        <w:t>Introduction</w:t>
      </w:r>
    </w:p>
    <w:p w14:paraId="617D55A0" w14:textId="25769E7F" w:rsidR="00DB2EB3" w:rsidRPr="006978AB" w:rsidRDefault="00DB2EB3" w:rsidP="00F11D6D">
      <w:pPr>
        <w:jc w:val="both"/>
        <w:rPr>
          <w:lang w:val="fr-CH"/>
        </w:rPr>
      </w:pPr>
      <w:r w:rsidRPr="00B168FC">
        <w:rPr>
          <w:lang w:val="fr-CH"/>
        </w:rPr>
        <w:t>1.1</w:t>
      </w:r>
      <w:r w:rsidRPr="00B168FC">
        <w:rPr>
          <w:lang w:val="fr-CH"/>
        </w:rPr>
        <w:tab/>
        <w:t>La</w:t>
      </w:r>
      <w:r>
        <w:rPr>
          <w:lang w:val="fr-CH"/>
        </w:rPr>
        <w:t xml:space="preserve"> </w:t>
      </w:r>
      <w:r w:rsidRPr="00B168FC">
        <w:rPr>
          <w:lang w:val="fr-CH"/>
        </w:rPr>
        <w:t>Conférence mondiale de développement des télécommunications (</w:t>
      </w:r>
      <w:proofErr w:type="spellStart"/>
      <w:r w:rsidRPr="00B168FC">
        <w:rPr>
          <w:lang w:val="fr-CH"/>
        </w:rPr>
        <w:t>CMDT</w:t>
      </w:r>
      <w:proofErr w:type="spellEnd"/>
      <w:r w:rsidRPr="00B168FC">
        <w:rPr>
          <w:lang w:val="fr-CH"/>
        </w:rPr>
        <w:t>-25)</w:t>
      </w:r>
      <w:r>
        <w:rPr>
          <w:lang w:val="fr-CH"/>
        </w:rPr>
        <w:t>, tenue</w:t>
      </w:r>
      <w:r w:rsidRPr="00B168FC">
        <w:rPr>
          <w:lang w:val="fr-CH"/>
        </w:rPr>
        <w:t xml:space="preserve"> à Bakou (République d</w:t>
      </w:r>
      <w:r w:rsidR="00462E4E">
        <w:rPr>
          <w:lang w:val="fr-CH"/>
        </w:rPr>
        <w:t>'</w:t>
      </w:r>
      <w:r w:rsidRPr="00B168FC">
        <w:rPr>
          <w:lang w:val="fr-CH"/>
        </w:rPr>
        <w:t xml:space="preserve">Azerbaïdjan), du 17 au 28 novembre 2025, </w:t>
      </w:r>
      <w:r w:rsidRPr="006978AB">
        <w:rPr>
          <w:lang w:val="fr-CH"/>
        </w:rPr>
        <w:t>a adopté des décisions concernant la mise en place d</w:t>
      </w:r>
      <w:r w:rsidR="00462E4E">
        <w:rPr>
          <w:lang w:val="fr-CH"/>
        </w:rPr>
        <w:t>'</w:t>
      </w:r>
      <w:r w:rsidRPr="006978AB">
        <w:rPr>
          <w:lang w:val="fr-CH"/>
        </w:rPr>
        <w:t>activités, d</w:t>
      </w:r>
      <w:r w:rsidR="00462E4E">
        <w:rPr>
          <w:lang w:val="fr-CH"/>
        </w:rPr>
        <w:t>'</w:t>
      </w:r>
      <w:r w:rsidRPr="006978AB">
        <w:rPr>
          <w:lang w:val="fr-CH"/>
        </w:rPr>
        <w:t>études et d</w:t>
      </w:r>
      <w:r w:rsidR="00462E4E">
        <w:rPr>
          <w:lang w:val="fr-CH"/>
        </w:rPr>
        <w:t>'</w:t>
      </w:r>
      <w:r w:rsidRPr="006978AB">
        <w:rPr>
          <w:lang w:val="fr-CH"/>
        </w:rPr>
        <w:t xml:space="preserve">ateliers nouveaux afin de permettre au Bureau de </w:t>
      </w:r>
      <w:r>
        <w:rPr>
          <w:lang w:val="fr-CH"/>
        </w:rPr>
        <w:t xml:space="preserve">développement </w:t>
      </w:r>
      <w:r w:rsidRPr="006978AB">
        <w:rPr>
          <w:lang w:val="fr-CH"/>
        </w:rPr>
        <w:t>des télécommunications de répondre rapidement aux demandes des membres et de traiter des questions d</w:t>
      </w:r>
      <w:r w:rsidR="00462E4E">
        <w:rPr>
          <w:lang w:val="fr-CH"/>
        </w:rPr>
        <w:t>'</w:t>
      </w:r>
      <w:r w:rsidRPr="006978AB">
        <w:rPr>
          <w:lang w:val="fr-CH"/>
        </w:rPr>
        <w:t>ordre stratégique qui nécessiteront l</w:t>
      </w:r>
      <w:r w:rsidR="00462E4E">
        <w:rPr>
          <w:lang w:val="fr-CH"/>
        </w:rPr>
        <w:t>'</w:t>
      </w:r>
      <w:r w:rsidRPr="006978AB">
        <w:rPr>
          <w:lang w:val="fr-CH"/>
        </w:rPr>
        <w:t xml:space="preserve">attention de la </w:t>
      </w:r>
      <w:proofErr w:type="spellStart"/>
      <w:r w:rsidRPr="00B168FC">
        <w:rPr>
          <w:lang w:val="fr-CH"/>
        </w:rPr>
        <w:t>CMDT</w:t>
      </w:r>
      <w:proofErr w:type="spellEnd"/>
      <w:r w:rsidRPr="00B168FC">
        <w:rPr>
          <w:lang w:val="fr-CH"/>
        </w:rPr>
        <w:t>-2</w:t>
      </w:r>
      <w:r>
        <w:rPr>
          <w:lang w:val="fr-CH"/>
        </w:rPr>
        <w:t>9.</w:t>
      </w:r>
    </w:p>
    <w:p w14:paraId="204AC4B4" w14:textId="474C5497" w:rsidR="00DB2EB3" w:rsidRPr="00A52606" w:rsidRDefault="00DB2EB3" w:rsidP="00F11D6D">
      <w:pPr>
        <w:jc w:val="both"/>
        <w:rPr>
          <w:rFonts w:eastAsia="Calibri" w:cs="Calibri"/>
          <w:color w:val="000000" w:themeColor="text1"/>
          <w:szCs w:val="24"/>
          <w:lang w:val="fr-CH"/>
        </w:rPr>
      </w:pPr>
      <w:r>
        <w:t>L</w:t>
      </w:r>
      <w:r w:rsidR="00462E4E">
        <w:t>'</w:t>
      </w:r>
      <w:r>
        <w:t xml:space="preserve">attention de la </w:t>
      </w:r>
      <w:proofErr w:type="spellStart"/>
      <w:r w:rsidRPr="00A52606">
        <w:t>CMDT</w:t>
      </w:r>
      <w:proofErr w:type="spellEnd"/>
      <w:r w:rsidRPr="00A52606">
        <w:t>-25</w:t>
      </w:r>
      <w:r>
        <w:t xml:space="preserve"> est appelée sur le numéro 142 (article 22) de la Constitution de l</w:t>
      </w:r>
      <w:r w:rsidR="00462E4E">
        <w:t>'</w:t>
      </w:r>
      <w:r>
        <w:t xml:space="preserve">Union internationale des télécommunications, qui dispose </w:t>
      </w:r>
      <w:proofErr w:type="gramStart"/>
      <w:r>
        <w:t>que:</w:t>
      </w:r>
      <w:proofErr w:type="gramEnd"/>
    </w:p>
    <w:p w14:paraId="6F68DE3E" w14:textId="4A2BA898" w:rsidR="00DB2EB3" w:rsidRPr="00BE247A" w:rsidRDefault="00DB2EB3" w:rsidP="00F11D6D">
      <w:pPr>
        <w:pStyle w:val="enumlev1"/>
        <w:jc w:val="both"/>
        <w:rPr>
          <w:rFonts w:eastAsia="Calibri"/>
          <w:lang w:val="fr-CH"/>
        </w:rPr>
      </w:pPr>
      <w:r>
        <w:tab/>
        <w:t>"4</w:t>
      </w:r>
      <w:r>
        <w:tab/>
        <w:t>Les conférences de développement des télécommunications n</w:t>
      </w:r>
      <w:r w:rsidR="00462E4E">
        <w:t>'</w:t>
      </w:r>
      <w:r>
        <w:t>élaborent pas d</w:t>
      </w:r>
      <w:r w:rsidR="00462E4E">
        <w:t>'</w:t>
      </w:r>
      <w:r>
        <w:t>Actes finals. Leurs conclusions prennent la forme de résolutions, de décisions, de recommandations ou de rapports. Ces conclusions doivent être, dans tous les cas, conformes aux dispositions de la présente Constitution, de la Convention et des Règlements administratifs. Lorsqu</w:t>
      </w:r>
      <w:r w:rsidR="00462E4E">
        <w:t>'</w:t>
      </w:r>
      <w:r>
        <w:t>elles adoptent des résolutions ou des décisions, les conférences doivent tenir compte des répercussions financières prévisibles et devraient éviter d</w:t>
      </w:r>
      <w:r w:rsidR="00462E4E">
        <w:t>'</w:t>
      </w:r>
      <w:r>
        <w:t>adopter des résolutions ou des décisions susceptibles d</w:t>
      </w:r>
      <w:r w:rsidR="00462E4E">
        <w:t>'</w:t>
      </w:r>
      <w:r>
        <w:t>entraîner le dépassement des limites financières fixées par la Conférence de plénipotentiaires.</w:t>
      </w:r>
      <w:r w:rsidR="001169C7">
        <w:t>"</w:t>
      </w:r>
    </w:p>
    <w:p w14:paraId="2522DAD9" w14:textId="20D99600" w:rsidR="00DB2EB3" w:rsidRPr="00BE247A" w:rsidRDefault="00DB2EB3" w:rsidP="00F11D6D">
      <w:pPr>
        <w:jc w:val="both"/>
        <w:rPr>
          <w:szCs w:val="24"/>
          <w:lang w:val="fr-CH"/>
        </w:rPr>
      </w:pPr>
      <w:r>
        <w:t>1.2</w:t>
      </w:r>
      <w:r>
        <w:tab/>
        <w:t>L</w:t>
      </w:r>
      <w:r w:rsidR="00462E4E">
        <w:t>'</w:t>
      </w:r>
      <w:r>
        <w:t>attention des participants à la Conférence est également attirée sur les numéros 488 et 489 (article 34) de la Convention de l</w:t>
      </w:r>
      <w:r w:rsidR="00462E4E">
        <w:t>'</w:t>
      </w:r>
      <w:r>
        <w:t xml:space="preserve">Union internationale des télécommunications, qui disposent ce qui </w:t>
      </w:r>
      <w:proofErr w:type="gramStart"/>
      <w:r>
        <w:t>suit:</w:t>
      </w:r>
      <w:proofErr w:type="gramEnd"/>
    </w:p>
    <w:p w14:paraId="45328715" w14:textId="42D77761" w:rsidR="00DB2EB3" w:rsidRPr="00BE247A" w:rsidRDefault="00DB2EB3" w:rsidP="00F11D6D">
      <w:pPr>
        <w:pStyle w:val="enumlev1"/>
        <w:jc w:val="both"/>
        <w:rPr>
          <w:lang w:val="fr-CH"/>
        </w:rPr>
      </w:pPr>
      <w:r>
        <w:tab/>
        <w:t>"1</w:t>
      </w:r>
      <w:r>
        <w:tab/>
        <w:t>Avant d</w:t>
      </w:r>
      <w:r w:rsidR="00462E4E">
        <w:t>'</w:t>
      </w:r>
      <w:r>
        <w:t>adopter des propositions ou avant de prendre des décisions ayant des incidences financières, les conférences de l</w:t>
      </w:r>
      <w:r w:rsidR="00462E4E">
        <w:t>'</w:t>
      </w:r>
      <w:r>
        <w:t>Union tiennent compte de toutes les prévisions budgétaires de l</w:t>
      </w:r>
      <w:r w:rsidR="00462E4E">
        <w:t>'</w:t>
      </w:r>
      <w:r>
        <w:t>Union en vue d</w:t>
      </w:r>
      <w:r w:rsidR="00462E4E">
        <w:t>'</w:t>
      </w:r>
      <w:r>
        <w:t>assurer qu</w:t>
      </w:r>
      <w:r w:rsidR="00462E4E">
        <w:t>'</w:t>
      </w:r>
      <w:r>
        <w:t>elles n</w:t>
      </w:r>
      <w:r w:rsidR="00462E4E">
        <w:t>'</w:t>
      </w:r>
      <w:r>
        <w:t>entraînent pas de dépenses supérieures aux crédits que le Conseil est habilité à autoriser.</w:t>
      </w:r>
    </w:p>
    <w:p w14:paraId="3E74F8B6" w14:textId="2977940F" w:rsidR="00DB2EB3" w:rsidRPr="00BE247A" w:rsidRDefault="00DB2EB3" w:rsidP="00F11D6D">
      <w:pPr>
        <w:pStyle w:val="enumlev1"/>
        <w:jc w:val="both"/>
        <w:rPr>
          <w:lang w:val="fr-CH"/>
        </w:rPr>
      </w:pPr>
      <w:r>
        <w:tab/>
        <w:t>2</w:t>
      </w:r>
      <w:r>
        <w:tab/>
        <w:t>Il n</w:t>
      </w:r>
      <w:r w:rsidR="00462E4E">
        <w:t>'</w:t>
      </w:r>
      <w:r>
        <w:t>est donné suite à aucune décision d</w:t>
      </w:r>
      <w:r w:rsidR="00462E4E">
        <w:t>'</w:t>
      </w:r>
      <w:r>
        <w:t>une conférence ayant pour conséquence une augmentation directe ou indirecte des dépenses au-delà des crédits que le Conseil est habilité à autoriser.</w:t>
      </w:r>
      <w:r w:rsidR="001169C7">
        <w:t>"</w:t>
      </w:r>
    </w:p>
    <w:p w14:paraId="28762DEB" w14:textId="6A5E6C8F" w:rsidR="00DB2EB3" w:rsidRPr="00BE247A" w:rsidRDefault="00DB2EB3" w:rsidP="00F11D6D">
      <w:pPr>
        <w:jc w:val="both"/>
        <w:rPr>
          <w:lang w:val="fr-CH"/>
        </w:rPr>
      </w:pPr>
      <w:r w:rsidRPr="00A52606">
        <w:rPr>
          <w:lang w:val="fr-CH"/>
        </w:rPr>
        <w:t>1.3</w:t>
      </w:r>
      <w:r w:rsidRPr="00A52606">
        <w:rPr>
          <w:lang w:val="fr-CH"/>
        </w:rPr>
        <w:tab/>
        <w:t xml:space="preserve">Le Bureau de développement des télécommunications (BDT) </w:t>
      </w:r>
      <w:r>
        <w:rPr>
          <w:lang w:val="fr-CH"/>
        </w:rPr>
        <w:t xml:space="preserve">est chargé de réaliser ces </w:t>
      </w:r>
      <w:r w:rsidRPr="00A52606">
        <w:rPr>
          <w:lang w:val="fr-CH"/>
        </w:rPr>
        <w:t>activités</w:t>
      </w:r>
      <w:r>
        <w:rPr>
          <w:lang w:val="fr-CH"/>
        </w:rPr>
        <w:t xml:space="preserve"> et de rendre compte à la prochaine conférence</w:t>
      </w:r>
      <w:r w:rsidRPr="00A52606">
        <w:rPr>
          <w:lang w:val="fr-CH"/>
        </w:rPr>
        <w:t xml:space="preserve"> (</w:t>
      </w:r>
      <w:proofErr w:type="spellStart"/>
      <w:r>
        <w:rPr>
          <w:lang w:val="fr-CH"/>
        </w:rPr>
        <w:t>CMDT</w:t>
      </w:r>
      <w:proofErr w:type="spellEnd"/>
      <w:r w:rsidRPr="00A52606">
        <w:rPr>
          <w:lang w:val="fr-CH"/>
        </w:rPr>
        <w:t xml:space="preserve">-29). </w:t>
      </w:r>
      <w:r>
        <w:t xml:space="preserve">Sur la base des résultats de la Conférence, la Commission de contrôle budgétaire a estimé que les incidences financières des décisions </w:t>
      </w:r>
      <w:bookmarkStart w:id="0" w:name="_Hlk224570643"/>
      <w:r>
        <w:t xml:space="preserve">de la </w:t>
      </w:r>
      <w:proofErr w:type="spellStart"/>
      <w:r w:rsidRPr="00A52606">
        <w:t>CMDT</w:t>
      </w:r>
      <w:proofErr w:type="spellEnd"/>
      <w:r>
        <w:t xml:space="preserve">-25 </w:t>
      </w:r>
      <w:bookmarkEnd w:id="0"/>
      <w:r>
        <w:t>s</w:t>
      </w:r>
      <w:r w:rsidR="00462E4E">
        <w:t>'</w:t>
      </w:r>
      <w:r>
        <w:t xml:space="preserve">élèvent à </w:t>
      </w:r>
      <w:r w:rsidRPr="00A52606">
        <w:t>s</w:t>
      </w:r>
      <w:r w:rsidR="00462E4E">
        <w:t>'</w:t>
      </w:r>
      <w:r w:rsidRPr="00A52606">
        <w:t>élèvent à 4</w:t>
      </w:r>
      <w:r w:rsidR="002673D9">
        <w:t> </w:t>
      </w:r>
      <w:r w:rsidRPr="00A52606">
        <w:t>208 millions CHF</w:t>
      </w:r>
      <w:r>
        <w:t xml:space="preserve"> </w:t>
      </w:r>
      <w:r w:rsidRPr="00FE0765">
        <w:rPr>
          <w:lang w:val="fr-CH"/>
        </w:rPr>
        <w:t>(</w:t>
      </w:r>
      <w:r>
        <w:rPr>
          <w:lang w:val="fr-CH"/>
        </w:rPr>
        <w:t>voir</w:t>
      </w:r>
      <w:r w:rsidR="00702DE0">
        <w:rPr>
          <w:lang w:val="fr-CH"/>
        </w:rPr>
        <w:t> </w:t>
      </w:r>
      <w:r>
        <w:rPr>
          <w:lang w:val="fr-CH"/>
        </w:rPr>
        <w:t>le</w:t>
      </w:r>
      <w:r w:rsidR="00702DE0">
        <w:rPr>
          <w:lang w:val="fr-CH"/>
        </w:rPr>
        <w:t> </w:t>
      </w:r>
      <w:r w:rsidRPr="00FE0765">
        <w:rPr>
          <w:lang w:val="fr-CH"/>
        </w:rPr>
        <w:t xml:space="preserve">Document </w:t>
      </w:r>
      <w:hyperlink r:id="rId11">
        <w:proofErr w:type="spellStart"/>
        <w:r w:rsidRPr="009426CF">
          <w:rPr>
            <w:rStyle w:val="Hyperlink"/>
          </w:rPr>
          <w:t>WTDC-25</w:t>
        </w:r>
        <w:proofErr w:type="spellEnd"/>
        <w:r w:rsidRPr="009426CF">
          <w:rPr>
            <w:rStyle w:val="Hyperlink"/>
          </w:rPr>
          <w:t>/70</w:t>
        </w:r>
      </w:hyperlink>
      <w:r w:rsidRPr="00FE0765">
        <w:rPr>
          <w:lang w:val="fr-CH"/>
        </w:rPr>
        <w:t xml:space="preserve">). </w:t>
      </w:r>
      <w:r>
        <w:t xml:space="preserve">À toutes fins utiles, on trouvera dans la présente section les renseignements fournis dans le </w:t>
      </w:r>
      <w:r w:rsidR="00DD2100">
        <w:t>r</w:t>
      </w:r>
      <w:r>
        <w:t xml:space="preserve">apport de la Commission de contrôle budgétaire </w:t>
      </w:r>
      <w:r w:rsidRPr="00FE0765">
        <w:t xml:space="preserve">de la </w:t>
      </w:r>
      <w:proofErr w:type="spellStart"/>
      <w:r w:rsidRPr="00FE0765">
        <w:t>CMDT</w:t>
      </w:r>
      <w:proofErr w:type="spellEnd"/>
      <w:r>
        <w:noBreakHyphen/>
      </w:r>
      <w:r w:rsidRPr="00FE0765">
        <w:t>25</w:t>
      </w:r>
      <w:r>
        <w:t>.</w:t>
      </w:r>
      <w:hyperlink r:id="rId12"/>
    </w:p>
    <w:p w14:paraId="58CC5501" w14:textId="234E5A59" w:rsidR="00DB2EB3" w:rsidRPr="00A52606" w:rsidRDefault="00DB2EB3" w:rsidP="00F11D6D">
      <w:pPr>
        <w:jc w:val="both"/>
        <w:rPr>
          <w:lang w:val="fr-CH"/>
        </w:rPr>
      </w:pPr>
      <w:r w:rsidRPr="00A52606">
        <w:rPr>
          <w:lang w:val="fr-CH"/>
        </w:rPr>
        <w:t xml:space="preserve">Les </w:t>
      </w:r>
      <w:r w:rsidR="00913A9D">
        <w:rPr>
          <w:lang w:val="fr-CH"/>
        </w:rPr>
        <w:t>R</w:t>
      </w:r>
      <w:r w:rsidRPr="00A52606">
        <w:rPr>
          <w:lang w:val="fr-CH"/>
        </w:rPr>
        <w:t xml:space="preserve">ésolutions adoptées à la </w:t>
      </w:r>
      <w:proofErr w:type="spellStart"/>
      <w:r w:rsidRPr="00A52606">
        <w:rPr>
          <w:lang w:val="fr-CH"/>
        </w:rPr>
        <w:t>CMDT</w:t>
      </w:r>
      <w:proofErr w:type="spellEnd"/>
      <w:r w:rsidRPr="00A52606">
        <w:rPr>
          <w:lang w:val="fr-CH"/>
        </w:rPr>
        <w:t>-25 seront mises en œuvre au moyen du budget ordinaire, ainsi que de fonds extrabudgétaires reçus par l</w:t>
      </w:r>
      <w:r w:rsidR="00462E4E">
        <w:rPr>
          <w:lang w:val="fr-CH"/>
        </w:rPr>
        <w:t>'</w:t>
      </w:r>
      <w:r w:rsidRPr="00A52606">
        <w:rPr>
          <w:lang w:val="fr-CH"/>
        </w:rPr>
        <w:t xml:space="preserve">intermédiaire de projets et de contributions volontaires. Dans le </w:t>
      </w:r>
      <w:r w:rsidR="002673D9">
        <w:rPr>
          <w:lang w:val="fr-CH"/>
        </w:rPr>
        <w:t>D</w:t>
      </w:r>
      <w:r w:rsidRPr="00A52606">
        <w:rPr>
          <w:lang w:val="fr-CH"/>
        </w:rPr>
        <w:t xml:space="preserve">ocument </w:t>
      </w:r>
      <w:hyperlink r:id="rId13" w:history="1">
        <w:proofErr w:type="spellStart"/>
        <w:r w:rsidRPr="00AB698D">
          <w:rPr>
            <w:rStyle w:val="Hyperlink"/>
          </w:rPr>
          <w:t>C26</w:t>
        </w:r>
        <w:proofErr w:type="spellEnd"/>
        <w:r w:rsidRPr="00AB698D">
          <w:rPr>
            <w:rStyle w:val="Hyperlink"/>
          </w:rPr>
          <w:t>/42</w:t>
        </w:r>
      </w:hyperlink>
      <w:r w:rsidRPr="00A52606">
        <w:rPr>
          <w:lang w:val="fr-CH"/>
        </w:rPr>
        <w:t>, le Secrétariat propose d</w:t>
      </w:r>
      <w:r w:rsidR="00462E4E">
        <w:rPr>
          <w:lang w:val="fr-CH"/>
        </w:rPr>
        <w:t>'</w:t>
      </w:r>
      <w:r w:rsidRPr="00A52606">
        <w:rPr>
          <w:lang w:val="fr-CH"/>
        </w:rPr>
        <w:t>affecter une partie des économies réalisées dans le cadre de l</w:t>
      </w:r>
      <w:r w:rsidR="00462E4E">
        <w:rPr>
          <w:lang w:val="fr-CH"/>
        </w:rPr>
        <w:t>'</w:t>
      </w:r>
      <w:r w:rsidRPr="00A52606">
        <w:rPr>
          <w:lang w:val="fr-CH"/>
        </w:rPr>
        <w:t xml:space="preserve">exécution du budget 2025 aux initiatives régionales approuvées par la </w:t>
      </w:r>
      <w:proofErr w:type="spellStart"/>
      <w:r w:rsidRPr="00A52606">
        <w:rPr>
          <w:lang w:val="fr-CH"/>
        </w:rPr>
        <w:t>CMDT</w:t>
      </w:r>
      <w:proofErr w:type="spellEnd"/>
      <w:r w:rsidRPr="00A52606">
        <w:rPr>
          <w:lang w:val="fr-CH"/>
        </w:rPr>
        <w:t>-25</w:t>
      </w:r>
      <w:r>
        <w:rPr>
          <w:lang w:val="fr-CH"/>
        </w:rPr>
        <w:t>.</w:t>
      </w:r>
    </w:p>
    <w:p w14:paraId="31E5EFE4" w14:textId="5ABD56B2" w:rsidR="00DB2EB3" w:rsidRPr="00BE247A" w:rsidRDefault="00DB2EB3" w:rsidP="00702DE0">
      <w:pPr>
        <w:pStyle w:val="Heading1"/>
        <w:rPr>
          <w:lang w:val="fr-CH"/>
        </w:rPr>
      </w:pPr>
      <w:bookmarkStart w:id="1" w:name="_Hlk163251339"/>
      <w:r>
        <w:rPr>
          <w:bCs/>
        </w:rPr>
        <w:t>2</w:t>
      </w:r>
      <w:r>
        <w:tab/>
      </w:r>
      <w:r>
        <w:rPr>
          <w:bCs/>
        </w:rPr>
        <w:t xml:space="preserve">Incidences budgétaires des </w:t>
      </w:r>
      <w:r w:rsidR="00913A9D">
        <w:rPr>
          <w:bCs/>
        </w:rPr>
        <w:t>R</w:t>
      </w:r>
      <w:r>
        <w:rPr>
          <w:bCs/>
        </w:rPr>
        <w:t xml:space="preserve">ésolutions de la </w:t>
      </w:r>
      <w:proofErr w:type="spellStart"/>
      <w:r w:rsidRPr="00FE0765">
        <w:rPr>
          <w:bCs/>
        </w:rPr>
        <w:t>CMDT</w:t>
      </w:r>
      <w:proofErr w:type="spellEnd"/>
      <w:r w:rsidRPr="00FE0765">
        <w:rPr>
          <w:bCs/>
        </w:rPr>
        <w:t>-25</w:t>
      </w:r>
    </w:p>
    <w:bookmarkEnd w:id="1"/>
    <w:p w14:paraId="5D30C037" w14:textId="05D849EA" w:rsidR="00DB2EB3" w:rsidRPr="00BE247A" w:rsidRDefault="00DB2EB3" w:rsidP="00F11D6D">
      <w:pPr>
        <w:jc w:val="both"/>
        <w:rPr>
          <w:lang w:val="fr-CH"/>
        </w:rPr>
      </w:pPr>
      <w:r w:rsidRPr="00FE0765">
        <w:rPr>
          <w:lang w:val="fr-CH"/>
        </w:rPr>
        <w:t>2.1</w:t>
      </w:r>
      <w:r w:rsidRPr="00FE0765">
        <w:rPr>
          <w:lang w:val="fr-CH"/>
        </w:rPr>
        <w:tab/>
      </w:r>
      <w:r>
        <w:rPr>
          <w:lang w:val="fr-CH"/>
        </w:rPr>
        <w:t xml:space="preserve">La </w:t>
      </w:r>
      <w:proofErr w:type="spellStart"/>
      <w:r w:rsidRPr="00FE0765">
        <w:rPr>
          <w:lang w:val="fr-CH"/>
        </w:rPr>
        <w:t>CMDT</w:t>
      </w:r>
      <w:proofErr w:type="spellEnd"/>
      <w:r w:rsidRPr="00FE0765">
        <w:rPr>
          <w:lang w:val="fr-CH"/>
        </w:rPr>
        <w:t>-2</w:t>
      </w:r>
      <w:r>
        <w:rPr>
          <w:lang w:val="fr-CH"/>
        </w:rPr>
        <w:t>5</w:t>
      </w:r>
      <w:r w:rsidRPr="00FE0765">
        <w:rPr>
          <w:lang w:val="fr-CH"/>
        </w:rPr>
        <w:t xml:space="preserve"> a révisé 4</w:t>
      </w:r>
      <w:r>
        <w:rPr>
          <w:lang w:val="fr-CH"/>
        </w:rPr>
        <w:t>4</w:t>
      </w:r>
      <w:r w:rsidRPr="00FE0765">
        <w:rPr>
          <w:lang w:val="fr-CH"/>
        </w:rPr>
        <w:t xml:space="preserve"> </w:t>
      </w:r>
      <w:r w:rsidR="002673D9">
        <w:rPr>
          <w:lang w:val="fr-CH"/>
        </w:rPr>
        <w:t>R</w:t>
      </w:r>
      <w:r w:rsidRPr="00FE0765">
        <w:rPr>
          <w:lang w:val="fr-CH"/>
        </w:rPr>
        <w:t xml:space="preserve">ésolutions existantes de la </w:t>
      </w:r>
      <w:proofErr w:type="spellStart"/>
      <w:r w:rsidRPr="00FE0765">
        <w:rPr>
          <w:lang w:val="fr-CH"/>
        </w:rPr>
        <w:t>CMDT</w:t>
      </w:r>
      <w:proofErr w:type="spellEnd"/>
      <w:r w:rsidRPr="00FE0765">
        <w:rPr>
          <w:lang w:val="fr-CH"/>
        </w:rPr>
        <w:t>, afin de faire en sorte que les activités de l</w:t>
      </w:r>
      <w:r w:rsidR="00462E4E">
        <w:rPr>
          <w:lang w:val="fr-CH"/>
        </w:rPr>
        <w:t>'</w:t>
      </w:r>
      <w:r w:rsidRPr="00FE0765">
        <w:rPr>
          <w:lang w:val="fr-CH"/>
        </w:rPr>
        <w:t>UIT-D demeurent en phase avec les besoins des membres de l</w:t>
      </w:r>
      <w:r w:rsidR="00462E4E">
        <w:rPr>
          <w:lang w:val="fr-CH"/>
        </w:rPr>
        <w:t>'</w:t>
      </w:r>
      <w:r w:rsidRPr="00FE0765">
        <w:rPr>
          <w:lang w:val="fr-CH"/>
        </w:rPr>
        <w:t>UIT. La</w:t>
      </w:r>
      <w:r w:rsidR="00702DE0">
        <w:rPr>
          <w:lang w:val="fr-CH"/>
        </w:rPr>
        <w:t> </w:t>
      </w:r>
      <w:r w:rsidRPr="00FE0765">
        <w:rPr>
          <w:lang w:val="fr-CH"/>
        </w:rPr>
        <w:t xml:space="preserve">Conférence </w:t>
      </w:r>
      <w:r w:rsidRPr="00FE0765">
        <w:rPr>
          <w:lang w:val="fr-CH"/>
        </w:rPr>
        <w:lastRenderedPageBreak/>
        <w:t xml:space="preserve">a également élaboré quatre (4) nouvelles Résolutions. La Commission de contrôle budgétaire a identifié les coûts des </w:t>
      </w:r>
      <w:r w:rsidR="00913A9D">
        <w:rPr>
          <w:lang w:val="fr-CH"/>
        </w:rPr>
        <w:t>R</w:t>
      </w:r>
      <w:r>
        <w:rPr>
          <w:lang w:val="fr-CH"/>
        </w:rPr>
        <w:t>ésolutions</w:t>
      </w:r>
      <w:r w:rsidRPr="00FE0765">
        <w:rPr>
          <w:lang w:val="fr-CH"/>
        </w:rPr>
        <w:t xml:space="preserve"> de la </w:t>
      </w:r>
      <w:proofErr w:type="spellStart"/>
      <w:r w:rsidRPr="00FE0765">
        <w:rPr>
          <w:lang w:val="fr-CH"/>
        </w:rPr>
        <w:t>CMDT</w:t>
      </w:r>
      <w:proofErr w:type="spellEnd"/>
      <w:r w:rsidRPr="00FE0765">
        <w:rPr>
          <w:lang w:val="fr-CH"/>
        </w:rPr>
        <w:t>-2</w:t>
      </w:r>
      <w:r>
        <w:rPr>
          <w:lang w:val="fr-CH"/>
        </w:rPr>
        <w:t>5</w:t>
      </w:r>
      <w:r w:rsidRPr="00FE0765">
        <w:rPr>
          <w:lang w:val="fr-CH"/>
        </w:rPr>
        <w:t xml:space="preserve"> pour ce qui est des ressources nécessaires</w:t>
      </w:r>
      <w:r>
        <w:rPr>
          <w:lang w:val="fr-CH"/>
        </w:rPr>
        <w:t xml:space="preserve"> à l</w:t>
      </w:r>
      <w:r w:rsidR="00462E4E">
        <w:rPr>
          <w:lang w:val="fr-CH"/>
        </w:rPr>
        <w:t>'</w:t>
      </w:r>
      <w:r>
        <w:rPr>
          <w:lang w:val="fr-CH"/>
        </w:rPr>
        <w:t xml:space="preserve">application des </w:t>
      </w:r>
      <w:r w:rsidR="00913A9D">
        <w:rPr>
          <w:lang w:val="fr-CH"/>
        </w:rPr>
        <w:t>R</w:t>
      </w:r>
      <w:r>
        <w:rPr>
          <w:lang w:val="fr-CH"/>
        </w:rPr>
        <w:t xml:space="preserve">ésolutions nouvelles et modifiées. </w:t>
      </w:r>
      <w:r>
        <w:t xml:space="preserve">Le </w:t>
      </w:r>
      <w:r w:rsidR="006768F1">
        <w:t>t</w:t>
      </w:r>
      <w:r>
        <w:t>ableau ci</w:t>
      </w:r>
      <w:r w:rsidR="000E3B98">
        <w:noBreakHyphen/>
      </w:r>
      <w:r>
        <w:t xml:space="preserve">après décrit en détail les incidences financières </w:t>
      </w:r>
      <w:r w:rsidRPr="006D35F9">
        <w:t xml:space="preserve">de la </w:t>
      </w:r>
      <w:proofErr w:type="spellStart"/>
      <w:r w:rsidRPr="006D35F9">
        <w:t>CMDT</w:t>
      </w:r>
      <w:proofErr w:type="spellEnd"/>
      <w:r w:rsidRPr="006D35F9">
        <w:t xml:space="preserve">-25 </w:t>
      </w:r>
      <w:r>
        <w:t>s</w:t>
      </w:r>
      <w:r w:rsidR="00462E4E">
        <w:t>'</w:t>
      </w:r>
      <w:r>
        <w:t>agissant à la fois des coûts uniques et des coûts annuels récurrents.</w:t>
      </w:r>
    </w:p>
    <w:p w14:paraId="324AD546" w14:textId="73648502" w:rsidR="00DB2EB3" w:rsidRPr="006D35F9" w:rsidRDefault="00DB2EB3" w:rsidP="00F11D6D">
      <w:pPr>
        <w:jc w:val="both"/>
        <w:rPr>
          <w:lang w:val="fr-CH"/>
        </w:rPr>
      </w:pPr>
      <w:r w:rsidRPr="004E689F">
        <w:rPr>
          <w:lang w:val="fr-CH"/>
        </w:rPr>
        <w:t>2.2</w:t>
      </w:r>
      <w:r w:rsidRPr="004E689F">
        <w:rPr>
          <w:lang w:val="fr-CH"/>
        </w:rPr>
        <w:tab/>
        <w:t xml:space="preserve">Les textes suivants ayant des incidences financières </w:t>
      </w:r>
      <w:r>
        <w:rPr>
          <w:lang w:val="fr-CH"/>
        </w:rPr>
        <w:t xml:space="preserve">ont été adoptés par la </w:t>
      </w:r>
      <w:proofErr w:type="spellStart"/>
      <w:r w:rsidRPr="004E689F">
        <w:rPr>
          <w:lang w:val="fr-CH"/>
        </w:rPr>
        <w:t>CMDT</w:t>
      </w:r>
      <w:proofErr w:type="spellEnd"/>
      <w:r w:rsidRPr="004E689F">
        <w:rPr>
          <w:lang w:val="fr-CH"/>
        </w:rPr>
        <w:t>-</w:t>
      </w:r>
      <w:proofErr w:type="gramStart"/>
      <w:r w:rsidRPr="004E689F">
        <w:rPr>
          <w:lang w:val="fr-CH"/>
        </w:rPr>
        <w:t>25</w:t>
      </w:r>
      <w:r>
        <w:rPr>
          <w:lang w:val="fr-CH"/>
        </w:rPr>
        <w:t>:</w:t>
      </w:r>
      <w:proofErr w:type="gramEnd"/>
      <w:r>
        <w:rPr>
          <w:lang w:val="fr-CH"/>
        </w:rPr>
        <w:t xml:space="preserve"> la</w:t>
      </w:r>
      <w:r w:rsidR="00702DE0">
        <w:rPr>
          <w:lang w:val="fr-CH"/>
        </w:rPr>
        <w:t> </w:t>
      </w:r>
      <w:r>
        <w:rPr>
          <w:lang w:val="fr-CH"/>
        </w:rPr>
        <w:t xml:space="preserve">nouvelle </w:t>
      </w:r>
      <w:r w:rsidRPr="004E689F">
        <w:rPr>
          <w:lang w:val="fr-CH"/>
        </w:rPr>
        <w:t>Résolution 91 (Bakou, 2025)</w:t>
      </w:r>
      <w:r>
        <w:rPr>
          <w:lang w:val="fr-CH"/>
        </w:rPr>
        <w:t>,</w:t>
      </w:r>
      <w:r w:rsidRPr="004E689F">
        <w:rPr>
          <w:lang w:val="fr-CH"/>
        </w:rPr>
        <w:t xml:space="preserve"> et cinq </w:t>
      </w:r>
      <w:r w:rsidR="005A5813">
        <w:rPr>
          <w:lang w:val="fr-CH"/>
        </w:rPr>
        <w:t xml:space="preserve">(5) </w:t>
      </w:r>
      <w:r w:rsidR="00913A9D">
        <w:rPr>
          <w:lang w:val="fr-CH"/>
        </w:rPr>
        <w:t>R</w:t>
      </w:r>
      <w:r w:rsidRPr="004E689F">
        <w:rPr>
          <w:lang w:val="fr-CH"/>
        </w:rPr>
        <w:t xml:space="preserve">ésolutions révisées. </w:t>
      </w:r>
      <w:r w:rsidRPr="006D35F9">
        <w:rPr>
          <w:lang w:val="fr-CH"/>
        </w:rPr>
        <w:t xml:space="preserve">Les </w:t>
      </w:r>
      <w:r>
        <w:rPr>
          <w:lang w:val="fr-CH"/>
        </w:rPr>
        <w:t>textes issus de</w:t>
      </w:r>
      <w:r w:rsidRPr="006D35F9">
        <w:rPr>
          <w:lang w:val="fr-CH"/>
        </w:rPr>
        <w:t xml:space="preserve"> la </w:t>
      </w:r>
      <w:proofErr w:type="spellStart"/>
      <w:r w:rsidRPr="006D35F9">
        <w:rPr>
          <w:lang w:val="fr-CH"/>
        </w:rPr>
        <w:t>CMDT</w:t>
      </w:r>
      <w:proofErr w:type="spellEnd"/>
      <w:r w:rsidR="002673D9">
        <w:rPr>
          <w:lang w:val="fr-CH"/>
        </w:rPr>
        <w:noBreakHyphen/>
      </w:r>
      <w:r w:rsidRPr="006D35F9">
        <w:rPr>
          <w:lang w:val="fr-CH"/>
        </w:rPr>
        <w:t>25 seront mis en œuvre au moyen du budget ordinaire, ainsi que de fonds extrabudgétaires reçus par l</w:t>
      </w:r>
      <w:r w:rsidR="00462E4E">
        <w:rPr>
          <w:lang w:val="fr-CH"/>
        </w:rPr>
        <w:t>'</w:t>
      </w:r>
      <w:r w:rsidRPr="006D35F9">
        <w:rPr>
          <w:lang w:val="fr-CH"/>
        </w:rPr>
        <w:t xml:space="preserve">intermédiaire de projets et de contributions volontaires. Un </w:t>
      </w:r>
      <w:hyperlink r:id="rId14" w:tgtFrame="_blank" w:history="1">
        <w:r w:rsidRPr="00AB698D">
          <w:rPr>
            <w:rStyle w:val="Hyperlink"/>
          </w:rPr>
          <w:t>rapport</w:t>
        </w:r>
      </w:hyperlink>
      <w:r>
        <w:rPr>
          <w:lang w:val="fr-CH"/>
        </w:rPr>
        <w:t xml:space="preserve"> </w:t>
      </w:r>
      <w:r w:rsidRPr="006D35F9">
        <w:rPr>
          <w:lang w:val="fr-CH"/>
        </w:rPr>
        <w:t xml:space="preserve">distinct sur les incidences financières des </w:t>
      </w:r>
      <w:r w:rsidR="00913A9D">
        <w:rPr>
          <w:lang w:val="fr-CH"/>
        </w:rPr>
        <w:t>R</w:t>
      </w:r>
      <w:r w:rsidRPr="006D35F9">
        <w:rPr>
          <w:lang w:val="fr-CH"/>
        </w:rPr>
        <w:t xml:space="preserve">ésolutions adoptées par la </w:t>
      </w:r>
      <w:proofErr w:type="spellStart"/>
      <w:r w:rsidRPr="006D35F9">
        <w:rPr>
          <w:lang w:val="fr-CH"/>
        </w:rPr>
        <w:t>CMDT</w:t>
      </w:r>
      <w:proofErr w:type="spellEnd"/>
      <w:r w:rsidRPr="006D35F9">
        <w:rPr>
          <w:lang w:val="fr-CH"/>
        </w:rPr>
        <w:t xml:space="preserve">-25 a été présenté à la session de 2026 du Groupe consultatif </w:t>
      </w:r>
      <w:r>
        <w:rPr>
          <w:lang w:val="fr-CH"/>
        </w:rPr>
        <w:t>pour</w:t>
      </w:r>
      <w:r w:rsidRPr="006D35F9">
        <w:rPr>
          <w:lang w:val="fr-CH"/>
        </w:rPr>
        <w:t xml:space="preserve"> le développement des télécommunications (</w:t>
      </w:r>
      <w:proofErr w:type="spellStart"/>
      <w:r w:rsidRPr="006D35F9">
        <w:rPr>
          <w:lang w:val="fr-CH"/>
        </w:rPr>
        <w:t>GCDT</w:t>
      </w:r>
      <w:proofErr w:type="spellEnd"/>
      <w:r w:rsidRPr="006D35F9">
        <w:rPr>
          <w:lang w:val="fr-CH"/>
        </w:rPr>
        <w:t>-26)</w:t>
      </w:r>
      <w:r>
        <w:rPr>
          <w:lang w:val="fr-CH"/>
        </w:rPr>
        <w:t>.</w:t>
      </w:r>
      <w:hyperlink r:id="rId15" w:tgtFrame="_blank" w:history="1"/>
    </w:p>
    <w:p w14:paraId="7BE4A95B" w14:textId="0CA8F1BB" w:rsidR="00DB2EB3" w:rsidRPr="004E689F" w:rsidRDefault="00DB2EB3" w:rsidP="00F11D6D">
      <w:pPr>
        <w:jc w:val="both"/>
        <w:rPr>
          <w:lang w:val="fr-CH"/>
        </w:rPr>
      </w:pPr>
      <w:r w:rsidRPr="004E689F">
        <w:rPr>
          <w:lang w:val="fr-CH"/>
        </w:rPr>
        <w:t>2.3</w:t>
      </w:r>
      <w:r w:rsidRPr="004E689F">
        <w:rPr>
          <w:lang w:val="fr-CH"/>
        </w:rPr>
        <w:tab/>
        <w:t xml:space="preserve">Les sources suivantes peuvent être envisagées pour financer les coûts </w:t>
      </w:r>
      <w:r>
        <w:rPr>
          <w:lang w:val="fr-CH"/>
        </w:rPr>
        <w:t>de la</w:t>
      </w:r>
      <w:r w:rsidRPr="004E689F">
        <w:rPr>
          <w:lang w:val="fr-CH"/>
        </w:rPr>
        <w:t xml:space="preserve"> mise en œuvre des décisions de la </w:t>
      </w:r>
      <w:proofErr w:type="spellStart"/>
      <w:proofErr w:type="gramStart"/>
      <w:r w:rsidRPr="004E689F">
        <w:rPr>
          <w:lang w:val="fr-CH"/>
        </w:rPr>
        <w:t>CMDT</w:t>
      </w:r>
      <w:proofErr w:type="spellEnd"/>
      <w:r w:rsidRPr="004E689F">
        <w:rPr>
          <w:lang w:val="fr-CH"/>
        </w:rPr>
        <w:t>:</w:t>
      </w:r>
      <w:proofErr w:type="gramEnd"/>
    </w:p>
    <w:p w14:paraId="0E41FA7A" w14:textId="500A9EFF" w:rsidR="00DB2EB3" w:rsidRPr="004E689F" w:rsidRDefault="00DB2EB3" w:rsidP="00F11D6D">
      <w:pPr>
        <w:pStyle w:val="enumlev1"/>
        <w:jc w:val="both"/>
        <w:rPr>
          <w:lang w:val="fr-CH"/>
        </w:rPr>
      </w:pPr>
      <w:r w:rsidRPr="004E689F">
        <w:rPr>
          <w:lang w:val="fr-CH"/>
        </w:rPr>
        <w:t>–</w:t>
      </w:r>
      <w:r w:rsidRPr="004E689F">
        <w:rPr>
          <w:lang w:val="fr-CH"/>
        </w:rPr>
        <w:tab/>
        <w:t>économies réalisées sur le financement fourni par le pays hôte pour l</w:t>
      </w:r>
      <w:r w:rsidR="00462E4E">
        <w:rPr>
          <w:lang w:val="fr-CH"/>
        </w:rPr>
        <w:t>'</w:t>
      </w:r>
      <w:r w:rsidRPr="004E689F">
        <w:rPr>
          <w:lang w:val="fr-CH"/>
        </w:rPr>
        <w:t xml:space="preserve">organisation de </w:t>
      </w:r>
      <w:r>
        <w:rPr>
          <w:lang w:val="fr-CH"/>
        </w:rPr>
        <w:t>la conférence</w:t>
      </w:r>
      <w:r w:rsidRPr="004E689F">
        <w:rPr>
          <w:lang w:val="fr-CH"/>
        </w:rPr>
        <w:t>, sous réserve de l</w:t>
      </w:r>
      <w:r w:rsidR="00462E4E">
        <w:rPr>
          <w:lang w:val="fr-CH"/>
        </w:rPr>
        <w:t>'</w:t>
      </w:r>
      <w:r w:rsidRPr="004E689F">
        <w:rPr>
          <w:lang w:val="fr-CH"/>
        </w:rPr>
        <w:t xml:space="preserve">accord du pays </w:t>
      </w:r>
      <w:proofErr w:type="gramStart"/>
      <w:r w:rsidRPr="004E689F">
        <w:rPr>
          <w:lang w:val="fr-CH"/>
        </w:rPr>
        <w:t>hôte</w:t>
      </w:r>
      <w:r>
        <w:rPr>
          <w:lang w:val="fr-CH"/>
        </w:rPr>
        <w:t>;</w:t>
      </w:r>
      <w:proofErr w:type="gramEnd"/>
    </w:p>
    <w:p w14:paraId="1432DBE3" w14:textId="77777777" w:rsidR="00DB2EB3" w:rsidRPr="00713B26" w:rsidRDefault="00DB2EB3" w:rsidP="00F11D6D">
      <w:pPr>
        <w:pStyle w:val="enumlev1"/>
        <w:jc w:val="both"/>
      </w:pPr>
      <w:r w:rsidRPr="00713B26">
        <w:t>–</w:t>
      </w:r>
      <w:r w:rsidRPr="00713B26">
        <w:tab/>
        <w:t xml:space="preserve">contributions </w:t>
      </w:r>
      <w:proofErr w:type="gramStart"/>
      <w:r w:rsidRPr="00713B26">
        <w:t>volontaires;</w:t>
      </w:r>
      <w:proofErr w:type="gramEnd"/>
    </w:p>
    <w:p w14:paraId="7E2A4477" w14:textId="77777777" w:rsidR="00DB2EB3" w:rsidRPr="000E4183" w:rsidRDefault="00DB2EB3" w:rsidP="00F11D6D">
      <w:pPr>
        <w:pStyle w:val="enumlev1"/>
        <w:jc w:val="both"/>
        <w:rPr>
          <w:lang w:val="fr-CH"/>
        </w:rPr>
      </w:pPr>
      <w:r w:rsidRPr="000E4183">
        <w:rPr>
          <w:lang w:val="fr-CH"/>
        </w:rPr>
        <w:t>–</w:t>
      </w:r>
      <w:r w:rsidRPr="000E4183">
        <w:rPr>
          <w:lang w:val="fr-CH"/>
        </w:rPr>
        <w:tab/>
        <w:t xml:space="preserve">crédits budgétaires additionnels au titre du budget ordinaire, sous réserve </w:t>
      </w:r>
      <w:r>
        <w:rPr>
          <w:lang w:val="fr-CH"/>
        </w:rPr>
        <w:t xml:space="preserve">des </w:t>
      </w:r>
      <w:r w:rsidRPr="000E4183">
        <w:rPr>
          <w:lang w:val="fr-CH"/>
        </w:rPr>
        <w:t>recettes additionnelles qui auront été déterminées.</w:t>
      </w:r>
    </w:p>
    <w:p w14:paraId="3691817E" w14:textId="0FDA93DD" w:rsidR="00DB2EB3" w:rsidRPr="000E4183" w:rsidRDefault="00DB2EB3" w:rsidP="00F11D6D">
      <w:pPr>
        <w:jc w:val="both"/>
        <w:rPr>
          <w:lang w:val="fr-CH"/>
        </w:rPr>
      </w:pPr>
      <w:r>
        <w:t>2.4</w:t>
      </w:r>
      <w:r>
        <w:tab/>
      </w:r>
      <w:r w:rsidRPr="000E4183">
        <w:t xml:space="preserve">En résumé, les dépenses supplémentaires engendrées par les différentes Résolutions de la </w:t>
      </w:r>
      <w:proofErr w:type="spellStart"/>
      <w:r w:rsidRPr="000E4183">
        <w:t>CMDT</w:t>
      </w:r>
      <w:proofErr w:type="spellEnd"/>
      <w:r w:rsidRPr="000E4183">
        <w:t>-25 sont estimées à 4</w:t>
      </w:r>
      <w:r w:rsidR="002673D9">
        <w:t> </w:t>
      </w:r>
      <w:r w:rsidRPr="000E4183">
        <w:t>208 millions CHF pour la période de quatre ans.</w:t>
      </w:r>
    </w:p>
    <w:p w14:paraId="072186C9" w14:textId="4E637C1E" w:rsidR="00DB2EB3" w:rsidRPr="00BE247A" w:rsidRDefault="00DB2EB3" w:rsidP="00F11D6D">
      <w:pPr>
        <w:jc w:val="both"/>
        <w:rPr>
          <w:lang w:val="fr-CH"/>
        </w:rPr>
      </w:pPr>
      <w:r w:rsidRPr="000E4183">
        <w:rPr>
          <w:lang w:val="fr-CH"/>
        </w:rPr>
        <w:t>2.5</w:t>
      </w:r>
      <w:r w:rsidRPr="000E4183">
        <w:rPr>
          <w:lang w:val="fr-CH"/>
        </w:rPr>
        <w:tab/>
      </w:r>
      <w:r>
        <w:rPr>
          <w:lang w:val="fr-CH"/>
        </w:rPr>
        <w:t xml:space="preserve">La </w:t>
      </w:r>
      <w:r w:rsidRPr="000E4183">
        <w:rPr>
          <w:lang w:val="fr-CH"/>
        </w:rPr>
        <w:t>méthode d</w:t>
      </w:r>
      <w:r w:rsidR="00462E4E">
        <w:rPr>
          <w:lang w:val="fr-CH"/>
        </w:rPr>
        <w:t>'</w:t>
      </w:r>
      <w:r w:rsidRPr="000E4183">
        <w:rPr>
          <w:lang w:val="fr-CH"/>
        </w:rPr>
        <w:t xml:space="preserve">estimation des coûts </w:t>
      </w:r>
      <w:r>
        <w:rPr>
          <w:lang w:val="fr-CH"/>
        </w:rPr>
        <w:t>a</w:t>
      </w:r>
      <w:r w:rsidRPr="000E4183">
        <w:rPr>
          <w:lang w:val="fr-CH"/>
        </w:rPr>
        <w:t xml:space="preserve"> été présentée lors de deux réunions du </w:t>
      </w:r>
      <w:proofErr w:type="spellStart"/>
      <w:r w:rsidRPr="000E4183">
        <w:rPr>
          <w:lang w:val="fr-CH"/>
        </w:rPr>
        <w:t>GTC-FHR</w:t>
      </w:r>
      <w:proofErr w:type="spellEnd"/>
      <w:r w:rsidRPr="000E4183">
        <w:rPr>
          <w:lang w:val="fr-CH"/>
        </w:rPr>
        <w:t xml:space="preserve"> en</w:t>
      </w:r>
      <w:r w:rsidR="000E3B98">
        <w:rPr>
          <w:lang w:val="fr-CH"/>
        </w:rPr>
        <w:t> </w:t>
      </w:r>
      <w:r w:rsidRPr="000E4183">
        <w:rPr>
          <w:lang w:val="fr-CH"/>
        </w:rPr>
        <w:t xml:space="preserve">2025. </w:t>
      </w:r>
      <w:r>
        <w:t>Le Secrétariat continuera de collaborer étroitement avec les membres afin d</w:t>
      </w:r>
      <w:r w:rsidR="00462E4E">
        <w:t>'</w:t>
      </w:r>
      <w:r>
        <w:t>améliorer encore les méthodes de calcul et la cohérence des estimations.</w:t>
      </w:r>
    </w:p>
    <w:p w14:paraId="2C3C6F7D" w14:textId="761A88B3" w:rsidR="00DB2EB3" w:rsidRPr="00624405" w:rsidRDefault="00DB2EB3" w:rsidP="00F11D6D">
      <w:pPr>
        <w:jc w:val="both"/>
      </w:pPr>
      <w:r>
        <w:t>2.6</w:t>
      </w:r>
      <w:r>
        <w:tab/>
        <w:t xml:space="preserve">Il a été demandé à la Commission 2 de la </w:t>
      </w:r>
      <w:proofErr w:type="spellStart"/>
      <w:r>
        <w:t>CMDT</w:t>
      </w:r>
      <w:proofErr w:type="spellEnd"/>
      <w:r>
        <w:t xml:space="preserve"> que le BDT collabore avec les autres Bureaux (en particulier, le Bureau de la normalisation des télécommunications (TSB)) afin d</w:t>
      </w:r>
      <w:r w:rsidR="00462E4E">
        <w:t>'</w:t>
      </w:r>
      <w:r>
        <w:t xml:space="preserve">éviter tout chevauchement dans la mise en œuvre des Résolutions. </w:t>
      </w:r>
      <w:r w:rsidRPr="000E4183">
        <w:rPr>
          <w:lang w:val="fr-CH"/>
        </w:rPr>
        <w:t>Cette collaboration entre le</w:t>
      </w:r>
      <w:r>
        <w:rPr>
          <w:lang w:val="fr-CH"/>
        </w:rPr>
        <w:t>s Secteurs</w:t>
      </w:r>
      <w:r w:rsidRPr="000E4183">
        <w:rPr>
          <w:lang w:val="fr-CH"/>
        </w:rPr>
        <w:t xml:space="preserve"> contribuer</w:t>
      </w:r>
      <w:r>
        <w:rPr>
          <w:lang w:val="fr-CH"/>
        </w:rPr>
        <w:t>a</w:t>
      </w:r>
      <w:r w:rsidRPr="000E4183">
        <w:rPr>
          <w:lang w:val="fr-CH"/>
        </w:rPr>
        <w:t xml:space="preserve"> à réduire les incidences financières</w:t>
      </w:r>
      <w:r>
        <w:rPr>
          <w:lang w:val="fr-CH"/>
        </w:rPr>
        <w:t xml:space="preserve"> et permettra de continuer d</w:t>
      </w:r>
      <w:r w:rsidR="00462E4E">
        <w:rPr>
          <w:lang w:val="fr-CH"/>
        </w:rPr>
        <w:t>'</w:t>
      </w:r>
      <w:r>
        <w:rPr>
          <w:lang w:val="fr-CH"/>
        </w:rPr>
        <w:t xml:space="preserve">assurer une plus grande efficacité dans </w:t>
      </w:r>
      <w:r w:rsidRPr="006E194F">
        <w:rPr>
          <w:lang w:val="fr-CH"/>
        </w:rPr>
        <w:t>la mise en œuvre de certaines Résolution</w:t>
      </w:r>
      <w:r>
        <w:rPr>
          <w:lang w:val="fr-CH"/>
        </w:rPr>
        <w:t>s</w:t>
      </w:r>
      <w:r w:rsidRPr="000E4183">
        <w:rPr>
          <w:lang w:val="fr-CH"/>
        </w:rPr>
        <w:t>.</w:t>
      </w:r>
    </w:p>
    <w:p w14:paraId="258DD72B" w14:textId="77777777" w:rsidR="00DB2EB3" w:rsidRPr="00BE247A" w:rsidRDefault="00DB2EB3" w:rsidP="00F11D6D">
      <w:pPr>
        <w:jc w:val="both"/>
        <w:rPr>
          <w:lang w:val="fr-CH"/>
        </w:rPr>
      </w:pPr>
      <w:r>
        <w:t>2.7</w:t>
      </w:r>
      <w:r>
        <w:tab/>
        <w:t xml:space="preserve">La Présidente du </w:t>
      </w:r>
      <w:proofErr w:type="spellStart"/>
      <w:r>
        <w:t>GTC-FHR</w:t>
      </w:r>
      <w:proofErr w:type="spellEnd"/>
      <w:r>
        <w:t>, ayant constaté un excédent dans la situation financière de la Conférence, a proposé que cet excédent soit affecté à la mise en œuvre des Résolutions ayant des incidences financières approuvées lors de cette Conférence.</w:t>
      </w:r>
    </w:p>
    <w:p w14:paraId="4D844E68" w14:textId="20210CDA" w:rsidR="00DB2EB3" w:rsidRPr="006E194F" w:rsidRDefault="00DB2EB3" w:rsidP="00F11D6D">
      <w:pPr>
        <w:jc w:val="both"/>
        <w:rPr>
          <w:lang w:val="fr-CH"/>
        </w:rPr>
      </w:pPr>
      <w:r w:rsidRPr="00D043EC">
        <w:rPr>
          <w:lang w:val="fr-CH"/>
        </w:rPr>
        <w:t>2.8</w:t>
      </w:r>
      <w:r w:rsidRPr="00D043EC">
        <w:rPr>
          <w:lang w:val="fr-CH"/>
        </w:rPr>
        <w:tab/>
      </w:r>
      <w:r w:rsidRPr="006E194F">
        <w:rPr>
          <w:lang w:val="fr-CH"/>
        </w:rPr>
        <w:t xml:space="preserve">Le Secrétariat invite les États </w:t>
      </w:r>
      <w:r w:rsidR="000E3B98">
        <w:rPr>
          <w:lang w:val="fr-CH"/>
        </w:rPr>
        <w:t>M</w:t>
      </w:r>
      <w:r w:rsidRPr="006E194F">
        <w:rPr>
          <w:lang w:val="fr-CH"/>
        </w:rPr>
        <w:t xml:space="preserve">embres à verser des contributions volontaires </w:t>
      </w:r>
      <w:r>
        <w:rPr>
          <w:lang w:val="fr-CH"/>
        </w:rPr>
        <w:t>pour</w:t>
      </w:r>
      <w:r w:rsidRPr="006E194F">
        <w:rPr>
          <w:lang w:val="fr-CH"/>
        </w:rPr>
        <w:t xml:space="preserve"> soutenir la mise en œuvre des </w:t>
      </w:r>
      <w:r w:rsidR="00913A9D">
        <w:rPr>
          <w:lang w:val="fr-CH"/>
        </w:rPr>
        <w:t>R</w:t>
      </w:r>
      <w:r w:rsidRPr="006E194F">
        <w:rPr>
          <w:lang w:val="fr-CH"/>
        </w:rPr>
        <w:t xml:space="preserve">ésolutions de la </w:t>
      </w:r>
      <w:proofErr w:type="spellStart"/>
      <w:r w:rsidRPr="006E194F">
        <w:rPr>
          <w:lang w:val="fr-CH"/>
        </w:rPr>
        <w:t>CMDT</w:t>
      </w:r>
      <w:proofErr w:type="spellEnd"/>
      <w:r w:rsidRPr="006E194F">
        <w:rPr>
          <w:lang w:val="fr-CH"/>
        </w:rPr>
        <w:t xml:space="preserve"> et à </w:t>
      </w:r>
      <w:r>
        <w:rPr>
          <w:lang w:val="fr-CH"/>
        </w:rPr>
        <w:t xml:space="preserve">donner leur avis </w:t>
      </w:r>
      <w:r w:rsidRPr="006E194F">
        <w:rPr>
          <w:lang w:val="fr-CH"/>
        </w:rPr>
        <w:t xml:space="preserve">concernant </w:t>
      </w:r>
      <w:r>
        <w:rPr>
          <w:lang w:val="fr-CH"/>
        </w:rPr>
        <w:t xml:space="preserve">les </w:t>
      </w:r>
      <w:r w:rsidRPr="006E194F">
        <w:rPr>
          <w:lang w:val="fr-CH"/>
        </w:rPr>
        <w:t>sources de recettes supplémentaires. Le Secrétariat s</w:t>
      </w:r>
      <w:r w:rsidR="00462E4E">
        <w:rPr>
          <w:lang w:val="fr-CH"/>
        </w:rPr>
        <w:t>'</w:t>
      </w:r>
      <w:r w:rsidRPr="006E194F">
        <w:rPr>
          <w:lang w:val="fr-CH"/>
        </w:rPr>
        <w:t xml:space="preserve">efforcera de présenter au Conseil une recommandation sur le financement du solde des coûts, sous réserve </w:t>
      </w:r>
      <w:r>
        <w:rPr>
          <w:lang w:val="fr-CH"/>
        </w:rPr>
        <w:t xml:space="preserve">que les </w:t>
      </w:r>
      <w:r w:rsidRPr="006E194F">
        <w:rPr>
          <w:lang w:val="fr-CH"/>
        </w:rPr>
        <w:t xml:space="preserve">sources </w:t>
      </w:r>
      <w:r w:rsidRPr="00D043EC">
        <w:rPr>
          <w:lang w:val="fr-CH"/>
        </w:rPr>
        <w:t xml:space="preserve">correspondantes </w:t>
      </w:r>
      <w:r w:rsidRPr="006E194F">
        <w:rPr>
          <w:lang w:val="fr-CH"/>
        </w:rPr>
        <w:t>de recettes ou d</w:t>
      </w:r>
      <w:r w:rsidR="00462E4E">
        <w:rPr>
          <w:lang w:val="fr-CH"/>
        </w:rPr>
        <w:t>'</w:t>
      </w:r>
      <w:r w:rsidRPr="006E194F">
        <w:rPr>
          <w:lang w:val="fr-CH"/>
        </w:rPr>
        <w:t xml:space="preserve">économies </w:t>
      </w:r>
      <w:r>
        <w:rPr>
          <w:lang w:val="fr-CH"/>
        </w:rPr>
        <w:t>soient disponibles</w:t>
      </w:r>
      <w:r w:rsidRPr="006E194F">
        <w:rPr>
          <w:lang w:val="fr-CH"/>
        </w:rPr>
        <w:t>.</w:t>
      </w:r>
    </w:p>
    <w:p w14:paraId="67C0D80D" w14:textId="6F9C8AD3" w:rsidR="00DB2EB3" w:rsidRPr="006E194F" w:rsidRDefault="00DB2EB3" w:rsidP="00F11D6D">
      <w:pPr>
        <w:keepNext/>
        <w:jc w:val="both"/>
        <w:rPr>
          <w:lang w:val="fr-CH"/>
        </w:rPr>
      </w:pPr>
      <w:r w:rsidRPr="006E194F">
        <w:rPr>
          <w:lang w:val="fr-CH"/>
        </w:rPr>
        <w:lastRenderedPageBreak/>
        <w:t xml:space="preserve">Le tableau figurant dans le document </w:t>
      </w:r>
      <w:r>
        <w:rPr>
          <w:lang w:val="fr-CH"/>
        </w:rPr>
        <w:t>donne</w:t>
      </w:r>
      <w:r w:rsidRPr="006E194F">
        <w:rPr>
          <w:lang w:val="fr-CH"/>
        </w:rPr>
        <w:t xml:space="preserve"> </w:t>
      </w:r>
      <w:r>
        <w:rPr>
          <w:lang w:val="fr-CH"/>
        </w:rPr>
        <w:t xml:space="preserve">le récapitulatif global suivant </w:t>
      </w:r>
      <w:r w:rsidRPr="006E194F">
        <w:rPr>
          <w:lang w:val="fr-CH"/>
        </w:rPr>
        <w:t xml:space="preserve">des estimations relatives aux </w:t>
      </w:r>
      <w:r w:rsidR="00913A9D">
        <w:rPr>
          <w:lang w:val="fr-CH"/>
        </w:rPr>
        <w:t>R</w:t>
      </w:r>
      <w:r w:rsidRPr="006E194F">
        <w:rPr>
          <w:lang w:val="fr-CH"/>
        </w:rPr>
        <w:t xml:space="preserve">ésolutions nouvelles et révisées de la </w:t>
      </w:r>
      <w:proofErr w:type="spellStart"/>
      <w:proofErr w:type="gramStart"/>
      <w:r w:rsidRPr="006E194F">
        <w:rPr>
          <w:lang w:val="fr-CH"/>
        </w:rPr>
        <w:t>CMDT</w:t>
      </w:r>
      <w:proofErr w:type="spellEnd"/>
      <w:r w:rsidRPr="006E194F">
        <w:rPr>
          <w:lang w:val="fr-CH"/>
        </w:rPr>
        <w:t>:</w:t>
      </w:r>
      <w:proofErr w:type="gramEnd"/>
    </w:p>
    <w:p w14:paraId="2260DAD2" w14:textId="4A2064C7" w:rsidR="00DB2EB3" w:rsidRPr="00BE247A" w:rsidRDefault="00DB2EB3" w:rsidP="000E3B98">
      <w:pPr>
        <w:pStyle w:val="Tabletitle"/>
        <w:spacing w:before="240" w:after="240"/>
        <w:rPr>
          <w:szCs w:val="24"/>
          <w:lang w:val="fr-CH"/>
        </w:rPr>
      </w:pPr>
      <w:r>
        <w:rPr>
          <w:bCs/>
        </w:rPr>
        <w:t xml:space="preserve">Incidences financières découlant des Résolutions modifiées </w:t>
      </w:r>
      <w:r w:rsidR="000E3B98">
        <w:rPr>
          <w:bCs/>
        </w:rPr>
        <w:br/>
      </w:r>
      <w:r>
        <w:rPr>
          <w:bCs/>
        </w:rPr>
        <w:t xml:space="preserve">ou nouvelles de la </w:t>
      </w:r>
      <w:proofErr w:type="spellStart"/>
      <w:r>
        <w:rPr>
          <w:bCs/>
        </w:rPr>
        <w:t>CMDT</w:t>
      </w:r>
      <w:proofErr w:type="spellEnd"/>
      <w:r>
        <w:rPr>
          <w:bCs/>
        </w:rPr>
        <w:t>-25</w:t>
      </w:r>
    </w:p>
    <w:tbl>
      <w:tblPr>
        <w:tblStyle w:val="TableGrid"/>
        <w:tblW w:w="10260" w:type="dxa"/>
        <w:jc w:val="center"/>
        <w:tblLayout w:type="fixed"/>
        <w:tblCellMar>
          <w:left w:w="57" w:type="dxa"/>
          <w:right w:w="57" w:type="dxa"/>
        </w:tblCellMar>
        <w:tblLook w:val="04A0" w:firstRow="1" w:lastRow="0" w:firstColumn="1" w:lastColumn="0" w:noHBand="0" w:noVBand="1"/>
      </w:tblPr>
      <w:tblGrid>
        <w:gridCol w:w="5800"/>
        <w:gridCol w:w="1348"/>
        <w:gridCol w:w="1636"/>
        <w:gridCol w:w="1476"/>
      </w:tblGrid>
      <w:tr w:rsidR="00DB2EB3" w:rsidRPr="00624405" w14:paraId="2D90623B" w14:textId="77777777" w:rsidTr="0080257F">
        <w:trPr>
          <w:cantSplit/>
          <w:tblHeader/>
          <w:jc w:val="center"/>
        </w:trPr>
        <w:tc>
          <w:tcPr>
            <w:tcW w:w="5800" w:type="dxa"/>
            <w:noWrap/>
            <w:hideMark/>
          </w:tcPr>
          <w:p w14:paraId="78B761A8" w14:textId="77777777" w:rsidR="00DB2EB3" w:rsidRPr="00BE247A" w:rsidRDefault="00DB2EB3" w:rsidP="00914B78">
            <w:pPr>
              <w:pStyle w:val="Tablehead"/>
              <w:rPr>
                <w:rFonts w:asciiTheme="minorHAnsi" w:hAnsiTheme="minorHAnsi" w:cstheme="minorHAnsi"/>
                <w:sz w:val="18"/>
                <w:szCs w:val="18"/>
                <w:lang w:val="fr-CH" w:eastAsia="en-GB"/>
              </w:rPr>
            </w:pPr>
          </w:p>
        </w:tc>
        <w:tc>
          <w:tcPr>
            <w:tcW w:w="4460" w:type="dxa"/>
            <w:gridSpan w:val="3"/>
            <w:noWrap/>
            <w:hideMark/>
          </w:tcPr>
          <w:p w14:paraId="2E2A7327" w14:textId="460D8C5A" w:rsidR="00DB2EB3" w:rsidRPr="002B7E04" w:rsidRDefault="00F11D6D" w:rsidP="002B7E04">
            <w:pPr>
              <w:pStyle w:val="Tablehead"/>
              <w:rPr>
                <w:rFonts w:cstheme="minorHAnsi"/>
                <w:szCs w:val="18"/>
              </w:rPr>
            </w:pPr>
            <w:r w:rsidRPr="002B7E04">
              <w:t xml:space="preserve">Milliers </w:t>
            </w:r>
            <w:r w:rsidR="00DB2EB3" w:rsidRPr="002B7E04">
              <w:t>de CHF</w:t>
            </w:r>
          </w:p>
        </w:tc>
      </w:tr>
      <w:tr w:rsidR="00DB2EB3" w:rsidRPr="00BE247A" w14:paraId="6CE6004C" w14:textId="77777777" w:rsidTr="0080257F">
        <w:trPr>
          <w:cantSplit/>
          <w:tblHeader/>
          <w:jc w:val="center"/>
        </w:trPr>
        <w:tc>
          <w:tcPr>
            <w:tcW w:w="5800" w:type="dxa"/>
            <w:noWrap/>
            <w:hideMark/>
          </w:tcPr>
          <w:p w14:paraId="17153AB7" w14:textId="77777777" w:rsidR="00DB2EB3" w:rsidRPr="002B7E04" w:rsidRDefault="00DB2EB3" w:rsidP="002B7E04">
            <w:pPr>
              <w:pStyle w:val="Tablehead"/>
            </w:pPr>
          </w:p>
        </w:tc>
        <w:tc>
          <w:tcPr>
            <w:tcW w:w="1348" w:type="dxa"/>
            <w:noWrap/>
            <w:hideMark/>
          </w:tcPr>
          <w:p w14:paraId="247A4AAF" w14:textId="77777777" w:rsidR="00DB2EB3" w:rsidRPr="002B7E04" w:rsidRDefault="00DB2EB3" w:rsidP="002B7E04">
            <w:pPr>
              <w:pStyle w:val="Tablehead"/>
            </w:pPr>
            <w:r w:rsidRPr="002B7E04">
              <w:t>Coûts initiaux</w:t>
            </w:r>
          </w:p>
        </w:tc>
        <w:tc>
          <w:tcPr>
            <w:tcW w:w="1636" w:type="dxa"/>
            <w:hideMark/>
          </w:tcPr>
          <w:p w14:paraId="028FEB01" w14:textId="3B46200C" w:rsidR="00DB2EB3" w:rsidRPr="002B7E04" w:rsidRDefault="00DB2EB3" w:rsidP="002B7E04">
            <w:pPr>
              <w:pStyle w:val="Tablehead"/>
            </w:pPr>
            <w:r w:rsidRPr="002B7E04">
              <w:t>Coûts récurrents sur une période de 3 ans</w:t>
            </w:r>
          </w:p>
        </w:tc>
        <w:tc>
          <w:tcPr>
            <w:tcW w:w="1476" w:type="dxa"/>
            <w:hideMark/>
          </w:tcPr>
          <w:p w14:paraId="66372727" w14:textId="77777777" w:rsidR="00DB2EB3" w:rsidRPr="002B7E04" w:rsidRDefault="00DB2EB3" w:rsidP="002B7E04">
            <w:pPr>
              <w:pStyle w:val="Tablehead"/>
            </w:pPr>
            <w:r w:rsidRPr="002B7E04">
              <w:t>Coûts initiaux + coûts récurrents sur 3 ans</w:t>
            </w:r>
          </w:p>
        </w:tc>
      </w:tr>
      <w:tr w:rsidR="00DB2EB3" w:rsidRPr="00624405" w14:paraId="5CDA6712" w14:textId="77777777" w:rsidTr="0080257F">
        <w:trPr>
          <w:cantSplit/>
          <w:jc w:val="center"/>
        </w:trPr>
        <w:tc>
          <w:tcPr>
            <w:tcW w:w="5800" w:type="dxa"/>
            <w:noWrap/>
            <w:hideMark/>
          </w:tcPr>
          <w:p w14:paraId="4EA6617D" w14:textId="1F68D857" w:rsidR="00DB2EB3" w:rsidRPr="00BE247A" w:rsidRDefault="00DB2EB3" w:rsidP="002B7E04">
            <w:pPr>
              <w:pStyle w:val="Tabletext"/>
              <w:rPr>
                <w:rFonts w:asciiTheme="minorHAnsi" w:hAnsiTheme="minorHAnsi" w:cstheme="minorHAnsi"/>
                <w:b/>
                <w:bCs/>
                <w:lang w:val="fr-CH"/>
              </w:rPr>
            </w:pPr>
            <w:r w:rsidRPr="00D043EC">
              <w:rPr>
                <w:b/>
                <w:bCs/>
              </w:rPr>
              <w:t xml:space="preserve">Nouvelle </w:t>
            </w:r>
            <w:r w:rsidR="00913A9D">
              <w:rPr>
                <w:b/>
                <w:bCs/>
              </w:rPr>
              <w:t>R</w:t>
            </w:r>
            <w:r w:rsidRPr="00D043EC">
              <w:rPr>
                <w:b/>
                <w:bCs/>
              </w:rPr>
              <w:t>ésolution 91</w:t>
            </w:r>
            <w:r w:rsidRPr="002B7E04">
              <w:t xml:space="preserve"> –</w:t>
            </w:r>
            <w:r>
              <w:t xml:space="preserve"> L</w:t>
            </w:r>
            <w:r w:rsidR="00462E4E">
              <w:t>'</w:t>
            </w:r>
            <w:r>
              <w:t>IA au service du développement</w:t>
            </w:r>
          </w:p>
        </w:tc>
        <w:tc>
          <w:tcPr>
            <w:tcW w:w="1348" w:type="dxa"/>
            <w:noWrap/>
            <w:hideMark/>
          </w:tcPr>
          <w:p w14:paraId="5FF6D83E" w14:textId="77777777" w:rsidR="00DB2EB3" w:rsidRPr="002B7E04" w:rsidRDefault="00DB2EB3" w:rsidP="0080257F">
            <w:pPr>
              <w:pStyle w:val="Tabletext"/>
              <w:ind w:right="283"/>
              <w:jc w:val="right"/>
            </w:pPr>
            <w:r w:rsidRPr="002B7E04">
              <w:t>199</w:t>
            </w:r>
          </w:p>
        </w:tc>
        <w:tc>
          <w:tcPr>
            <w:tcW w:w="1636" w:type="dxa"/>
            <w:noWrap/>
            <w:hideMark/>
          </w:tcPr>
          <w:p w14:paraId="1BD2A894" w14:textId="77777777" w:rsidR="00DB2EB3" w:rsidRPr="002B7E04" w:rsidRDefault="00DB2EB3" w:rsidP="0080257F">
            <w:pPr>
              <w:pStyle w:val="Tabletext"/>
              <w:ind w:right="283"/>
              <w:jc w:val="right"/>
            </w:pPr>
            <w:r w:rsidRPr="002B7E04">
              <w:t>453</w:t>
            </w:r>
          </w:p>
        </w:tc>
        <w:tc>
          <w:tcPr>
            <w:tcW w:w="1476" w:type="dxa"/>
            <w:noWrap/>
            <w:hideMark/>
          </w:tcPr>
          <w:p w14:paraId="7B99F860" w14:textId="77777777" w:rsidR="00DB2EB3" w:rsidRPr="002B7E04" w:rsidRDefault="00DB2EB3" w:rsidP="0080257F">
            <w:pPr>
              <w:pStyle w:val="Tabletext"/>
              <w:ind w:right="283"/>
              <w:jc w:val="right"/>
              <w:rPr>
                <w:b/>
                <w:bCs/>
              </w:rPr>
            </w:pPr>
            <w:r w:rsidRPr="002B7E04">
              <w:rPr>
                <w:b/>
                <w:bCs/>
              </w:rPr>
              <w:t>652</w:t>
            </w:r>
          </w:p>
        </w:tc>
      </w:tr>
      <w:tr w:rsidR="00DB2EB3" w:rsidRPr="00624405" w14:paraId="7EF2CE7F" w14:textId="77777777" w:rsidTr="0080257F">
        <w:trPr>
          <w:cantSplit/>
          <w:jc w:val="center"/>
        </w:trPr>
        <w:tc>
          <w:tcPr>
            <w:tcW w:w="5800" w:type="dxa"/>
            <w:hideMark/>
          </w:tcPr>
          <w:p w14:paraId="41B10278" w14:textId="628B2F65" w:rsidR="00DB2EB3" w:rsidRPr="002B7E04" w:rsidRDefault="00DB2EB3" w:rsidP="00AB698D">
            <w:pPr>
              <w:pStyle w:val="enumlev1"/>
              <w:spacing w:before="40" w:after="40"/>
              <w:rPr>
                <w:rFonts w:asciiTheme="minorHAnsi" w:hAnsiTheme="minorHAnsi" w:cstheme="minorHAnsi"/>
                <w:sz w:val="22"/>
                <w:lang w:val="fr-CH"/>
              </w:rPr>
            </w:pPr>
            <w:r w:rsidRPr="002B7E04">
              <w:rPr>
                <w:sz w:val="22"/>
              </w:rPr>
              <w:t>–</w:t>
            </w:r>
            <w:r w:rsidRPr="002B7E04">
              <w:rPr>
                <w:sz w:val="22"/>
              </w:rPr>
              <w:tab/>
              <w:t>Expert chargé d</w:t>
            </w:r>
            <w:r w:rsidR="00462E4E">
              <w:rPr>
                <w:sz w:val="22"/>
              </w:rPr>
              <w:t>'</w:t>
            </w:r>
            <w:r w:rsidRPr="002B7E04">
              <w:rPr>
                <w:sz w:val="22"/>
              </w:rPr>
              <w:t>élaborer et de mettre en œuvre un service d</w:t>
            </w:r>
            <w:r w:rsidR="00462E4E">
              <w:rPr>
                <w:sz w:val="22"/>
              </w:rPr>
              <w:t>'</w:t>
            </w:r>
            <w:r w:rsidRPr="002B7E04">
              <w:rPr>
                <w:sz w:val="22"/>
              </w:rPr>
              <w:t>appui intégré fondé sur l</w:t>
            </w:r>
            <w:r w:rsidR="00462E4E">
              <w:rPr>
                <w:sz w:val="22"/>
              </w:rPr>
              <w:t>'</w:t>
            </w:r>
            <w:r w:rsidRPr="002B7E04">
              <w:rPr>
                <w:sz w:val="22"/>
              </w:rPr>
              <w:t>IA pour les États</w:t>
            </w:r>
            <w:r w:rsidR="002B7E04">
              <w:rPr>
                <w:sz w:val="22"/>
              </w:rPr>
              <w:t> </w:t>
            </w:r>
            <w:r w:rsidRPr="002B7E04">
              <w:rPr>
                <w:sz w:val="22"/>
              </w:rPr>
              <w:t>Membres</w:t>
            </w:r>
          </w:p>
        </w:tc>
        <w:tc>
          <w:tcPr>
            <w:tcW w:w="1348" w:type="dxa"/>
            <w:noWrap/>
            <w:hideMark/>
          </w:tcPr>
          <w:p w14:paraId="3EB882C5" w14:textId="77777777" w:rsidR="00DB2EB3" w:rsidRPr="002B7E04" w:rsidRDefault="00DB2EB3" w:rsidP="0080257F">
            <w:pPr>
              <w:pStyle w:val="Tabletext"/>
              <w:ind w:right="283"/>
              <w:jc w:val="right"/>
            </w:pPr>
            <w:r w:rsidRPr="002B7E04">
              <w:t>96</w:t>
            </w:r>
          </w:p>
        </w:tc>
        <w:tc>
          <w:tcPr>
            <w:tcW w:w="1636" w:type="dxa"/>
            <w:noWrap/>
            <w:hideMark/>
          </w:tcPr>
          <w:p w14:paraId="477D9CDA" w14:textId="77777777" w:rsidR="00DB2EB3" w:rsidRPr="002B7E04" w:rsidRDefault="00DB2EB3" w:rsidP="0080257F">
            <w:pPr>
              <w:pStyle w:val="Tabletext"/>
              <w:ind w:right="283"/>
              <w:jc w:val="right"/>
            </w:pPr>
            <w:r w:rsidRPr="002B7E04">
              <w:t>144</w:t>
            </w:r>
          </w:p>
        </w:tc>
        <w:tc>
          <w:tcPr>
            <w:tcW w:w="1476" w:type="dxa"/>
            <w:noWrap/>
            <w:hideMark/>
          </w:tcPr>
          <w:p w14:paraId="38F73681" w14:textId="77777777" w:rsidR="00DB2EB3" w:rsidRPr="002B7E04" w:rsidRDefault="00DB2EB3" w:rsidP="0080257F">
            <w:pPr>
              <w:pStyle w:val="Tabletext"/>
              <w:ind w:right="283"/>
              <w:jc w:val="right"/>
            </w:pPr>
            <w:r w:rsidRPr="002B7E04">
              <w:t>240</w:t>
            </w:r>
          </w:p>
        </w:tc>
      </w:tr>
      <w:tr w:rsidR="00DB2EB3" w:rsidRPr="00624405" w14:paraId="58FE8DE1" w14:textId="77777777" w:rsidTr="0080257F">
        <w:trPr>
          <w:cantSplit/>
          <w:jc w:val="center"/>
        </w:trPr>
        <w:tc>
          <w:tcPr>
            <w:tcW w:w="5800" w:type="dxa"/>
            <w:noWrap/>
            <w:hideMark/>
          </w:tcPr>
          <w:p w14:paraId="43E8E3F5" w14:textId="77777777" w:rsidR="00DB2EB3" w:rsidRPr="002B7E04" w:rsidRDefault="00DB2EB3" w:rsidP="00AB698D">
            <w:pPr>
              <w:pStyle w:val="enumlev1"/>
              <w:spacing w:before="40" w:after="40"/>
              <w:rPr>
                <w:rFonts w:asciiTheme="minorHAnsi" w:hAnsiTheme="minorHAnsi" w:cstheme="minorHAnsi"/>
                <w:sz w:val="22"/>
                <w:lang w:val="fr-CH"/>
              </w:rPr>
            </w:pPr>
            <w:r w:rsidRPr="002B7E04">
              <w:rPr>
                <w:sz w:val="22"/>
              </w:rPr>
              <w:t>–</w:t>
            </w:r>
            <w:r w:rsidRPr="002B7E04">
              <w:rPr>
                <w:sz w:val="22"/>
              </w:rPr>
              <w:tab/>
              <w:t>Organisation de formations et bourses</w:t>
            </w:r>
          </w:p>
        </w:tc>
        <w:tc>
          <w:tcPr>
            <w:tcW w:w="1348" w:type="dxa"/>
            <w:noWrap/>
            <w:hideMark/>
          </w:tcPr>
          <w:p w14:paraId="587E17BA" w14:textId="77777777" w:rsidR="00DB2EB3" w:rsidRPr="002B7E04" w:rsidRDefault="00DB2EB3" w:rsidP="0080257F">
            <w:pPr>
              <w:pStyle w:val="Tabletext"/>
              <w:ind w:right="283"/>
              <w:jc w:val="right"/>
            </w:pPr>
            <w:r w:rsidRPr="002B7E04">
              <w:t>60</w:t>
            </w:r>
          </w:p>
        </w:tc>
        <w:tc>
          <w:tcPr>
            <w:tcW w:w="1636" w:type="dxa"/>
            <w:noWrap/>
            <w:hideMark/>
          </w:tcPr>
          <w:p w14:paraId="78611FB8" w14:textId="77777777" w:rsidR="00DB2EB3" w:rsidRPr="002B7E04" w:rsidRDefault="00DB2EB3" w:rsidP="0080257F">
            <w:pPr>
              <w:pStyle w:val="Tabletext"/>
              <w:ind w:right="283"/>
              <w:jc w:val="right"/>
            </w:pPr>
            <w:r w:rsidRPr="002B7E04">
              <w:t>180</w:t>
            </w:r>
          </w:p>
        </w:tc>
        <w:tc>
          <w:tcPr>
            <w:tcW w:w="1476" w:type="dxa"/>
            <w:noWrap/>
            <w:hideMark/>
          </w:tcPr>
          <w:p w14:paraId="410ADE4A" w14:textId="77777777" w:rsidR="00DB2EB3" w:rsidRPr="002B7E04" w:rsidRDefault="00DB2EB3" w:rsidP="0080257F">
            <w:pPr>
              <w:pStyle w:val="Tabletext"/>
              <w:ind w:right="283"/>
              <w:jc w:val="right"/>
            </w:pPr>
            <w:r w:rsidRPr="002B7E04">
              <w:t>240</w:t>
            </w:r>
          </w:p>
        </w:tc>
      </w:tr>
      <w:tr w:rsidR="00DB2EB3" w:rsidRPr="00624405" w14:paraId="43588350" w14:textId="77777777" w:rsidTr="0080257F">
        <w:trPr>
          <w:cantSplit/>
          <w:jc w:val="center"/>
        </w:trPr>
        <w:tc>
          <w:tcPr>
            <w:tcW w:w="5800" w:type="dxa"/>
            <w:noWrap/>
            <w:hideMark/>
          </w:tcPr>
          <w:p w14:paraId="3895D824" w14:textId="77777777" w:rsidR="00DB2EB3" w:rsidRPr="002B7E04" w:rsidRDefault="00DB2EB3" w:rsidP="00AB698D">
            <w:pPr>
              <w:pStyle w:val="enumlev1"/>
              <w:spacing w:before="40" w:after="40"/>
              <w:rPr>
                <w:rFonts w:asciiTheme="minorHAnsi" w:hAnsiTheme="minorHAnsi" w:cstheme="minorHAnsi"/>
                <w:sz w:val="22"/>
              </w:rPr>
            </w:pPr>
            <w:r w:rsidRPr="002B7E04">
              <w:rPr>
                <w:sz w:val="22"/>
              </w:rPr>
              <w:t>–</w:t>
            </w:r>
            <w:r w:rsidRPr="002B7E04">
              <w:rPr>
                <w:sz w:val="22"/>
              </w:rPr>
              <w:tab/>
              <w:t>Traduction (+ traitement de texte)</w:t>
            </w:r>
          </w:p>
        </w:tc>
        <w:tc>
          <w:tcPr>
            <w:tcW w:w="1348" w:type="dxa"/>
            <w:noWrap/>
            <w:hideMark/>
          </w:tcPr>
          <w:p w14:paraId="6791AA07" w14:textId="77777777" w:rsidR="00DB2EB3" w:rsidRPr="002B7E04" w:rsidRDefault="00DB2EB3" w:rsidP="0080257F">
            <w:pPr>
              <w:pStyle w:val="Tabletext"/>
              <w:ind w:right="283"/>
              <w:jc w:val="right"/>
            </w:pPr>
            <w:r w:rsidRPr="002B7E04">
              <w:t>43</w:t>
            </w:r>
          </w:p>
        </w:tc>
        <w:tc>
          <w:tcPr>
            <w:tcW w:w="1636" w:type="dxa"/>
            <w:noWrap/>
            <w:hideMark/>
          </w:tcPr>
          <w:p w14:paraId="5A34BD49" w14:textId="77777777" w:rsidR="00DB2EB3" w:rsidRPr="002B7E04" w:rsidRDefault="00DB2EB3" w:rsidP="0080257F">
            <w:pPr>
              <w:pStyle w:val="Tabletext"/>
              <w:ind w:right="283"/>
              <w:jc w:val="right"/>
            </w:pPr>
            <w:r w:rsidRPr="002B7E04">
              <w:t>129</w:t>
            </w:r>
          </w:p>
        </w:tc>
        <w:tc>
          <w:tcPr>
            <w:tcW w:w="1476" w:type="dxa"/>
            <w:noWrap/>
            <w:hideMark/>
          </w:tcPr>
          <w:p w14:paraId="344E8531" w14:textId="77777777" w:rsidR="00DB2EB3" w:rsidRPr="002B7E04" w:rsidRDefault="00DB2EB3" w:rsidP="0080257F">
            <w:pPr>
              <w:pStyle w:val="Tabletext"/>
              <w:ind w:right="283"/>
              <w:jc w:val="right"/>
            </w:pPr>
            <w:r w:rsidRPr="002B7E04">
              <w:t>172</w:t>
            </w:r>
          </w:p>
        </w:tc>
      </w:tr>
      <w:tr w:rsidR="00DB2EB3" w:rsidRPr="0080257F" w14:paraId="314DB0FE" w14:textId="77777777" w:rsidTr="0080257F">
        <w:trPr>
          <w:cantSplit/>
          <w:jc w:val="center"/>
        </w:trPr>
        <w:tc>
          <w:tcPr>
            <w:tcW w:w="5800" w:type="dxa"/>
            <w:noWrap/>
            <w:hideMark/>
          </w:tcPr>
          <w:p w14:paraId="35B27E16" w14:textId="77777777" w:rsidR="00DB2EB3" w:rsidRPr="0080257F" w:rsidRDefault="00DB2EB3" w:rsidP="00AB698D">
            <w:pPr>
              <w:pStyle w:val="Tabletext"/>
              <w:spacing w:before="0" w:after="0"/>
              <w:rPr>
                <w:sz w:val="10"/>
                <w:szCs w:val="10"/>
              </w:rPr>
            </w:pPr>
          </w:p>
        </w:tc>
        <w:tc>
          <w:tcPr>
            <w:tcW w:w="1348" w:type="dxa"/>
            <w:noWrap/>
            <w:hideMark/>
          </w:tcPr>
          <w:p w14:paraId="1B9BECA8" w14:textId="77777777" w:rsidR="00DB2EB3" w:rsidRPr="0080257F" w:rsidRDefault="00DB2EB3" w:rsidP="0080257F">
            <w:pPr>
              <w:pStyle w:val="Tabletext"/>
              <w:spacing w:before="0" w:after="0"/>
              <w:ind w:right="283"/>
              <w:jc w:val="right"/>
              <w:rPr>
                <w:sz w:val="10"/>
                <w:szCs w:val="10"/>
              </w:rPr>
            </w:pPr>
          </w:p>
        </w:tc>
        <w:tc>
          <w:tcPr>
            <w:tcW w:w="1636" w:type="dxa"/>
            <w:noWrap/>
            <w:hideMark/>
          </w:tcPr>
          <w:p w14:paraId="47D2BAA1" w14:textId="77777777" w:rsidR="00DB2EB3" w:rsidRPr="0080257F" w:rsidRDefault="00DB2EB3" w:rsidP="0080257F">
            <w:pPr>
              <w:pStyle w:val="Tabletext"/>
              <w:spacing w:before="0" w:after="0"/>
              <w:ind w:right="283"/>
              <w:jc w:val="right"/>
              <w:rPr>
                <w:sz w:val="10"/>
                <w:szCs w:val="10"/>
              </w:rPr>
            </w:pPr>
          </w:p>
        </w:tc>
        <w:tc>
          <w:tcPr>
            <w:tcW w:w="1476" w:type="dxa"/>
            <w:noWrap/>
            <w:hideMark/>
          </w:tcPr>
          <w:p w14:paraId="7A4E84E8" w14:textId="77777777" w:rsidR="00DB2EB3" w:rsidRPr="0080257F" w:rsidRDefault="00DB2EB3" w:rsidP="0080257F">
            <w:pPr>
              <w:pStyle w:val="Tabletext"/>
              <w:spacing w:before="0" w:after="0"/>
              <w:ind w:right="283"/>
              <w:jc w:val="right"/>
              <w:rPr>
                <w:sz w:val="10"/>
                <w:szCs w:val="10"/>
              </w:rPr>
            </w:pPr>
          </w:p>
        </w:tc>
      </w:tr>
      <w:tr w:rsidR="00DB2EB3" w:rsidRPr="00624405" w14:paraId="34C18487" w14:textId="77777777" w:rsidTr="0080257F">
        <w:trPr>
          <w:cantSplit/>
          <w:jc w:val="center"/>
        </w:trPr>
        <w:tc>
          <w:tcPr>
            <w:tcW w:w="5800" w:type="dxa"/>
            <w:hideMark/>
          </w:tcPr>
          <w:p w14:paraId="0C8BCBBB" w14:textId="114E2735" w:rsidR="00DB2EB3" w:rsidRPr="00BE247A" w:rsidRDefault="00DB2EB3" w:rsidP="002B7E04">
            <w:pPr>
              <w:pStyle w:val="Tabletext"/>
              <w:rPr>
                <w:rFonts w:asciiTheme="minorHAnsi" w:hAnsiTheme="minorHAnsi" w:cstheme="minorHAnsi"/>
                <w:lang w:val="fr-CH"/>
              </w:rPr>
            </w:pPr>
            <w:r w:rsidRPr="00D043EC">
              <w:rPr>
                <w:b/>
                <w:bCs/>
              </w:rPr>
              <w:t>Résolution 34</w:t>
            </w:r>
            <w:r w:rsidRPr="00DB2EB3">
              <w:t xml:space="preserve"> </w:t>
            </w:r>
            <w:r>
              <w:t xml:space="preserve">– Rôle des télécommunications et des technologies de </w:t>
            </w:r>
            <w:r w:rsidRPr="002B7E04">
              <w:t>l</w:t>
            </w:r>
            <w:r w:rsidR="00462E4E">
              <w:t>'</w:t>
            </w:r>
            <w:r w:rsidRPr="002B7E04">
              <w:t>information</w:t>
            </w:r>
            <w:r>
              <w:t xml:space="preserve"> et de la communication dans la préparation en prévision des catastrophes, l</w:t>
            </w:r>
            <w:r w:rsidR="00462E4E">
              <w:t>'</w:t>
            </w:r>
            <w:r>
              <w:t>alerte avancée, l</w:t>
            </w:r>
            <w:r w:rsidR="00462E4E">
              <w:t>'</w:t>
            </w:r>
            <w:r>
              <w:t>atténuation des effets des catastrophes, les interventions et les opérations de secours</w:t>
            </w:r>
          </w:p>
        </w:tc>
        <w:tc>
          <w:tcPr>
            <w:tcW w:w="1348" w:type="dxa"/>
            <w:noWrap/>
            <w:hideMark/>
          </w:tcPr>
          <w:p w14:paraId="6A137509" w14:textId="77777777" w:rsidR="00DB2EB3" w:rsidRPr="002B7E04" w:rsidRDefault="00DB2EB3" w:rsidP="0080257F">
            <w:pPr>
              <w:pStyle w:val="Tabletext"/>
              <w:ind w:right="283"/>
              <w:jc w:val="right"/>
            </w:pPr>
            <w:r w:rsidRPr="002B7E04">
              <w:t>156</w:t>
            </w:r>
          </w:p>
        </w:tc>
        <w:tc>
          <w:tcPr>
            <w:tcW w:w="1636" w:type="dxa"/>
            <w:noWrap/>
            <w:hideMark/>
          </w:tcPr>
          <w:p w14:paraId="077DCBA4" w14:textId="77777777" w:rsidR="00DB2EB3" w:rsidRPr="002B7E04" w:rsidRDefault="00DB2EB3" w:rsidP="0080257F">
            <w:pPr>
              <w:pStyle w:val="Tabletext"/>
              <w:ind w:right="283"/>
              <w:jc w:val="right"/>
            </w:pPr>
            <w:r w:rsidRPr="002B7E04">
              <w:t>468</w:t>
            </w:r>
          </w:p>
        </w:tc>
        <w:tc>
          <w:tcPr>
            <w:tcW w:w="1476" w:type="dxa"/>
            <w:noWrap/>
            <w:hideMark/>
          </w:tcPr>
          <w:p w14:paraId="7FF9FF3B" w14:textId="77777777" w:rsidR="00DB2EB3" w:rsidRPr="002B7E04" w:rsidRDefault="00DB2EB3" w:rsidP="0080257F">
            <w:pPr>
              <w:pStyle w:val="Tabletext"/>
              <w:ind w:right="283"/>
              <w:jc w:val="right"/>
              <w:rPr>
                <w:b/>
                <w:bCs/>
              </w:rPr>
            </w:pPr>
            <w:r w:rsidRPr="002B7E04">
              <w:rPr>
                <w:b/>
                <w:bCs/>
              </w:rPr>
              <w:t>624</w:t>
            </w:r>
          </w:p>
        </w:tc>
      </w:tr>
      <w:tr w:rsidR="00DB2EB3" w:rsidRPr="00624405" w14:paraId="403C5CB5" w14:textId="77777777" w:rsidTr="0080257F">
        <w:trPr>
          <w:cantSplit/>
          <w:jc w:val="center"/>
        </w:trPr>
        <w:tc>
          <w:tcPr>
            <w:tcW w:w="5800" w:type="dxa"/>
            <w:hideMark/>
          </w:tcPr>
          <w:p w14:paraId="7F05FFE3" w14:textId="77777777" w:rsidR="00DB2EB3" w:rsidRPr="002B7E04" w:rsidRDefault="00DB2EB3" w:rsidP="00AB698D">
            <w:pPr>
              <w:pStyle w:val="enumlev1"/>
              <w:spacing w:before="40" w:after="40"/>
              <w:rPr>
                <w:rFonts w:asciiTheme="minorHAnsi" w:hAnsiTheme="minorHAnsi" w:cstheme="minorHAnsi"/>
                <w:sz w:val="22"/>
                <w:lang w:val="fr-CH"/>
              </w:rPr>
            </w:pPr>
            <w:r w:rsidRPr="002B7E04">
              <w:rPr>
                <w:sz w:val="22"/>
              </w:rPr>
              <w:t>–</w:t>
            </w:r>
            <w:r w:rsidRPr="002B7E04">
              <w:rPr>
                <w:sz w:val="22"/>
              </w:rPr>
              <w:tab/>
              <w:t>Expert chargé de fournir aux États Membres une assistance technique et un appui en matière de renforcement des capacités</w:t>
            </w:r>
          </w:p>
        </w:tc>
        <w:tc>
          <w:tcPr>
            <w:tcW w:w="1348" w:type="dxa"/>
            <w:noWrap/>
            <w:hideMark/>
          </w:tcPr>
          <w:p w14:paraId="2436A74B" w14:textId="77777777" w:rsidR="00DB2EB3" w:rsidRPr="002B7E04" w:rsidRDefault="00DB2EB3" w:rsidP="0080257F">
            <w:pPr>
              <w:pStyle w:val="Tabletext"/>
              <w:ind w:right="283"/>
              <w:jc w:val="right"/>
            </w:pPr>
            <w:r w:rsidRPr="002B7E04">
              <w:t>96</w:t>
            </w:r>
          </w:p>
        </w:tc>
        <w:tc>
          <w:tcPr>
            <w:tcW w:w="1636" w:type="dxa"/>
            <w:noWrap/>
            <w:hideMark/>
          </w:tcPr>
          <w:p w14:paraId="5FBCBD96" w14:textId="77777777" w:rsidR="00DB2EB3" w:rsidRPr="002B7E04" w:rsidRDefault="00DB2EB3" w:rsidP="0080257F">
            <w:pPr>
              <w:pStyle w:val="Tabletext"/>
              <w:ind w:right="283"/>
              <w:jc w:val="right"/>
            </w:pPr>
            <w:r w:rsidRPr="002B7E04">
              <w:t>288</w:t>
            </w:r>
          </w:p>
        </w:tc>
        <w:tc>
          <w:tcPr>
            <w:tcW w:w="1476" w:type="dxa"/>
            <w:noWrap/>
            <w:hideMark/>
          </w:tcPr>
          <w:p w14:paraId="66C21F6C" w14:textId="77777777" w:rsidR="00DB2EB3" w:rsidRPr="002B7E04" w:rsidRDefault="00DB2EB3" w:rsidP="0080257F">
            <w:pPr>
              <w:pStyle w:val="Tabletext"/>
              <w:ind w:right="283"/>
              <w:jc w:val="right"/>
            </w:pPr>
            <w:r w:rsidRPr="002B7E04">
              <w:t>384</w:t>
            </w:r>
          </w:p>
        </w:tc>
      </w:tr>
      <w:tr w:rsidR="00DB2EB3" w:rsidRPr="00624405" w14:paraId="6DA45BD2" w14:textId="77777777" w:rsidTr="0080257F">
        <w:trPr>
          <w:cantSplit/>
          <w:jc w:val="center"/>
        </w:trPr>
        <w:tc>
          <w:tcPr>
            <w:tcW w:w="5800" w:type="dxa"/>
            <w:noWrap/>
            <w:hideMark/>
          </w:tcPr>
          <w:p w14:paraId="66BD69DD" w14:textId="77777777" w:rsidR="00DB2EB3" w:rsidRPr="002B7E04" w:rsidRDefault="00DB2EB3" w:rsidP="00AB698D">
            <w:pPr>
              <w:pStyle w:val="enumlev1"/>
              <w:spacing w:before="40" w:after="40"/>
              <w:rPr>
                <w:rFonts w:asciiTheme="minorHAnsi" w:hAnsiTheme="minorHAnsi" w:cstheme="minorHAnsi"/>
                <w:sz w:val="22"/>
                <w:lang w:val="fr-CH"/>
              </w:rPr>
            </w:pPr>
            <w:r w:rsidRPr="002B7E04">
              <w:rPr>
                <w:sz w:val="22"/>
              </w:rPr>
              <w:t>–</w:t>
            </w:r>
            <w:r w:rsidRPr="002B7E04">
              <w:rPr>
                <w:sz w:val="22"/>
              </w:rPr>
              <w:tab/>
              <w:t>Organisation de formations et bourses (intelligence artificielle au service des alertes précoces pour tous)</w:t>
            </w:r>
          </w:p>
        </w:tc>
        <w:tc>
          <w:tcPr>
            <w:tcW w:w="1348" w:type="dxa"/>
            <w:noWrap/>
            <w:hideMark/>
          </w:tcPr>
          <w:p w14:paraId="0B932286" w14:textId="77777777" w:rsidR="00DB2EB3" w:rsidRPr="002B7E04" w:rsidRDefault="00DB2EB3" w:rsidP="0080257F">
            <w:pPr>
              <w:pStyle w:val="Tabletext"/>
              <w:ind w:right="283"/>
              <w:jc w:val="right"/>
            </w:pPr>
            <w:r w:rsidRPr="002B7E04">
              <w:t>60</w:t>
            </w:r>
          </w:p>
        </w:tc>
        <w:tc>
          <w:tcPr>
            <w:tcW w:w="1636" w:type="dxa"/>
            <w:noWrap/>
            <w:hideMark/>
          </w:tcPr>
          <w:p w14:paraId="26A01CFD" w14:textId="77777777" w:rsidR="00DB2EB3" w:rsidRPr="002B7E04" w:rsidRDefault="00DB2EB3" w:rsidP="0080257F">
            <w:pPr>
              <w:pStyle w:val="Tabletext"/>
              <w:ind w:right="283"/>
              <w:jc w:val="right"/>
            </w:pPr>
            <w:r w:rsidRPr="002B7E04">
              <w:t>180</w:t>
            </w:r>
          </w:p>
        </w:tc>
        <w:tc>
          <w:tcPr>
            <w:tcW w:w="1476" w:type="dxa"/>
            <w:noWrap/>
            <w:hideMark/>
          </w:tcPr>
          <w:p w14:paraId="6784D320" w14:textId="77777777" w:rsidR="00DB2EB3" w:rsidRPr="002B7E04" w:rsidRDefault="00DB2EB3" w:rsidP="0080257F">
            <w:pPr>
              <w:pStyle w:val="Tabletext"/>
              <w:ind w:right="283"/>
              <w:jc w:val="right"/>
            </w:pPr>
            <w:r w:rsidRPr="002B7E04">
              <w:t>240</w:t>
            </w:r>
          </w:p>
        </w:tc>
      </w:tr>
      <w:tr w:rsidR="00DB2EB3" w:rsidRPr="0080257F" w14:paraId="33B00732" w14:textId="77777777" w:rsidTr="0080257F">
        <w:trPr>
          <w:cantSplit/>
          <w:jc w:val="center"/>
        </w:trPr>
        <w:tc>
          <w:tcPr>
            <w:tcW w:w="5800" w:type="dxa"/>
            <w:noWrap/>
            <w:hideMark/>
          </w:tcPr>
          <w:p w14:paraId="55638864" w14:textId="6432B8FC" w:rsidR="00DB2EB3" w:rsidRPr="0080257F" w:rsidRDefault="00DB2EB3" w:rsidP="00AB698D">
            <w:pPr>
              <w:pStyle w:val="Tabletext"/>
              <w:spacing w:before="0" w:after="0"/>
              <w:rPr>
                <w:sz w:val="10"/>
                <w:szCs w:val="10"/>
              </w:rPr>
            </w:pPr>
          </w:p>
        </w:tc>
        <w:tc>
          <w:tcPr>
            <w:tcW w:w="1348" w:type="dxa"/>
            <w:noWrap/>
            <w:hideMark/>
          </w:tcPr>
          <w:p w14:paraId="66743CF7" w14:textId="77777777" w:rsidR="00DB2EB3" w:rsidRPr="0080257F" w:rsidRDefault="00DB2EB3" w:rsidP="0080257F">
            <w:pPr>
              <w:pStyle w:val="Tabletext"/>
              <w:spacing w:before="0" w:after="0"/>
              <w:ind w:right="283"/>
              <w:jc w:val="right"/>
              <w:rPr>
                <w:sz w:val="10"/>
                <w:szCs w:val="10"/>
              </w:rPr>
            </w:pPr>
          </w:p>
        </w:tc>
        <w:tc>
          <w:tcPr>
            <w:tcW w:w="1636" w:type="dxa"/>
            <w:noWrap/>
            <w:hideMark/>
          </w:tcPr>
          <w:p w14:paraId="1453CB5D" w14:textId="77777777" w:rsidR="00DB2EB3" w:rsidRPr="0080257F" w:rsidRDefault="00DB2EB3" w:rsidP="0080257F">
            <w:pPr>
              <w:pStyle w:val="Tabletext"/>
              <w:spacing w:before="0" w:after="0"/>
              <w:ind w:right="283"/>
              <w:jc w:val="right"/>
              <w:rPr>
                <w:sz w:val="10"/>
                <w:szCs w:val="10"/>
              </w:rPr>
            </w:pPr>
          </w:p>
        </w:tc>
        <w:tc>
          <w:tcPr>
            <w:tcW w:w="1476" w:type="dxa"/>
            <w:noWrap/>
            <w:hideMark/>
          </w:tcPr>
          <w:p w14:paraId="6DAD7D62" w14:textId="77777777" w:rsidR="00DB2EB3" w:rsidRPr="0080257F" w:rsidRDefault="00DB2EB3" w:rsidP="0080257F">
            <w:pPr>
              <w:pStyle w:val="Tabletext"/>
              <w:spacing w:before="0" w:after="0"/>
              <w:ind w:right="283"/>
              <w:jc w:val="right"/>
              <w:rPr>
                <w:sz w:val="10"/>
                <w:szCs w:val="10"/>
              </w:rPr>
            </w:pPr>
          </w:p>
        </w:tc>
      </w:tr>
      <w:tr w:rsidR="00DB2EB3" w:rsidRPr="00624405" w14:paraId="41314113" w14:textId="77777777" w:rsidTr="0080257F">
        <w:trPr>
          <w:cantSplit/>
          <w:jc w:val="center"/>
        </w:trPr>
        <w:tc>
          <w:tcPr>
            <w:tcW w:w="5800" w:type="dxa"/>
            <w:hideMark/>
          </w:tcPr>
          <w:p w14:paraId="0310E6E7" w14:textId="65169FDF" w:rsidR="00DB2EB3" w:rsidRPr="00BE247A" w:rsidRDefault="00DB2EB3" w:rsidP="002B7E04">
            <w:pPr>
              <w:pStyle w:val="Tabletext"/>
              <w:rPr>
                <w:rFonts w:asciiTheme="minorHAnsi" w:hAnsiTheme="minorHAnsi" w:cstheme="minorHAnsi"/>
                <w:lang w:val="fr-CH"/>
              </w:rPr>
            </w:pPr>
            <w:r w:rsidRPr="00D043EC">
              <w:rPr>
                <w:b/>
                <w:bCs/>
              </w:rPr>
              <w:t>Résolution 46</w:t>
            </w:r>
            <w:r>
              <w:t xml:space="preserve"> – Assistance en faveur des peuples et des communautés autochtones </w:t>
            </w:r>
            <w:r w:rsidRPr="002B7E04">
              <w:t>par</w:t>
            </w:r>
            <w:r>
              <w:t xml:space="preserve"> le biais des technologies de l</w:t>
            </w:r>
            <w:r w:rsidR="00462E4E">
              <w:t>'</w:t>
            </w:r>
            <w:r>
              <w:t>information et de la communication</w:t>
            </w:r>
          </w:p>
        </w:tc>
        <w:tc>
          <w:tcPr>
            <w:tcW w:w="1348" w:type="dxa"/>
            <w:noWrap/>
            <w:hideMark/>
          </w:tcPr>
          <w:p w14:paraId="3A76E850" w14:textId="77777777" w:rsidR="00DB2EB3" w:rsidRPr="002B7E04" w:rsidRDefault="00DB2EB3" w:rsidP="0080257F">
            <w:pPr>
              <w:pStyle w:val="Tabletext"/>
              <w:ind w:right="283"/>
              <w:jc w:val="right"/>
            </w:pPr>
            <w:r w:rsidRPr="002B7E04">
              <w:t>139</w:t>
            </w:r>
          </w:p>
        </w:tc>
        <w:tc>
          <w:tcPr>
            <w:tcW w:w="1636" w:type="dxa"/>
            <w:noWrap/>
            <w:hideMark/>
          </w:tcPr>
          <w:p w14:paraId="7EBB07F9" w14:textId="77777777" w:rsidR="00DB2EB3" w:rsidRPr="002B7E04" w:rsidRDefault="00DB2EB3" w:rsidP="0080257F">
            <w:pPr>
              <w:pStyle w:val="Tabletext"/>
              <w:ind w:right="283"/>
              <w:jc w:val="right"/>
            </w:pPr>
            <w:r w:rsidRPr="002B7E04">
              <w:t>273</w:t>
            </w:r>
          </w:p>
        </w:tc>
        <w:tc>
          <w:tcPr>
            <w:tcW w:w="1476" w:type="dxa"/>
            <w:noWrap/>
            <w:hideMark/>
          </w:tcPr>
          <w:p w14:paraId="682DD42A" w14:textId="77777777" w:rsidR="00DB2EB3" w:rsidRPr="002B7E04" w:rsidRDefault="00DB2EB3" w:rsidP="0080257F">
            <w:pPr>
              <w:pStyle w:val="Tabletext"/>
              <w:ind w:right="283"/>
              <w:jc w:val="right"/>
              <w:rPr>
                <w:b/>
                <w:bCs/>
              </w:rPr>
            </w:pPr>
            <w:r w:rsidRPr="002B7E04">
              <w:rPr>
                <w:b/>
                <w:bCs/>
              </w:rPr>
              <w:t>412</w:t>
            </w:r>
          </w:p>
        </w:tc>
      </w:tr>
      <w:tr w:rsidR="00DB2EB3" w:rsidRPr="00624405" w14:paraId="19DEFF36" w14:textId="77777777" w:rsidTr="0080257F">
        <w:trPr>
          <w:cantSplit/>
          <w:jc w:val="center"/>
        </w:trPr>
        <w:tc>
          <w:tcPr>
            <w:tcW w:w="5800" w:type="dxa"/>
            <w:hideMark/>
          </w:tcPr>
          <w:p w14:paraId="199A4C5F" w14:textId="7A519A8F" w:rsidR="00DB2EB3" w:rsidRPr="002B7E04" w:rsidRDefault="00DB2EB3" w:rsidP="00AB698D">
            <w:pPr>
              <w:pStyle w:val="enumlev1"/>
              <w:spacing w:before="40" w:after="40"/>
              <w:rPr>
                <w:rFonts w:asciiTheme="minorHAnsi" w:hAnsiTheme="minorHAnsi" w:cstheme="minorHAnsi"/>
                <w:sz w:val="22"/>
                <w:lang w:val="fr-CH"/>
              </w:rPr>
            </w:pPr>
            <w:r w:rsidRPr="002B7E04">
              <w:rPr>
                <w:sz w:val="22"/>
              </w:rPr>
              <w:t>–</w:t>
            </w:r>
            <w:r w:rsidRPr="002B7E04">
              <w:rPr>
                <w:sz w:val="22"/>
              </w:rPr>
              <w:tab/>
              <w:t>Expert chargé de fournir de l</w:t>
            </w:r>
            <w:r w:rsidR="00462E4E">
              <w:rPr>
                <w:sz w:val="22"/>
              </w:rPr>
              <w:t>'</w:t>
            </w:r>
            <w:r w:rsidRPr="002B7E04">
              <w:rPr>
                <w:sz w:val="22"/>
              </w:rPr>
              <w:t>aide pour l</w:t>
            </w:r>
            <w:r w:rsidR="00462E4E">
              <w:rPr>
                <w:sz w:val="22"/>
              </w:rPr>
              <w:t>'</w:t>
            </w:r>
            <w:r w:rsidRPr="002B7E04">
              <w:rPr>
                <w:sz w:val="22"/>
              </w:rPr>
              <w:t>intégration des connaissances autochtones et élaborer des programmes de maîtrise des outils numériques</w:t>
            </w:r>
          </w:p>
        </w:tc>
        <w:tc>
          <w:tcPr>
            <w:tcW w:w="1348" w:type="dxa"/>
            <w:noWrap/>
            <w:hideMark/>
          </w:tcPr>
          <w:p w14:paraId="4F70A384" w14:textId="77777777" w:rsidR="00DB2EB3" w:rsidRPr="002B7E04" w:rsidRDefault="00DB2EB3" w:rsidP="0080257F">
            <w:pPr>
              <w:pStyle w:val="Tabletext"/>
              <w:ind w:right="283"/>
              <w:jc w:val="right"/>
            </w:pPr>
            <w:r w:rsidRPr="002B7E04">
              <w:t>96</w:t>
            </w:r>
          </w:p>
        </w:tc>
        <w:tc>
          <w:tcPr>
            <w:tcW w:w="1636" w:type="dxa"/>
            <w:noWrap/>
            <w:hideMark/>
          </w:tcPr>
          <w:p w14:paraId="2F3DD1FA" w14:textId="77777777" w:rsidR="00DB2EB3" w:rsidRPr="002B7E04" w:rsidRDefault="00DB2EB3" w:rsidP="0080257F">
            <w:pPr>
              <w:pStyle w:val="Tabletext"/>
              <w:ind w:right="283"/>
              <w:jc w:val="right"/>
            </w:pPr>
            <w:r w:rsidRPr="002B7E04">
              <w:t>144</w:t>
            </w:r>
          </w:p>
        </w:tc>
        <w:tc>
          <w:tcPr>
            <w:tcW w:w="1476" w:type="dxa"/>
            <w:noWrap/>
            <w:hideMark/>
          </w:tcPr>
          <w:p w14:paraId="71AD212F" w14:textId="77777777" w:rsidR="00DB2EB3" w:rsidRPr="002B7E04" w:rsidRDefault="00DB2EB3" w:rsidP="0080257F">
            <w:pPr>
              <w:pStyle w:val="Tabletext"/>
              <w:ind w:right="283"/>
              <w:jc w:val="right"/>
            </w:pPr>
            <w:r w:rsidRPr="002B7E04">
              <w:t>240</w:t>
            </w:r>
          </w:p>
        </w:tc>
      </w:tr>
      <w:tr w:rsidR="00DB2EB3" w:rsidRPr="00624405" w14:paraId="1718D1CC" w14:textId="77777777" w:rsidTr="0080257F">
        <w:trPr>
          <w:cantSplit/>
          <w:jc w:val="center"/>
        </w:trPr>
        <w:tc>
          <w:tcPr>
            <w:tcW w:w="5800" w:type="dxa"/>
            <w:hideMark/>
          </w:tcPr>
          <w:p w14:paraId="1AF18D44" w14:textId="4C43DDFE" w:rsidR="00DB2EB3" w:rsidRPr="002B7E04" w:rsidRDefault="00DB2EB3" w:rsidP="00AB698D">
            <w:pPr>
              <w:pStyle w:val="enumlev1"/>
              <w:spacing w:before="40" w:after="40"/>
              <w:rPr>
                <w:rFonts w:asciiTheme="minorHAnsi" w:hAnsiTheme="minorHAnsi" w:cstheme="minorHAnsi"/>
                <w:sz w:val="22"/>
              </w:rPr>
            </w:pPr>
            <w:r w:rsidRPr="002B7E04">
              <w:rPr>
                <w:sz w:val="22"/>
              </w:rPr>
              <w:t>–</w:t>
            </w:r>
            <w:r w:rsidRPr="002B7E04">
              <w:rPr>
                <w:sz w:val="22"/>
              </w:rPr>
              <w:tab/>
              <w:t>Traduction (+ traitement de texte)</w:t>
            </w:r>
          </w:p>
        </w:tc>
        <w:tc>
          <w:tcPr>
            <w:tcW w:w="1348" w:type="dxa"/>
            <w:noWrap/>
            <w:hideMark/>
          </w:tcPr>
          <w:p w14:paraId="3FC52A97" w14:textId="77777777" w:rsidR="00DB2EB3" w:rsidRPr="002B7E04" w:rsidRDefault="00DB2EB3" w:rsidP="0080257F">
            <w:pPr>
              <w:pStyle w:val="Tabletext"/>
              <w:ind w:right="283"/>
              <w:jc w:val="right"/>
            </w:pPr>
            <w:r w:rsidRPr="002B7E04">
              <w:t>43</w:t>
            </w:r>
          </w:p>
        </w:tc>
        <w:tc>
          <w:tcPr>
            <w:tcW w:w="1636" w:type="dxa"/>
            <w:noWrap/>
            <w:hideMark/>
          </w:tcPr>
          <w:p w14:paraId="09FFC83D" w14:textId="77777777" w:rsidR="00DB2EB3" w:rsidRPr="002B7E04" w:rsidRDefault="00DB2EB3" w:rsidP="0080257F">
            <w:pPr>
              <w:pStyle w:val="Tabletext"/>
              <w:ind w:right="283"/>
              <w:jc w:val="right"/>
            </w:pPr>
            <w:r w:rsidRPr="002B7E04">
              <w:t>129</w:t>
            </w:r>
          </w:p>
        </w:tc>
        <w:tc>
          <w:tcPr>
            <w:tcW w:w="1476" w:type="dxa"/>
            <w:noWrap/>
            <w:hideMark/>
          </w:tcPr>
          <w:p w14:paraId="34B1766C" w14:textId="77777777" w:rsidR="00DB2EB3" w:rsidRPr="002B7E04" w:rsidRDefault="00DB2EB3" w:rsidP="0080257F">
            <w:pPr>
              <w:pStyle w:val="Tabletext"/>
              <w:ind w:right="283"/>
              <w:jc w:val="right"/>
            </w:pPr>
            <w:r w:rsidRPr="002B7E04">
              <w:t>172</w:t>
            </w:r>
          </w:p>
        </w:tc>
      </w:tr>
      <w:tr w:rsidR="00DB2EB3" w:rsidRPr="0080257F" w14:paraId="19939C3E" w14:textId="77777777" w:rsidTr="0080257F">
        <w:trPr>
          <w:cantSplit/>
          <w:jc w:val="center"/>
        </w:trPr>
        <w:tc>
          <w:tcPr>
            <w:tcW w:w="5800" w:type="dxa"/>
            <w:noWrap/>
            <w:hideMark/>
          </w:tcPr>
          <w:p w14:paraId="2E353A4E" w14:textId="77777777" w:rsidR="00DB2EB3" w:rsidRPr="0080257F" w:rsidRDefault="00DB2EB3" w:rsidP="00AB698D">
            <w:pPr>
              <w:pStyle w:val="Tabletext"/>
              <w:spacing w:before="0" w:after="0"/>
              <w:rPr>
                <w:sz w:val="10"/>
                <w:szCs w:val="10"/>
              </w:rPr>
            </w:pPr>
          </w:p>
        </w:tc>
        <w:tc>
          <w:tcPr>
            <w:tcW w:w="1348" w:type="dxa"/>
            <w:noWrap/>
            <w:hideMark/>
          </w:tcPr>
          <w:p w14:paraId="4B0A88D8" w14:textId="77777777" w:rsidR="00DB2EB3" w:rsidRPr="0080257F" w:rsidRDefault="00DB2EB3" w:rsidP="0080257F">
            <w:pPr>
              <w:pStyle w:val="Tabletext"/>
              <w:spacing w:before="0" w:after="0"/>
              <w:ind w:right="283"/>
              <w:jc w:val="right"/>
              <w:rPr>
                <w:sz w:val="10"/>
                <w:szCs w:val="10"/>
              </w:rPr>
            </w:pPr>
          </w:p>
        </w:tc>
        <w:tc>
          <w:tcPr>
            <w:tcW w:w="1636" w:type="dxa"/>
            <w:noWrap/>
            <w:hideMark/>
          </w:tcPr>
          <w:p w14:paraId="6E309D62" w14:textId="77777777" w:rsidR="00DB2EB3" w:rsidRPr="0080257F" w:rsidRDefault="00DB2EB3" w:rsidP="0080257F">
            <w:pPr>
              <w:pStyle w:val="Tabletext"/>
              <w:spacing w:before="0" w:after="0"/>
              <w:ind w:right="283"/>
              <w:jc w:val="right"/>
              <w:rPr>
                <w:sz w:val="10"/>
                <w:szCs w:val="10"/>
              </w:rPr>
            </w:pPr>
          </w:p>
        </w:tc>
        <w:tc>
          <w:tcPr>
            <w:tcW w:w="1476" w:type="dxa"/>
            <w:noWrap/>
            <w:hideMark/>
          </w:tcPr>
          <w:p w14:paraId="5A12AD6A" w14:textId="77777777" w:rsidR="00DB2EB3" w:rsidRPr="0080257F" w:rsidRDefault="00DB2EB3" w:rsidP="0080257F">
            <w:pPr>
              <w:pStyle w:val="Tabletext"/>
              <w:spacing w:before="0" w:after="0"/>
              <w:ind w:right="283"/>
              <w:jc w:val="right"/>
              <w:rPr>
                <w:sz w:val="10"/>
                <w:szCs w:val="10"/>
              </w:rPr>
            </w:pPr>
          </w:p>
        </w:tc>
      </w:tr>
      <w:tr w:rsidR="00DB2EB3" w:rsidRPr="00624405" w14:paraId="0CE89FCC" w14:textId="77777777" w:rsidTr="0080257F">
        <w:trPr>
          <w:cantSplit/>
          <w:jc w:val="center"/>
        </w:trPr>
        <w:tc>
          <w:tcPr>
            <w:tcW w:w="5800" w:type="dxa"/>
            <w:hideMark/>
          </w:tcPr>
          <w:p w14:paraId="4EDDBD1B" w14:textId="086C2647" w:rsidR="00DB2EB3" w:rsidRPr="00BE247A" w:rsidRDefault="00DB2EB3" w:rsidP="00AB698D">
            <w:pPr>
              <w:pStyle w:val="Tabletext"/>
              <w:rPr>
                <w:rFonts w:asciiTheme="minorHAnsi" w:hAnsiTheme="minorHAnsi" w:cstheme="minorHAnsi"/>
                <w:lang w:val="fr-CH"/>
              </w:rPr>
            </w:pPr>
            <w:r w:rsidRPr="00D043EC">
              <w:rPr>
                <w:b/>
                <w:bCs/>
              </w:rPr>
              <w:t>Résolution 55</w:t>
            </w:r>
            <w:r>
              <w:t xml:space="preserve"> – Intégration du principe de l</w:t>
            </w:r>
            <w:r w:rsidR="00462E4E">
              <w:t>'</w:t>
            </w:r>
            <w:r>
              <w:t>égalité hommes</w:t>
            </w:r>
            <w:r w:rsidR="002B7E04">
              <w:noBreakHyphen/>
            </w:r>
            <w:r>
              <w:t>femmes à l</w:t>
            </w:r>
            <w:r w:rsidR="00462E4E">
              <w:t>'</w:t>
            </w:r>
            <w:r>
              <w:t>UIT-D, promotion de l</w:t>
            </w:r>
            <w:r w:rsidR="00462E4E">
              <w:t>'</w:t>
            </w:r>
            <w:r>
              <w:t>égalité hommes</w:t>
            </w:r>
            <w:r w:rsidR="002B7E04">
              <w:noBreakHyphen/>
            </w:r>
            <w:r>
              <w:t xml:space="preserve">femmes et autonomisation des femmes et des jeunes filles grâce aux </w:t>
            </w:r>
            <w:r w:rsidRPr="002B7E04">
              <w:t>télécommunications</w:t>
            </w:r>
            <w:r>
              <w:t>/technologies de l</w:t>
            </w:r>
            <w:r w:rsidR="00462E4E">
              <w:t>'</w:t>
            </w:r>
            <w:r>
              <w:t>information et de la communication</w:t>
            </w:r>
          </w:p>
        </w:tc>
        <w:tc>
          <w:tcPr>
            <w:tcW w:w="1348" w:type="dxa"/>
            <w:noWrap/>
            <w:hideMark/>
          </w:tcPr>
          <w:p w14:paraId="2BAC92B2" w14:textId="77777777" w:rsidR="00DB2EB3" w:rsidRPr="002B7E04" w:rsidRDefault="00DB2EB3" w:rsidP="0080257F">
            <w:pPr>
              <w:pStyle w:val="Tabletext"/>
              <w:ind w:right="283"/>
              <w:jc w:val="right"/>
            </w:pPr>
            <w:r w:rsidRPr="002B7E04">
              <w:t>266</w:t>
            </w:r>
          </w:p>
        </w:tc>
        <w:tc>
          <w:tcPr>
            <w:tcW w:w="1636" w:type="dxa"/>
            <w:noWrap/>
            <w:hideMark/>
          </w:tcPr>
          <w:p w14:paraId="168480FF" w14:textId="77777777" w:rsidR="00DB2EB3" w:rsidRPr="002B7E04" w:rsidRDefault="00DB2EB3" w:rsidP="0080257F">
            <w:pPr>
              <w:pStyle w:val="Tabletext"/>
              <w:ind w:right="283"/>
              <w:jc w:val="right"/>
            </w:pPr>
            <w:r w:rsidRPr="002B7E04">
              <w:t>798</w:t>
            </w:r>
          </w:p>
        </w:tc>
        <w:tc>
          <w:tcPr>
            <w:tcW w:w="1476" w:type="dxa"/>
            <w:noWrap/>
            <w:hideMark/>
          </w:tcPr>
          <w:p w14:paraId="7455714D" w14:textId="77777777" w:rsidR="00DB2EB3" w:rsidRPr="002B7E04" w:rsidRDefault="00DB2EB3" w:rsidP="0080257F">
            <w:pPr>
              <w:pStyle w:val="Tabletext"/>
              <w:ind w:right="283"/>
              <w:jc w:val="right"/>
              <w:rPr>
                <w:b/>
                <w:bCs/>
              </w:rPr>
            </w:pPr>
            <w:r w:rsidRPr="002B7E04">
              <w:rPr>
                <w:b/>
                <w:bCs/>
              </w:rPr>
              <w:t>1 064</w:t>
            </w:r>
          </w:p>
        </w:tc>
      </w:tr>
      <w:tr w:rsidR="00DB2EB3" w:rsidRPr="00624405" w14:paraId="607CB2A4" w14:textId="77777777" w:rsidTr="0080257F">
        <w:trPr>
          <w:cantSplit/>
          <w:jc w:val="center"/>
        </w:trPr>
        <w:tc>
          <w:tcPr>
            <w:tcW w:w="5800" w:type="dxa"/>
            <w:hideMark/>
          </w:tcPr>
          <w:p w14:paraId="5346FC4C" w14:textId="62A82CAB" w:rsidR="00DB2EB3" w:rsidRPr="002B7E04" w:rsidRDefault="00DB2EB3" w:rsidP="00AB698D">
            <w:pPr>
              <w:pStyle w:val="enumlev1"/>
              <w:spacing w:before="40" w:after="40"/>
              <w:rPr>
                <w:rFonts w:asciiTheme="minorHAnsi" w:hAnsiTheme="minorHAnsi" w:cstheme="minorHAnsi"/>
                <w:sz w:val="22"/>
                <w:lang w:val="fr-CH"/>
              </w:rPr>
            </w:pPr>
            <w:r w:rsidRPr="002B7E04">
              <w:rPr>
                <w:sz w:val="22"/>
              </w:rPr>
              <w:t>–</w:t>
            </w:r>
            <w:r w:rsidRPr="002B7E04">
              <w:rPr>
                <w:sz w:val="22"/>
              </w:rPr>
              <w:tab/>
              <w:t>Expert chargé de fournir des programmes de renforcement des capacités en matière de compétences numériques et de compétences de direction</w:t>
            </w:r>
          </w:p>
        </w:tc>
        <w:tc>
          <w:tcPr>
            <w:tcW w:w="1348" w:type="dxa"/>
            <w:noWrap/>
            <w:hideMark/>
          </w:tcPr>
          <w:p w14:paraId="6549C95F" w14:textId="77777777" w:rsidR="00DB2EB3" w:rsidRPr="002B7E04" w:rsidRDefault="00DB2EB3" w:rsidP="0080257F">
            <w:pPr>
              <w:pStyle w:val="Tabletext"/>
              <w:ind w:right="283"/>
              <w:jc w:val="right"/>
            </w:pPr>
            <w:r w:rsidRPr="002B7E04">
              <w:t>96</w:t>
            </w:r>
          </w:p>
        </w:tc>
        <w:tc>
          <w:tcPr>
            <w:tcW w:w="1636" w:type="dxa"/>
            <w:noWrap/>
            <w:hideMark/>
          </w:tcPr>
          <w:p w14:paraId="5ABF3294" w14:textId="77777777" w:rsidR="00DB2EB3" w:rsidRPr="002B7E04" w:rsidRDefault="00DB2EB3" w:rsidP="0080257F">
            <w:pPr>
              <w:pStyle w:val="Tabletext"/>
              <w:ind w:right="283"/>
              <w:jc w:val="right"/>
            </w:pPr>
            <w:r w:rsidRPr="002B7E04">
              <w:t>288</w:t>
            </w:r>
          </w:p>
        </w:tc>
        <w:tc>
          <w:tcPr>
            <w:tcW w:w="1476" w:type="dxa"/>
            <w:noWrap/>
            <w:hideMark/>
          </w:tcPr>
          <w:p w14:paraId="74043546" w14:textId="77777777" w:rsidR="00DB2EB3" w:rsidRPr="002B7E04" w:rsidRDefault="00DB2EB3" w:rsidP="0080257F">
            <w:pPr>
              <w:pStyle w:val="Tabletext"/>
              <w:ind w:right="283"/>
              <w:jc w:val="right"/>
            </w:pPr>
            <w:r w:rsidRPr="002B7E04">
              <w:t>384</w:t>
            </w:r>
          </w:p>
        </w:tc>
      </w:tr>
      <w:tr w:rsidR="00DB2EB3" w:rsidRPr="00624405" w14:paraId="47AA6F52" w14:textId="77777777" w:rsidTr="0080257F">
        <w:trPr>
          <w:cantSplit/>
          <w:jc w:val="center"/>
        </w:trPr>
        <w:tc>
          <w:tcPr>
            <w:tcW w:w="5800" w:type="dxa"/>
            <w:hideMark/>
          </w:tcPr>
          <w:p w14:paraId="2ADE334B" w14:textId="77777777" w:rsidR="00DB2EB3" w:rsidRPr="002B7E04" w:rsidRDefault="00DB2EB3" w:rsidP="00AB698D">
            <w:pPr>
              <w:pStyle w:val="enumlev1"/>
              <w:spacing w:before="40" w:after="40"/>
              <w:rPr>
                <w:rFonts w:asciiTheme="minorHAnsi" w:hAnsiTheme="minorHAnsi" w:cstheme="minorHAnsi"/>
                <w:sz w:val="22"/>
                <w:lang w:val="fr-CH"/>
              </w:rPr>
            </w:pPr>
            <w:r w:rsidRPr="002B7E04">
              <w:rPr>
                <w:color w:val="000000"/>
                <w:sz w:val="22"/>
              </w:rPr>
              <w:t>–</w:t>
            </w:r>
            <w:r w:rsidRPr="002B7E04">
              <w:rPr>
                <w:color w:val="000000"/>
                <w:sz w:val="22"/>
              </w:rPr>
              <w:tab/>
              <w:t>Organisation de formations et bourses</w:t>
            </w:r>
          </w:p>
        </w:tc>
        <w:tc>
          <w:tcPr>
            <w:tcW w:w="1348" w:type="dxa"/>
            <w:noWrap/>
            <w:hideMark/>
          </w:tcPr>
          <w:p w14:paraId="2962856F" w14:textId="77777777" w:rsidR="00DB2EB3" w:rsidRPr="002B7E04" w:rsidRDefault="00DB2EB3" w:rsidP="0080257F">
            <w:pPr>
              <w:pStyle w:val="Tabletext"/>
              <w:ind w:right="283"/>
              <w:jc w:val="right"/>
            </w:pPr>
            <w:r w:rsidRPr="002B7E04">
              <w:t>60</w:t>
            </w:r>
          </w:p>
        </w:tc>
        <w:tc>
          <w:tcPr>
            <w:tcW w:w="1636" w:type="dxa"/>
            <w:noWrap/>
            <w:hideMark/>
          </w:tcPr>
          <w:p w14:paraId="43A5CE36" w14:textId="77777777" w:rsidR="00DB2EB3" w:rsidRPr="002B7E04" w:rsidRDefault="00DB2EB3" w:rsidP="0080257F">
            <w:pPr>
              <w:pStyle w:val="Tabletext"/>
              <w:ind w:right="283"/>
              <w:jc w:val="right"/>
            </w:pPr>
            <w:r w:rsidRPr="002B7E04">
              <w:t>180</w:t>
            </w:r>
          </w:p>
        </w:tc>
        <w:tc>
          <w:tcPr>
            <w:tcW w:w="1476" w:type="dxa"/>
            <w:noWrap/>
            <w:hideMark/>
          </w:tcPr>
          <w:p w14:paraId="4AE4D41E" w14:textId="77777777" w:rsidR="00DB2EB3" w:rsidRPr="002B7E04" w:rsidRDefault="00DB2EB3" w:rsidP="0080257F">
            <w:pPr>
              <w:pStyle w:val="Tabletext"/>
              <w:ind w:right="283"/>
              <w:jc w:val="right"/>
            </w:pPr>
            <w:r w:rsidRPr="002B7E04">
              <w:t>240</w:t>
            </w:r>
          </w:p>
        </w:tc>
      </w:tr>
      <w:tr w:rsidR="00DB2EB3" w:rsidRPr="00624405" w14:paraId="68FBD6AA" w14:textId="77777777" w:rsidTr="0080257F">
        <w:trPr>
          <w:cantSplit/>
          <w:jc w:val="center"/>
        </w:trPr>
        <w:tc>
          <w:tcPr>
            <w:tcW w:w="5800" w:type="dxa"/>
            <w:hideMark/>
          </w:tcPr>
          <w:p w14:paraId="707D7042" w14:textId="641E0197" w:rsidR="00DB2EB3" w:rsidRPr="002B7E04" w:rsidRDefault="00DB2EB3" w:rsidP="00AB698D">
            <w:pPr>
              <w:pStyle w:val="enumlev1"/>
              <w:spacing w:before="40" w:after="40"/>
              <w:rPr>
                <w:rFonts w:asciiTheme="minorHAnsi" w:hAnsiTheme="minorHAnsi" w:cstheme="minorHAnsi"/>
                <w:sz w:val="22"/>
                <w:lang w:val="fr-CH"/>
              </w:rPr>
            </w:pPr>
            <w:r w:rsidRPr="002B7E04">
              <w:rPr>
                <w:color w:val="000000"/>
                <w:sz w:val="22"/>
              </w:rPr>
              <w:lastRenderedPageBreak/>
              <w:t>–</w:t>
            </w:r>
            <w:r w:rsidRPr="002B7E04">
              <w:rPr>
                <w:color w:val="000000"/>
                <w:sz w:val="22"/>
              </w:rPr>
              <w:tab/>
              <w:t>Appui aux initiatives – Les jeunes filles dans le secteur des TIC, …</w:t>
            </w:r>
          </w:p>
        </w:tc>
        <w:tc>
          <w:tcPr>
            <w:tcW w:w="1348" w:type="dxa"/>
            <w:noWrap/>
            <w:hideMark/>
          </w:tcPr>
          <w:p w14:paraId="17487B28" w14:textId="77777777" w:rsidR="00DB2EB3" w:rsidRPr="002B7E04" w:rsidRDefault="00DB2EB3" w:rsidP="0080257F">
            <w:pPr>
              <w:pStyle w:val="Tabletext"/>
              <w:ind w:right="283"/>
              <w:jc w:val="right"/>
            </w:pPr>
            <w:r w:rsidRPr="002B7E04">
              <w:t>50</w:t>
            </w:r>
          </w:p>
        </w:tc>
        <w:tc>
          <w:tcPr>
            <w:tcW w:w="1636" w:type="dxa"/>
            <w:noWrap/>
            <w:hideMark/>
          </w:tcPr>
          <w:p w14:paraId="52A965A7" w14:textId="77777777" w:rsidR="00DB2EB3" w:rsidRPr="002B7E04" w:rsidRDefault="00DB2EB3" w:rsidP="0080257F">
            <w:pPr>
              <w:pStyle w:val="Tabletext"/>
              <w:ind w:right="283"/>
              <w:jc w:val="right"/>
            </w:pPr>
            <w:r w:rsidRPr="002B7E04">
              <w:t>150</w:t>
            </w:r>
          </w:p>
        </w:tc>
        <w:tc>
          <w:tcPr>
            <w:tcW w:w="1476" w:type="dxa"/>
            <w:noWrap/>
            <w:hideMark/>
          </w:tcPr>
          <w:p w14:paraId="47AD9361" w14:textId="77777777" w:rsidR="00DB2EB3" w:rsidRPr="002B7E04" w:rsidRDefault="00DB2EB3" w:rsidP="0080257F">
            <w:pPr>
              <w:pStyle w:val="Tabletext"/>
              <w:ind w:right="283"/>
              <w:jc w:val="right"/>
            </w:pPr>
            <w:r w:rsidRPr="002B7E04">
              <w:t>200</w:t>
            </w:r>
          </w:p>
        </w:tc>
      </w:tr>
      <w:tr w:rsidR="00DB2EB3" w:rsidRPr="00624405" w14:paraId="6790A1CD" w14:textId="77777777" w:rsidTr="0080257F">
        <w:trPr>
          <w:cantSplit/>
          <w:jc w:val="center"/>
        </w:trPr>
        <w:tc>
          <w:tcPr>
            <w:tcW w:w="5800" w:type="dxa"/>
            <w:hideMark/>
          </w:tcPr>
          <w:p w14:paraId="20671D37" w14:textId="0C4849CC" w:rsidR="00DB2EB3" w:rsidRPr="002B7E04" w:rsidRDefault="00DB2EB3" w:rsidP="00AB698D">
            <w:pPr>
              <w:pStyle w:val="enumlev1"/>
              <w:spacing w:before="40" w:after="40"/>
              <w:rPr>
                <w:rFonts w:asciiTheme="minorHAnsi" w:hAnsiTheme="minorHAnsi" w:cstheme="minorHAnsi"/>
                <w:sz w:val="22"/>
              </w:rPr>
            </w:pPr>
            <w:r w:rsidRPr="002B7E04">
              <w:rPr>
                <w:color w:val="000000"/>
                <w:sz w:val="22"/>
              </w:rPr>
              <w:t>–</w:t>
            </w:r>
            <w:r w:rsidRPr="002B7E04">
              <w:rPr>
                <w:color w:val="000000"/>
                <w:sz w:val="22"/>
              </w:rPr>
              <w:tab/>
              <w:t xml:space="preserve">Activités du Réseau </w:t>
            </w:r>
            <w:proofErr w:type="spellStart"/>
            <w:r w:rsidRPr="002B7E04">
              <w:rPr>
                <w:color w:val="000000"/>
                <w:sz w:val="22"/>
              </w:rPr>
              <w:t>NoW4WTDC</w:t>
            </w:r>
            <w:proofErr w:type="spellEnd"/>
          </w:p>
        </w:tc>
        <w:tc>
          <w:tcPr>
            <w:tcW w:w="1348" w:type="dxa"/>
            <w:noWrap/>
            <w:hideMark/>
          </w:tcPr>
          <w:p w14:paraId="2ED87836" w14:textId="77777777" w:rsidR="00DB2EB3" w:rsidRPr="002B7E04" w:rsidRDefault="00DB2EB3" w:rsidP="0080257F">
            <w:pPr>
              <w:pStyle w:val="Tabletext"/>
              <w:ind w:right="283"/>
              <w:jc w:val="right"/>
            </w:pPr>
            <w:r w:rsidRPr="002B7E04">
              <w:t>60</w:t>
            </w:r>
          </w:p>
        </w:tc>
        <w:tc>
          <w:tcPr>
            <w:tcW w:w="1636" w:type="dxa"/>
            <w:noWrap/>
            <w:hideMark/>
          </w:tcPr>
          <w:p w14:paraId="4188700E" w14:textId="77777777" w:rsidR="00DB2EB3" w:rsidRPr="002B7E04" w:rsidRDefault="00DB2EB3" w:rsidP="0080257F">
            <w:pPr>
              <w:pStyle w:val="Tabletext"/>
              <w:ind w:right="283"/>
              <w:jc w:val="right"/>
            </w:pPr>
            <w:r w:rsidRPr="002B7E04">
              <w:t>180</w:t>
            </w:r>
          </w:p>
        </w:tc>
        <w:tc>
          <w:tcPr>
            <w:tcW w:w="1476" w:type="dxa"/>
            <w:noWrap/>
            <w:hideMark/>
          </w:tcPr>
          <w:p w14:paraId="2A3FAB05" w14:textId="77777777" w:rsidR="00DB2EB3" w:rsidRPr="002B7E04" w:rsidRDefault="00DB2EB3" w:rsidP="0080257F">
            <w:pPr>
              <w:pStyle w:val="Tabletext"/>
              <w:ind w:right="283"/>
              <w:jc w:val="right"/>
            </w:pPr>
            <w:r w:rsidRPr="002B7E04">
              <w:t>240</w:t>
            </w:r>
          </w:p>
        </w:tc>
      </w:tr>
      <w:tr w:rsidR="00DB2EB3" w:rsidRPr="0080257F" w14:paraId="6E4C9212" w14:textId="77777777" w:rsidTr="0080257F">
        <w:trPr>
          <w:cantSplit/>
          <w:jc w:val="center"/>
        </w:trPr>
        <w:tc>
          <w:tcPr>
            <w:tcW w:w="5800" w:type="dxa"/>
            <w:noWrap/>
            <w:hideMark/>
          </w:tcPr>
          <w:p w14:paraId="329C1E26" w14:textId="77777777" w:rsidR="00DB2EB3" w:rsidRPr="0080257F" w:rsidRDefault="00DB2EB3" w:rsidP="00AB698D">
            <w:pPr>
              <w:pStyle w:val="Tabletext"/>
              <w:spacing w:before="0" w:after="0"/>
              <w:rPr>
                <w:sz w:val="10"/>
                <w:szCs w:val="10"/>
              </w:rPr>
            </w:pPr>
          </w:p>
        </w:tc>
        <w:tc>
          <w:tcPr>
            <w:tcW w:w="1348" w:type="dxa"/>
            <w:noWrap/>
            <w:hideMark/>
          </w:tcPr>
          <w:p w14:paraId="2A3D6821" w14:textId="77777777" w:rsidR="00DB2EB3" w:rsidRPr="0080257F" w:rsidRDefault="00DB2EB3" w:rsidP="0080257F">
            <w:pPr>
              <w:pStyle w:val="Tabletext"/>
              <w:spacing w:before="0" w:after="0"/>
              <w:ind w:right="283"/>
              <w:jc w:val="right"/>
              <w:rPr>
                <w:sz w:val="10"/>
                <w:szCs w:val="10"/>
              </w:rPr>
            </w:pPr>
          </w:p>
        </w:tc>
        <w:tc>
          <w:tcPr>
            <w:tcW w:w="1636" w:type="dxa"/>
            <w:noWrap/>
            <w:hideMark/>
          </w:tcPr>
          <w:p w14:paraId="10D0890A" w14:textId="77777777" w:rsidR="00DB2EB3" w:rsidRPr="0080257F" w:rsidRDefault="00DB2EB3" w:rsidP="0080257F">
            <w:pPr>
              <w:pStyle w:val="Tabletext"/>
              <w:spacing w:before="0" w:after="0"/>
              <w:ind w:right="283"/>
              <w:jc w:val="right"/>
              <w:rPr>
                <w:sz w:val="10"/>
                <w:szCs w:val="10"/>
              </w:rPr>
            </w:pPr>
          </w:p>
        </w:tc>
        <w:tc>
          <w:tcPr>
            <w:tcW w:w="1476" w:type="dxa"/>
            <w:noWrap/>
            <w:hideMark/>
          </w:tcPr>
          <w:p w14:paraId="2B261050" w14:textId="77777777" w:rsidR="00DB2EB3" w:rsidRPr="0080257F" w:rsidRDefault="00DB2EB3" w:rsidP="0080257F">
            <w:pPr>
              <w:pStyle w:val="Tabletext"/>
              <w:spacing w:before="0" w:after="0"/>
              <w:ind w:right="283"/>
              <w:jc w:val="right"/>
              <w:rPr>
                <w:sz w:val="10"/>
                <w:szCs w:val="10"/>
              </w:rPr>
            </w:pPr>
          </w:p>
        </w:tc>
      </w:tr>
      <w:tr w:rsidR="00DB2EB3" w:rsidRPr="00624405" w14:paraId="3DD974DF" w14:textId="77777777" w:rsidTr="0080257F">
        <w:trPr>
          <w:cantSplit/>
          <w:jc w:val="center"/>
        </w:trPr>
        <w:tc>
          <w:tcPr>
            <w:tcW w:w="5800" w:type="dxa"/>
            <w:hideMark/>
          </w:tcPr>
          <w:p w14:paraId="0A8CA18C" w14:textId="4B7FDC98" w:rsidR="00DB2EB3" w:rsidRPr="00BE247A" w:rsidRDefault="00DB2EB3" w:rsidP="002B7E04">
            <w:pPr>
              <w:pStyle w:val="Tabletext"/>
              <w:rPr>
                <w:rFonts w:asciiTheme="minorHAnsi" w:hAnsiTheme="minorHAnsi" w:cstheme="minorHAnsi"/>
                <w:lang w:val="fr-CH"/>
              </w:rPr>
            </w:pPr>
            <w:r w:rsidRPr="00D043EC">
              <w:rPr>
                <w:b/>
                <w:bCs/>
              </w:rPr>
              <w:t>Résolution 66</w:t>
            </w:r>
            <w:r>
              <w:t xml:space="preserve"> – Les technologies de l</w:t>
            </w:r>
            <w:r w:rsidR="00462E4E">
              <w:t>'</w:t>
            </w:r>
            <w:r>
              <w:t xml:space="preserve">information et de la communication, </w:t>
            </w:r>
            <w:r w:rsidRPr="002B7E04">
              <w:t>l</w:t>
            </w:r>
            <w:r w:rsidR="00462E4E">
              <w:t>'</w:t>
            </w:r>
            <w:r w:rsidRPr="002B7E04">
              <w:t>environnement</w:t>
            </w:r>
            <w:r>
              <w:t>, les changements climatiques et l</w:t>
            </w:r>
            <w:r w:rsidR="00462E4E">
              <w:t>'</w:t>
            </w:r>
            <w:r>
              <w:t>économie circulaire</w:t>
            </w:r>
          </w:p>
        </w:tc>
        <w:tc>
          <w:tcPr>
            <w:tcW w:w="1348" w:type="dxa"/>
            <w:noWrap/>
            <w:hideMark/>
          </w:tcPr>
          <w:p w14:paraId="501E25A4" w14:textId="77777777" w:rsidR="00DB2EB3" w:rsidRPr="002B7E04" w:rsidRDefault="00DB2EB3" w:rsidP="0080257F">
            <w:pPr>
              <w:pStyle w:val="Tabletext"/>
              <w:ind w:right="283"/>
              <w:jc w:val="right"/>
            </w:pPr>
            <w:r w:rsidRPr="002B7E04">
              <w:t>96</w:t>
            </w:r>
          </w:p>
        </w:tc>
        <w:tc>
          <w:tcPr>
            <w:tcW w:w="1636" w:type="dxa"/>
            <w:noWrap/>
            <w:hideMark/>
          </w:tcPr>
          <w:p w14:paraId="2F96DDBE" w14:textId="77777777" w:rsidR="00DB2EB3" w:rsidRPr="002B7E04" w:rsidRDefault="00DB2EB3" w:rsidP="0080257F">
            <w:pPr>
              <w:pStyle w:val="Tabletext"/>
              <w:ind w:right="283"/>
              <w:jc w:val="right"/>
            </w:pPr>
            <w:r w:rsidRPr="002B7E04">
              <w:t>144</w:t>
            </w:r>
          </w:p>
        </w:tc>
        <w:tc>
          <w:tcPr>
            <w:tcW w:w="1476" w:type="dxa"/>
            <w:noWrap/>
            <w:hideMark/>
          </w:tcPr>
          <w:p w14:paraId="49C5A1B5" w14:textId="77777777" w:rsidR="00DB2EB3" w:rsidRPr="00462E4E" w:rsidRDefault="00DB2EB3" w:rsidP="0080257F">
            <w:pPr>
              <w:pStyle w:val="Tabletext"/>
              <w:ind w:right="283"/>
              <w:jc w:val="right"/>
              <w:rPr>
                <w:b/>
                <w:bCs/>
              </w:rPr>
            </w:pPr>
            <w:r w:rsidRPr="00462E4E">
              <w:rPr>
                <w:b/>
                <w:bCs/>
              </w:rPr>
              <w:t>240</w:t>
            </w:r>
          </w:p>
        </w:tc>
      </w:tr>
      <w:tr w:rsidR="00DB2EB3" w:rsidRPr="00624405" w14:paraId="04E93CC0" w14:textId="77777777" w:rsidTr="0080257F">
        <w:trPr>
          <w:cantSplit/>
          <w:jc w:val="center"/>
        </w:trPr>
        <w:tc>
          <w:tcPr>
            <w:tcW w:w="5800" w:type="dxa"/>
            <w:hideMark/>
          </w:tcPr>
          <w:p w14:paraId="5A6559DD" w14:textId="7DC1D749" w:rsidR="00DB2EB3" w:rsidRPr="002B7E04" w:rsidRDefault="00DB2EB3" w:rsidP="00AB698D">
            <w:pPr>
              <w:pStyle w:val="enumlev1"/>
              <w:spacing w:before="40" w:after="40"/>
              <w:rPr>
                <w:rFonts w:asciiTheme="minorHAnsi" w:hAnsiTheme="minorHAnsi" w:cstheme="minorHAnsi"/>
                <w:sz w:val="22"/>
                <w:lang w:val="fr-CH"/>
              </w:rPr>
            </w:pPr>
            <w:r w:rsidRPr="002B7E04">
              <w:rPr>
                <w:sz w:val="22"/>
              </w:rPr>
              <w:t>–</w:t>
            </w:r>
            <w:r w:rsidRPr="002B7E04">
              <w:rPr>
                <w:sz w:val="22"/>
              </w:rPr>
              <w:tab/>
              <w:t>Expert chargé de la mise en œuvre de campagnes de sensibilisation du public à l</w:t>
            </w:r>
            <w:r w:rsidR="00462E4E">
              <w:rPr>
                <w:sz w:val="22"/>
              </w:rPr>
              <w:t>'</w:t>
            </w:r>
            <w:r w:rsidRPr="002B7E04">
              <w:rPr>
                <w:sz w:val="22"/>
              </w:rPr>
              <w:t>élimination des déchets d</w:t>
            </w:r>
            <w:r w:rsidR="00462E4E">
              <w:rPr>
                <w:sz w:val="22"/>
              </w:rPr>
              <w:t>'</w:t>
            </w:r>
            <w:r w:rsidRPr="002B7E04">
              <w:rPr>
                <w:sz w:val="22"/>
              </w:rPr>
              <w:t>équipements électriques et électroniques</w:t>
            </w:r>
          </w:p>
        </w:tc>
        <w:tc>
          <w:tcPr>
            <w:tcW w:w="1348" w:type="dxa"/>
            <w:noWrap/>
            <w:hideMark/>
          </w:tcPr>
          <w:p w14:paraId="7D355EBB" w14:textId="77777777" w:rsidR="00DB2EB3" w:rsidRPr="002B7E04" w:rsidRDefault="00DB2EB3" w:rsidP="0080257F">
            <w:pPr>
              <w:pStyle w:val="Tabletext"/>
              <w:ind w:right="283"/>
              <w:jc w:val="right"/>
            </w:pPr>
            <w:r w:rsidRPr="002B7E04">
              <w:t>96</w:t>
            </w:r>
          </w:p>
        </w:tc>
        <w:tc>
          <w:tcPr>
            <w:tcW w:w="1636" w:type="dxa"/>
            <w:noWrap/>
            <w:hideMark/>
          </w:tcPr>
          <w:p w14:paraId="038017E9" w14:textId="77777777" w:rsidR="00DB2EB3" w:rsidRPr="002B7E04" w:rsidRDefault="00DB2EB3" w:rsidP="0080257F">
            <w:pPr>
              <w:pStyle w:val="Tabletext"/>
              <w:ind w:right="283"/>
              <w:jc w:val="right"/>
            </w:pPr>
            <w:r w:rsidRPr="002B7E04">
              <w:t>144</w:t>
            </w:r>
          </w:p>
        </w:tc>
        <w:tc>
          <w:tcPr>
            <w:tcW w:w="1476" w:type="dxa"/>
            <w:noWrap/>
            <w:hideMark/>
          </w:tcPr>
          <w:p w14:paraId="6421EF61" w14:textId="77777777" w:rsidR="00DB2EB3" w:rsidRPr="002B7E04" w:rsidRDefault="00DB2EB3" w:rsidP="0080257F">
            <w:pPr>
              <w:pStyle w:val="Tabletext"/>
              <w:ind w:right="283"/>
              <w:jc w:val="right"/>
            </w:pPr>
            <w:r w:rsidRPr="002B7E04">
              <w:t>240</w:t>
            </w:r>
          </w:p>
        </w:tc>
      </w:tr>
      <w:tr w:rsidR="00DB2EB3" w:rsidRPr="0080257F" w14:paraId="3191707E" w14:textId="77777777" w:rsidTr="0080257F">
        <w:trPr>
          <w:cantSplit/>
          <w:jc w:val="center"/>
        </w:trPr>
        <w:tc>
          <w:tcPr>
            <w:tcW w:w="5800" w:type="dxa"/>
            <w:noWrap/>
            <w:hideMark/>
          </w:tcPr>
          <w:p w14:paraId="02CC436E" w14:textId="77777777" w:rsidR="00DB2EB3" w:rsidRPr="0080257F" w:rsidRDefault="00DB2EB3" w:rsidP="00AB698D">
            <w:pPr>
              <w:pStyle w:val="Tabletext"/>
              <w:spacing w:before="0" w:after="0"/>
              <w:rPr>
                <w:sz w:val="10"/>
                <w:szCs w:val="10"/>
              </w:rPr>
            </w:pPr>
          </w:p>
        </w:tc>
        <w:tc>
          <w:tcPr>
            <w:tcW w:w="1348" w:type="dxa"/>
            <w:noWrap/>
            <w:hideMark/>
          </w:tcPr>
          <w:p w14:paraId="714396D8" w14:textId="77777777" w:rsidR="00DB2EB3" w:rsidRPr="0080257F" w:rsidRDefault="00DB2EB3" w:rsidP="00AB698D">
            <w:pPr>
              <w:pStyle w:val="Tabletext"/>
              <w:spacing w:before="0" w:after="0"/>
              <w:rPr>
                <w:sz w:val="10"/>
                <w:szCs w:val="10"/>
              </w:rPr>
            </w:pPr>
          </w:p>
        </w:tc>
        <w:tc>
          <w:tcPr>
            <w:tcW w:w="1636" w:type="dxa"/>
            <w:noWrap/>
            <w:hideMark/>
          </w:tcPr>
          <w:p w14:paraId="48FECC0A" w14:textId="77777777" w:rsidR="00DB2EB3" w:rsidRPr="0080257F" w:rsidRDefault="00DB2EB3" w:rsidP="00AB698D">
            <w:pPr>
              <w:pStyle w:val="Tabletext"/>
              <w:spacing w:before="0" w:after="0"/>
              <w:rPr>
                <w:sz w:val="10"/>
                <w:szCs w:val="10"/>
              </w:rPr>
            </w:pPr>
          </w:p>
        </w:tc>
        <w:tc>
          <w:tcPr>
            <w:tcW w:w="1476" w:type="dxa"/>
            <w:noWrap/>
            <w:hideMark/>
          </w:tcPr>
          <w:p w14:paraId="71E677DE" w14:textId="77777777" w:rsidR="00DB2EB3" w:rsidRPr="0080257F" w:rsidRDefault="00DB2EB3" w:rsidP="00AB698D">
            <w:pPr>
              <w:pStyle w:val="Tabletext"/>
              <w:spacing w:before="0" w:after="0"/>
              <w:rPr>
                <w:sz w:val="10"/>
                <w:szCs w:val="10"/>
              </w:rPr>
            </w:pPr>
          </w:p>
        </w:tc>
      </w:tr>
      <w:tr w:rsidR="00DB2EB3" w:rsidRPr="00624405" w14:paraId="6E7D84BD" w14:textId="77777777" w:rsidTr="0080257F">
        <w:trPr>
          <w:cantSplit/>
          <w:jc w:val="center"/>
        </w:trPr>
        <w:tc>
          <w:tcPr>
            <w:tcW w:w="5800" w:type="dxa"/>
            <w:hideMark/>
          </w:tcPr>
          <w:p w14:paraId="33955A88" w14:textId="40FA7A4E" w:rsidR="00DB2EB3" w:rsidRPr="00BE247A" w:rsidRDefault="00DB2EB3" w:rsidP="002B7E04">
            <w:pPr>
              <w:pStyle w:val="Tabletext"/>
              <w:rPr>
                <w:rFonts w:asciiTheme="minorHAnsi" w:hAnsiTheme="minorHAnsi" w:cstheme="minorHAnsi"/>
                <w:lang w:val="fr-CH"/>
              </w:rPr>
            </w:pPr>
            <w:r w:rsidRPr="00D043EC">
              <w:rPr>
                <w:b/>
                <w:bCs/>
              </w:rPr>
              <w:t>Résolution 76</w:t>
            </w:r>
            <w:r>
              <w:t xml:space="preserve"> – </w:t>
            </w:r>
            <w:r w:rsidRPr="002B7E04">
              <w:t>Promouvoir</w:t>
            </w:r>
            <w:r>
              <w:t xml:space="preserve"> l</w:t>
            </w:r>
            <w:r w:rsidR="00462E4E">
              <w:t>'</w:t>
            </w:r>
            <w:r>
              <w:t>utilisation des technologies de l</w:t>
            </w:r>
            <w:r w:rsidR="00462E4E">
              <w:t>'</w:t>
            </w:r>
            <w:r>
              <w:t>information et de la communication au service de l</w:t>
            </w:r>
            <w:r w:rsidR="00462E4E">
              <w:t>'</w:t>
            </w:r>
            <w:r>
              <w:t>autonomisation socio-économique des jeunes femmes et des jeunes hommes</w:t>
            </w:r>
          </w:p>
        </w:tc>
        <w:tc>
          <w:tcPr>
            <w:tcW w:w="1348" w:type="dxa"/>
            <w:noWrap/>
            <w:hideMark/>
          </w:tcPr>
          <w:p w14:paraId="03BED533" w14:textId="77777777" w:rsidR="00DB2EB3" w:rsidRPr="002B7E04" w:rsidRDefault="00DB2EB3" w:rsidP="0080257F">
            <w:pPr>
              <w:pStyle w:val="Tabletext"/>
              <w:ind w:right="283"/>
              <w:jc w:val="right"/>
            </w:pPr>
            <w:r w:rsidRPr="002B7E04">
              <w:t>304</w:t>
            </w:r>
          </w:p>
        </w:tc>
        <w:tc>
          <w:tcPr>
            <w:tcW w:w="1636" w:type="dxa"/>
            <w:noWrap/>
            <w:hideMark/>
          </w:tcPr>
          <w:p w14:paraId="4B05A512" w14:textId="77777777" w:rsidR="00DB2EB3" w:rsidRPr="002B7E04" w:rsidRDefault="00DB2EB3" w:rsidP="0080257F">
            <w:pPr>
              <w:pStyle w:val="Tabletext"/>
              <w:ind w:right="283"/>
              <w:jc w:val="right"/>
            </w:pPr>
            <w:r w:rsidRPr="002B7E04">
              <w:t>912</w:t>
            </w:r>
          </w:p>
        </w:tc>
        <w:tc>
          <w:tcPr>
            <w:tcW w:w="1476" w:type="dxa"/>
            <w:noWrap/>
            <w:hideMark/>
          </w:tcPr>
          <w:p w14:paraId="329A8F70" w14:textId="77777777" w:rsidR="00DB2EB3" w:rsidRPr="002B7E04" w:rsidRDefault="00DB2EB3" w:rsidP="0080257F">
            <w:pPr>
              <w:pStyle w:val="Tabletext"/>
              <w:ind w:right="283"/>
              <w:jc w:val="right"/>
              <w:rPr>
                <w:b/>
                <w:bCs/>
              </w:rPr>
            </w:pPr>
            <w:r w:rsidRPr="002B7E04">
              <w:rPr>
                <w:b/>
                <w:bCs/>
              </w:rPr>
              <w:t>1 216</w:t>
            </w:r>
          </w:p>
        </w:tc>
      </w:tr>
      <w:tr w:rsidR="00DB2EB3" w:rsidRPr="00624405" w14:paraId="774EB359" w14:textId="77777777" w:rsidTr="0080257F">
        <w:trPr>
          <w:cantSplit/>
          <w:jc w:val="center"/>
        </w:trPr>
        <w:tc>
          <w:tcPr>
            <w:tcW w:w="5800" w:type="dxa"/>
            <w:hideMark/>
          </w:tcPr>
          <w:p w14:paraId="605A4AAF" w14:textId="68C67C54" w:rsidR="00DB2EB3" w:rsidRPr="002B7E04" w:rsidRDefault="00DB2EB3" w:rsidP="00AB698D">
            <w:pPr>
              <w:pStyle w:val="enumlev1"/>
              <w:spacing w:before="40" w:after="40"/>
              <w:rPr>
                <w:rFonts w:asciiTheme="minorHAnsi" w:hAnsiTheme="minorHAnsi" w:cstheme="minorHAnsi"/>
                <w:sz w:val="22"/>
              </w:rPr>
            </w:pPr>
            <w:r w:rsidRPr="002B7E04">
              <w:rPr>
                <w:sz w:val="22"/>
              </w:rPr>
              <w:t>–</w:t>
            </w:r>
            <w:r w:rsidRPr="002B7E04">
              <w:rPr>
                <w:sz w:val="22"/>
              </w:rPr>
              <w:tab/>
              <w:t>Jeunes professionnels</w:t>
            </w:r>
          </w:p>
        </w:tc>
        <w:tc>
          <w:tcPr>
            <w:tcW w:w="1348" w:type="dxa"/>
            <w:noWrap/>
            <w:hideMark/>
          </w:tcPr>
          <w:p w14:paraId="02EFF784" w14:textId="77777777" w:rsidR="00DB2EB3" w:rsidRPr="002B7E04" w:rsidRDefault="00DB2EB3" w:rsidP="0080257F">
            <w:pPr>
              <w:pStyle w:val="Tabletext"/>
              <w:ind w:right="283"/>
              <w:jc w:val="right"/>
            </w:pPr>
            <w:r w:rsidRPr="002B7E04">
              <w:t>254</w:t>
            </w:r>
          </w:p>
        </w:tc>
        <w:tc>
          <w:tcPr>
            <w:tcW w:w="1636" w:type="dxa"/>
            <w:noWrap/>
            <w:hideMark/>
          </w:tcPr>
          <w:p w14:paraId="4AF7318F" w14:textId="77777777" w:rsidR="00DB2EB3" w:rsidRPr="002B7E04" w:rsidRDefault="00DB2EB3" w:rsidP="0080257F">
            <w:pPr>
              <w:pStyle w:val="Tabletext"/>
              <w:ind w:right="283"/>
              <w:jc w:val="right"/>
            </w:pPr>
            <w:r w:rsidRPr="002B7E04">
              <w:t>762</w:t>
            </w:r>
          </w:p>
        </w:tc>
        <w:tc>
          <w:tcPr>
            <w:tcW w:w="1476" w:type="dxa"/>
            <w:noWrap/>
            <w:hideMark/>
          </w:tcPr>
          <w:p w14:paraId="0835140C" w14:textId="77777777" w:rsidR="00DB2EB3" w:rsidRPr="002B7E04" w:rsidRDefault="00DB2EB3" w:rsidP="0080257F">
            <w:pPr>
              <w:pStyle w:val="Tabletext"/>
              <w:ind w:right="283"/>
              <w:jc w:val="right"/>
            </w:pPr>
            <w:r w:rsidRPr="002B7E04">
              <w:t>1 016</w:t>
            </w:r>
          </w:p>
        </w:tc>
      </w:tr>
      <w:tr w:rsidR="00DB2EB3" w:rsidRPr="00624405" w14:paraId="69438B1C" w14:textId="77777777" w:rsidTr="0080257F">
        <w:trPr>
          <w:cantSplit/>
          <w:jc w:val="center"/>
        </w:trPr>
        <w:tc>
          <w:tcPr>
            <w:tcW w:w="5800" w:type="dxa"/>
            <w:hideMark/>
          </w:tcPr>
          <w:p w14:paraId="214356DE" w14:textId="77777777" w:rsidR="00DB2EB3" w:rsidRPr="002B7E04" w:rsidRDefault="00DB2EB3" w:rsidP="00AB698D">
            <w:pPr>
              <w:pStyle w:val="enumlev1"/>
              <w:spacing w:before="40" w:after="40"/>
              <w:rPr>
                <w:rFonts w:asciiTheme="minorHAnsi" w:hAnsiTheme="minorHAnsi" w:cstheme="minorHAnsi"/>
                <w:sz w:val="22"/>
                <w:lang w:val="fr-CH"/>
              </w:rPr>
            </w:pPr>
            <w:r w:rsidRPr="002B7E04">
              <w:rPr>
                <w:sz w:val="22"/>
              </w:rPr>
              <w:t>–</w:t>
            </w:r>
            <w:r w:rsidRPr="002B7E04">
              <w:rPr>
                <w:sz w:val="22"/>
              </w:rPr>
              <w:tab/>
              <w:t>Bourses pour la participation des jeunes femmes/jeunes hommes au programme sur les compétences numériques</w:t>
            </w:r>
          </w:p>
        </w:tc>
        <w:tc>
          <w:tcPr>
            <w:tcW w:w="1348" w:type="dxa"/>
            <w:noWrap/>
            <w:hideMark/>
          </w:tcPr>
          <w:p w14:paraId="2F684E1A" w14:textId="77777777" w:rsidR="00DB2EB3" w:rsidRPr="002B7E04" w:rsidRDefault="00DB2EB3" w:rsidP="0080257F">
            <w:pPr>
              <w:pStyle w:val="Tabletext"/>
              <w:ind w:right="283"/>
              <w:jc w:val="right"/>
            </w:pPr>
            <w:r w:rsidRPr="002B7E04">
              <w:t>50</w:t>
            </w:r>
          </w:p>
        </w:tc>
        <w:tc>
          <w:tcPr>
            <w:tcW w:w="1636" w:type="dxa"/>
            <w:noWrap/>
            <w:hideMark/>
          </w:tcPr>
          <w:p w14:paraId="4F8911E9" w14:textId="77777777" w:rsidR="00DB2EB3" w:rsidRPr="002B7E04" w:rsidRDefault="00DB2EB3" w:rsidP="0080257F">
            <w:pPr>
              <w:pStyle w:val="Tabletext"/>
              <w:ind w:right="283"/>
              <w:jc w:val="right"/>
            </w:pPr>
            <w:r w:rsidRPr="002B7E04">
              <w:t>150</w:t>
            </w:r>
          </w:p>
        </w:tc>
        <w:tc>
          <w:tcPr>
            <w:tcW w:w="1476" w:type="dxa"/>
            <w:noWrap/>
            <w:hideMark/>
          </w:tcPr>
          <w:p w14:paraId="58810903" w14:textId="77777777" w:rsidR="00DB2EB3" w:rsidRPr="002B7E04" w:rsidRDefault="00DB2EB3" w:rsidP="0080257F">
            <w:pPr>
              <w:pStyle w:val="Tabletext"/>
              <w:ind w:right="283"/>
              <w:jc w:val="right"/>
            </w:pPr>
            <w:r w:rsidRPr="002B7E04">
              <w:t>200</w:t>
            </w:r>
          </w:p>
        </w:tc>
      </w:tr>
      <w:tr w:rsidR="00DB2EB3" w:rsidRPr="00624405" w14:paraId="517F0DDB" w14:textId="77777777" w:rsidTr="0080257F">
        <w:trPr>
          <w:cantSplit/>
          <w:jc w:val="center"/>
        </w:trPr>
        <w:tc>
          <w:tcPr>
            <w:tcW w:w="5800" w:type="dxa"/>
            <w:hideMark/>
          </w:tcPr>
          <w:p w14:paraId="5F3C94E6" w14:textId="77777777" w:rsidR="00DB2EB3" w:rsidRPr="002B7E04" w:rsidRDefault="00DB2EB3" w:rsidP="00AB698D">
            <w:pPr>
              <w:pStyle w:val="Tabletext"/>
              <w:ind w:right="57"/>
              <w:jc w:val="right"/>
              <w:rPr>
                <w:b/>
                <w:bCs/>
              </w:rPr>
            </w:pPr>
            <w:r w:rsidRPr="002B7E04">
              <w:rPr>
                <w:b/>
                <w:bCs/>
              </w:rPr>
              <w:t>TOTAL</w:t>
            </w:r>
          </w:p>
        </w:tc>
        <w:tc>
          <w:tcPr>
            <w:tcW w:w="1348" w:type="dxa"/>
            <w:noWrap/>
            <w:hideMark/>
          </w:tcPr>
          <w:p w14:paraId="322932B1" w14:textId="77777777" w:rsidR="00DB2EB3" w:rsidRPr="002B7E04" w:rsidRDefault="00DB2EB3" w:rsidP="0080257F">
            <w:pPr>
              <w:pStyle w:val="Tabletext"/>
              <w:ind w:right="283"/>
              <w:jc w:val="right"/>
              <w:rPr>
                <w:b/>
                <w:bCs/>
              </w:rPr>
            </w:pPr>
            <w:r w:rsidRPr="002B7E04">
              <w:rPr>
                <w:b/>
                <w:bCs/>
              </w:rPr>
              <w:t>1 160</w:t>
            </w:r>
          </w:p>
        </w:tc>
        <w:tc>
          <w:tcPr>
            <w:tcW w:w="1636" w:type="dxa"/>
            <w:noWrap/>
            <w:hideMark/>
          </w:tcPr>
          <w:p w14:paraId="718A82CB" w14:textId="77777777" w:rsidR="00DB2EB3" w:rsidRPr="002B7E04" w:rsidRDefault="00DB2EB3" w:rsidP="0080257F">
            <w:pPr>
              <w:pStyle w:val="Tabletext"/>
              <w:ind w:right="283"/>
              <w:jc w:val="right"/>
              <w:rPr>
                <w:b/>
                <w:bCs/>
              </w:rPr>
            </w:pPr>
            <w:r w:rsidRPr="002B7E04">
              <w:rPr>
                <w:b/>
                <w:bCs/>
              </w:rPr>
              <w:t>3 048</w:t>
            </w:r>
          </w:p>
        </w:tc>
        <w:tc>
          <w:tcPr>
            <w:tcW w:w="1476" w:type="dxa"/>
            <w:noWrap/>
            <w:hideMark/>
          </w:tcPr>
          <w:p w14:paraId="69C8A56C" w14:textId="77777777" w:rsidR="00DB2EB3" w:rsidRPr="002B7E04" w:rsidRDefault="00DB2EB3" w:rsidP="0080257F">
            <w:pPr>
              <w:pStyle w:val="Tabletext"/>
              <w:ind w:right="283"/>
              <w:jc w:val="right"/>
              <w:rPr>
                <w:b/>
                <w:bCs/>
              </w:rPr>
            </w:pPr>
            <w:r w:rsidRPr="002B7E04">
              <w:rPr>
                <w:b/>
                <w:bCs/>
              </w:rPr>
              <w:t>4 208</w:t>
            </w:r>
          </w:p>
        </w:tc>
      </w:tr>
    </w:tbl>
    <w:p w14:paraId="000CE980" w14:textId="77777777" w:rsidR="00F11D6D" w:rsidRDefault="00F11D6D" w:rsidP="00F11D6D"/>
    <w:p w14:paraId="1DFB4CEC" w14:textId="6BA04F3E" w:rsidR="00897553" w:rsidRDefault="00DB2EB3" w:rsidP="00DB2EB3">
      <w:pPr>
        <w:spacing w:before="0"/>
        <w:jc w:val="center"/>
      </w:pPr>
      <w:r w:rsidRPr="00624405">
        <w:t>______________</w:t>
      </w:r>
    </w:p>
    <w:sectPr w:rsidR="00897553" w:rsidSect="00D72F49">
      <w:headerReference w:type="even" r:id="rId16"/>
      <w:footerReference w:type="even" r:id="rId17"/>
      <w:footerReference w:type="default" r:id="rId18"/>
      <w:headerReference w:type="first" r:id="rId19"/>
      <w:footerReference w:type="first" r:id="rId2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BA16" w14:textId="77777777" w:rsidR="004A2AF8" w:rsidRDefault="004A2AF8">
      <w:r>
        <w:separator/>
      </w:r>
    </w:p>
  </w:endnote>
  <w:endnote w:type="continuationSeparator" w:id="0">
    <w:p w14:paraId="144AA5F3" w14:textId="77777777" w:rsidR="004A2AF8" w:rsidRDefault="004A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9597" w14:textId="345186BA" w:rsidR="00732045" w:rsidRDefault="004A2AF8">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C20087">
      <w:t>19.03.26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02DE0" w:rsidRPr="00784011" w14:paraId="21325DC2" w14:textId="77777777" w:rsidTr="00914B78">
      <w:trPr>
        <w:jc w:val="center"/>
      </w:trPr>
      <w:tc>
        <w:tcPr>
          <w:tcW w:w="1803" w:type="dxa"/>
          <w:vAlign w:val="center"/>
        </w:tcPr>
        <w:p w14:paraId="0086DD6D" w14:textId="704AB1C8" w:rsidR="00702DE0" w:rsidRDefault="00702DE0" w:rsidP="00702DE0">
          <w:pPr>
            <w:pStyle w:val="Header"/>
            <w:jc w:val="left"/>
            <w:rPr>
              <w:noProof/>
            </w:rPr>
          </w:pPr>
          <w:r>
            <w:rPr>
              <w:noProof/>
            </w:rPr>
            <w:t>2600514</w:t>
          </w:r>
        </w:p>
      </w:tc>
      <w:tc>
        <w:tcPr>
          <w:tcW w:w="8261" w:type="dxa"/>
        </w:tcPr>
        <w:p w14:paraId="50E94CC1" w14:textId="421E2FA1" w:rsidR="00702DE0" w:rsidRPr="00E06FD5" w:rsidRDefault="00702DE0" w:rsidP="00702DE0">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43</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0D6ED72D" w14:textId="77777777" w:rsidR="00702DE0" w:rsidRDefault="00702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02DE0" w:rsidRPr="00E06FD5" w14:paraId="3B001A86" w14:textId="77777777" w:rsidTr="00914B78">
      <w:trPr>
        <w:jc w:val="center"/>
      </w:trPr>
      <w:tc>
        <w:tcPr>
          <w:tcW w:w="1803" w:type="dxa"/>
          <w:vAlign w:val="center"/>
        </w:tcPr>
        <w:p w14:paraId="01A41FED" w14:textId="77777777" w:rsidR="00702DE0" w:rsidRPr="00FC6D7D" w:rsidRDefault="00702DE0" w:rsidP="00702DE0">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069842B" w14:textId="53EEF6B3" w:rsidR="00702DE0" w:rsidRPr="00E06FD5" w:rsidRDefault="00702DE0" w:rsidP="00702DE0">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43</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53B5E78" w14:textId="77777777" w:rsidR="00702DE0" w:rsidRDefault="00702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FA53" w14:textId="77777777" w:rsidR="004A2AF8" w:rsidRDefault="004A2AF8">
      <w:r>
        <w:t>____________________</w:t>
      </w:r>
    </w:p>
  </w:footnote>
  <w:footnote w:type="continuationSeparator" w:id="0">
    <w:p w14:paraId="33EB9C50" w14:textId="77777777" w:rsidR="004A2AF8" w:rsidRDefault="004A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D6E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91EB208"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FF4A"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2043319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F8"/>
    <w:rsid w:val="00076A2C"/>
    <w:rsid w:val="000D0D0A"/>
    <w:rsid w:val="000E3B98"/>
    <w:rsid w:val="00103163"/>
    <w:rsid w:val="00106B19"/>
    <w:rsid w:val="001133EF"/>
    <w:rsid w:val="00115D93"/>
    <w:rsid w:val="001169C7"/>
    <w:rsid w:val="001247A8"/>
    <w:rsid w:val="001342E0"/>
    <w:rsid w:val="001370B2"/>
    <w:rsid w:val="001378C0"/>
    <w:rsid w:val="001658F9"/>
    <w:rsid w:val="0018694A"/>
    <w:rsid w:val="0019129B"/>
    <w:rsid w:val="001920D8"/>
    <w:rsid w:val="001A3287"/>
    <w:rsid w:val="001A6508"/>
    <w:rsid w:val="001D4C31"/>
    <w:rsid w:val="001E4D21"/>
    <w:rsid w:val="00207CD1"/>
    <w:rsid w:val="00226657"/>
    <w:rsid w:val="002477A2"/>
    <w:rsid w:val="00263A51"/>
    <w:rsid w:val="002673D9"/>
    <w:rsid w:val="00267E02"/>
    <w:rsid w:val="00271321"/>
    <w:rsid w:val="00277DEA"/>
    <w:rsid w:val="002A5D44"/>
    <w:rsid w:val="002B7E04"/>
    <w:rsid w:val="002C3F32"/>
    <w:rsid w:val="002C4E3D"/>
    <w:rsid w:val="002D2336"/>
    <w:rsid w:val="002E0BC4"/>
    <w:rsid w:val="002F1B76"/>
    <w:rsid w:val="0033568E"/>
    <w:rsid w:val="00355FF5"/>
    <w:rsid w:val="00361350"/>
    <w:rsid w:val="003A26CA"/>
    <w:rsid w:val="003C3FAE"/>
    <w:rsid w:val="004038CB"/>
    <w:rsid w:val="0040546F"/>
    <w:rsid w:val="004177BD"/>
    <w:rsid w:val="0042404A"/>
    <w:rsid w:val="0044618F"/>
    <w:rsid w:val="00462E4E"/>
    <w:rsid w:val="00465C35"/>
    <w:rsid w:val="0046769A"/>
    <w:rsid w:val="00475FB3"/>
    <w:rsid w:val="004A2AF8"/>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A5813"/>
    <w:rsid w:val="005B1938"/>
    <w:rsid w:val="005C3890"/>
    <w:rsid w:val="005F7BFE"/>
    <w:rsid w:val="00600017"/>
    <w:rsid w:val="00602682"/>
    <w:rsid w:val="006235CA"/>
    <w:rsid w:val="0062366E"/>
    <w:rsid w:val="006546D9"/>
    <w:rsid w:val="006643AB"/>
    <w:rsid w:val="006768F1"/>
    <w:rsid w:val="006A11AE"/>
    <w:rsid w:val="006B224B"/>
    <w:rsid w:val="006F0A53"/>
    <w:rsid w:val="00702DE0"/>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0257F"/>
    <w:rsid w:val="0082299A"/>
    <w:rsid w:val="00832D0C"/>
    <w:rsid w:val="0083391C"/>
    <w:rsid w:val="0084546D"/>
    <w:rsid w:val="00861D73"/>
    <w:rsid w:val="00882919"/>
    <w:rsid w:val="00897553"/>
    <w:rsid w:val="008A4E87"/>
    <w:rsid w:val="008D76E6"/>
    <w:rsid w:val="00913A9D"/>
    <w:rsid w:val="0092392D"/>
    <w:rsid w:val="0093234A"/>
    <w:rsid w:val="009426CF"/>
    <w:rsid w:val="00956A78"/>
    <w:rsid w:val="0096263F"/>
    <w:rsid w:val="00970606"/>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B698D"/>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0087"/>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2EB3"/>
    <w:rsid w:val="00DB5A3E"/>
    <w:rsid w:val="00DC22AA"/>
    <w:rsid w:val="00DD1A99"/>
    <w:rsid w:val="00DD2100"/>
    <w:rsid w:val="00DE62C6"/>
    <w:rsid w:val="00DE64BA"/>
    <w:rsid w:val="00DF74DD"/>
    <w:rsid w:val="00E25AD0"/>
    <w:rsid w:val="00E4428F"/>
    <w:rsid w:val="00E4448E"/>
    <w:rsid w:val="00E47427"/>
    <w:rsid w:val="00E93668"/>
    <w:rsid w:val="00E95647"/>
    <w:rsid w:val="00EB6350"/>
    <w:rsid w:val="00ED799B"/>
    <w:rsid w:val="00F11D6D"/>
    <w:rsid w:val="00F15B57"/>
    <w:rsid w:val="00F35EF4"/>
    <w:rsid w:val="00F37FE5"/>
    <w:rsid w:val="00F427DB"/>
    <w:rsid w:val="00FA5EB1"/>
    <w:rsid w:val="00FA7439"/>
    <w:rsid w:val="00FC4EC0"/>
    <w:rsid w:val="00FC6D7D"/>
    <w:rsid w:val="00FD5E5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64FAA"/>
  <w15:docId w15:val="{9E63754A-9951-4513-A7BE-8CBD6D57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TabletextBodyCalibri">
    <w:name w:val="Table_text + +Body (Calibri)"/>
    <w:aliases w:val="5 pt,Black,Before:  0 pt,After:  0 pt"/>
    <w:basedOn w:val="Tabletext"/>
    <w:rsid w:val="00AB698D"/>
    <w:pPr>
      <w:spacing w:before="0" w:after="0"/>
    </w:pPr>
    <w:rPr>
      <w:rFonts w:asciiTheme="minorHAnsi" w:eastAsiaTheme="minorHAnsi" w:hAnsiTheme="minorHAnsi" w:cstheme="minorHAnsi"/>
      <w:color w:val="000000"/>
      <w:sz w:val="10"/>
      <w:szCs w:val="1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fr" TargetMode="External"/><Relationship Id="rId13" Type="http://schemas.openxmlformats.org/officeDocument/2006/relationships/hyperlink" Target="https://www.itu.int/md/S26-CL-C-0042/fr"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tu.int/md/S26-CL-C-0042/fr" TargetMode="External"/><Relationship Id="rId12" Type="http://schemas.openxmlformats.org/officeDocument/2006/relationships/hyperlink" Target="https://www.itu.int/md/D22-WTDC25-C-0070/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D22-WTDC25-C-0070/fr" TargetMode="External"/><Relationship Id="rId5" Type="http://schemas.openxmlformats.org/officeDocument/2006/relationships/footnotes" Target="footnotes.xml"/><Relationship Id="rId15" Type="http://schemas.openxmlformats.org/officeDocument/2006/relationships/hyperlink" Target="https://www.itu.int/md/D26-TDAG33-C-0004/en" TargetMode="External"/><Relationship Id="rId10" Type="http://schemas.openxmlformats.org/officeDocument/2006/relationships/hyperlink" Target="https://www.itu.int/md/S26-CWGFHR22-C-0007/f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tu.int/md/D22-WTDC25-C-0070/fr" TargetMode="External"/><Relationship Id="rId14" Type="http://schemas.openxmlformats.org/officeDocument/2006/relationships/hyperlink" Target="https://www.itu.int/md/D26-TDAG33-C-0004/fr"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26</TotalTime>
  <Pages>6</Pages>
  <Words>1704</Words>
  <Characters>10315</Characters>
  <Application>Microsoft Office Word</Application>
  <DocSecurity>0</DocSecurity>
  <Lines>937</Lines>
  <Paragraphs>132</Paragraphs>
  <ScaleCrop>false</ScaleCrop>
  <HeadingPairs>
    <vt:vector size="2" baseType="variant">
      <vt:variant>
        <vt:lpstr>Title</vt:lpstr>
      </vt:variant>
      <vt:variant>
        <vt:i4>1</vt:i4>
      </vt:variant>
    </vt:vector>
  </HeadingPairs>
  <TitlesOfParts>
    <vt:vector size="1" baseType="lpstr">
      <vt:lpstr>Incidences budgétaires annuelles de la suite donnée aux résolutions de la CMDT-25</vt:lpstr>
    </vt:vector>
  </TitlesOfParts>
  <Manager>Secrétariat général - Pool</Manager>
  <Company>Union internationale des télécommunications (UIT)</Company>
  <LinksUpToDate>false</LinksUpToDate>
  <CharactersWithSpaces>11887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Incidences budgétaires annuelles de la suite donnée aux résolutions de la CMDT-25</dc:title>
  <dc:subject>Conseil 2026 de l'UIT</dc:subject>
  <cp:keywords>C26; C2026; Council 2026; PP26</cp:keywords>
  <dc:description/>
  <cp:lastPrinted>2000-07-18T08:55:00Z</cp:lastPrinted>
  <dcterms:created xsi:type="dcterms:W3CDTF">2026-03-25T13:17:00Z</dcterms:created>
  <dcterms:modified xsi:type="dcterms:W3CDTF">2026-03-25T15:25:00Z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