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09B38E5" w14:textId="77777777" w:rsidTr="00F363FE">
        <w:tc>
          <w:tcPr>
            <w:tcW w:w="6512" w:type="dxa"/>
          </w:tcPr>
          <w:p w14:paraId="52DE8330" w14:textId="74F07DED"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3D7C2B">
              <w:rPr>
                <w:rFonts w:hint="cs"/>
                <w:b/>
                <w:bCs/>
                <w:rtl/>
                <w:lang w:bidi="ar-EG"/>
              </w:rPr>
              <w:t xml:space="preserve"> </w:t>
            </w:r>
            <w:r w:rsidR="003D7C2B">
              <w:rPr>
                <w:b/>
                <w:bCs/>
                <w:lang w:bidi="ar-EG"/>
              </w:rPr>
              <w:t>ADM 1</w:t>
            </w:r>
          </w:p>
        </w:tc>
        <w:tc>
          <w:tcPr>
            <w:tcW w:w="3117" w:type="dxa"/>
          </w:tcPr>
          <w:p w14:paraId="3D5BAA26" w14:textId="2D580D1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D7C2B">
              <w:rPr>
                <w:b/>
                <w:bCs/>
                <w:lang w:bidi="ar-EG"/>
              </w:rPr>
              <w:t>43</w:t>
            </w:r>
            <w:r w:rsidRPr="007B0AA0">
              <w:rPr>
                <w:b/>
                <w:bCs/>
                <w:lang w:bidi="ar-EG"/>
              </w:rPr>
              <w:t>-A</w:t>
            </w:r>
          </w:p>
        </w:tc>
      </w:tr>
      <w:tr w:rsidR="007B0AA0" w14:paraId="574AEB1F" w14:textId="77777777" w:rsidTr="00F363FE">
        <w:tc>
          <w:tcPr>
            <w:tcW w:w="6512" w:type="dxa"/>
          </w:tcPr>
          <w:p w14:paraId="5DE2486F" w14:textId="77777777" w:rsidR="007B0AA0" w:rsidRPr="007B0AA0" w:rsidRDefault="007B0AA0" w:rsidP="00F363FE">
            <w:pPr>
              <w:spacing w:before="60" w:after="60" w:line="260" w:lineRule="exact"/>
              <w:rPr>
                <w:b/>
                <w:bCs/>
                <w:rtl/>
                <w:lang w:bidi="ar-EG"/>
              </w:rPr>
            </w:pPr>
          </w:p>
        </w:tc>
        <w:tc>
          <w:tcPr>
            <w:tcW w:w="3117" w:type="dxa"/>
          </w:tcPr>
          <w:p w14:paraId="4D01C0B6" w14:textId="7C14EB85" w:rsidR="007B0AA0" w:rsidRPr="007B0AA0" w:rsidRDefault="003D7C2B" w:rsidP="00F363FE">
            <w:pPr>
              <w:spacing w:before="60" w:after="60" w:line="260" w:lineRule="exact"/>
              <w:rPr>
                <w:b/>
                <w:bCs/>
                <w:rtl/>
                <w:lang w:bidi="ar-EG"/>
              </w:rPr>
            </w:pPr>
            <w:r>
              <w:rPr>
                <w:rFonts w:hint="cs"/>
                <w:b/>
                <w:bCs/>
                <w:rtl/>
              </w:rPr>
              <w:t>‏3‏ مارس‏ 2026</w:t>
            </w:r>
          </w:p>
        </w:tc>
      </w:tr>
      <w:tr w:rsidR="007B0AA0" w14:paraId="07F4B1C0" w14:textId="77777777" w:rsidTr="00F363FE">
        <w:tc>
          <w:tcPr>
            <w:tcW w:w="6512" w:type="dxa"/>
          </w:tcPr>
          <w:p w14:paraId="702AD867" w14:textId="77777777" w:rsidR="007B0AA0" w:rsidRPr="007B0AA0" w:rsidRDefault="007B0AA0" w:rsidP="00F363FE">
            <w:pPr>
              <w:spacing w:before="60" w:after="60" w:line="260" w:lineRule="exact"/>
              <w:rPr>
                <w:b/>
                <w:bCs/>
                <w:rtl/>
                <w:lang w:bidi="ar-EG"/>
              </w:rPr>
            </w:pPr>
          </w:p>
        </w:tc>
        <w:tc>
          <w:tcPr>
            <w:tcW w:w="3117" w:type="dxa"/>
          </w:tcPr>
          <w:p w14:paraId="36BCE6F2"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480F6E97" w14:textId="77777777" w:rsidTr="00F363FE">
        <w:tc>
          <w:tcPr>
            <w:tcW w:w="6512" w:type="dxa"/>
          </w:tcPr>
          <w:p w14:paraId="5153D270" w14:textId="77777777" w:rsidR="007B0AA0" w:rsidRDefault="007B0AA0" w:rsidP="00F363FE">
            <w:pPr>
              <w:spacing w:before="60" w:after="60" w:line="260" w:lineRule="exact"/>
              <w:rPr>
                <w:lang w:bidi="ar-EG"/>
              </w:rPr>
            </w:pPr>
          </w:p>
        </w:tc>
        <w:tc>
          <w:tcPr>
            <w:tcW w:w="3117" w:type="dxa"/>
          </w:tcPr>
          <w:p w14:paraId="17BCFBAA" w14:textId="77777777" w:rsidR="007B0AA0" w:rsidRDefault="007B0AA0" w:rsidP="00F363FE">
            <w:pPr>
              <w:spacing w:before="60" w:after="60" w:line="260" w:lineRule="exact"/>
              <w:rPr>
                <w:rtl/>
                <w:lang w:bidi="ar-EG"/>
              </w:rPr>
            </w:pPr>
          </w:p>
        </w:tc>
      </w:tr>
      <w:tr w:rsidR="007B0AA0" w14:paraId="47239B32" w14:textId="77777777" w:rsidTr="00EE7446">
        <w:tc>
          <w:tcPr>
            <w:tcW w:w="9629" w:type="dxa"/>
            <w:gridSpan w:val="2"/>
          </w:tcPr>
          <w:p w14:paraId="13127BC9" w14:textId="77777777" w:rsidR="007B0AA0" w:rsidRDefault="001D64C7" w:rsidP="007B0AA0">
            <w:pPr>
              <w:pStyle w:val="Source"/>
              <w:jc w:val="left"/>
              <w:rPr>
                <w:lang w:bidi="ar-EG"/>
              </w:rPr>
            </w:pPr>
            <w:r>
              <w:rPr>
                <w:rFonts w:hint="cs"/>
                <w:rtl/>
                <w:lang w:bidi="ar-EG"/>
              </w:rPr>
              <w:t>تقرير من الأمينة العامة</w:t>
            </w:r>
          </w:p>
        </w:tc>
      </w:tr>
      <w:tr w:rsidR="007B0AA0" w14:paraId="4068DD16" w14:textId="77777777" w:rsidTr="007B0AA0">
        <w:tc>
          <w:tcPr>
            <w:tcW w:w="9629" w:type="dxa"/>
            <w:gridSpan w:val="2"/>
            <w:tcBorders>
              <w:bottom w:val="single" w:sz="4" w:space="0" w:color="auto"/>
            </w:tcBorders>
          </w:tcPr>
          <w:p w14:paraId="3C05AA73" w14:textId="45946B83" w:rsidR="007B0AA0" w:rsidRPr="0066057D" w:rsidRDefault="00225233" w:rsidP="0066057D">
            <w:pPr>
              <w:pStyle w:val="Subtitle0"/>
            </w:pPr>
            <w:r w:rsidRPr="0066057D">
              <w:rPr>
                <w:rtl/>
              </w:rPr>
              <w:t>آثار معالجة قرارات المؤتمر العالمي لتنمية الاتصالات لعام 2025</w:t>
            </w:r>
            <w:r w:rsidR="0066057D" w:rsidRPr="0066057D">
              <w:rPr>
                <w:rFonts w:hint="cs"/>
                <w:rtl/>
              </w:rPr>
              <w:t xml:space="preserve"> </w:t>
            </w:r>
            <w:r w:rsidR="0066057D" w:rsidRPr="0066057D">
              <w:t>(WTDC-25)</w:t>
            </w:r>
            <w:r w:rsidRPr="0066057D">
              <w:rPr>
                <w:rtl/>
              </w:rPr>
              <w:t xml:space="preserve"> على</w:t>
            </w:r>
            <w:r w:rsidR="0066057D">
              <w:rPr>
                <w:rFonts w:hint="eastAsia"/>
                <w:rtl/>
              </w:rPr>
              <w:t> </w:t>
            </w:r>
            <w:r w:rsidRPr="0066057D">
              <w:rPr>
                <w:rtl/>
              </w:rPr>
              <w:t>الميزانية السنوية</w:t>
            </w:r>
          </w:p>
        </w:tc>
      </w:tr>
      <w:tr w:rsidR="007B0AA0" w14:paraId="62E713CD" w14:textId="77777777" w:rsidTr="007B0AA0">
        <w:tc>
          <w:tcPr>
            <w:tcW w:w="9629" w:type="dxa"/>
            <w:gridSpan w:val="2"/>
            <w:tcBorders>
              <w:top w:val="single" w:sz="4" w:space="0" w:color="auto"/>
              <w:bottom w:val="single" w:sz="4" w:space="0" w:color="auto"/>
            </w:tcBorders>
          </w:tcPr>
          <w:p w14:paraId="11F670A2" w14:textId="77777777" w:rsidR="007B0AA0" w:rsidRPr="007B0AA0" w:rsidRDefault="007B0AA0" w:rsidP="007B0AA0">
            <w:pPr>
              <w:rPr>
                <w:b/>
                <w:bCs/>
                <w:rtl/>
              </w:rPr>
            </w:pPr>
            <w:r w:rsidRPr="00494119">
              <w:rPr>
                <w:rFonts w:hint="cs"/>
                <w:b/>
                <w:bCs/>
                <w:rtl/>
              </w:rPr>
              <w:t>الغرض</w:t>
            </w:r>
          </w:p>
          <w:p w14:paraId="73827460" w14:textId="43C48BE0" w:rsidR="00225233" w:rsidRDefault="00225233" w:rsidP="00225233">
            <w:pPr>
              <w:rPr>
                <w:rtl/>
              </w:rPr>
            </w:pPr>
            <w:r>
              <w:rPr>
                <w:rtl/>
              </w:rPr>
              <w:t>حدد تقرير لجنة مراقبة الميزانية للمؤتمر العالمي لتنمية الاتصالات لعام 2025 (</w:t>
            </w:r>
            <w:r>
              <w:t>WTDC-25</w:t>
            </w:r>
            <w:r>
              <w:rPr>
                <w:rtl/>
              </w:rPr>
              <w:t xml:space="preserve">) قرارات ومقررات المؤتمر، بما في ذلك مجالات العمل والدراسات التقنية وورش العمل الإضافية التي يتطلب تنفيذها موارد مالية إضافية. وقد بلغت التكاليف المقدَّرة لإنجاز هذه الأنشطة الجديدة </w:t>
            </w:r>
            <w:r w:rsidR="001C004D">
              <w:t>4,208</w:t>
            </w:r>
            <w:r>
              <w:rPr>
                <w:rtl/>
              </w:rPr>
              <w:t xml:space="preserve"> ملايين فرنك سويسري في شكل نفقات متكررة وغير متكررة مجتمعةً. وطلب المؤتمر من الأمينة العامة استرعاء عناية فريق العمل التابع للمجلس والمعني بالموارد المالية والبشرية (</w:t>
            </w:r>
            <w:r>
              <w:t>CWG-FHR</w:t>
            </w:r>
            <w:r>
              <w:rPr>
                <w:rtl/>
              </w:rPr>
              <w:t>) في اجتماعه الذي كان من المقرر عقده في يناير 2026 إلى ذلك حيث عرضت الوثيقة ونوقشت. واختتم الفريق اجتماعه بطلب وجهه إلى الأمانة مفاده عقد جلسة إعلامية بشأن التكاليف التقديرية في ضوء الآثار المالية للمؤتمر. واستُرعيت عناية المؤتمر إلى الرقم 142 (المادة 22) من دستور الاتحاد الدولي للاتصالات وكذلك إلى الرقمين 488 و489 (المادة 34) من اتفاقية الاتحاد الدولي للاتصالات.</w:t>
            </w:r>
          </w:p>
          <w:p w14:paraId="364BAFF3" w14:textId="149897A3" w:rsidR="007B0AA0" w:rsidRDefault="00225233" w:rsidP="00225233">
            <w:pPr>
              <w:rPr>
                <w:rtl/>
              </w:rPr>
            </w:pPr>
            <w:r>
              <w:rPr>
                <w:rtl/>
              </w:rPr>
              <w:t xml:space="preserve">وستُنفَّذ القرارات التي اعتُمِدت في المؤتمر باستخدام الميزانية العادية، علاوةً على الأموال الخارجة عن الميزانية المتلقاة من خلال المشاريع والمساهمات الطوعية. وتقترح الأمانة، من خلال وثيقة المجلس </w:t>
            </w:r>
            <w:hyperlink r:id="rId8" w:history="1">
              <w:r w:rsidRPr="00225233">
                <w:rPr>
                  <w:rStyle w:val="Hyperlink"/>
                  <w:noProof w:val="0"/>
                  <w:lang w:val="en-US" w:eastAsia="zh-CN"/>
                </w:rPr>
                <w:t>C26/42</w:t>
              </w:r>
            </w:hyperlink>
            <w:r>
              <w:rPr>
                <w:rtl/>
              </w:rPr>
              <w:t>، تخصيص جزء من الوفورات الناتجة عن تنفيذ ميزانية 2025 للمبادرات الإقليمية التي وافق عليها المؤتمر.</w:t>
            </w:r>
          </w:p>
          <w:p w14:paraId="10A9C07E" w14:textId="77777777" w:rsidR="007B0AA0" w:rsidRPr="007B0AA0" w:rsidRDefault="007B0AA0" w:rsidP="007B0AA0">
            <w:pPr>
              <w:rPr>
                <w:b/>
                <w:bCs/>
                <w:rtl/>
              </w:rPr>
            </w:pPr>
            <w:r w:rsidRPr="007B0AA0">
              <w:rPr>
                <w:rFonts w:hint="cs"/>
                <w:b/>
                <w:bCs/>
                <w:rtl/>
              </w:rPr>
              <w:t>الإجراء المطلوب من المجلس</w:t>
            </w:r>
          </w:p>
          <w:p w14:paraId="5B4A52A0" w14:textId="1CD7CD73" w:rsidR="007B0AA0" w:rsidRDefault="00225233" w:rsidP="007B0AA0">
            <w:pPr>
              <w:rPr>
                <w:rtl/>
              </w:rPr>
            </w:pPr>
            <w:r w:rsidRPr="00225233">
              <w:rPr>
                <w:rtl/>
              </w:rPr>
              <w:t xml:space="preserve">يُدعى المجلس إلى </w:t>
            </w:r>
            <w:r w:rsidRPr="00225233">
              <w:rPr>
                <w:b/>
                <w:bCs/>
                <w:rtl/>
              </w:rPr>
              <w:t>النظر</w:t>
            </w:r>
            <w:r w:rsidRPr="00225233">
              <w:rPr>
                <w:rtl/>
              </w:rPr>
              <w:t xml:space="preserve"> في التقرير و</w:t>
            </w:r>
            <w:r w:rsidRPr="00225233">
              <w:rPr>
                <w:b/>
                <w:bCs/>
                <w:rtl/>
              </w:rPr>
              <w:t>تقديم مزيد من التوجيهات</w:t>
            </w:r>
            <w:r w:rsidRPr="00225233">
              <w:rPr>
                <w:rtl/>
              </w:rPr>
              <w:t>.</w:t>
            </w:r>
          </w:p>
          <w:p w14:paraId="4D50AE73"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2B4141F4" w14:textId="61C91D79" w:rsidR="007B0AA0" w:rsidRDefault="00225233" w:rsidP="007B0AA0">
            <w:pPr>
              <w:rPr>
                <w:rtl/>
              </w:rPr>
            </w:pPr>
            <w:r w:rsidRPr="00225233">
              <w:rPr>
                <w:rtl/>
              </w:rPr>
              <w:t xml:space="preserve">منصة </w:t>
            </w:r>
            <w:r w:rsidR="00FB74EE">
              <w:rPr>
                <w:rFonts w:hint="cs"/>
                <w:rtl/>
              </w:rPr>
              <w:t>عقد الاجتماعات</w:t>
            </w:r>
          </w:p>
          <w:p w14:paraId="018BEEC2" w14:textId="77777777" w:rsidR="007B0AA0" w:rsidRDefault="007B0AA0" w:rsidP="00B97F32">
            <w:pPr>
              <w:rPr>
                <w:b/>
                <w:bCs/>
              </w:rPr>
            </w:pPr>
            <w:r w:rsidRPr="007B0AA0">
              <w:rPr>
                <w:rFonts w:hint="cs"/>
                <w:b/>
                <w:bCs/>
                <w:rtl/>
              </w:rPr>
              <w:t>الآثار المالية</w:t>
            </w:r>
          </w:p>
          <w:p w14:paraId="70533608" w14:textId="31DEFDDE" w:rsidR="006F363C" w:rsidRPr="00225233" w:rsidRDefault="00225233" w:rsidP="007B0AA0">
            <w:pPr>
              <w:rPr>
                <w:spacing w:val="-3"/>
                <w:rtl/>
              </w:rPr>
            </w:pPr>
            <w:r w:rsidRPr="00225233">
              <w:rPr>
                <w:spacing w:val="-3"/>
                <w:rtl/>
              </w:rPr>
              <w:t>قدرت لجنة مراقبة الميزانية أن الآثار المالية لقرارات المؤتمر (</w:t>
            </w:r>
            <w:r w:rsidRPr="00225233">
              <w:rPr>
                <w:spacing w:val="-3"/>
              </w:rPr>
              <w:t>WTDC-25</w:t>
            </w:r>
            <w:r w:rsidRPr="00225233">
              <w:rPr>
                <w:spacing w:val="-3"/>
                <w:rtl/>
              </w:rPr>
              <w:t xml:space="preserve">) بلغت </w:t>
            </w:r>
            <w:r w:rsidR="001C004D">
              <w:rPr>
                <w:spacing w:val="-3"/>
              </w:rPr>
              <w:t>4,208</w:t>
            </w:r>
            <w:r w:rsidRPr="00225233">
              <w:rPr>
                <w:spacing w:val="-3"/>
                <w:rtl/>
              </w:rPr>
              <w:t xml:space="preserve"> ملايين فرنك سويسري. وستُنفَّذ القرارات التي اعتمدها المؤتمر من خلال المبادرات الإقليمية باستخدام الميزانية العادية، علاوةً على الأموال الخارجة عن الميزانية المتلقاة من خلال المشاريع والمساهمات الطوعية. وتقترح الأمانة، من خلال وثيقة المجلس</w:t>
            </w:r>
            <w:r w:rsidRPr="00225233">
              <w:rPr>
                <w:rFonts w:hint="eastAsia"/>
                <w:spacing w:val="-3"/>
                <w:rtl/>
                <w:lang w:bidi="ar-EG"/>
              </w:rPr>
              <w:t> </w:t>
            </w:r>
            <w:hyperlink r:id="rId9" w:history="1">
              <w:r w:rsidRPr="00225233">
                <w:rPr>
                  <w:rStyle w:val="Hyperlink"/>
                  <w:noProof w:val="0"/>
                  <w:spacing w:val="-3"/>
                  <w:lang w:val="en-US" w:eastAsia="zh-CN"/>
                </w:rPr>
                <w:t>C26/42</w:t>
              </w:r>
            </w:hyperlink>
            <w:r w:rsidRPr="00225233">
              <w:rPr>
                <w:spacing w:val="-3"/>
                <w:rtl/>
              </w:rPr>
              <w:t>، تخصيص جزء من الوفورات الناتجة عن تنفيذ ميزانية 2025 للمبادرات الإقليمية التي وافق عليها المؤتمر.</w:t>
            </w:r>
          </w:p>
          <w:p w14:paraId="434CBB88"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1C321B3" w14:textId="77777777" w:rsidR="007B0AA0" w:rsidRPr="007B0AA0" w:rsidRDefault="007B0AA0" w:rsidP="007B0AA0">
            <w:pPr>
              <w:rPr>
                <w:b/>
                <w:bCs/>
                <w:rtl/>
              </w:rPr>
            </w:pPr>
            <w:r w:rsidRPr="007B0AA0">
              <w:rPr>
                <w:rFonts w:hint="cs"/>
                <w:b/>
                <w:bCs/>
                <w:rtl/>
              </w:rPr>
              <w:t>المراجع</w:t>
            </w:r>
          </w:p>
          <w:p w14:paraId="65F0D34D" w14:textId="47231229" w:rsidR="007B0AA0" w:rsidRPr="005546CF" w:rsidRDefault="00225233" w:rsidP="00225233">
            <w:pPr>
              <w:rPr>
                <w:i/>
                <w:iCs/>
                <w:rtl/>
              </w:rPr>
            </w:pPr>
            <w:r w:rsidRPr="00225233">
              <w:rPr>
                <w:i/>
                <w:iCs/>
                <w:rtl/>
              </w:rPr>
              <w:t>الوثيقتان</w:t>
            </w:r>
            <w:r>
              <w:rPr>
                <w:rFonts w:hint="cs"/>
                <w:i/>
                <w:iCs/>
                <w:rtl/>
              </w:rPr>
              <w:t xml:space="preserve"> </w:t>
            </w:r>
            <w:hyperlink r:id="rId10" w:history="1">
              <w:r w:rsidRPr="00624405">
                <w:rPr>
                  <w:rStyle w:val="Hyperlink"/>
                  <w:i/>
                  <w:iCs/>
                  <w:lang w:val="pt-BR"/>
                </w:rPr>
                <w:t>WTDC-25/70</w:t>
              </w:r>
            </w:hyperlink>
            <w:r>
              <w:rPr>
                <w:rFonts w:hint="cs"/>
                <w:rtl/>
              </w:rPr>
              <w:t xml:space="preserve"> و</w:t>
            </w:r>
            <w:hyperlink r:id="rId11" w:history="1">
              <w:r w:rsidRPr="00225233">
                <w:rPr>
                  <w:rStyle w:val="Hyperlink"/>
                  <w:i/>
                  <w:iCs/>
                  <w:noProof w:val="0"/>
                  <w:lang w:val="pt-BR" w:eastAsia="zh-CN"/>
                </w:rPr>
                <w:t>CWG-FHR-22/7</w:t>
              </w:r>
            </w:hyperlink>
          </w:p>
        </w:tc>
      </w:tr>
    </w:tbl>
    <w:p w14:paraId="62693D10" w14:textId="77777777" w:rsidR="00F50E3F" w:rsidRDefault="00F50E3F" w:rsidP="0043260A">
      <w:pPr>
        <w:rPr>
          <w:rtl/>
          <w:lang w:bidi="ar-EG"/>
        </w:rPr>
      </w:pPr>
      <w:r>
        <w:rPr>
          <w:rtl/>
          <w:lang w:bidi="ar-EG"/>
        </w:rPr>
        <w:br w:type="page"/>
      </w:r>
    </w:p>
    <w:p w14:paraId="28AE6095" w14:textId="77777777" w:rsidR="00225233" w:rsidRDefault="00225233" w:rsidP="001C004D">
      <w:pPr>
        <w:pStyle w:val="Heading1"/>
        <w:rPr>
          <w:lang w:bidi="ar-EG"/>
        </w:rPr>
      </w:pPr>
      <w:r>
        <w:rPr>
          <w:rtl/>
          <w:lang w:bidi="ar-EG"/>
        </w:rPr>
        <w:lastRenderedPageBreak/>
        <w:t>1</w:t>
      </w:r>
      <w:r>
        <w:rPr>
          <w:rtl/>
          <w:lang w:bidi="ar-EG"/>
        </w:rPr>
        <w:tab/>
        <w:t>مقدمة</w:t>
      </w:r>
    </w:p>
    <w:p w14:paraId="44BC0C78" w14:textId="3C5BD999" w:rsidR="00225233" w:rsidRDefault="001C004D" w:rsidP="00225233">
      <w:pPr>
        <w:rPr>
          <w:lang w:bidi="ar-EG"/>
        </w:rPr>
      </w:pPr>
      <w:r>
        <w:rPr>
          <w:lang w:bidi="ar-EG"/>
        </w:rPr>
        <w:t>1.1</w:t>
      </w:r>
      <w:r>
        <w:rPr>
          <w:lang w:bidi="ar-EG"/>
        </w:rPr>
        <w:tab/>
      </w:r>
      <w:r w:rsidR="00225233">
        <w:rPr>
          <w:rtl/>
          <w:lang w:bidi="ar-EG"/>
        </w:rPr>
        <w:t>اعتمد المؤتمر العالمي لتنمية الاتصالات لعام 2025 (</w:t>
      </w:r>
      <w:r w:rsidR="00225233">
        <w:rPr>
          <w:lang w:bidi="ar-EG"/>
        </w:rPr>
        <w:t>WTDC-25</w:t>
      </w:r>
      <w:r w:rsidR="00225233">
        <w:rPr>
          <w:rtl/>
          <w:lang w:bidi="ar-EG"/>
        </w:rPr>
        <w:t>)، الذي عُقد في باكو بجمهورية أذربيجان، في</w:t>
      </w:r>
      <w:r>
        <w:rPr>
          <w:rFonts w:hint="eastAsia"/>
          <w:rtl/>
          <w:lang w:bidi="ar-EG"/>
        </w:rPr>
        <w:t> </w:t>
      </w:r>
      <w:r w:rsidR="00225233">
        <w:rPr>
          <w:rtl/>
          <w:lang w:bidi="ar-EG"/>
        </w:rPr>
        <w:t>الفترة من 17 إلى 28 نوفمبر 2025، بعض القرارات بشأن أنشطة ودراسات وورش عمل جديدة لتمكين مكتب تنمية الاتصالات من الاستجابة في الوقت المناسب لطلبات الأعضاء ومعالجة القضايا الاستراتيجية التي ستتطلب عناية المؤتمر العالمي لتنمية الاتصالات لعام 2029 (</w:t>
      </w:r>
      <w:r w:rsidR="00225233">
        <w:rPr>
          <w:lang w:bidi="ar-EG"/>
        </w:rPr>
        <w:t>WTDC-29</w:t>
      </w:r>
      <w:r w:rsidR="00225233">
        <w:rPr>
          <w:rtl/>
          <w:lang w:bidi="ar-EG"/>
        </w:rPr>
        <w:t>).</w:t>
      </w:r>
    </w:p>
    <w:p w14:paraId="7D373759" w14:textId="77777777" w:rsidR="00225233" w:rsidRDefault="00225233" w:rsidP="00225233">
      <w:pPr>
        <w:rPr>
          <w:lang w:bidi="ar-EG"/>
        </w:rPr>
      </w:pPr>
      <w:r>
        <w:rPr>
          <w:rtl/>
          <w:lang w:bidi="ar-EG"/>
        </w:rPr>
        <w:t>وتُسترعى عناية المؤتمر إلى الرقم 142 (المادة 22) من دستور الاتحاد الدولي للاتصالات، الذي ينص على ما يلي:</w:t>
      </w:r>
    </w:p>
    <w:p w14:paraId="4A5356C7" w14:textId="77777777" w:rsidR="00225233" w:rsidRDefault="00225233" w:rsidP="00BE6610">
      <w:pPr>
        <w:pStyle w:val="enumlev1"/>
      </w:pPr>
      <w:r>
        <w:rPr>
          <w:rtl/>
        </w:rPr>
        <w:tab/>
        <w:t>"4</w:t>
      </w:r>
      <w:r>
        <w:rPr>
          <w:rtl/>
        </w:rPr>
        <w:tab/>
        <w:t>لا يصدر عن مؤتمرات تنمية الاتصالات أي وثائق ختامية، بل تتخذ استنتاجاتها شكل قرارات أو مقررات أو توصيات أو تقارير. ويجب أن تتوافق هذه الاستنتاجات، في جميع الأحوال، مع أحكام هذا الدستور والاتفاقية واللوائح الإدارية. ويجب على المؤتمرات، عند اعتمادها قرارات أو مقررات، أن تأخذ في الاعتبار الآثار المالية التي قد تترتب عليها، وينبغي أن تتجنب اعتماد قرارات ومقررات من شأنها أن تؤدي إلى نفقات تتجاوز الحدود المالية التي يضعها مؤتمر المندوبين المفوضين."</w:t>
      </w:r>
    </w:p>
    <w:p w14:paraId="7A34FD76" w14:textId="4AD9CD51" w:rsidR="00225233" w:rsidRDefault="00BE6610" w:rsidP="00225233">
      <w:pPr>
        <w:rPr>
          <w:lang w:bidi="ar-EG"/>
        </w:rPr>
      </w:pPr>
      <w:r>
        <w:rPr>
          <w:lang w:bidi="ar-EG"/>
        </w:rPr>
        <w:t>2.1</w:t>
      </w:r>
      <w:r w:rsidR="00225233">
        <w:rPr>
          <w:rtl/>
          <w:lang w:bidi="ar-EG"/>
        </w:rPr>
        <w:tab/>
        <w:t>وتسترعي عناية المؤتمر أيضاً إلى الرقمين 488 و489 (المادة 34) من اتفاقية الاتحاد الدولي للاتصالات اللذين ينصان على ما يلي على الترتيب:</w:t>
      </w:r>
    </w:p>
    <w:p w14:paraId="5DEC8AA8" w14:textId="77777777" w:rsidR="00225233" w:rsidRDefault="00225233" w:rsidP="00BE6610">
      <w:pPr>
        <w:pStyle w:val="enumlev1"/>
        <w:rPr>
          <w:lang w:bidi="ar-EG"/>
        </w:rPr>
      </w:pPr>
      <w:r>
        <w:rPr>
          <w:rtl/>
          <w:lang w:bidi="ar-EG"/>
        </w:rPr>
        <w:tab/>
        <w:t>"1</w:t>
      </w:r>
      <w:r>
        <w:rPr>
          <w:rtl/>
          <w:lang w:bidi="ar-EG"/>
        </w:rPr>
        <w:tab/>
        <w:t>قبل أن تعتمد مؤتمرات الاتحاد مقترحات أو تتخذ قرارات لها آثار مالية، عليها أن تراعي جميع تقديرات ميزانية الاتحاد للتأكد من أن تلك المقترحات أو القرارات لن تستدعي نفقات تتجاوز الاعتمادات التي يكون المجلس مخولاً للسماح بها.</w:t>
      </w:r>
    </w:p>
    <w:p w14:paraId="5690335C" w14:textId="77777777" w:rsidR="00225233" w:rsidRDefault="00225233" w:rsidP="00BE6610">
      <w:pPr>
        <w:pStyle w:val="enumlev1"/>
        <w:rPr>
          <w:lang w:bidi="ar-EG"/>
        </w:rPr>
      </w:pPr>
      <w:r>
        <w:rPr>
          <w:rtl/>
          <w:lang w:bidi="ar-EG"/>
        </w:rPr>
        <w:tab/>
        <w:t>2</w:t>
      </w:r>
      <w:r>
        <w:rPr>
          <w:rtl/>
          <w:lang w:bidi="ar-EG"/>
        </w:rPr>
        <w:tab/>
        <w:t>لا يتخذ أي إجراء لتنفيذ أي قرار اتخذه أحد المؤتمرات إذا كان يستدعي زيادة مباشرة أو غير مباشرة في النفقات بما يتجاوز الاعتمادات التي يكون المجلس مخولاً للسماح بها."</w:t>
      </w:r>
    </w:p>
    <w:p w14:paraId="265AA612" w14:textId="77777777" w:rsidR="007A1A58" w:rsidRDefault="00BE6610" w:rsidP="00225233">
      <w:pPr>
        <w:rPr>
          <w:spacing w:val="-2"/>
          <w:rtl/>
          <w:lang w:bidi="ar-EG"/>
        </w:rPr>
      </w:pPr>
      <w:r w:rsidRPr="00BE6610">
        <w:rPr>
          <w:spacing w:val="-2"/>
          <w:lang w:bidi="ar-EG"/>
        </w:rPr>
        <w:t>3.1</w:t>
      </w:r>
      <w:r w:rsidR="00225233" w:rsidRPr="00BE6610">
        <w:rPr>
          <w:spacing w:val="-2"/>
          <w:rtl/>
          <w:lang w:bidi="ar-EG"/>
        </w:rPr>
        <w:tab/>
        <w:t>ومكتب تنمية الاتصالات (</w:t>
      </w:r>
      <w:r w:rsidR="00225233" w:rsidRPr="00BE6610">
        <w:rPr>
          <w:spacing w:val="-2"/>
          <w:lang w:bidi="ar-EG"/>
        </w:rPr>
        <w:t>BDT</w:t>
      </w:r>
      <w:r w:rsidR="00225233" w:rsidRPr="00BE6610">
        <w:rPr>
          <w:spacing w:val="-2"/>
          <w:rtl/>
          <w:lang w:bidi="ar-EG"/>
        </w:rPr>
        <w:t>) مكلف بتنفيذ هذه الأنشطة وتقديم تقرير عنها إلى المؤتمر العالمي لتنمية الاتصالات لعام 2029 (</w:t>
      </w:r>
      <w:r w:rsidR="00225233" w:rsidRPr="00BE6610">
        <w:rPr>
          <w:spacing w:val="-2"/>
          <w:lang w:bidi="ar-EG"/>
        </w:rPr>
        <w:t>WTDC-29</w:t>
      </w:r>
      <w:r w:rsidR="00225233" w:rsidRPr="00BE6610">
        <w:rPr>
          <w:spacing w:val="-2"/>
          <w:rtl/>
          <w:lang w:bidi="ar-EG"/>
        </w:rPr>
        <w:t>) المقبل. واستناداً إلى محصلات المؤتمر، قدرت لجنة مراقبة الميزانية أن الآثار المالية المترتبة على قرارات المؤتمر (</w:t>
      </w:r>
      <w:r w:rsidR="00225233" w:rsidRPr="00BE6610">
        <w:rPr>
          <w:spacing w:val="-2"/>
          <w:lang w:bidi="ar-EG"/>
        </w:rPr>
        <w:t>WTDC-25</w:t>
      </w:r>
      <w:r w:rsidR="00225233" w:rsidRPr="00BE6610">
        <w:rPr>
          <w:spacing w:val="-2"/>
          <w:rtl/>
          <w:lang w:bidi="ar-EG"/>
        </w:rPr>
        <w:t xml:space="preserve">) تبلغ </w:t>
      </w:r>
      <w:r w:rsidRPr="00BE6610">
        <w:rPr>
          <w:spacing w:val="-2"/>
          <w:lang w:bidi="ar-EG"/>
        </w:rPr>
        <w:t>4,208</w:t>
      </w:r>
      <w:r w:rsidR="00225233" w:rsidRPr="00BE6610">
        <w:rPr>
          <w:spacing w:val="-2"/>
          <w:rtl/>
          <w:lang w:bidi="ar-EG"/>
        </w:rPr>
        <w:t xml:space="preserve"> ملايين فرنك سويسري (انظر الوثيقة </w:t>
      </w:r>
      <w:hyperlink r:id="rId12" w:history="1">
        <w:r w:rsidR="00225233" w:rsidRPr="00BE6610">
          <w:rPr>
            <w:rStyle w:val="Hyperlink"/>
            <w:noProof w:val="0"/>
            <w:spacing w:val="-2"/>
            <w:lang w:val="en-US" w:eastAsia="zh-CN" w:bidi="ar-EG"/>
          </w:rPr>
          <w:t>WTDC-25/70</w:t>
        </w:r>
      </w:hyperlink>
      <w:r w:rsidR="00225233" w:rsidRPr="00BE6610">
        <w:rPr>
          <w:spacing w:val="-2"/>
          <w:rtl/>
          <w:lang w:bidi="ar-EG"/>
        </w:rPr>
        <w:t>). ومن باب التيسير، يعرض هذا القسم المعلومات المقدمة في تقرير لجنة مراقبة ميزانية المؤتمر العالمي لتنمية الاتصالات لعام 2025.</w:t>
      </w:r>
    </w:p>
    <w:p w14:paraId="63142FA8" w14:textId="5B42A256" w:rsidR="00225233" w:rsidRDefault="00225233" w:rsidP="00225233">
      <w:pPr>
        <w:rPr>
          <w:lang w:bidi="ar-EG"/>
        </w:rPr>
      </w:pPr>
      <w:r>
        <w:rPr>
          <w:rtl/>
          <w:lang w:bidi="ar-EG"/>
        </w:rPr>
        <w:t xml:space="preserve">وستُنفَّذ القرارات التي اعتُمِدت في المؤتمر باستخدام الميزانية العادية، علاوةً على الأموال الخارجة عن الميزانية المتلقاة من خلال المشاريع والمساهمات الطوعية. وتقترح الأمانة، من خلال وثيقة المجلس </w:t>
      </w:r>
      <w:hyperlink r:id="rId13" w:history="1">
        <w:r w:rsidRPr="00BE6610">
          <w:rPr>
            <w:rStyle w:val="Hyperlink"/>
            <w:noProof w:val="0"/>
            <w:lang w:val="en-US" w:eastAsia="zh-CN" w:bidi="ar-EG"/>
          </w:rPr>
          <w:t>C26/42</w:t>
        </w:r>
      </w:hyperlink>
      <w:r>
        <w:rPr>
          <w:rtl/>
          <w:lang w:bidi="ar-EG"/>
        </w:rPr>
        <w:t>، تخصيص جزء من الوفورات الناتجة عن تنفيذ ميزانية عام 2025 للمبادرات الإقليمية التي وافق عليها المؤتمر.</w:t>
      </w:r>
    </w:p>
    <w:p w14:paraId="18751C6C" w14:textId="77777777" w:rsidR="00225233" w:rsidRDefault="00225233" w:rsidP="00BE6610">
      <w:pPr>
        <w:pStyle w:val="Heading2"/>
        <w:rPr>
          <w:lang w:bidi="ar-EG"/>
        </w:rPr>
      </w:pPr>
      <w:r>
        <w:rPr>
          <w:rtl/>
          <w:lang w:bidi="ar-EG"/>
        </w:rPr>
        <w:t>2</w:t>
      </w:r>
      <w:r>
        <w:rPr>
          <w:rtl/>
          <w:lang w:bidi="ar-EG"/>
        </w:rPr>
        <w:tab/>
        <w:t>آثار قرارات المؤتمر العالمي لتنمية الاتصالات لعام 2025 على الميزانية</w:t>
      </w:r>
    </w:p>
    <w:p w14:paraId="5FD00D49" w14:textId="6E938401" w:rsidR="00225233" w:rsidRDefault="004B1E21" w:rsidP="00225233">
      <w:pPr>
        <w:rPr>
          <w:lang w:bidi="ar-EG"/>
        </w:rPr>
      </w:pPr>
      <w:r>
        <w:rPr>
          <w:lang w:bidi="ar-EG"/>
        </w:rPr>
        <w:t>1.2</w:t>
      </w:r>
      <w:r w:rsidR="00225233">
        <w:rPr>
          <w:rtl/>
          <w:lang w:bidi="ar-EG"/>
        </w:rPr>
        <w:tab/>
        <w:t>راجع مؤتمر عام 2025 ما مقداره 44 قراراً قائماً من قرارات المؤتمر، لضمان استمرار تركيز قطاع تنمية الاتصالات (</w:t>
      </w:r>
      <w:r w:rsidR="00225233">
        <w:rPr>
          <w:lang w:bidi="ar-EG"/>
        </w:rPr>
        <w:t>ITU-D</w:t>
      </w:r>
      <w:r w:rsidR="00225233">
        <w:rPr>
          <w:rtl/>
          <w:lang w:bidi="ar-EG"/>
        </w:rPr>
        <w:t xml:space="preserve">) على تلبية احتياجات الدول الأعضاء. وأصدر أيضاً أربعة (4) قرارات جديدة. وحددت لجنة مراقبة الميزانية تكاليف قرارات المؤتمر العالمي لتنمية الاتصالات لعام 2025 فيما يتعلق بالموارد اللازمة لتنفيذ القرارات الجديدة </w:t>
      </w:r>
      <w:r w:rsidR="00225233" w:rsidRPr="0087703B">
        <w:rPr>
          <w:rtl/>
          <w:lang w:bidi="ar-EG"/>
        </w:rPr>
        <w:t>والمعدلة</w:t>
      </w:r>
      <w:r w:rsidR="00225233">
        <w:rPr>
          <w:rtl/>
          <w:lang w:bidi="ar-EG"/>
        </w:rPr>
        <w:t>. ويعرض الجدول أدناه تفاصيل الآثار المالية للمؤتمر العالمي لتنمية الاتصالات لعام 2025 من حيث التكاليف غير المتكررة والسنوية على حد سواء.</w:t>
      </w:r>
    </w:p>
    <w:p w14:paraId="4B9A903F" w14:textId="375DF15A" w:rsidR="00225233" w:rsidRDefault="004B1E21" w:rsidP="00225233">
      <w:pPr>
        <w:rPr>
          <w:lang w:bidi="ar-EG"/>
        </w:rPr>
      </w:pPr>
      <w:r>
        <w:rPr>
          <w:lang w:bidi="ar-EG"/>
        </w:rPr>
        <w:t>2.2</w:t>
      </w:r>
      <w:r w:rsidR="00225233">
        <w:rPr>
          <w:rtl/>
          <w:lang w:bidi="ar-EG"/>
        </w:rPr>
        <w:tab/>
        <w:t>وقد اعتمد قرار جديد هو القرار 91 (باكو، 2025) وخمسة قرارات مُراجَعة في المؤتمر العالمي لتنمية الاتصالات لعام 2025 تترتب عليها آثار مالية. وستُنفَّذ محصلات المؤتمر باستخدام الميزانية العادية، علاوةً على الأموال الخارجة عن الميزانية المتلقاة من خلال المشاريع والمساهمات الطوعية. وقد قُدِّم إلى الفريق الاستشاري لتنمية الاتصالات لعام</w:t>
      </w:r>
      <w:r>
        <w:rPr>
          <w:rFonts w:hint="eastAsia"/>
          <w:rtl/>
          <w:lang w:bidi="ar-EG"/>
        </w:rPr>
        <w:t> </w:t>
      </w:r>
      <w:r w:rsidR="00225233">
        <w:rPr>
          <w:rtl/>
          <w:lang w:bidi="ar-EG"/>
        </w:rPr>
        <w:t>2026 (</w:t>
      </w:r>
      <w:r w:rsidR="00225233">
        <w:rPr>
          <w:lang w:bidi="ar-EG"/>
        </w:rPr>
        <w:t>TDAG-26</w:t>
      </w:r>
      <w:r w:rsidR="00225233">
        <w:rPr>
          <w:rtl/>
          <w:lang w:bidi="ar-EG"/>
        </w:rPr>
        <w:t xml:space="preserve">) </w:t>
      </w:r>
      <w:hyperlink r:id="rId14" w:history="1">
        <w:r w:rsidR="00225233" w:rsidRPr="004B1E21">
          <w:rPr>
            <w:rStyle w:val="Hyperlink"/>
            <w:noProof w:val="0"/>
            <w:rtl/>
            <w:lang w:val="en-US" w:eastAsia="zh-CN" w:bidi="ar-EG"/>
          </w:rPr>
          <w:t>تقرير</w:t>
        </w:r>
      </w:hyperlink>
      <w:r w:rsidR="00225233">
        <w:rPr>
          <w:rtl/>
          <w:lang w:bidi="ar-EG"/>
        </w:rPr>
        <w:t xml:space="preserve"> منفصل عن الآثار المالية المترتبة على القرارات التي اعتمدها مؤتمر عام 2025.</w:t>
      </w:r>
    </w:p>
    <w:p w14:paraId="039C9BDB" w14:textId="2B2DABA4" w:rsidR="00225233" w:rsidRDefault="004B1E21" w:rsidP="00225233">
      <w:pPr>
        <w:rPr>
          <w:lang w:bidi="ar-EG"/>
        </w:rPr>
      </w:pPr>
      <w:r>
        <w:rPr>
          <w:lang w:bidi="ar-EG"/>
        </w:rPr>
        <w:t>3.2</w:t>
      </w:r>
      <w:r w:rsidR="00225233">
        <w:rPr>
          <w:rtl/>
          <w:lang w:bidi="ar-EG"/>
        </w:rPr>
        <w:tab/>
        <w:t>ويمكن النظر في المصادر التالية لتمويل تكاليف تنفيذ قرارات المؤتمر العالمي لتنمية الاتصالات:</w:t>
      </w:r>
    </w:p>
    <w:p w14:paraId="2A13C14E" w14:textId="3FC66165" w:rsidR="00225233" w:rsidRDefault="004B1E21" w:rsidP="004B1E21">
      <w:pPr>
        <w:pStyle w:val="enumlev1"/>
      </w:pPr>
      <w:r>
        <w:rPr>
          <w:rtl/>
        </w:rPr>
        <w:t>‒</w:t>
      </w:r>
      <w:r w:rsidR="00225233">
        <w:rPr>
          <w:rtl/>
        </w:rPr>
        <w:tab/>
        <w:t>تحقيق وفورات من التمويل المقدم من البلد المضيف لتنظيم المؤتمر، رهنا</w:t>
      </w:r>
      <w:r w:rsidR="00B16044">
        <w:rPr>
          <w:rFonts w:hint="cs"/>
          <w:rtl/>
        </w:rPr>
        <w:t>ً</w:t>
      </w:r>
      <w:r w:rsidR="00225233">
        <w:rPr>
          <w:rtl/>
        </w:rPr>
        <w:t xml:space="preserve"> بموافقة ذلك البلد؛</w:t>
      </w:r>
    </w:p>
    <w:p w14:paraId="52EB8F46" w14:textId="2D102600" w:rsidR="00225233" w:rsidRDefault="004B1E21" w:rsidP="004B1E21">
      <w:pPr>
        <w:pStyle w:val="enumlev1"/>
      </w:pPr>
      <w:r>
        <w:rPr>
          <w:rtl/>
        </w:rPr>
        <w:t>‒</w:t>
      </w:r>
      <w:r w:rsidR="00225233">
        <w:rPr>
          <w:rtl/>
        </w:rPr>
        <w:tab/>
        <w:t>المساهمات الطوعية؛</w:t>
      </w:r>
    </w:p>
    <w:p w14:paraId="31E44447" w14:textId="3893393B" w:rsidR="00225233" w:rsidRDefault="004B1E21" w:rsidP="004B1E21">
      <w:pPr>
        <w:pStyle w:val="enumlev1"/>
      </w:pPr>
      <w:r>
        <w:rPr>
          <w:rtl/>
        </w:rPr>
        <w:t>‒</w:t>
      </w:r>
      <w:r w:rsidR="00225233">
        <w:rPr>
          <w:rtl/>
        </w:rPr>
        <w:tab/>
        <w:t>اعتمادات إضافية من الميزانية العادية رهنا</w:t>
      </w:r>
      <w:r w:rsidR="00B16044">
        <w:rPr>
          <w:rFonts w:hint="cs"/>
          <w:rtl/>
        </w:rPr>
        <w:t>ً</w:t>
      </w:r>
      <w:r w:rsidR="00225233">
        <w:rPr>
          <w:rtl/>
        </w:rPr>
        <w:t xml:space="preserve"> بمصادر الإيرادات الإضافية المحددة.</w:t>
      </w:r>
    </w:p>
    <w:p w14:paraId="1D1C1516" w14:textId="159AC7AC" w:rsidR="00225233" w:rsidRDefault="00B16044" w:rsidP="00225233">
      <w:pPr>
        <w:rPr>
          <w:lang w:bidi="ar-EG"/>
        </w:rPr>
      </w:pPr>
      <w:r>
        <w:rPr>
          <w:lang w:bidi="ar-EG"/>
        </w:rPr>
        <w:lastRenderedPageBreak/>
        <w:t>4.2</w:t>
      </w:r>
      <w:r w:rsidR="00225233">
        <w:rPr>
          <w:rtl/>
          <w:lang w:bidi="ar-EG"/>
        </w:rPr>
        <w:tab/>
        <w:t xml:space="preserve">وباختصار، تُقدَّر النفقات الإضافية المحدَّدة في مختلف قرارات المؤتمر العالمي لتنمية الاتصالات لعام 2025 بمبلغ </w:t>
      </w:r>
      <w:r>
        <w:rPr>
          <w:lang w:bidi="ar-EG"/>
        </w:rPr>
        <w:t>4,208</w:t>
      </w:r>
      <w:r w:rsidR="00225233">
        <w:rPr>
          <w:rtl/>
          <w:lang w:bidi="ar-EG"/>
        </w:rPr>
        <w:t xml:space="preserve"> ملايين فرنك سويسري لفترة السنوات الأربع.</w:t>
      </w:r>
    </w:p>
    <w:p w14:paraId="5961B6CC" w14:textId="77777777" w:rsidR="00225233" w:rsidRDefault="00225233" w:rsidP="00225233">
      <w:pPr>
        <w:rPr>
          <w:lang w:bidi="ar-EG"/>
        </w:rPr>
      </w:pPr>
      <w:r>
        <w:rPr>
          <w:rtl/>
          <w:lang w:bidi="ar-EG"/>
        </w:rPr>
        <w:t>5.2</w:t>
      </w:r>
      <w:r>
        <w:rPr>
          <w:rtl/>
          <w:lang w:bidi="ar-EG"/>
        </w:rPr>
        <w:tab/>
        <w:t>وقد عُرِضت منهجية تقدير التكاليف في اجتماعين لفريق العمل التابع للمجلس والمعني بالموارد المالية والبشرية (</w:t>
      </w:r>
      <w:r>
        <w:rPr>
          <w:lang w:bidi="ar-EG"/>
        </w:rPr>
        <w:t>CWG-FHR</w:t>
      </w:r>
      <w:r>
        <w:rPr>
          <w:rtl/>
          <w:lang w:bidi="ar-EG"/>
        </w:rPr>
        <w:t xml:space="preserve">) خلال عام </w:t>
      </w:r>
      <w:r>
        <w:rPr>
          <w:cs/>
          <w:lang w:bidi="ar-EG"/>
        </w:rPr>
        <w:t>‎</w:t>
      </w:r>
      <w:r>
        <w:rPr>
          <w:lang w:bidi="ar-EG"/>
        </w:rPr>
        <w:t>2025</w:t>
      </w:r>
      <w:r>
        <w:rPr>
          <w:rtl/>
          <w:lang w:bidi="ar-EG"/>
        </w:rPr>
        <w:t>. وستواصل الأمانة العمل عن كثب مع الأعضاء لمواصلة تحسين أساليب الحساب واتساق التقديرات.</w:t>
      </w:r>
    </w:p>
    <w:p w14:paraId="14AE86BB" w14:textId="6DEADDC2" w:rsidR="00225233" w:rsidRDefault="00225233" w:rsidP="00225233">
      <w:pPr>
        <w:rPr>
          <w:lang w:bidi="ar-EG"/>
        </w:rPr>
      </w:pPr>
      <w:r>
        <w:rPr>
          <w:rtl/>
          <w:lang w:bidi="ar-EG"/>
        </w:rPr>
        <w:t>6.2</w:t>
      </w:r>
      <w:r>
        <w:rPr>
          <w:rtl/>
          <w:lang w:bidi="ar-EG"/>
        </w:rPr>
        <w:tab/>
        <w:t>وقد طُلِب من اللجنة 2 للمؤتمر العالمي لتنمية الاتصالات أن يتفادى عمل مكتب تنمية الاتصالات (</w:t>
      </w:r>
      <w:r>
        <w:rPr>
          <w:lang w:bidi="ar-EG"/>
        </w:rPr>
        <w:t>BDT</w:t>
      </w:r>
      <w:r>
        <w:rPr>
          <w:rtl/>
          <w:lang w:bidi="ar-EG"/>
        </w:rPr>
        <w:t xml:space="preserve">) مع المكاتب الأخرى (وخاصةً مكتب تقييس الاتصالات </w:t>
      </w:r>
      <w:r>
        <w:rPr>
          <w:lang w:bidi="ar-EG"/>
        </w:rPr>
        <w:t>(TSB)</w:t>
      </w:r>
      <w:r>
        <w:rPr>
          <w:rtl/>
          <w:lang w:bidi="ar-EG"/>
        </w:rPr>
        <w:t>) الازدواجية في تنفيذ القرارات. ومن شأن هذا التعاون بين القطاعين أن يساعد على الحد من الآثار المالية ومواصلة ضمان تحقيق مزيد من الكفاءة في تنفيذ بعض القرارات.</w:t>
      </w:r>
    </w:p>
    <w:p w14:paraId="06736684" w14:textId="77777777" w:rsidR="00225233" w:rsidRDefault="00225233" w:rsidP="00225233">
      <w:pPr>
        <w:rPr>
          <w:lang w:bidi="ar-EG"/>
        </w:rPr>
      </w:pPr>
      <w:r>
        <w:rPr>
          <w:rtl/>
          <w:lang w:bidi="ar-EG"/>
        </w:rPr>
        <w:t>7.2</w:t>
      </w:r>
      <w:r>
        <w:rPr>
          <w:rtl/>
          <w:lang w:bidi="ar-EG"/>
        </w:rPr>
        <w:tab/>
        <w:t>وقد اقترح رئيس فريق العمل التابع للمجلس والمعني بالموارد المالية والبشرية (</w:t>
      </w:r>
      <w:r>
        <w:rPr>
          <w:cs/>
          <w:lang w:bidi="ar-EG"/>
        </w:rPr>
        <w:t>‎‎</w:t>
      </w:r>
      <w:r>
        <w:rPr>
          <w:lang w:bidi="ar-EG"/>
        </w:rPr>
        <w:t>(CWG-FHR</w:t>
      </w:r>
      <w:r>
        <w:rPr>
          <w:cs/>
          <w:lang w:bidi="ar-EG"/>
        </w:rPr>
        <w:t>‎</w:t>
      </w:r>
      <w:r>
        <w:rPr>
          <w:rtl/>
          <w:lang w:bidi="ar-EG"/>
        </w:rPr>
        <w:t>‏، بعد أن لاحظ وجود فائض في الوضع المالي للمؤتمر، تخصيص هذا الفائض ‏لبدء تنفيذ القرارات التي صدرت الموافقة عليها في هذا المؤتمر وتترتب عليها آثار مالية.‏</w:t>
      </w:r>
      <w:r>
        <w:rPr>
          <w:cs/>
          <w:lang w:bidi="ar-EG"/>
        </w:rPr>
        <w:t>‎</w:t>
      </w:r>
    </w:p>
    <w:p w14:paraId="14307A5F" w14:textId="0813D765" w:rsidR="00225233" w:rsidRDefault="00225233" w:rsidP="00225233">
      <w:pPr>
        <w:rPr>
          <w:lang w:bidi="ar-EG"/>
        </w:rPr>
      </w:pPr>
      <w:r>
        <w:rPr>
          <w:rtl/>
          <w:lang w:bidi="ar-EG"/>
        </w:rPr>
        <w:t>8.2</w:t>
      </w:r>
      <w:r>
        <w:rPr>
          <w:rtl/>
          <w:lang w:bidi="ar-EG"/>
        </w:rPr>
        <w:tab/>
        <w:t>وتدعو الأمانة الدول الأعضاء إلى تقديم مساهمات طوعية لدعم تنفيذ قرارات المؤتمر العالمي لتنمية الاتصالات وتقديم التوجيه فيما يتعلق بمصدري الإيرادات الإضافيين. وستبذل الأمانة جهوداً لتقديم توصية إلى المجلس بشأن تمويل رصيد التكاليف، رهنا</w:t>
      </w:r>
      <w:r w:rsidR="00B16044">
        <w:rPr>
          <w:rFonts w:hint="cs"/>
          <w:rtl/>
          <w:lang w:bidi="ar-EG"/>
        </w:rPr>
        <w:t>ً</w:t>
      </w:r>
      <w:r>
        <w:rPr>
          <w:rtl/>
          <w:lang w:bidi="ar-EG"/>
        </w:rPr>
        <w:t xml:space="preserve"> بتوافر مصادر إيرادات أو وفورات تغطي ذلك.</w:t>
      </w:r>
    </w:p>
    <w:p w14:paraId="22D34CA1" w14:textId="77777777" w:rsidR="00225233" w:rsidRDefault="00225233" w:rsidP="00225233">
      <w:pPr>
        <w:rPr>
          <w:lang w:bidi="ar-EG"/>
        </w:rPr>
      </w:pPr>
      <w:r>
        <w:rPr>
          <w:rtl/>
          <w:lang w:bidi="ar-EG"/>
        </w:rPr>
        <w:t xml:space="preserve">ويعرض الجدول الوارد في الوثيقة ملخصاً شاملاً للتقديرات الخاصة بقرارات المؤتمر العالمي لتنمية الاتصالات الجديدة </w:t>
      </w:r>
      <w:r w:rsidRPr="00064050">
        <w:rPr>
          <w:rtl/>
          <w:lang w:bidi="ar-EG"/>
        </w:rPr>
        <w:t>والمُراجَعة</w:t>
      </w:r>
      <w:r>
        <w:rPr>
          <w:rtl/>
          <w:lang w:bidi="ar-EG"/>
        </w:rPr>
        <w:t>، على النحو التالي:</w:t>
      </w:r>
    </w:p>
    <w:p w14:paraId="7D3CE1FD" w14:textId="050C858A" w:rsidR="00225233" w:rsidRDefault="00225233" w:rsidP="00225233">
      <w:pPr>
        <w:pStyle w:val="Tabletitle"/>
      </w:pPr>
      <w:r>
        <w:rPr>
          <w:rtl/>
        </w:rPr>
        <w:t xml:space="preserve">الآثار المالية المترتبة على القرارات </w:t>
      </w:r>
      <w:r w:rsidR="00064050">
        <w:rPr>
          <w:rFonts w:hint="cs"/>
          <w:rtl/>
          <w:lang w:bidi="ar-EG"/>
        </w:rPr>
        <w:t xml:space="preserve">المعدلة </w:t>
      </w:r>
      <w:r>
        <w:rPr>
          <w:rtl/>
        </w:rPr>
        <w:t>أو الجديدة</w:t>
      </w:r>
      <w:r>
        <w:rPr>
          <w:rFonts w:hint="cs"/>
          <w:rtl/>
        </w:rPr>
        <w:t xml:space="preserve"> </w:t>
      </w:r>
      <w:r>
        <w:rPr>
          <w:rtl/>
        </w:rPr>
        <w:t>للمؤتمر العالمي لتنمية الاتصالات لعام 2025</w:t>
      </w:r>
    </w:p>
    <w:tbl>
      <w:tblPr>
        <w:tblStyle w:val="TableGrid"/>
        <w:bidiVisual/>
        <w:tblW w:w="0" w:type="auto"/>
        <w:tblLook w:val="04A0" w:firstRow="1" w:lastRow="0" w:firstColumn="1" w:lastColumn="0" w:noHBand="0" w:noVBand="1"/>
      </w:tblPr>
      <w:tblGrid>
        <w:gridCol w:w="4244"/>
        <w:gridCol w:w="1605"/>
        <w:gridCol w:w="1606"/>
        <w:gridCol w:w="1606"/>
      </w:tblGrid>
      <w:tr w:rsidR="00225233" w:rsidRPr="00564482" w14:paraId="72BBFC65" w14:textId="77777777" w:rsidTr="00225233">
        <w:trPr>
          <w:tblHeader/>
        </w:trPr>
        <w:tc>
          <w:tcPr>
            <w:tcW w:w="4244" w:type="dxa"/>
          </w:tcPr>
          <w:p w14:paraId="04F1270E" w14:textId="77777777" w:rsidR="00225233" w:rsidRPr="00564482" w:rsidRDefault="00225233" w:rsidP="00225233">
            <w:pPr>
              <w:pStyle w:val="Tablehead"/>
              <w:rPr>
                <w:position w:val="2"/>
                <w:rtl/>
              </w:rPr>
            </w:pPr>
          </w:p>
        </w:tc>
        <w:tc>
          <w:tcPr>
            <w:tcW w:w="4817" w:type="dxa"/>
            <w:gridSpan w:val="3"/>
          </w:tcPr>
          <w:p w14:paraId="6766EDC1" w14:textId="6004DE9A" w:rsidR="00225233" w:rsidRPr="00564482" w:rsidRDefault="00225233" w:rsidP="00225233">
            <w:pPr>
              <w:pStyle w:val="Tablehead"/>
              <w:rPr>
                <w:position w:val="2"/>
              </w:rPr>
            </w:pPr>
            <w:r w:rsidRPr="00564482">
              <w:rPr>
                <w:position w:val="2"/>
                <w:rtl/>
              </w:rPr>
              <w:t>(بآلاف) الفرنكات السويسرية</w:t>
            </w:r>
          </w:p>
        </w:tc>
      </w:tr>
      <w:tr w:rsidR="00225233" w:rsidRPr="00564482" w14:paraId="33259355" w14:textId="77777777" w:rsidTr="00225233">
        <w:trPr>
          <w:tblHeader/>
        </w:trPr>
        <w:tc>
          <w:tcPr>
            <w:tcW w:w="4244" w:type="dxa"/>
          </w:tcPr>
          <w:p w14:paraId="30CEB57D" w14:textId="77777777" w:rsidR="00225233" w:rsidRPr="00564482" w:rsidRDefault="00225233" w:rsidP="00225233">
            <w:pPr>
              <w:pStyle w:val="Tablehead"/>
              <w:rPr>
                <w:position w:val="2"/>
                <w:rtl/>
              </w:rPr>
            </w:pPr>
          </w:p>
        </w:tc>
        <w:tc>
          <w:tcPr>
            <w:tcW w:w="1605" w:type="dxa"/>
          </w:tcPr>
          <w:p w14:paraId="05154D90" w14:textId="77777777" w:rsidR="00225233" w:rsidRPr="00564482" w:rsidRDefault="00225233" w:rsidP="00225233">
            <w:pPr>
              <w:pStyle w:val="Tablehead"/>
              <w:rPr>
                <w:position w:val="2"/>
                <w:rtl/>
              </w:rPr>
            </w:pPr>
            <w:r w:rsidRPr="00564482">
              <w:rPr>
                <w:position w:val="2"/>
                <w:rtl/>
              </w:rPr>
              <w:t>التكاليف الأولية</w:t>
            </w:r>
          </w:p>
        </w:tc>
        <w:tc>
          <w:tcPr>
            <w:tcW w:w="1606" w:type="dxa"/>
          </w:tcPr>
          <w:p w14:paraId="1D4D35ED" w14:textId="039F4252" w:rsidR="00225233" w:rsidRPr="00564482" w:rsidRDefault="00225233" w:rsidP="00225233">
            <w:pPr>
              <w:pStyle w:val="Tablehead"/>
              <w:rPr>
                <w:position w:val="2"/>
                <w:rtl/>
              </w:rPr>
            </w:pPr>
            <w:r w:rsidRPr="00564482">
              <w:rPr>
                <w:position w:val="2"/>
                <w:rtl/>
              </w:rPr>
              <w:t>التكاليف المتكررة خلال فترة الثلاث</w:t>
            </w:r>
            <w:r w:rsidRPr="00564482">
              <w:rPr>
                <w:rFonts w:hint="eastAsia"/>
                <w:position w:val="2"/>
                <w:rtl/>
                <w:lang w:bidi="ar-EG"/>
              </w:rPr>
              <w:t> </w:t>
            </w:r>
            <w:r w:rsidRPr="00564482">
              <w:rPr>
                <w:position w:val="2"/>
                <w:rtl/>
              </w:rPr>
              <w:t>سنوات</w:t>
            </w:r>
          </w:p>
        </w:tc>
        <w:tc>
          <w:tcPr>
            <w:tcW w:w="1606" w:type="dxa"/>
          </w:tcPr>
          <w:p w14:paraId="361A89CF" w14:textId="77777777" w:rsidR="00225233" w:rsidRPr="00564482" w:rsidRDefault="00225233" w:rsidP="00225233">
            <w:pPr>
              <w:pStyle w:val="Tablehead"/>
              <w:rPr>
                <w:position w:val="2"/>
              </w:rPr>
            </w:pPr>
            <w:r w:rsidRPr="00564482">
              <w:rPr>
                <w:position w:val="2"/>
                <w:rtl/>
              </w:rPr>
              <w:t>التكاليف الأولية + التكاليف المتكررة خلال 3 سنوات</w:t>
            </w:r>
          </w:p>
        </w:tc>
      </w:tr>
      <w:tr w:rsidR="00225233" w:rsidRPr="00564482" w14:paraId="5363E220" w14:textId="77777777" w:rsidTr="00225233">
        <w:tc>
          <w:tcPr>
            <w:tcW w:w="4244" w:type="dxa"/>
          </w:tcPr>
          <w:p w14:paraId="4391E225" w14:textId="77777777" w:rsidR="00225233" w:rsidRPr="00564482" w:rsidRDefault="00225233" w:rsidP="00C5592E">
            <w:pPr>
              <w:pStyle w:val="Tabletexte"/>
              <w:spacing w:before="40" w:after="40"/>
              <w:rPr>
                <w:position w:val="2"/>
                <w:rtl/>
                <w:lang w:bidi="ar-EG"/>
              </w:rPr>
            </w:pPr>
            <w:r w:rsidRPr="0044376E">
              <w:rPr>
                <w:b/>
                <w:bCs/>
                <w:position w:val="2"/>
                <w:rtl/>
              </w:rPr>
              <w:t>القرار الجديد 91</w:t>
            </w:r>
            <w:r w:rsidRPr="00564482">
              <w:rPr>
                <w:position w:val="2"/>
                <w:rtl/>
              </w:rPr>
              <w:t xml:space="preserve"> - </w:t>
            </w:r>
            <w:r w:rsidRPr="00064050">
              <w:rPr>
                <w:position w:val="2"/>
                <w:rtl/>
              </w:rPr>
              <w:t>الذكاء الاصطناعي لأغراض التنمية</w:t>
            </w:r>
          </w:p>
        </w:tc>
        <w:tc>
          <w:tcPr>
            <w:tcW w:w="1605" w:type="dxa"/>
          </w:tcPr>
          <w:p w14:paraId="4E9D7D1B" w14:textId="3C57D40F" w:rsidR="00225233" w:rsidRPr="00564482" w:rsidRDefault="00225233" w:rsidP="00C5592E">
            <w:pPr>
              <w:pStyle w:val="Tabletexte"/>
              <w:spacing w:before="40" w:after="40"/>
              <w:jc w:val="center"/>
              <w:rPr>
                <w:position w:val="2"/>
              </w:rPr>
            </w:pPr>
            <w:r w:rsidRPr="00564482">
              <w:rPr>
                <w:position w:val="2"/>
                <w:lang w:eastAsia="en-GB"/>
              </w:rPr>
              <w:t>199</w:t>
            </w:r>
          </w:p>
        </w:tc>
        <w:tc>
          <w:tcPr>
            <w:tcW w:w="1606" w:type="dxa"/>
          </w:tcPr>
          <w:p w14:paraId="0AD56295" w14:textId="6E25FCEC" w:rsidR="00225233" w:rsidRPr="00564482" w:rsidRDefault="00225233" w:rsidP="00C5592E">
            <w:pPr>
              <w:pStyle w:val="Tabletexte"/>
              <w:spacing w:before="40" w:after="40"/>
              <w:jc w:val="center"/>
              <w:rPr>
                <w:position w:val="2"/>
              </w:rPr>
            </w:pPr>
            <w:r w:rsidRPr="00564482">
              <w:rPr>
                <w:position w:val="2"/>
                <w:lang w:eastAsia="en-GB"/>
              </w:rPr>
              <w:t>453</w:t>
            </w:r>
          </w:p>
        </w:tc>
        <w:tc>
          <w:tcPr>
            <w:tcW w:w="1606" w:type="dxa"/>
          </w:tcPr>
          <w:p w14:paraId="3733A594" w14:textId="52BA50DD" w:rsidR="00225233" w:rsidRPr="00564482" w:rsidRDefault="00225233" w:rsidP="00C5592E">
            <w:pPr>
              <w:pStyle w:val="Tabletexte"/>
              <w:spacing w:before="40" w:after="40"/>
              <w:jc w:val="center"/>
              <w:rPr>
                <w:b/>
                <w:bCs/>
                <w:position w:val="2"/>
              </w:rPr>
            </w:pPr>
            <w:r w:rsidRPr="00564482">
              <w:rPr>
                <w:b/>
                <w:bCs/>
                <w:position w:val="2"/>
                <w:lang w:eastAsia="en-GB"/>
              </w:rPr>
              <w:t>652</w:t>
            </w:r>
          </w:p>
        </w:tc>
      </w:tr>
      <w:tr w:rsidR="00225233" w:rsidRPr="00564482" w14:paraId="77FE8891" w14:textId="77777777" w:rsidTr="00225233">
        <w:tc>
          <w:tcPr>
            <w:tcW w:w="4244" w:type="dxa"/>
          </w:tcPr>
          <w:p w14:paraId="39E6CAC7" w14:textId="27098674"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خبير لوضع وتنفيذ "خدمة دعم للذكاء الاصطناعي" متكاملة للدول الأعضاء</w:t>
            </w:r>
          </w:p>
        </w:tc>
        <w:tc>
          <w:tcPr>
            <w:tcW w:w="1605" w:type="dxa"/>
          </w:tcPr>
          <w:p w14:paraId="65FE165F" w14:textId="12E5DB80" w:rsidR="00225233" w:rsidRPr="00564482" w:rsidRDefault="00225233" w:rsidP="00C5592E">
            <w:pPr>
              <w:pStyle w:val="Tabletexte"/>
              <w:spacing w:before="40" w:after="40"/>
              <w:jc w:val="center"/>
              <w:rPr>
                <w:position w:val="2"/>
              </w:rPr>
            </w:pPr>
            <w:r w:rsidRPr="00564482">
              <w:rPr>
                <w:position w:val="2"/>
                <w:lang w:eastAsia="en-GB"/>
              </w:rPr>
              <w:t>96</w:t>
            </w:r>
          </w:p>
        </w:tc>
        <w:tc>
          <w:tcPr>
            <w:tcW w:w="1606" w:type="dxa"/>
          </w:tcPr>
          <w:p w14:paraId="5FAD31CC" w14:textId="3267256B" w:rsidR="00225233" w:rsidRPr="00564482" w:rsidRDefault="00225233" w:rsidP="00C5592E">
            <w:pPr>
              <w:pStyle w:val="Tabletexte"/>
              <w:spacing w:before="40" w:after="40"/>
              <w:jc w:val="center"/>
              <w:rPr>
                <w:position w:val="2"/>
              </w:rPr>
            </w:pPr>
            <w:r w:rsidRPr="00564482">
              <w:rPr>
                <w:position w:val="2"/>
                <w:lang w:eastAsia="en-GB"/>
              </w:rPr>
              <w:t>144</w:t>
            </w:r>
          </w:p>
        </w:tc>
        <w:tc>
          <w:tcPr>
            <w:tcW w:w="1606" w:type="dxa"/>
          </w:tcPr>
          <w:p w14:paraId="125C3F8C" w14:textId="00D06F93" w:rsidR="00225233" w:rsidRPr="00564482" w:rsidRDefault="00225233" w:rsidP="00C5592E">
            <w:pPr>
              <w:pStyle w:val="Tabletexte"/>
              <w:spacing w:before="40" w:after="40"/>
              <w:jc w:val="center"/>
              <w:rPr>
                <w:position w:val="2"/>
              </w:rPr>
            </w:pPr>
            <w:r w:rsidRPr="00564482">
              <w:rPr>
                <w:position w:val="2"/>
                <w:lang w:eastAsia="en-GB"/>
              </w:rPr>
              <w:t>240</w:t>
            </w:r>
          </w:p>
        </w:tc>
      </w:tr>
      <w:tr w:rsidR="00225233" w:rsidRPr="00564482" w14:paraId="600DCFA9" w14:textId="77777777" w:rsidTr="00225233">
        <w:tc>
          <w:tcPr>
            <w:tcW w:w="4244" w:type="dxa"/>
          </w:tcPr>
          <w:p w14:paraId="7ACA110B" w14:textId="48263A22"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تنظيم برامج تدريبية ومِنح</w:t>
            </w:r>
          </w:p>
        </w:tc>
        <w:tc>
          <w:tcPr>
            <w:tcW w:w="1605" w:type="dxa"/>
          </w:tcPr>
          <w:p w14:paraId="34FCC244" w14:textId="1EC53EF6" w:rsidR="00225233" w:rsidRPr="00564482" w:rsidRDefault="00225233" w:rsidP="00C5592E">
            <w:pPr>
              <w:pStyle w:val="Tabletexte"/>
              <w:spacing w:before="40" w:after="40"/>
              <w:jc w:val="center"/>
              <w:rPr>
                <w:position w:val="2"/>
              </w:rPr>
            </w:pPr>
            <w:r w:rsidRPr="00564482">
              <w:rPr>
                <w:position w:val="2"/>
                <w:lang w:eastAsia="en-GB"/>
              </w:rPr>
              <w:t>60</w:t>
            </w:r>
          </w:p>
        </w:tc>
        <w:tc>
          <w:tcPr>
            <w:tcW w:w="1606" w:type="dxa"/>
          </w:tcPr>
          <w:p w14:paraId="5FB57A80" w14:textId="11516C5F" w:rsidR="00225233" w:rsidRPr="00564482" w:rsidRDefault="00225233" w:rsidP="00C5592E">
            <w:pPr>
              <w:pStyle w:val="Tabletexte"/>
              <w:spacing w:before="40" w:after="40"/>
              <w:jc w:val="center"/>
              <w:rPr>
                <w:position w:val="2"/>
              </w:rPr>
            </w:pPr>
            <w:r w:rsidRPr="00564482">
              <w:rPr>
                <w:position w:val="2"/>
                <w:lang w:eastAsia="en-GB"/>
              </w:rPr>
              <w:t>180</w:t>
            </w:r>
          </w:p>
        </w:tc>
        <w:tc>
          <w:tcPr>
            <w:tcW w:w="1606" w:type="dxa"/>
          </w:tcPr>
          <w:p w14:paraId="50296B7F" w14:textId="74AC064A" w:rsidR="00225233" w:rsidRPr="00564482" w:rsidRDefault="00225233" w:rsidP="00C5592E">
            <w:pPr>
              <w:pStyle w:val="Tabletexte"/>
              <w:spacing w:before="40" w:after="40"/>
              <w:jc w:val="center"/>
              <w:rPr>
                <w:position w:val="2"/>
              </w:rPr>
            </w:pPr>
            <w:r w:rsidRPr="00564482">
              <w:rPr>
                <w:position w:val="2"/>
                <w:lang w:eastAsia="en-GB"/>
              </w:rPr>
              <w:t>240</w:t>
            </w:r>
          </w:p>
        </w:tc>
      </w:tr>
      <w:tr w:rsidR="00225233" w:rsidRPr="00564482" w14:paraId="76066E1C" w14:textId="77777777" w:rsidTr="00225233">
        <w:tc>
          <w:tcPr>
            <w:tcW w:w="4244" w:type="dxa"/>
          </w:tcPr>
          <w:p w14:paraId="0CE46F26" w14:textId="7D910683"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الترجمة (+ معالجة النصوص)</w:t>
            </w:r>
          </w:p>
        </w:tc>
        <w:tc>
          <w:tcPr>
            <w:tcW w:w="1605" w:type="dxa"/>
          </w:tcPr>
          <w:p w14:paraId="3288B5BC" w14:textId="63431658" w:rsidR="00225233" w:rsidRPr="00564482" w:rsidRDefault="00225233" w:rsidP="00C5592E">
            <w:pPr>
              <w:pStyle w:val="Tabletexte"/>
              <w:spacing w:before="40" w:after="40"/>
              <w:jc w:val="center"/>
              <w:rPr>
                <w:position w:val="2"/>
              </w:rPr>
            </w:pPr>
            <w:r w:rsidRPr="00564482">
              <w:rPr>
                <w:position w:val="2"/>
                <w:lang w:eastAsia="en-GB"/>
              </w:rPr>
              <w:t>43</w:t>
            </w:r>
          </w:p>
        </w:tc>
        <w:tc>
          <w:tcPr>
            <w:tcW w:w="1606" w:type="dxa"/>
          </w:tcPr>
          <w:p w14:paraId="41B0B83A" w14:textId="3EA928DD" w:rsidR="00225233" w:rsidRPr="00564482" w:rsidRDefault="00225233" w:rsidP="00C5592E">
            <w:pPr>
              <w:pStyle w:val="Tabletexte"/>
              <w:spacing w:before="40" w:after="40"/>
              <w:jc w:val="center"/>
              <w:rPr>
                <w:position w:val="2"/>
              </w:rPr>
            </w:pPr>
            <w:r w:rsidRPr="00564482">
              <w:rPr>
                <w:position w:val="2"/>
                <w:lang w:eastAsia="en-GB"/>
              </w:rPr>
              <w:t>129</w:t>
            </w:r>
          </w:p>
        </w:tc>
        <w:tc>
          <w:tcPr>
            <w:tcW w:w="1606" w:type="dxa"/>
          </w:tcPr>
          <w:p w14:paraId="33985520" w14:textId="18E7AF21" w:rsidR="00225233" w:rsidRPr="00564482" w:rsidRDefault="00225233" w:rsidP="00C5592E">
            <w:pPr>
              <w:pStyle w:val="Tabletexte"/>
              <w:spacing w:before="40" w:after="40"/>
              <w:jc w:val="center"/>
              <w:rPr>
                <w:position w:val="2"/>
              </w:rPr>
            </w:pPr>
            <w:r w:rsidRPr="00564482">
              <w:rPr>
                <w:position w:val="2"/>
                <w:lang w:eastAsia="en-GB"/>
              </w:rPr>
              <w:t>172</w:t>
            </w:r>
          </w:p>
        </w:tc>
      </w:tr>
      <w:tr w:rsidR="00225233" w:rsidRPr="00564482" w14:paraId="0FCA7E9F" w14:textId="77777777" w:rsidTr="00225233">
        <w:tc>
          <w:tcPr>
            <w:tcW w:w="4244" w:type="dxa"/>
          </w:tcPr>
          <w:p w14:paraId="6FBB1EEE" w14:textId="77777777" w:rsidR="00225233" w:rsidRPr="00564482" w:rsidRDefault="00225233" w:rsidP="00C5592E">
            <w:pPr>
              <w:pStyle w:val="Tabletexte"/>
              <w:spacing w:before="40" w:after="40"/>
              <w:rPr>
                <w:position w:val="2"/>
                <w:rtl/>
              </w:rPr>
            </w:pPr>
          </w:p>
        </w:tc>
        <w:tc>
          <w:tcPr>
            <w:tcW w:w="1605" w:type="dxa"/>
          </w:tcPr>
          <w:p w14:paraId="789E8CEA" w14:textId="77777777" w:rsidR="00225233" w:rsidRPr="00564482" w:rsidRDefault="00225233" w:rsidP="00C5592E">
            <w:pPr>
              <w:pStyle w:val="Tabletexte"/>
              <w:spacing w:before="40" w:after="40"/>
              <w:jc w:val="center"/>
              <w:rPr>
                <w:position w:val="2"/>
              </w:rPr>
            </w:pPr>
          </w:p>
        </w:tc>
        <w:tc>
          <w:tcPr>
            <w:tcW w:w="1606" w:type="dxa"/>
          </w:tcPr>
          <w:p w14:paraId="7590E1F8" w14:textId="77777777" w:rsidR="00225233" w:rsidRPr="00564482" w:rsidRDefault="00225233" w:rsidP="00C5592E">
            <w:pPr>
              <w:pStyle w:val="Tabletexte"/>
              <w:spacing w:before="40" w:after="40"/>
              <w:jc w:val="center"/>
              <w:rPr>
                <w:position w:val="2"/>
              </w:rPr>
            </w:pPr>
          </w:p>
        </w:tc>
        <w:tc>
          <w:tcPr>
            <w:tcW w:w="1606" w:type="dxa"/>
          </w:tcPr>
          <w:p w14:paraId="5239D5C3" w14:textId="77777777" w:rsidR="00225233" w:rsidRPr="00564482" w:rsidRDefault="00225233" w:rsidP="00C5592E">
            <w:pPr>
              <w:pStyle w:val="Tabletexte"/>
              <w:spacing w:before="40" w:after="40"/>
              <w:jc w:val="center"/>
              <w:rPr>
                <w:position w:val="2"/>
              </w:rPr>
            </w:pPr>
          </w:p>
        </w:tc>
      </w:tr>
      <w:tr w:rsidR="00225233" w:rsidRPr="00564482" w14:paraId="4152FD6E" w14:textId="77777777" w:rsidTr="00225233">
        <w:tc>
          <w:tcPr>
            <w:tcW w:w="4244" w:type="dxa"/>
          </w:tcPr>
          <w:p w14:paraId="66685900" w14:textId="77777777" w:rsidR="00225233" w:rsidRPr="00564482" w:rsidRDefault="00225233" w:rsidP="00C5592E">
            <w:pPr>
              <w:pStyle w:val="Tabletexte"/>
              <w:spacing w:before="40" w:after="40"/>
              <w:rPr>
                <w:position w:val="2"/>
                <w:rtl/>
              </w:rPr>
            </w:pPr>
            <w:r w:rsidRPr="0044376E">
              <w:rPr>
                <w:b/>
                <w:bCs/>
                <w:position w:val="2"/>
                <w:rtl/>
              </w:rPr>
              <w:t>القرار 34</w:t>
            </w:r>
            <w:r w:rsidRPr="00564482">
              <w:rPr>
                <w:position w:val="2"/>
                <w:rtl/>
              </w:rPr>
              <w:t xml:space="preserve"> - دور الاتصالات/تكنولوجيا المعلومات والاتصالات في التأهب للكوارث والإنذار المبكر بحدوثها وفي عمليات الإنقاذ والإغاثة والتخفيف من آثارها والتصدي لها</w:t>
            </w:r>
          </w:p>
        </w:tc>
        <w:tc>
          <w:tcPr>
            <w:tcW w:w="1605" w:type="dxa"/>
          </w:tcPr>
          <w:p w14:paraId="4C2B3A87" w14:textId="33291321" w:rsidR="00225233" w:rsidRPr="00564482" w:rsidRDefault="00225233" w:rsidP="00C5592E">
            <w:pPr>
              <w:pStyle w:val="Tabletexte"/>
              <w:spacing w:before="40" w:after="40"/>
              <w:jc w:val="center"/>
              <w:rPr>
                <w:position w:val="2"/>
              </w:rPr>
            </w:pPr>
            <w:r w:rsidRPr="00564482">
              <w:rPr>
                <w:position w:val="2"/>
                <w:lang w:eastAsia="en-GB"/>
              </w:rPr>
              <w:t>156</w:t>
            </w:r>
          </w:p>
        </w:tc>
        <w:tc>
          <w:tcPr>
            <w:tcW w:w="1606" w:type="dxa"/>
          </w:tcPr>
          <w:p w14:paraId="31712B9B" w14:textId="3C7F8B31" w:rsidR="00225233" w:rsidRPr="00564482" w:rsidRDefault="00225233" w:rsidP="00C5592E">
            <w:pPr>
              <w:pStyle w:val="Tabletexte"/>
              <w:spacing w:before="40" w:after="40"/>
              <w:jc w:val="center"/>
              <w:rPr>
                <w:position w:val="2"/>
              </w:rPr>
            </w:pPr>
            <w:r w:rsidRPr="00564482">
              <w:rPr>
                <w:position w:val="2"/>
                <w:lang w:eastAsia="en-GB"/>
              </w:rPr>
              <w:t>468</w:t>
            </w:r>
          </w:p>
        </w:tc>
        <w:tc>
          <w:tcPr>
            <w:tcW w:w="1606" w:type="dxa"/>
          </w:tcPr>
          <w:p w14:paraId="5DA295A0" w14:textId="39D92223" w:rsidR="00225233" w:rsidRPr="00564482" w:rsidRDefault="00225233" w:rsidP="00C5592E">
            <w:pPr>
              <w:pStyle w:val="Tabletexte"/>
              <w:spacing w:before="40" w:after="40"/>
              <w:jc w:val="center"/>
              <w:rPr>
                <w:b/>
                <w:bCs/>
                <w:position w:val="2"/>
              </w:rPr>
            </w:pPr>
            <w:r w:rsidRPr="00564482">
              <w:rPr>
                <w:b/>
                <w:bCs/>
                <w:position w:val="2"/>
                <w:lang w:eastAsia="en-GB"/>
              </w:rPr>
              <w:t>624</w:t>
            </w:r>
          </w:p>
        </w:tc>
      </w:tr>
      <w:tr w:rsidR="00225233" w:rsidRPr="00564482" w14:paraId="6F13AA19" w14:textId="77777777" w:rsidTr="00225233">
        <w:tc>
          <w:tcPr>
            <w:tcW w:w="4244" w:type="dxa"/>
          </w:tcPr>
          <w:p w14:paraId="27D14ACA" w14:textId="735C8419"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خبير لتقديم المساعدة التقنية، والدعم اللازم في مجال بناء القدرات للدول الأعضاء</w:t>
            </w:r>
          </w:p>
        </w:tc>
        <w:tc>
          <w:tcPr>
            <w:tcW w:w="1605" w:type="dxa"/>
          </w:tcPr>
          <w:p w14:paraId="232EFB74" w14:textId="3E90D1C2" w:rsidR="00225233" w:rsidRPr="00564482" w:rsidRDefault="00225233" w:rsidP="00C5592E">
            <w:pPr>
              <w:pStyle w:val="Tabletexte"/>
              <w:spacing w:before="40" w:after="40"/>
              <w:jc w:val="center"/>
              <w:rPr>
                <w:position w:val="2"/>
              </w:rPr>
            </w:pPr>
            <w:r w:rsidRPr="00564482">
              <w:rPr>
                <w:position w:val="2"/>
                <w:lang w:eastAsia="en-GB"/>
              </w:rPr>
              <w:t>96</w:t>
            </w:r>
          </w:p>
        </w:tc>
        <w:tc>
          <w:tcPr>
            <w:tcW w:w="1606" w:type="dxa"/>
          </w:tcPr>
          <w:p w14:paraId="5C716356" w14:textId="4F3F585A" w:rsidR="00225233" w:rsidRPr="00564482" w:rsidRDefault="00225233" w:rsidP="00C5592E">
            <w:pPr>
              <w:pStyle w:val="Tabletexte"/>
              <w:spacing w:before="40" w:after="40"/>
              <w:jc w:val="center"/>
              <w:rPr>
                <w:position w:val="2"/>
              </w:rPr>
            </w:pPr>
            <w:r w:rsidRPr="00564482">
              <w:rPr>
                <w:position w:val="2"/>
                <w:lang w:eastAsia="en-GB"/>
              </w:rPr>
              <w:t>288</w:t>
            </w:r>
          </w:p>
        </w:tc>
        <w:tc>
          <w:tcPr>
            <w:tcW w:w="1606" w:type="dxa"/>
          </w:tcPr>
          <w:p w14:paraId="04FCBE0D" w14:textId="35FA78DB" w:rsidR="00225233" w:rsidRPr="00564482" w:rsidRDefault="00225233" w:rsidP="00C5592E">
            <w:pPr>
              <w:pStyle w:val="Tabletexte"/>
              <w:spacing w:before="40" w:after="40"/>
              <w:jc w:val="center"/>
              <w:rPr>
                <w:position w:val="2"/>
              </w:rPr>
            </w:pPr>
            <w:r w:rsidRPr="00564482">
              <w:rPr>
                <w:position w:val="2"/>
                <w:lang w:eastAsia="en-GB"/>
              </w:rPr>
              <w:t>384</w:t>
            </w:r>
          </w:p>
        </w:tc>
      </w:tr>
      <w:tr w:rsidR="00225233" w:rsidRPr="00564482" w14:paraId="3E20E2FD" w14:textId="77777777" w:rsidTr="00225233">
        <w:tc>
          <w:tcPr>
            <w:tcW w:w="4244" w:type="dxa"/>
          </w:tcPr>
          <w:p w14:paraId="607175D2" w14:textId="567FC873"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 xml:space="preserve">تنظيم برامج تدريبية ومِنح (مبادرة الذكاء الاصطناعي من أجل الإنذار المبكر للجميع </w:t>
            </w:r>
            <w:r w:rsidR="00225233" w:rsidRPr="00564482">
              <w:rPr>
                <w:position w:val="2"/>
              </w:rPr>
              <w:t>(AI for EW4All)</w:t>
            </w:r>
            <w:r w:rsidR="00225233" w:rsidRPr="00564482">
              <w:rPr>
                <w:position w:val="2"/>
                <w:rtl/>
              </w:rPr>
              <w:t>)</w:t>
            </w:r>
          </w:p>
        </w:tc>
        <w:tc>
          <w:tcPr>
            <w:tcW w:w="1605" w:type="dxa"/>
          </w:tcPr>
          <w:p w14:paraId="7BC1D320" w14:textId="2C53FEFA" w:rsidR="00225233" w:rsidRPr="00564482" w:rsidRDefault="00225233" w:rsidP="00C5592E">
            <w:pPr>
              <w:pStyle w:val="Tabletexte"/>
              <w:spacing w:before="40" w:after="40"/>
              <w:jc w:val="center"/>
              <w:rPr>
                <w:position w:val="2"/>
              </w:rPr>
            </w:pPr>
            <w:r w:rsidRPr="00564482">
              <w:rPr>
                <w:position w:val="2"/>
                <w:lang w:eastAsia="en-GB"/>
              </w:rPr>
              <w:t>60</w:t>
            </w:r>
          </w:p>
        </w:tc>
        <w:tc>
          <w:tcPr>
            <w:tcW w:w="1606" w:type="dxa"/>
          </w:tcPr>
          <w:p w14:paraId="55CD6AA9" w14:textId="046C49F1" w:rsidR="00225233" w:rsidRPr="00564482" w:rsidRDefault="00225233" w:rsidP="00C5592E">
            <w:pPr>
              <w:pStyle w:val="Tabletexte"/>
              <w:spacing w:before="40" w:after="40"/>
              <w:jc w:val="center"/>
              <w:rPr>
                <w:position w:val="2"/>
              </w:rPr>
            </w:pPr>
            <w:r w:rsidRPr="00564482">
              <w:rPr>
                <w:position w:val="2"/>
                <w:lang w:eastAsia="en-GB"/>
              </w:rPr>
              <w:t>180</w:t>
            </w:r>
          </w:p>
        </w:tc>
        <w:tc>
          <w:tcPr>
            <w:tcW w:w="1606" w:type="dxa"/>
          </w:tcPr>
          <w:p w14:paraId="4481AEEF" w14:textId="15EB1684" w:rsidR="00225233" w:rsidRPr="00564482" w:rsidRDefault="00225233" w:rsidP="00C5592E">
            <w:pPr>
              <w:pStyle w:val="Tabletexte"/>
              <w:spacing w:before="40" w:after="40"/>
              <w:jc w:val="center"/>
              <w:rPr>
                <w:position w:val="2"/>
              </w:rPr>
            </w:pPr>
            <w:r w:rsidRPr="00564482">
              <w:rPr>
                <w:position w:val="2"/>
                <w:lang w:eastAsia="en-GB"/>
              </w:rPr>
              <w:t>240</w:t>
            </w:r>
          </w:p>
        </w:tc>
      </w:tr>
      <w:tr w:rsidR="00225233" w:rsidRPr="00564482" w14:paraId="28B6E47D" w14:textId="77777777" w:rsidTr="00225233">
        <w:tc>
          <w:tcPr>
            <w:tcW w:w="4244" w:type="dxa"/>
          </w:tcPr>
          <w:p w14:paraId="0EB0C76D" w14:textId="77777777" w:rsidR="00225233" w:rsidRPr="00564482" w:rsidRDefault="00225233" w:rsidP="00C5592E">
            <w:pPr>
              <w:pStyle w:val="Tabletexte"/>
              <w:spacing w:before="40" w:after="40"/>
              <w:rPr>
                <w:position w:val="2"/>
                <w:rtl/>
              </w:rPr>
            </w:pPr>
            <w:r w:rsidRPr="00564482">
              <w:rPr>
                <w:position w:val="2"/>
                <w:rtl/>
              </w:rPr>
              <w:t xml:space="preserve"> </w:t>
            </w:r>
          </w:p>
        </w:tc>
        <w:tc>
          <w:tcPr>
            <w:tcW w:w="1605" w:type="dxa"/>
          </w:tcPr>
          <w:p w14:paraId="2EDF46F6" w14:textId="77777777" w:rsidR="00225233" w:rsidRPr="00564482" w:rsidRDefault="00225233" w:rsidP="00C5592E">
            <w:pPr>
              <w:pStyle w:val="Tabletexte"/>
              <w:spacing w:before="40" w:after="40"/>
              <w:jc w:val="center"/>
              <w:rPr>
                <w:position w:val="2"/>
              </w:rPr>
            </w:pPr>
          </w:p>
        </w:tc>
        <w:tc>
          <w:tcPr>
            <w:tcW w:w="1606" w:type="dxa"/>
          </w:tcPr>
          <w:p w14:paraId="46B22535" w14:textId="77777777" w:rsidR="00225233" w:rsidRPr="00564482" w:rsidRDefault="00225233" w:rsidP="00C5592E">
            <w:pPr>
              <w:pStyle w:val="Tabletexte"/>
              <w:spacing w:before="40" w:after="40"/>
              <w:jc w:val="center"/>
              <w:rPr>
                <w:position w:val="2"/>
              </w:rPr>
            </w:pPr>
          </w:p>
        </w:tc>
        <w:tc>
          <w:tcPr>
            <w:tcW w:w="1606" w:type="dxa"/>
          </w:tcPr>
          <w:p w14:paraId="3B4A33ED" w14:textId="77777777" w:rsidR="00225233" w:rsidRPr="00564482" w:rsidRDefault="00225233" w:rsidP="00C5592E">
            <w:pPr>
              <w:pStyle w:val="Tabletexte"/>
              <w:spacing w:before="40" w:after="40"/>
              <w:jc w:val="center"/>
              <w:rPr>
                <w:position w:val="2"/>
              </w:rPr>
            </w:pPr>
          </w:p>
        </w:tc>
      </w:tr>
      <w:tr w:rsidR="00225233" w:rsidRPr="00564482" w14:paraId="378895C1" w14:textId="77777777" w:rsidTr="00225233">
        <w:tc>
          <w:tcPr>
            <w:tcW w:w="4244" w:type="dxa"/>
          </w:tcPr>
          <w:p w14:paraId="0B685DA4" w14:textId="77777777" w:rsidR="00225233" w:rsidRPr="00564482" w:rsidRDefault="00225233" w:rsidP="00C5592E">
            <w:pPr>
              <w:pStyle w:val="Tabletexte"/>
              <w:spacing w:before="40" w:after="40"/>
              <w:rPr>
                <w:position w:val="2"/>
                <w:rtl/>
              </w:rPr>
            </w:pPr>
            <w:r w:rsidRPr="0044376E">
              <w:rPr>
                <w:b/>
                <w:bCs/>
                <w:position w:val="2"/>
                <w:rtl/>
              </w:rPr>
              <w:t xml:space="preserve">القرار 46 </w:t>
            </w:r>
            <w:r w:rsidRPr="00564482">
              <w:rPr>
                <w:position w:val="2"/>
                <w:rtl/>
              </w:rPr>
              <w:t>- مساعدة الشعوب والمجتمعات الأصلية بواسطة تكنولوجيات المعلومات والاتصالات</w:t>
            </w:r>
          </w:p>
        </w:tc>
        <w:tc>
          <w:tcPr>
            <w:tcW w:w="1605" w:type="dxa"/>
          </w:tcPr>
          <w:p w14:paraId="3DDD01F8" w14:textId="4555B39F" w:rsidR="00225233" w:rsidRPr="00564482" w:rsidRDefault="00225233" w:rsidP="00C5592E">
            <w:pPr>
              <w:pStyle w:val="Tabletexte"/>
              <w:spacing w:before="40" w:after="40"/>
              <w:jc w:val="center"/>
              <w:rPr>
                <w:position w:val="2"/>
              </w:rPr>
            </w:pPr>
            <w:r w:rsidRPr="00564482">
              <w:rPr>
                <w:position w:val="2"/>
                <w:lang w:eastAsia="en-GB"/>
              </w:rPr>
              <w:t>139</w:t>
            </w:r>
          </w:p>
        </w:tc>
        <w:tc>
          <w:tcPr>
            <w:tcW w:w="1606" w:type="dxa"/>
          </w:tcPr>
          <w:p w14:paraId="62A15312" w14:textId="1BC8A715" w:rsidR="00225233" w:rsidRPr="00564482" w:rsidRDefault="00225233" w:rsidP="00C5592E">
            <w:pPr>
              <w:pStyle w:val="Tabletexte"/>
              <w:spacing w:before="40" w:after="40"/>
              <w:jc w:val="center"/>
              <w:rPr>
                <w:position w:val="2"/>
              </w:rPr>
            </w:pPr>
            <w:r w:rsidRPr="00564482">
              <w:rPr>
                <w:position w:val="2"/>
                <w:lang w:eastAsia="en-GB"/>
              </w:rPr>
              <w:t>273</w:t>
            </w:r>
          </w:p>
        </w:tc>
        <w:tc>
          <w:tcPr>
            <w:tcW w:w="1606" w:type="dxa"/>
          </w:tcPr>
          <w:p w14:paraId="61FCBA6B" w14:textId="76C7A516" w:rsidR="00225233" w:rsidRPr="00564482" w:rsidRDefault="00225233" w:rsidP="00C5592E">
            <w:pPr>
              <w:pStyle w:val="Tabletexte"/>
              <w:spacing w:before="40" w:after="40"/>
              <w:jc w:val="center"/>
              <w:rPr>
                <w:b/>
                <w:bCs/>
                <w:position w:val="2"/>
              </w:rPr>
            </w:pPr>
            <w:r w:rsidRPr="00564482">
              <w:rPr>
                <w:b/>
                <w:bCs/>
                <w:position w:val="2"/>
                <w:lang w:eastAsia="en-GB"/>
              </w:rPr>
              <w:t>412</w:t>
            </w:r>
          </w:p>
        </w:tc>
      </w:tr>
      <w:tr w:rsidR="00225233" w:rsidRPr="00564482" w14:paraId="3E42EB3D" w14:textId="77777777" w:rsidTr="00225233">
        <w:tc>
          <w:tcPr>
            <w:tcW w:w="4244" w:type="dxa"/>
          </w:tcPr>
          <w:p w14:paraId="0DE5E2C2" w14:textId="0600C443" w:rsidR="00225233" w:rsidRPr="00BA4F14" w:rsidRDefault="0044376E" w:rsidP="00C5592E">
            <w:pPr>
              <w:pStyle w:val="Tabletexte"/>
              <w:tabs>
                <w:tab w:val="clear" w:pos="794"/>
              </w:tabs>
              <w:spacing w:before="40" w:after="40"/>
              <w:ind w:left="308" w:hanging="308"/>
              <w:rPr>
                <w:spacing w:val="-4"/>
                <w:position w:val="2"/>
                <w:rtl/>
              </w:rPr>
            </w:pPr>
            <w:r w:rsidRPr="00BA4F14">
              <w:rPr>
                <w:spacing w:val="-4"/>
                <w:position w:val="2"/>
                <w:rtl/>
              </w:rPr>
              <w:t>‒</w:t>
            </w:r>
            <w:r w:rsidRPr="00BA4F14">
              <w:rPr>
                <w:spacing w:val="-4"/>
                <w:position w:val="2"/>
                <w:rtl/>
              </w:rPr>
              <w:tab/>
            </w:r>
            <w:r w:rsidR="00225233" w:rsidRPr="00BA4F14">
              <w:rPr>
                <w:spacing w:val="-4"/>
                <w:position w:val="2"/>
                <w:rtl/>
              </w:rPr>
              <w:t>خبير لتقديم الدعم من أجل إدماج معارف الشعوب الأصلية ووضع برامج لتعميق الإلمام بالتكنولوجيا الرقمية</w:t>
            </w:r>
          </w:p>
        </w:tc>
        <w:tc>
          <w:tcPr>
            <w:tcW w:w="1605" w:type="dxa"/>
          </w:tcPr>
          <w:p w14:paraId="4738F78E" w14:textId="2A141AF3" w:rsidR="00225233" w:rsidRPr="00564482" w:rsidRDefault="00225233" w:rsidP="00C5592E">
            <w:pPr>
              <w:pStyle w:val="Tabletexte"/>
              <w:spacing w:before="40" w:after="40"/>
              <w:jc w:val="center"/>
              <w:rPr>
                <w:position w:val="2"/>
              </w:rPr>
            </w:pPr>
            <w:r w:rsidRPr="00564482">
              <w:rPr>
                <w:position w:val="2"/>
                <w:lang w:eastAsia="en-GB"/>
              </w:rPr>
              <w:t>96</w:t>
            </w:r>
          </w:p>
        </w:tc>
        <w:tc>
          <w:tcPr>
            <w:tcW w:w="1606" w:type="dxa"/>
          </w:tcPr>
          <w:p w14:paraId="6F7DDC92" w14:textId="56F010B4" w:rsidR="00225233" w:rsidRPr="00564482" w:rsidRDefault="00225233" w:rsidP="00C5592E">
            <w:pPr>
              <w:pStyle w:val="Tabletexte"/>
              <w:spacing w:before="40" w:after="40"/>
              <w:jc w:val="center"/>
              <w:rPr>
                <w:position w:val="2"/>
              </w:rPr>
            </w:pPr>
            <w:r w:rsidRPr="00564482">
              <w:rPr>
                <w:position w:val="2"/>
                <w:lang w:eastAsia="en-GB"/>
              </w:rPr>
              <w:t>144</w:t>
            </w:r>
          </w:p>
        </w:tc>
        <w:tc>
          <w:tcPr>
            <w:tcW w:w="1606" w:type="dxa"/>
          </w:tcPr>
          <w:p w14:paraId="4A83D303" w14:textId="1E0776D8" w:rsidR="00225233" w:rsidRPr="00564482" w:rsidRDefault="00225233" w:rsidP="00C5592E">
            <w:pPr>
              <w:pStyle w:val="Tabletexte"/>
              <w:spacing w:before="40" w:after="40"/>
              <w:jc w:val="center"/>
              <w:rPr>
                <w:position w:val="2"/>
              </w:rPr>
            </w:pPr>
            <w:r w:rsidRPr="00564482">
              <w:rPr>
                <w:position w:val="2"/>
                <w:lang w:eastAsia="en-GB"/>
              </w:rPr>
              <w:t>240</w:t>
            </w:r>
          </w:p>
        </w:tc>
      </w:tr>
      <w:tr w:rsidR="00225233" w:rsidRPr="00564482" w14:paraId="17E83F32" w14:textId="77777777" w:rsidTr="00225233">
        <w:tc>
          <w:tcPr>
            <w:tcW w:w="4244" w:type="dxa"/>
          </w:tcPr>
          <w:p w14:paraId="28475223" w14:textId="6675F689"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 xml:space="preserve">الترجمة (+ معالجة النصوص) </w:t>
            </w:r>
          </w:p>
        </w:tc>
        <w:tc>
          <w:tcPr>
            <w:tcW w:w="1605" w:type="dxa"/>
          </w:tcPr>
          <w:p w14:paraId="5326CD6C" w14:textId="0F7D1771" w:rsidR="00225233" w:rsidRPr="00564482" w:rsidRDefault="00225233" w:rsidP="00C5592E">
            <w:pPr>
              <w:pStyle w:val="Tabletexte"/>
              <w:spacing w:before="40" w:after="40"/>
              <w:jc w:val="center"/>
              <w:rPr>
                <w:position w:val="2"/>
              </w:rPr>
            </w:pPr>
            <w:r w:rsidRPr="00564482">
              <w:rPr>
                <w:position w:val="2"/>
                <w:lang w:eastAsia="en-GB"/>
              </w:rPr>
              <w:t>43</w:t>
            </w:r>
          </w:p>
        </w:tc>
        <w:tc>
          <w:tcPr>
            <w:tcW w:w="1606" w:type="dxa"/>
          </w:tcPr>
          <w:p w14:paraId="12A397BB" w14:textId="5225C958" w:rsidR="00225233" w:rsidRPr="00564482" w:rsidRDefault="00225233" w:rsidP="00C5592E">
            <w:pPr>
              <w:pStyle w:val="Tabletexte"/>
              <w:spacing w:before="40" w:after="40"/>
              <w:jc w:val="center"/>
              <w:rPr>
                <w:position w:val="2"/>
              </w:rPr>
            </w:pPr>
            <w:r w:rsidRPr="00564482">
              <w:rPr>
                <w:position w:val="2"/>
                <w:lang w:eastAsia="en-GB"/>
              </w:rPr>
              <w:t>129</w:t>
            </w:r>
          </w:p>
        </w:tc>
        <w:tc>
          <w:tcPr>
            <w:tcW w:w="1606" w:type="dxa"/>
          </w:tcPr>
          <w:p w14:paraId="29009F33" w14:textId="4DA7EAB6" w:rsidR="00225233" w:rsidRPr="00564482" w:rsidRDefault="00225233" w:rsidP="00C5592E">
            <w:pPr>
              <w:pStyle w:val="Tabletexte"/>
              <w:spacing w:before="40" w:after="40"/>
              <w:jc w:val="center"/>
              <w:rPr>
                <w:position w:val="2"/>
              </w:rPr>
            </w:pPr>
            <w:r w:rsidRPr="00564482">
              <w:rPr>
                <w:position w:val="2"/>
                <w:lang w:eastAsia="en-GB"/>
              </w:rPr>
              <w:t>172</w:t>
            </w:r>
          </w:p>
        </w:tc>
      </w:tr>
      <w:tr w:rsidR="00225233" w:rsidRPr="00564482" w14:paraId="27AFECBE" w14:textId="77777777" w:rsidTr="00225233">
        <w:tc>
          <w:tcPr>
            <w:tcW w:w="4244" w:type="dxa"/>
          </w:tcPr>
          <w:p w14:paraId="43CD2892" w14:textId="77777777" w:rsidR="00225233" w:rsidRPr="00564482" w:rsidRDefault="00225233" w:rsidP="00C5592E">
            <w:pPr>
              <w:pStyle w:val="Tabletexte"/>
              <w:spacing w:before="40" w:after="40"/>
              <w:rPr>
                <w:position w:val="2"/>
                <w:rtl/>
              </w:rPr>
            </w:pPr>
          </w:p>
        </w:tc>
        <w:tc>
          <w:tcPr>
            <w:tcW w:w="1605" w:type="dxa"/>
          </w:tcPr>
          <w:p w14:paraId="309A46DA" w14:textId="77777777" w:rsidR="00225233" w:rsidRPr="00564482" w:rsidRDefault="00225233" w:rsidP="00C5592E">
            <w:pPr>
              <w:pStyle w:val="Tabletexte"/>
              <w:spacing w:before="40" w:after="40"/>
              <w:jc w:val="center"/>
              <w:rPr>
                <w:position w:val="2"/>
              </w:rPr>
            </w:pPr>
          </w:p>
        </w:tc>
        <w:tc>
          <w:tcPr>
            <w:tcW w:w="1606" w:type="dxa"/>
          </w:tcPr>
          <w:p w14:paraId="299CDC8F" w14:textId="77777777" w:rsidR="00225233" w:rsidRPr="00564482" w:rsidRDefault="00225233" w:rsidP="00C5592E">
            <w:pPr>
              <w:pStyle w:val="Tabletexte"/>
              <w:spacing w:before="40" w:after="40"/>
              <w:jc w:val="center"/>
              <w:rPr>
                <w:position w:val="2"/>
              </w:rPr>
            </w:pPr>
          </w:p>
        </w:tc>
        <w:tc>
          <w:tcPr>
            <w:tcW w:w="1606" w:type="dxa"/>
          </w:tcPr>
          <w:p w14:paraId="01C618BE" w14:textId="77777777" w:rsidR="00225233" w:rsidRPr="00564482" w:rsidRDefault="00225233" w:rsidP="00C5592E">
            <w:pPr>
              <w:pStyle w:val="Tabletexte"/>
              <w:spacing w:before="40" w:after="40"/>
              <w:jc w:val="center"/>
              <w:rPr>
                <w:position w:val="2"/>
              </w:rPr>
            </w:pPr>
          </w:p>
        </w:tc>
      </w:tr>
      <w:tr w:rsidR="00225233" w:rsidRPr="00564482" w14:paraId="26756D77" w14:textId="77777777" w:rsidTr="00225233">
        <w:tc>
          <w:tcPr>
            <w:tcW w:w="4244" w:type="dxa"/>
          </w:tcPr>
          <w:p w14:paraId="231A05F3" w14:textId="77777777" w:rsidR="00225233" w:rsidRPr="00564482" w:rsidRDefault="00225233" w:rsidP="00C5592E">
            <w:pPr>
              <w:pStyle w:val="Tabletexte"/>
              <w:spacing w:before="40" w:after="40"/>
              <w:rPr>
                <w:position w:val="2"/>
                <w:rtl/>
              </w:rPr>
            </w:pPr>
            <w:r w:rsidRPr="0044376E">
              <w:rPr>
                <w:b/>
                <w:bCs/>
                <w:position w:val="2"/>
                <w:rtl/>
              </w:rPr>
              <w:lastRenderedPageBreak/>
              <w:t>القرار 55</w:t>
            </w:r>
            <w:r w:rsidRPr="00564482">
              <w:rPr>
                <w:position w:val="2"/>
                <w:rtl/>
              </w:rPr>
              <w:t xml:space="preserve"> - تعميم منظور المساواة بين الجنسين في قطاع تنمية الاتصالات بالاتحاد وتعزيز المساواة بين الجنسين وتمكين المرأة والفتيات من خلال الاتصالات/تكنولوجيا المعلومات والاتصالات</w:t>
            </w:r>
          </w:p>
        </w:tc>
        <w:tc>
          <w:tcPr>
            <w:tcW w:w="1605" w:type="dxa"/>
          </w:tcPr>
          <w:p w14:paraId="38630C5A" w14:textId="06C13A1E" w:rsidR="00225233" w:rsidRPr="00564482" w:rsidRDefault="00225233" w:rsidP="00C5592E">
            <w:pPr>
              <w:pStyle w:val="Tabletexte"/>
              <w:spacing w:before="40" w:after="40"/>
              <w:jc w:val="center"/>
              <w:rPr>
                <w:position w:val="2"/>
              </w:rPr>
            </w:pPr>
            <w:r w:rsidRPr="00564482">
              <w:rPr>
                <w:position w:val="2"/>
                <w:lang w:eastAsia="en-GB"/>
              </w:rPr>
              <w:t>266</w:t>
            </w:r>
          </w:p>
        </w:tc>
        <w:tc>
          <w:tcPr>
            <w:tcW w:w="1606" w:type="dxa"/>
          </w:tcPr>
          <w:p w14:paraId="4ADDA0B3" w14:textId="2D7FA771" w:rsidR="00225233" w:rsidRPr="00564482" w:rsidRDefault="00225233" w:rsidP="00C5592E">
            <w:pPr>
              <w:pStyle w:val="Tabletexte"/>
              <w:spacing w:before="40" w:after="40"/>
              <w:jc w:val="center"/>
              <w:rPr>
                <w:position w:val="2"/>
              </w:rPr>
            </w:pPr>
            <w:r w:rsidRPr="00564482">
              <w:rPr>
                <w:position w:val="2"/>
                <w:lang w:eastAsia="en-GB"/>
              </w:rPr>
              <w:t>798</w:t>
            </w:r>
          </w:p>
        </w:tc>
        <w:tc>
          <w:tcPr>
            <w:tcW w:w="1606" w:type="dxa"/>
          </w:tcPr>
          <w:p w14:paraId="336AE239" w14:textId="74F75A2A" w:rsidR="00225233" w:rsidRPr="00564482" w:rsidRDefault="00225233" w:rsidP="00C5592E">
            <w:pPr>
              <w:pStyle w:val="Tabletexte"/>
              <w:spacing w:before="40" w:after="40"/>
              <w:jc w:val="center"/>
              <w:rPr>
                <w:b/>
                <w:bCs/>
                <w:position w:val="2"/>
              </w:rPr>
            </w:pPr>
            <w:r w:rsidRPr="00564482">
              <w:rPr>
                <w:b/>
                <w:bCs/>
                <w:position w:val="2"/>
                <w:lang w:eastAsia="en-GB"/>
              </w:rPr>
              <w:t>1 064</w:t>
            </w:r>
          </w:p>
        </w:tc>
      </w:tr>
      <w:tr w:rsidR="00225233" w:rsidRPr="00564482" w14:paraId="5897CE3E" w14:textId="77777777" w:rsidTr="00225233">
        <w:tc>
          <w:tcPr>
            <w:tcW w:w="4244" w:type="dxa"/>
          </w:tcPr>
          <w:p w14:paraId="01F53006" w14:textId="3377D2C1"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خبير لإجراء برامج لبناء القدرات في مجال المهارات الرقمية والقيادية</w:t>
            </w:r>
          </w:p>
        </w:tc>
        <w:tc>
          <w:tcPr>
            <w:tcW w:w="1605" w:type="dxa"/>
          </w:tcPr>
          <w:p w14:paraId="363FF5BA" w14:textId="373E0058" w:rsidR="00225233" w:rsidRPr="00564482" w:rsidRDefault="00225233" w:rsidP="00C5592E">
            <w:pPr>
              <w:pStyle w:val="Tabletexte"/>
              <w:spacing w:before="40" w:after="40"/>
              <w:jc w:val="center"/>
              <w:rPr>
                <w:position w:val="2"/>
              </w:rPr>
            </w:pPr>
            <w:r w:rsidRPr="00564482">
              <w:rPr>
                <w:position w:val="2"/>
                <w:lang w:eastAsia="en-GB"/>
              </w:rPr>
              <w:t>96</w:t>
            </w:r>
          </w:p>
        </w:tc>
        <w:tc>
          <w:tcPr>
            <w:tcW w:w="1606" w:type="dxa"/>
          </w:tcPr>
          <w:p w14:paraId="4EC2A61B" w14:textId="6E336628" w:rsidR="00225233" w:rsidRPr="00564482" w:rsidRDefault="00225233" w:rsidP="00C5592E">
            <w:pPr>
              <w:pStyle w:val="Tabletexte"/>
              <w:spacing w:before="40" w:after="40"/>
              <w:jc w:val="center"/>
              <w:rPr>
                <w:position w:val="2"/>
              </w:rPr>
            </w:pPr>
            <w:r w:rsidRPr="00564482">
              <w:rPr>
                <w:position w:val="2"/>
                <w:lang w:eastAsia="en-GB"/>
              </w:rPr>
              <w:t>288</w:t>
            </w:r>
          </w:p>
        </w:tc>
        <w:tc>
          <w:tcPr>
            <w:tcW w:w="1606" w:type="dxa"/>
          </w:tcPr>
          <w:p w14:paraId="1C6B39DF" w14:textId="64A02F94" w:rsidR="00225233" w:rsidRPr="00564482" w:rsidRDefault="00225233" w:rsidP="00C5592E">
            <w:pPr>
              <w:pStyle w:val="Tabletexte"/>
              <w:spacing w:before="40" w:after="40"/>
              <w:jc w:val="center"/>
              <w:rPr>
                <w:position w:val="2"/>
              </w:rPr>
            </w:pPr>
            <w:r w:rsidRPr="00564482">
              <w:rPr>
                <w:position w:val="2"/>
                <w:lang w:eastAsia="en-GB"/>
              </w:rPr>
              <w:t>384</w:t>
            </w:r>
          </w:p>
        </w:tc>
      </w:tr>
      <w:tr w:rsidR="00225233" w:rsidRPr="00564482" w14:paraId="113A405B" w14:textId="77777777" w:rsidTr="00225233">
        <w:tc>
          <w:tcPr>
            <w:tcW w:w="4244" w:type="dxa"/>
          </w:tcPr>
          <w:p w14:paraId="52CFFD22" w14:textId="6D6FDD2D"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تنظيم برامج تدريبية ومِنح</w:t>
            </w:r>
          </w:p>
        </w:tc>
        <w:tc>
          <w:tcPr>
            <w:tcW w:w="1605" w:type="dxa"/>
          </w:tcPr>
          <w:p w14:paraId="102EEEAD" w14:textId="753AEC2A" w:rsidR="00225233" w:rsidRPr="00564482" w:rsidRDefault="00225233" w:rsidP="00C5592E">
            <w:pPr>
              <w:pStyle w:val="Tabletexte"/>
              <w:spacing w:before="40" w:after="40"/>
              <w:jc w:val="center"/>
              <w:rPr>
                <w:position w:val="2"/>
              </w:rPr>
            </w:pPr>
            <w:r w:rsidRPr="00564482">
              <w:rPr>
                <w:position w:val="2"/>
                <w:lang w:eastAsia="en-GB"/>
              </w:rPr>
              <w:t>60</w:t>
            </w:r>
          </w:p>
        </w:tc>
        <w:tc>
          <w:tcPr>
            <w:tcW w:w="1606" w:type="dxa"/>
          </w:tcPr>
          <w:p w14:paraId="738716D8" w14:textId="5424A8C9" w:rsidR="00225233" w:rsidRPr="00564482" w:rsidRDefault="00225233" w:rsidP="00C5592E">
            <w:pPr>
              <w:pStyle w:val="Tabletexte"/>
              <w:spacing w:before="40" w:after="40"/>
              <w:jc w:val="center"/>
              <w:rPr>
                <w:position w:val="2"/>
              </w:rPr>
            </w:pPr>
            <w:r w:rsidRPr="00564482">
              <w:rPr>
                <w:position w:val="2"/>
                <w:lang w:eastAsia="en-GB"/>
              </w:rPr>
              <w:t>180</w:t>
            </w:r>
          </w:p>
        </w:tc>
        <w:tc>
          <w:tcPr>
            <w:tcW w:w="1606" w:type="dxa"/>
          </w:tcPr>
          <w:p w14:paraId="20845EEC" w14:textId="041F6748" w:rsidR="00225233" w:rsidRPr="00564482" w:rsidRDefault="00225233" w:rsidP="00C5592E">
            <w:pPr>
              <w:pStyle w:val="Tabletexte"/>
              <w:spacing w:before="40" w:after="40"/>
              <w:jc w:val="center"/>
              <w:rPr>
                <w:position w:val="2"/>
              </w:rPr>
            </w:pPr>
            <w:r w:rsidRPr="00564482">
              <w:rPr>
                <w:position w:val="2"/>
                <w:lang w:eastAsia="en-GB"/>
              </w:rPr>
              <w:t>240</w:t>
            </w:r>
          </w:p>
        </w:tc>
      </w:tr>
      <w:tr w:rsidR="00225233" w:rsidRPr="00564482" w14:paraId="51AF14E1" w14:textId="77777777" w:rsidTr="00225233">
        <w:tc>
          <w:tcPr>
            <w:tcW w:w="4244" w:type="dxa"/>
          </w:tcPr>
          <w:p w14:paraId="02C39484" w14:textId="77850B12" w:rsidR="00225233" w:rsidRPr="00BA4F14" w:rsidRDefault="0044376E" w:rsidP="00C5592E">
            <w:pPr>
              <w:pStyle w:val="Tabletexte"/>
              <w:tabs>
                <w:tab w:val="clear" w:pos="794"/>
              </w:tabs>
              <w:spacing w:before="40" w:after="40"/>
              <w:ind w:left="308" w:hanging="308"/>
              <w:rPr>
                <w:spacing w:val="-4"/>
                <w:position w:val="2"/>
                <w:rtl/>
              </w:rPr>
            </w:pPr>
            <w:r w:rsidRPr="00BA4F14">
              <w:rPr>
                <w:spacing w:val="-4"/>
                <w:position w:val="2"/>
                <w:rtl/>
              </w:rPr>
              <w:t>‒</w:t>
            </w:r>
            <w:r w:rsidRPr="00BA4F14">
              <w:rPr>
                <w:spacing w:val="-4"/>
                <w:position w:val="2"/>
                <w:rtl/>
              </w:rPr>
              <w:tab/>
            </w:r>
            <w:r w:rsidR="00225233" w:rsidRPr="00BA4F14">
              <w:rPr>
                <w:spacing w:val="-4"/>
                <w:position w:val="2"/>
                <w:rtl/>
              </w:rPr>
              <w:t>دعم المبادرات - الفتيات في مجال تكنولوجيا المعلومات والاتصالات، وغيرها</w:t>
            </w:r>
          </w:p>
        </w:tc>
        <w:tc>
          <w:tcPr>
            <w:tcW w:w="1605" w:type="dxa"/>
          </w:tcPr>
          <w:p w14:paraId="24253AEF" w14:textId="6B04AB2B" w:rsidR="00225233" w:rsidRPr="00564482" w:rsidRDefault="00225233" w:rsidP="00C5592E">
            <w:pPr>
              <w:pStyle w:val="Tabletexte"/>
              <w:spacing w:before="40" w:after="40"/>
              <w:jc w:val="center"/>
              <w:rPr>
                <w:position w:val="2"/>
              </w:rPr>
            </w:pPr>
            <w:r w:rsidRPr="00564482">
              <w:rPr>
                <w:position w:val="2"/>
                <w:lang w:eastAsia="en-GB"/>
              </w:rPr>
              <w:t>50</w:t>
            </w:r>
          </w:p>
        </w:tc>
        <w:tc>
          <w:tcPr>
            <w:tcW w:w="1606" w:type="dxa"/>
          </w:tcPr>
          <w:p w14:paraId="4352B865" w14:textId="55CE0E0C" w:rsidR="00225233" w:rsidRPr="00564482" w:rsidRDefault="00225233" w:rsidP="00C5592E">
            <w:pPr>
              <w:pStyle w:val="Tabletexte"/>
              <w:spacing w:before="40" w:after="40"/>
              <w:jc w:val="center"/>
              <w:rPr>
                <w:position w:val="2"/>
              </w:rPr>
            </w:pPr>
            <w:r w:rsidRPr="00564482">
              <w:rPr>
                <w:position w:val="2"/>
                <w:lang w:eastAsia="en-GB"/>
              </w:rPr>
              <w:t>150</w:t>
            </w:r>
          </w:p>
        </w:tc>
        <w:tc>
          <w:tcPr>
            <w:tcW w:w="1606" w:type="dxa"/>
          </w:tcPr>
          <w:p w14:paraId="5778D5CE" w14:textId="31593E45" w:rsidR="00225233" w:rsidRPr="00564482" w:rsidRDefault="00225233" w:rsidP="00C5592E">
            <w:pPr>
              <w:pStyle w:val="Tabletexte"/>
              <w:spacing w:before="40" w:after="40"/>
              <w:jc w:val="center"/>
              <w:rPr>
                <w:position w:val="2"/>
              </w:rPr>
            </w:pPr>
            <w:r w:rsidRPr="00564482">
              <w:rPr>
                <w:position w:val="2"/>
                <w:lang w:eastAsia="en-GB"/>
              </w:rPr>
              <w:t>200</w:t>
            </w:r>
          </w:p>
        </w:tc>
      </w:tr>
      <w:tr w:rsidR="00225233" w:rsidRPr="00564482" w14:paraId="5A570C27" w14:textId="77777777" w:rsidTr="00225233">
        <w:tc>
          <w:tcPr>
            <w:tcW w:w="4244" w:type="dxa"/>
          </w:tcPr>
          <w:p w14:paraId="44C0DBCC" w14:textId="460697F7"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 xml:space="preserve">أنشطة شبكة المرأة في المؤتمر العالمي لتنمية الاتصالات </w:t>
            </w:r>
            <w:r w:rsidR="00225233" w:rsidRPr="00564482">
              <w:rPr>
                <w:position w:val="2"/>
              </w:rPr>
              <w:t xml:space="preserve">(NoW4WTDC) </w:t>
            </w:r>
          </w:p>
        </w:tc>
        <w:tc>
          <w:tcPr>
            <w:tcW w:w="1605" w:type="dxa"/>
          </w:tcPr>
          <w:p w14:paraId="35BCF5B4" w14:textId="5E5F6944" w:rsidR="00225233" w:rsidRPr="00564482" w:rsidRDefault="00225233" w:rsidP="00C5592E">
            <w:pPr>
              <w:pStyle w:val="Tabletexte"/>
              <w:spacing w:before="40" w:after="40"/>
              <w:jc w:val="center"/>
              <w:rPr>
                <w:position w:val="2"/>
              </w:rPr>
            </w:pPr>
            <w:r w:rsidRPr="00564482">
              <w:rPr>
                <w:position w:val="2"/>
                <w:lang w:eastAsia="en-GB"/>
              </w:rPr>
              <w:t>60</w:t>
            </w:r>
          </w:p>
        </w:tc>
        <w:tc>
          <w:tcPr>
            <w:tcW w:w="1606" w:type="dxa"/>
          </w:tcPr>
          <w:p w14:paraId="2D2AD701" w14:textId="0DC7DB17" w:rsidR="00225233" w:rsidRPr="00564482" w:rsidRDefault="00225233" w:rsidP="00C5592E">
            <w:pPr>
              <w:pStyle w:val="Tabletexte"/>
              <w:spacing w:before="40" w:after="40"/>
              <w:jc w:val="center"/>
              <w:rPr>
                <w:position w:val="2"/>
              </w:rPr>
            </w:pPr>
            <w:r w:rsidRPr="00564482">
              <w:rPr>
                <w:position w:val="2"/>
                <w:lang w:eastAsia="en-GB"/>
              </w:rPr>
              <w:t>180</w:t>
            </w:r>
          </w:p>
        </w:tc>
        <w:tc>
          <w:tcPr>
            <w:tcW w:w="1606" w:type="dxa"/>
          </w:tcPr>
          <w:p w14:paraId="5F870852" w14:textId="45D34821" w:rsidR="00225233" w:rsidRPr="00564482" w:rsidRDefault="00225233" w:rsidP="00C5592E">
            <w:pPr>
              <w:pStyle w:val="Tabletexte"/>
              <w:spacing w:before="40" w:after="40"/>
              <w:jc w:val="center"/>
              <w:rPr>
                <w:position w:val="2"/>
              </w:rPr>
            </w:pPr>
            <w:r w:rsidRPr="00564482">
              <w:rPr>
                <w:position w:val="2"/>
                <w:lang w:eastAsia="en-GB"/>
              </w:rPr>
              <w:t>240</w:t>
            </w:r>
          </w:p>
        </w:tc>
      </w:tr>
      <w:tr w:rsidR="00225233" w:rsidRPr="00564482" w14:paraId="2FB5C967" w14:textId="77777777" w:rsidTr="00225233">
        <w:tc>
          <w:tcPr>
            <w:tcW w:w="4244" w:type="dxa"/>
          </w:tcPr>
          <w:p w14:paraId="587A1041" w14:textId="77777777" w:rsidR="00225233" w:rsidRPr="00564482" w:rsidRDefault="00225233" w:rsidP="00C5592E">
            <w:pPr>
              <w:pStyle w:val="Tabletexte"/>
              <w:spacing w:before="40" w:after="40"/>
              <w:rPr>
                <w:position w:val="2"/>
                <w:rtl/>
              </w:rPr>
            </w:pPr>
          </w:p>
        </w:tc>
        <w:tc>
          <w:tcPr>
            <w:tcW w:w="1605" w:type="dxa"/>
          </w:tcPr>
          <w:p w14:paraId="5DCE7084" w14:textId="77777777" w:rsidR="00225233" w:rsidRPr="00564482" w:rsidRDefault="00225233" w:rsidP="00C5592E">
            <w:pPr>
              <w:pStyle w:val="Tabletexte"/>
              <w:spacing w:before="40" w:after="40"/>
              <w:jc w:val="center"/>
              <w:rPr>
                <w:position w:val="2"/>
              </w:rPr>
            </w:pPr>
          </w:p>
        </w:tc>
        <w:tc>
          <w:tcPr>
            <w:tcW w:w="1606" w:type="dxa"/>
          </w:tcPr>
          <w:p w14:paraId="53BF6F2A" w14:textId="77777777" w:rsidR="00225233" w:rsidRPr="00564482" w:rsidRDefault="00225233" w:rsidP="00C5592E">
            <w:pPr>
              <w:pStyle w:val="Tabletexte"/>
              <w:spacing w:before="40" w:after="40"/>
              <w:jc w:val="center"/>
              <w:rPr>
                <w:position w:val="2"/>
              </w:rPr>
            </w:pPr>
          </w:p>
        </w:tc>
        <w:tc>
          <w:tcPr>
            <w:tcW w:w="1606" w:type="dxa"/>
          </w:tcPr>
          <w:p w14:paraId="721877B8" w14:textId="77777777" w:rsidR="00225233" w:rsidRPr="00564482" w:rsidRDefault="00225233" w:rsidP="00C5592E">
            <w:pPr>
              <w:pStyle w:val="Tabletexte"/>
              <w:spacing w:before="40" w:after="40"/>
              <w:jc w:val="center"/>
              <w:rPr>
                <w:position w:val="2"/>
              </w:rPr>
            </w:pPr>
          </w:p>
        </w:tc>
      </w:tr>
      <w:tr w:rsidR="00225233" w:rsidRPr="00564482" w14:paraId="22012949" w14:textId="77777777" w:rsidTr="00225233">
        <w:tc>
          <w:tcPr>
            <w:tcW w:w="4244" w:type="dxa"/>
          </w:tcPr>
          <w:p w14:paraId="6BFC3C1F" w14:textId="77777777" w:rsidR="00225233" w:rsidRPr="00564482" w:rsidRDefault="00225233" w:rsidP="00C5592E">
            <w:pPr>
              <w:pStyle w:val="Tabletexte"/>
              <w:spacing w:before="40" w:after="40"/>
              <w:rPr>
                <w:position w:val="2"/>
                <w:rtl/>
              </w:rPr>
            </w:pPr>
            <w:r w:rsidRPr="0044376E">
              <w:rPr>
                <w:b/>
                <w:bCs/>
                <w:position w:val="2"/>
                <w:rtl/>
              </w:rPr>
              <w:t>القرار 66</w:t>
            </w:r>
            <w:r w:rsidRPr="00564482">
              <w:rPr>
                <w:position w:val="2"/>
                <w:rtl/>
              </w:rPr>
              <w:t xml:space="preserve"> - تكنولوجيا المعلومات والاتصالات والبيئة وتغير المناخ والاقتصاد الدائري</w:t>
            </w:r>
          </w:p>
        </w:tc>
        <w:tc>
          <w:tcPr>
            <w:tcW w:w="1605" w:type="dxa"/>
          </w:tcPr>
          <w:p w14:paraId="469B6AF2" w14:textId="3F14518A" w:rsidR="00225233" w:rsidRPr="00564482" w:rsidRDefault="00225233" w:rsidP="00C5592E">
            <w:pPr>
              <w:pStyle w:val="Tabletexte"/>
              <w:spacing w:before="40" w:after="40"/>
              <w:jc w:val="center"/>
              <w:rPr>
                <w:position w:val="2"/>
              </w:rPr>
            </w:pPr>
            <w:r w:rsidRPr="00564482">
              <w:rPr>
                <w:position w:val="2"/>
                <w:lang w:eastAsia="en-GB"/>
              </w:rPr>
              <w:t>96</w:t>
            </w:r>
          </w:p>
        </w:tc>
        <w:tc>
          <w:tcPr>
            <w:tcW w:w="1606" w:type="dxa"/>
          </w:tcPr>
          <w:p w14:paraId="53629F27" w14:textId="1997FBC0" w:rsidR="00225233" w:rsidRPr="00564482" w:rsidRDefault="00225233" w:rsidP="00C5592E">
            <w:pPr>
              <w:pStyle w:val="Tabletexte"/>
              <w:spacing w:before="40" w:after="40"/>
              <w:jc w:val="center"/>
              <w:rPr>
                <w:position w:val="2"/>
              </w:rPr>
            </w:pPr>
            <w:r w:rsidRPr="00564482">
              <w:rPr>
                <w:position w:val="2"/>
                <w:lang w:eastAsia="en-GB"/>
              </w:rPr>
              <w:t>144</w:t>
            </w:r>
          </w:p>
        </w:tc>
        <w:tc>
          <w:tcPr>
            <w:tcW w:w="1606" w:type="dxa"/>
          </w:tcPr>
          <w:p w14:paraId="098081D3" w14:textId="1A5B2E81" w:rsidR="00225233" w:rsidRPr="00564482" w:rsidRDefault="00225233" w:rsidP="00C5592E">
            <w:pPr>
              <w:pStyle w:val="Tabletexte"/>
              <w:spacing w:before="40" w:after="40"/>
              <w:jc w:val="center"/>
              <w:rPr>
                <w:b/>
                <w:bCs/>
                <w:position w:val="2"/>
              </w:rPr>
            </w:pPr>
            <w:r w:rsidRPr="00564482">
              <w:rPr>
                <w:b/>
                <w:bCs/>
                <w:position w:val="2"/>
                <w:lang w:eastAsia="en-GB"/>
              </w:rPr>
              <w:t>240</w:t>
            </w:r>
          </w:p>
        </w:tc>
      </w:tr>
      <w:tr w:rsidR="00225233" w:rsidRPr="00564482" w14:paraId="11566FDB" w14:textId="77777777" w:rsidTr="00225233">
        <w:tc>
          <w:tcPr>
            <w:tcW w:w="4244" w:type="dxa"/>
          </w:tcPr>
          <w:p w14:paraId="2199A0C0" w14:textId="12B8B56F"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خبير لتنفيذ حملات توعية للجمهور بشأن التخلص من المخلفات الإلكترونية</w:t>
            </w:r>
          </w:p>
        </w:tc>
        <w:tc>
          <w:tcPr>
            <w:tcW w:w="1605" w:type="dxa"/>
          </w:tcPr>
          <w:p w14:paraId="1DB8A751" w14:textId="64283D47" w:rsidR="00225233" w:rsidRPr="00564482" w:rsidRDefault="00225233" w:rsidP="00C5592E">
            <w:pPr>
              <w:pStyle w:val="Tabletexte"/>
              <w:spacing w:before="40" w:after="40"/>
              <w:jc w:val="center"/>
              <w:rPr>
                <w:position w:val="2"/>
              </w:rPr>
            </w:pPr>
            <w:r w:rsidRPr="00564482">
              <w:rPr>
                <w:position w:val="2"/>
                <w:lang w:eastAsia="en-GB"/>
              </w:rPr>
              <w:t>96</w:t>
            </w:r>
          </w:p>
        </w:tc>
        <w:tc>
          <w:tcPr>
            <w:tcW w:w="1606" w:type="dxa"/>
          </w:tcPr>
          <w:p w14:paraId="4FF77F6E" w14:textId="361B0413" w:rsidR="00225233" w:rsidRPr="00564482" w:rsidRDefault="00225233" w:rsidP="00C5592E">
            <w:pPr>
              <w:pStyle w:val="Tabletexte"/>
              <w:spacing w:before="40" w:after="40"/>
              <w:jc w:val="center"/>
              <w:rPr>
                <w:position w:val="2"/>
              </w:rPr>
            </w:pPr>
            <w:r w:rsidRPr="00564482">
              <w:rPr>
                <w:position w:val="2"/>
                <w:lang w:eastAsia="en-GB"/>
              </w:rPr>
              <w:t>144</w:t>
            </w:r>
          </w:p>
        </w:tc>
        <w:tc>
          <w:tcPr>
            <w:tcW w:w="1606" w:type="dxa"/>
          </w:tcPr>
          <w:p w14:paraId="64E070DB" w14:textId="0B34E462" w:rsidR="00225233" w:rsidRPr="00564482" w:rsidRDefault="00225233" w:rsidP="00C5592E">
            <w:pPr>
              <w:pStyle w:val="Tabletexte"/>
              <w:spacing w:before="40" w:after="40"/>
              <w:jc w:val="center"/>
              <w:rPr>
                <w:position w:val="2"/>
              </w:rPr>
            </w:pPr>
            <w:r w:rsidRPr="00564482">
              <w:rPr>
                <w:position w:val="2"/>
                <w:lang w:eastAsia="en-GB"/>
              </w:rPr>
              <w:t>240</w:t>
            </w:r>
          </w:p>
        </w:tc>
      </w:tr>
      <w:tr w:rsidR="00225233" w:rsidRPr="00564482" w14:paraId="0FD1B3C4" w14:textId="77777777" w:rsidTr="00225233">
        <w:tc>
          <w:tcPr>
            <w:tcW w:w="4244" w:type="dxa"/>
          </w:tcPr>
          <w:p w14:paraId="3C0DE66C" w14:textId="77777777" w:rsidR="00225233" w:rsidRPr="00564482" w:rsidRDefault="00225233" w:rsidP="00C5592E">
            <w:pPr>
              <w:pStyle w:val="Tabletexte"/>
              <w:spacing w:before="40" w:after="40"/>
              <w:rPr>
                <w:position w:val="2"/>
                <w:rtl/>
              </w:rPr>
            </w:pPr>
          </w:p>
        </w:tc>
        <w:tc>
          <w:tcPr>
            <w:tcW w:w="1605" w:type="dxa"/>
          </w:tcPr>
          <w:p w14:paraId="7C4D8A1C" w14:textId="77777777" w:rsidR="00225233" w:rsidRPr="00564482" w:rsidRDefault="00225233" w:rsidP="00C5592E">
            <w:pPr>
              <w:pStyle w:val="Tabletexte"/>
              <w:spacing w:before="40" w:after="40"/>
              <w:jc w:val="center"/>
              <w:rPr>
                <w:position w:val="2"/>
              </w:rPr>
            </w:pPr>
          </w:p>
        </w:tc>
        <w:tc>
          <w:tcPr>
            <w:tcW w:w="1606" w:type="dxa"/>
          </w:tcPr>
          <w:p w14:paraId="45B83BF3" w14:textId="77777777" w:rsidR="00225233" w:rsidRPr="00564482" w:rsidRDefault="00225233" w:rsidP="00C5592E">
            <w:pPr>
              <w:pStyle w:val="Tabletexte"/>
              <w:spacing w:before="40" w:after="40"/>
              <w:jc w:val="center"/>
              <w:rPr>
                <w:position w:val="2"/>
              </w:rPr>
            </w:pPr>
          </w:p>
        </w:tc>
        <w:tc>
          <w:tcPr>
            <w:tcW w:w="1606" w:type="dxa"/>
          </w:tcPr>
          <w:p w14:paraId="47E0A2C8" w14:textId="77777777" w:rsidR="00225233" w:rsidRPr="00564482" w:rsidRDefault="00225233" w:rsidP="00C5592E">
            <w:pPr>
              <w:pStyle w:val="Tabletexte"/>
              <w:spacing w:before="40" w:after="40"/>
              <w:jc w:val="center"/>
              <w:rPr>
                <w:position w:val="2"/>
              </w:rPr>
            </w:pPr>
          </w:p>
        </w:tc>
      </w:tr>
      <w:tr w:rsidR="00225233" w:rsidRPr="00564482" w14:paraId="45C41849" w14:textId="77777777" w:rsidTr="00225233">
        <w:tc>
          <w:tcPr>
            <w:tcW w:w="4244" w:type="dxa"/>
          </w:tcPr>
          <w:p w14:paraId="7AEA2943" w14:textId="77777777" w:rsidR="00225233" w:rsidRPr="00564482" w:rsidRDefault="00225233" w:rsidP="00C5592E">
            <w:pPr>
              <w:pStyle w:val="Tabletexte"/>
              <w:spacing w:before="40" w:after="40"/>
              <w:rPr>
                <w:position w:val="2"/>
                <w:rtl/>
              </w:rPr>
            </w:pPr>
            <w:r w:rsidRPr="0044376E">
              <w:rPr>
                <w:b/>
                <w:bCs/>
                <w:position w:val="2"/>
                <w:rtl/>
              </w:rPr>
              <w:t>القرار 76</w:t>
            </w:r>
            <w:r w:rsidRPr="00564482">
              <w:rPr>
                <w:position w:val="2"/>
                <w:rtl/>
              </w:rPr>
              <w:t xml:space="preserve"> - تعزيز استخدام تكنولوجيا المعلومات والاتصالات بين الشباب من الجنسين من أجل تمكينهم اجتماعياً واقتصادياً</w:t>
            </w:r>
          </w:p>
        </w:tc>
        <w:tc>
          <w:tcPr>
            <w:tcW w:w="1605" w:type="dxa"/>
          </w:tcPr>
          <w:p w14:paraId="043DDEFD" w14:textId="4C1B782B" w:rsidR="00225233" w:rsidRPr="00564482" w:rsidRDefault="00225233" w:rsidP="00C5592E">
            <w:pPr>
              <w:pStyle w:val="Tabletexte"/>
              <w:spacing w:before="40" w:after="40"/>
              <w:jc w:val="center"/>
              <w:rPr>
                <w:position w:val="2"/>
              </w:rPr>
            </w:pPr>
            <w:r w:rsidRPr="00564482">
              <w:rPr>
                <w:position w:val="2"/>
                <w:lang w:eastAsia="en-GB"/>
              </w:rPr>
              <w:t>304</w:t>
            </w:r>
          </w:p>
        </w:tc>
        <w:tc>
          <w:tcPr>
            <w:tcW w:w="1606" w:type="dxa"/>
          </w:tcPr>
          <w:p w14:paraId="54A035E6" w14:textId="2CB5613B" w:rsidR="00225233" w:rsidRPr="00564482" w:rsidRDefault="00225233" w:rsidP="00C5592E">
            <w:pPr>
              <w:pStyle w:val="Tabletexte"/>
              <w:spacing w:before="40" w:after="40"/>
              <w:jc w:val="center"/>
              <w:rPr>
                <w:position w:val="2"/>
              </w:rPr>
            </w:pPr>
            <w:r w:rsidRPr="00564482">
              <w:rPr>
                <w:position w:val="2"/>
                <w:lang w:eastAsia="en-GB"/>
              </w:rPr>
              <w:t>912</w:t>
            </w:r>
          </w:p>
        </w:tc>
        <w:tc>
          <w:tcPr>
            <w:tcW w:w="1606" w:type="dxa"/>
          </w:tcPr>
          <w:p w14:paraId="214095EB" w14:textId="7CD1666E" w:rsidR="00225233" w:rsidRPr="00564482" w:rsidRDefault="00225233" w:rsidP="00C5592E">
            <w:pPr>
              <w:pStyle w:val="Tabletexte"/>
              <w:spacing w:before="40" w:after="40"/>
              <w:jc w:val="center"/>
              <w:rPr>
                <w:b/>
                <w:bCs/>
                <w:position w:val="2"/>
              </w:rPr>
            </w:pPr>
            <w:r w:rsidRPr="00564482">
              <w:rPr>
                <w:b/>
                <w:bCs/>
                <w:position w:val="2"/>
                <w:lang w:eastAsia="en-GB"/>
              </w:rPr>
              <w:t>1 216</w:t>
            </w:r>
          </w:p>
        </w:tc>
      </w:tr>
      <w:tr w:rsidR="00225233" w:rsidRPr="00564482" w14:paraId="05616B30" w14:textId="77777777" w:rsidTr="00225233">
        <w:tc>
          <w:tcPr>
            <w:tcW w:w="4244" w:type="dxa"/>
          </w:tcPr>
          <w:p w14:paraId="0EE4800A" w14:textId="2EC01620"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مهنيون شباب</w:t>
            </w:r>
          </w:p>
        </w:tc>
        <w:tc>
          <w:tcPr>
            <w:tcW w:w="1605" w:type="dxa"/>
          </w:tcPr>
          <w:p w14:paraId="6F10B91A" w14:textId="5FCDB324" w:rsidR="00225233" w:rsidRPr="00564482" w:rsidRDefault="00225233" w:rsidP="00C5592E">
            <w:pPr>
              <w:pStyle w:val="Tabletexte"/>
              <w:spacing w:before="40" w:after="40"/>
              <w:jc w:val="center"/>
              <w:rPr>
                <w:position w:val="2"/>
              </w:rPr>
            </w:pPr>
            <w:r w:rsidRPr="00564482">
              <w:rPr>
                <w:position w:val="2"/>
                <w:lang w:eastAsia="en-GB"/>
              </w:rPr>
              <w:t>254</w:t>
            </w:r>
          </w:p>
        </w:tc>
        <w:tc>
          <w:tcPr>
            <w:tcW w:w="1606" w:type="dxa"/>
          </w:tcPr>
          <w:p w14:paraId="6F9A007F" w14:textId="0CB7BFEF" w:rsidR="00225233" w:rsidRPr="00564482" w:rsidRDefault="00225233" w:rsidP="00C5592E">
            <w:pPr>
              <w:pStyle w:val="Tabletexte"/>
              <w:spacing w:before="40" w:after="40"/>
              <w:jc w:val="center"/>
              <w:rPr>
                <w:position w:val="2"/>
              </w:rPr>
            </w:pPr>
            <w:r w:rsidRPr="00564482">
              <w:rPr>
                <w:position w:val="2"/>
                <w:lang w:eastAsia="en-GB"/>
              </w:rPr>
              <w:t>762</w:t>
            </w:r>
          </w:p>
        </w:tc>
        <w:tc>
          <w:tcPr>
            <w:tcW w:w="1606" w:type="dxa"/>
          </w:tcPr>
          <w:p w14:paraId="0211F144" w14:textId="06F6C9DF" w:rsidR="00225233" w:rsidRPr="00564482" w:rsidRDefault="00225233" w:rsidP="00C5592E">
            <w:pPr>
              <w:pStyle w:val="Tabletexte"/>
              <w:spacing w:before="40" w:after="40"/>
              <w:jc w:val="center"/>
              <w:rPr>
                <w:position w:val="2"/>
              </w:rPr>
            </w:pPr>
            <w:r w:rsidRPr="00564482">
              <w:rPr>
                <w:position w:val="2"/>
                <w:lang w:eastAsia="en-GB"/>
              </w:rPr>
              <w:t>1 016</w:t>
            </w:r>
          </w:p>
        </w:tc>
      </w:tr>
      <w:tr w:rsidR="00225233" w:rsidRPr="00564482" w14:paraId="07199C5D" w14:textId="77777777" w:rsidTr="00225233">
        <w:tc>
          <w:tcPr>
            <w:tcW w:w="4244" w:type="dxa"/>
          </w:tcPr>
          <w:p w14:paraId="0559CDBC" w14:textId="10E094CA" w:rsidR="00225233" w:rsidRPr="00564482" w:rsidRDefault="0044376E" w:rsidP="00C5592E">
            <w:pPr>
              <w:pStyle w:val="Tabletexte"/>
              <w:tabs>
                <w:tab w:val="clear" w:pos="794"/>
              </w:tabs>
              <w:spacing w:before="40" w:after="40"/>
              <w:ind w:left="308" w:hanging="308"/>
              <w:rPr>
                <w:position w:val="2"/>
                <w:rtl/>
              </w:rPr>
            </w:pPr>
            <w:r>
              <w:rPr>
                <w:position w:val="2"/>
                <w:rtl/>
              </w:rPr>
              <w:t>‒</w:t>
            </w:r>
            <w:r w:rsidRPr="0044376E">
              <w:rPr>
                <w:position w:val="2"/>
                <w:rtl/>
              </w:rPr>
              <w:tab/>
            </w:r>
            <w:r w:rsidR="00225233" w:rsidRPr="00564482">
              <w:rPr>
                <w:position w:val="2"/>
                <w:rtl/>
              </w:rPr>
              <w:t>منح لمشاركة الشباب من الجنسين في برنامج بشأن المهارات الرقمية</w:t>
            </w:r>
          </w:p>
        </w:tc>
        <w:tc>
          <w:tcPr>
            <w:tcW w:w="1605" w:type="dxa"/>
          </w:tcPr>
          <w:p w14:paraId="61365FBB" w14:textId="4A9B83CC" w:rsidR="00225233" w:rsidRPr="00564482" w:rsidRDefault="00225233" w:rsidP="00C5592E">
            <w:pPr>
              <w:pStyle w:val="Tabletexte"/>
              <w:spacing w:before="40" w:after="40"/>
              <w:jc w:val="center"/>
              <w:rPr>
                <w:position w:val="2"/>
              </w:rPr>
            </w:pPr>
            <w:r w:rsidRPr="00564482">
              <w:rPr>
                <w:position w:val="2"/>
                <w:lang w:eastAsia="en-GB"/>
              </w:rPr>
              <w:t>50</w:t>
            </w:r>
          </w:p>
        </w:tc>
        <w:tc>
          <w:tcPr>
            <w:tcW w:w="1606" w:type="dxa"/>
          </w:tcPr>
          <w:p w14:paraId="7E036D96" w14:textId="52D21B14" w:rsidR="00225233" w:rsidRPr="00564482" w:rsidRDefault="00225233" w:rsidP="00C5592E">
            <w:pPr>
              <w:pStyle w:val="Tabletexte"/>
              <w:spacing w:before="40" w:after="40"/>
              <w:jc w:val="center"/>
              <w:rPr>
                <w:position w:val="2"/>
              </w:rPr>
            </w:pPr>
            <w:r w:rsidRPr="00564482">
              <w:rPr>
                <w:position w:val="2"/>
                <w:lang w:eastAsia="en-GB"/>
              </w:rPr>
              <w:t>150</w:t>
            </w:r>
          </w:p>
        </w:tc>
        <w:tc>
          <w:tcPr>
            <w:tcW w:w="1606" w:type="dxa"/>
          </w:tcPr>
          <w:p w14:paraId="649018F0" w14:textId="7599D747" w:rsidR="00225233" w:rsidRPr="00564482" w:rsidRDefault="00225233" w:rsidP="00C5592E">
            <w:pPr>
              <w:pStyle w:val="Tabletexte"/>
              <w:spacing w:before="40" w:after="40"/>
              <w:jc w:val="center"/>
              <w:rPr>
                <w:position w:val="2"/>
              </w:rPr>
            </w:pPr>
            <w:r w:rsidRPr="00564482">
              <w:rPr>
                <w:position w:val="2"/>
                <w:lang w:eastAsia="en-GB"/>
              </w:rPr>
              <w:t>200</w:t>
            </w:r>
          </w:p>
        </w:tc>
      </w:tr>
      <w:tr w:rsidR="00225233" w:rsidRPr="00564482" w14:paraId="7FB8CC3C" w14:textId="77777777" w:rsidTr="00225233">
        <w:tc>
          <w:tcPr>
            <w:tcW w:w="4244" w:type="dxa"/>
          </w:tcPr>
          <w:p w14:paraId="7C9041D8" w14:textId="77777777" w:rsidR="00225233" w:rsidRPr="0044376E" w:rsidRDefault="00225233" w:rsidP="00C5592E">
            <w:pPr>
              <w:pStyle w:val="Tabletexte"/>
              <w:spacing w:before="40" w:after="40"/>
              <w:jc w:val="right"/>
              <w:rPr>
                <w:b/>
                <w:bCs/>
                <w:position w:val="2"/>
                <w:rtl/>
              </w:rPr>
            </w:pPr>
            <w:r w:rsidRPr="0044376E">
              <w:rPr>
                <w:b/>
                <w:bCs/>
                <w:position w:val="2"/>
                <w:rtl/>
              </w:rPr>
              <w:t>المجموع الكلي</w:t>
            </w:r>
          </w:p>
        </w:tc>
        <w:tc>
          <w:tcPr>
            <w:tcW w:w="1605" w:type="dxa"/>
          </w:tcPr>
          <w:p w14:paraId="453B0629" w14:textId="0FA0D3CF" w:rsidR="00225233" w:rsidRPr="0044376E" w:rsidRDefault="00225233" w:rsidP="00C5592E">
            <w:pPr>
              <w:pStyle w:val="Tabletexte"/>
              <w:spacing w:before="40" w:after="40"/>
              <w:jc w:val="center"/>
              <w:rPr>
                <w:b/>
                <w:bCs/>
                <w:position w:val="2"/>
              </w:rPr>
            </w:pPr>
            <w:r w:rsidRPr="0044376E">
              <w:rPr>
                <w:b/>
                <w:bCs/>
                <w:position w:val="2"/>
                <w:lang w:eastAsia="en-GB"/>
              </w:rPr>
              <w:t>1 160</w:t>
            </w:r>
          </w:p>
        </w:tc>
        <w:tc>
          <w:tcPr>
            <w:tcW w:w="1606" w:type="dxa"/>
          </w:tcPr>
          <w:p w14:paraId="04683521" w14:textId="13B57675" w:rsidR="00225233" w:rsidRPr="0044376E" w:rsidRDefault="00225233" w:rsidP="00C5592E">
            <w:pPr>
              <w:pStyle w:val="Tabletexte"/>
              <w:spacing w:before="40" w:after="40"/>
              <w:jc w:val="center"/>
              <w:rPr>
                <w:b/>
                <w:bCs/>
                <w:position w:val="2"/>
              </w:rPr>
            </w:pPr>
            <w:r w:rsidRPr="0044376E">
              <w:rPr>
                <w:b/>
                <w:bCs/>
                <w:position w:val="2"/>
                <w:lang w:eastAsia="en-GB"/>
              </w:rPr>
              <w:t>3 048</w:t>
            </w:r>
          </w:p>
        </w:tc>
        <w:tc>
          <w:tcPr>
            <w:tcW w:w="1606" w:type="dxa"/>
          </w:tcPr>
          <w:p w14:paraId="2CCAEB7C" w14:textId="43C8991E" w:rsidR="00225233" w:rsidRPr="0044376E" w:rsidRDefault="00225233" w:rsidP="00C5592E">
            <w:pPr>
              <w:pStyle w:val="Tabletexte"/>
              <w:spacing w:before="40" w:after="40"/>
              <w:jc w:val="center"/>
              <w:rPr>
                <w:b/>
                <w:bCs/>
                <w:position w:val="2"/>
              </w:rPr>
            </w:pPr>
            <w:r w:rsidRPr="0044376E">
              <w:rPr>
                <w:b/>
                <w:bCs/>
                <w:position w:val="2"/>
                <w:lang w:eastAsia="en-GB"/>
              </w:rPr>
              <w:t>4 208</w:t>
            </w:r>
          </w:p>
        </w:tc>
      </w:tr>
    </w:tbl>
    <w:p w14:paraId="1CF908F7"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1C98" w14:textId="77777777" w:rsidR="002E3C9C" w:rsidRDefault="002E3C9C" w:rsidP="006C3242">
      <w:pPr>
        <w:spacing w:before="0" w:line="240" w:lineRule="auto"/>
      </w:pPr>
      <w:r>
        <w:separator/>
      </w:r>
    </w:p>
  </w:endnote>
  <w:endnote w:type="continuationSeparator" w:id="0">
    <w:p w14:paraId="1EF3F2BB" w14:textId="77777777" w:rsidR="002E3C9C" w:rsidRDefault="002E3C9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ED02" w14:textId="77777777" w:rsidR="004E0655" w:rsidRDefault="004E0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9946E15" w14:textId="77777777" w:rsidTr="00A67F05">
      <w:trPr>
        <w:jc w:val="center"/>
      </w:trPr>
      <w:tc>
        <w:tcPr>
          <w:tcW w:w="868" w:type="pct"/>
          <w:vAlign w:val="center"/>
        </w:tcPr>
        <w:p w14:paraId="7DB29539" w14:textId="3AC8EDB5" w:rsidR="00F50E3F" w:rsidRPr="007B0AA0" w:rsidRDefault="00225233" w:rsidP="004E0655">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225233">
            <w:rPr>
              <w:rFonts w:ascii="Calibri" w:hAnsi="Calibri" w:cs="Arial"/>
              <w:sz w:val="18"/>
              <w:szCs w:val="14"/>
            </w:rPr>
            <w:t>2600514</w:t>
          </w:r>
        </w:p>
      </w:tc>
      <w:tc>
        <w:tcPr>
          <w:tcW w:w="3912" w:type="pct"/>
        </w:tcPr>
        <w:p w14:paraId="47139714" w14:textId="3FD280A2" w:rsidR="00F50E3F" w:rsidRPr="007B0AA0" w:rsidRDefault="00F50E3F" w:rsidP="004E065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225233">
            <w:rPr>
              <w:rFonts w:ascii="Calibri" w:hAnsi="Calibri" w:cs="Arial"/>
              <w:bCs/>
              <w:color w:val="7F7F7F"/>
              <w:sz w:val="18"/>
            </w:rPr>
            <w:t>43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597BF58" w14:textId="77777777" w:rsidR="00F50E3F" w:rsidRPr="007B0AA0" w:rsidRDefault="00F50E3F" w:rsidP="004E065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E4FF0AD"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359DCE9" w14:textId="77777777" w:rsidTr="00A67F05">
      <w:trPr>
        <w:jc w:val="center"/>
      </w:trPr>
      <w:tc>
        <w:tcPr>
          <w:tcW w:w="1013" w:type="pct"/>
          <w:vAlign w:val="center"/>
        </w:tcPr>
        <w:p w14:paraId="7E29260C" w14:textId="77777777" w:rsidR="007B0AA0" w:rsidRPr="000116AF" w:rsidRDefault="000116AF" w:rsidP="004E0655">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0BA59B17" w14:textId="5A611630" w:rsidR="007B0AA0" w:rsidRPr="007B0AA0" w:rsidRDefault="007B0AA0" w:rsidP="004E065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225233">
            <w:rPr>
              <w:rFonts w:ascii="Calibri" w:hAnsi="Calibri" w:cs="Arial"/>
              <w:bCs/>
              <w:color w:val="7F7F7F"/>
              <w:sz w:val="18"/>
            </w:rPr>
            <w:t>43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B3B773A" w14:textId="77777777" w:rsidR="007B0AA0" w:rsidRPr="007B0AA0" w:rsidRDefault="00F50E3F" w:rsidP="004E065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97CC5C4"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192D" w14:textId="77777777" w:rsidR="002E3C9C" w:rsidRDefault="002E3C9C" w:rsidP="006C3242">
      <w:pPr>
        <w:spacing w:before="0" w:line="240" w:lineRule="auto"/>
      </w:pPr>
      <w:r>
        <w:separator/>
      </w:r>
    </w:p>
  </w:footnote>
  <w:footnote w:type="continuationSeparator" w:id="0">
    <w:p w14:paraId="00A225DF" w14:textId="77777777" w:rsidR="002E3C9C" w:rsidRDefault="002E3C9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2C3E" w14:textId="77777777" w:rsidR="004E0655" w:rsidRDefault="004E0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19D9" w14:textId="77777777" w:rsidR="004E0655" w:rsidRDefault="004E0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6718" w14:textId="77777777" w:rsidR="001A3E13" w:rsidRPr="00057769" w:rsidRDefault="001A3E13" w:rsidP="001A3E13">
    <w:pPr>
      <w:pStyle w:val="Header"/>
    </w:pPr>
    <w:r>
      <w:rPr>
        <w:noProof/>
      </w:rPr>
      <w:drawing>
        <wp:inline distT="0" distB="0" distL="0" distR="0" wp14:anchorId="5E5A879B" wp14:editId="521134BA">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9C"/>
    <w:rsid w:val="000116AF"/>
    <w:rsid w:val="00064050"/>
    <w:rsid w:val="0006468A"/>
    <w:rsid w:val="00077A58"/>
    <w:rsid w:val="00090574"/>
    <w:rsid w:val="000C1C0E"/>
    <w:rsid w:val="000C548A"/>
    <w:rsid w:val="00191059"/>
    <w:rsid w:val="001A3E13"/>
    <w:rsid w:val="001B6E2B"/>
    <w:rsid w:val="001C004D"/>
    <w:rsid w:val="001C0169"/>
    <w:rsid w:val="001C0C21"/>
    <w:rsid w:val="001D1D50"/>
    <w:rsid w:val="001D64C7"/>
    <w:rsid w:val="001D6745"/>
    <w:rsid w:val="001E446E"/>
    <w:rsid w:val="002154EE"/>
    <w:rsid w:val="00225233"/>
    <w:rsid w:val="002276D2"/>
    <w:rsid w:val="0023283D"/>
    <w:rsid w:val="00245466"/>
    <w:rsid w:val="00254393"/>
    <w:rsid w:val="0026373E"/>
    <w:rsid w:val="00271C43"/>
    <w:rsid w:val="00290728"/>
    <w:rsid w:val="002978F4"/>
    <w:rsid w:val="002B028D"/>
    <w:rsid w:val="002C3F32"/>
    <w:rsid w:val="002E3C9C"/>
    <w:rsid w:val="002E6541"/>
    <w:rsid w:val="0031104E"/>
    <w:rsid w:val="00334924"/>
    <w:rsid w:val="003409BC"/>
    <w:rsid w:val="00357185"/>
    <w:rsid w:val="00383829"/>
    <w:rsid w:val="003B2A38"/>
    <w:rsid w:val="003D7C2B"/>
    <w:rsid w:val="003E03D7"/>
    <w:rsid w:val="003F4B29"/>
    <w:rsid w:val="00410B26"/>
    <w:rsid w:val="00420F8A"/>
    <w:rsid w:val="0042686F"/>
    <w:rsid w:val="004317D8"/>
    <w:rsid w:val="0043260A"/>
    <w:rsid w:val="00434183"/>
    <w:rsid w:val="0044376E"/>
    <w:rsid w:val="00443869"/>
    <w:rsid w:val="00447F32"/>
    <w:rsid w:val="00491BA9"/>
    <w:rsid w:val="00494119"/>
    <w:rsid w:val="004A4701"/>
    <w:rsid w:val="004B1E21"/>
    <w:rsid w:val="004B7334"/>
    <w:rsid w:val="004E0655"/>
    <w:rsid w:val="004E11DC"/>
    <w:rsid w:val="005130DE"/>
    <w:rsid w:val="00513157"/>
    <w:rsid w:val="00525DDD"/>
    <w:rsid w:val="005409AC"/>
    <w:rsid w:val="005434E0"/>
    <w:rsid w:val="005546CF"/>
    <w:rsid w:val="0055516A"/>
    <w:rsid w:val="00564482"/>
    <w:rsid w:val="0058491B"/>
    <w:rsid w:val="00592EA5"/>
    <w:rsid w:val="005A3170"/>
    <w:rsid w:val="00657019"/>
    <w:rsid w:val="0066057D"/>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1A58"/>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7703B"/>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16044"/>
    <w:rsid w:val="00B30F5E"/>
    <w:rsid w:val="00B361F9"/>
    <w:rsid w:val="00B64B47"/>
    <w:rsid w:val="00B95654"/>
    <w:rsid w:val="00B97F32"/>
    <w:rsid w:val="00BA04B2"/>
    <w:rsid w:val="00BA4F14"/>
    <w:rsid w:val="00BD0D9F"/>
    <w:rsid w:val="00BE6610"/>
    <w:rsid w:val="00C002DE"/>
    <w:rsid w:val="00C0602B"/>
    <w:rsid w:val="00C224DA"/>
    <w:rsid w:val="00C53BF8"/>
    <w:rsid w:val="00C5592E"/>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B74EE"/>
    <w:rsid w:val="00FC0E94"/>
    <w:rsid w:val="00FC4592"/>
    <w:rsid w:val="00FD381D"/>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63038"/>
  <w15:chartTrackingRefBased/>
  <w15:docId w15:val="{4B975B50-3760-4B21-A361-EF73E232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styleId="CommentReference">
    <w:name w:val="annotation reference"/>
    <w:basedOn w:val="DefaultParagraphFont"/>
    <w:uiPriority w:val="99"/>
    <w:semiHidden/>
    <w:unhideWhenUsed/>
    <w:rsid w:val="00B361F9"/>
    <w:rPr>
      <w:sz w:val="16"/>
      <w:szCs w:val="16"/>
    </w:rPr>
  </w:style>
  <w:style w:type="paragraph" w:styleId="CommentText">
    <w:name w:val="annotation text"/>
    <w:basedOn w:val="Normal"/>
    <w:link w:val="CommentTextChar"/>
    <w:uiPriority w:val="99"/>
    <w:unhideWhenUsed/>
    <w:rsid w:val="00B361F9"/>
    <w:pPr>
      <w:spacing w:line="240" w:lineRule="auto"/>
    </w:pPr>
    <w:rPr>
      <w:sz w:val="20"/>
      <w:szCs w:val="20"/>
    </w:rPr>
  </w:style>
  <w:style w:type="character" w:customStyle="1" w:styleId="CommentTextChar">
    <w:name w:val="Comment Text Char"/>
    <w:basedOn w:val="DefaultParagraphFont"/>
    <w:link w:val="CommentText"/>
    <w:uiPriority w:val="99"/>
    <w:rsid w:val="00B361F9"/>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B361F9"/>
    <w:rPr>
      <w:b/>
      <w:bCs/>
    </w:rPr>
  </w:style>
  <w:style w:type="character" w:customStyle="1" w:styleId="CommentSubjectChar">
    <w:name w:val="Comment Subject Char"/>
    <w:basedOn w:val="CommentTextChar"/>
    <w:link w:val="CommentSubject"/>
    <w:uiPriority w:val="99"/>
    <w:semiHidden/>
    <w:rsid w:val="00B361F9"/>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en" TargetMode="External"/><Relationship Id="rId13" Type="http://schemas.openxmlformats.org/officeDocument/2006/relationships/hyperlink" Target="https://www.itu.int/md/S26-CL-C-0042/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D22-WTDC25-C-0070/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WGFHR22-C-0007/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D22-WTDC25-C-0070/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tu.int/md/S26-CL-C-0042/en" TargetMode="External"/><Relationship Id="rId14" Type="http://schemas.openxmlformats.org/officeDocument/2006/relationships/hyperlink" Target="https://www.itu.int/md/D26-TDAG33-C-0004/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4</Pages>
  <Words>1366</Words>
  <Characters>7928</Characters>
  <Application>Microsoft Office Word</Application>
  <DocSecurity>0</DocSecurity>
  <Lines>240</Lines>
  <Paragraphs>160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budgetary implications of addressing the WTDC-25 resolutions</dc:title>
  <dc:subject>ITU Council 2026</dc:subject>
  <cp:keywords>C26; C2026; Council 2026; PP26</cp:keywords>
  <dc:description/>
  <dcterms:created xsi:type="dcterms:W3CDTF">2026-04-08T14:50:00Z</dcterms:created>
  <dcterms:modified xsi:type="dcterms:W3CDTF">2026-04-08T14:50:00Z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