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FD1FA7" w14:paraId="27019F64" w14:textId="77777777" w:rsidTr="00954C49">
        <w:trPr>
          <w:cantSplit/>
          <w:trHeight w:val="23"/>
        </w:trPr>
        <w:tc>
          <w:tcPr>
            <w:tcW w:w="3969" w:type="dxa"/>
            <w:vMerge w:val="restart"/>
            <w:tcMar>
              <w:left w:w="0" w:type="dxa"/>
            </w:tcMar>
          </w:tcPr>
          <w:p w14:paraId="61645E1B" w14:textId="2FED8538"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8EAC566" w14:textId="69E1F10F" w:rsidR="009F43C2" w:rsidRDefault="009F43C2" w:rsidP="00954C49">
            <w:pPr>
              <w:tabs>
                <w:tab w:val="left" w:pos="851"/>
              </w:tabs>
              <w:spacing w:before="0" w:line="240" w:lineRule="atLeast"/>
              <w:jc w:val="right"/>
              <w:rPr>
                <w:b/>
                <w:lang w:val="it-IT"/>
              </w:rPr>
            </w:pPr>
            <w:r>
              <w:rPr>
                <w:b/>
                <w:lang w:val="it-IT"/>
              </w:rPr>
              <w:t>Revison 2 to</w:t>
            </w:r>
          </w:p>
          <w:p w14:paraId="627B15D6" w14:textId="0B03F0D7" w:rsidR="00AD3606" w:rsidRPr="00B357D9" w:rsidRDefault="00AD3606" w:rsidP="00954C49">
            <w:pPr>
              <w:tabs>
                <w:tab w:val="left" w:pos="851"/>
              </w:tabs>
              <w:spacing w:before="0" w:line="240" w:lineRule="atLeast"/>
              <w:jc w:val="right"/>
              <w:rPr>
                <w:b/>
                <w:lang w:val="it-IT"/>
              </w:rPr>
            </w:pPr>
            <w:r w:rsidRPr="00B357D9">
              <w:rPr>
                <w:b/>
                <w:lang w:val="it-IT"/>
              </w:rPr>
              <w:t>Document C2</w:t>
            </w:r>
            <w:r w:rsidR="00DE532B" w:rsidRPr="00B357D9">
              <w:rPr>
                <w:b/>
                <w:lang w:val="it-IT"/>
              </w:rPr>
              <w:t>6</w:t>
            </w:r>
            <w:r w:rsidRPr="00B357D9">
              <w:rPr>
                <w:b/>
                <w:lang w:val="it-IT"/>
              </w:rPr>
              <w:t>/</w:t>
            </w:r>
            <w:r w:rsidR="009F43C2">
              <w:rPr>
                <w:b/>
                <w:lang w:val="it-IT"/>
              </w:rPr>
              <w:t>42-E</w:t>
            </w:r>
          </w:p>
        </w:tc>
      </w:tr>
      <w:tr w:rsidR="00AD3606" w:rsidRPr="00C0458D" w14:paraId="65AB0567" w14:textId="77777777" w:rsidTr="00954C49">
        <w:trPr>
          <w:cantSplit/>
        </w:trPr>
        <w:tc>
          <w:tcPr>
            <w:tcW w:w="3969" w:type="dxa"/>
            <w:vMerge/>
          </w:tcPr>
          <w:p w14:paraId="044C8158" w14:textId="77777777" w:rsidR="00AD3606" w:rsidRPr="00B357D9" w:rsidRDefault="00AD3606" w:rsidP="00954C49">
            <w:pPr>
              <w:tabs>
                <w:tab w:val="left" w:pos="851"/>
              </w:tabs>
              <w:spacing w:line="240" w:lineRule="atLeast"/>
              <w:rPr>
                <w:b/>
                <w:lang w:val="it-IT"/>
              </w:rPr>
            </w:pPr>
            <w:bookmarkStart w:id="6" w:name="ddate" w:colFirst="1" w:colLast="1"/>
            <w:bookmarkEnd w:id="0"/>
            <w:bookmarkEnd w:id="1"/>
          </w:p>
        </w:tc>
        <w:tc>
          <w:tcPr>
            <w:tcW w:w="5245" w:type="dxa"/>
          </w:tcPr>
          <w:p w14:paraId="060AC16C" w14:textId="644BA1C2" w:rsidR="00AD3606" w:rsidRPr="00C0458D" w:rsidRDefault="00E1363F" w:rsidP="00954C49">
            <w:pPr>
              <w:tabs>
                <w:tab w:val="left" w:pos="851"/>
              </w:tabs>
              <w:spacing w:before="0"/>
              <w:jc w:val="right"/>
              <w:rPr>
                <w:b/>
              </w:rPr>
            </w:pPr>
            <w:r>
              <w:rPr>
                <w:b/>
              </w:rPr>
              <w:t>7 May</w:t>
            </w:r>
            <w:r w:rsidR="00C14D8F">
              <w:rPr>
                <w:b/>
              </w:rPr>
              <w:t xml:space="preserve"> 2026</w:t>
            </w:r>
          </w:p>
        </w:tc>
      </w:tr>
      <w:tr w:rsidR="00AD3606" w:rsidRPr="00C0458D" w14:paraId="2FF439A4" w14:textId="77777777" w:rsidTr="00954C49">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57268411" w:rsidR="00AD3606" w:rsidRPr="00C0458D" w:rsidRDefault="009F43C2"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954C49">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954C49">
        <w:trPr>
          <w:cantSplit/>
        </w:trPr>
        <w:tc>
          <w:tcPr>
            <w:tcW w:w="9214" w:type="dxa"/>
            <w:gridSpan w:val="2"/>
            <w:tcMar>
              <w:left w:w="0" w:type="dxa"/>
            </w:tcMar>
          </w:tcPr>
          <w:p w14:paraId="4974CF10" w14:textId="77777777" w:rsidR="00AD3606" w:rsidRPr="00B55A2C" w:rsidRDefault="00AD3606" w:rsidP="00B55A2C">
            <w:pPr>
              <w:pStyle w:val="Source"/>
              <w:framePr w:hSpace="0" w:wrap="auto" w:vAnchor="margin" w:hAnchor="text" w:xAlign="left" w:yAlign="inline"/>
            </w:pPr>
            <w:bookmarkStart w:id="8" w:name="dsource" w:colFirst="0" w:colLast="0"/>
            <w:bookmarkEnd w:id="7"/>
            <w:r w:rsidRPr="00B55A2C">
              <w:t>Report by the Secretary-General</w:t>
            </w:r>
          </w:p>
        </w:tc>
      </w:tr>
      <w:tr w:rsidR="00AD3606" w:rsidRPr="00C0458D" w14:paraId="2008114E" w14:textId="77777777" w:rsidTr="00954C49">
        <w:trPr>
          <w:cantSplit/>
        </w:trPr>
        <w:tc>
          <w:tcPr>
            <w:tcW w:w="9214" w:type="dxa"/>
            <w:gridSpan w:val="2"/>
            <w:tcMar>
              <w:left w:w="0" w:type="dxa"/>
            </w:tcMar>
          </w:tcPr>
          <w:p w14:paraId="1036C3F4" w14:textId="2809CE08" w:rsidR="00AD3606" w:rsidRPr="00176F47" w:rsidRDefault="00C14D8F" w:rsidP="00B55A2C">
            <w:pPr>
              <w:pStyle w:val="Subtitle"/>
              <w:framePr w:hSpace="0" w:wrap="auto" w:xAlign="left" w:yAlign="inline"/>
            </w:pPr>
            <w:bookmarkStart w:id="9" w:name="dtitle1" w:colFirst="0" w:colLast="0"/>
            <w:bookmarkEnd w:id="8"/>
            <w:r w:rsidRPr="00C14D8F">
              <w:t>ALLOCATIONS OF SAVINGS ACHIEVED IN 2025 BUDGET IMPLEMENTATION</w:t>
            </w:r>
          </w:p>
        </w:tc>
      </w:tr>
      <w:tr w:rsidR="00AD3606" w:rsidRPr="00C0458D" w14:paraId="58526C68" w14:textId="77777777" w:rsidTr="00954C49">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6B2FDBFA" w14:textId="54BD42EE" w:rsidR="00C14D8F" w:rsidRDefault="00C14D8F" w:rsidP="007F0BD2">
            <w:pPr>
              <w:jc w:val="both"/>
            </w:pPr>
            <w:r w:rsidRPr="00C14D8F">
              <w:t xml:space="preserve">During 2025, the Union was able to realize </w:t>
            </w:r>
            <w:r w:rsidR="013013E2">
              <w:t xml:space="preserve">a total </w:t>
            </w:r>
            <w:r w:rsidRPr="00C14D8F">
              <w:t xml:space="preserve">savings of </w:t>
            </w:r>
            <w:r w:rsidRPr="00C14D8F">
              <w:rPr>
                <w:b/>
              </w:rPr>
              <w:t>CHF </w:t>
            </w:r>
            <w:r w:rsidR="00AE1904">
              <w:rPr>
                <w:b/>
              </w:rPr>
              <w:t>11.44</w:t>
            </w:r>
            <w:r w:rsidRPr="00C14D8F">
              <w:rPr>
                <w:b/>
              </w:rPr>
              <w:t> million</w:t>
            </w:r>
            <w:r w:rsidRPr="00C14D8F">
              <w:t xml:space="preserve"> as a result of higher-than-anticipated revenues and expenditure discipline applied during budget implementation</w:t>
            </w:r>
            <w:r w:rsidRPr="00C14D8F">
              <w:rPr>
                <w:b/>
                <w:bCs/>
              </w:rPr>
              <w:t>.</w:t>
            </w:r>
            <w:r w:rsidRPr="00C14D8F">
              <w:t xml:space="preserve"> These savings reflect favourable revenue developments and the careful management and phasing of certain costs during the year.</w:t>
            </w:r>
          </w:p>
          <w:p w14:paraId="484DF125" w14:textId="67D2CDAC" w:rsidR="003F01C3" w:rsidRPr="00C14D8F" w:rsidRDefault="003F01C3" w:rsidP="007F0BD2">
            <w:pPr>
              <w:jc w:val="both"/>
            </w:pPr>
            <w:r>
              <w:t>The Secretary</w:t>
            </w:r>
            <w:r w:rsidR="006D2D92">
              <w:t>-</w:t>
            </w:r>
            <w:r>
              <w:t xml:space="preserve">General </w:t>
            </w:r>
            <w:r w:rsidR="00396236">
              <w:t xml:space="preserve">proposed </w:t>
            </w:r>
            <w:r w:rsidR="00834947">
              <w:t>allocation</w:t>
            </w:r>
            <w:r w:rsidR="00F26664">
              <w:t>s</w:t>
            </w:r>
            <w:r w:rsidR="00834947">
              <w:t xml:space="preserve"> </w:t>
            </w:r>
            <w:r>
              <w:t>to the Young Professional Program</w:t>
            </w:r>
            <w:r w:rsidR="00866DA2">
              <w:t>me</w:t>
            </w:r>
            <w:r>
              <w:t xml:space="preserve"> (YPP) Fund </w:t>
            </w:r>
            <w:r w:rsidR="007D3173">
              <w:t>(CHF</w:t>
            </w:r>
            <w:r w:rsidR="00F26664">
              <w:t> </w:t>
            </w:r>
            <w:r w:rsidR="007D3173">
              <w:t>1.2</w:t>
            </w:r>
            <w:r w:rsidR="00F26664">
              <w:t> </w:t>
            </w:r>
            <w:r w:rsidR="007D3173">
              <w:t xml:space="preserve">million) </w:t>
            </w:r>
            <w:r w:rsidDel="007D796E">
              <w:t xml:space="preserve">based on previous Council </w:t>
            </w:r>
            <w:r w:rsidR="1D0BDBB0">
              <w:t xml:space="preserve">endorsements. </w:t>
            </w:r>
            <w:r w:rsidR="009E1688">
              <w:t xml:space="preserve">The </w:t>
            </w:r>
            <w:r w:rsidR="1D0BDBB0">
              <w:t xml:space="preserve">Council is asked to confirm </w:t>
            </w:r>
            <w:r w:rsidR="31AC4F1A">
              <w:t>th</w:t>
            </w:r>
            <w:r w:rsidR="6DF27EF6">
              <w:t xml:space="preserve">ese </w:t>
            </w:r>
            <w:r>
              <w:t>allocations.</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784D6880" w:rsidR="00722551" w:rsidRDefault="00C14D8F" w:rsidP="00954C49">
            <w:r>
              <w:rPr>
                <w:rFonts w:asciiTheme="minorHAnsi" w:hAnsiTheme="minorHAnsi" w:cstheme="minorHAnsi"/>
                <w:szCs w:val="24"/>
              </w:rPr>
              <w:t xml:space="preserve">The Council is requested </w:t>
            </w:r>
            <w:r w:rsidRPr="00C62BB3">
              <w:rPr>
                <w:rFonts w:asciiTheme="minorHAnsi" w:hAnsiTheme="minorHAnsi" w:cstheme="minorHAnsi"/>
                <w:b/>
                <w:bCs/>
                <w:szCs w:val="24"/>
              </w:rPr>
              <w:t>to approve</w:t>
            </w:r>
            <w:r>
              <w:rPr>
                <w:rFonts w:asciiTheme="minorHAnsi" w:hAnsiTheme="minorHAnsi" w:cstheme="minorHAnsi"/>
                <w:szCs w:val="24"/>
              </w:rPr>
              <w:t xml:space="preserve"> the draft resolution </w:t>
            </w:r>
            <w:hyperlink w:anchor="Annex" w:history="1">
              <w:r w:rsidRPr="001434F5">
                <w:rPr>
                  <w:rStyle w:val="Hyperlink"/>
                  <w:rFonts w:asciiTheme="minorHAnsi" w:hAnsiTheme="minorHAnsi" w:cstheme="minorHAnsi"/>
                  <w:szCs w:val="24"/>
                </w:rPr>
                <w:t>annexed</w:t>
              </w:r>
            </w:hyperlink>
            <w:r>
              <w:rPr>
                <w:rFonts w:asciiTheme="minorHAnsi" w:hAnsiTheme="minorHAnsi" w:cstheme="minorHAnsi"/>
                <w:szCs w:val="24"/>
              </w:rPr>
              <w:t xml:space="preserve"> to this document.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09014078" w:rsidR="00722551" w:rsidRPr="00F16BAB" w:rsidRDefault="00C14D8F" w:rsidP="00C14D8F">
            <w:r w:rsidRPr="00C14D8F">
              <w:t>This document is consistent with the 2024-2027 strategic plan.</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1635F86B" w:rsidR="00453079" w:rsidRPr="00453079" w:rsidRDefault="00C14D8F" w:rsidP="007F0BD2">
            <w:pPr>
              <w:spacing w:before="160"/>
              <w:jc w:val="both"/>
              <w:rPr>
                <w:szCs w:val="24"/>
              </w:rPr>
            </w:pPr>
            <w:r w:rsidRPr="00C14D8F">
              <w:rPr>
                <w:szCs w:val="24"/>
              </w:rPr>
              <w:t>Allocation of</w:t>
            </w:r>
            <w:r w:rsidRPr="00C14D8F">
              <w:rPr>
                <w:b/>
                <w:bCs/>
                <w:szCs w:val="24"/>
              </w:rPr>
              <w:t xml:space="preserve"> CHF </w:t>
            </w:r>
            <w:r w:rsidR="00AE1904">
              <w:rPr>
                <w:b/>
                <w:bCs/>
                <w:szCs w:val="24"/>
              </w:rPr>
              <w:t>11.44</w:t>
            </w:r>
            <w:r w:rsidRPr="00C14D8F">
              <w:rPr>
                <w:b/>
                <w:bCs/>
                <w:szCs w:val="24"/>
              </w:rPr>
              <w:t xml:space="preserve"> million </w:t>
            </w:r>
            <w:r w:rsidRPr="00C14D8F">
              <w:rPr>
                <w:szCs w:val="24"/>
              </w:rPr>
              <w:t>of the savings achieved in the 2025 budget implementation to finance activities that are not covered by regular budget.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6EBE357B" w:rsidR="00AD3606" w:rsidRPr="001647F6" w:rsidRDefault="001434F5" w:rsidP="006D2D92">
            <w:pPr>
              <w:spacing w:after="160"/>
              <w:jc w:val="both"/>
              <w:rPr>
                <w:i/>
                <w:iCs/>
                <w:sz w:val="22"/>
                <w:szCs w:val="22"/>
              </w:rPr>
            </w:pPr>
            <w:r w:rsidRPr="001647F6">
              <w:rPr>
                <w:rFonts w:asciiTheme="minorHAnsi" w:hAnsiTheme="minorHAnsi" w:cstheme="minorBidi"/>
                <w:i/>
                <w:iCs/>
                <w:sz w:val="22"/>
                <w:szCs w:val="22"/>
              </w:rPr>
              <w:t xml:space="preserve">Decision </w:t>
            </w:r>
            <w:hyperlink r:id="rId8" w:history="1">
              <w:r w:rsidRPr="001647F6">
                <w:rPr>
                  <w:rStyle w:val="Hyperlink"/>
                  <w:rFonts w:asciiTheme="minorHAnsi" w:hAnsiTheme="minorHAnsi" w:cstheme="minorBidi"/>
                  <w:i/>
                  <w:iCs/>
                  <w:sz w:val="22"/>
                  <w:szCs w:val="22"/>
                </w:rPr>
                <w:t>5 (Rev. Bucharest, 2022)</w:t>
              </w:r>
            </w:hyperlink>
            <w:r w:rsidR="005666A2">
              <w:rPr>
                <w:rFonts w:asciiTheme="minorHAnsi" w:hAnsiTheme="minorHAnsi" w:cstheme="minorBidi"/>
                <w:i/>
                <w:iCs/>
                <w:sz w:val="22"/>
                <w:szCs w:val="22"/>
              </w:rPr>
              <w:t xml:space="preserve"> and</w:t>
            </w:r>
            <w:r w:rsidRPr="001647F6">
              <w:rPr>
                <w:rFonts w:asciiTheme="minorHAnsi" w:hAnsiTheme="minorHAnsi" w:cstheme="minorBidi"/>
                <w:i/>
                <w:iCs/>
                <w:sz w:val="22"/>
                <w:szCs w:val="22"/>
              </w:rPr>
              <w:t xml:space="preserve"> Resolution </w:t>
            </w:r>
            <w:hyperlink r:id="rId9" w:history="1">
              <w:r w:rsidRPr="001647F6">
                <w:rPr>
                  <w:rStyle w:val="Hyperlink"/>
                  <w:rFonts w:asciiTheme="minorHAnsi" w:hAnsiTheme="minorHAnsi" w:cstheme="minorBidi"/>
                  <w:i/>
                  <w:iCs/>
                  <w:sz w:val="22"/>
                  <w:szCs w:val="22"/>
                </w:rPr>
                <w:t>11 (Abrogated. Bucharest, 2022)</w:t>
              </w:r>
            </w:hyperlink>
            <w:r w:rsidRPr="001647F6">
              <w:rPr>
                <w:i/>
                <w:iCs/>
                <w:sz w:val="22"/>
                <w:szCs w:val="22"/>
              </w:rPr>
              <w:t xml:space="preserve"> of the Plenipotentiary Conference</w:t>
            </w:r>
            <w:r w:rsidRPr="001647F6">
              <w:rPr>
                <w:rFonts w:asciiTheme="minorHAnsi" w:hAnsiTheme="minorHAnsi" w:cstheme="minorBidi"/>
                <w:i/>
                <w:iCs/>
                <w:sz w:val="22"/>
                <w:szCs w:val="22"/>
              </w:rPr>
              <w:t xml:space="preserve">; Council Resolutions </w:t>
            </w:r>
            <w:hyperlink r:id="rId10" w:history="1">
              <w:r w:rsidRPr="00D8408C">
                <w:rPr>
                  <w:rStyle w:val="Hyperlink"/>
                  <w:rFonts w:asciiTheme="minorHAnsi" w:hAnsiTheme="minorHAnsi" w:cstheme="minorBidi"/>
                  <w:i/>
                  <w:iCs/>
                  <w:sz w:val="22"/>
                  <w:szCs w:val="22"/>
                </w:rPr>
                <w:t>1111 and 1338</w:t>
              </w:r>
            </w:hyperlink>
            <w:r w:rsidRPr="001647F6">
              <w:rPr>
                <w:rFonts w:asciiTheme="minorHAnsi" w:hAnsiTheme="minorHAnsi" w:cstheme="minorBidi"/>
                <w:i/>
                <w:iCs/>
                <w:sz w:val="22"/>
                <w:szCs w:val="22"/>
              </w:rPr>
              <w:t>; Council Document</w:t>
            </w:r>
            <w:r w:rsidR="00766321" w:rsidRPr="001647F6">
              <w:rPr>
                <w:rFonts w:asciiTheme="minorHAnsi" w:hAnsiTheme="minorHAnsi" w:cstheme="minorBidi"/>
                <w:i/>
                <w:iCs/>
                <w:sz w:val="22"/>
                <w:szCs w:val="22"/>
              </w:rPr>
              <w:t>s</w:t>
            </w:r>
            <w:r w:rsidRPr="001647F6">
              <w:rPr>
                <w:rFonts w:asciiTheme="minorHAnsi" w:hAnsiTheme="minorHAnsi" w:cstheme="minorBidi"/>
                <w:i/>
                <w:iCs/>
                <w:sz w:val="22"/>
                <w:szCs w:val="22"/>
              </w:rPr>
              <w:t xml:space="preserve"> </w:t>
            </w:r>
            <w:hyperlink r:id="rId11">
              <w:r w:rsidRPr="001647F6">
                <w:rPr>
                  <w:rStyle w:val="Hyperlink"/>
                  <w:rFonts w:asciiTheme="minorHAnsi" w:hAnsiTheme="minorHAnsi" w:cstheme="minorBidi"/>
                  <w:i/>
                  <w:iCs/>
                  <w:sz w:val="22"/>
                  <w:szCs w:val="22"/>
                </w:rPr>
                <w:t>C24/19</w:t>
              </w:r>
            </w:hyperlink>
            <w:r w:rsidR="005666A2">
              <w:rPr>
                <w:i/>
                <w:iCs/>
                <w:sz w:val="22"/>
                <w:szCs w:val="22"/>
              </w:rPr>
              <w:t xml:space="preserve">, </w:t>
            </w:r>
            <w:hyperlink r:id="rId12" w:history="1">
              <w:r w:rsidR="005666A2" w:rsidRPr="005666A2">
                <w:rPr>
                  <w:rStyle w:val="Hyperlink"/>
                  <w:i/>
                  <w:iCs/>
                  <w:sz w:val="22"/>
                  <w:szCs w:val="22"/>
                </w:rPr>
                <w:t>C24/31</w:t>
              </w:r>
            </w:hyperlink>
            <w:r w:rsidR="005666A2">
              <w:rPr>
                <w:i/>
                <w:iCs/>
                <w:sz w:val="22"/>
                <w:szCs w:val="22"/>
              </w:rPr>
              <w:t xml:space="preserve"> </w:t>
            </w:r>
            <w:r w:rsidR="00766321" w:rsidRPr="001647F6">
              <w:rPr>
                <w:i/>
                <w:iCs/>
                <w:sz w:val="22"/>
                <w:szCs w:val="22"/>
              </w:rPr>
              <w:t xml:space="preserve">and </w:t>
            </w:r>
            <w:hyperlink r:id="rId13" w:history="1">
              <w:r w:rsidR="00766321" w:rsidRPr="001647F6">
                <w:rPr>
                  <w:rStyle w:val="Hyperlink"/>
                  <w:i/>
                  <w:iCs/>
                  <w:sz w:val="22"/>
                  <w:szCs w:val="22"/>
                </w:rPr>
                <w:t>C24/34</w:t>
              </w:r>
            </w:hyperlink>
          </w:p>
        </w:tc>
      </w:tr>
    </w:tbl>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C0458D">
        <w:br w:type="page"/>
      </w:r>
    </w:p>
    <w:bookmarkEnd w:id="5"/>
    <w:bookmarkEnd w:id="10"/>
    <w:p w14:paraId="3D0B40B6" w14:textId="77777777" w:rsidR="001434F5" w:rsidRPr="001434F5" w:rsidRDefault="001434F5" w:rsidP="00B55A2C">
      <w:pPr>
        <w:pStyle w:val="Headingb"/>
        <w:rPr>
          <w:rFonts w:eastAsiaTheme="minorEastAsia"/>
          <w:lang w:val="en-US" w:eastAsia="zh-CN"/>
        </w:rPr>
      </w:pPr>
      <w:r w:rsidRPr="001434F5">
        <w:rPr>
          <w:rFonts w:eastAsiaTheme="minorEastAsia"/>
          <w:lang w:val="en-US" w:eastAsia="zh-CN"/>
        </w:rPr>
        <w:lastRenderedPageBreak/>
        <w:t>Introduction</w:t>
      </w:r>
    </w:p>
    <w:p w14:paraId="67FB7C9E" w14:textId="46B16794" w:rsidR="001434F5" w:rsidRPr="001434F5" w:rsidRDefault="001434F5" w:rsidP="00B55A2C">
      <w:pPr>
        <w:jc w:val="both"/>
      </w:pPr>
      <w:r w:rsidRPr="001434F5">
        <w:t>The Union’s 2025 Regular Budget was approved with planned expenditure of CHF 164.3 million against anticipated revenues of CHF 164.3 million. At year-end, the budget closed with actual expenses</w:t>
      </w:r>
      <w:r w:rsidR="00AE1904">
        <w:t xml:space="preserve"> and appropriations</w:t>
      </w:r>
      <w:r w:rsidRPr="001434F5">
        <w:t xml:space="preserve"> of </w:t>
      </w:r>
      <w:r w:rsidRPr="001434F5">
        <w:rPr>
          <w:b/>
        </w:rPr>
        <w:t>CHF 156.</w:t>
      </w:r>
      <w:r w:rsidR="00AE1904">
        <w:rPr>
          <w:b/>
        </w:rPr>
        <w:t>08</w:t>
      </w:r>
      <w:r w:rsidRPr="001434F5">
        <w:rPr>
          <w:b/>
        </w:rPr>
        <w:t> million</w:t>
      </w:r>
      <w:r w:rsidRPr="001434F5">
        <w:t xml:space="preserve"> and actual revenue at </w:t>
      </w:r>
      <w:r w:rsidRPr="001434F5">
        <w:rPr>
          <w:b/>
        </w:rPr>
        <w:t>CHF 167.5</w:t>
      </w:r>
      <w:r w:rsidR="00AE1904">
        <w:rPr>
          <w:b/>
        </w:rPr>
        <w:t>2</w:t>
      </w:r>
      <w:r w:rsidRPr="001434F5">
        <w:rPr>
          <w:b/>
        </w:rPr>
        <w:t> million</w:t>
      </w:r>
      <w:r w:rsidRPr="001434F5">
        <w:t xml:space="preserve">, giving a surplus of </w:t>
      </w:r>
      <w:r w:rsidRPr="001434F5">
        <w:rPr>
          <w:b/>
        </w:rPr>
        <w:t>CHF 1</w:t>
      </w:r>
      <w:r w:rsidR="00AE1904">
        <w:rPr>
          <w:b/>
        </w:rPr>
        <w:t>1.44</w:t>
      </w:r>
      <w:r w:rsidRPr="001434F5">
        <w:rPr>
          <w:b/>
        </w:rPr>
        <w:t xml:space="preserve"> million</w:t>
      </w:r>
      <w:r w:rsidRPr="001434F5">
        <w:t>.</w:t>
      </w:r>
    </w:p>
    <w:p w14:paraId="35E895A3" w14:textId="77777777" w:rsidR="001434F5" w:rsidRPr="001434F5" w:rsidRDefault="001434F5" w:rsidP="00B55A2C">
      <w:pPr>
        <w:jc w:val="both"/>
      </w:pPr>
      <w:r w:rsidRPr="001434F5">
        <w:t>This positive result was driven by a combination of:</w:t>
      </w:r>
    </w:p>
    <w:p w14:paraId="36C158B2" w14:textId="6D4DF269" w:rsidR="001434F5" w:rsidRPr="00C37D6A" w:rsidRDefault="00B55A2C" w:rsidP="00B55A2C">
      <w:pPr>
        <w:pStyle w:val="enumlev1"/>
        <w:jc w:val="both"/>
        <w:rPr>
          <w:spacing w:val="-2"/>
        </w:rPr>
      </w:pPr>
      <w:r w:rsidRPr="00C37D6A">
        <w:rPr>
          <w:spacing w:val="-2"/>
        </w:rPr>
        <w:t>–</w:t>
      </w:r>
      <w:r w:rsidRPr="00C37D6A">
        <w:rPr>
          <w:spacing w:val="-2"/>
        </w:rPr>
        <w:tab/>
      </w:r>
      <w:r w:rsidR="001434F5" w:rsidRPr="00C37D6A">
        <w:rPr>
          <w:spacing w:val="-2"/>
        </w:rPr>
        <w:t xml:space="preserve">Expenditure underspending, resulting from proactive and disciplined financial management. Following Council’s approval of a reduced budget envelope, the </w:t>
      </w:r>
      <w:r w:rsidR="00996504" w:rsidRPr="00C37D6A">
        <w:rPr>
          <w:spacing w:val="-2"/>
        </w:rPr>
        <w:t>s</w:t>
      </w:r>
      <w:r w:rsidR="001434F5" w:rsidRPr="00C37D6A">
        <w:rPr>
          <w:spacing w:val="-2"/>
        </w:rPr>
        <w:t>ecretariat implemented strict expenditure controls, prudent recruitment decisions, and careful phasing of projects to ensure financial sustainability across the 2026</w:t>
      </w:r>
      <w:r w:rsidRPr="00C37D6A">
        <w:rPr>
          <w:spacing w:val="-2"/>
        </w:rPr>
        <w:t>-</w:t>
      </w:r>
      <w:r w:rsidR="001434F5" w:rsidRPr="00C37D6A">
        <w:rPr>
          <w:spacing w:val="-2"/>
        </w:rPr>
        <w:t>2027 biennium.</w:t>
      </w:r>
    </w:p>
    <w:p w14:paraId="32746D45" w14:textId="289FE049" w:rsidR="001434F5" w:rsidRPr="001434F5" w:rsidRDefault="00B55A2C" w:rsidP="00B55A2C">
      <w:pPr>
        <w:pStyle w:val="enumlev1"/>
        <w:jc w:val="both"/>
      </w:pPr>
      <w:r>
        <w:t>–</w:t>
      </w:r>
      <w:r>
        <w:tab/>
      </w:r>
      <w:r w:rsidR="001434F5" w:rsidRPr="001434F5">
        <w:t>Higher-than-anticipated revenues, including stronger publications sales, favourable actuarial movements relating to staff liabilities, and higher interest income</w:t>
      </w:r>
      <w:r w:rsidR="00C37D6A">
        <w:t>.</w:t>
      </w:r>
    </w:p>
    <w:p w14:paraId="3790CA48" w14:textId="77777777" w:rsidR="001434F5" w:rsidRPr="001434F5" w:rsidRDefault="001434F5" w:rsidP="00B55A2C">
      <w:pPr>
        <w:jc w:val="both"/>
      </w:pPr>
      <w:r w:rsidRPr="001434F5">
        <w:t>It is important to underline that these favourable movements are largely non-recurring or timing-related in nature and do not represent structural reductions in the Union’s ongoing baseline expenditure.</w:t>
      </w:r>
    </w:p>
    <w:p w14:paraId="4C3FA79B" w14:textId="3940B586" w:rsidR="00852478" w:rsidRPr="001434F5" w:rsidRDefault="00852478" w:rsidP="00852478">
      <w:pPr>
        <w:jc w:val="both"/>
      </w:pPr>
      <w:r w:rsidRPr="001434F5">
        <w:rPr>
          <w:rFonts w:asciiTheme="minorHAnsi" w:eastAsiaTheme="minorEastAsia" w:hAnsiTheme="minorHAnsi" w:cstheme="minorBidi"/>
          <w:lang w:val="en-US" w:eastAsia="zh-CN"/>
        </w:rPr>
        <w:t xml:space="preserve">During 2025, due to </w:t>
      </w:r>
      <w:r w:rsidR="00FD1FA7" w:rsidRPr="001434F5">
        <w:rPr>
          <w:rFonts w:asciiTheme="minorHAnsi" w:eastAsiaTheme="minorEastAsia" w:hAnsiTheme="minorHAnsi" w:cstheme="minorBidi"/>
          <w:lang w:val="en-US" w:eastAsia="zh-CN"/>
        </w:rPr>
        <w:t>the rate</w:t>
      </w:r>
      <w:r w:rsidRPr="001434F5">
        <w:rPr>
          <w:rFonts w:asciiTheme="minorHAnsi" w:eastAsiaTheme="minorEastAsia" w:hAnsiTheme="minorHAnsi" w:cstheme="minorBidi"/>
          <w:lang w:val="en-US" w:eastAsia="zh-CN"/>
        </w:rPr>
        <w:t xml:space="preserve"> of implementation of projects in the 2025 financial year, the A</w:t>
      </w:r>
      <w:r w:rsidR="00CE7996">
        <w:rPr>
          <w:rFonts w:asciiTheme="minorHAnsi" w:eastAsiaTheme="minorEastAsia" w:hAnsiTheme="minorHAnsi" w:cstheme="minorBidi"/>
          <w:lang w:val="en-US" w:eastAsia="zh-CN"/>
        </w:rPr>
        <w:t xml:space="preserve">dministrative and </w:t>
      </w:r>
      <w:r w:rsidR="00074A34">
        <w:rPr>
          <w:rFonts w:asciiTheme="minorHAnsi" w:eastAsiaTheme="minorEastAsia" w:hAnsiTheme="minorHAnsi" w:cstheme="minorBidi"/>
          <w:lang w:val="en-US" w:eastAsia="zh-CN"/>
        </w:rPr>
        <w:t>O</w:t>
      </w:r>
      <w:r w:rsidR="00CE7996">
        <w:rPr>
          <w:rFonts w:asciiTheme="minorHAnsi" w:eastAsiaTheme="minorEastAsia" w:hAnsiTheme="minorHAnsi" w:cstheme="minorBidi"/>
          <w:lang w:val="en-US" w:eastAsia="zh-CN"/>
        </w:rPr>
        <w:t xml:space="preserve">perational </w:t>
      </w:r>
      <w:r w:rsidR="00074A34">
        <w:rPr>
          <w:rFonts w:asciiTheme="minorHAnsi" w:eastAsiaTheme="minorEastAsia" w:hAnsiTheme="minorHAnsi" w:cstheme="minorBidi"/>
          <w:lang w:val="en-US" w:eastAsia="zh-CN"/>
        </w:rPr>
        <w:t>Services</w:t>
      </w:r>
      <w:r w:rsidRPr="001434F5">
        <w:rPr>
          <w:rFonts w:asciiTheme="minorHAnsi" w:eastAsiaTheme="minorEastAsia" w:hAnsiTheme="minorHAnsi" w:cstheme="minorBidi"/>
          <w:lang w:val="en-US" w:eastAsia="zh-CN"/>
        </w:rPr>
        <w:t xml:space="preserve"> recovery exceeded the budgeted amount by </w:t>
      </w:r>
      <w:r w:rsidRPr="001434F5">
        <w:rPr>
          <w:rFonts w:asciiTheme="minorHAnsi" w:eastAsiaTheme="minorEastAsia" w:hAnsiTheme="minorHAnsi" w:cstheme="minorBidi"/>
          <w:b/>
          <w:bCs/>
          <w:lang w:val="en-US" w:eastAsia="zh-CN"/>
        </w:rPr>
        <w:t>CHF </w:t>
      </w:r>
      <w:r w:rsidRPr="001434F5">
        <w:rPr>
          <w:b/>
          <w:bCs/>
        </w:rPr>
        <w:t>559</w:t>
      </w:r>
      <w:r>
        <w:rPr>
          <w:b/>
          <w:bCs/>
        </w:rPr>
        <w:t> </w:t>
      </w:r>
      <w:r w:rsidRPr="001434F5">
        <w:rPr>
          <w:b/>
          <w:bCs/>
        </w:rPr>
        <w:t>800</w:t>
      </w:r>
      <w:r w:rsidRPr="001434F5">
        <w:rPr>
          <w:rFonts w:asciiTheme="minorHAnsi" w:eastAsiaTheme="minorEastAsia" w:hAnsiTheme="minorHAnsi" w:cstheme="minorBidi"/>
          <w:lang w:val="en-US" w:eastAsia="zh-CN"/>
        </w:rPr>
        <w:t xml:space="preserve">. </w:t>
      </w:r>
      <w:r w:rsidR="001434F5">
        <w:rPr>
          <w:rFonts w:asciiTheme="minorHAnsi" w:eastAsiaTheme="minorEastAsia" w:hAnsiTheme="minorHAnsi" w:cstheme="minorBidi"/>
          <w:lang w:val="en-US" w:eastAsia="zh-CN"/>
        </w:rPr>
        <w:t xml:space="preserve">Accordingly, </w:t>
      </w:r>
      <w:r>
        <w:rPr>
          <w:rFonts w:asciiTheme="minorHAnsi" w:eastAsiaTheme="minorEastAsia" w:hAnsiTheme="minorHAnsi" w:cstheme="minorBidi"/>
          <w:lang w:val="en-US" w:eastAsia="zh-CN"/>
        </w:rPr>
        <w:t xml:space="preserve">this balance has been appropriated </w:t>
      </w:r>
      <w:r w:rsidRPr="001434F5">
        <w:rPr>
          <w:rFonts w:asciiTheme="minorHAnsi" w:eastAsiaTheme="minorEastAsia" w:hAnsiTheme="minorHAnsi" w:cstheme="minorBidi"/>
          <w:lang w:val="en-US" w:eastAsia="zh-CN"/>
        </w:rPr>
        <w:t xml:space="preserve">to the ICT Development Fund (Document </w:t>
      </w:r>
      <w:hyperlink r:id="rId14">
        <w:r w:rsidRPr="001434F5">
          <w:rPr>
            <w:rFonts w:asciiTheme="minorHAnsi" w:eastAsiaTheme="minorEastAsia" w:hAnsiTheme="minorHAnsi" w:cstheme="minorBidi"/>
            <w:color w:val="0563C1"/>
            <w:u w:val="single"/>
            <w:lang w:val="en-US" w:eastAsia="zh-CN"/>
          </w:rPr>
          <w:t>C26/34</w:t>
        </w:r>
      </w:hyperlink>
      <w:r w:rsidRPr="001434F5">
        <w:t>)</w:t>
      </w:r>
      <w:r>
        <w:t>.</w:t>
      </w:r>
    </w:p>
    <w:p w14:paraId="48ACFA4E" w14:textId="2D46A4CB" w:rsidR="001434F5" w:rsidRPr="001434F5" w:rsidRDefault="00115EB0" w:rsidP="00B55A2C">
      <w:pPr>
        <w:jc w:val="both"/>
      </w:pPr>
      <w:r>
        <w:t>T</w:t>
      </w:r>
      <w:r w:rsidR="001434F5" w:rsidRPr="001434F5">
        <w:t xml:space="preserve">he </w:t>
      </w:r>
      <w:r w:rsidR="007B630F">
        <w:t>s</w:t>
      </w:r>
      <w:r w:rsidR="001434F5" w:rsidRPr="001434F5">
        <w:t>ecretariat proposes that the 2025 surplus be allocated to one-off or time-limited strategic priorities in 2026</w:t>
      </w:r>
      <w:r w:rsidR="00B55A2C">
        <w:t>-</w:t>
      </w:r>
      <w:r w:rsidR="001434F5" w:rsidRPr="001434F5">
        <w:t>2027, rather than absorbed into the Regular Budget baseline. Council approval is therefore sought for the proposed allocation of these savings.</w:t>
      </w:r>
    </w:p>
    <w:p w14:paraId="2F0B6D7C" w14:textId="7094D289" w:rsidR="001434F5" w:rsidRPr="001434F5" w:rsidRDefault="001434F5" w:rsidP="006D2D92">
      <w:pPr>
        <w:pStyle w:val="Headingb"/>
        <w:rPr>
          <w:rFonts w:eastAsiaTheme="minorEastAsia"/>
          <w:lang w:val="en-US" w:eastAsia="zh-CN"/>
        </w:rPr>
      </w:pPr>
      <w:r w:rsidRPr="001434F5">
        <w:rPr>
          <w:rFonts w:eastAsiaTheme="minorEastAsia"/>
          <w:lang w:val="en-US" w:eastAsia="zh-CN"/>
        </w:rPr>
        <w:t xml:space="preserve">Proposed </w:t>
      </w:r>
      <w:r w:rsidR="007B630F">
        <w:rPr>
          <w:rFonts w:eastAsiaTheme="minorEastAsia"/>
          <w:lang w:val="en-US" w:eastAsia="zh-CN"/>
        </w:rPr>
        <w:t>u</w:t>
      </w:r>
      <w:r w:rsidRPr="001434F5">
        <w:rPr>
          <w:rFonts w:eastAsiaTheme="minorEastAsia"/>
          <w:lang w:val="en-US" w:eastAsia="zh-CN"/>
        </w:rPr>
        <w:t xml:space="preserve">se of the 2025 </w:t>
      </w:r>
      <w:r w:rsidR="007B630F">
        <w:rPr>
          <w:rFonts w:eastAsiaTheme="minorEastAsia"/>
          <w:lang w:val="en-US" w:eastAsia="zh-CN"/>
        </w:rPr>
        <w:t>b</w:t>
      </w:r>
      <w:r w:rsidRPr="001434F5">
        <w:rPr>
          <w:rFonts w:eastAsiaTheme="minorEastAsia"/>
          <w:lang w:val="en-US" w:eastAsia="zh-CN"/>
        </w:rPr>
        <w:t xml:space="preserve">udget </w:t>
      </w:r>
      <w:r w:rsidR="007B630F">
        <w:rPr>
          <w:rFonts w:eastAsiaTheme="minorEastAsia"/>
          <w:lang w:val="en-US" w:eastAsia="zh-CN"/>
        </w:rPr>
        <w:t>s</w:t>
      </w:r>
      <w:r w:rsidRPr="001434F5">
        <w:rPr>
          <w:rFonts w:eastAsiaTheme="minorEastAsia"/>
          <w:lang w:val="en-US" w:eastAsia="zh-CN"/>
        </w:rPr>
        <w:t>urplus</w:t>
      </w:r>
      <w:r w:rsidR="00FE791A">
        <w:rPr>
          <w:rFonts w:eastAsiaTheme="minorEastAsia"/>
          <w:lang w:val="en-US" w:eastAsia="zh-CN"/>
        </w:rPr>
        <w:t xml:space="preserve"> – Funding of</w:t>
      </w:r>
      <w:r w:rsidR="009C54CB">
        <w:rPr>
          <w:rFonts w:eastAsiaTheme="minorEastAsia"/>
          <w:lang w:val="en-US" w:eastAsia="zh-CN"/>
        </w:rPr>
        <w:t xml:space="preserve"> </w:t>
      </w:r>
      <w:r w:rsidR="009C54CB" w:rsidRPr="22F8DC61">
        <w:rPr>
          <w:rFonts w:eastAsiaTheme="minorEastAsia"/>
          <w:lang w:val="en-US" w:eastAsia="zh-CN"/>
        </w:rPr>
        <w:t>previous</w:t>
      </w:r>
      <w:r w:rsidR="7034F473" w:rsidRPr="22F8DC61">
        <w:rPr>
          <w:rFonts w:eastAsiaTheme="minorEastAsia"/>
          <w:lang w:val="en-US" w:eastAsia="zh-CN"/>
        </w:rPr>
        <w:t xml:space="preserve">ly </w:t>
      </w:r>
      <w:r w:rsidR="7034F473" w:rsidRPr="3279624A">
        <w:rPr>
          <w:rFonts w:eastAsiaTheme="minorEastAsia"/>
          <w:lang w:val="en-US" w:eastAsia="zh-CN"/>
        </w:rPr>
        <w:t xml:space="preserve">approved </w:t>
      </w:r>
      <w:r w:rsidR="7034F473" w:rsidRPr="7DACA172">
        <w:rPr>
          <w:rFonts w:eastAsiaTheme="minorEastAsia"/>
          <w:lang w:val="en-US" w:eastAsia="zh-CN"/>
        </w:rPr>
        <w:t>initiatives by</w:t>
      </w:r>
      <w:r w:rsidR="009C54CB">
        <w:rPr>
          <w:rFonts w:eastAsiaTheme="minorEastAsia"/>
          <w:lang w:val="en-US" w:eastAsia="zh-CN"/>
        </w:rPr>
        <w:t xml:space="preserve"> </w:t>
      </w:r>
      <w:r w:rsidR="009E1688">
        <w:rPr>
          <w:rFonts w:eastAsiaTheme="minorEastAsia"/>
          <w:lang w:val="en-US" w:eastAsia="zh-CN"/>
        </w:rPr>
        <w:t xml:space="preserve">the </w:t>
      </w:r>
      <w:r w:rsidR="009C54CB">
        <w:rPr>
          <w:rFonts w:eastAsiaTheme="minorEastAsia"/>
          <w:lang w:val="en-US" w:eastAsia="zh-CN"/>
        </w:rPr>
        <w:t xml:space="preserve">Council </w:t>
      </w:r>
    </w:p>
    <w:p w14:paraId="6473FE25" w14:textId="3735D8F0" w:rsidR="001434F5" w:rsidRPr="001434F5" w:rsidRDefault="001434F5" w:rsidP="00B55A2C">
      <w:pPr>
        <w:jc w:val="both"/>
      </w:pPr>
      <w:r w:rsidRPr="001434F5">
        <w:t>As set out above, the budget surplus of CHF</w:t>
      </w:r>
      <w:r w:rsidR="00996504">
        <w:t> </w:t>
      </w:r>
      <w:r w:rsidRPr="001434F5">
        <w:t>1</w:t>
      </w:r>
      <w:r w:rsidR="00AE1904">
        <w:t>1.44</w:t>
      </w:r>
      <w:r w:rsidRPr="001434F5">
        <w:t xml:space="preserve"> million recorded in 2025 results from a combination of non-recurring revenue effects and expenditures not recorded in the 2025 financial period. </w:t>
      </w:r>
    </w:p>
    <w:p w14:paraId="7B5330F3" w14:textId="613C4A5F" w:rsidR="00F00BF6" w:rsidRDefault="00B70D10" w:rsidP="00F00BF6">
      <w:pPr>
        <w:jc w:val="both"/>
      </w:pPr>
      <w:r>
        <w:t>Additionally, based on</w:t>
      </w:r>
      <w:r w:rsidRPr="00DC2DE6">
        <w:t xml:space="preserve"> </w:t>
      </w:r>
      <w:r w:rsidRPr="00DC2DE6">
        <w:rPr>
          <w:b/>
          <w:bCs/>
        </w:rPr>
        <w:t xml:space="preserve">Council </w:t>
      </w:r>
      <w:r w:rsidR="00F82DB2">
        <w:rPr>
          <w:b/>
          <w:bCs/>
        </w:rPr>
        <w:t>Document</w:t>
      </w:r>
      <w:r w:rsidRPr="00DC2DE6">
        <w:rPr>
          <w:b/>
          <w:bCs/>
        </w:rPr>
        <w:t xml:space="preserve"> </w:t>
      </w:r>
      <w:hyperlink r:id="rId15" w:history="1">
        <w:r w:rsidRPr="00F82DB2">
          <w:rPr>
            <w:rStyle w:val="Hyperlink"/>
            <w:b/>
            <w:bCs/>
          </w:rPr>
          <w:t>C24/31</w:t>
        </w:r>
      </w:hyperlink>
      <w:r w:rsidRPr="00DC2DE6">
        <w:t>, which established the YPP Fund to financially support the ITU Young Professional Programme,</w:t>
      </w:r>
      <w:r>
        <w:t xml:space="preserve"> the Secretary</w:t>
      </w:r>
      <w:r w:rsidR="006D2D92">
        <w:t>-</w:t>
      </w:r>
      <w:r>
        <w:t xml:space="preserve">General </w:t>
      </w:r>
      <w:r w:rsidR="00353FF1">
        <w:t xml:space="preserve">has identified an allocation of </w:t>
      </w:r>
      <w:r w:rsidR="00353FF1" w:rsidRPr="00DC2DE6">
        <w:rPr>
          <w:b/>
          <w:bCs/>
        </w:rPr>
        <w:t>CHF</w:t>
      </w:r>
      <w:r w:rsidR="00A80EB5">
        <w:rPr>
          <w:b/>
          <w:bCs/>
        </w:rPr>
        <w:t> </w:t>
      </w:r>
      <w:r w:rsidR="00353FF1" w:rsidRPr="00DC2DE6">
        <w:rPr>
          <w:b/>
          <w:bCs/>
        </w:rPr>
        <w:t>1.2</w:t>
      </w:r>
      <w:r w:rsidR="00A80EB5">
        <w:rPr>
          <w:b/>
          <w:bCs/>
        </w:rPr>
        <w:t> </w:t>
      </w:r>
      <w:r w:rsidR="00353FF1" w:rsidRPr="00373774">
        <w:t>million</w:t>
      </w:r>
      <w:r w:rsidR="00146634" w:rsidRPr="00373774">
        <w:t xml:space="preserve"> to the YPP Fund</w:t>
      </w:r>
      <w:r w:rsidR="00353FF1" w:rsidRPr="00A80EB5">
        <w:t xml:space="preserve"> to ensure the </w:t>
      </w:r>
      <w:r w:rsidR="00353FF1" w:rsidRPr="00373774">
        <w:t>continuity and stability of the YPP programme</w:t>
      </w:r>
      <w:r w:rsidR="00CA5945">
        <w:t xml:space="preserve"> as per </w:t>
      </w:r>
      <w:r w:rsidR="00F82DB2">
        <w:t>Document</w:t>
      </w:r>
      <w:r w:rsidR="00146634">
        <w:t xml:space="preserve"> C24/31</w:t>
      </w:r>
      <w:r w:rsidR="31041141">
        <w:t xml:space="preserve"> (</w:t>
      </w:r>
      <w:r w:rsidR="00D72B2D">
        <w:t xml:space="preserve">see Table </w:t>
      </w:r>
      <w:r w:rsidR="31041141">
        <w:t>1)</w:t>
      </w:r>
      <w:r w:rsidR="00EB1190">
        <w:t>.</w:t>
      </w:r>
    </w:p>
    <w:p w14:paraId="6B9F4665" w14:textId="300FEBD3" w:rsidR="00BE4161" w:rsidRDefault="00B70D10" w:rsidP="00F00BF6">
      <w:pPr>
        <w:jc w:val="both"/>
      </w:pPr>
      <w:r w:rsidRPr="00F00BF6">
        <w:t xml:space="preserve">The amount </w:t>
      </w:r>
      <w:r w:rsidR="00146634" w:rsidRPr="00F00BF6">
        <w:t xml:space="preserve">proposed </w:t>
      </w:r>
      <w:r w:rsidRPr="00F00BF6">
        <w:t>is based on maintaining the current cohort of six YPP positions through the 2026</w:t>
      </w:r>
      <w:r w:rsidR="00F82DB2">
        <w:t>-</w:t>
      </w:r>
      <w:r w:rsidRPr="00F00BF6">
        <w:t xml:space="preserve">2027 biennium. </w:t>
      </w:r>
    </w:p>
    <w:p w14:paraId="017C4BC6" w14:textId="1FE287A2" w:rsidR="00FE791A" w:rsidRPr="00BE4161" w:rsidRDefault="00BE4161" w:rsidP="009E1688">
      <w:pPr>
        <w:pStyle w:val="Headingb"/>
      </w:pPr>
      <w:r w:rsidRPr="00BE4161">
        <w:rPr>
          <w:rFonts w:eastAsiaTheme="minorEastAsia"/>
          <w:lang w:val="en-US" w:eastAsia="zh-CN"/>
        </w:rPr>
        <w:t>P</w:t>
      </w:r>
      <w:r w:rsidR="00FE791A" w:rsidRPr="00BE4161">
        <w:rPr>
          <w:rFonts w:eastAsiaTheme="minorEastAsia"/>
          <w:lang w:val="en-US" w:eastAsia="zh-CN"/>
        </w:rPr>
        <w:t xml:space="preserve">roposed use of the 2025 budget surplus – Other </w:t>
      </w:r>
      <w:r w:rsidR="009E1688" w:rsidRPr="00BE4161">
        <w:rPr>
          <w:rFonts w:eastAsiaTheme="minorEastAsia"/>
          <w:lang w:val="en-US" w:eastAsia="zh-CN"/>
        </w:rPr>
        <w:t>proposed allocations</w:t>
      </w:r>
    </w:p>
    <w:p w14:paraId="4F5C5788" w14:textId="5ECE1776" w:rsidR="005D0CE1" w:rsidRDefault="00FE791A" w:rsidP="00FE791A">
      <w:pPr>
        <w:jc w:val="both"/>
        <w:rPr>
          <w:rFonts w:ascii="CG Times" w:hAnsi="CG Times"/>
          <w:sz w:val="20"/>
          <w:lang w:val="en-US" w:eastAsia="zh-CN"/>
        </w:rPr>
      </w:pPr>
      <w:r>
        <w:rPr>
          <w:lang w:val="en-US"/>
        </w:rPr>
        <w:t xml:space="preserve">Following the allocations based on previous approvals above, the </w:t>
      </w:r>
      <w:r w:rsidR="00F82DB2">
        <w:rPr>
          <w:lang w:val="en-US"/>
        </w:rPr>
        <w:t xml:space="preserve">secretariat </w:t>
      </w:r>
      <w:r>
        <w:rPr>
          <w:lang w:val="en-US"/>
        </w:rPr>
        <w:t xml:space="preserve">proposes </w:t>
      </w:r>
      <w:r w:rsidRPr="001434F5">
        <w:t xml:space="preserve">the allocation of the remaining budget surplus of </w:t>
      </w:r>
      <w:r w:rsidRPr="001434F5">
        <w:rPr>
          <w:b/>
        </w:rPr>
        <w:t>CHF </w:t>
      </w:r>
      <w:r>
        <w:rPr>
          <w:b/>
        </w:rPr>
        <w:t>1</w:t>
      </w:r>
      <w:r w:rsidR="005D0CE1">
        <w:rPr>
          <w:b/>
        </w:rPr>
        <w:t>1</w:t>
      </w:r>
      <w:r>
        <w:rPr>
          <w:b/>
        </w:rPr>
        <w:t>.</w:t>
      </w:r>
      <w:r w:rsidR="005D0CE1">
        <w:rPr>
          <w:b/>
        </w:rPr>
        <w:t>4</w:t>
      </w:r>
      <w:r w:rsidR="00DD7E3F">
        <w:rPr>
          <w:b/>
        </w:rPr>
        <w:t>4</w:t>
      </w:r>
      <w:r w:rsidRPr="001434F5">
        <w:rPr>
          <w:b/>
        </w:rPr>
        <w:t> million</w:t>
      </w:r>
      <w:r w:rsidRPr="001434F5">
        <w:t xml:space="preserve"> as per the summary in Table</w:t>
      </w:r>
      <w:r w:rsidR="00BE4161">
        <w:t> </w:t>
      </w:r>
      <w:r w:rsidRPr="001434F5">
        <w:t>1 below. Further details on the justification are provided below.</w:t>
      </w:r>
      <w:r w:rsidR="005D0CE1">
        <w:fldChar w:fldCharType="begin"/>
      </w:r>
      <w:r w:rsidR="005D0CE1">
        <w:instrText xml:space="preserve"> LINK Excel.Sheet.12 "C:\\01. My files\\02. ITU\\43. Budget issues\\30. Budget 2025\\Proposed_Use_of_2025_Surplus FINAL 14-04-26.xlsx" "Proposed Use of 2025 FINAL R2!R1C1:R16C4" \a \f 4 \r </w:instrText>
      </w:r>
      <w:r w:rsidR="005D0CE1">
        <w:fldChar w:fldCharType="separate"/>
      </w:r>
    </w:p>
    <w:p w14:paraId="5DC4FD81" w14:textId="0D2FC468" w:rsidR="00B55A2C" w:rsidRPr="00106841" w:rsidRDefault="005D0CE1" w:rsidP="000B0F50">
      <w:pPr>
        <w:pStyle w:val="TableNo"/>
      </w:pPr>
      <w:r>
        <w:lastRenderedPageBreak/>
        <w:fldChar w:fldCharType="end"/>
      </w:r>
      <w:r w:rsidR="001434F5" w:rsidRPr="001434F5">
        <w:t>Table 1</w:t>
      </w:r>
    </w:p>
    <w:p w14:paraId="2A6DB60E" w14:textId="1A0D89B8" w:rsidR="001434F5" w:rsidRDefault="001434F5" w:rsidP="00106841">
      <w:pPr>
        <w:pStyle w:val="Tabletitle"/>
      </w:pPr>
      <w:r w:rsidRPr="001434F5">
        <w:t>Summary of proposed allocations of 2025 savings for 2026-2027</w:t>
      </w:r>
    </w:p>
    <w:p w14:paraId="045AA4DD" w14:textId="114CC268" w:rsidR="00AE1904" w:rsidRDefault="005C336B" w:rsidP="00F76693">
      <w:pPr>
        <w:pStyle w:val="Figure"/>
      </w:pPr>
      <w:r w:rsidRPr="005C336B">
        <w:rPr>
          <w:noProof/>
        </w:rPr>
        <w:drawing>
          <wp:inline distT="0" distB="0" distL="0" distR="0" wp14:anchorId="48CAD756" wp14:editId="28B3E9FE">
            <wp:extent cx="5180952" cy="3171429"/>
            <wp:effectExtent l="0" t="0" r="1270" b="0"/>
            <wp:docPr id="183531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11353" name=""/>
                    <pic:cNvPicPr/>
                  </pic:nvPicPr>
                  <pic:blipFill>
                    <a:blip r:embed="rId16"/>
                    <a:stretch>
                      <a:fillRect/>
                    </a:stretch>
                  </pic:blipFill>
                  <pic:spPr>
                    <a:xfrm>
                      <a:off x="0" y="0"/>
                      <a:ext cx="5180952" cy="3171429"/>
                    </a:xfrm>
                    <a:prstGeom prst="rect">
                      <a:avLst/>
                    </a:prstGeom>
                  </pic:spPr>
                </pic:pic>
              </a:graphicData>
            </a:graphic>
          </wp:inline>
        </w:drawing>
      </w:r>
    </w:p>
    <w:p w14:paraId="5D699078" w14:textId="2F13FFBC" w:rsidR="001434F5" w:rsidRPr="001434F5" w:rsidRDefault="001434F5" w:rsidP="00FD1FA7">
      <w:pPr>
        <w:pStyle w:val="Heading1"/>
      </w:pPr>
      <w:bookmarkStart w:id="11" w:name="_1834040803"/>
      <w:bookmarkEnd w:id="11"/>
      <w:r w:rsidRPr="001434F5">
        <w:t>1</w:t>
      </w:r>
      <w:r w:rsidR="00996504">
        <w:tab/>
      </w:r>
      <w:r w:rsidRPr="001434F5">
        <w:t xml:space="preserve">Agreed </w:t>
      </w:r>
      <w:r w:rsidR="00996504">
        <w:t>s</w:t>
      </w:r>
      <w:r w:rsidRPr="001434F5">
        <w:t>eparations</w:t>
      </w:r>
    </w:p>
    <w:p w14:paraId="35D820B7" w14:textId="1DA0D594" w:rsidR="001434F5" w:rsidRPr="001434F5" w:rsidRDefault="001434F5" w:rsidP="00B55A2C">
      <w:pPr>
        <w:jc w:val="both"/>
      </w:pPr>
      <w:r w:rsidRPr="001434F5">
        <w:t>In 2022 Council approved the use of CHF</w:t>
      </w:r>
      <w:r w:rsidR="00996504">
        <w:t> </w:t>
      </w:r>
      <w:r w:rsidRPr="001434F5">
        <w:t>6</w:t>
      </w:r>
      <w:r w:rsidR="00996504">
        <w:t> </w:t>
      </w:r>
      <w:r w:rsidRPr="001434F5">
        <w:t>million from the reserve fund for the implementation of Voluntary Separation Programmes by ITU designed to facilitate organisational restructuring and support workforce evolution in response to changing strategic needs. The initiative enabled 42 eligible staff to depart on a voluntary basis</w:t>
      </w:r>
      <w:r w:rsidR="00814732">
        <w:t xml:space="preserve"> (Annex</w:t>
      </w:r>
      <w:r w:rsidR="00FD1FA7">
        <w:t> </w:t>
      </w:r>
      <w:r w:rsidR="00814732">
        <w:t>2)</w:t>
      </w:r>
      <w:r w:rsidRPr="001434F5">
        <w:t xml:space="preserve">, streamlining personnel adjustments whilst maintaining the Union’s operational capacity. </w:t>
      </w:r>
    </w:p>
    <w:p w14:paraId="3F6BCD25" w14:textId="0DDE55E1" w:rsidR="001434F5" w:rsidRPr="001434F5" w:rsidRDefault="001434F5" w:rsidP="00B55A2C">
      <w:pPr>
        <w:jc w:val="both"/>
        <w:rPr>
          <w:rFonts w:cs="Calibri"/>
        </w:rPr>
      </w:pPr>
      <w:r w:rsidRPr="001434F5">
        <w:rPr>
          <w:rFonts w:cs="Calibri"/>
        </w:rPr>
        <w:t xml:space="preserve">It is proposed that </w:t>
      </w:r>
      <w:r w:rsidRPr="001434F5">
        <w:rPr>
          <w:rFonts w:cs="Calibri"/>
          <w:b/>
        </w:rPr>
        <w:t>CHF</w:t>
      </w:r>
      <w:r w:rsidRPr="001434F5">
        <w:rPr>
          <w:rFonts w:cs="Calibri"/>
          <w:b/>
          <w:bCs/>
        </w:rPr>
        <w:t> </w:t>
      </w:r>
      <w:r w:rsidRPr="001434F5">
        <w:rPr>
          <w:rFonts w:cs="Calibri"/>
          <w:b/>
        </w:rPr>
        <w:t>2.5</w:t>
      </w:r>
      <w:r w:rsidRPr="001434F5">
        <w:rPr>
          <w:rFonts w:cs="Calibri"/>
          <w:b/>
          <w:bCs/>
        </w:rPr>
        <w:t> </w:t>
      </w:r>
      <w:r w:rsidRPr="001434F5">
        <w:rPr>
          <w:rFonts w:cs="Calibri"/>
          <w:b/>
        </w:rPr>
        <w:t>million</w:t>
      </w:r>
      <w:r w:rsidRPr="001434F5">
        <w:rPr>
          <w:rFonts w:cs="Calibri"/>
        </w:rPr>
        <w:t xml:space="preserve"> be allocated to the establishment of additional separation initiatives to support reorganization and longer-term cost reduction objectives.</w:t>
      </w:r>
    </w:p>
    <w:p w14:paraId="25A9D4EB" w14:textId="77777777" w:rsidR="001434F5" w:rsidRPr="001434F5" w:rsidRDefault="001434F5" w:rsidP="00B55A2C">
      <w:pPr>
        <w:jc w:val="both"/>
        <w:rPr>
          <w:rFonts w:cs="Calibri"/>
        </w:rPr>
      </w:pPr>
      <w:r w:rsidRPr="001434F5">
        <w:rPr>
          <w:rFonts w:cs="Calibri"/>
        </w:rPr>
        <w:t xml:space="preserve">The funding would be used in the following manner: </w:t>
      </w:r>
    </w:p>
    <w:p w14:paraId="7F59F1FE" w14:textId="46902431" w:rsidR="001434F5" w:rsidRPr="001434F5" w:rsidRDefault="00B55A2C" w:rsidP="00B55A2C">
      <w:pPr>
        <w:pStyle w:val="enumlev1"/>
        <w:jc w:val="both"/>
      </w:pPr>
      <w:r>
        <w:t>–</w:t>
      </w:r>
      <w:r>
        <w:tab/>
      </w:r>
      <w:r w:rsidRPr="001434F5">
        <w:t xml:space="preserve">fund </w:t>
      </w:r>
      <w:r w:rsidR="001434F5" w:rsidRPr="001434F5">
        <w:t>separation where it is required, in the best interests of the Union, to address changes in skills and competencies aligned with reorganization;</w:t>
      </w:r>
    </w:p>
    <w:p w14:paraId="38A58713" w14:textId="5FD1FC03" w:rsidR="001434F5" w:rsidRPr="001434F5" w:rsidRDefault="00B55A2C" w:rsidP="00B55A2C">
      <w:pPr>
        <w:pStyle w:val="enumlev1"/>
        <w:jc w:val="both"/>
        <w:rPr>
          <w:szCs w:val="24"/>
        </w:rPr>
      </w:pPr>
      <w:r>
        <w:rPr>
          <w:szCs w:val="24"/>
        </w:rPr>
        <w:t>–</w:t>
      </w:r>
      <w:r>
        <w:rPr>
          <w:szCs w:val="24"/>
        </w:rPr>
        <w:tab/>
      </w:r>
      <w:r w:rsidRPr="001434F5">
        <w:rPr>
          <w:szCs w:val="24"/>
        </w:rPr>
        <w:t xml:space="preserve">any </w:t>
      </w:r>
      <w:r w:rsidR="001434F5" w:rsidRPr="001434F5">
        <w:rPr>
          <w:szCs w:val="24"/>
        </w:rPr>
        <w:t>unused balance would remain in the reserve to support future restructuring needs, recognising that organizational adjustments extend beyond a single financial year; and</w:t>
      </w:r>
    </w:p>
    <w:p w14:paraId="413BA9A9" w14:textId="31A80DFA" w:rsidR="001434F5" w:rsidRPr="001434F5" w:rsidRDefault="00B55A2C" w:rsidP="00B55A2C">
      <w:pPr>
        <w:pStyle w:val="enumlev1"/>
        <w:jc w:val="both"/>
      </w:pPr>
      <w:r>
        <w:t>–</w:t>
      </w:r>
      <w:r>
        <w:tab/>
      </w:r>
      <w:r w:rsidRPr="001434F5">
        <w:t xml:space="preserve">the </w:t>
      </w:r>
      <w:r w:rsidR="00996504">
        <w:t>s</w:t>
      </w:r>
      <w:r w:rsidR="001434F5" w:rsidRPr="001434F5">
        <w:t>ecretariat shall report to Council annually on the use of the funds.</w:t>
      </w:r>
    </w:p>
    <w:p w14:paraId="28E8965B" w14:textId="50F051F1" w:rsidR="001434F5" w:rsidRPr="001434F5" w:rsidRDefault="03C8B3DB" w:rsidP="00B55A2C">
      <w:pPr>
        <w:pStyle w:val="Heading1"/>
      </w:pPr>
      <w:r w:rsidRPr="001434F5">
        <w:t>2</w:t>
      </w:r>
      <w:r w:rsidR="00996504">
        <w:tab/>
      </w:r>
      <w:r w:rsidR="001434F5" w:rsidRPr="001434F5">
        <w:t xml:space="preserve">Addressing the </w:t>
      </w:r>
      <w:r w:rsidR="00996504">
        <w:t>b</w:t>
      </w:r>
      <w:r w:rsidR="001434F5" w:rsidRPr="001434F5">
        <w:t xml:space="preserve">acklog in </w:t>
      </w:r>
      <w:r w:rsidR="00B55A2C" w:rsidRPr="001434F5">
        <w:t>satellite network filings</w:t>
      </w:r>
    </w:p>
    <w:p w14:paraId="7DDCF25A" w14:textId="7FEF3429" w:rsidR="001434F5" w:rsidRPr="001434F5" w:rsidRDefault="001434F5" w:rsidP="005C40A4">
      <w:pPr>
        <w:jc w:val="both"/>
        <w:rPr>
          <w:lang w:eastAsia="en-GB"/>
        </w:rPr>
      </w:pPr>
      <w:r w:rsidRPr="001434F5">
        <w:rPr>
          <w:lang w:eastAsia="en-GB"/>
        </w:rPr>
        <w:t xml:space="preserve">The </w:t>
      </w:r>
      <w:r w:rsidR="00996504">
        <w:rPr>
          <w:lang w:eastAsia="en-GB"/>
        </w:rPr>
        <w:t>s</w:t>
      </w:r>
      <w:r w:rsidRPr="001434F5">
        <w:rPr>
          <w:lang w:eastAsia="en-GB"/>
        </w:rPr>
        <w:t xml:space="preserve">ecretariat proposes a targeted, time-limited allocation of 2025 savings to address the current backlog in </w:t>
      </w:r>
      <w:r w:rsidR="005C40A4" w:rsidRPr="001434F5">
        <w:rPr>
          <w:lang w:eastAsia="en-GB"/>
        </w:rPr>
        <w:t xml:space="preserve">satellite network filing </w:t>
      </w:r>
      <w:r w:rsidRPr="001434F5">
        <w:rPr>
          <w:lang w:eastAsia="en-GB"/>
        </w:rPr>
        <w:t>(SNF) applications of</w:t>
      </w:r>
      <w:r w:rsidRPr="001434F5">
        <w:rPr>
          <w:b/>
          <w:bCs/>
          <w:lang w:eastAsia="en-GB"/>
        </w:rPr>
        <w:t xml:space="preserve"> CHF </w:t>
      </w:r>
      <w:r w:rsidR="00EE2AE5">
        <w:rPr>
          <w:b/>
          <w:bCs/>
          <w:lang w:eastAsia="en-GB"/>
        </w:rPr>
        <w:t>1</w:t>
      </w:r>
      <w:r w:rsidRPr="001434F5">
        <w:rPr>
          <w:b/>
          <w:bCs/>
          <w:lang w:eastAsia="en-GB"/>
        </w:rPr>
        <w:t> million</w:t>
      </w:r>
      <w:r w:rsidRPr="001434F5">
        <w:rPr>
          <w:lang w:eastAsia="en-GB"/>
        </w:rPr>
        <w:t>. Processing timelines have extended to approximately 14 months, creating operational pressures and reputational risk for the Union.</w:t>
      </w:r>
    </w:p>
    <w:p w14:paraId="204A69F9" w14:textId="77777777" w:rsidR="001434F5" w:rsidRPr="001434F5" w:rsidRDefault="001434F5" w:rsidP="005C40A4">
      <w:pPr>
        <w:jc w:val="both"/>
        <w:rPr>
          <w:lang w:eastAsia="en-GB"/>
        </w:rPr>
      </w:pPr>
      <w:r w:rsidRPr="001434F5">
        <w:rPr>
          <w:lang w:eastAsia="en-GB"/>
        </w:rPr>
        <w:t xml:space="preserve">The proposed measure would provide temporary funding to recruit additional staff dedicated exclusively to backlog reduction, with the objective of helping restore processing timelines to approximately four months. This intervention is designed as a short-term capacity </w:t>
      </w:r>
      <w:r w:rsidRPr="001434F5">
        <w:rPr>
          <w:lang w:eastAsia="en-GB"/>
        </w:rPr>
        <w:lastRenderedPageBreak/>
        <w:t>reinforcement, focused on clearing accumulated cases rather than expanding the long-term staffing establishment.</w:t>
      </w:r>
    </w:p>
    <w:p w14:paraId="61D031EC" w14:textId="47E11258" w:rsidR="001434F5" w:rsidRPr="001434F5" w:rsidRDefault="08628B1C" w:rsidP="005C40A4">
      <w:pPr>
        <w:pStyle w:val="Heading1"/>
        <w:rPr>
          <w:rFonts w:cs="Calibri"/>
        </w:rPr>
      </w:pPr>
      <w:r w:rsidRPr="36A18684">
        <w:rPr>
          <w:rFonts w:cs="Calibri"/>
        </w:rPr>
        <w:t>3</w:t>
      </w:r>
      <w:r w:rsidR="007936FD">
        <w:rPr>
          <w:rFonts w:cs="Calibri"/>
        </w:rPr>
        <w:tab/>
      </w:r>
      <w:r w:rsidR="001434F5">
        <w:t>SNF</w:t>
      </w:r>
      <w:r w:rsidR="001434F5" w:rsidRPr="001434F5">
        <w:t xml:space="preserve"> </w:t>
      </w:r>
      <w:r w:rsidR="00996504" w:rsidRPr="001434F5">
        <w:t xml:space="preserve">core systems </w:t>
      </w:r>
      <w:r w:rsidR="001434F5" w:rsidRPr="001434F5">
        <w:t xml:space="preserve">and </w:t>
      </w:r>
      <w:r w:rsidR="00996504" w:rsidRPr="001434F5">
        <w:t>modernization capacity</w:t>
      </w:r>
    </w:p>
    <w:p w14:paraId="0B181AFB" w14:textId="07AF4C52" w:rsidR="001434F5" w:rsidRPr="001A0CDD" w:rsidRDefault="001434F5" w:rsidP="005C40A4">
      <w:pPr>
        <w:jc w:val="both"/>
        <w:rPr>
          <w:spacing w:val="-2"/>
        </w:rPr>
      </w:pPr>
      <w:r w:rsidRPr="001A0CDD">
        <w:rPr>
          <w:spacing w:val="-2"/>
        </w:rPr>
        <w:t xml:space="preserve">An allocation of </w:t>
      </w:r>
      <w:r w:rsidRPr="001A0CDD">
        <w:rPr>
          <w:b/>
          <w:bCs/>
          <w:spacing w:val="-2"/>
        </w:rPr>
        <w:t>CHF 1.3 million</w:t>
      </w:r>
      <w:r w:rsidRPr="001A0CDD">
        <w:rPr>
          <w:spacing w:val="-2"/>
        </w:rPr>
        <w:t xml:space="preserve"> is proposed to support BR space software modernization to reinforce the core systems supporting SNF operations within the Radiocommunication Bureau (BR). This investment will form part of BR’s structured software modernization strategy and is aligned with the broader IS digital transformation objectives of the Union.</w:t>
      </w:r>
    </w:p>
    <w:p w14:paraId="36CFC668" w14:textId="2DF78BE8" w:rsidR="001434F5" w:rsidRPr="001434F5" w:rsidRDefault="001A0CDD" w:rsidP="005C40A4">
      <w:pPr>
        <w:jc w:val="both"/>
      </w:pPr>
      <w:r w:rsidRPr="001A0CDD">
        <w:rPr>
          <w:spacing w:val="-2"/>
        </w:rPr>
        <w:t>The Radiocommunication Bureau</w:t>
      </w:r>
      <w:r w:rsidR="001434F5" w:rsidRPr="001434F5">
        <w:t xml:space="preserve"> has identified structural constraints affecting both external stakeholders and internal operations. Member States and satellite operators continue to face challenges, such as processing backlogs exceeding regulatory time limits, associated regulatory risks, lengthy correction cycles following submissions, and fragmented user interfaces. Internally, the BR faces accumulated technical debt, increasing computational requirements, and significant institutional risks linked to single-person dependencies and concentration of expertise. Although Council 2025 </w:t>
      </w:r>
      <w:r w:rsidR="001434F5" w:rsidRPr="001434F5">
        <w:rPr>
          <w:rFonts w:eastAsia="Calibri" w:cs="Calibri"/>
        </w:rPr>
        <w:t>allocated CHF</w:t>
      </w:r>
      <w:r w:rsidR="00996504">
        <w:rPr>
          <w:rFonts w:eastAsia="Calibri" w:cs="Calibri"/>
        </w:rPr>
        <w:t> </w:t>
      </w:r>
      <w:r w:rsidR="001434F5" w:rsidRPr="001434F5">
        <w:rPr>
          <w:rFonts w:eastAsia="Calibri" w:cs="Calibri"/>
        </w:rPr>
        <w:t>0.5</w:t>
      </w:r>
      <w:r w:rsidR="00996504">
        <w:rPr>
          <w:rFonts w:eastAsia="Calibri" w:cs="Calibri"/>
        </w:rPr>
        <w:t> </w:t>
      </w:r>
      <w:r w:rsidR="001434F5" w:rsidRPr="001434F5">
        <w:rPr>
          <w:rFonts w:eastAsia="Calibri" w:cs="Calibri"/>
        </w:rPr>
        <w:t>million per annum from fees collected from SNF to the ICT Capital Fund for BR software development, BR software modernization costs are estimated at over CHF</w:t>
      </w:r>
      <w:r w:rsidR="00996504">
        <w:rPr>
          <w:rFonts w:eastAsia="Calibri" w:cs="Calibri"/>
        </w:rPr>
        <w:t> </w:t>
      </w:r>
      <w:r w:rsidR="001434F5" w:rsidRPr="001434F5">
        <w:rPr>
          <w:rFonts w:eastAsia="Calibri" w:cs="Calibri"/>
        </w:rPr>
        <w:t>3.0</w:t>
      </w:r>
      <w:r w:rsidR="00996504">
        <w:rPr>
          <w:rFonts w:eastAsia="Calibri" w:cs="Calibri"/>
        </w:rPr>
        <w:t> </w:t>
      </w:r>
      <w:r w:rsidR="001434F5" w:rsidRPr="001434F5">
        <w:rPr>
          <w:rFonts w:eastAsia="Calibri" w:cs="Calibri"/>
        </w:rPr>
        <w:t>million.</w:t>
      </w:r>
    </w:p>
    <w:p w14:paraId="5BFB5899" w14:textId="1697106F" w:rsidR="001434F5" w:rsidRPr="001434F5" w:rsidRDefault="001434F5" w:rsidP="005C40A4">
      <w:pPr>
        <w:jc w:val="both"/>
      </w:pPr>
      <w:r w:rsidRPr="001434F5">
        <w:t>Two cross-cutting enablers underpin this strategy: i) readiness for cloud migration, which involves adapting BR desktop software, web applications, and databases, as well as infrastructure optimization for long-term operations; and ii) structured adoption of advanced AI tools to enhance software development, in general, and modernization in particular, as well as software testing capabilities.</w:t>
      </w:r>
    </w:p>
    <w:p w14:paraId="5482D719" w14:textId="20899B87" w:rsidR="001434F5" w:rsidRPr="001434F5" w:rsidRDefault="2DB05833" w:rsidP="005C40A4">
      <w:pPr>
        <w:pStyle w:val="Heading1"/>
      </w:pPr>
      <w:r>
        <w:t>4</w:t>
      </w:r>
      <w:r w:rsidR="007936FD">
        <w:tab/>
      </w:r>
      <w:r w:rsidR="001434F5">
        <w:t>Corporate</w:t>
      </w:r>
      <w:r w:rsidR="001434F5" w:rsidRPr="001434F5">
        <w:t xml:space="preserve"> </w:t>
      </w:r>
      <w:r w:rsidR="005C40A4" w:rsidRPr="001434F5">
        <w:t>systems modernization</w:t>
      </w:r>
    </w:p>
    <w:p w14:paraId="3A82BB0A" w14:textId="21741641" w:rsidR="001434F5" w:rsidRPr="001434F5" w:rsidRDefault="001434F5" w:rsidP="005C40A4">
      <w:pPr>
        <w:jc w:val="both"/>
      </w:pPr>
      <w:r w:rsidRPr="001434F5">
        <w:t xml:space="preserve">An allocation of </w:t>
      </w:r>
      <w:r w:rsidRPr="001434F5">
        <w:rPr>
          <w:b/>
        </w:rPr>
        <w:t>CHF</w:t>
      </w:r>
      <w:r w:rsidRPr="001434F5">
        <w:rPr>
          <w:b/>
          <w:bCs/>
        </w:rPr>
        <w:t> </w:t>
      </w:r>
      <w:r w:rsidRPr="001434F5">
        <w:rPr>
          <w:b/>
        </w:rPr>
        <w:t>1.</w:t>
      </w:r>
      <w:r w:rsidRPr="001434F5">
        <w:rPr>
          <w:b/>
          <w:bCs/>
        </w:rPr>
        <w:t>4</w:t>
      </w:r>
      <w:r w:rsidR="00AE1904">
        <w:rPr>
          <w:b/>
          <w:bCs/>
        </w:rPr>
        <w:t>4</w:t>
      </w:r>
      <w:r w:rsidRPr="001434F5">
        <w:rPr>
          <w:b/>
          <w:bCs/>
        </w:rPr>
        <w:t> million</w:t>
      </w:r>
      <w:r w:rsidRPr="001434F5">
        <w:t xml:space="preserve"> is proposed to reinforce the capacity required to deliver ITU’s ongoing transformation agenda, in particular the implementation of major enterprise systems such as SAP S/4HANA, Microsoft Dynamics, Recruitment System, and supporting cloud, AI and data foundations to enable sector system modernization.</w:t>
      </w:r>
    </w:p>
    <w:p w14:paraId="444E4A1F" w14:textId="66FF3D1A" w:rsidR="001434F5" w:rsidRPr="001A0CDD" w:rsidRDefault="001434F5" w:rsidP="005C40A4">
      <w:pPr>
        <w:jc w:val="both"/>
        <w:rPr>
          <w:spacing w:val="-2"/>
        </w:rPr>
      </w:pPr>
      <w:r w:rsidRPr="001A0CDD">
        <w:rPr>
          <w:spacing w:val="-2"/>
        </w:rPr>
        <w:t>These initiatives represent not only system replacements, but a structured opportunity to address these challenges through business process re-engineering, architectural modernization, and strengthened governance.</w:t>
      </w:r>
    </w:p>
    <w:p w14:paraId="0A7E58CA" w14:textId="77777777" w:rsidR="001434F5" w:rsidRPr="001434F5" w:rsidRDefault="001434F5" w:rsidP="005C40A4">
      <w:pPr>
        <w:jc w:val="both"/>
      </w:pPr>
      <w:r w:rsidRPr="001434F5">
        <w:t>The proposed allocation, capital in nature, would support:</w:t>
      </w:r>
    </w:p>
    <w:p w14:paraId="2C20E279" w14:textId="0EA3465C" w:rsidR="001434F5" w:rsidRPr="001434F5" w:rsidRDefault="005C40A4" w:rsidP="005C40A4">
      <w:pPr>
        <w:pStyle w:val="enumlev1"/>
        <w:jc w:val="both"/>
      </w:pPr>
      <w:r>
        <w:t>–</w:t>
      </w:r>
      <w:r>
        <w:tab/>
      </w:r>
      <w:r w:rsidRPr="001434F5">
        <w:t xml:space="preserve">reduction </w:t>
      </w:r>
      <w:r w:rsidR="001434F5" w:rsidRPr="001434F5">
        <w:t xml:space="preserve">of technical debt and modernization of core systems, including ERP, CRM, events management, </w:t>
      </w:r>
      <w:r w:rsidR="000912C0">
        <w:t>r</w:t>
      </w:r>
      <w:r w:rsidR="001434F5" w:rsidRPr="001434F5">
        <w:t>ecruitment, travel and expense management and service management, other digital platforms;</w:t>
      </w:r>
    </w:p>
    <w:p w14:paraId="049D126E" w14:textId="2E8DF1E9" w:rsidR="001434F5" w:rsidRPr="001434F5" w:rsidRDefault="005C40A4" w:rsidP="005C40A4">
      <w:pPr>
        <w:pStyle w:val="enumlev1"/>
        <w:jc w:val="both"/>
      </w:pPr>
      <w:r>
        <w:t>–</w:t>
      </w:r>
      <w:r>
        <w:tab/>
      </w:r>
      <w:r w:rsidRPr="001434F5">
        <w:t xml:space="preserve">cloud </w:t>
      </w:r>
      <w:r w:rsidR="001434F5" w:rsidRPr="001434F5">
        <w:t>migration and architectural optimization of mission-critical systems;</w:t>
      </w:r>
    </w:p>
    <w:p w14:paraId="18D8AA9B" w14:textId="3BC5BCAE" w:rsidR="001434F5" w:rsidRPr="001434F5" w:rsidRDefault="005C40A4" w:rsidP="005C40A4">
      <w:pPr>
        <w:pStyle w:val="enumlev1"/>
        <w:jc w:val="both"/>
      </w:pPr>
      <w:r>
        <w:t>–</w:t>
      </w:r>
      <w:r>
        <w:tab/>
      </w:r>
      <w:r w:rsidRPr="001434F5">
        <w:t xml:space="preserve">streamlining </w:t>
      </w:r>
      <w:r w:rsidR="001434F5" w:rsidRPr="001434F5">
        <w:t>and automation of key end-to-end processes;</w:t>
      </w:r>
    </w:p>
    <w:p w14:paraId="4B15A8F7" w14:textId="2BB11943" w:rsidR="001434F5" w:rsidRPr="001434F5" w:rsidRDefault="005C40A4" w:rsidP="005C40A4">
      <w:pPr>
        <w:pStyle w:val="enumlev1"/>
        <w:jc w:val="both"/>
      </w:pPr>
      <w:r>
        <w:t>–</w:t>
      </w:r>
      <w:r>
        <w:tab/>
      </w:r>
      <w:r w:rsidRPr="001434F5">
        <w:t xml:space="preserve">improved </w:t>
      </w:r>
      <w:r w:rsidR="001434F5" w:rsidRPr="001434F5">
        <w:t>data quality, internal controls, and reporting capability;</w:t>
      </w:r>
    </w:p>
    <w:p w14:paraId="18FFEF76" w14:textId="7D653D19" w:rsidR="001434F5" w:rsidRPr="001434F5" w:rsidRDefault="005C40A4" w:rsidP="005C40A4">
      <w:pPr>
        <w:pStyle w:val="enumlev1"/>
        <w:jc w:val="both"/>
      </w:pPr>
      <w:r>
        <w:t>–</w:t>
      </w:r>
      <w:r>
        <w:tab/>
      </w:r>
      <w:r w:rsidRPr="001434F5">
        <w:t xml:space="preserve">modernization </w:t>
      </w:r>
      <w:r w:rsidR="001434F5" w:rsidRPr="001434F5">
        <w:t xml:space="preserve">of </w:t>
      </w:r>
      <w:r w:rsidRPr="001434F5">
        <w:t xml:space="preserve">working methods, </w:t>
      </w:r>
      <w:r w:rsidR="001434F5" w:rsidRPr="001434F5">
        <w:t>including capital investment in MyWorkspace;</w:t>
      </w:r>
    </w:p>
    <w:p w14:paraId="2D9252A4" w14:textId="7A4AE951" w:rsidR="001434F5" w:rsidRPr="001434F5" w:rsidRDefault="005C40A4" w:rsidP="005C40A4">
      <w:pPr>
        <w:pStyle w:val="enumlev1"/>
        <w:jc w:val="both"/>
      </w:pPr>
      <w:r>
        <w:t>–</w:t>
      </w:r>
      <w:r>
        <w:tab/>
      </w:r>
      <w:r w:rsidRPr="001434F5">
        <w:t xml:space="preserve">strengthened </w:t>
      </w:r>
      <w:r w:rsidR="001434F5" w:rsidRPr="001434F5">
        <w:t>governance, enterprise architecture, and portfolio discipline; and</w:t>
      </w:r>
    </w:p>
    <w:p w14:paraId="61793013" w14:textId="4B5D8301" w:rsidR="001434F5" w:rsidRPr="001434F5" w:rsidRDefault="005C40A4" w:rsidP="005C40A4">
      <w:pPr>
        <w:pStyle w:val="enumlev1"/>
        <w:jc w:val="both"/>
      </w:pPr>
      <w:r>
        <w:t>–</w:t>
      </w:r>
      <w:r>
        <w:tab/>
      </w:r>
      <w:r w:rsidRPr="001434F5">
        <w:t xml:space="preserve">decommissioning </w:t>
      </w:r>
      <w:r w:rsidR="001434F5" w:rsidRPr="001434F5">
        <w:t>of legacy platforms and reduction of duplication.</w:t>
      </w:r>
    </w:p>
    <w:p w14:paraId="01362239" w14:textId="5D778BE3" w:rsidR="001434F5" w:rsidRPr="001434F5" w:rsidRDefault="001434F5" w:rsidP="007F0BD2">
      <w:pPr>
        <w:spacing w:after="120"/>
        <w:jc w:val="both"/>
        <w:rPr>
          <w:rFonts w:cs="Calibri"/>
          <w:szCs w:val="24"/>
        </w:rPr>
      </w:pPr>
      <w:r w:rsidRPr="001434F5">
        <w:rPr>
          <w:rFonts w:cs="Calibri"/>
          <w:szCs w:val="24"/>
        </w:rPr>
        <w:lastRenderedPageBreak/>
        <w:t>By using part of the 2025 surplus to support this work, ITU can accelerate transformation while containing medium- and long-term costs, strengthening internal controls, and reducing operational risk —without creating permanent structural pressure on the baseline budget.</w:t>
      </w:r>
    </w:p>
    <w:p w14:paraId="14CB859B" w14:textId="5A20508D" w:rsidR="001434F5" w:rsidRPr="001434F5" w:rsidRDefault="668FC65C" w:rsidP="005C40A4">
      <w:pPr>
        <w:pStyle w:val="Heading1"/>
      </w:pPr>
      <w:r>
        <w:t>5</w:t>
      </w:r>
      <w:r w:rsidR="007936FD">
        <w:tab/>
      </w:r>
      <w:r w:rsidR="001434F5">
        <w:t>Business</w:t>
      </w:r>
      <w:r w:rsidR="001434F5" w:rsidRPr="001434F5">
        <w:t xml:space="preserve"> </w:t>
      </w:r>
      <w:r w:rsidR="005C40A4" w:rsidRPr="001434F5">
        <w:t xml:space="preserve">continuity measures </w:t>
      </w:r>
    </w:p>
    <w:p w14:paraId="5ED134D2" w14:textId="5533BCDF" w:rsidR="001434F5" w:rsidRPr="001434F5" w:rsidRDefault="001434F5" w:rsidP="005C40A4">
      <w:pPr>
        <w:jc w:val="both"/>
      </w:pPr>
      <w:r w:rsidRPr="001434F5">
        <w:t xml:space="preserve">In line with the Headquarters Construction Stage Business Continuity Plan, a dedicated allocation of </w:t>
      </w:r>
      <w:r w:rsidRPr="001434F5">
        <w:rPr>
          <w:b/>
        </w:rPr>
        <w:t>CHF</w:t>
      </w:r>
      <w:r w:rsidRPr="001434F5">
        <w:rPr>
          <w:b/>
          <w:bCs/>
        </w:rPr>
        <w:t> </w:t>
      </w:r>
      <w:r w:rsidRPr="001434F5">
        <w:rPr>
          <w:b/>
        </w:rPr>
        <w:t>1.</w:t>
      </w:r>
      <w:r w:rsidRPr="001434F5">
        <w:rPr>
          <w:b/>
          <w:bCs/>
        </w:rPr>
        <w:t>50 </w:t>
      </w:r>
      <w:r w:rsidRPr="001434F5">
        <w:rPr>
          <w:b/>
        </w:rPr>
        <w:t>million</w:t>
      </w:r>
      <w:r w:rsidRPr="001434F5">
        <w:t xml:space="preserve"> is proposed to ensure continuity of ITU operations during the construction phase. </w:t>
      </w:r>
    </w:p>
    <w:p w14:paraId="1AE43365" w14:textId="77777777" w:rsidR="001434F5" w:rsidRPr="001434F5" w:rsidRDefault="001434F5" w:rsidP="005C40A4">
      <w:pPr>
        <w:jc w:val="both"/>
        <w:rPr>
          <w:szCs w:val="24"/>
        </w:rPr>
      </w:pPr>
      <w:r w:rsidRPr="001434F5">
        <w:rPr>
          <w:szCs w:val="24"/>
        </w:rPr>
        <w:t xml:space="preserve">The objective, as set out in the Business Continuity Plan, is to ensure the continuation of ITU core activities and related support services within the Geneva Headquarters site during construction activities. </w:t>
      </w:r>
    </w:p>
    <w:p w14:paraId="3F94766B" w14:textId="77777777" w:rsidR="001434F5" w:rsidRPr="001A0CDD" w:rsidRDefault="001434F5" w:rsidP="005C40A4">
      <w:pPr>
        <w:jc w:val="both"/>
        <w:rPr>
          <w:spacing w:val="-2"/>
        </w:rPr>
      </w:pPr>
      <w:r w:rsidRPr="001A0CDD">
        <w:rPr>
          <w:spacing w:val="-2"/>
        </w:rPr>
        <w:t>This allocation relates specifically to transitional and operational continuity measures, including:</w:t>
      </w:r>
    </w:p>
    <w:p w14:paraId="3D8FC0B6" w14:textId="4D9E1242" w:rsidR="001434F5" w:rsidRPr="001434F5" w:rsidRDefault="005C40A4" w:rsidP="005C40A4">
      <w:pPr>
        <w:pStyle w:val="enumlev1"/>
        <w:jc w:val="both"/>
      </w:pPr>
      <w:r>
        <w:t>–</w:t>
      </w:r>
      <w:r>
        <w:tab/>
      </w:r>
      <w:r w:rsidRPr="001434F5">
        <w:t xml:space="preserve">relocation </w:t>
      </w:r>
      <w:r w:rsidR="001434F5" w:rsidRPr="001434F5">
        <w:t xml:space="preserve">and reconfiguration of workspace across Tower and Montbrillant buildings in accordance with the desk-sharing and space optimisation model; </w:t>
      </w:r>
    </w:p>
    <w:p w14:paraId="4EE0D7CA" w14:textId="3A7BFC1D" w:rsidR="001434F5" w:rsidRPr="001434F5" w:rsidRDefault="005C40A4" w:rsidP="005C40A4">
      <w:pPr>
        <w:pStyle w:val="enumlev1"/>
        <w:jc w:val="both"/>
      </w:pPr>
      <w:r>
        <w:t>–</w:t>
      </w:r>
      <w:r>
        <w:tab/>
      </w:r>
      <w:r w:rsidRPr="001434F5">
        <w:t xml:space="preserve">adaptation </w:t>
      </w:r>
      <w:r w:rsidR="001434F5" w:rsidRPr="001434F5">
        <w:t xml:space="preserve">of support services to maintain essential building operations, health and wellbeing, security and conferencing capacity; </w:t>
      </w:r>
    </w:p>
    <w:p w14:paraId="22C339C6" w14:textId="046ED669" w:rsidR="001434F5" w:rsidRPr="001434F5" w:rsidRDefault="005C40A4" w:rsidP="005C40A4">
      <w:pPr>
        <w:pStyle w:val="enumlev1"/>
        <w:jc w:val="both"/>
      </w:pPr>
      <w:r>
        <w:t>–</w:t>
      </w:r>
      <w:r>
        <w:tab/>
      </w:r>
      <w:r w:rsidRPr="001434F5">
        <w:t xml:space="preserve">maintenance </w:t>
      </w:r>
      <w:r w:rsidR="001434F5" w:rsidRPr="001434F5">
        <w:t>of core statutory and operational activities, including conferences, hybrid meetings and key institutional functions; and</w:t>
      </w:r>
    </w:p>
    <w:p w14:paraId="368C2F28" w14:textId="7FEA1BF3" w:rsidR="001434F5" w:rsidRPr="001434F5" w:rsidRDefault="005C40A4" w:rsidP="005C40A4">
      <w:pPr>
        <w:pStyle w:val="enumlev1"/>
        <w:jc w:val="both"/>
      </w:pPr>
      <w:r>
        <w:t>–</w:t>
      </w:r>
      <w:r>
        <w:tab/>
      </w:r>
      <w:r w:rsidRPr="001434F5">
        <w:t xml:space="preserve">temporary </w:t>
      </w:r>
      <w:r w:rsidR="001434F5" w:rsidRPr="001434F5">
        <w:t xml:space="preserve">operational adjustments required to manage disturbance, storage constraints and reduced on-site capacity. </w:t>
      </w:r>
    </w:p>
    <w:p w14:paraId="3AF9DD49" w14:textId="6707F5E5" w:rsidR="001434F5" w:rsidRPr="001434F5" w:rsidRDefault="001434F5" w:rsidP="007F0BD2">
      <w:pPr>
        <w:spacing w:after="120"/>
        <w:jc w:val="both"/>
        <w:rPr>
          <w:rFonts w:cs="Calibri"/>
        </w:rPr>
      </w:pPr>
      <w:r w:rsidRPr="001434F5">
        <w:rPr>
          <w:rFonts w:cs="Calibri"/>
        </w:rPr>
        <w:t>Additional, longer-term construction stage requirements will be addressed within the Financial Plan 2028</w:t>
      </w:r>
      <w:r w:rsidR="005C40A4">
        <w:rPr>
          <w:rFonts w:cs="Calibri"/>
        </w:rPr>
        <w:t>-</w:t>
      </w:r>
      <w:r w:rsidRPr="001434F5">
        <w:rPr>
          <w:rFonts w:cs="Calibri"/>
        </w:rPr>
        <w:t>2031 framework.</w:t>
      </w:r>
    </w:p>
    <w:p w14:paraId="1EAB0580" w14:textId="24BF0824" w:rsidR="001434F5" w:rsidRPr="001434F5" w:rsidRDefault="0BD287F3" w:rsidP="005C40A4">
      <w:pPr>
        <w:pStyle w:val="Heading1"/>
      </w:pPr>
      <w:r>
        <w:t>6</w:t>
      </w:r>
      <w:r w:rsidR="007936FD">
        <w:tab/>
      </w:r>
      <w:r w:rsidR="001434F5">
        <w:t>Regional</w:t>
      </w:r>
      <w:r w:rsidR="001434F5" w:rsidRPr="001434F5">
        <w:t xml:space="preserve"> </w:t>
      </w:r>
      <w:r w:rsidR="005C40A4" w:rsidRPr="001434F5">
        <w:t>initiatives</w:t>
      </w:r>
    </w:p>
    <w:p w14:paraId="21FEBA05" w14:textId="6B9AD6B6" w:rsidR="001434F5" w:rsidRPr="001A0CDD" w:rsidRDefault="001434F5" w:rsidP="005C40A4">
      <w:pPr>
        <w:jc w:val="both"/>
        <w:rPr>
          <w:spacing w:val="-3"/>
        </w:rPr>
      </w:pPr>
      <w:r w:rsidRPr="001A0CDD">
        <w:rPr>
          <w:spacing w:val="-3"/>
        </w:rPr>
        <w:t>In line with established practice following World Telecommunication Development Conferences</w:t>
      </w:r>
      <w:r w:rsidR="00872DBB">
        <w:rPr>
          <w:spacing w:val="-3"/>
        </w:rPr>
        <w:t xml:space="preserve"> (WTDC)</w:t>
      </w:r>
      <w:r w:rsidRPr="001A0CDD">
        <w:rPr>
          <w:spacing w:val="-3"/>
        </w:rPr>
        <w:t xml:space="preserve">, a targeted allocation of </w:t>
      </w:r>
      <w:r w:rsidRPr="00872DBB">
        <w:rPr>
          <w:b/>
          <w:bCs/>
          <w:spacing w:val="-3"/>
        </w:rPr>
        <w:t>CHF</w:t>
      </w:r>
      <w:r w:rsidR="000912C0" w:rsidRPr="001A0CDD">
        <w:rPr>
          <w:spacing w:val="-3"/>
        </w:rPr>
        <w:t> </w:t>
      </w:r>
      <w:r w:rsidRPr="001A0CDD">
        <w:rPr>
          <w:b/>
          <w:bCs/>
          <w:spacing w:val="-3"/>
        </w:rPr>
        <w:t>1.3</w:t>
      </w:r>
      <w:r w:rsidR="000912C0" w:rsidRPr="001A0CDD">
        <w:rPr>
          <w:b/>
          <w:spacing w:val="-3"/>
        </w:rPr>
        <w:t> </w:t>
      </w:r>
      <w:r w:rsidRPr="001A0CDD">
        <w:rPr>
          <w:b/>
          <w:spacing w:val="-3"/>
        </w:rPr>
        <w:t xml:space="preserve">million </w:t>
      </w:r>
      <w:r w:rsidRPr="001A0CDD">
        <w:rPr>
          <w:spacing w:val="-3"/>
        </w:rPr>
        <w:t xml:space="preserve">is proposed to be allocated to support the Telecommunication Development Bureau (BDT) in the timely implementation of regional initiatives adopted at WTDC-25. Of this amount, </w:t>
      </w:r>
      <w:r w:rsidRPr="001A0CDD">
        <w:rPr>
          <w:b/>
          <w:spacing w:val="-3"/>
        </w:rPr>
        <w:t>CHF</w:t>
      </w:r>
      <w:r w:rsidR="000912C0" w:rsidRPr="001A0CDD">
        <w:rPr>
          <w:b/>
          <w:spacing w:val="-3"/>
        </w:rPr>
        <w:t> </w:t>
      </w:r>
      <w:r w:rsidRPr="001A0CDD">
        <w:rPr>
          <w:b/>
          <w:spacing w:val="-3"/>
        </w:rPr>
        <w:t>500</w:t>
      </w:r>
      <w:r w:rsidR="000912C0" w:rsidRPr="001A0CDD">
        <w:rPr>
          <w:b/>
          <w:spacing w:val="-3"/>
        </w:rPr>
        <w:t> </w:t>
      </w:r>
      <w:r w:rsidRPr="001A0CDD">
        <w:rPr>
          <w:b/>
          <w:spacing w:val="-3"/>
        </w:rPr>
        <w:t>000</w:t>
      </w:r>
      <w:r w:rsidRPr="001A0CDD">
        <w:rPr>
          <w:spacing w:val="-3"/>
        </w:rPr>
        <w:t xml:space="preserve"> will be allocated directly to support Bureau efforts, while </w:t>
      </w:r>
      <w:r w:rsidRPr="001A0CDD">
        <w:rPr>
          <w:b/>
          <w:spacing w:val="-3"/>
        </w:rPr>
        <w:t>CHF</w:t>
      </w:r>
      <w:r w:rsidR="000912C0" w:rsidRPr="001A0CDD">
        <w:rPr>
          <w:b/>
          <w:spacing w:val="-3"/>
        </w:rPr>
        <w:t> </w:t>
      </w:r>
      <w:r w:rsidRPr="001A0CDD">
        <w:rPr>
          <w:b/>
          <w:spacing w:val="-3"/>
        </w:rPr>
        <w:t>800</w:t>
      </w:r>
      <w:r w:rsidR="000912C0" w:rsidRPr="001A0CDD">
        <w:rPr>
          <w:b/>
          <w:spacing w:val="-3"/>
        </w:rPr>
        <w:t> </w:t>
      </w:r>
      <w:r w:rsidRPr="001A0CDD">
        <w:rPr>
          <w:b/>
          <w:spacing w:val="-3"/>
        </w:rPr>
        <w:t>000</w:t>
      </w:r>
      <w:r w:rsidRPr="001A0CDD">
        <w:rPr>
          <w:spacing w:val="-3"/>
        </w:rPr>
        <w:t xml:space="preserve"> will be allocated to the ICT Development Fund to support ITU projects undertaken in partnership with donors. BDT has confirmed that other implementation requirements of WTDC-25 will be addressed within the current financial allocations.</w:t>
      </w:r>
    </w:p>
    <w:p w14:paraId="44332656" w14:textId="0A69963E" w:rsidR="001434F5" w:rsidRPr="001434F5" w:rsidRDefault="00872DBB" w:rsidP="005C40A4">
      <w:pPr>
        <w:jc w:val="both"/>
        <w:rPr>
          <w:szCs w:val="24"/>
        </w:rPr>
      </w:pPr>
      <w:r w:rsidRPr="001A0CDD">
        <w:rPr>
          <w:spacing w:val="-3"/>
        </w:rPr>
        <w:t>World Telecommunication Development Conference</w:t>
      </w:r>
      <w:r>
        <w:rPr>
          <w:spacing w:val="-3"/>
        </w:rPr>
        <w:t xml:space="preserve"> 20</w:t>
      </w:r>
      <w:r w:rsidR="001434F5" w:rsidRPr="001434F5">
        <w:rPr>
          <w:szCs w:val="24"/>
        </w:rPr>
        <w:t xml:space="preserve">25 </w:t>
      </w:r>
      <w:r>
        <w:rPr>
          <w:szCs w:val="24"/>
        </w:rPr>
        <w:t>(</w:t>
      </w:r>
      <w:r w:rsidRPr="001434F5">
        <w:t>WTDC-25</w:t>
      </w:r>
      <w:r>
        <w:rPr>
          <w:szCs w:val="24"/>
        </w:rPr>
        <w:t xml:space="preserve">) </w:t>
      </w:r>
      <w:r w:rsidR="001434F5" w:rsidRPr="001434F5">
        <w:rPr>
          <w:szCs w:val="24"/>
        </w:rPr>
        <w:t xml:space="preserve">reaffirmed the central role of ITU-D in advancing digital transformation, connectivity expansion, and capacity development, particularly for developing countries, least developed countries (LDCs), small island developing </w:t>
      </w:r>
      <w:r w:rsidR="00F82DB2" w:rsidRPr="001434F5">
        <w:rPr>
          <w:szCs w:val="24"/>
        </w:rPr>
        <w:t xml:space="preserve">States </w:t>
      </w:r>
      <w:r w:rsidR="001434F5" w:rsidRPr="001434F5">
        <w:rPr>
          <w:szCs w:val="24"/>
        </w:rPr>
        <w:t>(SIDS) and landlocked developing countries (LLDCs). The Conference adopted resolutions and action-oriented outcomes requiring accelerated technical assistance, enhanced programme delivery and strengthened implementation mechanisms.</w:t>
      </w:r>
    </w:p>
    <w:p w14:paraId="795286E2" w14:textId="49E3452A" w:rsidR="001434F5" w:rsidRPr="001434F5" w:rsidRDefault="001434F5" w:rsidP="005C40A4">
      <w:pPr>
        <w:jc w:val="both"/>
      </w:pPr>
      <w:r w:rsidRPr="001434F5">
        <w:t>This allocation would help directly translate Conference decisions into concrete programme delivery, ensuring that WTDC-25 outcomes are not deferred due to resource timing constraints. It represents a time-bound reinforcement of implementation capacity rather than a structural expansion of the baseline budget.</w:t>
      </w:r>
    </w:p>
    <w:p w14:paraId="6E0D7D8A" w14:textId="16B1013B" w:rsidR="001434F5" w:rsidRPr="001434F5" w:rsidRDefault="2CA590F9" w:rsidP="008D69A8">
      <w:pPr>
        <w:pStyle w:val="Heading1"/>
      </w:pPr>
      <w:r>
        <w:lastRenderedPageBreak/>
        <w:t>7</w:t>
      </w:r>
      <w:r w:rsidR="007936FD">
        <w:tab/>
      </w:r>
      <w:r w:rsidR="001434F5">
        <w:t>AI</w:t>
      </w:r>
      <w:r w:rsidR="001434F5" w:rsidRPr="001434F5">
        <w:t xml:space="preserve"> </w:t>
      </w:r>
      <w:r w:rsidR="00124F3F">
        <w:t xml:space="preserve">For Good </w:t>
      </w:r>
    </w:p>
    <w:p w14:paraId="169617A3" w14:textId="03434EA2" w:rsidR="001434F5" w:rsidRPr="001434F5" w:rsidRDefault="001434F5" w:rsidP="008D69A8">
      <w:pPr>
        <w:jc w:val="both"/>
      </w:pPr>
      <w:r w:rsidRPr="001434F5">
        <w:t xml:space="preserve">An allocation of </w:t>
      </w:r>
      <w:r w:rsidRPr="001434F5">
        <w:rPr>
          <w:b/>
        </w:rPr>
        <w:t>CHF</w:t>
      </w:r>
      <w:r w:rsidRPr="001434F5">
        <w:rPr>
          <w:b/>
          <w:bCs/>
        </w:rPr>
        <w:t> </w:t>
      </w:r>
      <w:r w:rsidRPr="001434F5">
        <w:rPr>
          <w:b/>
        </w:rPr>
        <w:t>1</w:t>
      </w:r>
      <w:r w:rsidRPr="001434F5">
        <w:rPr>
          <w:b/>
          <w:bCs/>
        </w:rPr>
        <w:t> </w:t>
      </w:r>
      <w:r w:rsidRPr="001434F5">
        <w:rPr>
          <w:b/>
        </w:rPr>
        <w:t xml:space="preserve">million </w:t>
      </w:r>
      <w:r w:rsidRPr="001434F5">
        <w:t>is proposed to support priority mandates emerging from WTSA</w:t>
      </w:r>
      <w:r w:rsidR="00F82DB2">
        <w:noBreakHyphen/>
      </w:r>
      <w:r w:rsidRPr="001434F5">
        <w:t xml:space="preserve">24 </w:t>
      </w:r>
      <w:r w:rsidR="00A36957">
        <w:t>related to AI for Good</w:t>
      </w:r>
      <w:r w:rsidRPr="001434F5">
        <w:t>.</w:t>
      </w:r>
    </w:p>
    <w:p w14:paraId="30DA01F8" w14:textId="1508C9BB" w:rsidR="001434F5" w:rsidRPr="00663FC6" w:rsidRDefault="001434F5" w:rsidP="008D69A8">
      <w:pPr>
        <w:jc w:val="both"/>
      </w:pPr>
      <w:r w:rsidRPr="001434F5">
        <w:t xml:space="preserve">Building on the </w:t>
      </w:r>
      <w:r w:rsidR="0091067D">
        <w:t>2025 Council decision to allocate from 2024 savings</w:t>
      </w:r>
      <w:r>
        <w:t xml:space="preserve"> </w:t>
      </w:r>
      <w:r w:rsidR="00F5349D">
        <w:t xml:space="preserve">resources </w:t>
      </w:r>
      <w:r w:rsidR="00FC36D3">
        <w:t>for the</w:t>
      </w:r>
      <w:r>
        <w:t xml:space="preserve"> </w:t>
      </w:r>
      <w:r w:rsidR="641AC99A">
        <w:t>WTSA</w:t>
      </w:r>
      <w:r w:rsidR="000575AB">
        <w:noBreakHyphen/>
      </w:r>
      <w:r w:rsidR="641AC99A" w:rsidRPr="00663FC6">
        <w:t xml:space="preserve">24 first year implementation and </w:t>
      </w:r>
      <w:r w:rsidRPr="00663FC6">
        <w:t>AI, this allocation would</w:t>
      </w:r>
      <w:r w:rsidR="37A5BC25" w:rsidRPr="00663FC6">
        <w:t>,</w:t>
      </w:r>
      <w:r w:rsidR="03EEB204" w:rsidRPr="00663FC6">
        <w:t xml:space="preserve"> in accordance with WTSA-24 Resolution 101</w:t>
      </w:r>
      <w:r w:rsidR="148D320F" w:rsidRPr="00663FC6">
        <w:t>,</w:t>
      </w:r>
      <w:r w:rsidR="003C3014" w:rsidRPr="00663FC6">
        <w:t xml:space="preserve"> be directed to </w:t>
      </w:r>
      <w:r w:rsidR="00AF7FB6" w:rsidRPr="00663FC6">
        <w:t xml:space="preserve">18 </w:t>
      </w:r>
      <w:r w:rsidR="003C3014" w:rsidRPr="00663FC6">
        <w:t>consultants</w:t>
      </w:r>
      <w:r w:rsidR="00C002E5" w:rsidRPr="00663FC6">
        <w:t xml:space="preserve"> (SSA)</w:t>
      </w:r>
      <w:r w:rsidR="00AF7FB6" w:rsidRPr="00663FC6">
        <w:t xml:space="preserve"> and</w:t>
      </w:r>
      <w:r w:rsidR="003C3014" w:rsidRPr="00663FC6">
        <w:t xml:space="preserve"> short-term </w:t>
      </w:r>
      <w:r w:rsidR="006D4884" w:rsidRPr="00663FC6">
        <w:t>project</w:t>
      </w:r>
      <w:r w:rsidR="003C3014" w:rsidRPr="00663FC6">
        <w:t xml:space="preserve"> staff</w:t>
      </w:r>
      <w:r w:rsidR="1E278281" w:rsidRPr="00663FC6">
        <w:t xml:space="preserve"> </w:t>
      </w:r>
      <w:r w:rsidR="00AF7FB6" w:rsidRPr="00663FC6">
        <w:t xml:space="preserve">in 2026-2027 </w:t>
      </w:r>
      <w:r w:rsidR="1E278281" w:rsidRPr="00663FC6">
        <w:t>to</w:t>
      </w:r>
      <w:r w:rsidR="278991B4" w:rsidRPr="00663FC6">
        <w:t>:</w:t>
      </w:r>
    </w:p>
    <w:p w14:paraId="5FE0744C" w14:textId="39A96132" w:rsidR="00280B19" w:rsidRDefault="000575AB" w:rsidP="000575AB">
      <w:pPr>
        <w:pStyle w:val="enumlev1"/>
        <w:jc w:val="both"/>
      </w:pPr>
      <w:r>
        <w:t>1</w:t>
      </w:r>
      <w:r>
        <w:tab/>
      </w:r>
      <w:r w:rsidR="001434F5" w:rsidRPr="00663FC6">
        <w:t>further</w:t>
      </w:r>
      <w:r w:rsidR="001434F5" w:rsidRPr="001434F5">
        <w:t xml:space="preserve"> reinforce</w:t>
      </w:r>
      <w:r w:rsidR="001434F5" w:rsidDel="001434F5">
        <w:t xml:space="preserve"> </w:t>
      </w:r>
      <w:r w:rsidR="001434F5">
        <w:t>ITU’s</w:t>
      </w:r>
      <w:r w:rsidR="001434F5" w:rsidRPr="001434F5">
        <w:t xml:space="preserve"> </w:t>
      </w:r>
      <w:r w:rsidR="001434F5" w:rsidRPr="00663FC6">
        <w:rPr>
          <w:b/>
        </w:rPr>
        <w:t>AI for Good</w:t>
      </w:r>
      <w:r w:rsidR="001434F5" w:rsidRPr="001434F5">
        <w:t xml:space="preserve"> platform</w:t>
      </w:r>
      <w:r w:rsidR="04AC377F">
        <w:t xml:space="preserve"> </w:t>
      </w:r>
      <w:r w:rsidR="00280B19">
        <w:t>(</w:t>
      </w:r>
      <w:r w:rsidR="000302D4">
        <w:t>Communication</w:t>
      </w:r>
      <w:r w:rsidR="00A51165">
        <w:t xml:space="preserve"> </w:t>
      </w:r>
      <w:r w:rsidR="00750825">
        <w:t>and media</w:t>
      </w:r>
      <w:r w:rsidR="00B10884">
        <w:t>,</w:t>
      </w:r>
      <w:r w:rsidR="00B77088">
        <w:t xml:space="preserve"> </w:t>
      </w:r>
      <w:r w:rsidR="00F418F8">
        <w:t>f</w:t>
      </w:r>
      <w:r w:rsidR="00280B19">
        <w:t xml:space="preserve">und raising to </w:t>
      </w:r>
      <w:r w:rsidR="007236BF">
        <w:t>signup</w:t>
      </w:r>
      <w:r w:rsidR="00280B19">
        <w:t xml:space="preserve"> sponsors, recruit </w:t>
      </w:r>
      <w:r w:rsidR="00C52B71">
        <w:t xml:space="preserve">new </w:t>
      </w:r>
      <w:r w:rsidR="00280B19">
        <w:t>members</w:t>
      </w:r>
      <w:r w:rsidR="00B16D50">
        <w:t xml:space="preserve"> and partners</w:t>
      </w:r>
      <w:r w:rsidR="00280B19">
        <w:t xml:space="preserve">, </w:t>
      </w:r>
      <w:r w:rsidR="00023773">
        <w:t xml:space="preserve">software and support to </w:t>
      </w:r>
      <w:r w:rsidR="007701B9">
        <w:t>maintain the online</w:t>
      </w:r>
      <w:r w:rsidR="00280B19">
        <w:t xml:space="preserve"> </w:t>
      </w:r>
      <w:r w:rsidR="00757923">
        <w:t xml:space="preserve">Neural Network, </w:t>
      </w:r>
      <w:r w:rsidR="00AA713E">
        <w:t xml:space="preserve">and </w:t>
      </w:r>
      <w:r w:rsidR="00280B19">
        <w:t>administrative support</w:t>
      </w:r>
      <w:r w:rsidR="00A51C43">
        <w:t>)</w:t>
      </w:r>
      <w:r>
        <w:t>;</w:t>
      </w:r>
    </w:p>
    <w:p w14:paraId="5B91F47D" w14:textId="289F5316" w:rsidR="001434F5" w:rsidRPr="001434F5" w:rsidRDefault="000575AB" w:rsidP="000575AB">
      <w:pPr>
        <w:pStyle w:val="enumlev1"/>
        <w:jc w:val="both"/>
      </w:pPr>
      <w:r>
        <w:t>2</w:t>
      </w:r>
      <w:r>
        <w:tab/>
      </w:r>
      <w:r w:rsidR="00235E69">
        <w:t>c</w:t>
      </w:r>
      <w:r w:rsidR="00813A0E">
        <w:t>oll</w:t>
      </w:r>
      <w:r w:rsidR="00444C75">
        <w:t xml:space="preserve">aborate with </w:t>
      </w:r>
      <w:r w:rsidR="00B21859">
        <w:t>IE</w:t>
      </w:r>
      <w:r w:rsidR="00235E69">
        <w:t xml:space="preserve">C, </w:t>
      </w:r>
      <w:r w:rsidR="00B21859">
        <w:t xml:space="preserve">ISO, and other </w:t>
      </w:r>
      <w:r w:rsidR="00235E69" w:rsidRPr="004E69A2">
        <w:t>standards</w:t>
      </w:r>
      <w:r w:rsidR="00235E69">
        <w:t xml:space="preserve"> development </w:t>
      </w:r>
      <w:r w:rsidR="00BD795F">
        <w:t>organizations</w:t>
      </w:r>
      <w:r w:rsidR="00235E69">
        <w:t xml:space="preserve"> </w:t>
      </w:r>
      <w:r w:rsidR="00BD795F">
        <w:t>(</w:t>
      </w:r>
      <w:r w:rsidR="00E0762B">
        <w:t>s</w:t>
      </w:r>
      <w:r w:rsidR="0056634D">
        <w:t xml:space="preserve">upport </w:t>
      </w:r>
      <w:r w:rsidR="00BB5441">
        <w:t>the</w:t>
      </w:r>
      <w:r w:rsidR="04AC377F">
        <w:t xml:space="preserve"> </w:t>
      </w:r>
      <w:r w:rsidR="330431C0">
        <w:t xml:space="preserve">AI </w:t>
      </w:r>
      <w:r w:rsidR="04AC377F" w:rsidRPr="00663FC6">
        <w:rPr>
          <w:b/>
          <w:bCs/>
        </w:rPr>
        <w:t>standards</w:t>
      </w:r>
      <w:r w:rsidR="04AC377F">
        <w:t xml:space="preserve"> </w:t>
      </w:r>
      <w:r w:rsidR="00BB5441">
        <w:t>track at AI4G,</w:t>
      </w:r>
      <w:r w:rsidR="04AC377F">
        <w:t xml:space="preserve"> </w:t>
      </w:r>
      <w:r w:rsidR="00C22B82">
        <w:t xml:space="preserve">and </w:t>
      </w:r>
      <w:r w:rsidR="00AC3783">
        <w:t>s</w:t>
      </w:r>
      <w:r w:rsidR="00BD1230">
        <w:t xml:space="preserve">tandards </w:t>
      </w:r>
      <w:r w:rsidR="00AC3783">
        <w:t>e</w:t>
      </w:r>
      <w:r w:rsidR="00BD1230">
        <w:t xml:space="preserve">xchange </w:t>
      </w:r>
      <w:r w:rsidR="00AC3783">
        <w:t>d</w:t>
      </w:r>
      <w:r w:rsidR="00BD1230">
        <w:t>atabase</w:t>
      </w:r>
      <w:r w:rsidR="003079BF">
        <w:t xml:space="preserve"> maintenance</w:t>
      </w:r>
      <w:r w:rsidR="00981E2C">
        <w:t>)</w:t>
      </w:r>
      <w:r>
        <w:t>;</w:t>
      </w:r>
    </w:p>
    <w:p w14:paraId="441209FC" w14:textId="2F06F9C9" w:rsidR="001434F5" w:rsidRPr="00663FC6" w:rsidRDefault="000575AB" w:rsidP="000575AB">
      <w:pPr>
        <w:pStyle w:val="enumlev1"/>
        <w:jc w:val="both"/>
        <w:rPr>
          <w:rFonts w:ascii="Aptos" w:eastAsia="Aptos" w:hAnsi="Aptos" w:cs="Aptos"/>
          <w:b/>
          <w:sz w:val="22"/>
          <w:szCs w:val="22"/>
        </w:rPr>
      </w:pPr>
      <w:r>
        <w:rPr>
          <w:rFonts w:ascii="Aptos" w:eastAsia="Aptos" w:hAnsi="Aptos" w:cs="Aptos"/>
          <w:sz w:val="22"/>
          <w:szCs w:val="22"/>
        </w:rPr>
        <w:t>3</w:t>
      </w:r>
      <w:r>
        <w:rPr>
          <w:rFonts w:ascii="Aptos" w:eastAsia="Aptos" w:hAnsi="Aptos" w:cs="Aptos"/>
          <w:sz w:val="22"/>
          <w:szCs w:val="22"/>
        </w:rPr>
        <w:tab/>
      </w:r>
      <w:r w:rsidR="67C9D0BF" w:rsidRPr="00663FC6">
        <w:rPr>
          <w:rFonts w:ascii="Aptos" w:eastAsia="Aptos" w:hAnsi="Aptos" w:cs="Aptos"/>
          <w:sz w:val="22"/>
          <w:szCs w:val="22"/>
        </w:rPr>
        <w:t xml:space="preserve">to provide technical guidance, in particular to developing countries, on </w:t>
      </w:r>
      <w:r w:rsidR="00D2502F">
        <w:rPr>
          <w:rFonts w:ascii="Aptos" w:eastAsia="Aptos" w:hAnsi="Aptos" w:cs="Aptos"/>
          <w:sz w:val="22"/>
          <w:szCs w:val="22"/>
        </w:rPr>
        <w:t xml:space="preserve">development and </w:t>
      </w:r>
      <w:r w:rsidR="67C9D0BF" w:rsidRPr="00663FC6">
        <w:rPr>
          <w:rFonts w:ascii="Aptos" w:eastAsia="Aptos" w:hAnsi="Aptos" w:cs="Aptos"/>
          <w:sz w:val="22"/>
          <w:szCs w:val="22"/>
        </w:rPr>
        <w:t>implement</w:t>
      </w:r>
      <w:r w:rsidR="000462EF">
        <w:rPr>
          <w:rFonts w:ascii="Aptos" w:eastAsia="Aptos" w:hAnsi="Aptos" w:cs="Aptos"/>
          <w:sz w:val="22"/>
          <w:szCs w:val="22"/>
        </w:rPr>
        <w:t>ation</w:t>
      </w:r>
      <w:r w:rsidR="67C9D0BF" w:rsidRPr="00663FC6">
        <w:rPr>
          <w:rFonts w:ascii="Aptos" w:eastAsia="Aptos" w:hAnsi="Aptos" w:cs="Aptos"/>
          <w:sz w:val="22"/>
          <w:szCs w:val="22"/>
        </w:rPr>
        <w:t xml:space="preserve"> </w:t>
      </w:r>
      <w:r w:rsidR="00D2502F">
        <w:rPr>
          <w:rFonts w:ascii="Aptos" w:eastAsia="Aptos" w:hAnsi="Aptos" w:cs="Aptos"/>
          <w:sz w:val="22"/>
          <w:szCs w:val="22"/>
        </w:rPr>
        <w:t xml:space="preserve">of </w:t>
      </w:r>
      <w:r w:rsidR="67C9D0BF" w:rsidRPr="00663FC6">
        <w:rPr>
          <w:rFonts w:ascii="Aptos" w:eastAsia="Aptos" w:hAnsi="Aptos" w:cs="Aptos"/>
          <w:sz w:val="22"/>
          <w:szCs w:val="22"/>
        </w:rPr>
        <w:t>international standards on AI</w:t>
      </w:r>
      <w:r w:rsidR="67C9D0BF" w:rsidRPr="37D619FB">
        <w:rPr>
          <w:rFonts w:ascii="Aptos" w:eastAsia="Aptos" w:hAnsi="Aptos" w:cs="Aptos"/>
          <w:b/>
          <w:bCs/>
          <w:sz w:val="22"/>
          <w:szCs w:val="22"/>
        </w:rPr>
        <w:t xml:space="preserve"> </w:t>
      </w:r>
      <w:r w:rsidR="003A0345" w:rsidRPr="00663FC6">
        <w:rPr>
          <w:rFonts w:ascii="Aptos" w:eastAsia="Aptos" w:hAnsi="Aptos" w:cs="Aptos"/>
          <w:sz w:val="22"/>
          <w:szCs w:val="22"/>
        </w:rPr>
        <w:t>(</w:t>
      </w:r>
      <w:r w:rsidR="00356A98" w:rsidRPr="00663FC6">
        <w:rPr>
          <w:rFonts w:ascii="Aptos" w:eastAsia="Aptos" w:hAnsi="Aptos" w:cs="Aptos"/>
          <w:sz w:val="22"/>
          <w:szCs w:val="22"/>
        </w:rPr>
        <w:t xml:space="preserve">Machine Learning Challenges, </w:t>
      </w:r>
      <w:r w:rsidR="00B75CA2" w:rsidRPr="00663FC6">
        <w:rPr>
          <w:rFonts w:ascii="Aptos" w:eastAsia="Aptos" w:hAnsi="Aptos" w:cs="Aptos"/>
          <w:sz w:val="22"/>
          <w:szCs w:val="22"/>
        </w:rPr>
        <w:t xml:space="preserve">AI </w:t>
      </w:r>
      <w:r w:rsidR="00B75CA2" w:rsidRPr="006F1188">
        <w:rPr>
          <w:rFonts w:ascii="Aptos" w:eastAsia="Aptos" w:hAnsi="Aptos" w:cs="Aptos"/>
          <w:b/>
          <w:sz w:val="22"/>
          <w:szCs w:val="22"/>
        </w:rPr>
        <w:t>Skills</w:t>
      </w:r>
      <w:r w:rsidR="00B75CA2" w:rsidRPr="00663FC6">
        <w:rPr>
          <w:rFonts w:ascii="Aptos" w:eastAsia="Aptos" w:hAnsi="Aptos" w:cs="Aptos"/>
          <w:sz w:val="22"/>
          <w:szCs w:val="22"/>
        </w:rPr>
        <w:t xml:space="preserve"> Coalition,</w:t>
      </w:r>
      <w:r w:rsidR="00B75CA2">
        <w:rPr>
          <w:rFonts w:ascii="Aptos" w:eastAsia="Aptos" w:hAnsi="Aptos" w:cs="Aptos"/>
          <w:sz w:val="22"/>
          <w:szCs w:val="22"/>
        </w:rPr>
        <w:t xml:space="preserve"> </w:t>
      </w:r>
      <w:r w:rsidR="00A128DB">
        <w:rPr>
          <w:rFonts w:ascii="Aptos" w:eastAsia="Aptos" w:hAnsi="Aptos" w:cs="Aptos"/>
          <w:sz w:val="22"/>
          <w:szCs w:val="22"/>
        </w:rPr>
        <w:t>and</w:t>
      </w:r>
      <w:r w:rsidR="00356A98" w:rsidRPr="00663FC6">
        <w:rPr>
          <w:rFonts w:ascii="Aptos" w:eastAsia="Aptos" w:hAnsi="Aptos" w:cs="Aptos"/>
          <w:sz w:val="22"/>
          <w:szCs w:val="22"/>
        </w:rPr>
        <w:t xml:space="preserve"> </w:t>
      </w:r>
      <w:r w:rsidR="00B75CA2" w:rsidRPr="00663FC6">
        <w:rPr>
          <w:rFonts w:ascii="Aptos" w:eastAsia="Aptos" w:hAnsi="Aptos" w:cs="Aptos"/>
          <w:sz w:val="22"/>
          <w:szCs w:val="22"/>
        </w:rPr>
        <w:t>AI Startup pitching completions</w:t>
      </w:r>
      <w:r w:rsidR="008641CA">
        <w:rPr>
          <w:rFonts w:ascii="Aptos" w:eastAsia="Aptos" w:hAnsi="Aptos" w:cs="Aptos"/>
          <w:sz w:val="22"/>
          <w:szCs w:val="22"/>
        </w:rPr>
        <w:t>)</w:t>
      </w:r>
      <w:r>
        <w:rPr>
          <w:rFonts w:ascii="Aptos" w:eastAsia="Aptos" w:hAnsi="Aptos" w:cs="Aptos"/>
          <w:sz w:val="22"/>
          <w:szCs w:val="22"/>
        </w:rPr>
        <w:t>.</w:t>
      </w:r>
    </w:p>
    <w:p w14:paraId="48B08AFB" w14:textId="1C202FD7" w:rsidR="001434F5" w:rsidRPr="001434F5" w:rsidRDefault="2C22D4D6" w:rsidP="008D69A8">
      <w:pPr>
        <w:pStyle w:val="Heading1"/>
      </w:pPr>
      <w:r>
        <w:t>8</w:t>
      </w:r>
      <w:r w:rsidR="007936FD">
        <w:tab/>
      </w:r>
      <w:r w:rsidR="001434F5">
        <w:t>Transfer</w:t>
      </w:r>
      <w:r w:rsidR="001434F5" w:rsidRPr="001434F5">
        <w:t xml:space="preserve"> to the ITU reserve account</w:t>
      </w:r>
    </w:p>
    <w:p w14:paraId="37D0A397" w14:textId="1DEE537C" w:rsidR="001434F5" w:rsidRPr="001A0CDD" w:rsidRDefault="001434F5" w:rsidP="008D69A8">
      <w:pPr>
        <w:jc w:val="both"/>
        <w:rPr>
          <w:spacing w:val="-2"/>
        </w:rPr>
      </w:pPr>
      <w:r w:rsidRPr="001A0CDD">
        <w:rPr>
          <w:spacing w:val="-2"/>
        </w:rPr>
        <w:t xml:space="preserve">The </w:t>
      </w:r>
      <w:r w:rsidR="000912C0" w:rsidRPr="001A0CDD">
        <w:rPr>
          <w:spacing w:val="-2"/>
        </w:rPr>
        <w:t>s</w:t>
      </w:r>
      <w:r w:rsidRPr="001A0CDD">
        <w:rPr>
          <w:spacing w:val="-2"/>
        </w:rPr>
        <w:t xml:space="preserve">ecretariat proposes that the remaining surplus of </w:t>
      </w:r>
      <w:r w:rsidRPr="001A0CDD">
        <w:rPr>
          <w:b/>
          <w:spacing w:val="-2"/>
        </w:rPr>
        <w:t>CHF 0.</w:t>
      </w:r>
      <w:r w:rsidR="00EE2AE5">
        <w:rPr>
          <w:b/>
          <w:spacing w:val="-2"/>
        </w:rPr>
        <w:t>2</w:t>
      </w:r>
      <w:r w:rsidR="00EE2AE5" w:rsidRPr="001A0CDD">
        <w:rPr>
          <w:b/>
          <w:spacing w:val="-2"/>
        </w:rPr>
        <w:t xml:space="preserve">0 </w:t>
      </w:r>
      <w:r w:rsidRPr="001A0CDD">
        <w:rPr>
          <w:b/>
          <w:spacing w:val="-2"/>
        </w:rPr>
        <w:t>million</w:t>
      </w:r>
      <w:r w:rsidRPr="001A0CDD">
        <w:rPr>
          <w:spacing w:val="-2"/>
        </w:rPr>
        <w:t xml:space="preserve"> of the 2025 savings be transferred to the ITU Reserve Account in order to strengthen the Union’s financial resilience.</w:t>
      </w:r>
    </w:p>
    <w:p w14:paraId="5A209A9E" w14:textId="40FA880A" w:rsidR="001434F5" w:rsidRDefault="001434F5" w:rsidP="008D69A8">
      <w:pPr>
        <w:jc w:val="both"/>
        <w:rPr>
          <w:szCs w:val="24"/>
        </w:rPr>
      </w:pPr>
      <w:r w:rsidRPr="001434F5">
        <w:rPr>
          <w:szCs w:val="24"/>
        </w:rPr>
        <w:t>Strengthening the Reserve will enhance ITU’s capacity to manage revenue volatility, implementation risks, and external economic uncertainty, particularly as the Union enters the 2026</w:t>
      </w:r>
      <w:r w:rsidR="008D69A8">
        <w:rPr>
          <w:szCs w:val="24"/>
        </w:rPr>
        <w:t>-</w:t>
      </w:r>
      <w:r w:rsidRPr="001434F5">
        <w:rPr>
          <w:szCs w:val="24"/>
        </w:rPr>
        <w:t>2027 biennium under a constrained budget framework and faces medium-term financial pressures. Maintaining adequate reserves is essential to preserving programme stability, protecting core activities, and ensuring institutional credibility.</w:t>
      </w:r>
    </w:p>
    <w:p w14:paraId="638C2141" w14:textId="24E3C463" w:rsidR="007F0BD2" w:rsidRPr="008D69A8" w:rsidRDefault="007F0BD2" w:rsidP="007F0BD2">
      <w:pPr>
        <w:spacing w:before="1440" w:after="120"/>
        <w:jc w:val="both"/>
        <w:rPr>
          <w:rFonts w:cs="Calibri"/>
          <w:b/>
          <w:bCs/>
          <w:szCs w:val="24"/>
        </w:rPr>
      </w:pPr>
      <w:r w:rsidRPr="00663FC6">
        <w:rPr>
          <w:rFonts w:cs="Calibri"/>
          <w:b/>
          <w:bCs/>
          <w:szCs w:val="24"/>
        </w:rPr>
        <w:t>Annex</w:t>
      </w:r>
      <w:r w:rsidR="000575AB">
        <w:rPr>
          <w:rFonts w:cs="Calibri"/>
          <w:b/>
          <w:bCs/>
          <w:szCs w:val="24"/>
        </w:rPr>
        <w:t>es</w:t>
      </w:r>
      <w:r w:rsidRPr="00663FC6">
        <w:rPr>
          <w:rFonts w:cs="Calibri"/>
          <w:b/>
          <w:bCs/>
          <w:szCs w:val="24"/>
        </w:rPr>
        <w:t xml:space="preserve">: </w:t>
      </w:r>
      <w:r w:rsidR="00167820" w:rsidRPr="00663FC6">
        <w:rPr>
          <w:rFonts w:cs="Calibri"/>
          <w:szCs w:val="24"/>
        </w:rPr>
        <w:t>2</w:t>
      </w:r>
    </w:p>
    <w:p w14:paraId="2FD8732B" w14:textId="77777777" w:rsidR="001434F5" w:rsidRPr="001434F5" w:rsidRDefault="001434F5" w:rsidP="001434F5">
      <w:pPr>
        <w:tabs>
          <w:tab w:val="clear" w:pos="567"/>
          <w:tab w:val="clear" w:pos="1134"/>
          <w:tab w:val="clear" w:pos="1701"/>
          <w:tab w:val="clear" w:pos="2268"/>
          <w:tab w:val="clear" w:pos="2835"/>
          <w:tab w:val="left" w:pos="709"/>
        </w:tabs>
        <w:snapToGrid w:val="0"/>
        <w:spacing w:after="120"/>
        <w:jc w:val="both"/>
        <w:rPr>
          <w:rFonts w:eastAsia="SimSun" w:cs="Calibri"/>
          <w:b/>
          <w:szCs w:val="24"/>
        </w:rPr>
      </w:pPr>
      <w:r w:rsidRPr="001434F5">
        <w:rPr>
          <w:rFonts w:eastAsia="SimSun" w:cs="Calibri"/>
          <w:b/>
          <w:szCs w:val="24"/>
        </w:rPr>
        <w:br w:type="page"/>
      </w:r>
    </w:p>
    <w:p w14:paraId="1DC7154F" w14:textId="0FAE6BC7" w:rsidR="001434F5" w:rsidRPr="001434F5" w:rsidRDefault="001434F5" w:rsidP="000912C0">
      <w:pPr>
        <w:pStyle w:val="AnnexNo"/>
      </w:pPr>
      <w:bookmarkStart w:id="12" w:name="Annex"/>
      <w:r w:rsidRPr="001434F5">
        <w:lastRenderedPageBreak/>
        <w:t>ANNEX</w:t>
      </w:r>
      <w:bookmarkEnd w:id="12"/>
      <w:r w:rsidR="00C23119">
        <w:t xml:space="preserve"> 1</w:t>
      </w:r>
    </w:p>
    <w:p w14:paraId="7989459F" w14:textId="77777777" w:rsidR="001434F5" w:rsidRPr="001434F5" w:rsidRDefault="001434F5" w:rsidP="00C4644A">
      <w:pPr>
        <w:pStyle w:val="ResNo"/>
      </w:pPr>
      <w:r w:rsidRPr="001434F5">
        <w:t>DRAFT NEW RESOLUTION [...]</w:t>
      </w:r>
    </w:p>
    <w:p w14:paraId="2240E15F" w14:textId="77777777" w:rsidR="001434F5" w:rsidRPr="001434F5" w:rsidRDefault="001434F5" w:rsidP="00C4644A">
      <w:pPr>
        <w:pStyle w:val="Restitle"/>
      </w:pPr>
      <w:r w:rsidRPr="001434F5">
        <w:t>Allocations of savings achieved in 2025 budget implementation</w:t>
      </w:r>
    </w:p>
    <w:p w14:paraId="2E12AFB0" w14:textId="77777777" w:rsidR="001434F5" w:rsidRPr="001434F5" w:rsidRDefault="001434F5" w:rsidP="00BE57BF">
      <w:pPr>
        <w:pStyle w:val="Normalaftertitle"/>
        <w:jc w:val="both"/>
      </w:pPr>
      <w:r w:rsidRPr="001434F5">
        <w:t>The ITU Council,</w:t>
      </w:r>
    </w:p>
    <w:p w14:paraId="1DEAB2EE" w14:textId="77777777" w:rsidR="001434F5" w:rsidRPr="001434F5" w:rsidRDefault="001434F5" w:rsidP="00BE57BF">
      <w:pPr>
        <w:pStyle w:val="Call"/>
        <w:jc w:val="both"/>
      </w:pPr>
      <w:r w:rsidRPr="001434F5">
        <w:t>having considered</w:t>
      </w:r>
    </w:p>
    <w:p w14:paraId="4FDF0C95" w14:textId="5EAAF7AB" w:rsidR="001434F5" w:rsidRDefault="000575AB" w:rsidP="00BE57BF">
      <w:pPr>
        <w:jc w:val="both"/>
        <w:rPr>
          <w:rFonts w:cs="Calibri"/>
        </w:rPr>
      </w:pPr>
      <w:r w:rsidRPr="000575AB">
        <w:rPr>
          <w:rFonts w:cs="Calibri"/>
          <w:i/>
          <w:iCs/>
        </w:rPr>
        <w:t>a)</w:t>
      </w:r>
      <w:r w:rsidRPr="000575AB">
        <w:rPr>
          <w:rFonts w:cs="Calibri"/>
          <w:i/>
          <w:iCs/>
        </w:rPr>
        <w:tab/>
      </w:r>
      <w:r w:rsidR="001434F5" w:rsidRPr="001434F5">
        <w:rPr>
          <w:rFonts w:cs="Calibri"/>
        </w:rPr>
        <w:t>the savings achieved in the implementation of the 2025 budget that amount to CHF 1</w:t>
      </w:r>
      <w:r w:rsidR="00AE1904">
        <w:rPr>
          <w:rFonts w:cs="Calibri"/>
        </w:rPr>
        <w:t>1.44</w:t>
      </w:r>
      <w:r w:rsidR="001434F5" w:rsidRPr="001434F5">
        <w:rPr>
          <w:rFonts w:cs="Calibri"/>
        </w:rPr>
        <w:t> million</w:t>
      </w:r>
      <w:r>
        <w:rPr>
          <w:rFonts w:cs="Calibri"/>
        </w:rPr>
        <w:t>;</w:t>
      </w:r>
    </w:p>
    <w:p w14:paraId="7621ACF4" w14:textId="21ACEBF7" w:rsidR="003C29D7" w:rsidRPr="001434F5" w:rsidRDefault="000575AB" w:rsidP="00BE57BF">
      <w:pPr>
        <w:jc w:val="both"/>
        <w:rPr>
          <w:rFonts w:cs="Calibri"/>
          <w:szCs w:val="24"/>
        </w:rPr>
      </w:pPr>
      <w:r w:rsidRPr="000575AB">
        <w:rPr>
          <w:rFonts w:cs="Calibri"/>
          <w:i/>
          <w:iCs/>
          <w:szCs w:val="24"/>
        </w:rPr>
        <w:t>b)</w:t>
      </w:r>
      <w:r w:rsidRPr="000575AB">
        <w:rPr>
          <w:rFonts w:cs="Calibri"/>
          <w:i/>
          <w:iCs/>
          <w:szCs w:val="24"/>
        </w:rPr>
        <w:tab/>
      </w:r>
      <w:r w:rsidR="003C29D7">
        <w:rPr>
          <w:rFonts w:cs="Calibri"/>
          <w:szCs w:val="24"/>
        </w:rPr>
        <w:t>Doc</w:t>
      </w:r>
      <w:r w:rsidR="005C336B">
        <w:rPr>
          <w:rFonts w:cs="Calibri"/>
          <w:szCs w:val="24"/>
        </w:rPr>
        <w:t>ument</w:t>
      </w:r>
      <w:r w:rsidR="003C29D7">
        <w:rPr>
          <w:rFonts w:cs="Calibri"/>
          <w:szCs w:val="24"/>
        </w:rPr>
        <w:t xml:space="preserve"> </w:t>
      </w:r>
      <w:hyperlink r:id="rId17" w:history="1">
        <w:r w:rsidR="005C336B" w:rsidRPr="00DF7EE8">
          <w:rPr>
            <w:rStyle w:val="Hyperlink"/>
            <w:rFonts w:cs="Calibri"/>
            <w:szCs w:val="24"/>
          </w:rPr>
          <w:t>C26/</w:t>
        </w:r>
        <w:r w:rsidR="003C29D7" w:rsidRPr="00DF7EE8">
          <w:rPr>
            <w:rStyle w:val="Hyperlink"/>
            <w:rFonts w:cs="Calibri"/>
            <w:szCs w:val="24"/>
          </w:rPr>
          <w:t>42</w:t>
        </w:r>
        <w:r w:rsidR="005C336B" w:rsidRPr="00DF7EE8">
          <w:rPr>
            <w:rStyle w:val="Hyperlink"/>
            <w:rFonts w:cs="Calibri"/>
            <w:szCs w:val="24"/>
          </w:rPr>
          <w:t>(R</w:t>
        </w:r>
        <w:r w:rsidR="003C29D7" w:rsidRPr="00DF7EE8">
          <w:rPr>
            <w:rStyle w:val="Hyperlink"/>
            <w:rFonts w:cs="Calibri"/>
            <w:szCs w:val="24"/>
          </w:rPr>
          <w:t>ev</w:t>
        </w:r>
        <w:r w:rsidR="005C336B" w:rsidRPr="00DF7EE8">
          <w:rPr>
            <w:rStyle w:val="Hyperlink"/>
            <w:rFonts w:cs="Calibri"/>
            <w:szCs w:val="24"/>
          </w:rPr>
          <w:t>.</w:t>
        </w:r>
        <w:r w:rsidR="003C29D7" w:rsidRPr="00DF7EE8">
          <w:rPr>
            <w:rStyle w:val="Hyperlink"/>
            <w:rFonts w:cs="Calibri"/>
            <w:szCs w:val="24"/>
          </w:rPr>
          <w:t>2</w:t>
        </w:r>
        <w:r w:rsidR="005C336B" w:rsidRPr="00DF7EE8">
          <w:rPr>
            <w:rStyle w:val="Hyperlink"/>
            <w:rFonts w:cs="Calibri"/>
            <w:szCs w:val="24"/>
          </w:rPr>
          <w:t>)</w:t>
        </w:r>
      </w:hyperlink>
      <w:r>
        <w:rPr>
          <w:rFonts w:cs="Calibri"/>
          <w:szCs w:val="24"/>
        </w:rPr>
        <w:t>,</w:t>
      </w:r>
    </w:p>
    <w:p w14:paraId="3AF28BD7" w14:textId="77777777" w:rsidR="001434F5" w:rsidRPr="001434F5" w:rsidRDefault="001434F5" w:rsidP="00BE57BF">
      <w:pPr>
        <w:pStyle w:val="Call"/>
        <w:jc w:val="both"/>
      </w:pPr>
      <w:r w:rsidRPr="001434F5">
        <w:t>resolves</w:t>
      </w:r>
    </w:p>
    <w:p w14:paraId="4D648405" w14:textId="04F97F18" w:rsidR="00373774" w:rsidRDefault="004D52E1" w:rsidP="00743717">
      <w:pPr>
        <w:rPr>
          <w:rFonts w:eastAsiaTheme="minorEastAsia"/>
          <w:lang w:val="en-US" w:eastAsia="zh-CN"/>
        </w:rPr>
      </w:pPr>
      <w:r>
        <w:rPr>
          <w:lang w:eastAsia="en-GB"/>
        </w:rPr>
        <w:t>1</w:t>
      </w:r>
      <w:r>
        <w:rPr>
          <w:lang w:eastAsia="en-GB"/>
        </w:rPr>
        <w:tab/>
      </w:r>
      <w:r w:rsidR="001434F5" w:rsidRPr="001434F5">
        <w:rPr>
          <w:lang w:eastAsia="en-GB"/>
        </w:rPr>
        <w:t>to allocate the savings as follows</w:t>
      </w:r>
      <w:r w:rsidR="00743717">
        <w:rPr>
          <w:lang w:eastAsia="en-GB"/>
        </w:rPr>
        <w:t>:</w:t>
      </w:r>
    </w:p>
    <w:p w14:paraId="158CA31F" w14:textId="0F837E05" w:rsidR="00EB42C0" w:rsidRPr="00743717" w:rsidRDefault="00743717" w:rsidP="00743717">
      <w:pPr>
        <w:pStyle w:val="enumlev1"/>
        <w:jc w:val="both"/>
        <w:rPr>
          <w:rFonts w:cs="Calibri"/>
          <w:lang w:eastAsia="en-GB"/>
        </w:rPr>
      </w:pPr>
      <w:r w:rsidRPr="00743717">
        <w:rPr>
          <w:rFonts w:eastAsiaTheme="minorEastAsia"/>
          <w:lang w:val="en-US" w:eastAsia="zh-CN"/>
        </w:rPr>
        <w:t>–</w:t>
      </w:r>
      <w:r w:rsidR="00373774" w:rsidRPr="00743717">
        <w:rPr>
          <w:rFonts w:eastAsiaTheme="minorEastAsia"/>
          <w:lang w:val="en-US" w:eastAsia="zh-CN"/>
        </w:rPr>
        <w:tab/>
      </w:r>
      <w:r w:rsidRPr="00743717">
        <w:rPr>
          <w:rFonts w:eastAsiaTheme="minorEastAsia"/>
          <w:lang w:val="en-US" w:eastAsia="zh-CN"/>
        </w:rPr>
        <w:t xml:space="preserve">funding </w:t>
      </w:r>
      <w:r w:rsidR="00E56F3A" w:rsidRPr="00743717">
        <w:rPr>
          <w:rFonts w:eastAsiaTheme="minorEastAsia"/>
          <w:lang w:val="en-US" w:eastAsia="zh-CN"/>
        </w:rPr>
        <w:t xml:space="preserve">of previously approved initiative by </w:t>
      </w:r>
      <w:r w:rsidR="00872DBB">
        <w:rPr>
          <w:rFonts w:eastAsiaTheme="minorEastAsia"/>
          <w:lang w:val="en-US" w:eastAsia="zh-CN"/>
        </w:rPr>
        <w:t xml:space="preserve">the </w:t>
      </w:r>
      <w:r w:rsidR="00E56F3A" w:rsidRPr="00743717">
        <w:rPr>
          <w:rFonts w:eastAsiaTheme="minorEastAsia"/>
          <w:lang w:val="en-US" w:eastAsia="zh-CN"/>
        </w:rPr>
        <w:t>Council</w:t>
      </w:r>
      <w:r w:rsidR="003C29D7">
        <w:rPr>
          <w:rFonts w:eastAsiaTheme="minorEastAsia"/>
          <w:lang w:val="en-US" w:eastAsia="zh-CN"/>
        </w:rPr>
        <w:t>, the</w:t>
      </w:r>
      <w:r w:rsidR="005860F2" w:rsidRPr="00743717">
        <w:rPr>
          <w:rFonts w:eastAsiaTheme="minorEastAsia"/>
          <w:lang w:val="en-US" w:eastAsia="zh-CN"/>
        </w:rPr>
        <w:t xml:space="preserve"> </w:t>
      </w:r>
      <w:r w:rsidR="00DC2DE6" w:rsidRPr="00743717">
        <w:rPr>
          <w:rFonts w:cs="Calibri"/>
          <w:lang w:eastAsia="en-GB"/>
        </w:rPr>
        <w:t>Young Professional Programme (CHF 1.2 million)</w:t>
      </w:r>
      <w:r w:rsidR="008D0130" w:rsidRPr="00743717">
        <w:rPr>
          <w:rFonts w:cs="Calibri"/>
          <w:lang w:eastAsia="en-GB"/>
        </w:rPr>
        <w:t>;</w:t>
      </w:r>
      <w:r w:rsidR="009F28F2" w:rsidRPr="00743717">
        <w:rPr>
          <w:rFonts w:cs="Calibri"/>
          <w:lang w:eastAsia="en-GB"/>
        </w:rPr>
        <w:t xml:space="preserve"> and</w:t>
      </w:r>
    </w:p>
    <w:p w14:paraId="4E36841A" w14:textId="77777777" w:rsidR="001E4E4F" w:rsidRDefault="00743717" w:rsidP="00743717">
      <w:pPr>
        <w:pStyle w:val="enumlev1"/>
        <w:jc w:val="both"/>
        <w:rPr>
          <w:lang w:eastAsia="en-GB"/>
        </w:rPr>
      </w:pPr>
      <w:r w:rsidRPr="00743717">
        <w:rPr>
          <w:lang w:eastAsia="en-GB"/>
        </w:rPr>
        <w:t>–</w:t>
      </w:r>
      <w:r w:rsidR="00EB42C0" w:rsidRPr="00743717">
        <w:rPr>
          <w:lang w:eastAsia="en-GB"/>
        </w:rPr>
        <w:tab/>
      </w:r>
      <w:r w:rsidRPr="00743717">
        <w:rPr>
          <w:rFonts w:eastAsiaTheme="minorEastAsia"/>
          <w:lang w:val="en-US" w:eastAsia="zh-CN"/>
        </w:rPr>
        <w:t>other proposed allocations</w:t>
      </w:r>
      <w:r w:rsidR="00702AD7" w:rsidRPr="00743717">
        <w:rPr>
          <w:rFonts w:eastAsiaTheme="minorEastAsia"/>
          <w:lang w:val="en-US" w:eastAsia="zh-CN"/>
        </w:rPr>
        <w:t>:</w:t>
      </w:r>
      <w:r w:rsidR="001434F5" w:rsidRPr="00743717">
        <w:rPr>
          <w:lang w:eastAsia="en-GB"/>
        </w:rPr>
        <w:t xml:space="preserve"> </w:t>
      </w:r>
    </w:p>
    <w:p w14:paraId="1E2DF0AC" w14:textId="3726B477" w:rsidR="001E4E4F" w:rsidRPr="00663FC6" w:rsidRDefault="000575AB" w:rsidP="000575AB">
      <w:pPr>
        <w:pStyle w:val="enumlev2"/>
        <w:rPr>
          <w:rFonts w:eastAsiaTheme="minorEastAsia"/>
          <w:lang w:val="en-US" w:eastAsia="zh-CN"/>
        </w:rPr>
      </w:pPr>
      <w:r>
        <w:rPr>
          <w:lang w:eastAsia="en-GB"/>
        </w:rPr>
        <w:t>•</w:t>
      </w:r>
      <w:r>
        <w:rPr>
          <w:lang w:eastAsia="en-GB"/>
        </w:rPr>
        <w:tab/>
      </w:r>
      <w:r w:rsidR="11EA258F" w:rsidRPr="00743717">
        <w:rPr>
          <w:lang w:eastAsia="en-GB"/>
        </w:rPr>
        <w:t>agreed separations (CHF 2.5 million)</w:t>
      </w:r>
      <w:r w:rsidR="00B7336A" w:rsidRPr="00743717">
        <w:rPr>
          <w:lang w:eastAsia="en-GB"/>
        </w:rPr>
        <w:t>;</w:t>
      </w:r>
      <w:r w:rsidR="11EA258F" w:rsidRPr="00743717">
        <w:rPr>
          <w:lang w:eastAsia="en-GB"/>
        </w:rPr>
        <w:t xml:space="preserve"> </w:t>
      </w:r>
    </w:p>
    <w:p w14:paraId="5E768518" w14:textId="2F738B57" w:rsidR="001E4E4F" w:rsidRPr="00663FC6" w:rsidRDefault="000575AB" w:rsidP="000575AB">
      <w:pPr>
        <w:pStyle w:val="enumlev2"/>
        <w:rPr>
          <w:rFonts w:eastAsiaTheme="minorEastAsia"/>
          <w:lang w:val="en-US" w:eastAsia="zh-CN"/>
        </w:rPr>
      </w:pPr>
      <w:r>
        <w:rPr>
          <w:lang w:eastAsia="en-GB"/>
        </w:rPr>
        <w:t>•</w:t>
      </w:r>
      <w:r>
        <w:rPr>
          <w:lang w:eastAsia="en-GB"/>
        </w:rPr>
        <w:tab/>
      </w:r>
      <w:r w:rsidR="008D69A8" w:rsidRPr="00743717">
        <w:rPr>
          <w:lang w:eastAsia="en-GB"/>
        </w:rPr>
        <w:t xml:space="preserve">address </w:t>
      </w:r>
      <w:r w:rsidR="001434F5" w:rsidRPr="00743717">
        <w:rPr>
          <w:lang w:eastAsia="en-GB"/>
        </w:rPr>
        <w:t>the backlog in SNF (CHF </w:t>
      </w:r>
      <w:r w:rsidR="00EE2AE5">
        <w:rPr>
          <w:lang w:eastAsia="en-GB"/>
        </w:rPr>
        <w:t>1</w:t>
      </w:r>
      <w:r w:rsidR="001434F5" w:rsidRPr="00743717">
        <w:rPr>
          <w:lang w:eastAsia="en-GB"/>
        </w:rPr>
        <w:t xml:space="preserve"> million); </w:t>
      </w:r>
    </w:p>
    <w:p w14:paraId="473E7702" w14:textId="7EB5661D" w:rsidR="001E4E4F" w:rsidRPr="00663FC6" w:rsidRDefault="000575AB" w:rsidP="000575AB">
      <w:pPr>
        <w:pStyle w:val="enumlev2"/>
        <w:rPr>
          <w:rFonts w:eastAsiaTheme="minorEastAsia"/>
          <w:lang w:val="en-US" w:eastAsia="zh-CN"/>
        </w:rPr>
      </w:pPr>
      <w:r>
        <w:rPr>
          <w:lang w:eastAsia="en-GB"/>
        </w:rPr>
        <w:t>•</w:t>
      </w:r>
      <w:r>
        <w:rPr>
          <w:lang w:eastAsia="en-GB"/>
        </w:rPr>
        <w:tab/>
      </w:r>
      <w:r w:rsidR="001434F5" w:rsidRPr="00743717">
        <w:rPr>
          <w:lang w:eastAsia="en-GB"/>
        </w:rPr>
        <w:t xml:space="preserve">SNF core systems and modernization capacity (CHF 1.3 million); </w:t>
      </w:r>
    </w:p>
    <w:p w14:paraId="3B3CD4C9" w14:textId="101B5AC1" w:rsidR="001E4E4F" w:rsidRPr="00663FC6" w:rsidRDefault="000575AB" w:rsidP="000575AB">
      <w:pPr>
        <w:pStyle w:val="enumlev2"/>
        <w:rPr>
          <w:rFonts w:eastAsiaTheme="minorEastAsia"/>
          <w:lang w:val="en-US" w:eastAsia="zh-CN"/>
        </w:rPr>
      </w:pPr>
      <w:r>
        <w:rPr>
          <w:lang w:eastAsia="en-GB"/>
        </w:rPr>
        <w:t>•</w:t>
      </w:r>
      <w:r>
        <w:rPr>
          <w:lang w:eastAsia="en-GB"/>
        </w:rPr>
        <w:tab/>
      </w:r>
      <w:r w:rsidR="008D69A8" w:rsidRPr="00743717">
        <w:rPr>
          <w:lang w:eastAsia="en-GB"/>
        </w:rPr>
        <w:t xml:space="preserve">corporate systems modernization </w:t>
      </w:r>
      <w:r w:rsidR="001434F5" w:rsidRPr="00743717">
        <w:rPr>
          <w:lang w:eastAsia="en-GB"/>
        </w:rPr>
        <w:t>(CHF 1.4</w:t>
      </w:r>
      <w:r w:rsidR="00DC2DE6" w:rsidRPr="00743717">
        <w:rPr>
          <w:lang w:eastAsia="en-GB"/>
        </w:rPr>
        <w:t>4</w:t>
      </w:r>
      <w:r w:rsidR="001434F5" w:rsidRPr="00743717">
        <w:rPr>
          <w:lang w:eastAsia="en-GB"/>
        </w:rPr>
        <w:t xml:space="preserve"> million); </w:t>
      </w:r>
    </w:p>
    <w:p w14:paraId="71593BAB" w14:textId="0475471A" w:rsidR="001E4E4F" w:rsidRPr="00663FC6" w:rsidRDefault="000575AB" w:rsidP="000575AB">
      <w:pPr>
        <w:pStyle w:val="enumlev2"/>
        <w:rPr>
          <w:rFonts w:eastAsiaTheme="minorEastAsia"/>
          <w:lang w:val="en-US" w:eastAsia="zh-CN"/>
        </w:rPr>
      </w:pPr>
      <w:r>
        <w:rPr>
          <w:lang w:eastAsia="en-GB"/>
        </w:rPr>
        <w:t>•</w:t>
      </w:r>
      <w:r>
        <w:rPr>
          <w:lang w:eastAsia="en-GB"/>
        </w:rPr>
        <w:tab/>
      </w:r>
      <w:r w:rsidR="00872DBB" w:rsidRPr="00743717">
        <w:rPr>
          <w:lang w:eastAsia="en-GB"/>
        </w:rPr>
        <w:t xml:space="preserve">business </w:t>
      </w:r>
      <w:r w:rsidR="008D69A8" w:rsidRPr="00743717">
        <w:rPr>
          <w:lang w:eastAsia="en-GB"/>
        </w:rPr>
        <w:t xml:space="preserve">continuity </w:t>
      </w:r>
      <w:r w:rsidR="001434F5" w:rsidRPr="00743717">
        <w:rPr>
          <w:lang w:eastAsia="en-GB"/>
        </w:rPr>
        <w:t xml:space="preserve">measures (CHF 1.5 million); </w:t>
      </w:r>
    </w:p>
    <w:p w14:paraId="7F6527DA" w14:textId="223571A3" w:rsidR="001E4E4F" w:rsidRPr="00663FC6" w:rsidRDefault="000575AB" w:rsidP="000575AB">
      <w:pPr>
        <w:pStyle w:val="enumlev2"/>
        <w:rPr>
          <w:rFonts w:eastAsiaTheme="minorEastAsia"/>
          <w:lang w:val="en-US" w:eastAsia="zh-CN"/>
        </w:rPr>
      </w:pPr>
      <w:r>
        <w:rPr>
          <w:lang w:eastAsia="en-GB"/>
        </w:rPr>
        <w:t>•</w:t>
      </w:r>
      <w:r>
        <w:rPr>
          <w:lang w:eastAsia="en-GB"/>
        </w:rPr>
        <w:tab/>
      </w:r>
      <w:r w:rsidR="008D69A8" w:rsidRPr="00743717">
        <w:rPr>
          <w:lang w:eastAsia="en-GB"/>
        </w:rPr>
        <w:t xml:space="preserve">regional initiatives </w:t>
      </w:r>
      <w:r w:rsidR="001434F5" w:rsidRPr="00743717">
        <w:rPr>
          <w:lang w:eastAsia="en-GB"/>
        </w:rPr>
        <w:t xml:space="preserve">(CHF 1.3 million); </w:t>
      </w:r>
    </w:p>
    <w:p w14:paraId="18B65285" w14:textId="77552EBD" w:rsidR="001E4E4F" w:rsidRPr="00663FC6" w:rsidRDefault="000575AB" w:rsidP="000575AB">
      <w:pPr>
        <w:pStyle w:val="enumlev2"/>
        <w:rPr>
          <w:rFonts w:eastAsiaTheme="minorEastAsia"/>
          <w:lang w:val="en-US" w:eastAsia="zh-CN"/>
        </w:rPr>
      </w:pPr>
      <w:r>
        <w:rPr>
          <w:lang w:eastAsia="en-GB"/>
        </w:rPr>
        <w:t>•</w:t>
      </w:r>
      <w:r>
        <w:rPr>
          <w:lang w:eastAsia="en-GB"/>
        </w:rPr>
        <w:tab/>
      </w:r>
      <w:r w:rsidR="008B4E86" w:rsidRPr="00663FC6">
        <w:t xml:space="preserve">18 </w:t>
      </w:r>
      <w:r w:rsidR="003C29D7" w:rsidRPr="00663FC6">
        <w:t>consultants (SSA)</w:t>
      </w:r>
      <w:r w:rsidR="008B4E86" w:rsidRPr="00663FC6">
        <w:t xml:space="preserve"> and</w:t>
      </w:r>
      <w:r w:rsidR="003C29D7" w:rsidRPr="00663FC6">
        <w:t xml:space="preserve"> short-term project staff for AI for Good</w:t>
      </w:r>
      <w:r w:rsidR="003C29D7" w:rsidRPr="008B4E86" w:rsidDel="003C29D7">
        <w:rPr>
          <w:lang w:eastAsia="en-GB"/>
        </w:rPr>
        <w:t xml:space="preserve"> </w:t>
      </w:r>
      <w:r w:rsidR="008B4E86" w:rsidRPr="008B4E86">
        <w:rPr>
          <w:lang w:eastAsia="en-GB"/>
        </w:rPr>
        <w:t>in</w:t>
      </w:r>
      <w:r w:rsidR="008B4E86">
        <w:rPr>
          <w:lang w:eastAsia="en-GB"/>
        </w:rPr>
        <w:t xml:space="preserve"> 2026-2027</w:t>
      </w:r>
      <w:r w:rsidR="001434F5" w:rsidRPr="00743717">
        <w:rPr>
          <w:lang w:eastAsia="en-GB"/>
        </w:rPr>
        <w:t>(CHF 1.0 million);</w:t>
      </w:r>
      <w:r w:rsidR="00BE57BF" w:rsidRPr="00743717">
        <w:rPr>
          <w:lang w:eastAsia="en-GB"/>
        </w:rPr>
        <w:t xml:space="preserve"> </w:t>
      </w:r>
    </w:p>
    <w:p w14:paraId="430CEAA6" w14:textId="788006A7" w:rsidR="008B4E86" w:rsidRPr="00663FC6" w:rsidRDefault="000575AB" w:rsidP="000575AB">
      <w:pPr>
        <w:pStyle w:val="enumlev2"/>
        <w:rPr>
          <w:rFonts w:eastAsiaTheme="minorEastAsia"/>
          <w:lang w:val="en-US" w:eastAsia="zh-CN"/>
        </w:rPr>
      </w:pPr>
      <w:r>
        <w:rPr>
          <w:lang w:eastAsia="en-GB"/>
        </w:rPr>
        <w:t>•</w:t>
      </w:r>
      <w:r>
        <w:rPr>
          <w:lang w:eastAsia="en-GB"/>
        </w:rPr>
        <w:tab/>
      </w:r>
      <w:r w:rsidR="001434F5" w:rsidRPr="00743717">
        <w:rPr>
          <w:rFonts w:asciiTheme="minorHAnsi" w:eastAsiaTheme="minorEastAsia" w:hAnsiTheme="minorHAnsi" w:cstheme="minorBidi"/>
          <w:lang w:val="en-US" w:eastAsia="zh-CN"/>
        </w:rPr>
        <w:t>and transfer to ITU reserve account (CHF 0.</w:t>
      </w:r>
      <w:r w:rsidR="00EE2AE5">
        <w:rPr>
          <w:rFonts w:asciiTheme="minorHAnsi" w:eastAsiaTheme="minorEastAsia" w:hAnsiTheme="minorHAnsi" w:cstheme="minorBidi"/>
          <w:lang w:val="en-US" w:eastAsia="zh-CN"/>
        </w:rPr>
        <w:t>2</w:t>
      </w:r>
      <w:r w:rsidR="00EE2AE5" w:rsidRPr="00743717">
        <w:rPr>
          <w:rFonts w:asciiTheme="minorHAnsi" w:eastAsiaTheme="minorEastAsia" w:hAnsiTheme="minorHAnsi" w:cstheme="minorBidi"/>
          <w:lang w:val="en-US" w:eastAsia="zh-CN"/>
        </w:rPr>
        <w:t>0 </w:t>
      </w:r>
      <w:r w:rsidR="001434F5" w:rsidRPr="00743717">
        <w:rPr>
          <w:rFonts w:asciiTheme="minorHAnsi" w:eastAsiaTheme="minorEastAsia" w:hAnsiTheme="minorHAnsi" w:cstheme="minorBidi"/>
          <w:lang w:val="en-US" w:eastAsia="zh-CN"/>
        </w:rPr>
        <w:t>million)</w:t>
      </w:r>
      <w:r w:rsidR="004D52E1">
        <w:rPr>
          <w:lang w:eastAsia="en-GB"/>
        </w:rPr>
        <w:t>;</w:t>
      </w:r>
    </w:p>
    <w:p w14:paraId="05EB9D89" w14:textId="7A111922" w:rsidR="001434F5" w:rsidRPr="00743717" w:rsidRDefault="004D52E1" w:rsidP="004D52E1">
      <w:pPr>
        <w:pStyle w:val="enumlev1"/>
        <w:jc w:val="both"/>
        <w:rPr>
          <w:rFonts w:eastAsiaTheme="minorEastAsia"/>
          <w:lang w:val="en-US" w:eastAsia="zh-CN"/>
        </w:rPr>
      </w:pPr>
      <w:r>
        <w:rPr>
          <w:rFonts w:asciiTheme="minorHAnsi" w:eastAsiaTheme="minorEastAsia" w:hAnsiTheme="minorHAnsi" w:cstheme="minorBidi"/>
          <w:lang w:val="en-US" w:eastAsia="zh-CN"/>
        </w:rPr>
        <w:t>2</w:t>
      </w:r>
      <w:r>
        <w:rPr>
          <w:rFonts w:asciiTheme="minorHAnsi" w:eastAsiaTheme="minorEastAsia" w:hAnsiTheme="minorHAnsi" w:cstheme="minorBidi"/>
          <w:lang w:val="en-US" w:eastAsia="zh-CN"/>
        </w:rPr>
        <w:tab/>
      </w:r>
      <w:r w:rsidR="008B4E86">
        <w:rPr>
          <w:rFonts w:asciiTheme="minorHAnsi" w:eastAsiaTheme="minorEastAsia" w:hAnsiTheme="minorHAnsi" w:cstheme="minorBidi"/>
          <w:lang w:val="en-US" w:eastAsia="zh-CN"/>
        </w:rPr>
        <w:t xml:space="preserve">to transfer to </w:t>
      </w:r>
      <w:r w:rsidR="008B4E86" w:rsidRPr="00663FC6">
        <w:rPr>
          <w:lang w:eastAsia="en-GB"/>
        </w:rPr>
        <w:t>ITU reserve account a</w:t>
      </w:r>
      <w:r w:rsidR="001E4E4F" w:rsidRPr="008B4E86">
        <w:rPr>
          <w:lang w:eastAsia="en-GB"/>
        </w:rPr>
        <w:t xml:space="preserve">ny funding not expensed by the end </w:t>
      </w:r>
      <w:r w:rsidR="001E4E4F" w:rsidRPr="00224380">
        <w:rPr>
          <w:lang w:eastAsia="en-GB"/>
        </w:rPr>
        <w:t>of 20</w:t>
      </w:r>
      <w:r w:rsidR="00224380" w:rsidRPr="00663FC6">
        <w:rPr>
          <w:lang w:eastAsia="en-GB"/>
        </w:rPr>
        <w:t>29, except for</w:t>
      </w:r>
      <w:r w:rsidR="00224380">
        <w:rPr>
          <w:lang w:eastAsia="en-GB"/>
        </w:rPr>
        <w:t xml:space="preserve"> </w:t>
      </w:r>
      <w:r w:rsidR="00224380" w:rsidRPr="00224380">
        <w:rPr>
          <w:lang w:eastAsia="en-GB"/>
        </w:rPr>
        <w:t>SNF core systems and modernization capacity</w:t>
      </w:r>
      <w:r w:rsidR="00224380">
        <w:rPr>
          <w:lang w:eastAsia="en-GB"/>
        </w:rPr>
        <w:t xml:space="preserve"> and</w:t>
      </w:r>
      <w:r w:rsidR="00224380" w:rsidRPr="00663FC6">
        <w:rPr>
          <w:lang w:eastAsia="en-GB"/>
        </w:rPr>
        <w:t xml:space="preserve"> business continuity</w:t>
      </w:r>
      <w:r w:rsidR="00DF7EE8">
        <w:rPr>
          <w:lang w:eastAsia="en-GB"/>
        </w:rPr>
        <w:t>,</w:t>
      </w:r>
    </w:p>
    <w:p w14:paraId="5D277FA2" w14:textId="203B8CAB" w:rsidR="00EE2AE5" w:rsidRPr="00663FC6" w:rsidRDefault="00EE2AE5" w:rsidP="004D52E1">
      <w:pPr>
        <w:pStyle w:val="Call"/>
      </w:pPr>
      <w:r w:rsidRPr="00663FC6">
        <w:t>instruct</w:t>
      </w:r>
      <w:r w:rsidR="003C29D7" w:rsidRPr="00663FC6">
        <w:t>s</w:t>
      </w:r>
      <w:r w:rsidRPr="00663FC6">
        <w:t xml:space="preserve"> the Secretary General</w:t>
      </w:r>
    </w:p>
    <w:p w14:paraId="4F585632" w14:textId="575D2185" w:rsidR="00EE2AE5" w:rsidRDefault="004D52E1" w:rsidP="004D52E1">
      <w:pPr>
        <w:jc w:val="both"/>
        <w:rPr>
          <w:lang w:val="en-US" w:eastAsia="zh-CN"/>
        </w:rPr>
      </w:pPr>
      <w:r>
        <w:rPr>
          <w:lang w:val="en-US" w:eastAsia="zh-CN"/>
        </w:rPr>
        <w:t>1</w:t>
      </w:r>
      <w:r>
        <w:rPr>
          <w:lang w:val="en-US" w:eastAsia="zh-CN"/>
        </w:rPr>
        <w:tab/>
      </w:r>
      <w:r w:rsidRPr="00EE2AE5">
        <w:rPr>
          <w:lang w:val="en-US" w:eastAsia="zh-CN"/>
        </w:rPr>
        <w:t xml:space="preserve">to </w:t>
      </w:r>
      <w:r w:rsidR="00EE2AE5" w:rsidRPr="00EE2AE5">
        <w:rPr>
          <w:lang w:val="en-US" w:eastAsia="zh-CN"/>
        </w:rPr>
        <w:t>provide a report to the 2026 Plenipotentiary Conference detailing the financial and operational outlook for AI for Good</w:t>
      </w:r>
      <w:r w:rsidR="003C29D7">
        <w:rPr>
          <w:lang w:val="en-US" w:eastAsia="zh-CN"/>
        </w:rPr>
        <w:t xml:space="preserve"> </w:t>
      </w:r>
      <w:r w:rsidR="001E4E4F">
        <w:rPr>
          <w:lang w:val="en-US" w:eastAsia="zh-CN"/>
        </w:rPr>
        <w:t xml:space="preserve">and related externally funded initiatives (e.g. </w:t>
      </w:r>
      <w:r w:rsidR="001E4E4F" w:rsidRPr="004002B6">
        <w:rPr>
          <w:rFonts w:ascii="Aptos" w:eastAsia="Aptos" w:hAnsi="Aptos" w:cs="Aptos"/>
          <w:sz w:val="22"/>
          <w:szCs w:val="22"/>
        </w:rPr>
        <w:t xml:space="preserve">Machine Learning Challenges, AI </w:t>
      </w:r>
      <w:r w:rsidR="001E4E4F" w:rsidRPr="00663FC6">
        <w:rPr>
          <w:rFonts w:ascii="Aptos" w:eastAsia="Aptos" w:hAnsi="Aptos" w:cs="Aptos"/>
          <w:bCs/>
          <w:sz w:val="22"/>
          <w:szCs w:val="22"/>
        </w:rPr>
        <w:t>Skills</w:t>
      </w:r>
      <w:r w:rsidR="001E4E4F" w:rsidRPr="004002B6">
        <w:rPr>
          <w:rFonts w:ascii="Aptos" w:eastAsia="Aptos" w:hAnsi="Aptos" w:cs="Aptos"/>
          <w:sz w:val="22"/>
          <w:szCs w:val="22"/>
        </w:rPr>
        <w:t xml:space="preserve"> Coalition,</w:t>
      </w:r>
      <w:r w:rsidR="001E4E4F">
        <w:rPr>
          <w:rFonts w:ascii="Aptos" w:eastAsia="Aptos" w:hAnsi="Aptos" w:cs="Aptos"/>
          <w:sz w:val="22"/>
          <w:szCs w:val="22"/>
        </w:rPr>
        <w:t xml:space="preserve"> and</w:t>
      </w:r>
      <w:r w:rsidR="001E4E4F" w:rsidRPr="004002B6">
        <w:rPr>
          <w:rFonts w:ascii="Aptos" w:eastAsia="Aptos" w:hAnsi="Aptos" w:cs="Aptos"/>
          <w:sz w:val="22"/>
          <w:szCs w:val="22"/>
        </w:rPr>
        <w:t xml:space="preserve"> AI Startup pitching completions</w:t>
      </w:r>
      <w:r w:rsidR="001E4E4F">
        <w:rPr>
          <w:rFonts w:ascii="Aptos" w:eastAsia="Aptos" w:hAnsi="Aptos" w:cs="Aptos"/>
          <w:sz w:val="22"/>
          <w:szCs w:val="22"/>
        </w:rPr>
        <w:t>)</w:t>
      </w:r>
      <w:r w:rsidR="00EE2AE5" w:rsidRPr="00EE2AE5">
        <w:rPr>
          <w:lang w:val="en-US" w:eastAsia="zh-CN"/>
        </w:rPr>
        <w:t xml:space="preserve">, including all </w:t>
      </w:r>
      <w:r w:rsidR="001E4E4F">
        <w:rPr>
          <w:lang w:val="en-US" w:eastAsia="zh-CN"/>
        </w:rPr>
        <w:t xml:space="preserve">in-kind, </w:t>
      </w:r>
      <w:r w:rsidR="00EE2AE5" w:rsidRPr="00EE2AE5">
        <w:rPr>
          <w:lang w:val="en-US" w:eastAsia="zh-CN"/>
        </w:rPr>
        <w:t xml:space="preserve">extrabudgetary and voluntary contributions, with recommendations on how this </w:t>
      </w:r>
      <w:r w:rsidR="001E4E4F">
        <w:rPr>
          <w:lang w:val="en-US" w:eastAsia="zh-CN"/>
        </w:rPr>
        <w:t xml:space="preserve">platform </w:t>
      </w:r>
      <w:r w:rsidR="00EE2AE5" w:rsidRPr="00EE2AE5">
        <w:rPr>
          <w:lang w:val="en-US" w:eastAsia="zh-CN"/>
        </w:rPr>
        <w:t>can be sustained;</w:t>
      </w:r>
    </w:p>
    <w:p w14:paraId="0AEFAF08" w14:textId="7CFE356B" w:rsidR="00EE2AE5" w:rsidRDefault="004D52E1" w:rsidP="004D52E1">
      <w:pPr>
        <w:jc w:val="both"/>
        <w:rPr>
          <w:lang w:val="en-US" w:eastAsia="zh-CN"/>
        </w:rPr>
      </w:pPr>
      <w:r>
        <w:rPr>
          <w:lang w:val="en-US" w:eastAsia="zh-CN"/>
        </w:rPr>
        <w:t>2</w:t>
      </w:r>
      <w:r>
        <w:rPr>
          <w:lang w:val="en-US" w:eastAsia="zh-CN"/>
        </w:rPr>
        <w:tab/>
      </w:r>
      <w:r w:rsidRPr="00EE2AE5">
        <w:rPr>
          <w:lang w:val="en-US" w:eastAsia="zh-CN"/>
        </w:rPr>
        <w:t xml:space="preserve">to </w:t>
      </w:r>
      <w:r w:rsidR="00EE2AE5" w:rsidRPr="00EE2AE5">
        <w:rPr>
          <w:lang w:val="en-US" w:eastAsia="zh-CN"/>
        </w:rPr>
        <w:t xml:space="preserve">report to Council regarding implementation of the budget savings including efficiencies gained and </w:t>
      </w:r>
      <w:r w:rsidR="00EE2AE5" w:rsidRPr="00FA0FF1">
        <w:rPr>
          <w:lang w:val="en-US" w:eastAsia="zh-CN"/>
        </w:rPr>
        <w:t>ROI analyses</w:t>
      </w:r>
      <w:r w:rsidR="00FA0FF1" w:rsidRPr="00663FC6">
        <w:rPr>
          <w:lang w:val="en-US" w:eastAsia="zh-CN"/>
        </w:rPr>
        <w:t>/added value descriptions</w:t>
      </w:r>
      <w:r w:rsidR="00EE2AE5" w:rsidRPr="00FA0FF1">
        <w:rPr>
          <w:lang w:val="en-US" w:eastAsia="zh-CN"/>
        </w:rPr>
        <w:t xml:space="preserve"> for investments made through these budget allo</w:t>
      </w:r>
      <w:r w:rsidR="00EE2AE5" w:rsidRPr="00EE2AE5">
        <w:rPr>
          <w:lang w:val="en-US" w:eastAsia="zh-CN"/>
        </w:rPr>
        <w:t>cations;</w:t>
      </w:r>
    </w:p>
    <w:p w14:paraId="3B074FDC" w14:textId="1BCF7B9F" w:rsidR="00C23119" w:rsidRPr="00F734D5" w:rsidRDefault="004D52E1" w:rsidP="004D52E1">
      <w:pPr>
        <w:jc w:val="both"/>
        <w:rPr>
          <w:rFonts w:eastAsiaTheme="minorEastAsia"/>
          <w:lang w:val="en-US" w:eastAsia="zh-CN"/>
        </w:rPr>
      </w:pPr>
      <w:r>
        <w:rPr>
          <w:lang w:val="en-US" w:eastAsia="zh-CN"/>
        </w:rPr>
        <w:t>3</w:t>
      </w:r>
      <w:r>
        <w:rPr>
          <w:lang w:val="en-US" w:eastAsia="zh-CN"/>
        </w:rPr>
        <w:tab/>
      </w:r>
      <w:r w:rsidRPr="00663FC6">
        <w:rPr>
          <w:lang w:val="en-US" w:eastAsia="zh-CN"/>
        </w:rPr>
        <w:t xml:space="preserve">to </w:t>
      </w:r>
      <w:r w:rsidR="00F734D5" w:rsidRPr="00663FC6">
        <w:rPr>
          <w:lang w:val="en-US" w:eastAsia="zh-CN"/>
        </w:rPr>
        <w:t>report to Council regarding</w:t>
      </w:r>
      <w:r w:rsidR="00F734D5">
        <w:rPr>
          <w:lang w:val="en-US" w:eastAsia="zh-CN"/>
        </w:rPr>
        <w:t xml:space="preserve"> implementation of the new agreed separation programme</w:t>
      </w:r>
      <w:r w:rsidR="00224380">
        <w:rPr>
          <w:lang w:val="en-US" w:eastAsia="zh-CN"/>
        </w:rPr>
        <w:t xml:space="preserve">, the </w:t>
      </w:r>
      <w:r w:rsidR="00F734D5" w:rsidRPr="00FA0FF1">
        <w:rPr>
          <w:lang w:val="en-US" w:eastAsia="zh-CN"/>
        </w:rPr>
        <w:t xml:space="preserve">reorganization </w:t>
      </w:r>
      <w:r w:rsidR="00F734D5" w:rsidRPr="00074A34">
        <w:rPr>
          <w:lang w:val="en-US" w:eastAsia="zh-CN"/>
        </w:rPr>
        <w:t>plan of the General Secretariat</w:t>
      </w:r>
      <w:r w:rsidR="00F734D5">
        <w:rPr>
          <w:lang w:val="en-US" w:eastAsia="zh-CN"/>
        </w:rPr>
        <w:t xml:space="preserve"> and the three </w:t>
      </w:r>
      <w:r w:rsidR="005C336B">
        <w:rPr>
          <w:lang w:val="en-US" w:eastAsia="zh-CN"/>
        </w:rPr>
        <w:t>B</w:t>
      </w:r>
      <w:r w:rsidR="00FA0FF1">
        <w:rPr>
          <w:lang w:val="en-US" w:eastAsia="zh-CN"/>
        </w:rPr>
        <w:t>ureau</w:t>
      </w:r>
      <w:r w:rsidR="00074A34">
        <w:rPr>
          <w:lang w:val="en-US" w:eastAsia="zh-CN"/>
        </w:rPr>
        <w:t>x, if any</w:t>
      </w:r>
      <w:r w:rsidR="00F734D5">
        <w:rPr>
          <w:lang w:val="en-US" w:eastAsia="zh-CN"/>
        </w:rPr>
        <w:t>, specifying the number, departments and grade of staff that voluntarily depart under it.</w:t>
      </w:r>
    </w:p>
    <w:p w14:paraId="49B702A7" w14:textId="6419E566" w:rsidR="001434F5" w:rsidRPr="00663FC6" w:rsidRDefault="00C23119" w:rsidP="00663FC6">
      <w:pPr>
        <w:pStyle w:val="AnnexNo"/>
      </w:pPr>
      <w:r w:rsidRPr="00663FC6">
        <w:lastRenderedPageBreak/>
        <w:t>Annex 2</w:t>
      </w:r>
    </w:p>
    <w:p w14:paraId="7DA50F0D" w14:textId="45CEC581" w:rsidR="00C23119" w:rsidRDefault="00C23119" w:rsidP="004D52E1">
      <w:pPr>
        <w:pStyle w:val="Annextitle"/>
      </w:pPr>
      <w:r w:rsidRPr="00663FC6">
        <w:t xml:space="preserve">Summary of </w:t>
      </w:r>
      <w:r w:rsidR="00DA79C5" w:rsidRPr="00663FC6">
        <w:t>VSP approved under PP-22</w:t>
      </w:r>
    </w:p>
    <w:p w14:paraId="2EAB2DF8" w14:textId="77777777" w:rsidR="004D52E1" w:rsidRDefault="00A51FC2" w:rsidP="004D52E1">
      <w:pPr>
        <w:pStyle w:val="Figure"/>
        <w:rPr>
          <w:rFonts w:cs="Calibri"/>
        </w:rPr>
      </w:pPr>
      <w:r w:rsidRPr="00A51FC2">
        <w:rPr>
          <w:noProof/>
        </w:rPr>
        <w:drawing>
          <wp:inline distT="0" distB="0" distL="0" distR="0" wp14:anchorId="3F7BA4E5" wp14:editId="520F3F5C">
            <wp:extent cx="4141695" cy="7244214"/>
            <wp:effectExtent l="0" t="0" r="0" b="0"/>
            <wp:docPr id="194402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1569" name=""/>
                    <pic:cNvPicPr/>
                  </pic:nvPicPr>
                  <pic:blipFill>
                    <a:blip r:embed="rId18"/>
                    <a:stretch>
                      <a:fillRect/>
                    </a:stretch>
                  </pic:blipFill>
                  <pic:spPr>
                    <a:xfrm>
                      <a:off x="0" y="0"/>
                      <a:ext cx="4145678" cy="7251181"/>
                    </a:xfrm>
                    <a:prstGeom prst="rect">
                      <a:avLst/>
                    </a:prstGeom>
                  </pic:spPr>
                </pic:pic>
              </a:graphicData>
            </a:graphic>
          </wp:inline>
        </w:drawing>
      </w:r>
    </w:p>
    <w:p w14:paraId="228F8284" w14:textId="0190E4EE" w:rsidR="001434F5" w:rsidRPr="001434F5" w:rsidRDefault="001434F5" w:rsidP="004D52E1">
      <w:pPr>
        <w:pStyle w:val="Figure"/>
        <w:rPr>
          <w:rFonts w:cs="Calibri"/>
        </w:rPr>
      </w:pPr>
      <w:r w:rsidRPr="001434F5">
        <w:rPr>
          <w:rFonts w:cs="Calibri"/>
        </w:rPr>
        <w:t>_____________</w:t>
      </w:r>
    </w:p>
    <w:sectPr w:rsidR="001434F5" w:rsidRPr="001434F5"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465B" w14:textId="77777777" w:rsidR="00627EF8" w:rsidRDefault="00627EF8">
      <w:r>
        <w:separator/>
      </w:r>
    </w:p>
  </w:endnote>
  <w:endnote w:type="continuationSeparator" w:id="0">
    <w:p w14:paraId="6203D32C" w14:textId="77777777" w:rsidR="00627EF8" w:rsidRDefault="006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34824BC2" w:rsidR="00EE49E8" w:rsidRDefault="00EE49E8" w:rsidP="00EE49E8">
          <w:pPr>
            <w:pStyle w:val="Header"/>
            <w:jc w:val="left"/>
            <w:rPr>
              <w:noProof/>
            </w:rPr>
          </w:pPr>
        </w:p>
      </w:tc>
      <w:tc>
        <w:tcPr>
          <w:tcW w:w="8261" w:type="dxa"/>
        </w:tcPr>
        <w:p w14:paraId="3E7590DE" w14:textId="5EC1E77B" w:rsidR="00EE49E8" w:rsidRPr="00E06FD5" w:rsidRDefault="00EE49E8" w:rsidP="001A0CDD">
          <w:pPr>
            <w:pStyle w:val="Header"/>
            <w:tabs>
              <w:tab w:val="left" w:pos="6450"/>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5C336B">
            <w:rPr>
              <w:bCs/>
            </w:rPr>
            <w:t>42(Rev.2)</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4FDA41E9" w:rsidR="00EE49E8" w:rsidRPr="00E06FD5" w:rsidRDefault="00EE49E8" w:rsidP="009F25F2">
          <w:pPr>
            <w:pStyle w:val="Header"/>
            <w:tabs>
              <w:tab w:val="left" w:pos="6456"/>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5C336B">
            <w:rPr>
              <w:bCs/>
            </w:rPr>
            <w:t>42(Rev.2)</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6804" w14:textId="77777777" w:rsidR="00627EF8" w:rsidRDefault="00627EF8">
      <w:r>
        <w:t>____________________</w:t>
      </w:r>
    </w:p>
  </w:footnote>
  <w:footnote w:type="continuationSeparator" w:id="0">
    <w:p w14:paraId="4676D4F0" w14:textId="77777777" w:rsidR="00627EF8" w:rsidRDefault="0062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42BF0"/>
    <w:multiLevelType w:val="multilevel"/>
    <w:tmpl w:val="BB2A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F0F1"/>
    <w:multiLevelType w:val="hybridMultilevel"/>
    <w:tmpl w:val="FFFFFFFF"/>
    <w:lvl w:ilvl="0" w:tplc="ED600118">
      <w:start w:val="1"/>
      <w:numFmt w:val="decimal"/>
      <w:lvlText w:val="%1."/>
      <w:lvlJc w:val="left"/>
      <w:pPr>
        <w:ind w:left="720" w:hanging="360"/>
      </w:pPr>
    </w:lvl>
    <w:lvl w:ilvl="1" w:tplc="3858FB98">
      <w:start w:val="1"/>
      <w:numFmt w:val="lowerLetter"/>
      <w:lvlText w:val="%2."/>
      <w:lvlJc w:val="left"/>
      <w:pPr>
        <w:ind w:left="1440" w:hanging="360"/>
      </w:pPr>
    </w:lvl>
    <w:lvl w:ilvl="2" w:tplc="C28C0644">
      <w:start w:val="1"/>
      <w:numFmt w:val="lowerRoman"/>
      <w:lvlText w:val="%3."/>
      <w:lvlJc w:val="right"/>
      <w:pPr>
        <w:ind w:left="2160" w:hanging="180"/>
      </w:pPr>
    </w:lvl>
    <w:lvl w:ilvl="3" w:tplc="DE481988">
      <w:start w:val="1"/>
      <w:numFmt w:val="decimal"/>
      <w:lvlText w:val="%4."/>
      <w:lvlJc w:val="left"/>
      <w:pPr>
        <w:ind w:left="2880" w:hanging="360"/>
      </w:pPr>
    </w:lvl>
    <w:lvl w:ilvl="4" w:tplc="F238D6CE">
      <w:start w:val="1"/>
      <w:numFmt w:val="lowerLetter"/>
      <w:lvlText w:val="%5."/>
      <w:lvlJc w:val="left"/>
      <w:pPr>
        <w:ind w:left="3600" w:hanging="360"/>
      </w:pPr>
    </w:lvl>
    <w:lvl w:ilvl="5" w:tplc="1C1EFF9A">
      <w:start w:val="1"/>
      <w:numFmt w:val="lowerRoman"/>
      <w:lvlText w:val="%6."/>
      <w:lvlJc w:val="right"/>
      <w:pPr>
        <w:ind w:left="4320" w:hanging="180"/>
      </w:pPr>
    </w:lvl>
    <w:lvl w:ilvl="6" w:tplc="62280888">
      <w:start w:val="1"/>
      <w:numFmt w:val="decimal"/>
      <w:lvlText w:val="%7."/>
      <w:lvlJc w:val="left"/>
      <w:pPr>
        <w:ind w:left="5040" w:hanging="360"/>
      </w:pPr>
    </w:lvl>
    <w:lvl w:ilvl="7" w:tplc="BA48DA52">
      <w:start w:val="1"/>
      <w:numFmt w:val="lowerLetter"/>
      <w:lvlText w:val="%8."/>
      <w:lvlJc w:val="left"/>
      <w:pPr>
        <w:ind w:left="5760" w:hanging="360"/>
      </w:pPr>
    </w:lvl>
    <w:lvl w:ilvl="8" w:tplc="FB126EC6">
      <w:start w:val="1"/>
      <w:numFmt w:val="lowerRoman"/>
      <w:lvlText w:val="%9."/>
      <w:lvlJc w:val="right"/>
      <w:pPr>
        <w:ind w:left="6480" w:hanging="180"/>
      </w:pPr>
    </w:lvl>
  </w:abstractNum>
  <w:abstractNum w:abstractNumId="3" w15:restartNumberingAfterBreak="0">
    <w:nsid w:val="11300FDF"/>
    <w:multiLevelType w:val="multilevel"/>
    <w:tmpl w:val="44EA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613E4"/>
    <w:multiLevelType w:val="hybridMultilevel"/>
    <w:tmpl w:val="A816C6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7B44D72"/>
    <w:multiLevelType w:val="multilevel"/>
    <w:tmpl w:val="C1DE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0144C"/>
    <w:multiLevelType w:val="multilevel"/>
    <w:tmpl w:val="A4A8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55A79"/>
    <w:multiLevelType w:val="hybridMultilevel"/>
    <w:tmpl w:val="415CEF4E"/>
    <w:lvl w:ilvl="0" w:tplc="EF063832">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362404"/>
    <w:multiLevelType w:val="multilevel"/>
    <w:tmpl w:val="B62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926261">
    <w:abstractNumId w:val="0"/>
  </w:num>
  <w:num w:numId="2" w16cid:durableId="557712281">
    <w:abstractNumId w:val="1"/>
  </w:num>
  <w:num w:numId="3" w16cid:durableId="1220675502">
    <w:abstractNumId w:val="3"/>
  </w:num>
  <w:num w:numId="4" w16cid:durableId="1463620588">
    <w:abstractNumId w:val="6"/>
  </w:num>
  <w:num w:numId="5" w16cid:durableId="224075718">
    <w:abstractNumId w:val="8"/>
  </w:num>
  <w:num w:numId="6" w16cid:durableId="1107315073">
    <w:abstractNumId w:val="2"/>
  </w:num>
  <w:num w:numId="7" w16cid:durableId="1801606130">
    <w:abstractNumId w:val="5"/>
  </w:num>
  <w:num w:numId="8" w16cid:durableId="234248637">
    <w:abstractNumId w:val="4"/>
  </w:num>
  <w:num w:numId="9" w16cid:durableId="892884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131"/>
    <w:rsid w:val="0000295D"/>
    <w:rsid w:val="00005A04"/>
    <w:rsid w:val="00006CB3"/>
    <w:rsid w:val="00006DBB"/>
    <w:rsid w:val="000103AF"/>
    <w:rsid w:val="00011D5C"/>
    <w:rsid w:val="00015C48"/>
    <w:rsid w:val="00016B31"/>
    <w:rsid w:val="000203AD"/>
    <w:rsid w:val="000210D4"/>
    <w:rsid w:val="00023773"/>
    <w:rsid w:val="000302D4"/>
    <w:rsid w:val="00037B4A"/>
    <w:rsid w:val="00042368"/>
    <w:rsid w:val="000462EF"/>
    <w:rsid w:val="000469EA"/>
    <w:rsid w:val="000513E4"/>
    <w:rsid w:val="000575AB"/>
    <w:rsid w:val="0006007D"/>
    <w:rsid w:val="00060793"/>
    <w:rsid w:val="00060884"/>
    <w:rsid w:val="00063016"/>
    <w:rsid w:val="000632EF"/>
    <w:rsid w:val="00066795"/>
    <w:rsid w:val="00070528"/>
    <w:rsid w:val="0007065D"/>
    <w:rsid w:val="00070FF8"/>
    <w:rsid w:val="00072CE7"/>
    <w:rsid w:val="00074A34"/>
    <w:rsid w:val="00075379"/>
    <w:rsid w:val="00076AF6"/>
    <w:rsid w:val="00082557"/>
    <w:rsid w:val="000828AB"/>
    <w:rsid w:val="00085CF2"/>
    <w:rsid w:val="00087415"/>
    <w:rsid w:val="000878D2"/>
    <w:rsid w:val="000906D9"/>
    <w:rsid w:val="000912C0"/>
    <w:rsid w:val="00092B33"/>
    <w:rsid w:val="0009336C"/>
    <w:rsid w:val="00095B01"/>
    <w:rsid w:val="000A1E34"/>
    <w:rsid w:val="000A7116"/>
    <w:rsid w:val="000B0F50"/>
    <w:rsid w:val="000B1705"/>
    <w:rsid w:val="000B22D4"/>
    <w:rsid w:val="000B23B9"/>
    <w:rsid w:val="000B36E9"/>
    <w:rsid w:val="000B71CD"/>
    <w:rsid w:val="000C0BB2"/>
    <w:rsid w:val="000C2033"/>
    <w:rsid w:val="000C3E5B"/>
    <w:rsid w:val="000C3FCE"/>
    <w:rsid w:val="000C5473"/>
    <w:rsid w:val="000C55B8"/>
    <w:rsid w:val="000C60C5"/>
    <w:rsid w:val="000D0C21"/>
    <w:rsid w:val="000D3EDE"/>
    <w:rsid w:val="000D75B2"/>
    <w:rsid w:val="000D79C3"/>
    <w:rsid w:val="000E372C"/>
    <w:rsid w:val="000E5835"/>
    <w:rsid w:val="000E5FA8"/>
    <w:rsid w:val="000E619B"/>
    <w:rsid w:val="000E6595"/>
    <w:rsid w:val="000E6715"/>
    <w:rsid w:val="000F1074"/>
    <w:rsid w:val="000F2FDC"/>
    <w:rsid w:val="000F5DDB"/>
    <w:rsid w:val="0010024A"/>
    <w:rsid w:val="00100644"/>
    <w:rsid w:val="00101AF4"/>
    <w:rsid w:val="00102E72"/>
    <w:rsid w:val="00104D6B"/>
    <w:rsid w:val="00106841"/>
    <w:rsid w:val="00110F39"/>
    <w:rsid w:val="001121F5"/>
    <w:rsid w:val="00115EB0"/>
    <w:rsid w:val="00116368"/>
    <w:rsid w:val="00120C2B"/>
    <w:rsid w:val="00124F3F"/>
    <w:rsid w:val="00132091"/>
    <w:rsid w:val="00133F69"/>
    <w:rsid w:val="001400DC"/>
    <w:rsid w:val="00140CE1"/>
    <w:rsid w:val="001434F5"/>
    <w:rsid w:val="00143735"/>
    <w:rsid w:val="00146634"/>
    <w:rsid w:val="0015189A"/>
    <w:rsid w:val="0015223A"/>
    <w:rsid w:val="0015575D"/>
    <w:rsid w:val="00155BFF"/>
    <w:rsid w:val="00160F54"/>
    <w:rsid w:val="001614C9"/>
    <w:rsid w:val="00161F05"/>
    <w:rsid w:val="00164480"/>
    <w:rsid w:val="00164752"/>
    <w:rsid w:val="001647F6"/>
    <w:rsid w:val="00164F0B"/>
    <w:rsid w:val="001657D2"/>
    <w:rsid w:val="00167820"/>
    <w:rsid w:val="00167DA7"/>
    <w:rsid w:val="00171473"/>
    <w:rsid w:val="001720A1"/>
    <w:rsid w:val="0017539C"/>
    <w:rsid w:val="00175AC2"/>
    <w:rsid w:val="0017609F"/>
    <w:rsid w:val="0017626B"/>
    <w:rsid w:val="00176F47"/>
    <w:rsid w:val="00180873"/>
    <w:rsid w:val="0018124A"/>
    <w:rsid w:val="00183321"/>
    <w:rsid w:val="00186A72"/>
    <w:rsid w:val="00187206"/>
    <w:rsid w:val="001929F7"/>
    <w:rsid w:val="00195B66"/>
    <w:rsid w:val="001A0CDD"/>
    <w:rsid w:val="001A3154"/>
    <w:rsid w:val="001A31C4"/>
    <w:rsid w:val="001A4668"/>
    <w:rsid w:val="001A72FA"/>
    <w:rsid w:val="001A7D1D"/>
    <w:rsid w:val="001B3058"/>
    <w:rsid w:val="001B51DD"/>
    <w:rsid w:val="001C628E"/>
    <w:rsid w:val="001C6E6A"/>
    <w:rsid w:val="001D29FE"/>
    <w:rsid w:val="001D4A0F"/>
    <w:rsid w:val="001D7DE3"/>
    <w:rsid w:val="001E0F2E"/>
    <w:rsid w:val="001E0F7B"/>
    <w:rsid w:val="001E1AAA"/>
    <w:rsid w:val="001E4E4F"/>
    <w:rsid w:val="001E77DB"/>
    <w:rsid w:val="001F040C"/>
    <w:rsid w:val="001F2CA4"/>
    <w:rsid w:val="001F5538"/>
    <w:rsid w:val="001F5569"/>
    <w:rsid w:val="0020007F"/>
    <w:rsid w:val="002003AD"/>
    <w:rsid w:val="0020487B"/>
    <w:rsid w:val="00210197"/>
    <w:rsid w:val="002119FD"/>
    <w:rsid w:val="002130E0"/>
    <w:rsid w:val="00220C45"/>
    <w:rsid w:val="00221F46"/>
    <w:rsid w:val="00223571"/>
    <w:rsid w:val="002238ED"/>
    <w:rsid w:val="002241D4"/>
    <w:rsid w:val="00224380"/>
    <w:rsid w:val="0022631B"/>
    <w:rsid w:val="00230436"/>
    <w:rsid w:val="002322B9"/>
    <w:rsid w:val="00233280"/>
    <w:rsid w:val="0023505F"/>
    <w:rsid w:val="00235E69"/>
    <w:rsid w:val="002469CA"/>
    <w:rsid w:val="00246B16"/>
    <w:rsid w:val="0025049B"/>
    <w:rsid w:val="00251644"/>
    <w:rsid w:val="00253B45"/>
    <w:rsid w:val="002542A1"/>
    <w:rsid w:val="00254364"/>
    <w:rsid w:val="00257ACD"/>
    <w:rsid w:val="00264425"/>
    <w:rsid w:val="00264F92"/>
    <w:rsid w:val="00264FEA"/>
    <w:rsid w:val="00265875"/>
    <w:rsid w:val="002670DC"/>
    <w:rsid w:val="00267856"/>
    <w:rsid w:val="0027064A"/>
    <w:rsid w:val="0027294F"/>
    <w:rsid w:val="0027303B"/>
    <w:rsid w:val="00277C85"/>
    <w:rsid w:val="00277DEA"/>
    <w:rsid w:val="00280B19"/>
    <w:rsid w:val="0028109B"/>
    <w:rsid w:val="00290A7F"/>
    <w:rsid w:val="002916B4"/>
    <w:rsid w:val="00293DD7"/>
    <w:rsid w:val="00294DA1"/>
    <w:rsid w:val="00295473"/>
    <w:rsid w:val="00296421"/>
    <w:rsid w:val="00297141"/>
    <w:rsid w:val="002A0615"/>
    <w:rsid w:val="002A133E"/>
    <w:rsid w:val="002A2188"/>
    <w:rsid w:val="002A3AAA"/>
    <w:rsid w:val="002A3ADA"/>
    <w:rsid w:val="002A5CF5"/>
    <w:rsid w:val="002B1F58"/>
    <w:rsid w:val="002B5274"/>
    <w:rsid w:val="002B5F43"/>
    <w:rsid w:val="002C1C7A"/>
    <w:rsid w:val="002C3639"/>
    <w:rsid w:val="002C3F32"/>
    <w:rsid w:val="002C4510"/>
    <w:rsid w:val="002C54E2"/>
    <w:rsid w:val="002D4205"/>
    <w:rsid w:val="002D6A2F"/>
    <w:rsid w:val="002E0CE4"/>
    <w:rsid w:val="002E3DF6"/>
    <w:rsid w:val="002E76B9"/>
    <w:rsid w:val="002F4040"/>
    <w:rsid w:val="002F6504"/>
    <w:rsid w:val="0030160F"/>
    <w:rsid w:val="00301BA7"/>
    <w:rsid w:val="00302CA6"/>
    <w:rsid w:val="003040E1"/>
    <w:rsid w:val="0030497C"/>
    <w:rsid w:val="003056A8"/>
    <w:rsid w:val="00307634"/>
    <w:rsid w:val="003079BF"/>
    <w:rsid w:val="003149CB"/>
    <w:rsid w:val="00320223"/>
    <w:rsid w:val="00322A22"/>
    <w:rsid w:val="00322D0D"/>
    <w:rsid w:val="00323541"/>
    <w:rsid w:val="00325B85"/>
    <w:rsid w:val="003265D1"/>
    <w:rsid w:val="00327E96"/>
    <w:rsid w:val="003344B5"/>
    <w:rsid w:val="00336D71"/>
    <w:rsid w:val="00352B0A"/>
    <w:rsid w:val="00353FF1"/>
    <w:rsid w:val="00356A98"/>
    <w:rsid w:val="00357FCD"/>
    <w:rsid w:val="00361465"/>
    <w:rsid w:val="003658D5"/>
    <w:rsid w:val="003701FF"/>
    <w:rsid w:val="00373774"/>
    <w:rsid w:val="00374034"/>
    <w:rsid w:val="0037499C"/>
    <w:rsid w:val="00375778"/>
    <w:rsid w:val="00381378"/>
    <w:rsid w:val="003824FF"/>
    <w:rsid w:val="003877F5"/>
    <w:rsid w:val="00392C15"/>
    <w:rsid w:val="00393599"/>
    <w:rsid w:val="003936D3"/>
    <w:rsid w:val="003942D4"/>
    <w:rsid w:val="00394588"/>
    <w:rsid w:val="0039516A"/>
    <w:rsid w:val="003958A8"/>
    <w:rsid w:val="00396236"/>
    <w:rsid w:val="003A0345"/>
    <w:rsid w:val="003A34B2"/>
    <w:rsid w:val="003A44AD"/>
    <w:rsid w:val="003A5155"/>
    <w:rsid w:val="003B17E4"/>
    <w:rsid w:val="003B1F6A"/>
    <w:rsid w:val="003B29C2"/>
    <w:rsid w:val="003B4FAF"/>
    <w:rsid w:val="003C1400"/>
    <w:rsid w:val="003C2533"/>
    <w:rsid w:val="003C29D7"/>
    <w:rsid w:val="003C3014"/>
    <w:rsid w:val="003C45C8"/>
    <w:rsid w:val="003C716D"/>
    <w:rsid w:val="003D4B8C"/>
    <w:rsid w:val="003D5A7F"/>
    <w:rsid w:val="003E2280"/>
    <w:rsid w:val="003E4D1F"/>
    <w:rsid w:val="003E5641"/>
    <w:rsid w:val="003E6C53"/>
    <w:rsid w:val="003E7BF6"/>
    <w:rsid w:val="003F01C3"/>
    <w:rsid w:val="003F0228"/>
    <w:rsid w:val="003F181F"/>
    <w:rsid w:val="003F1FB5"/>
    <w:rsid w:val="003F20CE"/>
    <w:rsid w:val="003F4417"/>
    <w:rsid w:val="0040435A"/>
    <w:rsid w:val="00407BA7"/>
    <w:rsid w:val="00412605"/>
    <w:rsid w:val="004151A9"/>
    <w:rsid w:val="004167BE"/>
    <w:rsid w:val="00416A24"/>
    <w:rsid w:val="00417F84"/>
    <w:rsid w:val="00420BA2"/>
    <w:rsid w:val="00421C78"/>
    <w:rsid w:val="004240D1"/>
    <w:rsid w:val="00424D07"/>
    <w:rsid w:val="004276D2"/>
    <w:rsid w:val="004316C1"/>
    <w:rsid w:val="00431D9E"/>
    <w:rsid w:val="00431DBF"/>
    <w:rsid w:val="00433CE8"/>
    <w:rsid w:val="00434A5C"/>
    <w:rsid w:val="00435054"/>
    <w:rsid w:val="00444C75"/>
    <w:rsid w:val="004502CD"/>
    <w:rsid w:val="00453079"/>
    <w:rsid w:val="004544D9"/>
    <w:rsid w:val="0045657A"/>
    <w:rsid w:val="004621E4"/>
    <w:rsid w:val="00462803"/>
    <w:rsid w:val="00463674"/>
    <w:rsid w:val="004646F3"/>
    <w:rsid w:val="0046629C"/>
    <w:rsid w:val="00466479"/>
    <w:rsid w:val="0046659A"/>
    <w:rsid w:val="00472BAD"/>
    <w:rsid w:val="0047425A"/>
    <w:rsid w:val="00475599"/>
    <w:rsid w:val="00476596"/>
    <w:rsid w:val="00477E80"/>
    <w:rsid w:val="00477EB0"/>
    <w:rsid w:val="00480415"/>
    <w:rsid w:val="004817E9"/>
    <w:rsid w:val="004831EE"/>
    <w:rsid w:val="00484009"/>
    <w:rsid w:val="00484591"/>
    <w:rsid w:val="0048729B"/>
    <w:rsid w:val="00490A17"/>
    <w:rsid w:val="00490E72"/>
    <w:rsid w:val="00491157"/>
    <w:rsid w:val="00491BA9"/>
    <w:rsid w:val="004921C8"/>
    <w:rsid w:val="0049369C"/>
    <w:rsid w:val="00495615"/>
    <w:rsid w:val="0049565D"/>
    <w:rsid w:val="00495B0B"/>
    <w:rsid w:val="0049733B"/>
    <w:rsid w:val="004A17ED"/>
    <w:rsid w:val="004A1B8B"/>
    <w:rsid w:val="004A246C"/>
    <w:rsid w:val="004B5651"/>
    <w:rsid w:val="004C189C"/>
    <w:rsid w:val="004C319D"/>
    <w:rsid w:val="004C753B"/>
    <w:rsid w:val="004D1023"/>
    <w:rsid w:val="004D1851"/>
    <w:rsid w:val="004D1A26"/>
    <w:rsid w:val="004D52E1"/>
    <w:rsid w:val="004D599D"/>
    <w:rsid w:val="004E1CD8"/>
    <w:rsid w:val="004E2EA5"/>
    <w:rsid w:val="004E3AEB"/>
    <w:rsid w:val="004E52B0"/>
    <w:rsid w:val="004E69A2"/>
    <w:rsid w:val="004F012F"/>
    <w:rsid w:val="004F0B40"/>
    <w:rsid w:val="004F5C89"/>
    <w:rsid w:val="0050098D"/>
    <w:rsid w:val="00501C53"/>
    <w:rsid w:val="00501D4C"/>
    <w:rsid w:val="0050223C"/>
    <w:rsid w:val="0050602A"/>
    <w:rsid w:val="00507A54"/>
    <w:rsid w:val="00512087"/>
    <w:rsid w:val="00515C74"/>
    <w:rsid w:val="00521995"/>
    <w:rsid w:val="005227C3"/>
    <w:rsid w:val="005243FF"/>
    <w:rsid w:val="00524D28"/>
    <w:rsid w:val="005277AC"/>
    <w:rsid w:val="00533EFD"/>
    <w:rsid w:val="0053750B"/>
    <w:rsid w:val="00563DDE"/>
    <w:rsid w:val="00564FBC"/>
    <w:rsid w:val="00565378"/>
    <w:rsid w:val="0056634D"/>
    <w:rsid w:val="005666A2"/>
    <w:rsid w:val="00572A09"/>
    <w:rsid w:val="00573F33"/>
    <w:rsid w:val="00574CFD"/>
    <w:rsid w:val="00576E81"/>
    <w:rsid w:val="00576EA7"/>
    <w:rsid w:val="005800BC"/>
    <w:rsid w:val="00582442"/>
    <w:rsid w:val="00585AA0"/>
    <w:rsid w:val="005860F2"/>
    <w:rsid w:val="00592790"/>
    <w:rsid w:val="0059384F"/>
    <w:rsid w:val="005944E8"/>
    <w:rsid w:val="005A57D1"/>
    <w:rsid w:val="005A5A0D"/>
    <w:rsid w:val="005B0588"/>
    <w:rsid w:val="005B1501"/>
    <w:rsid w:val="005B19E0"/>
    <w:rsid w:val="005C0CCE"/>
    <w:rsid w:val="005C0ED1"/>
    <w:rsid w:val="005C1C9E"/>
    <w:rsid w:val="005C336B"/>
    <w:rsid w:val="005C40A4"/>
    <w:rsid w:val="005C467C"/>
    <w:rsid w:val="005C7D01"/>
    <w:rsid w:val="005D0CE1"/>
    <w:rsid w:val="005D2C9D"/>
    <w:rsid w:val="005D68F2"/>
    <w:rsid w:val="005E1267"/>
    <w:rsid w:val="005E2CB7"/>
    <w:rsid w:val="005E758D"/>
    <w:rsid w:val="005F274C"/>
    <w:rsid w:val="005F3269"/>
    <w:rsid w:val="005F3670"/>
    <w:rsid w:val="005F4864"/>
    <w:rsid w:val="005F510E"/>
    <w:rsid w:val="005F7D49"/>
    <w:rsid w:val="00601B55"/>
    <w:rsid w:val="006046E4"/>
    <w:rsid w:val="006051C0"/>
    <w:rsid w:val="0060714E"/>
    <w:rsid w:val="00607776"/>
    <w:rsid w:val="0061071E"/>
    <w:rsid w:val="006159F9"/>
    <w:rsid w:val="00617FEC"/>
    <w:rsid w:val="00621DE4"/>
    <w:rsid w:val="00623AE3"/>
    <w:rsid w:val="00624CC9"/>
    <w:rsid w:val="0062618A"/>
    <w:rsid w:val="00627E4F"/>
    <w:rsid w:val="00627EF8"/>
    <w:rsid w:val="00630DCC"/>
    <w:rsid w:val="006325E4"/>
    <w:rsid w:val="00635AF6"/>
    <w:rsid w:val="00644C94"/>
    <w:rsid w:val="006462C8"/>
    <w:rsid w:val="0064737F"/>
    <w:rsid w:val="00650E4A"/>
    <w:rsid w:val="006535F1"/>
    <w:rsid w:val="0065557D"/>
    <w:rsid w:val="00656C1B"/>
    <w:rsid w:val="00660D50"/>
    <w:rsid w:val="00662984"/>
    <w:rsid w:val="00663FC6"/>
    <w:rsid w:val="00665209"/>
    <w:rsid w:val="006716BB"/>
    <w:rsid w:val="00671C55"/>
    <w:rsid w:val="006722CF"/>
    <w:rsid w:val="00673FC2"/>
    <w:rsid w:val="00676E90"/>
    <w:rsid w:val="00685376"/>
    <w:rsid w:val="006A06F1"/>
    <w:rsid w:val="006A0FCC"/>
    <w:rsid w:val="006A2F4B"/>
    <w:rsid w:val="006A441E"/>
    <w:rsid w:val="006A49E7"/>
    <w:rsid w:val="006A4C05"/>
    <w:rsid w:val="006A4F00"/>
    <w:rsid w:val="006B1859"/>
    <w:rsid w:val="006B1E0A"/>
    <w:rsid w:val="006B6680"/>
    <w:rsid w:val="006B6DCC"/>
    <w:rsid w:val="006B77F1"/>
    <w:rsid w:val="006C3F7F"/>
    <w:rsid w:val="006C5B73"/>
    <w:rsid w:val="006D0C81"/>
    <w:rsid w:val="006D1359"/>
    <w:rsid w:val="006D2375"/>
    <w:rsid w:val="006D2D92"/>
    <w:rsid w:val="006D4884"/>
    <w:rsid w:val="006D77BB"/>
    <w:rsid w:val="006D7D6A"/>
    <w:rsid w:val="006E2ED1"/>
    <w:rsid w:val="006E3C20"/>
    <w:rsid w:val="006E4858"/>
    <w:rsid w:val="006E541B"/>
    <w:rsid w:val="006E66A1"/>
    <w:rsid w:val="006E69C3"/>
    <w:rsid w:val="006F1188"/>
    <w:rsid w:val="006F17C6"/>
    <w:rsid w:val="006F1C5A"/>
    <w:rsid w:val="006F5C01"/>
    <w:rsid w:val="006F7B7D"/>
    <w:rsid w:val="00700545"/>
    <w:rsid w:val="00702AD7"/>
    <w:rsid w:val="00702DEF"/>
    <w:rsid w:val="00706861"/>
    <w:rsid w:val="007109A1"/>
    <w:rsid w:val="00710AAE"/>
    <w:rsid w:val="00711C16"/>
    <w:rsid w:val="00717247"/>
    <w:rsid w:val="00717F16"/>
    <w:rsid w:val="00722551"/>
    <w:rsid w:val="00722D8B"/>
    <w:rsid w:val="007236BF"/>
    <w:rsid w:val="00730E9F"/>
    <w:rsid w:val="00734049"/>
    <w:rsid w:val="00736EBE"/>
    <w:rsid w:val="00737249"/>
    <w:rsid w:val="00743717"/>
    <w:rsid w:val="00747620"/>
    <w:rsid w:val="0075051B"/>
    <w:rsid w:val="007505DE"/>
    <w:rsid w:val="00750825"/>
    <w:rsid w:val="0075299E"/>
    <w:rsid w:val="00757923"/>
    <w:rsid w:val="00760624"/>
    <w:rsid w:val="0076205F"/>
    <w:rsid w:val="00763EDF"/>
    <w:rsid w:val="00763EF0"/>
    <w:rsid w:val="00765C89"/>
    <w:rsid w:val="00766321"/>
    <w:rsid w:val="0076780E"/>
    <w:rsid w:val="007701B9"/>
    <w:rsid w:val="0077110E"/>
    <w:rsid w:val="00772A93"/>
    <w:rsid w:val="007871BA"/>
    <w:rsid w:val="00793188"/>
    <w:rsid w:val="007936FD"/>
    <w:rsid w:val="00793ABC"/>
    <w:rsid w:val="00793D5E"/>
    <w:rsid w:val="00794D34"/>
    <w:rsid w:val="007A1418"/>
    <w:rsid w:val="007A1902"/>
    <w:rsid w:val="007A3FCD"/>
    <w:rsid w:val="007A5706"/>
    <w:rsid w:val="007B18A2"/>
    <w:rsid w:val="007B19CF"/>
    <w:rsid w:val="007B5194"/>
    <w:rsid w:val="007B630F"/>
    <w:rsid w:val="007C15E9"/>
    <w:rsid w:val="007C25A4"/>
    <w:rsid w:val="007D014C"/>
    <w:rsid w:val="007D01AF"/>
    <w:rsid w:val="007D3173"/>
    <w:rsid w:val="007D4E7D"/>
    <w:rsid w:val="007D56EE"/>
    <w:rsid w:val="007D5EA2"/>
    <w:rsid w:val="007D796E"/>
    <w:rsid w:val="007E29CC"/>
    <w:rsid w:val="007F0BD2"/>
    <w:rsid w:val="007F573B"/>
    <w:rsid w:val="007F5825"/>
    <w:rsid w:val="007F63DE"/>
    <w:rsid w:val="0080130E"/>
    <w:rsid w:val="00803DAF"/>
    <w:rsid w:val="00804685"/>
    <w:rsid w:val="00805402"/>
    <w:rsid w:val="00805DC8"/>
    <w:rsid w:val="008060A3"/>
    <w:rsid w:val="00813A0E"/>
    <w:rsid w:val="00813E5E"/>
    <w:rsid w:val="00814732"/>
    <w:rsid w:val="00814D7B"/>
    <w:rsid w:val="00825896"/>
    <w:rsid w:val="00827682"/>
    <w:rsid w:val="008304EA"/>
    <w:rsid w:val="008312A8"/>
    <w:rsid w:val="00834947"/>
    <w:rsid w:val="0083581B"/>
    <w:rsid w:val="0083720A"/>
    <w:rsid w:val="0084036C"/>
    <w:rsid w:val="00842C0B"/>
    <w:rsid w:val="00843891"/>
    <w:rsid w:val="0084546D"/>
    <w:rsid w:val="00846139"/>
    <w:rsid w:val="00851437"/>
    <w:rsid w:val="00852478"/>
    <w:rsid w:val="00855618"/>
    <w:rsid w:val="00856B53"/>
    <w:rsid w:val="00857568"/>
    <w:rsid w:val="008604C9"/>
    <w:rsid w:val="00863874"/>
    <w:rsid w:val="008641CA"/>
    <w:rsid w:val="00864AFF"/>
    <w:rsid w:val="00865925"/>
    <w:rsid w:val="00866DA2"/>
    <w:rsid w:val="0087249C"/>
    <w:rsid w:val="00872DBB"/>
    <w:rsid w:val="00872F52"/>
    <w:rsid w:val="008730C3"/>
    <w:rsid w:val="0087566B"/>
    <w:rsid w:val="0087677D"/>
    <w:rsid w:val="00880E86"/>
    <w:rsid w:val="0088148C"/>
    <w:rsid w:val="00886AED"/>
    <w:rsid w:val="008873A9"/>
    <w:rsid w:val="0089340C"/>
    <w:rsid w:val="008938B3"/>
    <w:rsid w:val="00893DFC"/>
    <w:rsid w:val="008A15EA"/>
    <w:rsid w:val="008A220A"/>
    <w:rsid w:val="008A5573"/>
    <w:rsid w:val="008A6AFC"/>
    <w:rsid w:val="008A759C"/>
    <w:rsid w:val="008B49A8"/>
    <w:rsid w:val="008B4A6A"/>
    <w:rsid w:val="008B4E86"/>
    <w:rsid w:val="008B595D"/>
    <w:rsid w:val="008B73C7"/>
    <w:rsid w:val="008B7827"/>
    <w:rsid w:val="008C25B1"/>
    <w:rsid w:val="008C3C2C"/>
    <w:rsid w:val="008C6542"/>
    <w:rsid w:val="008C7E27"/>
    <w:rsid w:val="008D0130"/>
    <w:rsid w:val="008D16D4"/>
    <w:rsid w:val="008D3FB0"/>
    <w:rsid w:val="008D43D0"/>
    <w:rsid w:val="008D4E7E"/>
    <w:rsid w:val="008D69A8"/>
    <w:rsid w:val="008D6DF7"/>
    <w:rsid w:val="008E28B6"/>
    <w:rsid w:val="008E5B17"/>
    <w:rsid w:val="008E7071"/>
    <w:rsid w:val="008F69A6"/>
    <w:rsid w:val="008F6C5D"/>
    <w:rsid w:val="008F7448"/>
    <w:rsid w:val="009001F8"/>
    <w:rsid w:val="0090147A"/>
    <w:rsid w:val="0090394F"/>
    <w:rsid w:val="00906250"/>
    <w:rsid w:val="00906913"/>
    <w:rsid w:val="0091067D"/>
    <w:rsid w:val="00914F3A"/>
    <w:rsid w:val="0091561E"/>
    <w:rsid w:val="009173EF"/>
    <w:rsid w:val="00924B0D"/>
    <w:rsid w:val="00926068"/>
    <w:rsid w:val="00927E64"/>
    <w:rsid w:val="00930EFD"/>
    <w:rsid w:val="00932332"/>
    <w:rsid w:val="00932906"/>
    <w:rsid w:val="00935F10"/>
    <w:rsid w:val="00941A89"/>
    <w:rsid w:val="00941A8B"/>
    <w:rsid w:val="00945FD6"/>
    <w:rsid w:val="00950961"/>
    <w:rsid w:val="00954C40"/>
    <w:rsid w:val="00954C49"/>
    <w:rsid w:val="00960053"/>
    <w:rsid w:val="0096161C"/>
    <w:rsid w:val="00961B0B"/>
    <w:rsid w:val="00962D33"/>
    <w:rsid w:val="00962F34"/>
    <w:rsid w:val="00963C54"/>
    <w:rsid w:val="00965590"/>
    <w:rsid w:val="00966623"/>
    <w:rsid w:val="00970087"/>
    <w:rsid w:val="00970A69"/>
    <w:rsid w:val="00973E9A"/>
    <w:rsid w:val="00974BBF"/>
    <w:rsid w:val="00975156"/>
    <w:rsid w:val="00980965"/>
    <w:rsid w:val="00980BC0"/>
    <w:rsid w:val="00981E2C"/>
    <w:rsid w:val="009842A1"/>
    <w:rsid w:val="00987C29"/>
    <w:rsid w:val="00991D57"/>
    <w:rsid w:val="00996504"/>
    <w:rsid w:val="00997CC0"/>
    <w:rsid w:val="009A0E8F"/>
    <w:rsid w:val="009A17B2"/>
    <w:rsid w:val="009A3ABC"/>
    <w:rsid w:val="009A6D06"/>
    <w:rsid w:val="009A76A8"/>
    <w:rsid w:val="009B1867"/>
    <w:rsid w:val="009B223D"/>
    <w:rsid w:val="009B3045"/>
    <w:rsid w:val="009B38C3"/>
    <w:rsid w:val="009B3A7F"/>
    <w:rsid w:val="009B52AF"/>
    <w:rsid w:val="009B60A6"/>
    <w:rsid w:val="009B7304"/>
    <w:rsid w:val="009C4372"/>
    <w:rsid w:val="009C54CB"/>
    <w:rsid w:val="009C5861"/>
    <w:rsid w:val="009C6021"/>
    <w:rsid w:val="009D065F"/>
    <w:rsid w:val="009D0A3C"/>
    <w:rsid w:val="009D38C2"/>
    <w:rsid w:val="009D3B1C"/>
    <w:rsid w:val="009D3CF9"/>
    <w:rsid w:val="009D6991"/>
    <w:rsid w:val="009E1688"/>
    <w:rsid w:val="009E17BD"/>
    <w:rsid w:val="009E1C4A"/>
    <w:rsid w:val="009E30FF"/>
    <w:rsid w:val="009E37EF"/>
    <w:rsid w:val="009E38F9"/>
    <w:rsid w:val="009E485A"/>
    <w:rsid w:val="009E486F"/>
    <w:rsid w:val="009E5CDE"/>
    <w:rsid w:val="009F14D7"/>
    <w:rsid w:val="009F25F2"/>
    <w:rsid w:val="009F28F2"/>
    <w:rsid w:val="009F31CE"/>
    <w:rsid w:val="009F3AAD"/>
    <w:rsid w:val="009F43C2"/>
    <w:rsid w:val="00A00BA9"/>
    <w:rsid w:val="00A04CEC"/>
    <w:rsid w:val="00A07402"/>
    <w:rsid w:val="00A074C9"/>
    <w:rsid w:val="00A101F6"/>
    <w:rsid w:val="00A109AF"/>
    <w:rsid w:val="00A128DB"/>
    <w:rsid w:val="00A175C5"/>
    <w:rsid w:val="00A20CC3"/>
    <w:rsid w:val="00A243BB"/>
    <w:rsid w:val="00A27F92"/>
    <w:rsid w:val="00A3013C"/>
    <w:rsid w:val="00A32257"/>
    <w:rsid w:val="00A32476"/>
    <w:rsid w:val="00A365E0"/>
    <w:rsid w:val="00A36605"/>
    <w:rsid w:val="00A36957"/>
    <w:rsid w:val="00A36B3D"/>
    <w:rsid w:val="00A36D20"/>
    <w:rsid w:val="00A4076B"/>
    <w:rsid w:val="00A4197E"/>
    <w:rsid w:val="00A41C74"/>
    <w:rsid w:val="00A43117"/>
    <w:rsid w:val="00A44343"/>
    <w:rsid w:val="00A44F86"/>
    <w:rsid w:val="00A51165"/>
    <w:rsid w:val="00A514A4"/>
    <w:rsid w:val="00A51C43"/>
    <w:rsid w:val="00A51FC2"/>
    <w:rsid w:val="00A523FD"/>
    <w:rsid w:val="00A53D30"/>
    <w:rsid w:val="00A55622"/>
    <w:rsid w:val="00A55D67"/>
    <w:rsid w:val="00A6505C"/>
    <w:rsid w:val="00A65B8A"/>
    <w:rsid w:val="00A66124"/>
    <w:rsid w:val="00A66509"/>
    <w:rsid w:val="00A73187"/>
    <w:rsid w:val="00A75C31"/>
    <w:rsid w:val="00A80EB5"/>
    <w:rsid w:val="00A83502"/>
    <w:rsid w:val="00A84AFA"/>
    <w:rsid w:val="00A858B7"/>
    <w:rsid w:val="00A94BAB"/>
    <w:rsid w:val="00A97B44"/>
    <w:rsid w:val="00AA1E52"/>
    <w:rsid w:val="00AA713E"/>
    <w:rsid w:val="00AB3E9E"/>
    <w:rsid w:val="00AB6912"/>
    <w:rsid w:val="00AC13BC"/>
    <w:rsid w:val="00AC158C"/>
    <w:rsid w:val="00AC3783"/>
    <w:rsid w:val="00AC4408"/>
    <w:rsid w:val="00AC4E84"/>
    <w:rsid w:val="00AD07FC"/>
    <w:rsid w:val="00AD08B8"/>
    <w:rsid w:val="00AD15B3"/>
    <w:rsid w:val="00AD3606"/>
    <w:rsid w:val="00AD3902"/>
    <w:rsid w:val="00AD4A3D"/>
    <w:rsid w:val="00AD5243"/>
    <w:rsid w:val="00AD60AD"/>
    <w:rsid w:val="00AE1904"/>
    <w:rsid w:val="00AE2BC3"/>
    <w:rsid w:val="00AE4166"/>
    <w:rsid w:val="00AE6B2F"/>
    <w:rsid w:val="00AF28F6"/>
    <w:rsid w:val="00AF6E49"/>
    <w:rsid w:val="00AF7FB6"/>
    <w:rsid w:val="00B01BAD"/>
    <w:rsid w:val="00B04A67"/>
    <w:rsid w:val="00B05784"/>
    <w:rsid w:val="00B0583C"/>
    <w:rsid w:val="00B05E7F"/>
    <w:rsid w:val="00B06127"/>
    <w:rsid w:val="00B06BA6"/>
    <w:rsid w:val="00B06DC3"/>
    <w:rsid w:val="00B10884"/>
    <w:rsid w:val="00B10953"/>
    <w:rsid w:val="00B12176"/>
    <w:rsid w:val="00B13626"/>
    <w:rsid w:val="00B150A8"/>
    <w:rsid w:val="00B16D50"/>
    <w:rsid w:val="00B17E87"/>
    <w:rsid w:val="00B21859"/>
    <w:rsid w:val="00B23C2A"/>
    <w:rsid w:val="00B24052"/>
    <w:rsid w:val="00B25C20"/>
    <w:rsid w:val="00B2766F"/>
    <w:rsid w:val="00B357D9"/>
    <w:rsid w:val="00B37ABE"/>
    <w:rsid w:val="00B40505"/>
    <w:rsid w:val="00B40A81"/>
    <w:rsid w:val="00B41492"/>
    <w:rsid w:val="00B44910"/>
    <w:rsid w:val="00B51F38"/>
    <w:rsid w:val="00B53A2C"/>
    <w:rsid w:val="00B54CD0"/>
    <w:rsid w:val="00B55A2C"/>
    <w:rsid w:val="00B66C86"/>
    <w:rsid w:val="00B67678"/>
    <w:rsid w:val="00B70343"/>
    <w:rsid w:val="00B70D10"/>
    <w:rsid w:val="00B72267"/>
    <w:rsid w:val="00B7336A"/>
    <w:rsid w:val="00B75CA2"/>
    <w:rsid w:val="00B76EB6"/>
    <w:rsid w:val="00B77088"/>
    <w:rsid w:val="00B7737B"/>
    <w:rsid w:val="00B818AA"/>
    <w:rsid w:val="00B81E8F"/>
    <w:rsid w:val="00B824C8"/>
    <w:rsid w:val="00B84B9D"/>
    <w:rsid w:val="00B87637"/>
    <w:rsid w:val="00B87AD0"/>
    <w:rsid w:val="00B9131F"/>
    <w:rsid w:val="00B9264E"/>
    <w:rsid w:val="00B95EE2"/>
    <w:rsid w:val="00BA2669"/>
    <w:rsid w:val="00BA674C"/>
    <w:rsid w:val="00BB0646"/>
    <w:rsid w:val="00BB5441"/>
    <w:rsid w:val="00BB639F"/>
    <w:rsid w:val="00BB7BDB"/>
    <w:rsid w:val="00BC251A"/>
    <w:rsid w:val="00BC27C1"/>
    <w:rsid w:val="00BC4A20"/>
    <w:rsid w:val="00BC4DD2"/>
    <w:rsid w:val="00BC50EC"/>
    <w:rsid w:val="00BD032B"/>
    <w:rsid w:val="00BD1230"/>
    <w:rsid w:val="00BD2C1C"/>
    <w:rsid w:val="00BD705D"/>
    <w:rsid w:val="00BD795F"/>
    <w:rsid w:val="00BE01C6"/>
    <w:rsid w:val="00BE0AE2"/>
    <w:rsid w:val="00BE11C8"/>
    <w:rsid w:val="00BE2640"/>
    <w:rsid w:val="00BE4161"/>
    <w:rsid w:val="00BE57BF"/>
    <w:rsid w:val="00BE59EB"/>
    <w:rsid w:val="00BF0229"/>
    <w:rsid w:val="00BF1FDE"/>
    <w:rsid w:val="00C002E5"/>
    <w:rsid w:val="00C01189"/>
    <w:rsid w:val="00C0458D"/>
    <w:rsid w:val="00C071EF"/>
    <w:rsid w:val="00C1156B"/>
    <w:rsid w:val="00C12097"/>
    <w:rsid w:val="00C14D8F"/>
    <w:rsid w:val="00C15173"/>
    <w:rsid w:val="00C16C33"/>
    <w:rsid w:val="00C17EAB"/>
    <w:rsid w:val="00C21417"/>
    <w:rsid w:val="00C22B82"/>
    <w:rsid w:val="00C23119"/>
    <w:rsid w:val="00C246E5"/>
    <w:rsid w:val="00C25E59"/>
    <w:rsid w:val="00C2794F"/>
    <w:rsid w:val="00C31987"/>
    <w:rsid w:val="00C34A44"/>
    <w:rsid w:val="00C353B4"/>
    <w:rsid w:val="00C36A59"/>
    <w:rsid w:val="00C374DE"/>
    <w:rsid w:val="00C37D6A"/>
    <w:rsid w:val="00C42AFB"/>
    <w:rsid w:val="00C437CF"/>
    <w:rsid w:val="00C4644A"/>
    <w:rsid w:val="00C47AD4"/>
    <w:rsid w:val="00C51EFA"/>
    <w:rsid w:val="00C52355"/>
    <w:rsid w:val="00C52B71"/>
    <w:rsid w:val="00C52D81"/>
    <w:rsid w:val="00C538CA"/>
    <w:rsid w:val="00C55198"/>
    <w:rsid w:val="00C553E6"/>
    <w:rsid w:val="00C56C4A"/>
    <w:rsid w:val="00C611EF"/>
    <w:rsid w:val="00C62BEE"/>
    <w:rsid w:val="00C6520B"/>
    <w:rsid w:val="00C725D2"/>
    <w:rsid w:val="00C7277D"/>
    <w:rsid w:val="00C72AF9"/>
    <w:rsid w:val="00C7315A"/>
    <w:rsid w:val="00C74607"/>
    <w:rsid w:val="00C766DE"/>
    <w:rsid w:val="00C76E07"/>
    <w:rsid w:val="00C813CF"/>
    <w:rsid w:val="00C821AA"/>
    <w:rsid w:val="00C83599"/>
    <w:rsid w:val="00C846D7"/>
    <w:rsid w:val="00C8733F"/>
    <w:rsid w:val="00C92258"/>
    <w:rsid w:val="00C943E7"/>
    <w:rsid w:val="00C9537B"/>
    <w:rsid w:val="00C95A94"/>
    <w:rsid w:val="00CA0639"/>
    <w:rsid w:val="00CA5945"/>
    <w:rsid w:val="00CA6393"/>
    <w:rsid w:val="00CA7995"/>
    <w:rsid w:val="00CB08F5"/>
    <w:rsid w:val="00CB18FF"/>
    <w:rsid w:val="00CB48D5"/>
    <w:rsid w:val="00CB4C68"/>
    <w:rsid w:val="00CB7584"/>
    <w:rsid w:val="00CC1EAC"/>
    <w:rsid w:val="00CC56EB"/>
    <w:rsid w:val="00CD0C08"/>
    <w:rsid w:val="00CD1B25"/>
    <w:rsid w:val="00CD1C6B"/>
    <w:rsid w:val="00CD556A"/>
    <w:rsid w:val="00CE03FB"/>
    <w:rsid w:val="00CE433C"/>
    <w:rsid w:val="00CE4ACF"/>
    <w:rsid w:val="00CE6E9A"/>
    <w:rsid w:val="00CE7996"/>
    <w:rsid w:val="00CF0161"/>
    <w:rsid w:val="00CF1BEA"/>
    <w:rsid w:val="00CF2466"/>
    <w:rsid w:val="00CF33F3"/>
    <w:rsid w:val="00CF4A2B"/>
    <w:rsid w:val="00CF6954"/>
    <w:rsid w:val="00D00B7F"/>
    <w:rsid w:val="00D024CA"/>
    <w:rsid w:val="00D0272B"/>
    <w:rsid w:val="00D06183"/>
    <w:rsid w:val="00D07413"/>
    <w:rsid w:val="00D077BF"/>
    <w:rsid w:val="00D15EFB"/>
    <w:rsid w:val="00D17DB5"/>
    <w:rsid w:val="00D22C42"/>
    <w:rsid w:val="00D2502F"/>
    <w:rsid w:val="00D3127F"/>
    <w:rsid w:val="00D32C98"/>
    <w:rsid w:val="00D3559D"/>
    <w:rsid w:val="00D42567"/>
    <w:rsid w:val="00D51C39"/>
    <w:rsid w:val="00D523D6"/>
    <w:rsid w:val="00D55614"/>
    <w:rsid w:val="00D56CAC"/>
    <w:rsid w:val="00D60C93"/>
    <w:rsid w:val="00D65041"/>
    <w:rsid w:val="00D65AB2"/>
    <w:rsid w:val="00D6647E"/>
    <w:rsid w:val="00D703D8"/>
    <w:rsid w:val="00D71C85"/>
    <w:rsid w:val="00D72B2D"/>
    <w:rsid w:val="00D7309B"/>
    <w:rsid w:val="00D825F8"/>
    <w:rsid w:val="00D8392F"/>
    <w:rsid w:val="00D8408C"/>
    <w:rsid w:val="00D84B31"/>
    <w:rsid w:val="00D864DC"/>
    <w:rsid w:val="00D96139"/>
    <w:rsid w:val="00D9680E"/>
    <w:rsid w:val="00DA7681"/>
    <w:rsid w:val="00DA79C5"/>
    <w:rsid w:val="00DA7B89"/>
    <w:rsid w:val="00DB1936"/>
    <w:rsid w:val="00DB2399"/>
    <w:rsid w:val="00DB2436"/>
    <w:rsid w:val="00DB384B"/>
    <w:rsid w:val="00DB49DA"/>
    <w:rsid w:val="00DB66F2"/>
    <w:rsid w:val="00DB7978"/>
    <w:rsid w:val="00DC1A41"/>
    <w:rsid w:val="00DC2DE6"/>
    <w:rsid w:val="00DC44EF"/>
    <w:rsid w:val="00DC480B"/>
    <w:rsid w:val="00DC5276"/>
    <w:rsid w:val="00DC717A"/>
    <w:rsid w:val="00DD2492"/>
    <w:rsid w:val="00DD3480"/>
    <w:rsid w:val="00DD61B0"/>
    <w:rsid w:val="00DD7E3F"/>
    <w:rsid w:val="00DE532B"/>
    <w:rsid w:val="00DE56D0"/>
    <w:rsid w:val="00DE6D31"/>
    <w:rsid w:val="00DF0189"/>
    <w:rsid w:val="00DF174B"/>
    <w:rsid w:val="00DF70AC"/>
    <w:rsid w:val="00DF7EE8"/>
    <w:rsid w:val="00DF7FA2"/>
    <w:rsid w:val="00E023B9"/>
    <w:rsid w:val="00E04207"/>
    <w:rsid w:val="00E042C3"/>
    <w:rsid w:val="00E048FC"/>
    <w:rsid w:val="00E04F61"/>
    <w:rsid w:val="00E06FD5"/>
    <w:rsid w:val="00E0762B"/>
    <w:rsid w:val="00E10E80"/>
    <w:rsid w:val="00E1126C"/>
    <w:rsid w:val="00E124F0"/>
    <w:rsid w:val="00E1363F"/>
    <w:rsid w:val="00E140AA"/>
    <w:rsid w:val="00E147F8"/>
    <w:rsid w:val="00E15C20"/>
    <w:rsid w:val="00E1677E"/>
    <w:rsid w:val="00E227F3"/>
    <w:rsid w:val="00E22955"/>
    <w:rsid w:val="00E243BD"/>
    <w:rsid w:val="00E2492D"/>
    <w:rsid w:val="00E31D9E"/>
    <w:rsid w:val="00E36B82"/>
    <w:rsid w:val="00E42CFB"/>
    <w:rsid w:val="00E44CF8"/>
    <w:rsid w:val="00E45747"/>
    <w:rsid w:val="00E545C6"/>
    <w:rsid w:val="00E56F3A"/>
    <w:rsid w:val="00E572B1"/>
    <w:rsid w:val="00E57D7F"/>
    <w:rsid w:val="00E60F04"/>
    <w:rsid w:val="00E64661"/>
    <w:rsid w:val="00E65B24"/>
    <w:rsid w:val="00E71C9F"/>
    <w:rsid w:val="00E806BB"/>
    <w:rsid w:val="00E81850"/>
    <w:rsid w:val="00E825BC"/>
    <w:rsid w:val="00E854E4"/>
    <w:rsid w:val="00E862D1"/>
    <w:rsid w:val="00E86DBF"/>
    <w:rsid w:val="00E92053"/>
    <w:rsid w:val="00E92610"/>
    <w:rsid w:val="00E969AF"/>
    <w:rsid w:val="00E971BF"/>
    <w:rsid w:val="00EA0E79"/>
    <w:rsid w:val="00EA6E3A"/>
    <w:rsid w:val="00EB0D6F"/>
    <w:rsid w:val="00EB1190"/>
    <w:rsid w:val="00EB2232"/>
    <w:rsid w:val="00EB42C0"/>
    <w:rsid w:val="00EB7A50"/>
    <w:rsid w:val="00EC1182"/>
    <w:rsid w:val="00EC5337"/>
    <w:rsid w:val="00EC63EA"/>
    <w:rsid w:val="00EC6644"/>
    <w:rsid w:val="00EC6917"/>
    <w:rsid w:val="00EC6BAD"/>
    <w:rsid w:val="00EC6E22"/>
    <w:rsid w:val="00ED2E19"/>
    <w:rsid w:val="00EE1361"/>
    <w:rsid w:val="00EE1940"/>
    <w:rsid w:val="00EE2AE5"/>
    <w:rsid w:val="00EE4645"/>
    <w:rsid w:val="00EE49E8"/>
    <w:rsid w:val="00EF1933"/>
    <w:rsid w:val="00EF3B94"/>
    <w:rsid w:val="00F00BF6"/>
    <w:rsid w:val="00F01D4E"/>
    <w:rsid w:val="00F03737"/>
    <w:rsid w:val="00F03E62"/>
    <w:rsid w:val="00F11499"/>
    <w:rsid w:val="00F162D4"/>
    <w:rsid w:val="00F16BAB"/>
    <w:rsid w:val="00F2086B"/>
    <w:rsid w:val="00F2150A"/>
    <w:rsid w:val="00F231D8"/>
    <w:rsid w:val="00F2624E"/>
    <w:rsid w:val="00F26664"/>
    <w:rsid w:val="00F279FC"/>
    <w:rsid w:val="00F27E65"/>
    <w:rsid w:val="00F30413"/>
    <w:rsid w:val="00F31F40"/>
    <w:rsid w:val="00F3268F"/>
    <w:rsid w:val="00F32B3A"/>
    <w:rsid w:val="00F418F8"/>
    <w:rsid w:val="00F431F0"/>
    <w:rsid w:val="00F44C00"/>
    <w:rsid w:val="00F451F3"/>
    <w:rsid w:val="00F45D2C"/>
    <w:rsid w:val="00F46C5F"/>
    <w:rsid w:val="00F50557"/>
    <w:rsid w:val="00F50CD2"/>
    <w:rsid w:val="00F52E26"/>
    <w:rsid w:val="00F5349D"/>
    <w:rsid w:val="00F54DFB"/>
    <w:rsid w:val="00F60AE1"/>
    <w:rsid w:val="00F617EF"/>
    <w:rsid w:val="00F632C0"/>
    <w:rsid w:val="00F641E1"/>
    <w:rsid w:val="00F64E05"/>
    <w:rsid w:val="00F7108C"/>
    <w:rsid w:val="00F71637"/>
    <w:rsid w:val="00F7182F"/>
    <w:rsid w:val="00F71F15"/>
    <w:rsid w:val="00F72572"/>
    <w:rsid w:val="00F734D5"/>
    <w:rsid w:val="00F75A43"/>
    <w:rsid w:val="00F76693"/>
    <w:rsid w:val="00F76DC9"/>
    <w:rsid w:val="00F82DB2"/>
    <w:rsid w:val="00F8428E"/>
    <w:rsid w:val="00F853F9"/>
    <w:rsid w:val="00F90441"/>
    <w:rsid w:val="00F9097E"/>
    <w:rsid w:val="00F93C05"/>
    <w:rsid w:val="00F94A63"/>
    <w:rsid w:val="00F97F35"/>
    <w:rsid w:val="00FA002A"/>
    <w:rsid w:val="00FA09B5"/>
    <w:rsid w:val="00FA0FF1"/>
    <w:rsid w:val="00FA1C28"/>
    <w:rsid w:val="00FA24DD"/>
    <w:rsid w:val="00FA6BCD"/>
    <w:rsid w:val="00FB1279"/>
    <w:rsid w:val="00FB65AF"/>
    <w:rsid w:val="00FB6B76"/>
    <w:rsid w:val="00FB7596"/>
    <w:rsid w:val="00FC36D3"/>
    <w:rsid w:val="00FC4FCD"/>
    <w:rsid w:val="00FD1FA7"/>
    <w:rsid w:val="00FD2B78"/>
    <w:rsid w:val="00FD2CEE"/>
    <w:rsid w:val="00FD31DF"/>
    <w:rsid w:val="00FE0D1B"/>
    <w:rsid w:val="00FE4077"/>
    <w:rsid w:val="00FE500D"/>
    <w:rsid w:val="00FE5D78"/>
    <w:rsid w:val="00FE7432"/>
    <w:rsid w:val="00FE77D2"/>
    <w:rsid w:val="00FE791A"/>
    <w:rsid w:val="00FF16DC"/>
    <w:rsid w:val="00FF39B1"/>
    <w:rsid w:val="00FF4461"/>
    <w:rsid w:val="00FF6E9F"/>
    <w:rsid w:val="013013E2"/>
    <w:rsid w:val="02B6A6E5"/>
    <w:rsid w:val="039D40D8"/>
    <w:rsid w:val="03C7643B"/>
    <w:rsid w:val="03C8B3DB"/>
    <w:rsid w:val="03EEB204"/>
    <w:rsid w:val="0462692B"/>
    <w:rsid w:val="04AC377F"/>
    <w:rsid w:val="05667597"/>
    <w:rsid w:val="05BF2F5E"/>
    <w:rsid w:val="07099EB9"/>
    <w:rsid w:val="08628B1C"/>
    <w:rsid w:val="0ADA9F47"/>
    <w:rsid w:val="0BD287F3"/>
    <w:rsid w:val="0D0C7D0D"/>
    <w:rsid w:val="0DA6B18E"/>
    <w:rsid w:val="1128500A"/>
    <w:rsid w:val="11EA258F"/>
    <w:rsid w:val="120AB636"/>
    <w:rsid w:val="12D6B5F5"/>
    <w:rsid w:val="148D320F"/>
    <w:rsid w:val="15297133"/>
    <w:rsid w:val="1857A71E"/>
    <w:rsid w:val="18A64724"/>
    <w:rsid w:val="1A9F0EE7"/>
    <w:rsid w:val="1AEFC547"/>
    <w:rsid w:val="1AF41D18"/>
    <w:rsid w:val="1B35AE25"/>
    <w:rsid w:val="1D0BDBB0"/>
    <w:rsid w:val="1DC4F8EF"/>
    <w:rsid w:val="1E278281"/>
    <w:rsid w:val="1EC0983E"/>
    <w:rsid w:val="1EF04B86"/>
    <w:rsid w:val="1FCB97F0"/>
    <w:rsid w:val="20561AD6"/>
    <w:rsid w:val="2160F212"/>
    <w:rsid w:val="222F450E"/>
    <w:rsid w:val="22F8DC61"/>
    <w:rsid w:val="242A97B6"/>
    <w:rsid w:val="25112D06"/>
    <w:rsid w:val="2570ECCA"/>
    <w:rsid w:val="277CCD67"/>
    <w:rsid w:val="278991B4"/>
    <w:rsid w:val="279A2A4D"/>
    <w:rsid w:val="2B766CC9"/>
    <w:rsid w:val="2C22D4D6"/>
    <w:rsid w:val="2CA590F9"/>
    <w:rsid w:val="2D9C0B8F"/>
    <w:rsid w:val="2DB05833"/>
    <w:rsid w:val="2DFE0314"/>
    <w:rsid w:val="2EB6F123"/>
    <w:rsid w:val="2EE366D4"/>
    <w:rsid w:val="31041141"/>
    <w:rsid w:val="31AC4F1A"/>
    <w:rsid w:val="32449869"/>
    <w:rsid w:val="3279624A"/>
    <w:rsid w:val="330431C0"/>
    <w:rsid w:val="34F1C2D0"/>
    <w:rsid w:val="3692FBB3"/>
    <w:rsid w:val="36A18684"/>
    <w:rsid w:val="370B360A"/>
    <w:rsid w:val="37A5BC25"/>
    <w:rsid w:val="37D619FB"/>
    <w:rsid w:val="38344496"/>
    <w:rsid w:val="38A32D3A"/>
    <w:rsid w:val="3927F253"/>
    <w:rsid w:val="3A2E3CC0"/>
    <w:rsid w:val="3A7C81E4"/>
    <w:rsid w:val="3ACE9846"/>
    <w:rsid w:val="3B01D762"/>
    <w:rsid w:val="3E6822E3"/>
    <w:rsid w:val="3E7C06DC"/>
    <w:rsid w:val="40ED5B05"/>
    <w:rsid w:val="43997210"/>
    <w:rsid w:val="44101572"/>
    <w:rsid w:val="4452EAE7"/>
    <w:rsid w:val="44530AB1"/>
    <w:rsid w:val="450AF053"/>
    <w:rsid w:val="45B8E971"/>
    <w:rsid w:val="45D56AA7"/>
    <w:rsid w:val="46C1FE67"/>
    <w:rsid w:val="47338999"/>
    <w:rsid w:val="474FC9A5"/>
    <w:rsid w:val="4871E5F1"/>
    <w:rsid w:val="48EDCDFE"/>
    <w:rsid w:val="492C9174"/>
    <w:rsid w:val="4949F6DF"/>
    <w:rsid w:val="4A4ECE44"/>
    <w:rsid w:val="4DF8276B"/>
    <w:rsid w:val="4F1065C6"/>
    <w:rsid w:val="4F4BD069"/>
    <w:rsid w:val="50A61EBA"/>
    <w:rsid w:val="52802233"/>
    <w:rsid w:val="52D2E0BE"/>
    <w:rsid w:val="557D6C20"/>
    <w:rsid w:val="56E468D9"/>
    <w:rsid w:val="58D2653C"/>
    <w:rsid w:val="5CE83F70"/>
    <w:rsid w:val="5D407B0E"/>
    <w:rsid w:val="5E74A9F4"/>
    <w:rsid w:val="5F07DAC1"/>
    <w:rsid w:val="61142D70"/>
    <w:rsid w:val="617D45A4"/>
    <w:rsid w:val="6275B816"/>
    <w:rsid w:val="6292FAFB"/>
    <w:rsid w:val="62C9499F"/>
    <w:rsid w:val="6344D166"/>
    <w:rsid w:val="63A2CB58"/>
    <w:rsid w:val="63ACBD26"/>
    <w:rsid w:val="63BD7A14"/>
    <w:rsid w:val="63C37BD7"/>
    <w:rsid w:val="641AC99A"/>
    <w:rsid w:val="662ECB24"/>
    <w:rsid w:val="668FC65C"/>
    <w:rsid w:val="6730B3DF"/>
    <w:rsid w:val="67C9D0BF"/>
    <w:rsid w:val="67E51436"/>
    <w:rsid w:val="6926F867"/>
    <w:rsid w:val="69979850"/>
    <w:rsid w:val="6B342FE2"/>
    <w:rsid w:val="6D539F78"/>
    <w:rsid w:val="6D7CA387"/>
    <w:rsid w:val="6DF27EF6"/>
    <w:rsid w:val="7034F473"/>
    <w:rsid w:val="708ED743"/>
    <w:rsid w:val="713AAC91"/>
    <w:rsid w:val="72CEB639"/>
    <w:rsid w:val="7399525D"/>
    <w:rsid w:val="73E9057B"/>
    <w:rsid w:val="74BC9670"/>
    <w:rsid w:val="74FBA5E5"/>
    <w:rsid w:val="78A63B17"/>
    <w:rsid w:val="7B88A414"/>
    <w:rsid w:val="7B9DBEC5"/>
    <w:rsid w:val="7DACA172"/>
    <w:rsid w:val="7F1EC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55A2C"/>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106841"/>
    <w:pPr>
      <w:keepNext/>
      <w:spacing w:before="48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996504"/>
    <w:pPr>
      <w:ind w:left="720"/>
      <w:contextualSpacing/>
    </w:pPr>
  </w:style>
  <w:style w:type="paragraph" w:styleId="Revision">
    <w:name w:val="Revision"/>
    <w:hidden/>
    <w:uiPriority w:val="99"/>
    <w:semiHidden/>
    <w:rsid w:val="00766321"/>
    <w:rPr>
      <w:rFonts w:ascii="Calibri" w:hAnsi="Calibri"/>
      <w:sz w:val="24"/>
      <w:lang w:val="en-GB" w:eastAsia="en-US"/>
    </w:rPr>
  </w:style>
  <w:style w:type="paragraph" w:styleId="BalloonText">
    <w:name w:val="Balloon Text"/>
    <w:basedOn w:val="Normal"/>
    <w:link w:val="BalloonTextChar"/>
    <w:semiHidden/>
    <w:unhideWhenUsed/>
    <w:rsid w:val="00294DA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94DA1"/>
    <w:rPr>
      <w:rFonts w:ascii="Segoe UI" w:hAnsi="Segoe UI" w:cs="Segoe UI"/>
      <w:sz w:val="18"/>
      <w:szCs w:val="18"/>
      <w:lang w:val="en-GB" w:eastAsia="en-US"/>
    </w:rPr>
  </w:style>
  <w:style w:type="paragraph" w:styleId="NormalWeb">
    <w:name w:val="Normal (Web)"/>
    <w:basedOn w:val="Normal"/>
    <w:uiPriority w:val="99"/>
    <w:semiHidden/>
    <w:unhideWhenUsed/>
    <w:rsid w:val="00EE2AE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978">
      <w:bodyDiv w:val="1"/>
      <w:marLeft w:val="0"/>
      <w:marRight w:val="0"/>
      <w:marTop w:val="0"/>
      <w:marBottom w:val="0"/>
      <w:divBdr>
        <w:top w:val="none" w:sz="0" w:space="0" w:color="auto"/>
        <w:left w:val="none" w:sz="0" w:space="0" w:color="auto"/>
        <w:bottom w:val="none" w:sz="0" w:space="0" w:color="auto"/>
        <w:right w:val="none" w:sz="0" w:space="0" w:color="auto"/>
      </w:divBdr>
    </w:div>
    <w:div w:id="387649936">
      <w:bodyDiv w:val="1"/>
      <w:marLeft w:val="0"/>
      <w:marRight w:val="0"/>
      <w:marTop w:val="0"/>
      <w:marBottom w:val="0"/>
      <w:divBdr>
        <w:top w:val="none" w:sz="0" w:space="0" w:color="auto"/>
        <w:left w:val="none" w:sz="0" w:space="0" w:color="auto"/>
        <w:bottom w:val="none" w:sz="0" w:space="0" w:color="auto"/>
        <w:right w:val="none" w:sz="0" w:space="0" w:color="auto"/>
      </w:divBdr>
    </w:div>
    <w:div w:id="18689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E.pdf" TargetMode="External"/><Relationship Id="rId13" Type="http://schemas.openxmlformats.org/officeDocument/2006/relationships/hyperlink" Target="https://www.itu.int/md/S24-CL-C-0034/e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031/en" TargetMode="External"/><Relationship Id="rId17" Type="http://schemas.openxmlformats.org/officeDocument/2006/relationships/hyperlink" Target="https://www.itu.int/md/S26-CL-C-0042/e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019/en" TargetMode="External"/><Relationship Id="rId5" Type="http://schemas.openxmlformats.org/officeDocument/2006/relationships/webSettings" Target="webSettings.xml"/><Relationship Id="rId15" Type="http://schemas.openxmlformats.org/officeDocument/2006/relationships/hyperlink" Target="https://www.itu.int/md/S24-CL-C-0031/en" TargetMode="External"/><Relationship Id="rId23" Type="http://schemas.openxmlformats.org/officeDocument/2006/relationships/theme" Target="theme/theme1.xml"/><Relationship Id="rId10" Type="http://schemas.openxmlformats.org/officeDocument/2006/relationships/hyperlink" Target="https://www.itu.int/dms_pub/itu-s/opb/conf/S-CONF-CL-2025-PDF-E.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Documents/basic-texts/RES-011-E.pdf" TargetMode="External"/><Relationship Id="rId14" Type="http://schemas.openxmlformats.org/officeDocument/2006/relationships/hyperlink" Target="https://www.itu.int/md/S26-CL-C-0034/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CC7D-F251-4188-B225-06E92C42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9</TotalTime>
  <Pages>8</Pages>
  <Words>2111</Words>
  <Characters>14102</Characters>
  <Application>Microsoft Office Word</Application>
  <DocSecurity>0</DocSecurity>
  <Lines>266</Lines>
  <Paragraphs>137</Paragraphs>
  <ScaleCrop>false</ScaleCrop>
  <HeadingPairs>
    <vt:vector size="2" baseType="variant">
      <vt:variant>
        <vt:lpstr>Title</vt:lpstr>
      </vt:variant>
      <vt:variant>
        <vt:i4>1</vt:i4>
      </vt:variant>
    </vt:vector>
  </HeadingPairs>
  <TitlesOfParts>
    <vt:vector size="1" baseType="lpstr">
      <vt:lpstr>Allocations of savings achieved in 2025 budget implementation</vt:lpstr>
    </vt:vector>
  </TitlesOfParts>
  <Manager>General Secretariat</Manager>
  <Company>International Telecommunication Union (ITU)</Company>
  <LinksUpToDate>false</LinksUpToDate>
  <CharactersWithSpaces>16076</CharactersWithSpaces>
  <SharedDoc>false</SharedDoc>
  <HLinks>
    <vt:vector size="60" baseType="variant">
      <vt:variant>
        <vt:i4>7798847</vt:i4>
      </vt:variant>
      <vt:variant>
        <vt:i4>27</vt:i4>
      </vt:variant>
      <vt:variant>
        <vt:i4>0</vt:i4>
      </vt:variant>
      <vt:variant>
        <vt:i4>5</vt:i4>
      </vt:variant>
      <vt:variant>
        <vt:lpwstr>https://www.itu.int/md/S24-CL-C-0031/en</vt:lpwstr>
      </vt:variant>
      <vt:variant>
        <vt:lpwstr/>
      </vt:variant>
      <vt:variant>
        <vt:i4>7340095</vt:i4>
      </vt:variant>
      <vt:variant>
        <vt:i4>21</vt:i4>
      </vt:variant>
      <vt:variant>
        <vt:i4>0</vt:i4>
      </vt:variant>
      <vt:variant>
        <vt:i4>5</vt:i4>
      </vt:variant>
      <vt:variant>
        <vt:lpwstr>https://www.itu.int/md/S26-CL-C-0034/en</vt:lpwstr>
      </vt:variant>
      <vt:variant>
        <vt:lpwstr/>
      </vt:variant>
      <vt:variant>
        <vt:i4>7471167</vt:i4>
      </vt:variant>
      <vt:variant>
        <vt:i4>18</vt:i4>
      </vt:variant>
      <vt:variant>
        <vt:i4>0</vt:i4>
      </vt:variant>
      <vt:variant>
        <vt:i4>5</vt:i4>
      </vt:variant>
      <vt:variant>
        <vt:lpwstr>https://www.itu.int/md/S24-CL-C-0034/en</vt:lpwstr>
      </vt:variant>
      <vt:variant>
        <vt:lpwstr/>
      </vt:variant>
      <vt:variant>
        <vt:i4>7798847</vt:i4>
      </vt:variant>
      <vt:variant>
        <vt:i4>15</vt:i4>
      </vt:variant>
      <vt:variant>
        <vt:i4>0</vt:i4>
      </vt:variant>
      <vt:variant>
        <vt:i4>5</vt:i4>
      </vt:variant>
      <vt:variant>
        <vt:lpwstr>https://www.itu.int/md/S24-CL-C-0031/en</vt:lpwstr>
      </vt:variant>
      <vt:variant>
        <vt:lpwstr/>
      </vt:variant>
      <vt:variant>
        <vt:i4>8323133</vt:i4>
      </vt:variant>
      <vt:variant>
        <vt:i4>12</vt:i4>
      </vt:variant>
      <vt:variant>
        <vt:i4>0</vt:i4>
      </vt:variant>
      <vt:variant>
        <vt:i4>5</vt:i4>
      </vt:variant>
      <vt:variant>
        <vt:lpwstr>https://www.itu.int/md/S24-CL-C-0019/en</vt:lpwstr>
      </vt:variant>
      <vt:variant>
        <vt:lpwstr/>
      </vt:variant>
      <vt:variant>
        <vt:i4>655464</vt:i4>
      </vt:variant>
      <vt:variant>
        <vt:i4>9</vt:i4>
      </vt:variant>
      <vt:variant>
        <vt:i4>0</vt:i4>
      </vt:variant>
      <vt:variant>
        <vt:i4>5</vt:i4>
      </vt:variant>
      <vt:variant>
        <vt:lpwstr>https://www.itu.int/dms_pub/itu-s/opb/conf/S-CONF-CL-2025-PDF-E.pdf</vt:lpwstr>
      </vt:variant>
      <vt:variant>
        <vt:lpwstr/>
      </vt:variant>
      <vt:variant>
        <vt:i4>2949229</vt:i4>
      </vt:variant>
      <vt:variant>
        <vt:i4>6</vt:i4>
      </vt:variant>
      <vt:variant>
        <vt:i4>0</vt:i4>
      </vt:variant>
      <vt:variant>
        <vt:i4>5</vt:i4>
      </vt:variant>
      <vt:variant>
        <vt:lpwstr>https://www.itu.int/en/council/Documents/basic-texts/RES-011-E.pdf</vt:lpwstr>
      </vt:variant>
      <vt:variant>
        <vt:lpwstr/>
      </vt:variant>
      <vt:variant>
        <vt:i4>3080300</vt:i4>
      </vt:variant>
      <vt:variant>
        <vt:i4>3</vt:i4>
      </vt:variant>
      <vt:variant>
        <vt:i4>0</vt:i4>
      </vt:variant>
      <vt:variant>
        <vt:i4>5</vt:i4>
      </vt:variant>
      <vt:variant>
        <vt:lpwstr>https://www.itu.int/en/council/Documents/basic-texts/DEC-005-E.pdf</vt:lpwstr>
      </vt:variant>
      <vt:variant>
        <vt:lpwstr/>
      </vt:variant>
      <vt:variant>
        <vt:i4>720911</vt:i4>
      </vt:variant>
      <vt:variant>
        <vt:i4>0</vt:i4>
      </vt:variant>
      <vt:variant>
        <vt:i4>0</vt:i4>
      </vt:variant>
      <vt:variant>
        <vt:i4>5</vt:i4>
      </vt:variant>
      <vt:variant>
        <vt:lpwstr/>
      </vt:variant>
      <vt:variant>
        <vt:lpwstr>Annex</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Allocations of savings achieved in 2025 budget implementation</dc:title>
  <dc:subject>ITU Council 2026</dc:subject>
  <cp:keywords>C26; C2026; Council 2026; PP26</cp:keywords>
  <dc:description>Revision 2</dc:description>
  <cp:lastPrinted>2000-07-18T13:30:00Z</cp:lastPrinted>
  <dcterms:created xsi:type="dcterms:W3CDTF">2026-05-07T21:06:00Z</dcterms:created>
  <dcterms:modified xsi:type="dcterms:W3CDTF">2026-05-07T21:14:00Z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