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0D65EF" w14:paraId="4C6B7D02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8804437" w14:textId="2A102EFE" w:rsidR="00796BD3" w:rsidRPr="000D65EF" w:rsidRDefault="0033025A" w:rsidP="00F86849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0D65EF">
              <w:rPr>
                <w:b/>
                <w:lang w:val="ru-RU"/>
              </w:rPr>
              <w:t>Пункт повестки дня:</w:t>
            </w:r>
            <w:r w:rsidR="006A6406" w:rsidRPr="000D65EF">
              <w:rPr>
                <w:lang w:val="ru-RU"/>
              </w:rPr>
              <w:t xml:space="preserve"> </w:t>
            </w:r>
            <w:r w:rsidR="006A6406" w:rsidRPr="000D65EF">
              <w:rPr>
                <w:b/>
                <w:lang w:val="ru-RU"/>
              </w:rPr>
              <w:t>ADM 1</w:t>
            </w:r>
          </w:p>
        </w:tc>
        <w:tc>
          <w:tcPr>
            <w:tcW w:w="5245" w:type="dxa"/>
          </w:tcPr>
          <w:p w14:paraId="5BC5C034" w14:textId="32D56F8D" w:rsidR="00796BD3" w:rsidRPr="000D65EF" w:rsidRDefault="006F67E6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D65EF">
              <w:rPr>
                <w:b/>
                <w:lang w:val="ru-RU"/>
              </w:rPr>
              <w:t>Пересмотр 1</w:t>
            </w:r>
            <w:r w:rsidRPr="000D65EF">
              <w:rPr>
                <w:b/>
                <w:lang w:val="ru-RU"/>
              </w:rPr>
              <w:br/>
            </w:r>
            <w:r w:rsidR="0033025A" w:rsidRPr="000D65EF">
              <w:rPr>
                <w:b/>
                <w:lang w:val="ru-RU"/>
              </w:rPr>
              <w:t>Документ</w:t>
            </w:r>
            <w:r w:rsidRPr="000D65EF">
              <w:rPr>
                <w:b/>
                <w:lang w:val="ru-RU"/>
              </w:rPr>
              <w:t>а</w:t>
            </w:r>
            <w:r w:rsidR="0033025A" w:rsidRPr="000D65EF">
              <w:rPr>
                <w:b/>
                <w:lang w:val="ru-RU"/>
              </w:rPr>
              <w:t xml:space="preserve"> </w:t>
            </w:r>
            <w:r w:rsidR="00796BD3" w:rsidRPr="000D65EF">
              <w:rPr>
                <w:b/>
                <w:lang w:val="ru-RU"/>
              </w:rPr>
              <w:t>C2</w:t>
            </w:r>
            <w:r w:rsidR="00BE00DD" w:rsidRPr="000D65EF">
              <w:rPr>
                <w:b/>
                <w:lang w:val="ru-RU"/>
              </w:rPr>
              <w:t>6</w:t>
            </w:r>
            <w:r w:rsidR="00796BD3" w:rsidRPr="000D65EF">
              <w:rPr>
                <w:b/>
                <w:lang w:val="ru-RU"/>
              </w:rPr>
              <w:t>/</w:t>
            </w:r>
            <w:r w:rsidR="006A6406" w:rsidRPr="000D65EF">
              <w:rPr>
                <w:b/>
                <w:lang w:val="ru-RU"/>
              </w:rPr>
              <w:t>42</w:t>
            </w:r>
            <w:r w:rsidR="00796BD3" w:rsidRPr="000D65EF">
              <w:rPr>
                <w:b/>
                <w:lang w:val="ru-RU"/>
              </w:rPr>
              <w:t>-R</w:t>
            </w:r>
          </w:p>
        </w:tc>
      </w:tr>
      <w:tr w:rsidR="00796BD3" w:rsidRPr="000D65EF" w14:paraId="31AECCF3" w14:textId="77777777" w:rsidTr="00D17718">
        <w:trPr>
          <w:cantSplit/>
        </w:trPr>
        <w:tc>
          <w:tcPr>
            <w:tcW w:w="3969" w:type="dxa"/>
            <w:vMerge/>
          </w:tcPr>
          <w:p w14:paraId="52A781B4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27B745" w14:textId="2300CC21" w:rsidR="00796BD3" w:rsidRPr="000D65EF" w:rsidRDefault="00933FA5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0D65EF">
              <w:rPr>
                <w:b/>
                <w:lang w:val="ru-RU"/>
              </w:rPr>
              <w:t>14</w:t>
            </w:r>
            <w:r w:rsidR="006A6406" w:rsidRPr="000D65EF">
              <w:rPr>
                <w:b/>
                <w:lang w:val="ru-RU"/>
              </w:rPr>
              <w:t xml:space="preserve"> </w:t>
            </w:r>
            <w:r w:rsidRPr="000D65EF">
              <w:rPr>
                <w:b/>
                <w:lang w:val="ru-RU"/>
              </w:rPr>
              <w:t>апреля</w:t>
            </w:r>
            <w:r w:rsidR="006A6406" w:rsidRPr="000D65EF">
              <w:rPr>
                <w:b/>
                <w:lang w:val="ru-RU"/>
              </w:rPr>
              <w:t xml:space="preserve"> 2026 года</w:t>
            </w:r>
          </w:p>
        </w:tc>
      </w:tr>
      <w:tr w:rsidR="00796BD3" w:rsidRPr="000D65EF" w14:paraId="0392008E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9F95BEC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0E4837D1" w14:textId="77777777" w:rsidR="00796BD3" w:rsidRPr="000D65E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0D65E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0D65EF" w14:paraId="27D55605" w14:textId="77777777" w:rsidTr="00D17718">
        <w:trPr>
          <w:cantSplit/>
          <w:trHeight w:val="23"/>
        </w:trPr>
        <w:tc>
          <w:tcPr>
            <w:tcW w:w="3969" w:type="dxa"/>
          </w:tcPr>
          <w:p w14:paraId="132C00D6" w14:textId="77777777" w:rsidR="00796BD3" w:rsidRPr="000D65E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1A28BC87" w14:textId="77777777" w:rsidR="00796BD3" w:rsidRPr="000D65E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0D65EF" w14:paraId="61A07E2C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E51C287" w14:textId="77777777" w:rsidR="00796BD3" w:rsidRPr="000D65EF" w:rsidRDefault="0033025A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0D65EF">
              <w:t>Отчет Генерального секретаря</w:t>
            </w:r>
          </w:p>
        </w:tc>
      </w:tr>
      <w:tr w:rsidR="00796BD3" w:rsidRPr="00F86849" w14:paraId="7BA958B3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515429C" w14:textId="506773FE" w:rsidR="00796BD3" w:rsidRPr="000D65EF" w:rsidRDefault="006A6406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0D65EF">
              <w:rPr>
                <w:sz w:val="32"/>
              </w:rPr>
              <w:t xml:space="preserve">РАСПРЕДЕЛЕНИЕ СРЕДСТВ, СЭКОНОМЛЕННЫХ </w:t>
            </w:r>
            <w:r w:rsidR="0001001E" w:rsidRPr="000D65EF">
              <w:rPr>
                <w:sz w:val="32"/>
              </w:rPr>
              <w:br/>
            </w:r>
            <w:r w:rsidRPr="000D65EF">
              <w:rPr>
                <w:sz w:val="32"/>
              </w:rPr>
              <w:t>ПРИ ИСПОЛНЕНИИ БЮДЖЕТА НА 2025 ГОД</w:t>
            </w:r>
          </w:p>
        </w:tc>
      </w:tr>
      <w:tr w:rsidR="00796BD3" w:rsidRPr="00F86849" w14:paraId="1E7598D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2ABCB8CD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140A102D" w14:textId="3CD0F01F" w:rsidR="006A6406" w:rsidRPr="000D65EF" w:rsidRDefault="006A6406" w:rsidP="00F86849">
            <w:pPr>
              <w:jc w:val="both"/>
              <w:rPr>
                <w:lang w:val="ru-RU"/>
              </w:rPr>
            </w:pPr>
            <w:r w:rsidRPr="000D65EF">
              <w:rPr>
                <w:lang w:val="ru-RU"/>
              </w:rPr>
              <w:t xml:space="preserve">В 2025 году Союз смог добиться </w:t>
            </w:r>
            <w:r w:rsidR="00ED7909" w:rsidRPr="000D65EF">
              <w:rPr>
                <w:lang w:val="ru-RU"/>
              </w:rPr>
              <w:t xml:space="preserve">общей </w:t>
            </w:r>
            <w:r w:rsidRPr="000D65EF">
              <w:rPr>
                <w:lang w:val="ru-RU"/>
              </w:rPr>
              <w:t xml:space="preserve">экономии в размере </w:t>
            </w:r>
            <w:r w:rsidR="00ED7909" w:rsidRPr="000D65EF">
              <w:rPr>
                <w:b/>
                <w:bCs/>
                <w:lang w:val="ru-RU"/>
              </w:rPr>
              <w:t>11</w:t>
            </w:r>
            <w:r w:rsidRPr="000D65EF">
              <w:rPr>
                <w:b/>
                <w:bCs/>
                <w:lang w:val="ru-RU"/>
              </w:rPr>
              <w:t>,</w:t>
            </w:r>
            <w:r w:rsidR="00ED7909" w:rsidRPr="000D65EF">
              <w:rPr>
                <w:b/>
                <w:bCs/>
                <w:lang w:val="ru-RU"/>
              </w:rPr>
              <w:t>44</w:t>
            </w:r>
            <w:r w:rsidRPr="000D65EF">
              <w:rPr>
                <w:b/>
                <w:bCs/>
                <w:lang w:val="ru-RU"/>
              </w:rPr>
              <w:t xml:space="preserve"> млн. швейцарских франков</w:t>
            </w:r>
            <w:r w:rsidRPr="000D65EF">
              <w:rPr>
                <w:lang w:val="ru-RU"/>
              </w:rPr>
              <w:t xml:space="preserve"> благодаря более высоким, чем ожидалось, доходам, а также финансовой дисциплине, соблюдавшейся при исполнении бюджета. Эта экономия отражает благоприятную динамику доходов, а также тщательное управление отдельными затратами и их поэтапное распределение в течение года.</w:t>
            </w:r>
          </w:p>
          <w:p w14:paraId="1EE630C4" w14:textId="35EB5C72" w:rsidR="004A7172" w:rsidRPr="000D65EF" w:rsidRDefault="004A7172" w:rsidP="00F86849">
            <w:pPr>
              <w:jc w:val="both"/>
              <w:rPr>
                <w:lang w:val="ru-RU"/>
              </w:rPr>
            </w:pPr>
            <w:r w:rsidRPr="000D65EF">
              <w:rPr>
                <w:lang w:val="ru-RU"/>
              </w:rPr>
              <w:t>Генеральный секретарь предложил</w:t>
            </w:r>
            <w:r w:rsidR="006559DA" w:rsidRPr="000D65EF">
              <w:rPr>
                <w:lang w:val="ru-RU"/>
              </w:rPr>
              <w:t>а</w:t>
            </w:r>
            <w:r w:rsidRPr="000D65EF">
              <w:rPr>
                <w:lang w:val="ru-RU"/>
              </w:rPr>
              <w:t xml:space="preserve"> </w:t>
            </w:r>
            <w:r w:rsidR="004A064A" w:rsidRPr="000D65EF">
              <w:rPr>
                <w:lang w:val="ru-RU"/>
              </w:rPr>
              <w:t xml:space="preserve">выделить средства </w:t>
            </w:r>
            <w:r w:rsidRPr="000D65EF">
              <w:rPr>
                <w:lang w:val="ru-RU"/>
              </w:rPr>
              <w:t>Фонд</w:t>
            </w:r>
            <w:r w:rsidR="004A064A" w:rsidRPr="000D65EF">
              <w:rPr>
                <w:lang w:val="ru-RU"/>
              </w:rPr>
              <w:t>у</w:t>
            </w:r>
            <w:r w:rsidRPr="000D65EF">
              <w:rPr>
                <w:lang w:val="ru-RU"/>
              </w:rPr>
              <w:t xml:space="preserve"> развития ИКТ (559 800 швейцарских франков) и Фонд</w:t>
            </w:r>
            <w:r w:rsidR="004A064A" w:rsidRPr="000D65EF">
              <w:rPr>
                <w:lang w:val="ru-RU"/>
              </w:rPr>
              <w:t>у</w:t>
            </w:r>
            <w:r w:rsidRPr="000D65EF">
              <w:rPr>
                <w:lang w:val="ru-RU"/>
              </w:rPr>
              <w:t xml:space="preserve"> программы "Молодые специалисты" (1,2 млн. швейцарских франков) </w:t>
            </w:r>
            <w:r w:rsidR="004A064A" w:rsidRPr="000D65EF">
              <w:rPr>
                <w:lang w:val="ru-RU"/>
              </w:rPr>
              <w:t>с учетом ранее одобренных Советом ассигнований</w:t>
            </w:r>
            <w:r w:rsidRPr="000D65EF">
              <w:rPr>
                <w:lang w:val="ru-RU"/>
              </w:rPr>
              <w:t>. Совету предлагается подтвердить эти ассигнования.</w:t>
            </w:r>
          </w:p>
          <w:p w14:paraId="250A47FF" w14:textId="21464FDE" w:rsidR="00796BD3" w:rsidRPr="000D65EF" w:rsidRDefault="006A6406" w:rsidP="00F86849">
            <w:pPr>
              <w:jc w:val="both"/>
              <w:rPr>
                <w:lang w:val="ru-RU"/>
              </w:rPr>
            </w:pPr>
            <w:r w:rsidRPr="000D65EF">
              <w:rPr>
                <w:lang w:val="ru-RU"/>
              </w:rPr>
              <w:t xml:space="preserve">Цель настоящего документа </w:t>
            </w:r>
            <w:r w:rsidR="000F7C3F" w:rsidRPr="000D65EF">
              <w:rPr>
                <w:lang w:val="ru-RU"/>
              </w:rPr>
              <w:t xml:space="preserve">также </w:t>
            </w:r>
            <w:r w:rsidRPr="000D65EF">
              <w:rPr>
                <w:lang w:val="ru-RU"/>
              </w:rPr>
              <w:t xml:space="preserve">состоит в том, чтобы просить Совет разрешить использование </w:t>
            </w:r>
            <w:r w:rsidR="00A64A93" w:rsidRPr="000D65EF">
              <w:rPr>
                <w:lang w:val="ru-RU"/>
              </w:rPr>
              <w:t>оставшихся</w:t>
            </w:r>
            <w:r w:rsidRPr="000D65EF">
              <w:rPr>
                <w:lang w:val="ru-RU"/>
              </w:rPr>
              <w:t xml:space="preserve"> сэкономленных </w:t>
            </w:r>
            <w:r w:rsidR="00A64A93" w:rsidRPr="000D65EF">
              <w:rPr>
                <w:lang w:val="ru-RU"/>
              </w:rPr>
              <w:t xml:space="preserve">в 2025 году </w:t>
            </w:r>
            <w:r w:rsidRPr="000D65EF">
              <w:rPr>
                <w:lang w:val="ru-RU"/>
              </w:rPr>
              <w:t>средств</w:t>
            </w:r>
            <w:r w:rsidR="00A64A93" w:rsidRPr="000D65EF">
              <w:rPr>
                <w:lang w:val="ru-RU"/>
              </w:rPr>
              <w:t xml:space="preserve"> в размере 10,24 млн.</w:t>
            </w:r>
            <w:r w:rsidRPr="000D65EF">
              <w:rPr>
                <w:lang w:val="ru-RU"/>
              </w:rPr>
              <w:t xml:space="preserve"> </w:t>
            </w:r>
            <w:r w:rsidR="00A64A93" w:rsidRPr="000D65EF">
              <w:rPr>
                <w:lang w:val="ru-RU"/>
              </w:rPr>
              <w:t xml:space="preserve">швейцарских франков </w:t>
            </w:r>
            <w:r w:rsidRPr="000D65EF">
              <w:rPr>
                <w:lang w:val="ru-RU"/>
              </w:rPr>
              <w:t xml:space="preserve">для финансирования </w:t>
            </w:r>
            <w:r w:rsidR="00A64A93" w:rsidRPr="000D65EF">
              <w:rPr>
                <w:lang w:val="ru-RU"/>
              </w:rPr>
              <w:t xml:space="preserve">иных </w:t>
            </w:r>
            <w:r w:rsidRPr="000D65EF">
              <w:rPr>
                <w:lang w:val="ru-RU"/>
              </w:rPr>
              <w:t>отдельных видов деятельности, которые не</w:t>
            </w:r>
            <w:r w:rsidR="0001001E" w:rsidRPr="000D65EF">
              <w:rPr>
                <w:lang w:val="ru-RU"/>
              </w:rPr>
              <w:t> </w:t>
            </w:r>
            <w:r w:rsidRPr="000D65EF">
              <w:rPr>
                <w:lang w:val="ru-RU"/>
              </w:rPr>
              <w:t>покрываются из утвержденного регулярного бюджета.</w:t>
            </w:r>
          </w:p>
          <w:p w14:paraId="1678CBF8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3335A3C4" w14:textId="1C110401" w:rsidR="00796BD3" w:rsidRPr="000D65EF" w:rsidRDefault="00BC3EEA" w:rsidP="00F86849">
            <w:pPr>
              <w:jc w:val="both"/>
              <w:rPr>
                <w:lang w:val="ru-RU"/>
              </w:rPr>
            </w:pPr>
            <w:r w:rsidRPr="000D65EF">
              <w:rPr>
                <w:lang w:val="ru-RU"/>
              </w:rPr>
              <w:t xml:space="preserve">Совету предлагается утвердить проект Резолюции, содержащийся в </w:t>
            </w:r>
            <w:hyperlink w:anchor="Annex" w:history="1">
              <w:r w:rsidRPr="000D65EF">
                <w:rPr>
                  <w:rStyle w:val="Hyperlink"/>
                  <w:lang w:val="ru-RU"/>
                </w:rPr>
                <w:t>Приложении</w:t>
              </w:r>
            </w:hyperlink>
            <w:r w:rsidRPr="000D65EF">
              <w:rPr>
                <w:lang w:val="ru-RU"/>
              </w:rPr>
              <w:t xml:space="preserve"> к настоящему документу.</w:t>
            </w:r>
          </w:p>
          <w:p w14:paraId="2BD8524C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24D9FB03" w14:textId="5394A2D2" w:rsidR="00796BD3" w:rsidRPr="000D65EF" w:rsidRDefault="00BD7BA8" w:rsidP="00F86849">
            <w:pPr>
              <w:jc w:val="both"/>
              <w:rPr>
                <w:lang w:val="ru-RU"/>
              </w:rPr>
            </w:pPr>
            <w:r w:rsidRPr="000D65EF">
              <w:rPr>
                <w:lang w:val="ru-RU"/>
              </w:rPr>
              <w:t>Этот документ соответствует Стратегическому плану на 2024−2027 годы.</w:t>
            </w:r>
          </w:p>
          <w:p w14:paraId="597F6DEB" w14:textId="77777777" w:rsidR="00796BD3" w:rsidRPr="000D65E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08A8A352" w14:textId="24097760" w:rsidR="00345D2A" w:rsidRPr="000D65EF" w:rsidRDefault="00BD7BA8" w:rsidP="00F86849">
            <w:pPr>
              <w:jc w:val="both"/>
              <w:rPr>
                <w:szCs w:val="22"/>
                <w:lang w:val="ru-RU"/>
              </w:rPr>
            </w:pPr>
            <w:r w:rsidRPr="000D65EF">
              <w:rPr>
                <w:szCs w:val="22"/>
                <w:lang w:val="ru-RU"/>
              </w:rPr>
              <w:t xml:space="preserve">Выделение </w:t>
            </w:r>
            <w:r w:rsidR="00A64A93" w:rsidRPr="000D65EF">
              <w:rPr>
                <w:b/>
                <w:bCs/>
                <w:szCs w:val="22"/>
                <w:lang w:val="ru-RU"/>
              </w:rPr>
              <w:t>11</w:t>
            </w:r>
            <w:r w:rsidRPr="000D65EF">
              <w:rPr>
                <w:b/>
                <w:bCs/>
                <w:szCs w:val="22"/>
                <w:lang w:val="ru-RU"/>
              </w:rPr>
              <w:t>,</w:t>
            </w:r>
            <w:r w:rsidR="00A64A93" w:rsidRPr="000D65EF">
              <w:rPr>
                <w:b/>
                <w:bCs/>
                <w:szCs w:val="22"/>
                <w:lang w:val="ru-RU"/>
              </w:rPr>
              <w:t>44</w:t>
            </w:r>
            <w:r w:rsidRPr="000D65EF">
              <w:rPr>
                <w:b/>
                <w:bCs/>
                <w:szCs w:val="22"/>
                <w:lang w:val="ru-RU"/>
              </w:rPr>
              <w:t xml:space="preserve"> млн. швейцарских франков</w:t>
            </w:r>
            <w:r w:rsidRPr="000D65EF">
              <w:rPr>
                <w:szCs w:val="22"/>
                <w:lang w:val="ru-RU"/>
              </w:rPr>
              <w:t>, сэкономленных при исполнении бюджета на 2025</w:t>
            </w:r>
            <w:r w:rsidR="001366D0" w:rsidRPr="000D65EF">
              <w:rPr>
                <w:szCs w:val="22"/>
                <w:lang w:val="ru-RU"/>
              </w:rPr>
              <w:t> </w:t>
            </w:r>
            <w:r w:rsidRPr="000D65EF">
              <w:rPr>
                <w:szCs w:val="22"/>
                <w:lang w:val="ru-RU"/>
              </w:rPr>
              <w:t>год, на финансирование видов деятельности, которые не покрываются из регулярного бюджета.</w:t>
            </w:r>
          </w:p>
          <w:p w14:paraId="488E3730" w14:textId="77777777" w:rsidR="00796BD3" w:rsidRPr="000D65EF" w:rsidRDefault="00796BD3" w:rsidP="00F86849">
            <w:pPr>
              <w:spacing w:before="0"/>
              <w:rPr>
                <w:caps/>
                <w:sz w:val="20"/>
                <w:szCs w:val="18"/>
                <w:lang w:val="ru-RU"/>
              </w:rPr>
            </w:pPr>
            <w:r w:rsidRPr="000D65EF">
              <w:rPr>
                <w:sz w:val="20"/>
                <w:szCs w:val="18"/>
                <w:lang w:val="ru-RU"/>
              </w:rPr>
              <w:t>__________________</w:t>
            </w:r>
          </w:p>
          <w:p w14:paraId="12E80156" w14:textId="77777777" w:rsidR="00796BD3" w:rsidRPr="000D65E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0D65E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6987EC00" w14:textId="4166217D" w:rsidR="00796BD3" w:rsidRPr="000D65EF" w:rsidRDefault="00352993" w:rsidP="00F86849">
            <w:pPr>
              <w:spacing w:after="120"/>
              <w:rPr>
                <w:i/>
                <w:iCs/>
                <w:lang w:val="ru-RU"/>
              </w:rPr>
            </w:pPr>
            <w:r w:rsidRPr="000D65EF">
              <w:rPr>
                <w:i/>
                <w:iCs/>
                <w:lang w:val="ru-RU"/>
              </w:rPr>
              <w:t>Решение</w:t>
            </w:r>
            <w:r w:rsidRPr="000D65EF">
              <w:rPr>
                <w:lang w:val="ru-RU"/>
              </w:rPr>
              <w:t xml:space="preserve"> </w:t>
            </w:r>
            <w:hyperlink r:id="rId7" w:history="1">
              <w:r w:rsidRPr="000D65EF">
                <w:rPr>
                  <w:rStyle w:val="Hyperlink"/>
                  <w:i/>
                  <w:iCs/>
                  <w:lang w:val="ru-RU"/>
                </w:rPr>
                <w:t>5 (Пересм. Бухарест, 2022 г.)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</w:t>
            </w:r>
            <w:r w:rsidR="00A64A93" w:rsidRPr="000D65EF">
              <w:rPr>
                <w:i/>
                <w:iCs/>
                <w:lang w:val="ru-RU"/>
              </w:rPr>
              <w:t xml:space="preserve">и </w:t>
            </w:r>
            <w:r w:rsidRPr="000D65EF">
              <w:rPr>
                <w:i/>
                <w:iCs/>
                <w:lang w:val="ru-RU"/>
              </w:rPr>
              <w:t xml:space="preserve">Резолюция </w:t>
            </w:r>
            <w:hyperlink r:id="rId8" w:history="1">
              <w:r w:rsidRPr="000D65EF">
                <w:rPr>
                  <w:rStyle w:val="Hyperlink"/>
                  <w:i/>
                  <w:iCs/>
                  <w:lang w:val="ru-RU"/>
                </w:rPr>
                <w:t>11 (Аннулирована, Бухарест, 2022 г.)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Полномочной конференции; </w:t>
            </w:r>
            <w:hyperlink r:id="rId9" w:history="1">
              <w:r w:rsidR="00176BCD" w:rsidRPr="000D65EF">
                <w:rPr>
                  <w:rStyle w:val="Hyperlink"/>
                  <w:i/>
                  <w:iCs/>
                  <w:lang w:val="ru-RU"/>
                </w:rPr>
                <w:t>Резолюции 1111 и 1338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Совета; Документы</w:t>
            </w:r>
            <w:r w:rsidR="00F15117" w:rsidRPr="000D65EF">
              <w:rPr>
                <w:i/>
                <w:iCs/>
                <w:lang w:val="ru-RU"/>
              </w:rPr>
              <w:t xml:space="preserve"> </w:t>
            </w:r>
            <w:hyperlink r:id="rId10">
              <w:r w:rsidR="00F15117" w:rsidRPr="000D65EF">
                <w:rPr>
                  <w:rStyle w:val="Hyperlink"/>
                  <w:i/>
                  <w:iCs/>
                  <w:lang w:val="ru-RU"/>
                </w:rPr>
                <w:t>C24/19</w:t>
              </w:r>
            </w:hyperlink>
            <w:r w:rsidR="00F15117" w:rsidRPr="000D65EF">
              <w:rPr>
                <w:i/>
                <w:iCs/>
                <w:lang w:val="ru-RU"/>
              </w:rPr>
              <w:t xml:space="preserve">, </w:t>
            </w:r>
            <w:hyperlink r:id="rId11" w:history="1">
              <w:r w:rsidR="00F15117" w:rsidRPr="000D65EF">
                <w:rPr>
                  <w:rStyle w:val="Hyperlink"/>
                  <w:i/>
                  <w:iCs/>
                  <w:lang w:val="ru-RU"/>
                </w:rPr>
                <w:t>C24/31</w:t>
              </w:r>
            </w:hyperlink>
            <w:r w:rsidR="00F15117" w:rsidRPr="000D65EF">
              <w:rPr>
                <w:i/>
                <w:iCs/>
                <w:lang w:val="ru-RU"/>
              </w:rPr>
              <w:t xml:space="preserve"> и </w:t>
            </w:r>
            <w:hyperlink r:id="rId12" w:history="1">
              <w:r w:rsidR="00F15117" w:rsidRPr="000D65EF">
                <w:rPr>
                  <w:rStyle w:val="Hyperlink"/>
                  <w:i/>
                  <w:iCs/>
                  <w:lang w:val="ru-RU"/>
                </w:rPr>
                <w:t>C24/34</w:t>
              </w:r>
            </w:hyperlink>
            <w:r w:rsidR="00BD7BA8" w:rsidRPr="000D65EF">
              <w:rPr>
                <w:i/>
                <w:iCs/>
                <w:lang w:val="ru-RU"/>
              </w:rPr>
              <w:t xml:space="preserve"> Совета</w:t>
            </w:r>
          </w:p>
        </w:tc>
      </w:tr>
      <w:bookmarkEnd w:id="2"/>
      <w:bookmarkEnd w:id="6"/>
    </w:tbl>
    <w:p w14:paraId="2075259B" w14:textId="77777777" w:rsidR="00796BD3" w:rsidRPr="000D65EF" w:rsidRDefault="00796BD3" w:rsidP="00796BD3">
      <w:pPr>
        <w:rPr>
          <w:lang w:val="ru-RU"/>
        </w:rPr>
      </w:pPr>
    </w:p>
    <w:p w14:paraId="63AAA8E8" w14:textId="77777777" w:rsidR="00165D06" w:rsidRPr="000D65E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0D65EF">
        <w:rPr>
          <w:lang w:val="ru-RU"/>
        </w:rPr>
        <w:br w:type="page"/>
      </w:r>
    </w:p>
    <w:p w14:paraId="76F05E45" w14:textId="77777777" w:rsidR="00D83612" w:rsidRPr="000D65EF" w:rsidRDefault="00D83612" w:rsidP="00F86849">
      <w:pPr>
        <w:pStyle w:val="Headingb"/>
      </w:pPr>
      <w:r w:rsidRPr="000D65EF">
        <w:lastRenderedPageBreak/>
        <w:t>Введение</w:t>
      </w:r>
    </w:p>
    <w:p w14:paraId="7E5D64EA" w14:textId="5DCDEF3C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Регулярный бюджет Союза на 2025 год был утвержден с запланированными расходами в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размере 164,3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швейцарских франков при ожидаемых доходах в 164,3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1366D0" w:rsidRPr="000D65EF">
        <w:rPr>
          <w:lang w:val="ru-RU"/>
        </w:rPr>
        <w:t> </w:t>
      </w:r>
      <w:r w:rsidRPr="000D65EF">
        <w:rPr>
          <w:lang w:val="ru-RU"/>
        </w:rPr>
        <w:t xml:space="preserve">швейцарских франков. На конец года бюджет был закрыт с фактическими расходами </w:t>
      </w:r>
      <w:r w:rsidR="0059153C" w:rsidRPr="000D65EF">
        <w:rPr>
          <w:lang w:val="ru-RU"/>
        </w:rPr>
        <w:t xml:space="preserve">и ассигнованиями </w:t>
      </w:r>
      <w:r w:rsidRPr="000D65EF">
        <w:rPr>
          <w:lang w:val="ru-RU"/>
        </w:rPr>
        <w:t>в</w:t>
      </w:r>
      <w:r w:rsidR="00352993" w:rsidRPr="000D65EF">
        <w:rPr>
          <w:lang w:val="ru-RU"/>
        </w:rPr>
        <w:t> </w:t>
      </w:r>
      <w:r w:rsidRPr="000D65EF">
        <w:rPr>
          <w:lang w:val="ru-RU"/>
        </w:rPr>
        <w:t xml:space="preserve">размере </w:t>
      </w:r>
      <w:r w:rsidRPr="000D65EF">
        <w:rPr>
          <w:b/>
          <w:bCs/>
          <w:lang w:val="ru-RU"/>
        </w:rPr>
        <w:t>156,</w:t>
      </w:r>
      <w:r w:rsidR="0059153C" w:rsidRPr="000D65EF">
        <w:rPr>
          <w:b/>
          <w:bCs/>
          <w:lang w:val="ru-RU"/>
        </w:rPr>
        <w:t>08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и фактическими доходами в размере </w:t>
      </w:r>
      <w:r w:rsidRPr="000D65EF">
        <w:rPr>
          <w:b/>
          <w:bCs/>
          <w:lang w:val="ru-RU"/>
        </w:rPr>
        <w:t>167,5</w:t>
      </w:r>
      <w:r w:rsidR="0059153C" w:rsidRPr="000D65EF">
        <w:rPr>
          <w:b/>
          <w:bCs/>
          <w:lang w:val="ru-RU"/>
        </w:rPr>
        <w:t>2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; активное сальдо составило </w:t>
      </w:r>
      <w:r w:rsidR="0059153C" w:rsidRPr="000D65EF">
        <w:rPr>
          <w:b/>
          <w:bCs/>
          <w:lang w:val="ru-RU"/>
        </w:rPr>
        <w:t>11</w:t>
      </w:r>
      <w:r w:rsidRPr="000D65EF">
        <w:rPr>
          <w:b/>
          <w:bCs/>
          <w:lang w:val="ru-RU"/>
        </w:rPr>
        <w:t>,</w:t>
      </w:r>
      <w:r w:rsidR="0059153C" w:rsidRPr="000D65EF">
        <w:rPr>
          <w:b/>
          <w:bCs/>
          <w:lang w:val="ru-RU"/>
        </w:rPr>
        <w:t>44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366D0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>.</w:t>
      </w:r>
    </w:p>
    <w:p w14:paraId="5FF55BEB" w14:textId="7777777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Такой положительный результат обусловлен следующими факторами.</w:t>
      </w:r>
    </w:p>
    <w:p w14:paraId="62D42A66" w14:textId="45DF0F40" w:rsidR="00D83612" w:rsidRPr="000D65EF" w:rsidRDefault="001366D0" w:rsidP="00F86849">
      <w:pPr>
        <w:pStyle w:val="enumlev1"/>
        <w:jc w:val="both"/>
        <w:rPr>
          <w:lang w:val="ru-RU"/>
        </w:rPr>
      </w:pPr>
      <w:bookmarkStart w:id="7" w:name="_Hlk227574616"/>
      <w:r w:rsidRPr="000D65EF">
        <w:rPr>
          <w:rFonts w:cs="Calibri"/>
          <w:lang w:val="ru-RU"/>
        </w:rPr>
        <w:t>‒</w:t>
      </w:r>
      <w:r w:rsidRPr="000D65EF">
        <w:rPr>
          <w:lang w:val="ru-RU"/>
        </w:rPr>
        <w:tab/>
      </w:r>
      <w:bookmarkEnd w:id="7"/>
      <w:r w:rsidR="00D83612" w:rsidRPr="000D65EF">
        <w:rPr>
          <w:lang w:val="ru-RU"/>
        </w:rPr>
        <w:t>Недорасход средств в результате инициативного и рационального управления финансами. После утверждения Советом сокращенного пакета бюджета секретариат ввел строгий контроль над расходами, принимал взвешенные решения о наборе персонала и тщательно отслеживал поэтапное исполнение проектов для обеспечения финансовой устойчивости в течение двухгодичного периода 2026</w:t>
      </w:r>
      <w:r w:rsidR="00B23E4A" w:rsidRPr="000D65EF">
        <w:rPr>
          <w:rFonts w:cs="Calibri"/>
          <w:lang w:val="ru-RU"/>
        </w:rPr>
        <w:t>−</w:t>
      </w:r>
      <w:r w:rsidR="00D83612" w:rsidRPr="000D65EF">
        <w:rPr>
          <w:lang w:val="ru-RU"/>
        </w:rPr>
        <w:t>2027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годов.</w:t>
      </w:r>
    </w:p>
    <w:p w14:paraId="006B77B4" w14:textId="29E822F2" w:rsidR="00D83612" w:rsidRPr="000D65EF" w:rsidRDefault="001366D0" w:rsidP="00F86849">
      <w:pPr>
        <w:pStyle w:val="enumlev1"/>
        <w:jc w:val="both"/>
        <w:rPr>
          <w:lang w:val="ru-RU"/>
        </w:rPr>
      </w:pPr>
      <w:bookmarkStart w:id="8" w:name="_Hlk227575472"/>
      <w:r w:rsidRPr="000D65EF">
        <w:rPr>
          <w:lang w:val="ru-RU"/>
        </w:rPr>
        <w:t>‒</w:t>
      </w:r>
      <w:r w:rsidRPr="000D65EF">
        <w:rPr>
          <w:lang w:val="ru-RU"/>
        </w:rPr>
        <w:tab/>
      </w:r>
      <w:bookmarkEnd w:id="8"/>
      <w:r w:rsidR="00D83612" w:rsidRPr="000D65EF">
        <w:rPr>
          <w:lang w:val="ru-RU"/>
        </w:rPr>
        <w:t>Более высокие, чем ожидалось, доходы, в том числе более высокие объемы продаж публикаций, благоприятное актуарное движение средств, связанных с</w:t>
      </w:r>
      <w:r w:rsidR="00B23E4A" w:rsidRPr="000D65EF">
        <w:rPr>
          <w:lang w:val="ru-RU"/>
        </w:rPr>
        <w:t> </w:t>
      </w:r>
      <w:r w:rsidR="00D83612" w:rsidRPr="000D65EF">
        <w:rPr>
          <w:lang w:val="ru-RU"/>
        </w:rPr>
        <w:t>обязательствами по персоналу, а также более высокие поступления по процентам.</w:t>
      </w:r>
    </w:p>
    <w:p w14:paraId="35DBF667" w14:textId="7777777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Важно подчеркнуть, что эти благоприятные изменения в основном носят разовый характер или связаны со стечением обстоятельств и не представляют собой структурного сокращения текущих базовых расходов Союза.</w:t>
      </w:r>
    </w:p>
    <w:p w14:paraId="5288A83B" w14:textId="3D4823AB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Соответственно, секретариат предлагает распределить активное сальдо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года на разовые или ограниченные по времени стратегические приоритеты на 2026</w:t>
      </w:r>
      <w:r w:rsidR="00B23E4A" w:rsidRPr="000D65EF">
        <w:rPr>
          <w:rFonts w:cs="Calibri"/>
          <w:lang w:val="ru-RU"/>
        </w:rPr>
        <w:t>−</w:t>
      </w:r>
      <w:r w:rsidRPr="000D65EF">
        <w:rPr>
          <w:lang w:val="ru-RU"/>
        </w:rPr>
        <w:t>2027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годы, а не включать его в базовый уровень регулярного бюджета. В связи с этим Совету предлагается утвердить предлагаемое распределение сэкономленных средств.</w:t>
      </w:r>
    </w:p>
    <w:p w14:paraId="5FAACA6E" w14:textId="458C23D8" w:rsidR="00D83612" w:rsidRPr="000D65EF" w:rsidRDefault="00D83612" w:rsidP="00F86849">
      <w:pPr>
        <w:pStyle w:val="Headingb"/>
      </w:pPr>
      <w:r w:rsidRPr="000D65EF">
        <w:t>Предлагаемое использование активного сальдо бюджета 2025 года</w:t>
      </w:r>
      <w:r w:rsidR="00B53585" w:rsidRPr="000D65EF">
        <w:t xml:space="preserve"> – финансирование ранее утвержденных Советом инициатив</w:t>
      </w:r>
    </w:p>
    <w:p w14:paraId="3624C67D" w14:textId="2F2B8B39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Как указано выше, активное сальдо бюджета в размере </w:t>
      </w:r>
      <w:r w:rsidR="00B53585" w:rsidRPr="000D65EF">
        <w:rPr>
          <w:lang w:val="ru-RU"/>
        </w:rPr>
        <w:t>11</w:t>
      </w:r>
      <w:r w:rsidRPr="000D65EF">
        <w:rPr>
          <w:lang w:val="ru-RU"/>
        </w:rPr>
        <w:t>,</w:t>
      </w:r>
      <w:r w:rsidR="00B53585" w:rsidRPr="000D65EF">
        <w:rPr>
          <w:lang w:val="ru-RU"/>
        </w:rPr>
        <w:t>44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млн.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швейцарских франков, зафиксированное в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году, является результатом сочетания разовых эффектов доходов и расходов, не учтенных в финансовом периоде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>года.</w:t>
      </w:r>
    </w:p>
    <w:p w14:paraId="0115B47A" w14:textId="22554259" w:rsidR="00B53585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 2025 году благодаря ходу реализации проектов в 2025</w:t>
      </w:r>
      <w:r w:rsidR="00B23E4A" w:rsidRPr="000D65EF">
        <w:rPr>
          <w:lang w:val="ru-RU"/>
        </w:rPr>
        <w:t> </w:t>
      </w:r>
      <w:r w:rsidRPr="000D65EF">
        <w:rPr>
          <w:lang w:val="ru-RU"/>
        </w:rPr>
        <w:t xml:space="preserve">финансовом году, возмещение затрат на административные и оперативные услуги (AOS) превысило предусмотренную в бюджете сумму на </w:t>
      </w:r>
      <w:r w:rsidRPr="000D65EF">
        <w:rPr>
          <w:b/>
          <w:bCs/>
          <w:lang w:val="ru-RU"/>
        </w:rPr>
        <w:t>559</w:t>
      </w:r>
      <w:r w:rsidR="00B23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800</w:t>
      </w:r>
      <w:r w:rsidR="00B23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. </w:t>
      </w:r>
      <w:r w:rsidR="00E50574" w:rsidRPr="000D65EF">
        <w:rPr>
          <w:lang w:val="ru-RU"/>
        </w:rPr>
        <w:t xml:space="preserve">Соответственно, </w:t>
      </w:r>
      <w:r w:rsidR="00DD73C1" w:rsidRPr="000D65EF">
        <w:rPr>
          <w:lang w:val="ru-RU"/>
        </w:rPr>
        <w:t xml:space="preserve">этот </w:t>
      </w:r>
      <w:r w:rsidR="00E50574" w:rsidRPr="000D65EF">
        <w:rPr>
          <w:lang w:val="ru-RU"/>
        </w:rPr>
        <w:t xml:space="preserve">остаток был переведен в Фонд развития ИКТ (Документ </w:t>
      </w:r>
      <w:hyperlink r:id="rId13">
        <w:r w:rsidR="00E50574" w:rsidRPr="000D65EF">
          <w:rPr>
            <w:rStyle w:val="Hyperlink"/>
            <w:lang w:val="ru-RU"/>
          </w:rPr>
          <w:t>C26/34</w:t>
        </w:r>
      </w:hyperlink>
      <w:r w:rsidR="00E50574" w:rsidRPr="000D65EF">
        <w:rPr>
          <w:lang w:val="ru-RU"/>
        </w:rPr>
        <w:t>).</w:t>
      </w:r>
    </w:p>
    <w:p w14:paraId="1A1B93ED" w14:textId="072791CA" w:rsidR="00B53585" w:rsidRPr="000D65EF" w:rsidRDefault="00B53585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Кроме того, на основании </w:t>
      </w:r>
      <w:r w:rsidRPr="000D65EF">
        <w:rPr>
          <w:b/>
          <w:bCs/>
          <w:lang w:val="ru-RU"/>
        </w:rPr>
        <w:t xml:space="preserve">Документа </w:t>
      </w:r>
      <w:hyperlink r:id="rId14" w:history="1">
        <w:r w:rsidR="00E50574" w:rsidRPr="000D65EF">
          <w:rPr>
            <w:rStyle w:val="Hyperlink"/>
            <w:b/>
            <w:bCs/>
            <w:lang w:val="ru-RU"/>
          </w:rPr>
          <w:t>C24/31</w:t>
        </w:r>
      </w:hyperlink>
      <w:r w:rsidRPr="000D65EF">
        <w:rPr>
          <w:b/>
          <w:bCs/>
          <w:lang w:val="ru-RU"/>
        </w:rPr>
        <w:t xml:space="preserve"> Совета</w:t>
      </w:r>
      <w:r w:rsidRPr="000D65EF">
        <w:rPr>
          <w:lang w:val="ru-RU"/>
        </w:rPr>
        <w:t xml:space="preserve">, которым учрежден Фонд YPP для финансовой поддержки программы МСЭ "Молодые специалисты", Генеральный секретарь выделила ассигнования на сумму </w:t>
      </w:r>
      <w:r w:rsidRPr="000D65EF">
        <w:rPr>
          <w:b/>
          <w:bCs/>
          <w:lang w:val="ru-RU"/>
        </w:rPr>
        <w:t>1,2 млн. швейцарских франков</w:t>
      </w:r>
      <w:r w:rsidRPr="000D65EF">
        <w:rPr>
          <w:lang w:val="ru-RU"/>
        </w:rPr>
        <w:t xml:space="preserve"> Фонду YPP для обеспечения непрерывности и стабильности программы "Молодые специалисты" в соответствии с Документом C24/31 (см. Таблицу 1).</w:t>
      </w:r>
    </w:p>
    <w:p w14:paraId="7C3550FF" w14:textId="679068C4" w:rsidR="00B53585" w:rsidRPr="000D65EF" w:rsidRDefault="00B53585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Предлагаемая сумма предполагает сохранение текущей численности группы </w:t>
      </w:r>
      <w:r w:rsidR="00D706AF" w:rsidRPr="000D65EF">
        <w:rPr>
          <w:lang w:val="ru-RU"/>
        </w:rPr>
        <w:t xml:space="preserve">молодых специалистов </w:t>
      </w:r>
      <w:r w:rsidRPr="000D65EF">
        <w:rPr>
          <w:lang w:val="ru-RU"/>
        </w:rPr>
        <w:t>(шесть должностей) в течение двухгодичного периода 2026–2027 годов.</w:t>
      </w:r>
    </w:p>
    <w:p w14:paraId="25AC7AD4" w14:textId="1BBF1DAC" w:rsidR="00B53585" w:rsidRPr="000D65EF" w:rsidRDefault="00B53585" w:rsidP="00F86849">
      <w:pPr>
        <w:pStyle w:val="Headingb"/>
      </w:pPr>
      <w:r w:rsidRPr="000D65EF">
        <w:t>Предлагаемое использование активного сальдо бюджета 2025 года – другие предлагаемые ассигнования</w:t>
      </w:r>
    </w:p>
    <w:p w14:paraId="3BDF6BCC" w14:textId="5C203E29" w:rsidR="00D83612" w:rsidRPr="000D65EF" w:rsidRDefault="00DD73C1" w:rsidP="00F86849">
      <w:pPr>
        <w:jc w:val="both"/>
        <w:rPr>
          <w:lang w:val="ru-RU"/>
        </w:rPr>
      </w:pPr>
      <w:r w:rsidRPr="000D65EF">
        <w:rPr>
          <w:lang w:val="ru-RU"/>
        </w:rPr>
        <w:t>В связи с выделением</w:t>
      </w:r>
      <w:r w:rsidR="00B53585" w:rsidRPr="000D65EF">
        <w:rPr>
          <w:lang w:val="ru-RU"/>
        </w:rPr>
        <w:t xml:space="preserve"> средств на основе ранее утвержденных решений, указанных выше, секретариат предлагает выделить оставшееся активное сальдо бюджета в размере </w:t>
      </w:r>
      <w:r w:rsidR="00B53585" w:rsidRPr="000D65EF">
        <w:rPr>
          <w:b/>
          <w:bCs/>
          <w:lang w:val="ru-RU"/>
        </w:rPr>
        <w:t>10,24 млн. швейцарских франков</w:t>
      </w:r>
      <w:r w:rsidR="00B53585" w:rsidRPr="000D65EF">
        <w:rPr>
          <w:lang w:val="ru-RU"/>
        </w:rPr>
        <w:t>, как это показано в Таблице 1, ниже</w:t>
      </w:r>
      <w:r w:rsidR="00D83612" w:rsidRPr="000D65EF">
        <w:rPr>
          <w:lang w:val="ru-RU"/>
        </w:rPr>
        <w:t>. Более подробная информация об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этом обосновании представлена ниже.</w:t>
      </w:r>
      <w:hyperlink r:id="rId15"/>
    </w:p>
    <w:p w14:paraId="34E16259" w14:textId="7B3B33EB" w:rsidR="00D83612" w:rsidRPr="000D65EF" w:rsidRDefault="00D83612" w:rsidP="001E5E4A">
      <w:pPr>
        <w:pStyle w:val="Tabletitle"/>
        <w:rPr>
          <w:lang w:val="ru-RU"/>
        </w:rPr>
      </w:pPr>
      <w:r w:rsidRPr="000D65EF">
        <w:rPr>
          <w:lang w:val="ru-RU"/>
        </w:rPr>
        <w:lastRenderedPageBreak/>
        <w:t>Таблица 1 – Резюме предлагаемого распределения средств,</w:t>
      </w:r>
      <w:r w:rsidRPr="000D65EF">
        <w:rPr>
          <w:lang w:val="ru-RU"/>
        </w:rPr>
        <w:br/>
        <w:t>сэкономленных в 2025 году, в 2026−2027 годах</w:t>
      </w:r>
    </w:p>
    <w:p w14:paraId="0F1DED97" w14:textId="00AB0B5B" w:rsidR="00A36409" w:rsidRPr="00A36409" w:rsidRDefault="00A36409" w:rsidP="00A36409">
      <w:pPr>
        <w:pStyle w:val="Figure"/>
      </w:pPr>
      <w:r w:rsidRPr="00A36409">
        <w:rPr>
          <w:noProof/>
        </w:rPr>
        <w:drawing>
          <wp:inline distT="0" distB="0" distL="0" distR="0" wp14:anchorId="61E7E607" wp14:editId="0D337881">
            <wp:extent cx="5760085" cy="3637915"/>
            <wp:effectExtent l="0" t="0" r="0" b="635"/>
            <wp:docPr id="19904469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63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BE926" w14:textId="5E7A04DA" w:rsidR="00D83612" w:rsidRPr="000D65EF" w:rsidRDefault="00D83612" w:rsidP="00F86849">
      <w:pPr>
        <w:pStyle w:val="Heading1"/>
      </w:pPr>
      <w:r w:rsidRPr="000D65EF">
        <w:t>1</w:t>
      </w:r>
      <w:r w:rsidRPr="000D65EF">
        <w:tab/>
        <w:t>Согласованное прекращение службы</w:t>
      </w:r>
    </w:p>
    <w:p w14:paraId="569C44B9" w14:textId="68D4F1C3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 2022 году Совет утвердил использование 6 млн. швейцарских франков из резервного фонда для реализации МСЭ программ добровольного прекращения службы, предназначенных для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содействия организационной реструктуризации и поддержки реформирования кадров в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рамках реагирования на меняющиеся стратегические потребности. Эта инициатива позволила 42 отвечающим критериям сотрудникам уволиться на добровольной основе, что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 xml:space="preserve">дало возможность оптимизировать корректировки по кадрам и сохранить оперативный потенциал Союза. </w:t>
      </w:r>
    </w:p>
    <w:p w14:paraId="440558F4" w14:textId="1374B2E1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2,5</w:t>
      </w:r>
      <w:r w:rsidR="001E5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1E5E4A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разработку дополнительных инициатив по прекращению службы в поддержку целей реорганизации и сокращения затрат в</w:t>
      </w:r>
      <w:r w:rsidR="001E5E4A" w:rsidRPr="000D65EF">
        <w:rPr>
          <w:lang w:val="ru-RU"/>
        </w:rPr>
        <w:t> </w:t>
      </w:r>
      <w:r w:rsidRPr="000D65EF">
        <w:rPr>
          <w:lang w:val="ru-RU"/>
        </w:rPr>
        <w:t>более долгосрочной перспективе.</w:t>
      </w:r>
    </w:p>
    <w:p w14:paraId="1C326A20" w14:textId="7EFF25EB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Финансирование будет использоваться следующим образом:</w:t>
      </w:r>
    </w:p>
    <w:p w14:paraId="551E0D2A" w14:textId="67F5FBEE" w:rsidR="00D83612" w:rsidRPr="000D65EF" w:rsidRDefault="00D1584D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финансирование прекращения службы, если это необходимо, в наилучших интересах Союза, для учета изменений в квалификациях и компетенциях, актуальных в связи с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реорганизацией;</w:t>
      </w:r>
    </w:p>
    <w:p w14:paraId="7CEBDF4B" w14:textId="68285EB4" w:rsidR="00D83612" w:rsidRPr="000D65EF" w:rsidRDefault="00D1584D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любой неизрасходованный остаток средств будет сохранен в резерве для поддержки будущих потребностей в реструктуризации с учетом того, что продолжительность организационных корректировок превышает один финансовый год; и</w:t>
      </w:r>
    </w:p>
    <w:p w14:paraId="7FE234AE" w14:textId="2F8AE073" w:rsidR="00D83612" w:rsidRPr="000D65EF" w:rsidRDefault="00D1584D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Секретариат будет ежегодно представлять Совету отчет об использовании средств.</w:t>
      </w:r>
    </w:p>
    <w:p w14:paraId="240C01E8" w14:textId="72E73062" w:rsidR="00D83612" w:rsidRPr="000D65EF" w:rsidRDefault="00D83612" w:rsidP="00F86849">
      <w:pPr>
        <w:pStyle w:val="Heading1"/>
      </w:pPr>
      <w:r w:rsidRPr="000D65EF">
        <w:lastRenderedPageBreak/>
        <w:t>2</w:t>
      </w:r>
      <w:r w:rsidRPr="000D65EF">
        <w:tab/>
        <w:t>Ликвидация накопившегося объема невыполненной работы по</w:t>
      </w:r>
      <w:r w:rsidR="00471D67" w:rsidRPr="000D65EF">
        <w:t> </w:t>
      </w:r>
      <w:r w:rsidRPr="000D65EF">
        <w:t>обработке заявок на регистрацию спутниковых сетей</w:t>
      </w:r>
    </w:p>
    <w:p w14:paraId="7BB1DD25" w14:textId="4B8074C1" w:rsidR="00D83612" w:rsidRPr="000D65EF" w:rsidRDefault="00D83612" w:rsidP="00F86849">
      <w:pPr>
        <w:keepLines/>
        <w:jc w:val="both"/>
        <w:rPr>
          <w:lang w:val="ru-RU"/>
        </w:rPr>
      </w:pPr>
      <w:r w:rsidRPr="000D65EF">
        <w:rPr>
          <w:lang w:val="ru-RU"/>
        </w:rPr>
        <w:t>Секретариат предлагает целевое, ограниченное по времени ассигнование сэкономленных в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2025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году средств для ликвидации накопившегося объема невыполненной работы по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 xml:space="preserve">обработке заявок на регистрацию спутниковых сетей в размере </w:t>
      </w:r>
      <w:r w:rsidRPr="000D65EF">
        <w:rPr>
          <w:b/>
          <w:bCs/>
          <w:lang w:val="ru-RU"/>
        </w:rPr>
        <w:t>0,5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>. Сроки обработки продлены приблизительно до 14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месяцев, что создает оперативную нагрузку и сопряжено с репутационными рисками для Союза.</w:t>
      </w:r>
    </w:p>
    <w:p w14:paraId="717DD9A9" w14:textId="57517958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Предлагаемая мера обеспечит временное финансирование для привлечения дополнительного персонала, предназначенное исключительно для сокращения накопившегося объема невыполненной работы, с целью оказания помощи в сокращении сроков обработки до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приблизительно четырех месяцев. Эта мера направлена на краткосрочное укрепление потенциала, и ее целью является закрытие накопившихся дел, а не расширение долгосрочного штатного расписания.</w:t>
      </w:r>
    </w:p>
    <w:p w14:paraId="0414271A" w14:textId="6B3BDF02" w:rsidR="00D83612" w:rsidRPr="000D65EF" w:rsidRDefault="00D83612" w:rsidP="00F86849">
      <w:pPr>
        <w:pStyle w:val="Heading1"/>
      </w:pPr>
      <w:r w:rsidRPr="000D65EF">
        <w:t>3</w:t>
      </w:r>
      <w:r w:rsidRPr="000D65EF">
        <w:tab/>
        <w:t>Базовые системы для заявок на регистрацию спутниковых сетей и возможности модернизации</w:t>
      </w:r>
    </w:p>
    <w:p w14:paraId="142CC9EB" w14:textId="720EB428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1,3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содействие модернизации программного обеспечения БР для космических служб в целях укрепления базовых систем, поддерживающих обработку заявок на регистрацию спутниковых сетей в рамках Бюро радиосвязи (БР). Эти инвестиции будут включены в структурированную стратегию БР по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модернизации программного обеспечения и согласуются с более общими целями цифровой трансформации ИС Союза.</w:t>
      </w:r>
    </w:p>
    <w:p w14:paraId="154AFC10" w14:textId="0BCEB5B1" w:rsidR="00D83612" w:rsidRPr="000D65EF" w:rsidRDefault="00F8192C" w:rsidP="00F86849">
      <w:pPr>
        <w:jc w:val="both"/>
        <w:rPr>
          <w:lang w:val="ru-RU"/>
        </w:rPr>
      </w:pPr>
      <w:r w:rsidRPr="000D65EF">
        <w:rPr>
          <w:lang w:val="ru-RU"/>
        </w:rPr>
        <w:t>Бюро радиосвязи</w:t>
      </w:r>
      <w:r w:rsidR="00D83612" w:rsidRPr="000D65EF">
        <w:rPr>
          <w:lang w:val="ru-RU"/>
        </w:rPr>
        <w:t xml:space="preserve"> выявило структурные ограничения, затрагивающие как внешние заинтересованные стороны, так и внутренние операции. Государства-Члены и операторы спутниковых сетей по</w:t>
      </w:r>
      <w:r w:rsidR="00471D67" w:rsidRPr="000D65EF">
        <w:rPr>
          <w:lang w:val="ru-RU"/>
        </w:rPr>
        <w:noBreakHyphen/>
      </w:r>
      <w:r w:rsidR="00D83612" w:rsidRPr="000D65EF">
        <w:rPr>
          <w:lang w:val="ru-RU"/>
        </w:rPr>
        <w:t>прежнему сталкиваются с проблемами, такими как накопление невыполненной работы, в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результате чего время обработки превышает регламентарные предельные сроки, сопряженные с этим регламентарные риски, длительные циклы исправления после представлений и неоднородность пользовательских интерфейсов. На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внутреннем уровне БР сталкивается с накопившимся техническим долгом, растущими вычислительными требованиями и значительными институциональными рисками, связанными с зависимостью от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одного человека и концентрацией специальных знаний. Несмотря на то, что Совет 2025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года выделил 0,5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 ежегодно из сборов, взимаемых за</w:t>
      </w:r>
      <w:r w:rsidR="006A63D7">
        <w:rPr>
          <w:lang w:val="ru-RU"/>
        </w:rPr>
        <w:t> </w:t>
      </w:r>
      <w:r w:rsidR="00D83612" w:rsidRPr="000D65EF">
        <w:rPr>
          <w:lang w:val="ru-RU"/>
        </w:rPr>
        <w:t>обработку заявок на регистрацию спутниковых сетей, в Капитальный фонд ИКТ для разработки программного обеспечения БР, затраты на модернизацию программного обеспечения БР оцениваются в</w:t>
      </w:r>
      <w:r w:rsidR="00471D67" w:rsidRPr="000D65EF">
        <w:rPr>
          <w:lang w:val="ru-RU"/>
        </w:rPr>
        <w:t> </w:t>
      </w:r>
      <w:r w:rsidR="00D83612" w:rsidRPr="000D65EF">
        <w:rPr>
          <w:lang w:val="ru-RU"/>
        </w:rPr>
        <w:t>более чем 3 млн. швейцарских франков.</w:t>
      </w:r>
    </w:p>
    <w:p w14:paraId="78B4B46C" w14:textId="5F40E1E0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 основе этой стратегии лежат два комплексных средства реализации: i) обеспечение готовности к миграции в облако, которая включает адаптацию загружаемого программного обеспечения БР, веб-приложений и баз данных, а также оптимизацию инфраструктуры для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работы в долгосрочной перспективе; и ii) упорядоченное внедрение передовых инструментов ИИ для улучшения разработки программного обеспечения в целом и модернизации в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частности, а также возможностей тестирования программного обеспечения.</w:t>
      </w:r>
    </w:p>
    <w:p w14:paraId="477A7F6E" w14:textId="49054BDB" w:rsidR="00D83612" w:rsidRPr="000D65EF" w:rsidRDefault="00D83612" w:rsidP="00F86849">
      <w:pPr>
        <w:pStyle w:val="Heading1"/>
      </w:pPr>
      <w:r w:rsidRPr="000D65EF">
        <w:t>4</w:t>
      </w:r>
      <w:r w:rsidRPr="000D65EF">
        <w:tab/>
        <w:t>Модернизация корпоративных систем</w:t>
      </w:r>
    </w:p>
    <w:p w14:paraId="417783E4" w14:textId="7BD33A0B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1,4</w:t>
      </w:r>
      <w:r w:rsidR="00C30E8A" w:rsidRPr="000D65EF">
        <w:rPr>
          <w:b/>
          <w:bCs/>
          <w:lang w:val="ru-RU"/>
        </w:rPr>
        <w:t>4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E241FF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укрепление потенциала, необходимого для выполнения текущей программы трансформации МСЭ, в частности на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внедрение крупных корпоративных систем, таких как SAP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 xml:space="preserve">S/4HANA, Microsoft Dynamics, </w:t>
      </w:r>
      <w:r w:rsidRPr="000D65EF">
        <w:rPr>
          <w:lang w:val="ru-RU"/>
        </w:rPr>
        <w:lastRenderedPageBreak/>
        <w:t>Recruitment System, а также поддерживающих облачных систем, решений на основе ИИ и данных для модернизации систем Секторов.</w:t>
      </w:r>
    </w:p>
    <w:p w14:paraId="210B8F02" w14:textId="7777777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Эти инициативы представляют собой не только замену систем, но и структурированную возможность решения этих проблем путем перестройки бизнес-процессов, модернизации архитектуры и укрепления управления.</w:t>
      </w:r>
    </w:p>
    <w:p w14:paraId="5379F6A6" w14:textId="7777777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Предлагаемые капитальные ассигнования предназначены для поддержки следующих мер:</w:t>
      </w:r>
    </w:p>
    <w:p w14:paraId="08F81D9E" w14:textId="5E745831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сокращение технического долга и модернизация базовых систем, включая ERP, CRM, управление мероприятиями, набор персонала, управление поездками и расходами, управление услугами, другие цифровые платформы;</w:t>
      </w:r>
    </w:p>
    <w:p w14:paraId="3194EBAC" w14:textId="16E3B5E4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миграция в облако и оптимизация архитектуры важнейших систем;</w:t>
      </w:r>
    </w:p>
    <w:p w14:paraId="392204F2" w14:textId="3329F727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оптимизация и автоматизация ключевых сквозных процессов;</w:t>
      </w:r>
    </w:p>
    <w:p w14:paraId="69247B1F" w14:textId="13CA75DA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повышение качества данных, совершенствование внутреннего контроля и возможностей отчетности;</w:t>
      </w:r>
    </w:p>
    <w:p w14:paraId="379451D8" w14:textId="4C0F8F1D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модернизация методов работы, включая капитальные инвестиции в MyWorkspace;</w:t>
      </w:r>
    </w:p>
    <w:p w14:paraId="50148F6E" w14:textId="03EC3EC0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укрепление управления, корпоративной архитектуры и дисциплины портфеля; и</w:t>
      </w:r>
    </w:p>
    <w:p w14:paraId="3FCF3F22" w14:textId="21F9E008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вывод из эксплуатации устаревших платформ и сокращение дублирования.</w:t>
      </w:r>
    </w:p>
    <w:p w14:paraId="0CB5E2D5" w14:textId="05EF8B30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Используя часть активного сальдо 2025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года для поддержки этой работы, МСЭ может ускорить трансформацию, сдерживая при этом средне- и долгосрочные затраты, укрепляя внутренний контроль, снижая операционные риски и не создавая постоянного структурного давления на</w:t>
      </w:r>
      <w:r w:rsidR="00471D67" w:rsidRPr="000D65EF">
        <w:rPr>
          <w:lang w:val="ru-RU"/>
        </w:rPr>
        <w:t> </w:t>
      </w:r>
      <w:r w:rsidRPr="000D65EF">
        <w:rPr>
          <w:lang w:val="ru-RU"/>
        </w:rPr>
        <w:t>регулярный бюджет.</w:t>
      </w:r>
    </w:p>
    <w:p w14:paraId="38CBB2F0" w14:textId="12AB19B1" w:rsidR="00D83612" w:rsidRPr="000D65EF" w:rsidRDefault="00D83612" w:rsidP="00F86849">
      <w:pPr>
        <w:pStyle w:val="Heading1"/>
      </w:pPr>
      <w:r w:rsidRPr="000D65EF">
        <w:t>5</w:t>
      </w:r>
      <w:r w:rsidRPr="000D65EF">
        <w:tab/>
        <w:t>Меры по обеспечению непрерывности деятельности</w:t>
      </w:r>
    </w:p>
    <w:p w14:paraId="799C6572" w14:textId="411DAFCE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В соответствии с планом обеспечения непрерывности деятельности на этапе строительства штаб-квартиры предлагается специальное выделение средств в размере </w:t>
      </w:r>
      <w:r w:rsidRPr="000D65EF">
        <w:rPr>
          <w:b/>
          <w:bCs/>
          <w:lang w:val="ru-RU"/>
        </w:rPr>
        <w:t>1,50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71D67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для обеспечения непрерывности деятельности МСЭ на этапе строительства.</w:t>
      </w:r>
    </w:p>
    <w:p w14:paraId="7FECB275" w14:textId="2AEE5AF6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Цель, изложенная в Плане обеспечения непрерывности деятельности, заключается в том, чтобы обеспечить непрерывность основной деятельности МСЭ и предоставления соответствующих вспомогательных услуг на территории штаб-квартиры в Женеве во время строительных работ.</w:t>
      </w:r>
    </w:p>
    <w:p w14:paraId="36873002" w14:textId="7777777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Выделение этих средств относится конкретно к мерам переходного периода и обеспечения непрерывности деятельности, включая следующие:</w:t>
      </w:r>
    </w:p>
    <w:p w14:paraId="7B49A027" w14:textId="55AD1090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перемещение и реконфигурация рабочих мест в зданиях "Башня" и "Монбрийан" в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соответствии с моделью совместного использования рабочих мест и оптимизации пространства;</w:t>
      </w:r>
    </w:p>
    <w:p w14:paraId="5291F9CB" w14:textId="0C565B46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адаптация вспомогательных служб для поддержания основных рабочих условий в</w:t>
      </w:r>
      <w:r w:rsidRPr="000D65EF">
        <w:rPr>
          <w:lang w:val="ru-RU"/>
        </w:rPr>
        <w:t> </w:t>
      </w:r>
      <w:r w:rsidR="00D83612" w:rsidRPr="000D65EF">
        <w:rPr>
          <w:lang w:val="ru-RU"/>
        </w:rPr>
        <w:t>зданиях, здоровья, благополучия, безопасности и возможности проведения конференций;</w:t>
      </w:r>
    </w:p>
    <w:p w14:paraId="4528C3E0" w14:textId="32AE2C93" w:rsidR="00D83612" w:rsidRPr="000D65EF" w:rsidRDefault="00471D67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поддержание основных предусмотренных Уставом и оперативных видов деятельности, включая конференции, собрания смешанного формата и ключевые институциональные функции; и</w:t>
      </w:r>
    </w:p>
    <w:p w14:paraId="47EF4E21" w14:textId="67F85183" w:rsidR="00D83612" w:rsidRPr="000D65EF" w:rsidRDefault="00471D67" w:rsidP="00471D67">
      <w:pPr>
        <w:pStyle w:val="enumlev1"/>
        <w:rPr>
          <w:lang w:val="ru-RU"/>
        </w:rPr>
      </w:pPr>
      <w:r w:rsidRPr="000D65EF">
        <w:rPr>
          <w:lang w:val="ru-RU"/>
        </w:rPr>
        <w:t>‒</w:t>
      </w:r>
      <w:r w:rsidRPr="000D65EF">
        <w:rPr>
          <w:lang w:val="ru-RU"/>
        </w:rPr>
        <w:tab/>
      </w:r>
      <w:r w:rsidR="00D83612" w:rsidRPr="000D65EF">
        <w:rPr>
          <w:lang w:val="ru-RU"/>
        </w:rPr>
        <w:t>необходимые временные оперативные корректировки для устранения нарушений, ограничений по пространству для хранения и снижения доступности помещений.</w:t>
      </w:r>
    </w:p>
    <w:p w14:paraId="42951517" w14:textId="157467E4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Дополнительные, более долгосрочные требования, связанные с этапом строительства, будут учтены в рамках Финансового плана на 2028</w:t>
      </w:r>
      <w:r w:rsidR="00295883" w:rsidRPr="000D65EF">
        <w:rPr>
          <w:rFonts w:cs="Calibri"/>
          <w:lang w:val="ru-RU"/>
        </w:rPr>
        <w:t>−</w:t>
      </w:r>
      <w:r w:rsidRPr="000D65EF">
        <w:rPr>
          <w:lang w:val="ru-RU"/>
        </w:rPr>
        <w:t>2031</w:t>
      </w:r>
      <w:r w:rsidR="001E1817" w:rsidRPr="000D65EF">
        <w:rPr>
          <w:lang w:val="ru-RU"/>
        </w:rPr>
        <w:t> </w:t>
      </w:r>
      <w:r w:rsidRPr="000D65EF">
        <w:rPr>
          <w:lang w:val="ru-RU"/>
        </w:rPr>
        <w:t>годы.</w:t>
      </w:r>
    </w:p>
    <w:p w14:paraId="6C56E9AC" w14:textId="2DC25106" w:rsidR="00D83612" w:rsidRPr="000D65EF" w:rsidRDefault="00D83612" w:rsidP="00F86849">
      <w:pPr>
        <w:pStyle w:val="Heading1"/>
      </w:pPr>
      <w:r w:rsidRPr="000D65EF">
        <w:lastRenderedPageBreak/>
        <w:t>6</w:t>
      </w:r>
      <w:r w:rsidRPr="000D65EF">
        <w:tab/>
        <w:t>Региональные инициативы</w:t>
      </w:r>
    </w:p>
    <w:p w14:paraId="5D4F4EEA" w14:textId="2AAF3A82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В соответствии с установившейся после всемирных конференций по развитию электросвязи </w:t>
      </w:r>
      <w:r w:rsidR="0001770D" w:rsidRPr="000D65EF">
        <w:rPr>
          <w:lang w:val="ru-RU"/>
        </w:rPr>
        <w:t xml:space="preserve">(ВКРЭ) </w:t>
      </w:r>
      <w:r w:rsidRPr="000D65EF">
        <w:rPr>
          <w:lang w:val="ru-RU"/>
        </w:rPr>
        <w:t xml:space="preserve">практикой предлагается выделить </w:t>
      </w:r>
      <w:r w:rsidRPr="000D65EF">
        <w:rPr>
          <w:b/>
          <w:bCs/>
          <w:lang w:val="ru-RU"/>
        </w:rPr>
        <w:t>1,3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для оказания поддержки Бюро развития электросвязи (БРЭ) в своевременной реализации региональных инициатив, принятых на ВКРЭ-25. Из этих средств </w:t>
      </w:r>
      <w:r w:rsidRPr="000D65EF">
        <w:rPr>
          <w:b/>
          <w:bCs/>
          <w:lang w:val="ru-RU"/>
        </w:rPr>
        <w:t>500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тыс.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будут выделены непосредственно на поддержку деятельности Бюро, а </w:t>
      </w:r>
      <w:r w:rsidRPr="000D65EF">
        <w:rPr>
          <w:b/>
          <w:bCs/>
          <w:lang w:val="ru-RU"/>
        </w:rPr>
        <w:t>800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тыс.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будут выделены в Фонд развития ИКТ для поддержки проектов МСЭ, выполняемых в партнерстве с</w:t>
      </w:r>
      <w:r w:rsidR="004531FB" w:rsidRPr="000D65EF">
        <w:rPr>
          <w:lang w:val="ru-RU"/>
        </w:rPr>
        <w:t> </w:t>
      </w:r>
      <w:r w:rsidRPr="000D65EF">
        <w:rPr>
          <w:lang w:val="ru-RU"/>
        </w:rPr>
        <w:t>донорами. БРЭ подтвердило, что другие требования, связанные с выполнением решений ВКРЭ</w:t>
      </w:r>
      <w:r w:rsidR="004531FB" w:rsidRPr="000D65EF">
        <w:rPr>
          <w:lang w:val="ru-RU"/>
        </w:rPr>
        <w:noBreakHyphen/>
      </w:r>
      <w:r w:rsidRPr="000D65EF">
        <w:rPr>
          <w:lang w:val="ru-RU"/>
        </w:rPr>
        <w:t>25, будут учтены в рамках имеющихся ассигнований.</w:t>
      </w:r>
    </w:p>
    <w:p w14:paraId="46934258" w14:textId="768BCF6C" w:rsidR="00D83612" w:rsidRPr="000D65EF" w:rsidRDefault="00730C0C" w:rsidP="00F86849">
      <w:pPr>
        <w:jc w:val="both"/>
        <w:rPr>
          <w:lang w:val="ru-RU"/>
        </w:rPr>
      </w:pPr>
      <w:r w:rsidRPr="000D65EF">
        <w:rPr>
          <w:lang w:val="ru-RU"/>
        </w:rPr>
        <w:t>Всемирная конференция по развитию электросвязи 2025 года (</w:t>
      </w:r>
      <w:r w:rsidR="00D83612" w:rsidRPr="000D65EF">
        <w:rPr>
          <w:lang w:val="ru-RU"/>
        </w:rPr>
        <w:t>ВКРЭ</w:t>
      </w:r>
      <w:r w:rsidR="004531FB" w:rsidRPr="000D65EF">
        <w:rPr>
          <w:lang w:val="ru-RU"/>
        </w:rPr>
        <w:noBreakHyphen/>
      </w:r>
      <w:r w:rsidR="00D83612" w:rsidRPr="000D65EF">
        <w:rPr>
          <w:lang w:val="ru-RU"/>
        </w:rPr>
        <w:t>25</w:t>
      </w:r>
      <w:r w:rsidRPr="000D65EF">
        <w:rPr>
          <w:lang w:val="ru-RU"/>
        </w:rPr>
        <w:t>)</w:t>
      </w:r>
      <w:r w:rsidR="00D83612" w:rsidRPr="000D65EF">
        <w:rPr>
          <w:lang w:val="ru-RU"/>
        </w:rPr>
        <w:t xml:space="preserve"> подтвердила центральную роль МСЭ-D в содействии цифровой трансформации, расширении возможностей установления соединений и развитии потенциала, особенно в</w:t>
      </w:r>
      <w:r w:rsidR="004531FB" w:rsidRPr="000D65EF">
        <w:rPr>
          <w:lang w:val="ru-RU"/>
        </w:rPr>
        <w:t> </w:t>
      </w:r>
      <w:r w:rsidR="00D83612" w:rsidRPr="000D65EF">
        <w:rPr>
          <w:lang w:val="ru-RU"/>
        </w:rPr>
        <w:t>развивающихся странах, наименее развитых странах (НРС), малых островных развивающихся государствах (СИДС) и развивающихся странах, не имеющих выхода к морю (ЛЛДС). На</w:t>
      </w:r>
      <w:r w:rsidR="004531FB" w:rsidRPr="000D65EF">
        <w:rPr>
          <w:lang w:val="ru-RU"/>
        </w:rPr>
        <w:t> </w:t>
      </w:r>
      <w:r w:rsidR="00D83612" w:rsidRPr="000D65EF">
        <w:rPr>
          <w:lang w:val="ru-RU"/>
        </w:rPr>
        <w:t>Конференции были приняты Резолюции и ориентированные на действия итоговые документы, требующие ускорения предоставления технической помощи, более эффективного осуществления программ и укрепления механизмов осуществления.</w:t>
      </w:r>
    </w:p>
    <w:p w14:paraId="1A6513EC" w14:textId="6BD5F0A7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Выделение этих средств поможет непосредственно претворить решения Конференции в</w:t>
      </w:r>
      <w:r w:rsidR="004531FB" w:rsidRPr="000D65EF">
        <w:rPr>
          <w:lang w:val="ru-RU"/>
        </w:rPr>
        <w:t> </w:t>
      </w:r>
      <w:r w:rsidRPr="000D65EF">
        <w:rPr>
          <w:lang w:val="ru-RU"/>
        </w:rPr>
        <w:t>конкретное выполнение программ и гарантировать, что результаты ВКРЭ-25 не будут отложены из-за несвоевременного выделения ресурсов. Оно представляет собой укрепление потенциала реализации в рамках установленных сроков, а не структурное расширение регулярного бюджета.</w:t>
      </w:r>
    </w:p>
    <w:p w14:paraId="32B9F211" w14:textId="4A39D8B0" w:rsidR="00D83612" w:rsidRPr="000D65EF" w:rsidRDefault="00D83612" w:rsidP="00F86849">
      <w:pPr>
        <w:pStyle w:val="Heading1"/>
      </w:pPr>
      <w:r w:rsidRPr="000D65EF">
        <w:t>7</w:t>
      </w:r>
      <w:r w:rsidRPr="000D65EF">
        <w:tab/>
        <w:t>Инициативы в области ИИ</w:t>
      </w:r>
    </w:p>
    <w:p w14:paraId="22884BE5" w14:textId="4F178B53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 xml:space="preserve">Предлагается выделить </w:t>
      </w:r>
      <w:r w:rsidRPr="000D65EF">
        <w:rPr>
          <w:b/>
          <w:bCs/>
          <w:lang w:val="ru-RU"/>
        </w:rPr>
        <w:t>1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швейцарских франков</w:t>
      </w:r>
      <w:r w:rsidRPr="000D65EF">
        <w:rPr>
          <w:lang w:val="ru-RU"/>
        </w:rPr>
        <w:t xml:space="preserve"> на поддержку приоритетных мандатов, определенных на ВАСЭ-24, и на укрепление лидирующей роли МСЭ в области ИИ и инноваций.</w:t>
      </w:r>
    </w:p>
    <w:p w14:paraId="61D4623C" w14:textId="66C90D9F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С учетом Фонда ИИ, созданного в 2025</w:t>
      </w:r>
      <w:r w:rsidR="004531FB" w:rsidRPr="000D65EF">
        <w:rPr>
          <w:lang w:val="ru-RU"/>
        </w:rPr>
        <w:t xml:space="preserve"> </w:t>
      </w:r>
      <w:r w:rsidRPr="000D65EF">
        <w:rPr>
          <w:lang w:val="ru-RU"/>
        </w:rPr>
        <w:t>году в соответствии с решением Совета о выделении соответствующих ресурсов, выделение этих средств также будет способствовать дальнейшему укреплению платформы МСЭ "ИИ во благо" и выполнению других связанных с ИИ мандатов, обеспечивая поддержку реализации программ, партнерств и технического диалога по этичному и инклюзивному использованию ИИ. Это поддерживает объединяющую роль МСЭ и связывает инновации с разработкой международных стандартов.</w:t>
      </w:r>
    </w:p>
    <w:p w14:paraId="2BC99408" w14:textId="4A1C785C" w:rsidR="00D83612" w:rsidRPr="000D65EF" w:rsidRDefault="00D83612" w:rsidP="00F86849">
      <w:pPr>
        <w:pStyle w:val="Heading1"/>
      </w:pPr>
      <w:r w:rsidRPr="000D65EF">
        <w:t>8</w:t>
      </w:r>
      <w:r w:rsidRPr="000D65EF">
        <w:tab/>
        <w:t>Перевод средств на Резервный счет МСЭ</w:t>
      </w:r>
    </w:p>
    <w:p w14:paraId="6F40B086" w14:textId="41F36AE0" w:rsidR="00D83612" w:rsidRPr="000D65EF" w:rsidRDefault="00D83612" w:rsidP="00F86849">
      <w:pPr>
        <w:keepNext/>
        <w:keepLines/>
        <w:jc w:val="both"/>
        <w:rPr>
          <w:lang w:val="ru-RU"/>
        </w:rPr>
      </w:pPr>
      <w:r w:rsidRPr="000D65EF">
        <w:rPr>
          <w:lang w:val="ru-RU"/>
        </w:rPr>
        <w:t xml:space="preserve">Секретариат предлагает перевести остающееся активное сальдо в размере </w:t>
      </w:r>
      <w:r w:rsidRPr="000D65EF">
        <w:rPr>
          <w:b/>
          <w:bCs/>
          <w:lang w:val="ru-RU"/>
        </w:rPr>
        <w:t>0,70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>млн.</w:t>
      </w:r>
      <w:r w:rsidR="004531FB" w:rsidRPr="000D65EF">
        <w:rPr>
          <w:b/>
          <w:bCs/>
          <w:lang w:val="ru-RU"/>
        </w:rPr>
        <w:t> </w:t>
      </w:r>
      <w:r w:rsidRPr="000D65EF">
        <w:rPr>
          <w:b/>
          <w:bCs/>
          <w:lang w:val="ru-RU"/>
        </w:rPr>
        <w:t xml:space="preserve">швейцарских франков </w:t>
      </w:r>
      <w:r w:rsidRPr="000D65EF">
        <w:rPr>
          <w:lang w:val="ru-RU"/>
        </w:rPr>
        <w:t>из сэкономленных в 2025 году средств на Резервный счет МСЭ для укрепления финансовой устойчивости Союза.</w:t>
      </w:r>
    </w:p>
    <w:p w14:paraId="1FC0F8AC" w14:textId="742E11E3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Укрепление Резервного фонда повысит способность МСЭ управлять волатильностью доходов, рисками, связанными с реализацией и внешней экономической неопределенностью, особенно с учетом того, что Союз вступает в двухгодичный период 2026</w:t>
      </w:r>
      <w:r w:rsidR="004531FB" w:rsidRPr="000D65EF">
        <w:rPr>
          <w:rFonts w:cs="Calibri"/>
          <w:lang w:val="ru-RU"/>
        </w:rPr>
        <w:t>−</w:t>
      </w:r>
      <w:r w:rsidRPr="000D65EF">
        <w:rPr>
          <w:lang w:val="ru-RU"/>
        </w:rPr>
        <w:t>2027 годов в условиях ограниченного бюджета и в среднесрочной перспективе сталкивается с возможностью ограничения финансовых ресурсов. Поддержание достаточного уровня резервов имеет важное значение для поддержания стабильности программ, защиты основных видов деятельности и обеспечения институционального доверия.</w:t>
      </w:r>
    </w:p>
    <w:p w14:paraId="4571D2F7" w14:textId="4C542F06" w:rsidR="00D83612" w:rsidRPr="000D65EF" w:rsidRDefault="00D83612" w:rsidP="00F86849">
      <w:pPr>
        <w:spacing w:before="720"/>
        <w:rPr>
          <w:lang w:val="ru-RU"/>
        </w:rPr>
      </w:pPr>
      <w:r w:rsidRPr="000D65EF">
        <w:rPr>
          <w:b/>
          <w:bCs/>
          <w:lang w:val="ru-RU"/>
        </w:rPr>
        <w:t>Приложение</w:t>
      </w:r>
      <w:r w:rsidRPr="000D65EF">
        <w:rPr>
          <w:lang w:val="ru-RU"/>
        </w:rPr>
        <w:t>: 1</w:t>
      </w:r>
      <w:r w:rsidRPr="000D65EF">
        <w:rPr>
          <w:lang w:val="ru-RU"/>
        </w:rPr>
        <w:br w:type="page"/>
      </w:r>
    </w:p>
    <w:p w14:paraId="3AB7180F" w14:textId="77777777" w:rsidR="00D83612" w:rsidRPr="000D65EF" w:rsidRDefault="00D83612" w:rsidP="00CD0A22">
      <w:pPr>
        <w:pStyle w:val="AnnexNo"/>
        <w:rPr>
          <w:lang w:val="ru-RU"/>
        </w:rPr>
      </w:pPr>
      <w:bookmarkStart w:id="9" w:name="Annex"/>
      <w:r w:rsidRPr="000D65EF">
        <w:rPr>
          <w:lang w:val="ru-RU"/>
        </w:rPr>
        <w:lastRenderedPageBreak/>
        <w:t>ПРИЛОЖЕНИЕ</w:t>
      </w:r>
      <w:bookmarkEnd w:id="9"/>
    </w:p>
    <w:p w14:paraId="1D22D87C" w14:textId="77777777" w:rsidR="00D83612" w:rsidRPr="000D65EF" w:rsidRDefault="00D83612" w:rsidP="00CD0A22">
      <w:pPr>
        <w:pStyle w:val="ResNo"/>
        <w:rPr>
          <w:lang w:val="ru-RU"/>
        </w:rPr>
      </w:pPr>
      <w:r w:rsidRPr="000D65EF">
        <w:rPr>
          <w:lang w:val="ru-RU"/>
        </w:rPr>
        <w:t>ПРОЕКТ НОВОЙ РЕЗОЛЮЦИИ [...]</w:t>
      </w:r>
    </w:p>
    <w:p w14:paraId="5CD7C923" w14:textId="696452B3" w:rsidR="00D83612" w:rsidRPr="000D65EF" w:rsidRDefault="00D83612" w:rsidP="00CD0A22">
      <w:pPr>
        <w:pStyle w:val="Restitle"/>
        <w:rPr>
          <w:lang w:val="ru-RU"/>
        </w:rPr>
      </w:pPr>
      <w:r w:rsidRPr="000D65EF">
        <w:rPr>
          <w:lang w:val="ru-RU"/>
        </w:rPr>
        <w:t xml:space="preserve">Распределение средств, сэкономленных при исполнении </w:t>
      </w:r>
      <w:r w:rsidR="00CD0A22" w:rsidRPr="000D65EF">
        <w:rPr>
          <w:lang w:val="ru-RU"/>
        </w:rPr>
        <w:br/>
      </w:r>
      <w:r w:rsidRPr="000D65EF">
        <w:rPr>
          <w:lang w:val="ru-RU"/>
        </w:rPr>
        <w:t>бюджета на 2025 год</w:t>
      </w:r>
    </w:p>
    <w:p w14:paraId="5D4C377A" w14:textId="77777777" w:rsidR="00D83612" w:rsidRPr="000D65EF" w:rsidRDefault="00D83612" w:rsidP="00CD0A22">
      <w:pPr>
        <w:pStyle w:val="Normalaftertitle"/>
        <w:rPr>
          <w:lang w:val="ru-RU"/>
        </w:rPr>
      </w:pPr>
      <w:r w:rsidRPr="000D65EF">
        <w:rPr>
          <w:lang w:val="ru-RU"/>
        </w:rPr>
        <w:t>Совет МСЭ,</w:t>
      </w:r>
    </w:p>
    <w:p w14:paraId="4FF93583" w14:textId="77777777" w:rsidR="00D83612" w:rsidRPr="000D65EF" w:rsidRDefault="00D83612" w:rsidP="00CD0A22">
      <w:pPr>
        <w:pStyle w:val="Call"/>
        <w:rPr>
          <w:lang w:val="ru-RU"/>
        </w:rPr>
      </w:pPr>
      <w:r w:rsidRPr="000D65EF">
        <w:rPr>
          <w:lang w:val="ru-RU"/>
        </w:rPr>
        <w:t>принимая во внимание</w:t>
      </w:r>
    </w:p>
    <w:p w14:paraId="2686B58A" w14:textId="23EB33DC" w:rsidR="00D83612" w:rsidRPr="000D65EF" w:rsidRDefault="00D83612" w:rsidP="00F86849">
      <w:pPr>
        <w:jc w:val="both"/>
        <w:rPr>
          <w:lang w:val="ru-RU"/>
        </w:rPr>
      </w:pPr>
      <w:r w:rsidRPr="000D65EF">
        <w:rPr>
          <w:lang w:val="ru-RU"/>
        </w:rPr>
        <w:t>экономию средств, достигнутую при исполнении бюджета на</w:t>
      </w:r>
      <w:r w:rsidR="00CD0A22" w:rsidRPr="000D65EF">
        <w:rPr>
          <w:lang w:val="ru-RU"/>
        </w:rPr>
        <w:t xml:space="preserve"> </w:t>
      </w:r>
      <w:r w:rsidRPr="000D65EF">
        <w:rPr>
          <w:lang w:val="ru-RU"/>
        </w:rPr>
        <w:t>2025</w:t>
      </w:r>
      <w:r w:rsidR="00CD0A22" w:rsidRPr="000D65EF">
        <w:rPr>
          <w:lang w:val="ru-RU"/>
        </w:rPr>
        <w:t> </w:t>
      </w:r>
      <w:r w:rsidRPr="000D65EF">
        <w:rPr>
          <w:lang w:val="ru-RU"/>
        </w:rPr>
        <w:t xml:space="preserve">год, в объеме </w:t>
      </w:r>
      <w:r w:rsidR="000A3300" w:rsidRPr="000D65EF">
        <w:rPr>
          <w:lang w:val="ru-RU"/>
        </w:rPr>
        <w:t>11</w:t>
      </w:r>
      <w:r w:rsidRPr="000D65EF">
        <w:rPr>
          <w:lang w:val="ru-RU"/>
        </w:rPr>
        <w:t>,</w:t>
      </w:r>
      <w:r w:rsidR="000A3300" w:rsidRPr="000D65EF">
        <w:rPr>
          <w:lang w:val="ru-RU"/>
        </w:rPr>
        <w:t>44</w:t>
      </w:r>
      <w:r w:rsidRPr="000D65EF">
        <w:rPr>
          <w:lang w:val="ru-RU"/>
        </w:rPr>
        <w:t> млн.</w:t>
      </w:r>
      <w:r w:rsidR="00CD0A22" w:rsidRPr="000D65EF">
        <w:rPr>
          <w:lang w:val="ru-RU"/>
        </w:rPr>
        <w:t> </w:t>
      </w:r>
      <w:r w:rsidRPr="000D65EF">
        <w:rPr>
          <w:lang w:val="ru-RU"/>
        </w:rPr>
        <w:t>швейцарских франков,</w:t>
      </w:r>
    </w:p>
    <w:p w14:paraId="18EF2589" w14:textId="77777777" w:rsidR="00D83612" w:rsidRPr="000D65EF" w:rsidRDefault="00D83612" w:rsidP="00CD0A22">
      <w:pPr>
        <w:pStyle w:val="Call"/>
        <w:rPr>
          <w:lang w:val="ru-RU"/>
        </w:rPr>
      </w:pPr>
      <w:r w:rsidRPr="000D65EF">
        <w:rPr>
          <w:lang w:val="ru-RU"/>
        </w:rPr>
        <w:t>решает</w:t>
      </w:r>
    </w:p>
    <w:p w14:paraId="28A9363E" w14:textId="1A8EB555" w:rsidR="000A3300" w:rsidRPr="00F86849" w:rsidRDefault="00D83612" w:rsidP="00D83612">
      <w:pPr>
        <w:rPr>
          <w:lang w:val="ru-RU"/>
        </w:rPr>
      </w:pPr>
      <w:r w:rsidRPr="000D65EF">
        <w:rPr>
          <w:lang w:val="ru-RU"/>
        </w:rPr>
        <w:t>распределить сэкономленные средства следующим образом:</w:t>
      </w:r>
    </w:p>
    <w:p w14:paraId="5380B0E2" w14:textId="2652144D" w:rsidR="000F4933" w:rsidRPr="000D65EF" w:rsidRDefault="000A3300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–</w:t>
      </w:r>
      <w:r w:rsidRPr="000D65EF">
        <w:rPr>
          <w:lang w:val="ru-RU"/>
        </w:rPr>
        <w:tab/>
      </w:r>
      <w:r w:rsidR="000F4933" w:rsidRPr="000D65EF">
        <w:rPr>
          <w:lang w:val="ru-RU"/>
        </w:rPr>
        <w:t>финансирование ранее утвержденных Советом инициатив – Фонда развития ИКТ (559 800 швейцарских франков) и Программы "Молодые специалисты" (1,2 млн. швейцарских франков); и</w:t>
      </w:r>
    </w:p>
    <w:p w14:paraId="297FA74D" w14:textId="0D066F7D" w:rsidR="00D83612" w:rsidRPr="000D65EF" w:rsidRDefault="000F4933" w:rsidP="00F86849">
      <w:pPr>
        <w:pStyle w:val="enumlev1"/>
        <w:jc w:val="both"/>
        <w:rPr>
          <w:lang w:val="ru-RU"/>
        </w:rPr>
      </w:pPr>
      <w:r w:rsidRPr="000D65EF">
        <w:rPr>
          <w:lang w:val="ru-RU"/>
        </w:rPr>
        <w:t>–</w:t>
      </w:r>
      <w:r w:rsidRPr="000D65EF">
        <w:rPr>
          <w:lang w:val="ru-RU"/>
        </w:rPr>
        <w:tab/>
        <w:t xml:space="preserve">другие предлагаемые </w:t>
      </w:r>
      <w:r w:rsidR="006559DA" w:rsidRPr="000D65EF">
        <w:rPr>
          <w:bCs/>
          <w:lang w:val="ru-RU"/>
        </w:rPr>
        <w:t>ассигнования</w:t>
      </w:r>
      <w:r w:rsidRPr="000D65EF">
        <w:rPr>
          <w:lang w:val="ru-RU"/>
        </w:rPr>
        <w:t xml:space="preserve">: </w:t>
      </w:r>
      <w:r w:rsidR="00D83612" w:rsidRPr="000D65EF">
        <w:rPr>
          <w:lang w:val="ru-RU"/>
        </w:rPr>
        <w:t>согласованное прекращение службы (2,5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ликвидация накопившегося объема невыполненной работы по обработке заявок на регистрацию спутниковых сетей (0,5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базовые системы для заявок на регистрацию спутниковых сетей и возможности модернизации (1,3 млн. швейцарских франков); модернизация корпоративных систем (1,</w:t>
      </w:r>
      <w:r w:rsidRPr="000D65EF">
        <w:rPr>
          <w:lang w:val="ru-RU"/>
        </w:rPr>
        <w:t>44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меры по обеспечению непрерывности деятельности (1,5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региональные инициативы (1,3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инициативы в области ИИ (1,0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франков); и перевод средств на Резервный счет МСЭ (0,7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млн.</w:t>
      </w:r>
      <w:r w:rsidR="00CD0A22" w:rsidRPr="000D65EF">
        <w:rPr>
          <w:lang w:val="ru-RU"/>
        </w:rPr>
        <w:t> </w:t>
      </w:r>
      <w:r w:rsidR="00D83612" w:rsidRPr="000D65EF">
        <w:rPr>
          <w:lang w:val="ru-RU"/>
        </w:rPr>
        <w:t>швейцарских франков).</w:t>
      </w:r>
    </w:p>
    <w:p w14:paraId="16FE606C" w14:textId="77777777" w:rsidR="00796BD3" w:rsidRPr="000D65EF" w:rsidRDefault="00C462C5" w:rsidP="000B0FF2">
      <w:pPr>
        <w:spacing w:before="720"/>
        <w:jc w:val="center"/>
        <w:rPr>
          <w:lang w:val="ru-RU"/>
        </w:rPr>
      </w:pPr>
      <w:r w:rsidRPr="000D65EF">
        <w:rPr>
          <w:lang w:val="ru-RU"/>
        </w:rPr>
        <w:t>______________</w:t>
      </w:r>
    </w:p>
    <w:sectPr w:rsidR="00796BD3" w:rsidRPr="000D65EF" w:rsidSect="00796BD3">
      <w:footerReference w:type="default" r:id="rId17"/>
      <w:headerReference w:type="first" r:id="rId18"/>
      <w:footerReference w:type="first" r:id="rId19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F725D" w14:textId="77777777" w:rsidR="003473A1" w:rsidRDefault="003473A1">
      <w:r>
        <w:separator/>
      </w:r>
    </w:p>
  </w:endnote>
  <w:endnote w:type="continuationSeparator" w:id="0">
    <w:p w14:paraId="522EC2B4" w14:textId="77777777" w:rsidR="003473A1" w:rsidRDefault="0034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81FF8C8" w14:textId="77777777" w:rsidTr="00E31DCE">
      <w:trPr>
        <w:jc w:val="center"/>
      </w:trPr>
      <w:tc>
        <w:tcPr>
          <w:tcW w:w="1803" w:type="dxa"/>
          <w:vAlign w:val="center"/>
        </w:tcPr>
        <w:p w14:paraId="5FE686E6" w14:textId="170AF611" w:rsidR="00672F8A" w:rsidRPr="00A36409" w:rsidRDefault="003763C1" w:rsidP="00672F8A">
          <w:pPr>
            <w:pStyle w:val="Header"/>
            <w:jc w:val="left"/>
            <w:rPr>
              <w:noProof/>
              <w:lang w:val="en-GB"/>
            </w:rPr>
          </w:pPr>
          <w:r>
            <w:rPr>
              <w:noProof/>
              <w:lang w:val="ru-RU"/>
            </w:rPr>
            <w:t>26</w:t>
          </w:r>
          <w:r w:rsidR="000B0FF2">
            <w:rPr>
              <w:noProof/>
              <w:lang w:val="ru-RU"/>
            </w:rPr>
            <w:t>00</w:t>
          </w:r>
          <w:r w:rsidR="00A36409">
            <w:rPr>
              <w:noProof/>
              <w:lang w:val="en-GB"/>
            </w:rPr>
            <w:t>885</w:t>
          </w:r>
        </w:p>
      </w:tc>
      <w:tc>
        <w:tcPr>
          <w:tcW w:w="8261" w:type="dxa"/>
        </w:tcPr>
        <w:p w14:paraId="29D1FE92" w14:textId="30227DDE" w:rsidR="00672F8A" w:rsidRPr="00E06FD5" w:rsidRDefault="00672F8A" w:rsidP="000D65EF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="000D65EF">
            <w:rPr>
              <w:bCs/>
              <w:lang w:val="ru-RU"/>
            </w:rPr>
            <w:t>(</w:t>
          </w:r>
          <w:r w:rsidR="00A36409">
            <w:rPr>
              <w:bCs/>
              <w:lang w:val="en-GB"/>
            </w:rPr>
            <w:t>Rev</w:t>
          </w:r>
          <w:r w:rsidR="000D65EF">
            <w:rPr>
              <w:bCs/>
              <w:lang w:val="ru-RU"/>
            </w:rPr>
            <w:t>.</w:t>
          </w:r>
          <w:proofErr w:type="gramStart"/>
          <w:r w:rsidR="000D65EF">
            <w:rPr>
              <w:bCs/>
              <w:lang w:val="ru-RU"/>
            </w:rPr>
            <w:t>1)</w:t>
          </w:r>
          <w:r w:rsidRPr="00623AE3">
            <w:rPr>
              <w:bCs/>
            </w:rPr>
            <w:t>-</w:t>
          </w:r>
          <w:proofErr w:type="gramEnd"/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D981760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7B261859" w14:textId="77777777" w:rsidTr="00E31DCE">
      <w:trPr>
        <w:jc w:val="center"/>
      </w:trPr>
      <w:tc>
        <w:tcPr>
          <w:tcW w:w="1803" w:type="dxa"/>
          <w:vAlign w:val="center"/>
        </w:tcPr>
        <w:p w14:paraId="374AD1B5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4C5BDC7A" w14:textId="4B529B8E" w:rsidR="00672F8A" w:rsidRPr="00E06FD5" w:rsidRDefault="00672F8A" w:rsidP="0004084D">
          <w:pPr>
            <w:pStyle w:val="Header"/>
            <w:tabs>
              <w:tab w:val="left" w:pos="630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D83612">
            <w:rPr>
              <w:bCs/>
            </w:rPr>
            <w:t>42</w:t>
          </w:r>
          <w:r w:rsidR="000D65EF">
            <w:rPr>
              <w:bCs/>
              <w:lang w:val="ru-RU"/>
            </w:rPr>
            <w:t>(</w:t>
          </w:r>
          <w:r w:rsidR="00A36409">
            <w:rPr>
              <w:bCs/>
              <w:lang w:val="en-GB"/>
            </w:rPr>
            <w:t>Rev</w:t>
          </w:r>
          <w:r w:rsidR="0004084D">
            <w:rPr>
              <w:bCs/>
              <w:lang w:val="ru-RU"/>
            </w:rPr>
            <w:t>.</w:t>
          </w:r>
          <w:proofErr w:type="gramStart"/>
          <w:r w:rsidR="0004084D">
            <w:rPr>
              <w:bCs/>
              <w:lang w:val="ru-RU"/>
            </w:rPr>
            <w:t>1)</w:t>
          </w:r>
          <w:r w:rsidRPr="00623AE3">
            <w:rPr>
              <w:bCs/>
            </w:rPr>
            <w:t>-</w:t>
          </w:r>
          <w:proofErr w:type="gramEnd"/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F80FAF9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9E37C" w14:textId="77777777" w:rsidR="003473A1" w:rsidRDefault="003473A1">
      <w:r>
        <w:t>____________________</w:t>
      </w:r>
    </w:p>
  </w:footnote>
  <w:footnote w:type="continuationSeparator" w:id="0">
    <w:p w14:paraId="73EF71ED" w14:textId="77777777" w:rsidR="003473A1" w:rsidRDefault="0034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3F1EA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0DBA7B02" wp14:editId="460DC289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42BF0"/>
    <w:multiLevelType w:val="multilevel"/>
    <w:tmpl w:val="BB2A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00FDF"/>
    <w:multiLevelType w:val="multilevel"/>
    <w:tmpl w:val="44EA1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0144C"/>
    <w:multiLevelType w:val="multilevel"/>
    <w:tmpl w:val="A4A87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362404"/>
    <w:multiLevelType w:val="multilevel"/>
    <w:tmpl w:val="B62EA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982310">
    <w:abstractNumId w:val="0"/>
  </w:num>
  <w:num w:numId="2" w16cid:durableId="815024290">
    <w:abstractNumId w:val="1"/>
  </w:num>
  <w:num w:numId="3" w16cid:durableId="666058964">
    <w:abstractNumId w:val="2"/>
  </w:num>
  <w:num w:numId="4" w16cid:durableId="602811347">
    <w:abstractNumId w:val="3"/>
  </w:num>
  <w:num w:numId="5" w16cid:durableId="15010029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829"/>
    <w:rsid w:val="00005BE0"/>
    <w:rsid w:val="0001001E"/>
    <w:rsid w:val="0001770D"/>
    <w:rsid w:val="0002183E"/>
    <w:rsid w:val="0004084D"/>
    <w:rsid w:val="000569B4"/>
    <w:rsid w:val="0006007D"/>
    <w:rsid w:val="00080E82"/>
    <w:rsid w:val="000934DD"/>
    <w:rsid w:val="000A10CA"/>
    <w:rsid w:val="000A3300"/>
    <w:rsid w:val="000B0FF2"/>
    <w:rsid w:val="000B2DE7"/>
    <w:rsid w:val="000B4E93"/>
    <w:rsid w:val="000B5513"/>
    <w:rsid w:val="000D65EF"/>
    <w:rsid w:val="000E568E"/>
    <w:rsid w:val="000F4933"/>
    <w:rsid w:val="000F7C3F"/>
    <w:rsid w:val="001366D0"/>
    <w:rsid w:val="0014229E"/>
    <w:rsid w:val="0014734F"/>
    <w:rsid w:val="00156890"/>
    <w:rsid w:val="0015710D"/>
    <w:rsid w:val="00163A32"/>
    <w:rsid w:val="00165D06"/>
    <w:rsid w:val="00176138"/>
    <w:rsid w:val="00176BCD"/>
    <w:rsid w:val="00192B41"/>
    <w:rsid w:val="001A3AE9"/>
    <w:rsid w:val="001B7B09"/>
    <w:rsid w:val="001E1817"/>
    <w:rsid w:val="001E5E4A"/>
    <w:rsid w:val="001E6719"/>
    <w:rsid w:val="001E7F50"/>
    <w:rsid w:val="00217B64"/>
    <w:rsid w:val="00225368"/>
    <w:rsid w:val="00227FF0"/>
    <w:rsid w:val="00230C7C"/>
    <w:rsid w:val="00244C39"/>
    <w:rsid w:val="00276F05"/>
    <w:rsid w:val="00277DEA"/>
    <w:rsid w:val="00291EB6"/>
    <w:rsid w:val="00295883"/>
    <w:rsid w:val="002A010F"/>
    <w:rsid w:val="002C3F32"/>
    <w:rsid w:val="002D2F57"/>
    <w:rsid w:val="002D48C5"/>
    <w:rsid w:val="0033025A"/>
    <w:rsid w:val="00345D2A"/>
    <w:rsid w:val="003473A1"/>
    <w:rsid w:val="00352993"/>
    <w:rsid w:val="003763C1"/>
    <w:rsid w:val="00381936"/>
    <w:rsid w:val="003859F3"/>
    <w:rsid w:val="003935CB"/>
    <w:rsid w:val="003F099E"/>
    <w:rsid w:val="003F235E"/>
    <w:rsid w:val="00401FD7"/>
    <w:rsid w:val="004023E0"/>
    <w:rsid w:val="00402829"/>
    <w:rsid w:val="00403DD8"/>
    <w:rsid w:val="004070A0"/>
    <w:rsid w:val="00425CA7"/>
    <w:rsid w:val="0043056B"/>
    <w:rsid w:val="00442515"/>
    <w:rsid w:val="004531FB"/>
    <w:rsid w:val="0045686C"/>
    <w:rsid w:val="00465C35"/>
    <w:rsid w:val="00471D67"/>
    <w:rsid w:val="004918C4"/>
    <w:rsid w:val="0049525B"/>
    <w:rsid w:val="00497703"/>
    <w:rsid w:val="004A0374"/>
    <w:rsid w:val="004A064A"/>
    <w:rsid w:val="004A45B5"/>
    <w:rsid w:val="004A7172"/>
    <w:rsid w:val="004D0129"/>
    <w:rsid w:val="004F3AD9"/>
    <w:rsid w:val="00515795"/>
    <w:rsid w:val="00574B60"/>
    <w:rsid w:val="0059153C"/>
    <w:rsid w:val="005A64D5"/>
    <w:rsid w:val="005B3DEC"/>
    <w:rsid w:val="00601994"/>
    <w:rsid w:val="006326D2"/>
    <w:rsid w:val="006559DA"/>
    <w:rsid w:val="00660449"/>
    <w:rsid w:val="00672F8A"/>
    <w:rsid w:val="00680081"/>
    <w:rsid w:val="006A63D7"/>
    <w:rsid w:val="006A6406"/>
    <w:rsid w:val="006E0A5B"/>
    <w:rsid w:val="006E2D42"/>
    <w:rsid w:val="006F67E6"/>
    <w:rsid w:val="00703676"/>
    <w:rsid w:val="00707304"/>
    <w:rsid w:val="00730C0C"/>
    <w:rsid w:val="00732269"/>
    <w:rsid w:val="00762555"/>
    <w:rsid w:val="0077110E"/>
    <w:rsid w:val="00784980"/>
    <w:rsid w:val="00785ABD"/>
    <w:rsid w:val="00796BD3"/>
    <w:rsid w:val="007A2DD4"/>
    <w:rsid w:val="007D38B5"/>
    <w:rsid w:val="007E5FC4"/>
    <w:rsid w:val="007E7EA0"/>
    <w:rsid w:val="007F3289"/>
    <w:rsid w:val="008004D4"/>
    <w:rsid w:val="00807255"/>
    <w:rsid w:val="0081023E"/>
    <w:rsid w:val="008129B6"/>
    <w:rsid w:val="008173AA"/>
    <w:rsid w:val="00840A14"/>
    <w:rsid w:val="0084546D"/>
    <w:rsid w:val="0089589E"/>
    <w:rsid w:val="008B62B4"/>
    <w:rsid w:val="008D2D7B"/>
    <w:rsid w:val="008E0737"/>
    <w:rsid w:val="008E6AAB"/>
    <w:rsid w:val="008F7958"/>
    <w:rsid w:val="008F7C2C"/>
    <w:rsid w:val="00930889"/>
    <w:rsid w:val="00933FA5"/>
    <w:rsid w:val="00934A2D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36409"/>
    <w:rsid w:val="00A405F9"/>
    <w:rsid w:val="00A64A93"/>
    <w:rsid w:val="00A71773"/>
    <w:rsid w:val="00A74304"/>
    <w:rsid w:val="00A86106"/>
    <w:rsid w:val="00A92608"/>
    <w:rsid w:val="00AB2BFC"/>
    <w:rsid w:val="00AE2C85"/>
    <w:rsid w:val="00AF2D4F"/>
    <w:rsid w:val="00B0107F"/>
    <w:rsid w:val="00B12A37"/>
    <w:rsid w:val="00B23E4A"/>
    <w:rsid w:val="00B41837"/>
    <w:rsid w:val="00B53585"/>
    <w:rsid w:val="00B63EF2"/>
    <w:rsid w:val="00B65D0E"/>
    <w:rsid w:val="00BA7D89"/>
    <w:rsid w:val="00BC0D39"/>
    <w:rsid w:val="00BC3EEA"/>
    <w:rsid w:val="00BC7BC0"/>
    <w:rsid w:val="00BD57B7"/>
    <w:rsid w:val="00BD7BA8"/>
    <w:rsid w:val="00BE00DD"/>
    <w:rsid w:val="00BE55F7"/>
    <w:rsid w:val="00BE63E2"/>
    <w:rsid w:val="00BF39E3"/>
    <w:rsid w:val="00C30E8A"/>
    <w:rsid w:val="00C462C5"/>
    <w:rsid w:val="00CD0A22"/>
    <w:rsid w:val="00CD2009"/>
    <w:rsid w:val="00CF629C"/>
    <w:rsid w:val="00D1584D"/>
    <w:rsid w:val="00D17718"/>
    <w:rsid w:val="00D631AA"/>
    <w:rsid w:val="00D706AF"/>
    <w:rsid w:val="00D83612"/>
    <w:rsid w:val="00D92EEA"/>
    <w:rsid w:val="00DA5D4E"/>
    <w:rsid w:val="00DA770A"/>
    <w:rsid w:val="00DD73C1"/>
    <w:rsid w:val="00DE04E0"/>
    <w:rsid w:val="00E05752"/>
    <w:rsid w:val="00E176BA"/>
    <w:rsid w:val="00E241FF"/>
    <w:rsid w:val="00E423EC"/>
    <w:rsid w:val="00E50574"/>
    <w:rsid w:val="00E55121"/>
    <w:rsid w:val="00EA7C48"/>
    <w:rsid w:val="00EB4FCB"/>
    <w:rsid w:val="00EC6BC5"/>
    <w:rsid w:val="00ED7909"/>
    <w:rsid w:val="00F15117"/>
    <w:rsid w:val="00F348D0"/>
    <w:rsid w:val="00F35898"/>
    <w:rsid w:val="00F5225B"/>
    <w:rsid w:val="00F8192C"/>
    <w:rsid w:val="00F86849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F387E"/>
  <w15:docId w15:val="{6C818BE0-755D-4589-BBA9-5A7BCA0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86849"/>
    <w:pPr>
      <w:keepNext/>
      <w:keepLines/>
      <w:spacing w:before="360"/>
      <w:ind w:left="794" w:hanging="794"/>
      <w:outlineLvl w:val="0"/>
    </w:pPr>
    <w:rPr>
      <w:b/>
      <w:sz w:val="26"/>
      <w:lang w:val="ru-RU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qFormat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en/council/Documents/basic-texts/RES-011-R.pdf" TargetMode="External"/><Relationship Id="rId13" Type="http://schemas.openxmlformats.org/officeDocument/2006/relationships/hyperlink" Target="https://www.itu.int/md/S26-CL-C-0034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tu.int/en/council/Documents/basic-texts/DEC-005-R.pdf" TargetMode="External"/><Relationship Id="rId12" Type="http://schemas.openxmlformats.org/officeDocument/2006/relationships/hyperlink" Target="https://www.itu.int/md/S24-CL-C-0034/en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S24-CL-C-0031/en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itu.int/md/S26-CL-C-0034/en" TargetMode="External"/><Relationship Id="rId10" Type="http://schemas.openxmlformats.org/officeDocument/2006/relationships/hyperlink" Target="https://www.itu.int/md/S24-CL-C-0019/en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itu.int/dms_pub/itu-s/opb/conf/S-CONF-CL-2025-PDF-R.pdf" TargetMode="External"/><Relationship Id="rId14" Type="http://schemas.openxmlformats.org/officeDocument/2006/relationships/hyperlink" Target="https://www.itu.int/md/S24-CL-C-0031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niulli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2</TotalTime>
  <Pages>7</Pages>
  <Words>2046</Words>
  <Characters>15280</Characters>
  <Application>Microsoft Office Word</Application>
  <DocSecurity>0</DocSecurity>
  <Lines>277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17219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Allocations of savings achieved in 2025 budget implementation</dc:title>
  <dc:subject>ITU Council 2026</dc:subject>
  <cp:keywords>C26; C2026; Council 2026; PP26</cp:keywords>
  <dc:description/>
  <cp:lastPrinted>2006-03-28T16:12:00Z</cp:lastPrinted>
  <dcterms:created xsi:type="dcterms:W3CDTF">2026-04-28T16:10:00Z</dcterms:created>
  <dcterms:modified xsi:type="dcterms:W3CDTF">2026-04-28T16:13:00Z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