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9F0D77" w14:paraId="67B59F95" w14:textId="77777777" w:rsidTr="00C4421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0648ECA6" w14:textId="01E2B135" w:rsidR="00FE57F6" w:rsidRPr="009F0D77" w:rsidRDefault="009F2D96" w:rsidP="00C4421B">
            <w:pPr>
              <w:tabs>
                <w:tab w:val="left" w:pos="851"/>
              </w:tabs>
              <w:spacing w:before="0" w:line="240" w:lineRule="atLeast"/>
              <w:rPr>
                <w:b/>
                <w:lang w:val="es-ES_tradnl"/>
              </w:rPr>
            </w:pPr>
            <w:bookmarkStart w:id="0" w:name="_Hlk133421839"/>
            <w:r w:rsidRPr="009F0D77">
              <w:rPr>
                <w:b/>
                <w:bCs/>
                <w:color w:val="000000"/>
                <w:lang w:val="es-ES_tradnl"/>
              </w:rPr>
              <w:t>Punto del orden del día: ADM 1</w:t>
            </w:r>
          </w:p>
        </w:tc>
        <w:tc>
          <w:tcPr>
            <w:tcW w:w="5245" w:type="dxa"/>
          </w:tcPr>
          <w:p w14:paraId="36AB6104" w14:textId="6014DC6C" w:rsidR="00FE57F6" w:rsidRPr="009F0D77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s-ES_tradnl"/>
              </w:rPr>
            </w:pPr>
            <w:r w:rsidRPr="009F0D77">
              <w:rPr>
                <w:b/>
                <w:lang w:val="es-ES_tradnl"/>
              </w:rPr>
              <w:t>Document</w:t>
            </w:r>
            <w:r w:rsidR="00F24B71" w:rsidRPr="009F0D77">
              <w:rPr>
                <w:b/>
                <w:lang w:val="es-ES_tradnl"/>
              </w:rPr>
              <w:t>o</w:t>
            </w:r>
            <w:r w:rsidRPr="009F0D77">
              <w:rPr>
                <w:b/>
                <w:lang w:val="es-ES_tradnl"/>
              </w:rPr>
              <w:t xml:space="preserve"> </w:t>
            </w:r>
            <w:proofErr w:type="spellStart"/>
            <w:r w:rsidRPr="009F0D77">
              <w:rPr>
                <w:b/>
                <w:lang w:val="es-ES_tradnl"/>
              </w:rPr>
              <w:t>C2</w:t>
            </w:r>
            <w:r w:rsidR="00F85E5C" w:rsidRPr="009F0D77">
              <w:rPr>
                <w:b/>
                <w:lang w:val="es-ES_tradnl"/>
              </w:rPr>
              <w:t>6</w:t>
            </w:r>
            <w:proofErr w:type="spellEnd"/>
            <w:r w:rsidRPr="009F0D77">
              <w:rPr>
                <w:b/>
                <w:lang w:val="es-ES_tradnl"/>
              </w:rPr>
              <w:t>/</w:t>
            </w:r>
            <w:r w:rsidR="009F2D96" w:rsidRPr="009F0D77">
              <w:rPr>
                <w:b/>
                <w:lang w:val="es-ES_tradnl"/>
              </w:rPr>
              <w:t>42</w:t>
            </w:r>
            <w:r w:rsidRPr="009F0D77">
              <w:rPr>
                <w:b/>
                <w:lang w:val="es-ES_tradnl"/>
              </w:rPr>
              <w:t>-</w:t>
            </w:r>
            <w:r w:rsidR="00F24B71" w:rsidRPr="009F0D77">
              <w:rPr>
                <w:b/>
                <w:lang w:val="es-ES_tradnl"/>
              </w:rPr>
              <w:t>S</w:t>
            </w:r>
          </w:p>
        </w:tc>
      </w:tr>
      <w:tr w:rsidR="00FE57F6" w:rsidRPr="009F0D77" w14:paraId="40CB67D9" w14:textId="77777777" w:rsidTr="00C4421B">
        <w:trPr>
          <w:cantSplit/>
        </w:trPr>
        <w:tc>
          <w:tcPr>
            <w:tcW w:w="3969" w:type="dxa"/>
            <w:vMerge/>
          </w:tcPr>
          <w:p w14:paraId="3DB7FBC2" w14:textId="77777777" w:rsidR="00FE57F6" w:rsidRPr="009F0D77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_tradnl"/>
              </w:rPr>
            </w:pPr>
          </w:p>
        </w:tc>
        <w:tc>
          <w:tcPr>
            <w:tcW w:w="5245" w:type="dxa"/>
          </w:tcPr>
          <w:p w14:paraId="56421924" w14:textId="792C8AE4" w:rsidR="00FE57F6" w:rsidRPr="009F0D77" w:rsidRDefault="009F2D96" w:rsidP="00C4421B">
            <w:pPr>
              <w:tabs>
                <w:tab w:val="left" w:pos="851"/>
              </w:tabs>
              <w:spacing w:before="0"/>
              <w:jc w:val="right"/>
              <w:rPr>
                <w:b/>
                <w:lang w:val="es-ES_tradnl"/>
              </w:rPr>
            </w:pPr>
            <w:r w:rsidRPr="009F0D77">
              <w:rPr>
                <w:b/>
                <w:lang w:val="es-ES_tradnl"/>
              </w:rPr>
              <w:t>3 de marzo de 2026</w:t>
            </w:r>
          </w:p>
        </w:tc>
      </w:tr>
      <w:tr w:rsidR="00FE57F6" w:rsidRPr="009F0D77" w14:paraId="0FB1CD21" w14:textId="77777777" w:rsidTr="00C4421B">
        <w:trPr>
          <w:cantSplit/>
          <w:trHeight w:val="23"/>
        </w:trPr>
        <w:tc>
          <w:tcPr>
            <w:tcW w:w="3969" w:type="dxa"/>
            <w:vMerge/>
          </w:tcPr>
          <w:p w14:paraId="565BCDA4" w14:textId="77777777" w:rsidR="00FE57F6" w:rsidRPr="009F0D77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_tradnl"/>
              </w:rPr>
            </w:pPr>
          </w:p>
        </w:tc>
        <w:tc>
          <w:tcPr>
            <w:tcW w:w="5245" w:type="dxa"/>
          </w:tcPr>
          <w:p w14:paraId="1AECF64E" w14:textId="77777777" w:rsidR="00FE57F6" w:rsidRPr="009F0D77" w:rsidRDefault="00F24B71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  <w:lang w:val="es-ES_tradnl"/>
              </w:rPr>
            </w:pPr>
            <w:r w:rsidRPr="009F0D77">
              <w:rPr>
                <w:rFonts w:cstheme="minorHAnsi"/>
                <w:b/>
                <w:bCs/>
                <w:lang w:val="es-ES_tradnl"/>
              </w:rPr>
              <w:t>Original: inglés</w:t>
            </w:r>
          </w:p>
        </w:tc>
      </w:tr>
      <w:tr w:rsidR="00FE57F6" w:rsidRPr="009F0D77" w14:paraId="7483D347" w14:textId="77777777" w:rsidTr="00C4421B">
        <w:trPr>
          <w:cantSplit/>
          <w:trHeight w:val="23"/>
        </w:trPr>
        <w:tc>
          <w:tcPr>
            <w:tcW w:w="3969" w:type="dxa"/>
          </w:tcPr>
          <w:p w14:paraId="331726B5" w14:textId="77777777" w:rsidR="00FE57F6" w:rsidRPr="009F0D77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_tradnl"/>
              </w:rPr>
            </w:pPr>
          </w:p>
        </w:tc>
        <w:tc>
          <w:tcPr>
            <w:tcW w:w="5245" w:type="dxa"/>
          </w:tcPr>
          <w:p w14:paraId="1A34BEAE" w14:textId="77777777" w:rsidR="00FE57F6" w:rsidRPr="009F0D77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s-ES_tradnl"/>
              </w:rPr>
            </w:pPr>
          </w:p>
        </w:tc>
      </w:tr>
      <w:tr w:rsidR="00FE57F6" w:rsidRPr="009F0D77" w14:paraId="2EF29997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04D423C" w14:textId="77777777" w:rsidR="00FE57F6" w:rsidRPr="009F0D77" w:rsidRDefault="00157AC4" w:rsidP="00DD17E4">
            <w:pPr>
              <w:pStyle w:val="Source"/>
              <w:framePr w:hSpace="0" w:wrap="auto" w:vAnchor="margin" w:hAnchor="text" w:xAlign="left" w:yAlign="inline"/>
              <w:rPr>
                <w:lang w:val="es-ES_tradnl"/>
              </w:rPr>
            </w:pPr>
            <w:r w:rsidRPr="009F0D77">
              <w:rPr>
                <w:lang w:val="es-ES_tradnl"/>
              </w:rPr>
              <w:t>Informe de la Secretaria General</w:t>
            </w:r>
          </w:p>
        </w:tc>
      </w:tr>
      <w:tr w:rsidR="00FE57F6" w:rsidRPr="009F0D77" w14:paraId="59202506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BFB0CA0" w14:textId="5285A7CA" w:rsidR="00FE57F6" w:rsidRPr="009F0D77" w:rsidRDefault="00DD17E4" w:rsidP="00C4421B">
            <w:pPr>
              <w:pStyle w:val="Subtitle"/>
              <w:framePr w:hSpace="0" w:wrap="auto" w:hAnchor="text" w:xAlign="left" w:yAlign="inline"/>
              <w:rPr>
                <w:lang w:val="es-ES_tradnl"/>
              </w:rPr>
            </w:pPr>
            <w:r w:rsidRPr="009F0D77">
              <w:rPr>
                <w:color w:val="000000"/>
                <w:lang w:val="es-ES_tradnl"/>
              </w:rPr>
              <w:t>ASIGNACIÓN DE LOS AHORROS LOGRADOS EN LA EJECUCIÓN DEL PRESUPUESTO DE 2025</w:t>
            </w:r>
          </w:p>
        </w:tc>
      </w:tr>
      <w:tr w:rsidR="00FE57F6" w:rsidRPr="009F0D77" w14:paraId="296E698A" w14:textId="77777777" w:rsidTr="00C4421B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1393B49" w14:textId="77777777" w:rsidR="00FE57F6" w:rsidRPr="009F0D77" w:rsidRDefault="00F24B71" w:rsidP="00C4421B">
            <w:pPr>
              <w:spacing w:before="160"/>
              <w:rPr>
                <w:b/>
                <w:bCs/>
                <w:sz w:val="26"/>
                <w:szCs w:val="26"/>
                <w:lang w:val="es-ES_tradnl"/>
              </w:rPr>
            </w:pPr>
            <w:r w:rsidRPr="009F0D77">
              <w:rPr>
                <w:b/>
                <w:bCs/>
                <w:sz w:val="26"/>
                <w:szCs w:val="26"/>
                <w:lang w:val="es-ES_tradnl"/>
              </w:rPr>
              <w:t>Finalidad</w:t>
            </w:r>
          </w:p>
          <w:p w14:paraId="4BA42CC5" w14:textId="43E0BE3A" w:rsidR="00FE57F6" w:rsidRPr="009F0D77" w:rsidRDefault="009F2D96" w:rsidP="00525436">
            <w:pPr>
              <w:jc w:val="both"/>
              <w:rPr>
                <w:color w:val="000000"/>
                <w:lang w:val="es-ES_tradnl"/>
              </w:rPr>
            </w:pPr>
            <w:r w:rsidRPr="009F0D77">
              <w:rPr>
                <w:color w:val="000000"/>
                <w:lang w:val="es-ES_tradnl"/>
              </w:rPr>
              <w:t xml:space="preserve">En 2025, la Unión pudo ahorrar </w:t>
            </w:r>
            <w:r w:rsidRPr="009F0D77">
              <w:rPr>
                <w:b/>
                <w:bCs/>
                <w:color w:val="000000"/>
                <w:lang w:val="es-ES_tradnl"/>
              </w:rPr>
              <w:t xml:space="preserve">10,8 millones CHF </w:t>
            </w:r>
            <w:r w:rsidRPr="009F0D77">
              <w:rPr>
                <w:color w:val="000000"/>
                <w:lang w:val="es-ES_tradnl"/>
              </w:rPr>
              <w:t>gracias a una disciplina en materia de ingresos y gastos superior a la prevista aplicada durante la ejecución del presupuesto. Estas economías obedecen a una evolución favorable de los ingresos y a la cuidadosa gestión y escalonamiento de ciertos costes durante el año.</w:t>
            </w:r>
          </w:p>
          <w:p w14:paraId="1FEE88E5" w14:textId="52319274" w:rsidR="009F2D96" w:rsidRPr="009F0D77" w:rsidRDefault="009F2D96" w:rsidP="00525436">
            <w:pPr>
              <w:jc w:val="both"/>
              <w:rPr>
                <w:lang w:val="es-ES_tradnl"/>
              </w:rPr>
            </w:pPr>
            <w:r w:rsidRPr="009F0D77">
              <w:rPr>
                <w:color w:val="000000"/>
                <w:lang w:val="es-ES_tradnl"/>
              </w:rPr>
              <w:t>El objetivo de este documento es obtener la autorización del Consejo para utilizar estos ahorros para financiar actividades específicas que no están cubiertas por el presupuesto ordinario aprobado.</w:t>
            </w:r>
          </w:p>
          <w:p w14:paraId="745665D1" w14:textId="77777777" w:rsidR="00FE57F6" w:rsidRPr="009F0D77" w:rsidRDefault="00F24B71" w:rsidP="00C4421B">
            <w:pPr>
              <w:spacing w:before="160"/>
              <w:rPr>
                <w:b/>
                <w:bCs/>
                <w:sz w:val="26"/>
                <w:szCs w:val="26"/>
                <w:lang w:val="es-ES_tradnl"/>
              </w:rPr>
            </w:pPr>
            <w:r w:rsidRPr="009F0D77">
              <w:rPr>
                <w:b/>
                <w:bCs/>
                <w:sz w:val="26"/>
                <w:szCs w:val="26"/>
                <w:lang w:val="es-ES_tradnl"/>
              </w:rPr>
              <w:t xml:space="preserve">Acción solicitada </w:t>
            </w:r>
            <w:r w:rsidR="00677A97" w:rsidRPr="009F0D77">
              <w:rPr>
                <w:b/>
                <w:bCs/>
                <w:sz w:val="26"/>
                <w:szCs w:val="26"/>
                <w:lang w:val="es-ES_tradnl"/>
              </w:rPr>
              <w:t>al</w:t>
            </w:r>
            <w:r w:rsidRPr="009F0D77">
              <w:rPr>
                <w:b/>
                <w:bCs/>
                <w:sz w:val="26"/>
                <w:szCs w:val="26"/>
                <w:lang w:val="es-ES_tradnl"/>
              </w:rPr>
              <w:t xml:space="preserve"> Consejo</w:t>
            </w:r>
          </w:p>
          <w:p w14:paraId="318D047A" w14:textId="36857298" w:rsidR="00F92BED" w:rsidRPr="009F0D77" w:rsidRDefault="009F2D96" w:rsidP="00C4421B">
            <w:pPr>
              <w:spacing w:before="160"/>
              <w:rPr>
                <w:szCs w:val="24"/>
                <w:lang w:val="es-ES_tradnl"/>
              </w:rPr>
            </w:pPr>
            <w:r w:rsidRPr="009F0D77">
              <w:rPr>
                <w:color w:val="000000"/>
                <w:lang w:val="es-ES_tradnl"/>
              </w:rPr>
              <w:t xml:space="preserve">Se solicita al Consejo </w:t>
            </w:r>
            <w:r w:rsidRPr="009F0D77">
              <w:rPr>
                <w:b/>
                <w:bCs/>
                <w:color w:val="000000"/>
                <w:lang w:val="es-ES_tradnl"/>
              </w:rPr>
              <w:t>que apruebe</w:t>
            </w:r>
            <w:r w:rsidRPr="009F0D77">
              <w:rPr>
                <w:color w:val="000000"/>
                <w:lang w:val="es-ES_tradnl"/>
              </w:rPr>
              <w:t xml:space="preserve"> el proyecto de Resolución </w:t>
            </w:r>
            <w:hyperlink w:anchor="Annex" w:history="1">
              <w:r w:rsidRPr="009F0D77">
                <w:rPr>
                  <w:rStyle w:val="Hyperlink"/>
                  <w:lang w:val="es-ES_tradnl"/>
                </w:rPr>
                <w:t>anexo</w:t>
              </w:r>
            </w:hyperlink>
            <w:r w:rsidRPr="009F0D77">
              <w:rPr>
                <w:color w:val="000000"/>
                <w:lang w:val="es-ES_tradnl"/>
              </w:rPr>
              <w:t xml:space="preserve"> al presente documento.</w:t>
            </w:r>
          </w:p>
          <w:p w14:paraId="09F19869" w14:textId="77777777" w:rsidR="00F92BED" w:rsidRPr="009F0D77" w:rsidRDefault="00F92BED" w:rsidP="00C4421B">
            <w:pPr>
              <w:spacing w:before="160"/>
              <w:rPr>
                <w:b/>
                <w:bCs/>
                <w:sz w:val="26"/>
                <w:szCs w:val="26"/>
                <w:lang w:val="es-ES_tradnl"/>
              </w:rPr>
            </w:pPr>
            <w:r w:rsidRPr="009F0D77">
              <w:rPr>
                <w:b/>
                <w:bCs/>
                <w:sz w:val="26"/>
                <w:szCs w:val="26"/>
                <w:lang w:val="es-ES_tradnl"/>
              </w:rPr>
              <w:t>Vínculo(s) pertinente(s) con el Plan Estratégico</w:t>
            </w:r>
          </w:p>
          <w:p w14:paraId="1470B0B1" w14:textId="5399E2D7" w:rsidR="00F92BED" w:rsidRPr="009F0D77" w:rsidRDefault="009F2D96" w:rsidP="00C4421B">
            <w:pPr>
              <w:rPr>
                <w:lang w:val="es-ES_tradnl"/>
              </w:rPr>
            </w:pPr>
            <w:r w:rsidRPr="009F0D77">
              <w:rPr>
                <w:color w:val="000000"/>
                <w:lang w:val="es-ES_tradnl"/>
              </w:rPr>
              <w:t>Este documento es coherente con el Plan Estratégico para 2024-2027.</w:t>
            </w:r>
          </w:p>
          <w:p w14:paraId="423720C9" w14:textId="77777777" w:rsidR="00F92BED" w:rsidRPr="009F0D77" w:rsidRDefault="00F92BED" w:rsidP="00C4421B">
            <w:pPr>
              <w:spacing w:before="160"/>
              <w:rPr>
                <w:b/>
                <w:bCs/>
                <w:sz w:val="26"/>
                <w:szCs w:val="26"/>
                <w:lang w:val="es-ES_tradnl"/>
              </w:rPr>
            </w:pPr>
            <w:r w:rsidRPr="009F0D77">
              <w:rPr>
                <w:b/>
                <w:bCs/>
                <w:sz w:val="26"/>
                <w:szCs w:val="26"/>
                <w:lang w:val="es-ES_tradnl"/>
              </w:rPr>
              <w:t>Repercusiones financieras</w:t>
            </w:r>
          </w:p>
          <w:p w14:paraId="57F1987C" w14:textId="7BA9F2B8" w:rsidR="00F92BED" w:rsidRPr="009F0D77" w:rsidRDefault="009F2D96" w:rsidP="00525436">
            <w:pPr>
              <w:jc w:val="both"/>
              <w:rPr>
                <w:lang w:val="es-ES_tradnl"/>
              </w:rPr>
            </w:pPr>
            <w:r w:rsidRPr="009F0D77">
              <w:rPr>
                <w:color w:val="000000"/>
                <w:lang w:val="es-ES_tradnl"/>
              </w:rPr>
              <w:t xml:space="preserve">La asignación de </w:t>
            </w:r>
            <w:r w:rsidRPr="009F0D77">
              <w:rPr>
                <w:b/>
                <w:bCs/>
                <w:color w:val="000000"/>
                <w:lang w:val="es-ES_tradnl"/>
              </w:rPr>
              <w:t>10,8 millones CHF</w:t>
            </w:r>
            <w:r w:rsidRPr="009F0D77">
              <w:rPr>
                <w:color w:val="000000"/>
                <w:lang w:val="es-ES_tradnl"/>
              </w:rPr>
              <w:t xml:space="preserve"> en concepto de ahorros generados en la ejecución del presupuesto de 2025 a la financiación de actividades que no están cubiertas por el presupuesto ordinario.</w:t>
            </w:r>
          </w:p>
          <w:p w14:paraId="6A73A23D" w14:textId="77777777" w:rsidR="00FE57F6" w:rsidRPr="009F0D77" w:rsidRDefault="00FE57F6" w:rsidP="00C4421B">
            <w:pPr>
              <w:spacing w:before="160"/>
              <w:rPr>
                <w:caps/>
                <w:sz w:val="22"/>
                <w:lang w:val="es-ES_tradnl"/>
              </w:rPr>
            </w:pPr>
            <w:r w:rsidRPr="009F0D77">
              <w:rPr>
                <w:sz w:val="22"/>
                <w:lang w:val="es-ES_tradnl"/>
              </w:rPr>
              <w:t>__________________</w:t>
            </w:r>
          </w:p>
          <w:p w14:paraId="7123EC27" w14:textId="77777777" w:rsidR="00FE57F6" w:rsidRPr="009F0D77" w:rsidRDefault="00F24B71" w:rsidP="00C4421B">
            <w:pPr>
              <w:spacing w:before="160"/>
              <w:rPr>
                <w:b/>
                <w:bCs/>
                <w:sz w:val="26"/>
                <w:szCs w:val="26"/>
                <w:lang w:val="es-ES_tradnl"/>
              </w:rPr>
            </w:pPr>
            <w:r w:rsidRPr="009F0D77">
              <w:rPr>
                <w:b/>
                <w:bCs/>
                <w:sz w:val="26"/>
                <w:szCs w:val="26"/>
                <w:lang w:val="es-ES_tradnl"/>
              </w:rPr>
              <w:t>Referencia</w:t>
            </w:r>
            <w:r w:rsidR="00F92BED" w:rsidRPr="009F0D77">
              <w:rPr>
                <w:b/>
                <w:bCs/>
                <w:sz w:val="26"/>
                <w:szCs w:val="26"/>
                <w:lang w:val="es-ES_tradnl"/>
              </w:rPr>
              <w:t>s</w:t>
            </w:r>
            <w:r w:rsidR="00D375E0" w:rsidRPr="009F0D77">
              <w:rPr>
                <w:sz w:val="26"/>
                <w:szCs w:val="26"/>
                <w:lang w:val="es-ES_tradnl"/>
              </w:rPr>
              <w:t xml:space="preserve"> </w:t>
            </w:r>
          </w:p>
          <w:p w14:paraId="0A2786E3" w14:textId="5961377E" w:rsidR="00FE57F6" w:rsidRPr="009F0D77" w:rsidRDefault="009F2D96" w:rsidP="00525436">
            <w:pPr>
              <w:spacing w:after="160"/>
              <w:jc w:val="both"/>
              <w:rPr>
                <w:i/>
                <w:iCs/>
                <w:sz w:val="22"/>
                <w:szCs w:val="22"/>
                <w:lang w:val="es-ES_tradnl"/>
              </w:rPr>
            </w:pPr>
            <w:r w:rsidRPr="009F0D77">
              <w:rPr>
                <w:i/>
                <w:iCs/>
                <w:sz w:val="22"/>
                <w:szCs w:val="22"/>
                <w:lang w:val="es-ES_tradnl"/>
              </w:rPr>
              <w:t xml:space="preserve">Decisión </w:t>
            </w:r>
            <w:hyperlink r:id="rId7" w:history="1">
              <w:r w:rsidRPr="009F0D77">
                <w:rPr>
                  <w:rStyle w:val="Hyperlink"/>
                  <w:i/>
                  <w:iCs/>
                  <w:sz w:val="22"/>
                  <w:lang w:val="es-ES_tradnl"/>
                </w:rPr>
                <w:t>5 (Rev. Bucarest, 2022)</w:t>
              </w:r>
            </w:hyperlink>
            <w:r w:rsidRPr="009F0D77">
              <w:rPr>
                <w:i/>
                <w:iCs/>
                <w:sz w:val="22"/>
                <w:szCs w:val="22"/>
                <w:lang w:val="es-ES_tradnl"/>
              </w:rPr>
              <w:t xml:space="preserve">; Resolución </w:t>
            </w:r>
            <w:hyperlink r:id="rId8" w:history="1">
              <w:r w:rsidRPr="009F0D77">
                <w:rPr>
                  <w:rStyle w:val="Hyperlink"/>
                  <w:i/>
                  <w:iCs/>
                  <w:sz w:val="22"/>
                  <w:lang w:val="es-ES_tradnl"/>
                </w:rPr>
                <w:t>11 (Derogada. Bucarest, 2022)</w:t>
              </w:r>
            </w:hyperlink>
            <w:r w:rsidRPr="009F0D77">
              <w:rPr>
                <w:i/>
                <w:iCs/>
                <w:sz w:val="22"/>
                <w:szCs w:val="22"/>
                <w:lang w:val="es-ES_tradnl"/>
              </w:rPr>
              <w:t xml:space="preserve"> de la Conferencia de Plenipotenciarios; Resoluciones </w:t>
            </w:r>
            <w:hyperlink r:id="rId9">
              <w:r w:rsidRPr="009F0D77">
                <w:rPr>
                  <w:rStyle w:val="Hyperlink"/>
                  <w:i/>
                  <w:iCs/>
                  <w:sz w:val="22"/>
                  <w:lang w:val="es-ES_tradnl"/>
                </w:rPr>
                <w:t>1111</w:t>
              </w:r>
            </w:hyperlink>
            <w:r w:rsidRPr="009F0D77">
              <w:rPr>
                <w:i/>
                <w:iCs/>
                <w:sz w:val="22"/>
                <w:szCs w:val="22"/>
                <w:lang w:val="es-ES_tradnl"/>
              </w:rPr>
              <w:t xml:space="preserve"> y </w:t>
            </w:r>
            <w:hyperlink r:id="rId10">
              <w:r w:rsidRPr="009F0D77">
                <w:rPr>
                  <w:rStyle w:val="Hyperlink"/>
                  <w:i/>
                  <w:iCs/>
                  <w:sz w:val="22"/>
                  <w:lang w:val="es-ES_tradnl"/>
                </w:rPr>
                <w:t>1338</w:t>
              </w:r>
            </w:hyperlink>
            <w:r w:rsidRPr="009F0D77">
              <w:rPr>
                <w:i/>
                <w:iCs/>
                <w:sz w:val="22"/>
                <w:szCs w:val="22"/>
                <w:lang w:val="es-ES_tradnl"/>
              </w:rPr>
              <w:t xml:space="preserve"> del Consejo; Documento</w:t>
            </w:r>
            <w:r w:rsidR="00123BCA" w:rsidRPr="009F0D77">
              <w:rPr>
                <w:i/>
                <w:iCs/>
                <w:sz w:val="22"/>
                <w:szCs w:val="22"/>
                <w:lang w:val="es-ES_tradnl"/>
              </w:rPr>
              <w:t>s</w:t>
            </w:r>
            <w:r w:rsidRPr="009F0D77">
              <w:rPr>
                <w:i/>
                <w:iCs/>
                <w:sz w:val="22"/>
                <w:szCs w:val="22"/>
                <w:lang w:val="es-ES_tradnl"/>
              </w:rPr>
              <w:t xml:space="preserve"> </w:t>
            </w:r>
            <w:hyperlink r:id="rId11" w:history="1">
              <w:proofErr w:type="spellStart"/>
              <w:r w:rsidR="00123BCA" w:rsidRPr="009F0D77">
                <w:rPr>
                  <w:rStyle w:val="Hyperlink"/>
                  <w:i/>
                  <w:iCs/>
                  <w:sz w:val="22"/>
                  <w:lang w:val="es-ES_tradnl"/>
                </w:rPr>
                <w:t>C24</w:t>
              </w:r>
              <w:proofErr w:type="spellEnd"/>
              <w:r w:rsidR="00123BCA" w:rsidRPr="009F0D77">
                <w:rPr>
                  <w:rStyle w:val="Hyperlink"/>
                  <w:i/>
                  <w:iCs/>
                  <w:sz w:val="22"/>
                  <w:lang w:val="es-ES_tradnl"/>
                </w:rPr>
                <w:t>/19</w:t>
              </w:r>
            </w:hyperlink>
            <w:r w:rsidR="00123BCA" w:rsidRPr="009F0D77">
              <w:rPr>
                <w:i/>
                <w:iCs/>
                <w:sz w:val="22"/>
                <w:szCs w:val="22"/>
                <w:lang w:val="es-ES_tradnl"/>
              </w:rPr>
              <w:t xml:space="preserve"> y </w:t>
            </w:r>
            <w:hyperlink r:id="rId12" w:history="1">
              <w:proofErr w:type="spellStart"/>
              <w:r w:rsidR="00123BCA" w:rsidRPr="009F0D77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_tradnl"/>
                </w:rPr>
                <w:t>C24</w:t>
              </w:r>
              <w:proofErr w:type="spellEnd"/>
              <w:r w:rsidR="00123BCA" w:rsidRPr="009F0D77">
                <w:rPr>
                  <w:rStyle w:val="Hyperlink"/>
                  <w:rFonts w:eastAsia="Times New Roman" w:cs="Times New Roman"/>
                  <w:i/>
                  <w:iCs/>
                  <w:sz w:val="22"/>
                  <w:lang w:val="es-ES_tradnl"/>
                </w:rPr>
                <w:t>/34</w:t>
              </w:r>
            </w:hyperlink>
            <w:r w:rsidRPr="009F0D77">
              <w:rPr>
                <w:i/>
                <w:iCs/>
                <w:sz w:val="22"/>
                <w:szCs w:val="22"/>
                <w:lang w:val="es-ES_tradnl"/>
              </w:rPr>
              <w:t xml:space="preserve"> del Consejo</w:t>
            </w:r>
          </w:p>
        </w:tc>
      </w:tr>
      <w:bookmarkEnd w:id="0"/>
    </w:tbl>
    <w:p w14:paraId="0BD39A05" w14:textId="77777777" w:rsidR="00093EEB" w:rsidRPr="009F0D77" w:rsidRDefault="00093EEB">
      <w:pPr>
        <w:rPr>
          <w:lang w:val="es-ES_tradnl"/>
        </w:rPr>
      </w:pPr>
    </w:p>
    <w:p w14:paraId="4FC85ED9" w14:textId="77777777" w:rsidR="001559F5" w:rsidRPr="009F0D77" w:rsidRDefault="001559F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_tradnl"/>
        </w:rPr>
      </w:pPr>
      <w:r w:rsidRPr="009F0D77">
        <w:rPr>
          <w:lang w:val="es-ES_tradnl"/>
        </w:rPr>
        <w:br w:type="page"/>
      </w:r>
    </w:p>
    <w:p w14:paraId="6B41E129" w14:textId="07F95D85" w:rsidR="00F92BED" w:rsidRPr="009F0D77" w:rsidRDefault="009F2D96" w:rsidP="009F2D96">
      <w:pPr>
        <w:pStyle w:val="Headingb"/>
        <w:rPr>
          <w:lang w:val="es-ES_tradnl"/>
        </w:rPr>
      </w:pPr>
      <w:r w:rsidRPr="009F0D77">
        <w:rPr>
          <w:lang w:val="es-ES_tradnl"/>
        </w:rPr>
        <w:lastRenderedPageBreak/>
        <w:t>Introducción</w:t>
      </w:r>
    </w:p>
    <w:p w14:paraId="5967DCA0" w14:textId="70E81D70" w:rsidR="00F92BED" w:rsidRPr="009F0D77" w:rsidRDefault="009F2D96" w:rsidP="004703C0">
      <w:pPr>
        <w:jc w:val="both"/>
        <w:rPr>
          <w:lang w:val="es-ES_tradnl"/>
        </w:rPr>
      </w:pPr>
      <w:r w:rsidRPr="009F0D77">
        <w:rPr>
          <w:lang w:val="es-ES_tradnl"/>
        </w:rPr>
        <w:t xml:space="preserve">El presupuesto ordinario de la Unión para 2025 se aprobó con un gasto previsto de 164,3 millones CHF frente a unos ingresos previstos de 164,3 millones CHF. Al final del ejercicio, el presupuesto se cerró con unos gastos reales de </w:t>
      </w:r>
      <w:r w:rsidRPr="009F0D77">
        <w:rPr>
          <w:b/>
          <w:bCs/>
          <w:lang w:val="es-ES_tradnl"/>
        </w:rPr>
        <w:t>156,7 millones CHF</w:t>
      </w:r>
      <w:r w:rsidRPr="009F0D77">
        <w:rPr>
          <w:lang w:val="es-ES_tradnl"/>
        </w:rPr>
        <w:t xml:space="preserve"> y unos ingresos reales de </w:t>
      </w:r>
      <w:r w:rsidRPr="009F0D77">
        <w:rPr>
          <w:b/>
          <w:bCs/>
          <w:lang w:val="es-ES_tradnl"/>
        </w:rPr>
        <w:t>167,5 millones CHF</w:t>
      </w:r>
      <w:r w:rsidRPr="009F0D77">
        <w:rPr>
          <w:lang w:val="es-ES_tradnl"/>
        </w:rPr>
        <w:t xml:space="preserve">, lo que arroja un superávit de </w:t>
      </w:r>
      <w:r w:rsidRPr="009F0D77">
        <w:rPr>
          <w:b/>
          <w:bCs/>
          <w:lang w:val="es-ES_tradnl"/>
        </w:rPr>
        <w:t>10,8 millones CHF</w:t>
      </w:r>
      <w:r w:rsidRPr="009F0D77">
        <w:rPr>
          <w:lang w:val="es-ES_tradnl"/>
        </w:rPr>
        <w:t>.</w:t>
      </w:r>
    </w:p>
    <w:p w14:paraId="3CC9983A" w14:textId="4A58FE88" w:rsidR="009F2D96" w:rsidRPr="009F0D77" w:rsidRDefault="009F2D96" w:rsidP="004703C0">
      <w:pPr>
        <w:jc w:val="both"/>
        <w:rPr>
          <w:lang w:val="es-ES_tradnl"/>
        </w:rPr>
      </w:pPr>
      <w:r w:rsidRPr="009F0D77">
        <w:rPr>
          <w:lang w:val="es-ES_tradnl"/>
        </w:rPr>
        <w:t>Este resultado positivo fue impulsado por una combinación de:</w:t>
      </w:r>
    </w:p>
    <w:p w14:paraId="6070BDC1" w14:textId="7DC73892" w:rsidR="009F2D96" w:rsidRPr="009F0D77" w:rsidRDefault="00525436" w:rsidP="00C76623">
      <w:pPr>
        <w:pStyle w:val="enumlev1"/>
        <w:jc w:val="both"/>
        <w:rPr>
          <w:rFonts w:cs="Calibri"/>
          <w:lang w:val="es-ES_tradnl"/>
        </w:rPr>
      </w:pPr>
      <w:r w:rsidRPr="009F0D77">
        <w:rPr>
          <w:lang w:val="es-ES_tradnl"/>
        </w:rPr>
        <w:t>–</w:t>
      </w:r>
      <w:r w:rsidRPr="009F0D77">
        <w:rPr>
          <w:lang w:val="es-ES_tradnl"/>
        </w:rPr>
        <w:tab/>
      </w:r>
      <w:r w:rsidR="009F2D96" w:rsidRPr="009F0D77">
        <w:rPr>
          <w:lang w:val="es-ES_tradnl"/>
        </w:rPr>
        <w:t>Un déficit de gastos, resultante de una gestión financiera dinámica y disciplinada. Tras la aprobación por el Consejo de una dotación presupuestaria reducida, la Secretaría aplicó estrictos controles de gasto, decisiones de contratación prudentes y un cuidados</w:t>
      </w:r>
      <w:r w:rsidR="00037A4F">
        <w:rPr>
          <w:lang w:val="es-ES_tradnl"/>
        </w:rPr>
        <w:t>o</w:t>
      </w:r>
      <w:r w:rsidR="009F2D96" w:rsidRPr="009F0D77">
        <w:rPr>
          <w:lang w:val="es-ES_tradnl"/>
        </w:rPr>
        <w:t xml:space="preserve"> </w:t>
      </w:r>
      <w:r w:rsidR="00037A4F" w:rsidRPr="00037A4F">
        <w:rPr>
          <w:lang w:val="es-ES_tradnl"/>
        </w:rPr>
        <w:t>escalonamiento</w:t>
      </w:r>
      <w:r w:rsidR="00037A4F">
        <w:rPr>
          <w:lang w:val="es-ES_tradnl"/>
        </w:rPr>
        <w:t xml:space="preserve"> </w:t>
      </w:r>
      <w:r w:rsidR="009F2D96" w:rsidRPr="009F0D77">
        <w:rPr>
          <w:lang w:val="es-ES_tradnl"/>
        </w:rPr>
        <w:t>de los proyectos para garantizar la sostenibilidad financiera en todo el bienio 2026-2027.</w:t>
      </w:r>
    </w:p>
    <w:p w14:paraId="1C1ED4E5" w14:textId="4EFBE7BB" w:rsidR="009F2D96" w:rsidRPr="009F0D77" w:rsidRDefault="00525436" w:rsidP="004703C0">
      <w:pPr>
        <w:pStyle w:val="enumlev1"/>
        <w:jc w:val="both"/>
        <w:rPr>
          <w:lang w:val="es-ES_tradnl"/>
        </w:rPr>
      </w:pPr>
      <w:r w:rsidRPr="009F0D77">
        <w:rPr>
          <w:lang w:val="es-ES_tradnl"/>
        </w:rPr>
        <w:t>–</w:t>
      </w:r>
      <w:r w:rsidRPr="009F0D77">
        <w:rPr>
          <w:lang w:val="es-ES_tradnl"/>
        </w:rPr>
        <w:tab/>
      </w:r>
      <w:r w:rsidR="009F2D96" w:rsidRPr="009F0D77">
        <w:rPr>
          <w:lang w:val="es-ES_tradnl"/>
        </w:rPr>
        <w:t>Ingresos superiores a los previstos, incluidas mayores ventas de publicaciones, movimientos actuariales favorables en relación con los pasivos del personal y mayores intereses devengados</w:t>
      </w:r>
      <w:r w:rsidR="0041189C" w:rsidRPr="009F0D77">
        <w:rPr>
          <w:lang w:val="es-ES_tradnl"/>
        </w:rPr>
        <w:t>.</w:t>
      </w:r>
    </w:p>
    <w:p w14:paraId="7D2E8461" w14:textId="32BCDCA8" w:rsidR="009F2D96" w:rsidRPr="009F0D77" w:rsidRDefault="009F2D96" w:rsidP="004703C0">
      <w:pPr>
        <w:jc w:val="both"/>
        <w:rPr>
          <w:lang w:val="es-ES_tradnl"/>
        </w:rPr>
      </w:pPr>
      <w:r w:rsidRPr="009F0D77">
        <w:rPr>
          <w:lang w:val="es-ES_tradnl"/>
        </w:rPr>
        <w:t>Es importante destacar que estos movimientos favorables no son en gran medida recurrentes o están relacionados con el calendario y no representan reducciones estructurales en el gasto básico en curso de la Unión.</w:t>
      </w:r>
    </w:p>
    <w:p w14:paraId="254362D6" w14:textId="07D89412" w:rsidR="009F2D96" w:rsidRPr="009F0D77" w:rsidRDefault="009F2D96" w:rsidP="004703C0">
      <w:pPr>
        <w:jc w:val="both"/>
        <w:rPr>
          <w:lang w:val="es-ES_tradnl"/>
        </w:rPr>
      </w:pPr>
      <w:r w:rsidRPr="009F0D77">
        <w:rPr>
          <w:lang w:val="es-ES_tradnl"/>
        </w:rPr>
        <w:t>En consecuencia, la Secretaría propone que el superávit de 2025 se asigne a prioridades estratégicas puntuales o de duración limitada en 2026-2027, en lugar de absorberse en el presupuesto ordinario. Por consiguiente, se solicita la aprobación del Consejo para la asignación propuesta de estos ahorros.</w:t>
      </w:r>
    </w:p>
    <w:p w14:paraId="19F3E5C5" w14:textId="77777777" w:rsidR="009F2D96" w:rsidRPr="009F0D77" w:rsidRDefault="009F2D96" w:rsidP="00B54F0D">
      <w:pPr>
        <w:pStyle w:val="Headingb"/>
        <w:rPr>
          <w:lang w:val="es-ES_tradnl"/>
        </w:rPr>
      </w:pPr>
      <w:r w:rsidRPr="009F0D77">
        <w:rPr>
          <w:lang w:val="es-ES_tradnl"/>
        </w:rPr>
        <w:t>Utilización propuesta del superávit presupuestario de 2025</w:t>
      </w:r>
    </w:p>
    <w:p w14:paraId="3F573353" w14:textId="3CC27788" w:rsidR="009F2D96" w:rsidRPr="009F0D77" w:rsidRDefault="009F2D96" w:rsidP="004703C0">
      <w:pPr>
        <w:jc w:val="both"/>
        <w:rPr>
          <w:lang w:val="es-ES_tradnl"/>
        </w:rPr>
      </w:pPr>
      <w:r w:rsidRPr="009F0D77">
        <w:rPr>
          <w:lang w:val="es-ES_tradnl"/>
        </w:rPr>
        <w:t>Como se ha indicado anteriormente, el superávit presupuestario de aproximadamente 10,8 millones CHF registrado en 2025 es el resultado de una combinación de efectos no recurrentes en los ingresos y gastos no registrados en el periodo financiero 2025.</w:t>
      </w:r>
    </w:p>
    <w:p w14:paraId="5ED7A09D" w14:textId="1B8670B5" w:rsidR="009F2D96" w:rsidRPr="009F0D77" w:rsidRDefault="009F2D96" w:rsidP="004703C0">
      <w:pPr>
        <w:jc w:val="both"/>
        <w:rPr>
          <w:lang w:val="es-ES_tradnl"/>
        </w:rPr>
      </w:pPr>
      <w:r w:rsidRPr="009F0D77">
        <w:rPr>
          <w:lang w:val="es-ES_tradnl"/>
        </w:rPr>
        <w:t>Durante 2025, debido al ritmo de ejecución de proyectos en el ejercicio 2025, la recuperación de servicios administrativos y operacionales (</w:t>
      </w:r>
      <w:proofErr w:type="spellStart"/>
      <w:r w:rsidRPr="009F0D77">
        <w:rPr>
          <w:lang w:val="es-ES_tradnl"/>
        </w:rPr>
        <w:t>AOS</w:t>
      </w:r>
      <w:proofErr w:type="spellEnd"/>
      <w:r w:rsidRPr="009F0D77">
        <w:rPr>
          <w:lang w:val="es-ES_tradnl"/>
        </w:rPr>
        <w:t xml:space="preserve">) superó el importe presupuestado en </w:t>
      </w:r>
      <w:r w:rsidRPr="009F0D77">
        <w:rPr>
          <w:b/>
          <w:bCs/>
          <w:lang w:val="es-ES_tradnl"/>
        </w:rPr>
        <w:t>559 800 CHF</w:t>
      </w:r>
      <w:r w:rsidRPr="009F0D77">
        <w:rPr>
          <w:lang w:val="es-ES_tradnl"/>
        </w:rPr>
        <w:t xml:space="preserve">. Se propone que el Consejo apruebe la asignación de esta cantidad al Fondo para el Desarrollo de las TIC (Documento </w:t>
      </w:r>
      <w:hyperlink r:id="rId13" w:history="1">
        <w:proofErr w:type="spellStart"/>
        <w:r w:rsidRPr="009F0D77">
          <w:rPr>
            <w:rStyle w:val="Hyperlink"/>
            <w:lang w:val="es-ES_tradnl"/>
          </w:rPr>
          <w:t>C26</w:t>
        </w:r>
        <w:proofErr w:type="spellEnd"/>
        <w:r w:rsidRPr="009F0D77">
          <w:rPr>
            <w:rStyle w:val="Hyperlink"/>
            <w:lang w:val="es-ES_tradnl"/>
          </w:rPr>
          <w:t>/34</w:t>
        </w:r>
      </w:hyperlink>
      <w:r w:rsidRPr="009F0D77">
        <w:rPr>
          <w:lang w:val="es-ES_tradnl"/>
        </w:rPr>
        <w:t xml:space="preserve">), y la asignación del superávit presupuestario restante de </w:t>
      </w:r>
      <w:r w:rsidRPr="009F0D77">
        <w:rPr>
          <w:b/>
          <w:bCs/>
          <w:lang w:val="es-ES_tradnl"/>
        </w:rPr>
        <w:t>10,25 millones CHF</w:t>
      </w:r>
      <w:r w:rsidRPr="009F0D77">
        <w:rPr>
          <w:lang w:val="es-ES_tradnl"/>
        </w:rPr>
        <w:t>, como se indica en el Cuadro</w:t>
      </w:r>
      <w:r w:rsidR="00B54F0D" w:rsidRPr="009F0D77">
        <w:rPr>
          <w:lang w:val="es-ES_tradnl"/>
        </w:rPr>
        <w:t> </w:t>
      </w:r>
      <w:r w:rsidRPr="009F0D77">
        <w:rPr>
          <w:lang w:val="es-ES_tradnl"/>
        </w:rPr>
        <w:t>1 siguiente. A continuación, se proporcionan más detalles sobre la justificación.</w:t>
      </w:r>
    </w:p>
    <w:p w14:paraId="6EC8D16C" w14:textId="77777777" w:rsidR="004703C0" w:rsidRPr="009F0D77" w:rsidRDefault="009F2D96" w:rsidP="004703C0">
      <w:pPr>
        <w:pStyle w:val="TableNo"/>
        <w:rPr>
          <w:lang w:val="es-ES_tradnl"/>
        </w:rPr>
      </w:pPr>
      <w:r w:rsidRPr="009F0D77">
        <w:rPr>
          <w:lang w:val="es-ES_tradnl"/>
        </w:rPr>
        <w:lastRenderedPageBreak/>
        <w:t>Cuadro 1</w:t>
      </w:r>
    </w:p>
    <w:p w14:paraId="46537FF9" w14:textId="5DA4F13A" w:rsidR="009F2D96" w:rsidRPr="009F0D77" w:rsidRDefault="009F2D96" w:rsidP="0041189C">
      <w:pPr>
        <w:pStyle w:val="Tabletitle"/>
        <w:rPr>
          <w:lang w:val="es-ES_tradnl"/>
        </w:rPr>
      </w:pPr>
      <w:r w:rsidRPr="009F0D77">
        <w:rPr>
          <w:lang w:val="es-ES_tradnl"/>
        </w:rPr>
        <w:t>Resumen de las asignaciones</w:t>
      </w:r>
      <w:r w:rsidR="0041189C" w:rsidRPr="009F0D77">
        <w:rPr>
          <w:lang w:val="es-ES_tradnl"/>
        </w:rPr>
        <w:t xml:space="preserve"> </w:t>
      </w:r>
      <w:r w:rsidRPr="009F0D77">
        <w:rPr>
          <w:lang w:val="es-ES_tradnl"/>
        </w:rPr>
        <w:t>propuestas de ahorro en 2025 para 2026-2027</w:t>
      </w:r>
    </w:p>
    <w:p w14:paraId="3C3AFD9E" w14:textId="5DC0B933" w:rsidR="009F2D96" w:rsidRPr="009F0D77" w:rsidRDefault="0058318D" w:rsidP="00B54F0D">
      <w:pPr>
        <w:pStyle w:val="Figure"/>
        <w:rPr>
          <w:lang w:val="es-ES_tradnl"/>
        </w:rPr>
      </w:pPr>
      <w:r w:rsidRPr="009F0D77">
        <w:rPr>
          <w:lang w:val="es-ES_tradnl"/>
        </w:rPr>
        <w:drawing>
          <wp:inline distT="0" distB="0" distL="0" distR="0" wp14:anchorId="6930D34B" wp14:editId="7B7F1DC5">
            <wp:extent cx="5760085" cy="26917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C37EF" w14:textId="169CA7C8" w:rsidR="009F2D96" w:rsidRPr="009F0D77" w:rsidRDefault="009F2D96" w:rsidP="009F2D96">
      <w:pPr>
        <w:pStyle w:val="Heading1"/>
        <w:rPr>
          <w:lang w:val="es-ES_tradnl"/>
        </w:rPr>
      </w:pPr>
      <w:r w:rsidRPr="009F0D77">
        <w:rPr>
          <w:lang w:val="es-ES_tradnl"/>
        </w:rPr>
        <w:t>1</w:t>
      </w:r>
      <w:r w:rsidRPr="009F0D77">
        <w:rPr>
          <w:lang w:val="es-ES_tradnl"/>
        </w:rPr>
        <w:tab/>
        <w:t>Ceses acordados</w:t>
      </w:r>
    </w:p>
    <w:p w14:paraId="750A387A" w14:textId="18A0DE8D" w:rsidR="009F2D96" w:rsidRPr="009F0D77" w:rsidRDefault="009F2D96" w:rsidP="004703C0">
      <w:pPr>
        <w:jc w:val="both"/>
        <w:rPr>
          <w:lang w:val="es-ES_tradnl"/>
        </w:rPr>
      </w:pPr>
      <w:r w:rsidRPr="009F0D77">
        <w:rPr>
          <w:lang w:val="es-ES_tradnl"/>
        </w:rPr>
        <w:t>En 2022, el Consejo aprobó la utilización de 6 millones CHF del fondo de reserva para la ejecución de programas de cese voluntario UIT destinados a facilitar la reestructuración organizativa y apoyar la evolución de los efectivos en respuesta a las cambiantes necesidades estratégicas. Gracias a esta iniciativa, 42 funcionarios que reunían las condiciones pudieron marcharse voluntariamente, lo que simplificó los ajustes del personal y mantuvo la capacidad operacional de la Unión.</w:t>
      </w:r>
    </w:p>
    <w:p w14:paraId="50A07C77" w14:textId="661EE268" w:rsidR="009F2D96" w:rsidRPr="009F0D77" w:rsidRDefault="009F2D96" w:rsidP="004703C0">
      <w:pPr>
        <w:jc w:val="both"/>
        <w:rPr>
          <w:lang w:val="es-ES_tradnl"/>
        </w:rPr>
      </w:pPr>
      <w:r w:rsidRPr="009F0D77">
        <w:rPr>
          <w:lang w:val="es-ES_tradnl"/>
        </w:rPr>
        <w:t xml:space="preserve">Se propone que se asignen </w:t>
      </w:r>
      <w:r w:rsidRPr="009F0D77">
        <w:rPr>
          <w:b/>
          <w:bCs/>
          <w:lang w:val="es-ES_tradnl"/>
        </w:rPr>
        <w:t>2,5 millones CHF</w:t>
      </w:r>
      <w:r w:rsidRPr="009F0D77">
        <w:rPr>
          <w:lang w:val="es-ES_tradnl"/>
        </w:rPr>
        <w:t xml:space="preserve"> a la creación de iniciativas adicionales de separación del servicio para apoyar la reorganización y los objetivos de reducción de costes a más largo plazo.</w:t>
      </w:r>
    </w:p>
    <w:p w14:paraId="52CA7B8B" w14:textId="276A073A" w:rsidR="009F2D96" w:rsidRPr="009F0D77" w:rsidRDefault="009F2D96" w:rsidP="004703C0">
      <w:pPr>
        <w:jc w:val="both"/>
        <w:rPr>
          <w:lang w:val="es-ES_tradnl"/>
        </w:rPr>
      </w:pPr>
      <w:r w:rsidRPr="009F0D77">
        <w:rPr>
          <w:lang w:val="es-ES_tradnl"/>
        </w:rPr>
        <w:t>Los fondos se utilizarían de la siguiente manera:</w:t>
      </w:r>
    </w:p>
    <w:p w14:paraId="0BA30B4F" w14:textId="1C33799F" w:rsidR="009F2D96" w:rsidRPr="009F0D77" w:rsidRDefault="00525436" w:rsidP="004703C0">
      <w:pPr>
        <w:pStyle w:val="enumlev1"/>
        <w:jc w:val="both"/>
        <w:rPr>
          <w:rFonts w:cs="Calibri"/>
          <w:lang w:val="es-ES_tradnl"/>
        </w:rPr>
      </w:pPr>
      <w:r w:rsidRPr="009F0D77">
        <w:rPr>
          <w:lang w:val="es-ES_tradnl"/>
        </w:rPr>
        <w:t>–</w:t>
      </w:r>
      <w:r w:rsidRPr="009F0D77">
        <w:rPr>
          <w:lang w:val="es-ES_tradnl"/>
        </w:rPr>
        <w:tab/>
      </w:r>
      <w:r w:rsidR="009F2D96" w:rsidRPr="009F0D77">
        <w:rPr>
          <w:lang w:val="es-ES_tradnl"/>
        </w:rPr>
        <w:t>separación de fondos cuando sea necesario, en interés de la Unión, para abordar cambios en las aptitudes y competencias asociadas a la reorganización;</w:t>
      </w:r>
    </w:p>
    <w:p w14:paraId="08F587FB" w14:textId="018BB338" w:rsidR="009F2D96" w:rsidRPr="009F0D77" w:rsidRDefault="00525436" w:rsidP="004703C0">
      <w:pPr>
        <w:pStyle w:val="enumlev1"/>
        <w:jc w:val="both"/>
        <w:rPr>
          <w:rFonts w:cs="Calibri"/>
          <w:szCs w:val="24"/>
          <w:lang w:val="es-ES_tradnl"/>
        </w:rPr>
      </w:pPr>
      <w:r w:rsidRPr="009F0D77">
        <w:rPr>
          <w:lang w:val="es-ES_tradnl"/>
        </w:rPr>
        <w:t>–</w:t>
      </w:r>
      <w:r w:rsidRPr="009F0D77">
        <w:rPr>
          <w:lang w:val="es-ES_tradnl"/>
        </w:rPr>
        <w:tab/>
      </w:r>
      <w:r w:rsidR="009F2D96" w:rsidRPr="009F0D77">
        <w:rPr>
          <w:lang w:val="es-ES_tradnl"/>
        </w:rPr>
        <w:t>todo saldo no utilizado permanecería en la provisión para cubrir futuras necesidades de reestructuración, reconociendo que los ajustes orgánicos se extienden más allá de un solo año financiero; y</w:t>
      </w:r>
    </w:p>
    <w:p w14:paraId="4E6E5717" w14:textId="6B68AECD" w:rsidR="009F2D96" w:rsidRPr="009F0D77" w:rsidRDefault="00525436" w:rsidP="004703C0">
      <w:pPr>
        <w:pStyle w:val="enumlev1"/>
        <w:jc w:val="both"/>
        <w:rPr>
          <w:rFonts w:cs="Calibri"/>
          <w:lang w:val="es-ES_tradnl"/>
        </w:rPr>
      </w:pPr>
      <w:r w:rsidRPr="009F0D77">
        <w:rPr>
          <w:lang w:val="es-ES_tradnl"/>
        </w:rPr>
        <w:t>–</w:t>
      </w:r>
      <w:r w:rsidRPr="009F0D77">
        <w:rPr>
          <w:lang w:val="es-ES_tradnl"/>
        </w:rPr>
        <w:tab/>
      </w:r>
      <w:r w:rsidR="009F2D96" w:rsidRPr="009F0D77">
        <w:rPr>
          <w:lang w:val="es-ES_tradnl"/>
        </w:rPr>
        <w:t>la Secretaría informará anualmente al Consejo sobre la utilización de los fondos.</w:t>
      </w:r>
    </w:p>
    <w:p w14:paraId="3AD9480F" w14:textId="31756976" w:rsidR="009F2D96" w:rsidRPr="009F0D77" w:rsidRDefault="009F2D96" w:rsidP="004703C0">
      <w:pPr>
        <w:pStyle w:val="Heading1"/>
        <w:rPr>
          <w:lang w:val="es-ES_tradnl"/>
        </w:rPr>
      </w:pPr>
      <w:r w:rsidRPr="009F0D77">
        <w:rPr>
          <w:lang w:val="es-ES_tradnl"/>
        </w:rPr>
        <w:t>2</w:t>
      </w:r>
      <w:r w:rsidRPr="009F0D77">
        <w:rPr>
          <w:lang w:val="es-ES_tradnl"/>
        </w:rPr>
        <w:tab/>
        <w:t>Abordar el retraso acumulado en las notificaciones de redes de satélite (</w:t>
      </w:r>
      <w:proofErr w:type="spellStart"/>
      <w:r w:rsidRPr="009F0D77">
        <w:rPr>
          <w:lang w:val="es-ES_tradnl"/>
        </w:rPr>
        <w:t>SNF</w:t>
      </w:r>
      <w:proofErr w:type="spellEnd"/>
      <w:r w:rsidRPr="009F0D77">
        <w:rPr>
          <w:lang w:val="es-ES_tradnl"/>
        </w:rPr>
        <w:t>)</w:t>
      </w:r>
    </w:p>
    <w:p w14:paraId="2895B5FF" w14:textId="2A080A5E" w:rsidR="009F2D96" w:rsidRPr="009F0D77" w:rsidRDefault="009F2D96" w:rsidP="00C76623">
      <w:pPr>
        <w:jc w:val="both"/>
        <w:rPr>
          <w:rFonts w:asciiTheme="minorHAnsi" w:hAnsiTheme="minorHAnsi" w:cstheme="minorBidi"/>
          <w:szCs w:val="24"/>
          <w:lang w:val="es-ES_tradnl"/>
        </w:rPr>
      </w:pPr>
      <w:r w:rsidRPr="009F0D77">
        <w:rPr>
          <w:lang w:val="es-ES_tradnl"/>
        </w:rPr>
        <w:t>La Secretaría propone una asignación específica y limitada en el tiempo de los ahorros de 2025 para abordar el retraso actual en las solicitudes de notificaciones de redes de satélites (</w:t>
      </w:r>
      <w:proofErr w:type="spellStart"/>
      <w:r w:rsidRPr="009F0D77">
        <w:rPr>
          <w:lang w:val="es-ES_tradnl"/>
        </w:rPr>
        <w:t>SNF</w:t>
      </w:r>
      <w:proofErr w:type="spellEnd"/>
      <w:r w:rsidRPr="009F0D77">
        <w:rPr>
          <w:lang w:val="es-ES_tradnl"/>
        </w:rPr>
        <w:t xml:space="preserve">) de </w:t>
      </w:r>
      <w:r w:rsidRPr="009F0D77">
        <w:rPr>
          <w:b/>
          <w:bCs/>
          <w:lang w:val="es-ES_tradnl"/>
        </w:rPr>
        <w:t>0,50 millones CHF</w:t>
      </w:r>
      <w:r w:rsidRPr="009F0D77">
        <w:rPr>
          <w:lang w:val="es-ES_tradnl"/>
        </w:rPr>
        <w:t>. Los plazos de tramitación se han ampliado a aproximadamente 14</w:t>
      </w:r>
      <w:r w:rsidR="00BF0329" w:rsidRPr="009F0D77">
        <w:rPr>
          <w:lang w:val="es-ES_tradnl"/>
        </w:rPr>
        <w:t> </w:t>
      </w:r>
      <w:r w:rsidRPr="009F0D77">
        <w:rPr>
          <w:lang w:val="es-ES_tradnl"/>
        </w:rPr>
        <w:t>meses, lo que genera presiones operativas y un riesgo para la reputación de la Unión.</w:t>
      </w:r>
    </w:p>
    <w:p w14:paraId="1273CEDB" w14:textId="77777777" w:rsidR="009F2D96" w:rsidRPr="009F0D77" w:rsidRDefault="009F2D96" w:rsidP="00C76623">
      <w:pPr>
        <w:jc w:val="both"/>
        <w:rPr>
          <w:rFonts w:asciiTheme="minorHAnsi" w:hAnsiTheme="minorHAnsi" w:cstheme="minorBidi"/>
          <w:szCs w:val="24"/>
          <w:lang w:val="es-ES_tradnl"/>
        </w:rPr>
      </w:pPr>
      <w:r w:rsidRPr="009F0D77">
        <w:rPr>
          <w:lang w:val="es-ES_tradnl"/>
        </w:rPr>
        <w:lastRenderedPageBreak/>
        <w:t>La medida propuesta proporcionaría fondos temporales para contratar personal adicional dedicado exclusivamente a reducir el retraso acumulado, con el objetivo de ayudar a restablecer los plazos de tramitación a aproximadamente cuatro meses. Esta intervención está diseñada como un refuerzo de la capacidad a corto plazo, centrada en eliminar los casos acumulados en lugar de ampliar el establecimiento de personal a largo plazo.</w:t>
      </w:r>
    </w:p>
    <w:p w14:paraId="7FD36B84" w14:textId="77777777" w:rsidR="009F2D96" w:rsidRPr="009F0D77" w:rsidRDefault="009F2D96" w:rsidP="00BF0329">
      <w:pPr>
        <w:pStyle w:val="Heading1"/>
        <w:rPr>
          <w:rFonts w:cs="Calibri"/>
          <w:lang w:val="es-ES_tradnl"/>
        </w:rPr>
      </w:pPr>
      <w:r w:rsidRPr="009F0D77">
        <w:rPr>
          <w:lang w:val="es-ES_tradnl"/>
        </w:rPr>
        <w:t>3</w:t>
      </w:r>
      <w:r w:rsidRPr="009F0D77">
        <w:rPr>
          <w:lang w:val="es-ES_tradnl"/>
        </w:rPr>
        <w:tab/>
        <w:t xml:space="preserve">Sistemas centrales de </w:t>
      </w:r>
      <w:proofErr w:type="spellStart"/>
      <w:r w:rsidRPr="009F0D77">
        <w:rPr>
          <w:lang w:val="es-ES_tradnl"/>
        </w:rPr>
        <w:t>SNF</w:t>
      </w:r>
      <w:proofErr w:type="spellEnd"/>
      <w:r w:rsidRPr="009F0D77">
        <w:rPr>
          <w:lang w:val="es-ES_tradnl"/>
        </w:rPr>
        <w:t xml:space="preserve"> y capacidad de modernización</w:t>
      </w:r>
    </w:p>
    <w:p w14:paraId="6CD09D7D" w14:textId="77777777" w:rsidR="009F2D96" w:rsidRPr="009F0D77" w:rsidRDefault="009F2D96" w:rsidP="00C76623">
      <w:pPr>
        <w:jc w:val="both"/>
        <w:rPr>
          <w:lang w:val="es-ES_tradnl"/>
        </w:rPr>
      </w:pPr>
      <w:r w:rsidRPr="009F0D77">
        <w:rPr>
          <w:lang w:val="es-ES_tradnl"/>
        </w:rPr>
        <w:t xml:space="preserve">Se propone una asignación de </w:t>
      </w:r>
      <w:r w:rsidRPr="009F0D77">
        <w:rPr>
          <w:b/>
          <w:bCs/>
          <w:lang w:val="es-ES_tradnl"/>
        </w:rPr>
        <w:t>1,3 millones CHF</w:t>
      </w:r>
      <w:r w:rsidRPr="009F0D77">
        <w:rPr>
          <w:lang w:val="es-ES_tradnl"/>
        </w:rPr>
        <w:t xml:space="preserve"> para apoyar la modernización del </w:t>
      </w:r>
      <w:r w:rsidRPr="009F0D77">
        <w:rPr>
          <w:i/>
          <w:iCs/>
          <w:lang w:val="es-ES_tradnl"/>
        </w:rPr>
        <w:t>software</w:t>
      </w:r>
      <w:r w:rsidRPr="009F0D77">
        <w:rPr>
          <w:lang w:val="es-ES_tradnl"/>
        </w:rPr>
        <w:t xml:space="preserve"> espacial de la BR a fin de reforzar los sistemas básicos que soportan las operaciones de notificación de redes de satélite (</w:t>
      </w:r>
      <w:proofErr w:type="spellStart"/>
      <w:r w:rsidRPr="009F0D77">
        <w:rPr>
          <w:lang w:val="es-ES_tradnl"/>
        </w:rPr>
        <w:t>SNF</w:t>
      </w:r>
      <w:proofErr w:type="spellEnd"/>
      <w:r w:rsidRPr="009F0D77">
        <w:rPr>
          <w:lang w:val="es-ES_tradnl"/>
        </w:rPr>
        <w:t xml:space="preserve">) dentro de la Oficina de Radiocomunicaciones (BR). Esta inversión formará parte de la estrategia de modernización del </w:t>
      </w:r>
      <w:r w:rsidRPr="009F0D77">
        <w:rPr>
          <w:i/>
          <w:iCs/>
          <w:lang w:val="es-ES_tradnl"/>
        </w:rPr>
        <w:t>software</w:t>
      </w:r>
      <w:r w:rsidRPr="009F0D77">
        <w:rPr>
          <w:lang w:val="es-ES_tradnl"/>
        </w:rPr>
        <w:t xml:space="preserve"> estructurado de la BR y está alineada con los objetivos más amplios de transformación digital de los servicios informáticos de la Unión.</w:t>
      </w:r>
    </w:p>
    <w:p w14:paraId="1A36AC0A" w14:textId="6A2A5762" w:rsidR="009F2D96" w:rsidRPr="009F0D77" w:rsidRDefault="009F2D96" w:rsidP="00C76623">
      <w:pPr>
        <w:jc w:val="both"/>
        <w:rPr>
          <w:lang w:val="es-ES_tradnl"/>
        </w:rPr>
      </w:pPr>
      <w:r w:rsidRPr="009F0D77">
        <w:rPr>
          <w:lang w:val="es-ES_tradnl"/>
        </w:rPr>
        <w:t>La BR ha identificado limitaciones estructurales que afectan tanto a las partes interesadas externas como a las operaciones internas. Los Estados Miembros y los operadores de satélites siguen afrontando dificultades, como los retrasos en la tramitación que rebasan los plazos reglamentarios, los riesgos reglamentarios conexos, los largos ciclos de corrección tras las notificaciones y la fragmentación de las interfaces de usuario. Internamente, la BR se enfrenta a una deuda técnica acumulada, a requisitos informáticos crecientes y a importantes riesgos institucionales relacionados con dependencias unipersonales y concentración de conocimientos especializados. Aunque el Consejo de 2025 asignó 0,5</w:t>
      </w:r>
      <w:r w:rsidR="00BF0329" w:rsidRPr="009F0D77">
        <w:rPr>
          <w:lang w:val="es-ES_tradnl"/>
        </w:rPr>
        <w:t> </w:t>
      </w:r>
      <w:r w:rsidRPr="009F0D77">
        <w:rPr>
          <w:lang w:val="es-ES_tradnl"/>
        </w:rPr>
        <w:t xml:space="preserve">millones CHF anuales de las tasas recaudadas de las </w:t>
      </w:r>
      <w:proofErr w:type="spellStart"/>
      <w:r w:rsidRPr="009F0D77">
        <w:rPr>
          <w:lang w:val="es-ES_tradnl"/>
        </w:rPr>
        <w:t>SNF</w:t>
      </w:r>
      <w:proofErr w:type="spellEnd"/>
      <w:r w:rsidRPr="009F0D77">
        <w:rPr>
          <w:lang w:val="es-ES_tradnl"/>
        </w:rPr>
        <w:t xml:space="preserve"> al Fondo de Capital de las TIC para el desarrollo del </w:t>
      </w:r>
      <w:r w:rsidRPr="009F0D77">
        <w:rPr>
          <w:i/>
          <w:iCs/>
          <w:lang w:val="es-ES_tradnl"/>
        </w:rPr>
        <w:t>software</w:t>
      </w:r>
      <w:r w:rsidRPr="009F0D77">
        <w:rPr>
          <w:lang w:val="es-ES_tradnl"/>
        </w:rPr>
        <w:t xml:space="preserve"> de la BR, dichos costes de modernización se estiman en más de 3</w:t>
      </w:r>
      <w:r w:rsidR="00BF0329" w:rsidRPr="009F0D77">
        <w:rPr>
          <w:lang w:val="es-ES_tradnl"/>
        </w:rPr>
        <w:t> </w:t>
      </w:r>
      <w:r w:rsidRPr="009F0D77">
        <w:rPr>
          <w:lang w:val="es-ES_tradnl"/>
        </w:rPr>
        <w:t>millones CHF.</w:t>
      </w:r>
    </w:p>
    <w:p w14:paraId="3E72B734" w14:textId="77777777" w:rsidR="009F2D96" w:rsidRPr="009F0D77" w:rsidRDefault="009F2D96" w:rsidP="00C76623">
      <w:pPr>
        <w:jc w:val="both"/>
        <w:rPr>
          <w:lang w:val="es-ES_tradnl"/>
        </w:rPr>
      </w:pPr>
      <w:r w:rsidRPr="009F0D77">
        <w:rPr>
          <w:lang w:val="es-ES_tradnl"/>
        </w:rPr>
        <w:t xml:space="preserve">Esta estrategia se sustenta en dos factores transversales: i) la preparación para la transición a la nube, que implica la adaptación del </w:t>
      </w:r>
      <w:r w:rsidRPr="009F0D77">
        <w:rPr>
          <w:i/>
          <w:iCs/>
          <w:lang w:val="es-ES_tradnl"/>
        </w:rPr>
        <w:t>software</w:t>
      </w:r>
      <w:r w:rsidRPr="009F0D77">
        <w:rPr>
          <w:lang w:val="es-ES_tradnl"/>
        </w:rPr>
        <w:t xml:space="preserve"> de escritorio, las aplicaciones web y las bases de datos de la BR, así como la optimización de la infraestructura para las operaciones a largo plazo; y </w:t>
      </w:r>
      <w:proofErr w:type="spellStart"/>
      <w:r w:rsidRPr="009F0D77">
        <w:rPr>
          <w:lang w:val="es-ES_tradnl"/>
        </w:rPr>
        <w:t>ii</w:t>
      </w:r>
      <w:proofErr w:type="spellEnd"/>
      <w:r w:rsidRPr="009F0D77">
        <w:rPr>
          <w:lang w:val="es-ES_tradnl"/>
        </w:rPr>
        <w:t xml:space="preserve">) la adopción estructurada de herramientas avanzadas de IA para mejorar el desarrollo de </w:t>
      </w:r>
      <w:r w:rsidRPr="009F0D77">
        <w:rPr>
          <w:i/>
          <w:iCs/>
          <w:lang w:val="es-ES_tradnl"/>
        </w:rPr>
        <w:t>software</w:t>
      </w:r>
      <w:r w:rsidRPr="009F0D77">
        <w:rPr>
          <w:lang w:val="es-ES_tradnl"/>
        </w:rPr>
        <w:t>, en general, y la modernización en particular, así como las capacidades de prueba de éste.</w:t>
      </w:r>
    </w:p>
    <w:p w14:paraId="51EB08E0" w14:textId="77777777" w:rsidR="009F2D96" w:rsidRPr="009F0D77" w:rsidRDefault="009F2D96" w:rsidP="00BF0329">
      <w:pPr>
        <w:pStyle w:val="Heading1"/>
        <w:rPr>
          <w:rFonts w:cs="Calibri"/>
          <w:lang w:val="es-ES_tradnl"/>
        </w:rPr>
      </w:pPr>
      <w:r w:rsidRPr="009F0D77">
        <w:rPr>
          <w:lang w:val="es-ES_tradnl"/>
        </w:rPr>
        <w:t>4</w:t>
      </w:r>
      <w:r w:rsidRPr="009F0D77">
        <w:rPr>
          <w:lang w:val="es-ES_tradnl"/>
        </w:rPr>
        <w:tab/>
        <w:t>Modernización de sistemas corporativos</w:t>
      </w:r>
    </w:p>
    <w:p w14:paraId="40C0620D" w14:textId="77777777" w:rsidR="009F2D96" w:rsidRPr="009F0D77" w:rsidRDefault="009F2D96" w:rsidP="00C76623">
      <w:pPr>
        <w:jc w:val="both"/>
        <w:rPr>
          <w:rFonts w:cs="Calibri"/>
          <w:lang w:val="es-ES_tradnl"/>
        </w:rPr>
      </w:pPr>
      <w:r w:rsidRPr="009F0D77">
        <w:rPr>
          <w:lang w:val="es-ES_tradnl"/>
        </w:rPr>
        <w:t xml:space="preserve">Se propone una asignación de </w:t>
      </w:r>
      <w:r w:rsidRPr="009F0D77">
        <w:rPr>
          <w:b/>
          <w:bCs/>
          <w:lang w:val="es-ES_tradnl"/>
        </w:rPr>
        <w:t>1,45 millones CHF</w:t>
      </w:r>
      <w:r w:rsidRPr="009F0D77">
        <w:rPr>
          <w:lang w:val="es-ES_tradnl"/>
        </w:rPr>
        <w:t xml:space="preserve"> para reforzar la capacidad necesaria para cumplir la agenda de transformación en curso de la UIT, en particular la implementación de sistemas empresariales importantes como SAP S/</w:t>
      </w:r>
      <w:proofErr w:type="spellStart"/>
      <w:r w:rsidRPr="009F0D77">
        <w:rPr>
          <w:lang w:val="es-ES_tradnl"/>
        </w:rPr>
        <w:t>4HANA</w:t>
      </w:r>
      <w:proofErr w:type="spellEnd"/>
      <w:r w:rsidRPr="009F0D77">
        <w:rPr>
          <w:lang w:val="es-ES_tradnl"/>
        </w:rPr>
        <w:t xml:space="preserve">, Microsoft Dynamics, </w:t>
      </w:r>
      <w:proofErr w:type="spellStart"/>
      <w:r w:rsidRPr="009F0D77">
        <w:rPr>
          <w:lang w:val="es-ES_tradnl"/>
        </w:rPr>
        <w:t>Recruitment</w:t>
      </w:r>
      <w:proofErr w:type="spellEnd"/>
      <w:r w:rsidRPr="009F0D77">
        <w:rPr>
          <w:lang w:val="es-ES_tradnl"/>
        </w:rPr>
        <w:t xml:space="preserve"> </w:t>
      </w:r>
      <w:proofErr w:type="spellStart"/>
      <w:r w:rsidRPr="009F0D77">
        <w:rPr>
          <w:lang w:val="es-ES_tradnl"/>
        </w:rPr>
        <w:t>System</w:t>
      </w:r>
      <w:proofErr w:type="spellEnd"/>
      <w:r w:rsidRPr="009F0D77">
        <w:rPr>
          <w:lang w:val="es-ES_tradnl"/>
        </w:rPr>
        <w:t xml:space="preserve"> y bases de datos en la nube, IA y datos para permitir la modernización de los sistemas del sector.</w:t>
      </w:r>
    </w:p>
    <w:p w14:paraId="2F7E5D0C" w14:textId="77777777" w:rsidR="009F2D96" w:rsidRPr="009F0D77" w:rsidRDefault="009F2D96" w:rsidP="00C76623">
      <w:pPr>
        <w:jc w:val="both"/>
        <w:rPr>
          <w:rFonts w:cs="Calibri"/>
          <w:lang w:val="es-ES_tradnl"/>
        </w:rPr>
      </w:pPr>
      <w:r w:rsidRPr="009F0D77">
        <w:rPr>
          <w:lang w:val="es-ES_tradnl"/>
        </w:rPr>
        <w:t>Estas iniciativas no sólo representan sustituciones de sistemas, sino una oportunidad estructurada para abordar estos desafíos mediante la reingeniería de los procesos institucionales, la modernización arquitectónica y el fortalecimiento de la gobernanza.</w:t>
      </w:r>
    </w:p>
    <w:p w14:paraId="1DC46469" w14:textId="77777777" w:rsidR="009F2D96" w:rsidRPr="009F0D77" w:rsidRDefault="009F2D96" w:rsidP="00C76623">
      <w:pPr>
        <w:jc w:val="both"/>
        <w:rPr>
          <w:rFonts w:cs="Calibri"/>
          <w:lang w:val="es-ES_tradnl"/>
        </w:rPr>
      </w:pPr>
      <w:r w:rsidRPr="009F0D77">
        <w:rPr>
          <w:lang w:val="es-ES_tradnl"/>
        </w:rPr>
        <w:t>La asignación propuesta, de capital por naturaleza, apoyaría:</w:t>
      </w:r>
    </w:p>
    <w:p w14:paraId="124CDBD3" w14:textId="44D90E00" w:rsidR="009F2D96" w:rsidRPr="009F0D77" w:rsidRDefault="00525436" w:rsidP="00C76623">
      <w:pPr>
        <w:pStyle w:val="enumlev1"/>
        <w:jc w:val="both"/>
        <w:rPr>
          <w:rFonts w:cs="Calibri"/>
          <w:szCs w:val="24"/>
          <w:lang w:val="es-ES_tradnl"/>
        </w:rPr>
      </w:pPr>
      <w:r w:rsidRPr="009F0D77">
        <w:rPr>
          <w:lang w:val="es-ES_tradnl"/>
        </w:rPr>
        <w:t>–</w:t>
      </w:r>
      <w:r w:rsidRPr="009F0D77">
        <w:rPr>
          <w:lang w:val="es-ES_tradnl"/>
        </w:rPr>
        <w:tab/>
      </w:r>
      <w:r w:rsidR="009F2D96" w:rsidRPr="009F0D77">
        <w:rPr>
          <w:lang w:val="es-ES_tradnl"/>
        </w:rPr>
        <w:t>la reducción de la deuda técnica y modernización de los sistemas básicos, incluidos ERP, CRM, gestión de eventos, contratación, gestión de viajes y gastos y gestión de servicios, otras plataformas digitales;</w:t>
      </w:r>
    </w:p>
    <w:p w14:paraId="2999F2AA" w14:textId="4F4766D6" w:rsidR="009F2D96" w:rsidRPr="009F0D77" w:rsidRDefault="00525436" w:rsidP="00C76623">
      <w:pPr>
        <w:pStyle w:val="enumlev1"/>
        <w:jc w:val="both"/>
        <w:rPr>
          <w:rFonts w:cs="Calibri"/>
          <w:lang w:val="es-ES_tradnl"/>
        </w:rPr>
      </w:pPr>
      <w:r w:rsidRPr="009F0D77">
        <w:rPr>
          <w:lang w:val="es-ES_tradnl"/>
        </w:rPr>
        <w:lastRenderedPageBreak/>
        <w:t>–</w:t>
      </w:r>
      <w:r w:rsidRPr="009F0D77">
        <w:rPr>
          <w:lang w:val="es-ES_tradnl"/>
        </w:rPr>
        <w:tab/>
      </w:r>
      <w:r w:rsidR="009F2D96" w:rsidRPr="009F0D77">
        <w:rPr>
          <w:lang w:val="es-ES_tradnl"/>
        </w:rPr>
        <w:t>la migración a la nube y optimización arquitectónica de sistemas críticos;</w:t>
      </w:r>
    </w:p>
    <w:p w14:paraId="11FF2267" w14:textId="01313A99" w:rsidR="009F2D96" w:rsidRPr="009F0D77" w:rsidRDefault="00525436" w:rsidP="00C76623">
      <w:pPr>
        <w:pStyle w:val="enumlev1"/>
        <w:jc w:val="both"/>
        <w:rPr>
          <w:rFonts w:cs="Calibri"/>
          <w:szCs w:val="24"/>
          <w:lang w:val="es-ES_tradnl"/>
        </w:rPr>
      </w:pPr>
      <w:r w:rsidRPr="009F0D77">
        <w:rPr>
          <w:lang w:val="es-ES_tradnl"/>
        </w:rPr>
        <w:t>–</w:t>
      </w:r>
      <w:r w:rsidRPr="009F0D77">
        <w:rPr>
          <w:lang w:val="es-ES_tradnl"/>
        </w:rPr>
        <w:tab/>
      </w:r>
      <w:r w:rsidR="009F2D96" w:rsidRPr="009F0D77">
        <w:rPr>
          <w:lang w:val="es-ES_tradnl"/>
        </w:rPr>
        <w:t>la racionalización y la automatización de procesos clave de extremo a extremo;</w:t>
      </w:r>
    </w:p>
    <w:p w14:paraId="03D77734" w14:textId="102CFCFB" w:rsidR="009F2D96" w:rsidRPr="009F0D77" w:rsidRDefault="00525436" w:rsidP="00C76623">
      <w:pPr>
        <w:pStyle w:val="enumlev1"/>
        <w:jc w:val="both"/>
        <w:rPr>
          <w:rFonts w:cs="Calibri"/>
          <w:szCs w:val="24"/>
          <w:lang w:val="es-ES_tradnl"/>
        </w:rPr>
      </w:pPr>
      <w:r w:rsidRPr="009F0D77">
        <w:rPr>
          <w:lang w:val="es-ES_tradnl"/>
        </w:rPr>
        <w:t>–</w:t>
      </w:r>
      <w:r w:rsidRPr="009F0D77">
        <w:rPr>
          <w:lang w:val="es-ES_tradnl"/>
        </w:rPr>
        <w:tab/>
      </w:r>
      <w:r w:rsidR="009F2D96" w:rsidRPr="009F0D77">
        <w:rPr>
          <w:lang w:val="es-ES_tradnl"/>
        </w:rPr>
        <w:t>la mejora de la calidad de los datos, los controles internos y la capacidad de presentación de informes</w:t>
      </w:r>
      <w:r w:rsidR="00BF0329" w:rsidRPr="009F0D77">
        <w:rPr>
          <w:lang w:val="es-ES_tradnl"/>
        </w:rPr>
        <w:t>;</w:t>
      </w:r>
    </w:p>
    <w:p w14:paraId="7C04B8B0" w14:textId="6E585153" w:rsidR="009F2D96" w:rsidRPr="009F0D77" w:rsidRDefault="00525436" w:rsidP="00C76623">
      <w:pPr>
        <w:pStyle w:val="enumlev1"/>
        <w:jc w:val="both"/>
        <w:rPr>
          <w:rFonts w:cs="Calibri"/>
          <w:lang w:val="es-ES_tradnl"/>
        </w:rPr>
      </w:pPr>
      <w:r w:rsidRPr="009F0D77">
        <w:rPr>
          <w:lang w:val="es-ES_tradnl"/>
        </w:rPr>
        <w:t>–</w:t>
      </w:r>
      <w:r w:rsidRPr="009F0D77">
        <w:rPr>
          <w:lang w:val="es-ES_tradnl"/>
        </w:rPr>
        <w:tab/>
      </w:r>
      <w:r w:rsidR="009F2D96" w:rsidRPr="009F0D77">
        <w:rPr>
          <w:lang w:val="es-ES_tradnl"/>
        </w:rPr>
        <w:t xml:space="preserve">la modernización de los métodos de trabajo, incluida la inversión de capital en </w:t>
      </w:r>
      <w:proofErr w:type="spellStart"/>
      <w:r w:rsidR="009F2D96" w:rsidRPr="009F0D77">
        <w:rPr>
          <w:lang w:val="es-ES_tradnl"/>
        </w:rPr>
        <w:t>MyWorkspace</w:t>
      </w:r>
      <w:proofErr w:type="spellEnd"/>
      <w:r w:rsidR="009F2D96" w:rsidRPr="009F0D77">
        <w:rPr>
          <w:lang w:val="es-ES_tradnl"/>
        </w:rPr>
        <w:t>;</w:t>
      </w:r>
    </w:p>
    <w:p w14:paraId="5C2E3DFC" w14:textId="409ECD05" w:rsidR="009F2D96" w:rsidRPr="009F0D77" w:rsidRDefault="00525436" w:rsidP="00C76623">
      <w:pPr>
        <w:pStyle w:val="enumlev1"/>
        <w:jc w:val="both"/>
        <w:rPr>
          <w:rFonts w:cs="Calibri"/>
          <w:lang w:val="es-ES_tradnl"/>
        </w:rPr>
      </w:pPr>
      <w:r w:rsidRPr="009F0D77">
        <w:rPr>
          <w:lang w:val="es-ES_tradnl"/>
        </w:rPr>
        <w:t>–</w:t>
      </w:r>
      <w:r w:rsidRPr="009F0D77">
        <w:rPr>
          <w:lang w:val="es-ES_tradnl"/>
        </w:rPr>
        <w:tab/>
      </w:r>
      <w:r w:rsidR="009F2D96" w:rsidRPr="009F0D77">
        <w:rPr>
          <w:lang w:val="es-ES_tradnl"/>
        </w:rPr>
        <w:t>el fortalecimiento de la gobernanza, la arquitectura empresarial y la disciplina de cartera</w:t>
      </w:r>
      <w:r w:rsidR="00BF0329" w:rsidRPr="009F0D77">
        <w:rPr>
          <w:lang w:val="es-ES_tradnl"/>
        </w:rPr>
        <w:t>,</w:t>
      </w:r>
      <w:r w:rsidR="009F2D96" w:rsidRPr="009F0D77">
        <w:rPr>
          <w:lang w:val="es-ES_tradnl"/>
        </w:rPr>
        <w:t xml:space="preserve"> y</w:t>
      </w:r>
    </w:p>
    <w:p w14:paraId="750CC4BC" w14:textId="38F3D908" w:rsidR="009F2D96" w:rsidRPr="009F0D77" w:rsidRDefault="00525436" w:rsidP="00C76623">
      <w:pPr>
        <w:pStyle w:val="enumlev1"/>
        <w:jc w:val="both"/>
        <w:rPr>
          <w:rFonts w:cs="Calibri"/>
          <w:lang w:val="es-ES_tradnl"/>
        </w:rPr>
      </w:pPr>
      <w:r w:rsidRPr="009F0D77">
        <w:rPr>
          <w:lang w:val="es-ES_tradnl"/>
        </w:rPr>
        <w:t>–</w:t>
      </w:r>
      <w:r w:rsidRPr="009F0D77">
        <w:rPr>
          <w:lang w:val="es-ES_tradnl"/>
        </w:rPr>
        <w:tab/>
      </w:r>
      <w:r w:rsidR="009F2D96" w:rsidRPr="009F0D77">
        <w:rPr>
          <w:lang w:val="es-ES_tradnl"/>
        </w:rPr>
        <w:t>el desmantelamiento de las plataformas tradicionales y reducción de las duplicaciones.</w:t>
      </w:r>
    </w:p>
    <w:p w14:paraId="05E4587C" w14:textId="77777777" w:rsidR="009F2D96" w:rsidRPr="009F0D77" w:rsidRDefault="009F2D96" w:rsidP="00C76623">
      <w:pPr>
        <w:jc w:val="both"/>
        <w:rPr>
          <w:rFonts w:cs="Calibri"/>
          <w:szCs w:val="24"/>
          <w:lang w:val="es-ES_tradnl"/>
        </w:rPr>
      </w:pPr>
      <w:r w:rsidRPr="009F0D77">
        <w:rPr>
          <w:lang w:val="es-ES_tradnl"/>
        </w:rPr>
        <w:t>Al utilizar parte del superávit de 2025 para apoyar esta labor, la UIT puede acelerar la transformación al tiempo que contiene los costes a medio y largo plazo, refuerza los controles internos y reduce los riesgos operativos, sin crear una presión estructural permanente sobre el presupuesto de referencia.</w:t>
      </w:r>
    </w:p>
    <w:p w14:paraId="24234E03" w14:textId="77777777" w:rsidR="009F2D96" w:rsidRPr="009F0D77" w:rsidRDefault="009F2D96" w:rsidP="00BF0329">
      <w:pPr>
        <w:pStyle w:val="Heading1"/>
        <w:rPr>
          <w:rFonts w:cs="Calibri"/>
          <w:lang w:val="es-ES_tradnl"/>
        </w:rPr>
      </w:pPr>
      <w:r w:rsidRPr="009F0D77">
        <w:rPr>
          <w:lang w:val="es-ES_tradnl"/>
        </w:rPr>
        <w:t>5</w:t>
      </w:r>
      <w:r w:rsidRPr="009F0D77">
        <w:rPr>
          <w:lang w:val="es-ES_tradnl"/>
        </w:rPr>
        <w:tab/>
        <w:t xml:space="preserve">Medidas de continuidad de las actividades </w:t>
      </w:r>
    </w:p>
    <w:p w14:paraId="79748F12" w14:textId="3448D382" w:rsidR="009F2D96" w:rsidRPr="009F0D77" w:rsidRDefault="009F2D96" w:rsidP="00C76623">
      <w:pPr>
        <w:jc w:val="both"/>
        <w:rPr>
          <w:rFonts w:cs="Calibri"/>
          <w:lang w:val="es-ES_tradnl"/>
        </w:rPr>
      </w:pPr>
      <w:r w:rsidRPr="009F0D77">
        <w:rPr>
          <w:lang w:val="es-ES_tradnl"/>
        </w:rPr>
        <w:t xml:space="preserve">De conformidad con el Plan de continuidad de las actividades de la fase de construcción de la Sede, se propone una asignación especial de </w:t>
      </w:r>
      <w:r w:rsidRPr="009F0D77">
        <w:rPr>
          <w:b/>
          <w:bCs/>
          <w:lang w:val="es-ES_tradnl"/>
        </w:rPr>
        <w:t>1,50 millones CHF</w:t>
      </w:r>
      <w:r w:rsidRPr="009F0D77">
        <w:rPr>
          <w:lang w:val="es-ES_tradnl"/>
        </w:rPr>
        <w:t xml:space="preserve"> para garantizar la continuidad de las operaciones de la UIT durante la fase de construcción.</w:t>
      </w:r>
    </w:p>
    <w:p w14:paraId="07A19868" w14:textId="68E6E715" w:rsidR="009F2D96" w:rsidRPr="009F0D77" w:rsidRDefault="009F2D96" w:rsidP="00C76623">
      <w:pPr>
        <w:jc w:val="both"/>
        <w:rPr>
          <w:rFonts w:cs="Calibri"/>
          <w:szCs w:val="24"/>
          <w:lang w:val="es-ES_tradnl"/>
        </w:rPr>
      </w:pPr>
      <w:r w:rsidRPr="009F0D77">
        <w:rPr>
          <w:lang w:val="es-ES_tradnl"/>
        </w:rPr>
        <w:t>El objetivo establecido en el plan de continuidad de las actividades es garantizar la continuidad de las actividades básicas de la UIT y los servicios de apoyo conexos en el emplazamiento de la Sede de Ginebra durante las actividades de construcción.</w:t>
      </w:r>
    </w:p>
    <w:p w14:paraId="5D6092CA" w14:textId="77777777" w:rsidR="009F2D96" w:rsidRPr="009F0D77" w:rsidRDefault="009F2D96" w:rsidP="00C76623">
      <w:pPr>
        <w:jc w:val="both"/>
        <w:rPr>
          <w:rFonts w:cs="Calibri"/>
          <w:lang w:val="es-ES_tradnl"/>
        </w:rPr>
      </w:pPr>
      <w:r w:rsidRPr="009F0D77">
        <w:rPr>
          <w:lang w:val="es-ES_tradnl"/>
        </w:rPr>
        <w:t>Esta atribución se refiere específicamente a las medidas de continuidad transitoria y operacional, incluidas:</w:t>
      </w:r>
    </w:p>
    <w:p w14:paraId="5CEC3462" w14:textId="5B70C91D" w:rsidR="009F2D96" w:rsidRPr="009F0D77" w:rsidRDefault="00525436" w:rsidP="00C76623">
      <w:pPr>
        <w:pStyle w:val="enumlev1"/>
        <w:jc w:val="both"/>
        <w:rPr>
          <w:rFonts w:cs="Calibri"/>
          <w:szCs w:val="24"/>
          <w:lang w:val="es-ES_tradnl"/>
        </w:rPr>
      </w:pPr>
      <w:r w:rsidRPr="009F0D77">
        <w:rPr>
          <w:lang w:val="es-ES_tradnl"/>
        </w:rPr>
        <w:t>–</w:t>
      </w:r>
      <w:r w:rsidRPr="009F0D77">
        <w:rPr>
          <w:lang w:val="es-ES_tradnl"/>
        </w:rPr>
        <w:tab/>
      </w:r>
      <w:r w:rsidR="009F2D96" w:rsidRPr="009F0D77">
        <w:rPr>
          <w:lang w:val="es-ES_tradnl"/>
        </w:rPr>
        <w:t>la reubicación y el rediseño del espacio de trabajo en los edificios de la Torre y Montbrillant de conformidad con el modelo de compartición de escritorios y optimización del espacio</w:t>
      </w:r>
      <w:r w:rsidR="00EA5034" w:rsidRPr="009F0D77">
        <w:rPr>
          <w:lang w:val="es-ES_tradnl"/>
        </w:rPr>
        <w:t>;</w:t>
      </w:r>
    </w:p>
    <w:p w14:paraId="6CA28E1B" w14:textId="1E02ED0D" w:rsidR="009F2D96" w:rsidRPr="009F0D77" w:rsidRDefault="00525436" w:rsidP="00C76623">
      <w:pPr>
        <w:pStyle w:val="enumlev1"/>
        <w:jc w:val="both"/>
        <w:rPr>
          <w:rFonts w:cs="Calibri"/>
          <w:szCs w:val="24"/>
          <w:lang w:val="es-ES_tradnl"/>
        </w:rPr>
      </w:pPr>
      <w:r w:rsidRPr="009F0D77">
        <w:rPr>
          <w:lang w:val="es-ES_tradnl"/>
        </w:rPr>
        <w:t>–</w:t>
      </w:r>
      <w:r w:rsidRPr="009F0D77">
        <w:rPr>
          <w:lang w:val="es-ES_tradnl"/>
        </w:rPr>
        <w:tab/>
      </w:r>
      <w:r w:rsidR="009F2D96" w:rsidRPr="009F0D77">
        <w:rPr>
          <w:lang w:val="es-ES_tradnl"/>
        </w:rPr>
        <w:t>la adaptación de los servicios de apoyo para mantener las operaciones esenciales del edificio, la salud y el bienestar, la seguridad y la capacidad de conferencias;</w:t>
      </w:r>
    </w:p>
    <w:p w14:paraId="3332A156" w14:textId="5ECF5303" w:rsidR="009F2D96" w:rsidRPr="009F0D77" w:rsidRDefault="00525436" w:rsidP="00C76623">
      <w:pPr>
        <w:pStyle w:val="enumlev1"/>
        <w:jc w:val="both"/>
        <w:rPr>
          <w:rFonts w:cs="Calibri"/>
          <w:lang w:val="es-ES_tradnl"/>
        </w:rPr>
      </w:pPr>
      <w:r w:rsidRPr="009F0D77">
        <w:rPr>
          <w:lang w:val="es-ES_tradnl"/>
        </w:rPr>
        <w:t>–</w:t>
      </w:r>
      <w:r w:rsidRPr="009F0D77">
        <w:rPr>
          <w:lang w:val="es-ES_tradnl"/>
        </w:rPr>
        <w:tab/>
      </w:r>
      <w:r w:rsidR="009F2D96" w:rsidRPr="009F0D77">
        <w:rPr>
          <w:lang w:val="es-ES_tradnl"/>
        </w:rPr>
        <w:t>el mantenimiento de las actividades estatutarias y operacionales básicas, incluidas las conferencias, las reuniones híbridas y las principales funciones institucionales</w:t>
      </w:r>
      <w:r w:rsidR="00EA5034" w:rsidRPr="009F0D77">
        <w:rPr>
          <w:lang w:val="es-ES_tradnl"/>
        </w:rPr>
        <w:t>,</w:t>
      </w:r>
      <w:r w:rsidR="009F2D96" w:rsidRPr="009F0D77">
        <w:rPr>
          <w:lang w:val="es-ES_tradnl"/>
        </w:rPr>
        <w:t xml:space="preserve"> y</w:t>
      </w:r>
    </w:p>
    <w:p w14:paraId="38644014" w14:textId="43F68B0B" w:rsidR="009F2D96" w:rsidRPr="009F0D77" w:rsidRDefault="00525436" w:rsidP="00C76623">
      <w:pPr>
        <w:pStyle w:val="enumlev1"/>
        <w:jc w:val="both"/>
        <w:rPr>
          <w:rFonts w:cs="Calibri"/>
          <w:szCs w:val="24"/>
          <w:lang w:val="es-ES_tradnl"/>
        </w:rPr>
      </w:pPr>
      <w:r w:rsidRPr="009F0D77">
        <w:rPr>
          <w:lang w:val="es-ES_tradnl"/>
        </w:rPr>
        <w:t>–</w:t>
      </w:r>
      <w:r w:rsidRPr="009F0D77">
        <w:rPr>
          <w:lang w:val="es-ES_tradnl"/>
        </w:rPr>
        <w:tab/>
      </w:r>
      <w:r w:rsidR="009F2D96" w:rsidRPr="009F0D77">
        <w:rPr>
          <w:lang w:val="es-ES_tradnl"/>
        </w:rPr>
        <w:t xml:space="preserve">los ajustes operacionales temporales necesarios para gestionar las perturbaciones, las limitaciones de almacenamiento y la reducción de la capacidad </w:t>
      </w:r>
      <w:r w:rsidR="009F2D96" w:rsidRPr="009F0D77">
        <w:rPr>
          <w:i/>
          <w:iCs/>
          <w:lang w:val="es-ES_tradnl"/>
        </w:rPr>
        <w:t>in situ</w:t>
      </w:r>
      <w:r w:rsidR="009F2D96" w:rsidRPr="009F0D77">
        <w:rPr>
          <w:lang w:val="es-ES_tradnl"/>
        </w:rPr>
        <w:t>.</w:t>
      </w:r>
    </w:p>
    <w:p w14:paraId="78FAFEF4" w14:textId="77777777" w:rsidR="009F2D96" w:rsidRPr="009F0D77" w:rsidRDefault="009F2D96" w:rsidP="00C76623">
      <w:pPr>
        <w:jc w:val="both"/>
        <w:rPr>
          <w:rFonts w:cs="Calibri"/>
          <w:lang w:val="es-ES_tradnl"/>
        </w:rPr>
      </w:pPr>
      <w:r w:rsidRPr="009F0D77">
        <w:rPr>
          <w:lang w:val="es-ES_tradnl"/>
        </w:rPr>
        <w:t>Los requisitos adicionales de la etapa de construcción a más largo plazo se abordarán en el marco del Plan Financiero 2028-2031.</w:t>
      </w:r>
    </w:p>
    <w:p w14:paraId="5013BF9D" w14:textId="77777777" w:rsidR="009F2D96" w:rsidRPr="009F0D77" w:rsidRDefault="009F2D96" w:rsidP="00EA5034">
      <w:pPr>
        <w:pStyle w:val="Heading1"/>
        <w:rPr>
          <w:rFonts w:cs="Calibri"/>
          <w:lang w:val="es-ES_tradnl"/>
        </w:rPr>
      </w:pPr>
      <w:r w:rsidRPr="009F0D77">
        <w:rPr>
          <w:lang w:val="es-ES_tradnl"/>
        </w:rPr>
        <w:t>6</w:t>
      </w:r>
      <w:r w:rsidRPr="009F0D77">
        <w:rPr>
          <w:lang w:val="es-ES_tradnl"/>
        </w:rPr>
        <w:tab/>
        <w:t>Iniciativas regionales</w:t>
      </w:r>
    </w:p>
    <w:p w14:paraId="20AAD64F" w14:textId="17D40E1F" w:rsidR="009F2D96" w:rsidRPr="009F0D77" w:rsidRDefault="009F2D96" w:rsidP="00C76623">
      <w:pPr>
        <w:jc w:val="both"/>
        <w:rPr>
          <w:rFonts w:cs="Calibri"/>
          <w:lang w:val="es-ES_tradnl"/>
        </w:rPr>
      </w:pPr>
      <w:r w:rsidRPr="009F0D77">
        <w:rPr>
          <w:lang w:val="es-ES_tradnl"/>
        </w:rPr>
        <w:t xml:space="preserve">De conformidad con la práctica establecida tras las Conferencias Mundiales de Desarrollo de las Telecomunicaciones, se propone asignar </w:t>
      </w:r>
      <w:r w:rsidRPr="009F0D77">
        <w:rPr>
          <w:b/>
          <w:bCs/>
          <w:lang w:val="es-ES_tradnl"/>
        </w:rPr>
        <w:t>1,3 millones CHF</w:t>
      </w:r>
      <w:r w:rsidRPr="009F0D77">
        <w:rPr>
          <w:lang w:val="es-ES_tradnl"/>
        </w:rPr>
        <w:t xml:space="preserve"> para apoyar a la Oficina de Desarrollo de las Telecomunicaciones (BDT) en la ejecución oportuna de las iniciativas regionales adoptadas en la </w:t>
      </w:r>
      <w:proofErr w:type="spellStart"/>
      <w:r w:rsidRPr="009F0D77">
        <w:rPr>
          <w:lang w:val="es-ES_tradnl"/>
        </w:rPr>
        <w:t>CMDT</w:t>
      </w:r>
      <w:proofErr w:type="spellEnd"/>
      <w:r w:rsidRPr="009F0D77">
        <w:rPr>
          <w:lang w:val="es-ES_tradnl"/>
        </w:rPr>
        <w:t xml:space="preserve">-2025. De esta cantidad, </w:t>
      </w:r>
      <w:r w:rsidRPr="009F0D77">
        <w:rPr>
          <w:b/>
          <w:bCs/>
          <w:lang w:val="es-ES_tradnl"/>
        </w:rPr>
        <w:t xml:space="preserve">500 mil CHF </w:t>
      </w:r>
      <w:r w:rsidRPr="009F0D77">
        <w:rPr>
          <w:lang w:val="es-ES_tradnl"/>
        </w:rPr>
        <w:t xml:space="preserve">se asignarán directamente a las actividades de la Oficina, mientras que </w:t>
      </w:r>
      <w:r w:rsidRPr="009F0D77">
        <w:rPr>
          <w:b/>
          <w:bCs/>
          <w:lang w:val="es-ES_tradnl"/>
        </w:rPr>
        <w:t>800 mil CHF</w:t>
      </w:r>
      <w:r w:rsidRPr="009F0D77">
        <w:rPr>
          <w:lang w:val="es-ES_tradnl"/>
        </w:rPr>
        <w:t xml:space="preserve"> se asignarán al Fondo de Desarrollo de las TIC para apoyar los proyectos de la UIT emprendidos en asociación con </w:t>
      </w:r>
      <w:r w:rsidRPr="009F0D77">
        <w:rPr>
          <w:lang w:val="es-ES_tradnl"/>
        </w:rPr>
        <w:lastRenderedPageBreak/>
        <w:t xml:space="preserve">los donantes. La BDT ha confirmado que otros requisitos de ejecución de la </w:t>
      </w:r>
      <w:proofErr w:type="spellStart"/>
      <w:r w:rsidRPr="009F0D77">
        <w:rPr>
          <w:lang w:val="es-ES_tradnl"/>
        </w:rPr>
        <w:t>CMDT</w:t>
      </w:r>
      <w:proofErr w:type="spellEnd"/>
      <w:r w:rsidR="00EA5034" w:rsidRPr="009F0D77">
        <w:rPr>
          <w:lang w:val="es-ES_tradnl"/>
        </w:rPr>
        <w:noBreakHyphen/>
      </w:r>
      <w:r w:rsidRPr="009F0D77">
        <w:rPr>
          <w:lang w:val="es-ES_tradnl"/>
        </w:rPr>
        <w:t>2025 se abordarán con las actuales asignaciones financieras.</w:t>
      </w:r>
    </w:p>
    <w:p w14:paraId="54EC5A3B" w14:textId="77777777" w:rsidR="009F2D96" w:rsidRPr="009F0D77" w:rsidRDefault="009F2D96" w:rsidP="00C76623">
      <w:pPr>
        <w:jc w:val="both"/>
        <w:rPr>
          <w:rFonts w:cs="Calibri"/>
          <w:szCs w:val="24"/>
          <w:lang w:val="es-ES_tradnl"/>
        </w:rPr>
      </w:pPr>
      <w:r w:rsidRPr="009F0D77">
        <w:rPr>
          <w:lang w:val="es-ES_tradnl"/>
        </w:rPr>
        <w:t xml:space="preserve">La </w:t>
      </w:r>
      <w:proofErr w:type="spellStart"/>
      <w:r w:rsidRPr="009F0D77">
        <w:rPr>
          <w:lang w:val="es-ES_tradnl"/>
        </w:rPr>
        <w:t>CMDT</w:t>
      </w:r>
      <w:proofErr w:type="spellEnd"/>
      <w:r w:rsidRPr="009F0D77">
        <w:rPr>
          <w:lang w:val="es-ES_tradnl"/>
        </w:rPr>
        <w:t>-2025 reafirmó la función esencial del UIT-D en el avance de la transformación digital, la expansión de la conectividad y el desarrollo de capacidades, en particular para los países en desarrollo, los países menos adelantados (</w:t>
      </w:r>
      <w:proofErr w:type="spellStart"/>
      <w:r w:rsidRPr="009F0D77">
        <w:rPr>
          <w:lang w:val="es-ES_tradnl"/>
        </w:rPr>
        <w:t>PMA</w:t>
      </w:r>
      <w:proofErr w:type="spellEnd"/>
      <w:r w:rsidRPr="009F0D77">
        <w:rPr>
          <w:lang w:val="es-ES_tradnl"/>
        </w:rPr>
        <w:t>), los pequeños Estados insulares en desarrollo (PEID) y los países en desarrollo sin litoral (</w:t>
      </w:r>
      <w:proofErr w:type="spellStart"/>
      <w:r w:rsidRPr="009F0D77">
        <w:rPr>
          <w:lang w:val="es-ES_tradnl"/>
        </w:rPr>
        <w:t>PDSL</w:t>
      </w:r>
      <w:proofErr w:type="spellEnd"/>
      <w:r w:rsidRPr="009F0D77">
        <w:rPr>
          <w:lang w:val="es-ES_tradnl"/>
        </w:rPr>
        <w:t>). La Conferencia adoptó resoluciones y resultados orientados a la acción que requieren una asistencia técnica acelerada, una mejor ejecución de programas y el fortalecimiento de los mecanismos de aplicación.</w:t>
      </w:r>
    </w:p>
    <w:p w14:paraId="0A4E78DB" w14:textId="77777777" w:rsidR="009F2D96" w:rsidRPr="009F0D77" w:rsidRDefault="009F2D96" w:rsidP="00C76623">
      <w:pPr>
        <w:jc w:val="both"/>
        <w:rPr>
          <w:rFonts w:cs="Calibri"/>
          <w:lang w:val="es-ES_tradnl"/>
        </w:rPr>
      </w:pPr>
      <w:r w:rsidRPr="009F0D77">
        <w:rPr>
          <w:lang w:val="es-ES_tradnl"/>
        </w:rPr>
        <w:t xml:space="preserve">Esta asignación ayudaría a traducir directamente las decisiones de la Conferencia en la ejecución concreta de programas, asegurando que los resultados de la </w:t>
      </w:r>
      <w:proofErr w:type="spellStart"/>
      <w:r w:rsidRPr="009F0D77">
        <w:rPr>
          <w:lang w:val="es-ES_tradnl"/>
        </w:rPr>
        <w:t>CMDT</w:t>
      </w:r>
      <w:proofErr w:type="spellEnd"/>
      <w:r w:rsidRPr="009F0D77">
        <w:rPr>
          <w:lang w:val="es-ES_tradnl"/>
        </w:rPr>
        <w:t>-2025 no se aplazaran debido a limitaciones de tiempo de recursos. Se trata de un refuerzo de la capacidad de ejecución con plazos determinados, más que de una expansión estructural del presupuesto de referencia.</w:t>
      </w:r>
    </w:p>
    <w:p w14:paraId="7F7F20DA" w14:textId="512AEBC0" w:rsidR="009F2D96" w:rsidRPr="009F0D77" w:rsidRDefault="009F2D96" w:rsidP="00EA5034">
      <w:pPr>
        <w:pStyle w:val="Heading1"/>
        <w:rPr>
          <w:rFonts w:cs="Calibri"/>
          <w:lang w:val="es-ES_tradnl"/>
        </w:rPr>
      </w:pPr>
      <w:r w:rsidRPr="009F0D77">
        <w:rPr>
          <w:lang w:val="es-ES_tradnl"/>
        </w:rPr>
        <w:t>7</w:t>
      </w:r>
      <w:r w:rsidRPr="009F0D77">
        <w:rPr>
          <w:lang w:val="es-ES_tradnl"/>
        </w:rPr>
        <w:tab/>
        <w:t>Iniciativas de IA</w:t>
      </w:r>
    </w:p>
    <w:p w14:paraId="4B1C4D58" w14:textId="6943D38A" w:rsidR="009F2D96" w:rsidRPr="009F0D77" w:rsidRDefault="009F2D96" w:rsidP="00C76623">
      <w:pPr>
        <w:jc w:val="both"/>
        <w:rPr>
          <w:rFonts w:cs="Calibri"/>
          <w:lang w:val="es-ES_tradnl"/>
        </w:rPr>
      </w:pPr>
      <w:r w:rsidRPr="009F0D77">
        <w:rPr>
          <w:lang w:val="es-ES_tradnl"/>
        </w:rPr>
        <w:t xml:space="preserve">Se propone una asignación de </w:t>
      </w:r>
      <w:r w:rsidRPr="009F0D77">
        <w:rPr>
          <w:b/>
          <w:bCs/>
          <w:lang w:val="es-ES_tradnl"/>
        </w:rPr>
        <w:t>1 millón CHF</w:t>
      </w:r>
      <w:r w:rsidRPr="009F0D77">
        <w:rPr>
          <w:lang w:val="es-ES_tradnl"/>
        </w:rPr>
        <w:t xml:space="preserve"> para apoyar los mandatos prioritarios que surjan de la </w:t>
      </w:r>
      <w:proofErr w:type="spellStart"/>
      <w:r w:rsidRPr="009F0D77">
        <w:rPr>
          <w:lang w:val="es-ES_tradnl"/>
        </w:rPr>
        <w:t>AMNT</w:t>
      </w:r>
      <w:proofErr w:type="spellEnd"/>
      <w:r w:rsidR="00EA5034" w:rsidRPr="009F0D77">
        <w:rPr>
          <w:lang w:val="es-ES_tradnl"/>
        </w:rPr>
        <w:noBreakHyphen/>
      </w:r>
      <w:r w:rsidRPr="009F0D77">
        <w:rPr>
          <w:lang w:val="es-ES_tradnl"/>
        </w:rPr>
        <w:t>24 y reforzar el liderazgo de la UIT en IA e innovación.</w:t>
      </w:r>
    </w:p>
    <w:p w14:paraId="17D01671" w14:textId="77777777" w:rsidR="009F2D96" w:rsidRPr="009F0D77" w:rsidRDefault="009F2D96" w:rsidP="00C76623">
      <w:pPr>
        <w:jc w:val="both"/>
        <w:rPr>
          <w:rFonts w:cs="Calibri"/>
          <w:lang w:val="es-ES_tradnl"/>
        </w:rPr>
      </w:pPr>
      <w:r w:rsidRPr="009F0D77">
        <w:rPr>
          <w:lang w:val="es-ES_tradnl"/>
        </w:rPr>
        <w:t>Sobre la base del Fondo para la IA, creado en 2025 a raíz de la decisión del Consejo de atribuir los recursos respectivos, esta asignación también reforzará la plataforma AI for Good de la UIT y la aplicación de otros mandatos relacionados con la IA, apoyando la ejecución de programas, las asociaciones y el diálogo técnico sobre IA ética e inclusiva. Apoya la función de convocatoria de la UIT y vincula la innovación con la elaboración de normas internacionales.</w:t>
      </w:r>
    </w:p>
    <w:p w14:paraId="24F9AEFD" w14:textId="77777777" w:rsidR="009F2D96" w:rsidRPr="009F0D77" w:rsidRDefault="009F2D96" w:rsidP="00EA5034">
      <w:pPr>
        <w:pStyle w:val="Heading1"/>
        <w:rPr>
          <w:rFonts w:cs="Calibri"/>
          <w:szCs w:val="24"/>
          <w:lang w:val="es-ES_tradnl"/>
        </w:rPr>
      </w:pPr>
      <w:r w:rsidRPr="009F0D77">
        <w:rPr>
          <w:lang w:val="es-ES_tradnl"/>
        </w:rPr>
        <w:t>8</w:t>
      </w:r>
      <w:r w:rsidRPr="009F0D77">
        <w:rPr>
          <w:lang w:val="es-ES_tradnl"/>
        </w:rPr>
        <w:tab/>
        <w:t>Transferencia a la Cuenta de Provisión de la UIT</w:t>
      </w:r>
    </w:p>
    <w:p w14:paraId="19BAF3C2" w14:textId="49A47A64" w:rsidR="009F2D96" w:rsidRPr="009F0D77" w:rsidRDefault="009F2D96" w:rsidP="00C76623">
      <w:pPr>
        <w:jc w:val="both"/>
        <w:rPr>
          <w:rFonts w:cs="Calibri"/>
          <w:lang w:val="es-ES_tradnl"/>
        </w:rPr>
      </w:pPr>
      <w:r w:rsidRPr="009F0D77">
        <w:rPr>
          <w:lang w:val="es-ES_tradnl"/>
        </w:rPr>
        <w:t xml:space="preserve">La Secretaría propone que el superávit restante de </w:t>
      </w:r>
      <w:r w:rsidRPr="009F0D77">
        <w:rPr>
          <w:b/>
          <w:bCs/>
          <w:lang w:val="es-ES_tradnl"/>
        </w:rPr>
        <w:t>0,70 CHF</w:t>
      </w:r>
      <w:r w:rsidRPr="009F0D77">
        <w:rPr>
          <w:lang w:val="es-ES_tradnl"/>
        </w:rPr>
        <w:t xml:space="preserve"> de los ahorros de 2025 se transfiera a la Cuenta de Provisión de la UIT para reforzar la resiliencia financiera de la</w:t>
      </w:r>
      <w:r w:rsidR="00EA5034" w:rsidRPr="009F0D77">
        <w:rPr>
          <w:lang w:val="es-ES_tradnl"/>
        </w:rPr>
        <w:t> </w:t>
      </w:r>
      <w:r w:rsidRPr="009F0D77">
        <w:rPr>
          <w:lang w:val="es-ES_tradnl"/>
        </w:rPr>
        <w:t>Unión.</w:t>
      </w:r>
    </w:p>
    <w:p w14:paraId="342616C5" w14:textId="77777777" w:rsidR="009F2D96" w:rsidRPr="009F0D77" w:rsidRDefault="009F2D96" w:rsidP="00C76623">
      <w:pPr>
        <w:jc w:val="both"/>
        <w:rPr>
          <w:rFonts w:cs="Calibri"/>
          <w:szCs w:val="24"/>
          <w:lang w:val="es-ES_tradnl"/>
        </w:rPr>
      </w:pPr>
      <w:r w:rsidRPr="009F0D77">
        <w:rPr>
          <w:lang w:val="es-ES_tradnl"/>
        </w:rPr>
        <w:t>El fortalecimiento de la Provisión mejorará la capacidad de la UIT para gestionar la volatilidad de los ingresos, los riesgos de ejecución y la incertidumbre económica externa, especialmente ahora que la Unión entra en el bienio 2026-2027 en un marco presupuestario restringido y se enfrenta a presiones financieras a medio plazo. El mantenimiento de reservas adecuadas es esencial para preservar la estabilidad de los programas, proteger las actividades básicas y garantizar la credibilidad institucional.</w:t>
      </w:r>
    </w:p>
    <w:p w14:paraId="3B590C21" w14:textId="77777777" w:rsidR="009F2D96" w:rsidRPr="009F0D77" w:rsidRDefault="009F2D96" w:rsidP="009F2D96">
      <w:pPr>
        <w:spacing w:before="1440" w:after="120"/>
        <w:rPr>
          <w:rFonts w:cs="Calibri"/>
          <w:b/>
          <w:bCs/>
          <w:szCs w:val="24"/>
          <w:lang w:val="es-ES_tradnl"/>
        </w:rPr>
      </w:pPr>
      <w:r w:rsidRPr="009F0D77">
        <w:rPr>
          <w:b/>
          <w:bCs/>
          <w:lang w:val="es-ES_tradnl"/>
        </w:rPr>
        <w:t xml:space="preserve">Anexo: </w:t>
      </w:r>
      <w:r w:rsidRPr="009F0D77">
        <w:rPr>
          <w:lang w:val="es-ES_tradnl"/>
        </w:rPr>
        <w:t>1</w:t>
      </w:r>
    </w:p>
    <w:p w14:paraId="623326ED" w14:textId="77777777" w:rsidR="009F2D96" w:rsidRPr="009F0D77" w:rsidRDefault="009F2D96" w:rsidP="009F2D9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09"/>
        </w:tabs>
        <w:snapToGrid w:val="0"/>
        <w:spacing w:after="120"/>
        <w:rPr>
          <w:rFonts w:eastAsia="SimSun" w:cs="Calibri"/>
          <w:b/>
          <w:szCs w:val="24"/>
          <w:lang w:val="es-ES_tradnl"/>
        </w:rPr>
      </w:pPr>
      <w:r w:rsidRPr="009F0D77">
        <w:rPr>
          <w:rFonts w:eastAsia="SimSun" w:cs="Calibri"/>
          <w:b/>
          <w:szCs w:val="24"/>
          <w:lang w:val="es-ES_tradnl"/>
        </w:rPr>
        <w:br w:type="page"/>
      </w:r>
    </w:p>
    <w:p w14:paraId="5F69433D" w14:textId="77777777" w:rsidR="009F2D96" w:rsidRPr="009F0D77" w:rsidRDefault="009F2D96" w:rsidP="00EA5034">
      <w:pPr>
        <w:pStyle w:val="AnnexNo"/>
        <w:rPr>
          <w:lang w:val="es-ES_tradnl"/>
        </w:rPr>
      </w:pPr>
      <w:bookmarkStart w:id="1" w:name="Annex"/>
      <w:r w:rsidRPr="009F0D77">
        <w:rPr>
          <w:lang w:val="es-ES_tradnl"/>
        </w:rPr>
        <w:lastRenderedPageBreak/>
        <w:t>ANEXO</w:t>
      </w:r>
      <w:bookmarkEnd w:id="1"/>
    </w:p>
    <w:p w14:paraId="64455FA3" w14:textId="77777777" w:rsidR="009F2D96" w:rsidRPr="009F0D77" w:rsidRDefault="009F2D96" w:rsidP="0041189C">
      <w:pPr>
        <w:pStyle w:val="ResNo"/>
        <w:rPr>
          <w:lang w:val="es-ES_tradnl"/>
        </w:rPr>
      </w:pPr>
      <w:r w:rsidRPr="009F0D77">
        <w:rPr>
          <w:lang w:val="es-ES_tradnl"/>
        </w:rPr>
        <w:t>PROYECTO DE NUEVA RESOLUCIÓN [...]</w:t>
      </w:r>
    </w:p>
    <w:p w14:paraId="5472E04F" w14:textId="77777777" w:rsidR="009F2D96" w:rsidRPr="009F0D77" w:rsidRDefault="009F2D96" w:rsidP="0041189C">
      <w:pPr>
        <w:pStyle w:val="Restitle"/>
        <w:rPr>
          <w:lang w:val="es-ES_tradnl"/>
        </w:rPr>
      </w:pPr>
      <w:r w:rsidRPr="009F0D77">
        <w:rPr>
          <w:lang w:val="es-ES_tradnl"/>
        </w:rPr>
        <w:t>Asignación de ahorros logrados en la ejecución del presupuesto de 2025</w:t>
      </w:r>
    </w:p>
    <w:p w14:paraId="56140659" w14:textId="77777777" w:rsidR="009F2D96" w:rsidRPr="009F0D77" w:rsidRDefault="009F2D96" w:rsidP="009F2D96">
      <w:pPr>
        <w:pStyle w:val="Normalaftertitle"/>
        <w:rPr>
          <w:lang w:val="es-ES_tradnl"/>
        </w:rPr>
      </w:pPr>
      <w:r w:rsidRPr="009F0D77">
        <w:rPr>
          <w:lang w:val="es-ES_tradnl"/>
        </w:rPr>
        <w:t>El Consejo de la UIT,</w:t>
      </w:r>
    </w:p>
    <w:p w14:paraId="59446164" w14:textId="77777777" w:rsidR="009F2D96" w:rsidRPr="009F0D77" w:rsidRDefault="009F2D96" w:rsidP="009F2D96">
      <w:pPr>
        <w:pStyle w:val="Call"/>
        <w:rPr>
          <w:lang w:val="es-ES_tradnl"/>
        </w:rPr>
      </w:pPr>
      <w:r w:rsidRPr="009F0D77">
        <w:rPr>
          <w:iCs/>
          <w:lang w:val="es-ES_tradnl"/>
        </w:rPr>
        <w:t>habiendo considerado</w:t>
      </w:r>
    </w:p>
    <w:p w14:paraId="2F592A19" w14:textId="410D4B4B" w:rsidR="009F2D96" w:rsidRPr="009F0D77" w:rsidRDefault="009F2D96" w:rsidP="00DD17E4">
      <w:pPr>
        <w:jc w:val="both"/>
        <w:rPr>
          <w:rFonts w:cs="Calibri"/>
          <w:szCs w:val="24"/>
          <w:lang w:val="es-ES_tradnl"/>
        </w:rPr>
      </w:pPr>
      <w:r w:rsidRPr="009F0D77">
        <w:rPr>
          <w:lang w:val="es-ES_tradnl"/>
        </w:rPr>
        <w:t>los ahorros logrados en la ejecución del presupuesto de 2025, que ascienden a 10,8</w:t>
      </w:r>
      <w:r w:rsidR="00EA5034" w:rsidRPr="009F0D77">
        <w:rPr>
          <w:lang w:val="es-ES_tradnl"/>
        </w:rPr>
        <w:t> </w:t>
      </w:r>
      <w:r w:rsidRPr="009F0D77">
        <w:rPr>
          <w:lang w:val="es-ES_tradnl"/>
        </w:rPr>
        <w:t>millones CHF,</w:t>
      </w:r>
    </w:p>
    <w:p w14:paraId="0AB0C2B9" w14:textId="77777777" w:rsidR="009F2D96" w:rsidRPr="009F0D77" w:rsidRDefault="009F2D96" w:rsidP="009F2D96">
      <w:pPr>
        <w:pStyle w:val="Call"/>
        <w:rPr>
          <w:lang w:val="es-ES_tradnl"/>
        </w:rPr>
      </w:pPr>
      <w:r w:rsidRPr="009F0D77">
        <w:rPr>
          <w:iCs/>
          <w:lang w:val="es-ES_tradnl"/>
        </w:rPr>
        <w:t>resuelve</w:t>
      </w:r>
    </w:p>
    <w:p w14:paraId="0317308D" w14:textId="4598AF43" w:rsidR="009F2D96" w:rsidRPr="009F0D77" w:rsidRDefault="009F2D96" w:rsidP="00DD17E4">
      <w:pPr>
        <w:jc w:val="both"/>
        <w:rPr>
          <w:lang w:val="es-ES_tradnl"/>
        </w:rPr>
      </w:pPr>
      <w:r w:rsidRPr="009F0D77">
        <w:rPr>
          <w:lang w:val="es-ES_tradnl"/>
        </w:rPr>
        <w:t>repartir los ahorros de la siguiente manera: Ceses concertados (2,5 millones</w:t>
      </w:r>
      <w:r w:rsidR="00EA5034" w:rsidRPr="009F0D77">
        <w:rPr>
          <w:lang w:val="es-ES_tradnl"/>
        </w:rPr>
        <w:t> </w:t>
      </w:r>
      <w:r w:rsidRPr="009F0D77">
        <w:rPr>
          <w:lang w:val="es-ES_tradnl"/>
        </w:rPr>
        <w:t xml:space="preserve">CHF); Abordar el retraso acumulado en las </w:t>
      </w:r>
      <w:proofErr w:type="spellStart"/>
      <w:r w:rsidRPr="009F0D77">
        <w:rPr>
          <w:lang w:val="es-ES_tradnl"/>
        </w:rPr>
        <w:t>SNF</w:t>
      </w:r>
      <w:proofErr w:type="spellEnd"/>
      <w:r w:rsidRPr="009F0D77">
        <w:rPr>
          <w:lang w:val="es-ES_tradnl"/>
        </w:rPr>
        <w:t xml:space="preserve"> (0,5 millones CHF); Sistemas básicos de </w:t>
      </w:r>
      <w:proofErr w:type="spellStart"/>
      <w:r w:rsidRPr="009F0D77">
        <w:rPr>
          <w:lang w:val="es-ES_tradnl"/>
        </w:rPr>
        <w:t>SNF</w:t>
      </w:r>
      <w:proofErr w:type="spellEnd"/>
      <w:r w:rsidRPr="009F0D77">
        <w:rPr>
          <w:lang w:val="es-ES_tradnl"/>
        </w:rPr>
        <w:t xml:space="preserve"> y capacidad de modernización (1,3 millones CHF); Modernización de los sistemas institucionales (1,45</w:t>
      </w:r>
      <w:r w:rsidR="00DD17E4" w:rsidRPr="009F0D77">
        <w:rPr>
          <w:lang w:val="es-ES_tradnl"/>
        </w:rPr>
        <w:t> </w:t>
      </w:r>
      <w:r w:rsidRPr="009F0D77">
        <w:rPr>
          <w:lang w:val="es-ES_tradnl"/>
        </w:rPr>
        <w:t>millones CHF); Medidas de continuidad de las actividades (1,5</w:t>
      </w:r>
      <w:r w:rsidR="00EA5034" w:rsidRPr="009F0D77">
        <w:rPr>
          <w:lang w:val="es-ES_tradnl"/>
        </w:rPr>
        <w:t> </w:t>
      </w:r>
      <w:r w:rsidRPr="009F0D77">
        <w:rPr>
          <w:lang w:val="es-ES_tradnl"/>
        </w:rPr>
        <w:t>millones</w:t>
      </w:r>
      <w:r w:rsidR="00EA5034" w:rsidRPr="009F0D77">
        <w:rPr>
          <w:lang w:val="es-ES_tradnl"/>
        </w:rPr>
        <w:t> </w:t>
      </w:r>
      <w:r w:rsidRPr="009F0D77">
        <w:rPr>
          <w:lang w:val="es-ES_tradnl"/>
        </w:rPr>
        <w:t>CHF); Iniciativas regionales (1,3 millones CHF); Iniciativas de IA (1</w:t>
      </w:r>
      <w:r w:rsidR="00EA5034" w:rsidRPr="009F0D77">
        <w:rPr>
          <w:lang w:val="es-ES_tradnl"/>
        </w:rPr>
        <w:t> </w:t>
      </w:r>
      <w:r w:rsidRPr="009F0D77">
        <w:rPr>
          <w:lang w:val="es-ES_tradnl"/>
        </w:rPr>
        <w:t>millón</w:t>
      </w:r>
      <w:r w:rsidR="00EA5034" w:rsidRPr="009F0D77">
        <w:rPr>
          <w:lang w:val="es-ES_tradnl"/>
        </w:rPr>
        <w:t> </w:t>
      </w:r>
      <w:r w:rsidRPr="009F0D77">
        <w:rPr>
          <w:lang w:val="es-ES_tradnl"/>
        </w:rPr>
        <w:t>CHF); Fondo para el Desarrollo de las TIC (559 800 CHF) y la transferencia a la Cuenta de Provisión de la UIT (0,70 millones CHF).</w:t>
      </w:r>
    </w:p>
    <w:p w14:paraId="1163A03C" w14:textId="77777777" w:rsidR="009F2D96" w:rsidRPr="009F0D77" w:rsidRDefault="009F2D96" w:rsidP="0032202E">
      <w:pPr>
        <w:pStyle w:val="Reasons"/>
        <w:rPr>
          <w:lang w:val="es-ES_tradnl"/>
        </w:rPr>
      </w:pPr>
    </w:p>
    <w:p w14:paraId="0087D459" w14:textId="77777777" w:rsidR="00F92BED" w:rsidRPr="009F0D77" w:rsidRDefault="00F92BED" w:rsidP="00F92BED">
      <w:pPr>
        <w:jc w:val="center"/>
        <w:rPr>
          <w:lang w:val="es-ES_tradnl"/>
        </w:rPr>
      </w:pPr>
      <w:r w:rsidRPr="009F0D77">
        <w:rPr>
          <w:lang w:val="es-ES_tradnl"/>
        </w:rPr>
        <w:t>______________</w:t>
      </w:r>
    </w:p>
    <w:sectPr w:rsidR="00F92BED" w:rsidRPr="009F0D77" w:rsidSect="00C538FC">
      <w:footerReference w:type="default" r:id="rId15"/>
      <w:headerReference w:type="first" r:id="rId16"/>
      <w:footerReference w:type="first" r:id="rId17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D4446" w14:textId="77777777" w:rsidR="009F2D96" w:rsidRDefault="009F2D96">
      <w:r>
        <w:separator/>
      </w:r>
    </w:p>
  </w:endnote>
  <w:endnote w:type="continuationSeparator" w:id="0">
    <w:p w14:paraId="17DA46F3" w14:textId="77777777" w:rsidR="009F2D96" w:rsidRDefault="009F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79C10002" w14:textId="77777777" w:rsidTr="00E31DCE">
      <w:trPr>
        <w:jc w:val="center"/>
      </w:trPr>
      <w:tc>
        <w:tcPr>
          <w:tcW w:w="1803" w:type="dxa"/>
          <w:vAlign w:val="center"/>
        </w:tcPr>
        <w:p w14:paraId="61585188" w14:textId="0DAFB103" w:rsidR="003273A4" w:rsidRDefault="002946E2" w:rsidP="003273A4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9F2D96">
            <w:rPr>
              <w:noProof/>
            </w:rPr>
            <w:t>2600512</w:t>
          </w:r>
        </w:p>
      </w:tc>
      <w:tc>
        <w:tcPr>
          <w:tcW w:w="8261" w:type="dxa"/>
        </w:tcPr>
        <w:p w14:paraId="143CC0E6" w14:textId="5355BF29" w:rsidR="003273A4" w:rsidRPr="00E06FD5" w:rsidRDefault="003273A4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9F2D96">
            <w:rPr>
              <w:bCs/>
            </w:rPr>
            <w:t>42</w:t>
          </w:r>
          <w:r w:rsidRPr="00623AE3">
            <w:rPr>
              <w:bCs/>
            </w:rPr>
            <w:t>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C2A3F5D" w14:textId="77777777" w:rsidR="00760F1C" w:rsidRPr="003273A4" w:rsidRDefault="00760F1C" w:rsidP="003273A4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5F29BCEA" w14:textId="77777777" w:rsidTr="00E31DCE">
      <w:trPr>
        <w:jc w:val="center"/>
      </w:trPr>
      <w:tc>
        <w:tcPr>
          <w:tcW w:w="1803" w:type="dxa"/>
          <w:vAlign w:val="center"/>
        </w:tcPr>
        <w:p w14:paraId="2DBA8362" w14:textId="77777777" w:rsidR="00F24B71" w:rsidRPr="002946E2" w:rsidRDefault="00F85E5C" w:rsidP="00F24B71">
          <w:pPr>
            <w:pStyle w:val="Header"/>
            <w:jc w:val="left"/>
            <w:rPr>
              <w:noProof/>
            </w:rPr>
          </w:pPr>
          <w:hyperlink r:id="rId1" w:anchor="/es" w:history="1">
            <w:r>
              <w:rPr>
                <w:rStyle w:val="Hyperlink"/>
                <w:noProof/>
              </w:rPr>
              <w:t>council.itu.int/2026</w:t>
            </w:r>
          </w:hyperlink>
          <w:r w:rsidR="002946E2" w:rsidRPr="002946E2">
            <w:rPr>
              <w:noProof/>
            </w:rPr>
            <w:t xml:space="preserve"> </w:t>
          </w:r>
        </w:p>
      </w:tc>
      <w:tc>
        <w:tcPr>
          <w:tcW w:w="8261" w:type="dxa"/>
        </w:tcPr>
        <w:p w14:paraId="674F101B" w14:textId="083DBEB3" w:rsidR="00F24B71" w:rsidRPr="00E06FD5" w:rsidRDefault="00F24B71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9F2D96">
            <w:rPr>
              <w:bCs/>
            </w:rPr>
            <w:t>42</w:t>
          </w:r>
          <w:r w:rsidRPr="00623AE3">
            <w:rPr>
              <w:bCs/>
            </w:rPr>
            <w:t>-</w:t>
          </w:r>
          <w:r w:rsidR="003273A4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F41466E" w14:textId="77777777" w:rsidR="00760F1C" w:rsidRPr="00F24B71" w:rsidRDefault="00760F1C" w:rsidP="00F2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A1539" w14:textId="77777777" w:rsidR="009F2D96" w:rsidRDefault="009F2D96">
      <w:r>
        <w:t>____________________</w:t>
      </w:r>
    </w:p>
  </w:footnote>
  <w:footnote w:type="continuationSeparator" w:id="0">
    <w:p w14:paraId="34773631" w14:textId="77777777" w:rsidR="009F2D96" w:rsidRDefault="009F2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8B59" w14:textId="77777777" w:rsidR="001559F5" w:rsidRPr="00B1560D" w:rsidRDefault="00B1560D" w:rsidP="00B1560D">
    <w:pPr>
      <w:pStyle w:val="Header"/>
    </w:pPr>
    <w:r>
      <w:rPr>
        <w:noProof/>
      </w:rPr>
      <w:drawing>
        <wp:inline distT="0" distB="0" distL="0" distR="0" wp14:anchorId="34290004" wp14:editId="23F2619C">
          <wp:extent cx="5760085" cy="840740"/>
          <wp:effectExtent l="0" t="0" r="0" b="0"/>
          <wp:docPr id="3978753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875340" name="Picture 397875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BF0"/>
    <w:multiLevelType w:val="multilevel"/>
    <w:tmpl w:val="BB2A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00FDF"/>
    <w:multiLevelType w:val="multilevel"/>
    <w:tmpl w:val="44EA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10144C"/>
    <w:multiLevelType w:val="multilevel"/>
    <w:tmpl w:val="A4A8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362404"/>
    <w:multiLevelType w:val="multilevel"/>
    <w:tmpl w:val="B62E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8942250">
    <w:abstractNumId w:val="3"/>
  </w:num>
  <w:num w:numId="2" w16cid:durableId="1158880074">
    <w:abstractNumId w:val="0"/>
  </w:num>
  <w:num w:numId="3" w16cid:durableId="717971660">
    <w:abstractNumId w:val="1"/>
  </w:num>
  <w:num w:numId="4" w16cid:durableId="708845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96"/>
    <w:rsid w:val="000007D1"/>
    <w:rsid w:val="00002CD7"/>
    <w:rsid w:val="000155C2"/>
    <w:rsid w:val="00037A4F"/>
    <w:rsid w:val="0006007D"/>
    <w:rsid w:val="00093EEB"/>
    <w:rsid w:val="000B0D00"/>
    <w:rsid w:val="000B7C15"/>
    <w:rsid w:val="000D1D0F"/>
    <w:rsid w:val="000E3F07"/>
    <w:rsid w:val="000F5290"/>
    <w:rsid w:val="000F5A95"/>
    <w:rsid w:val="0010165C"/>
    <w:rsid w:val="00123BCA"/>
    <w:rsid w:val="00146BFB"/>
    <w:rsid w:val="001559F5"/>
    <w:rsid w:val="00157AC4"/>
    <w:rsid w:val="0016169C"/>
    <w:rsid w:val="001958F5"/>
    <w:rsid w:val="001B6E2B"/>
    <w:rsid w:val="001F14A2"/>
    <w:rsid w:val="00277DEA"/>
    <w:rsid w:val="002801AA"/>
    <w:rsid w:val="002946E2"/>
    <w:rsid w:val="002C3F32"/>
    <w:rsid w:val="002C4676"/>
    <w:rsid w:val="002C70B0"/>
    <w:rsid w:val="002F3CC4"/>
    <w:rsid w:val="003032E2"/>
    <w:rsid w:val="0031300A"/>
    <w:rsid w:val="003273A4"/>
    <w:rsid w:val="0034796E"/>
    <w:rsid w:val="0041189C"/>
    <w:rsid w:val="004571B0"/>
    <w:rsid w:val="00465C35"/>
    <w:rsid w:val="004703C0"/>
    <w:rsid w:val="00473962"/>
    <w:rsid w:val="004B5D49"/>
    <w:rsid w:val="004D3A3C"/>
    <w:rsid w:val="00513630"/>
    <w:rsid w:val="00525436"/>
    <w:rsid w:val="0055669A"/>
    <w:rsid w:val="00560125"/>
    <w:rsid w:val="0058318D"/>
    <w:rsid w:val="00585553"/>
    <w:rsid w:val="005B34D9"/>
    <w:rsid w:val="005D0CCF"/>
    <w:rsid w:val="005F0915"/>
    <w:rsid w:val="005F3BCB"/>
    <w:rsid w:val="005F410F"/>
    <w:rsid w:val="0060149A"/>
    <w:rsid w:val="00601924"/>
    <w:rsid w:val="006447EA"/>
    <w:rsid w:val="0064481D"/>
    <w:rsid w:val="0064731F"/>
    <w:rsid w:val="00647B7B"/>
    <w:rsid w:val="00652AEF"/>
    <w:rsid w:val="00664572"/>
    <w:rsid w:val="00666D09"/>
    <w:rsid w:val="00670579"/>
    <w:rsid w:val="006710F6"/>
    <w:rsid w:val="00677A97"/>
    <w:rsid w:val="00685F94"/>
    <w:rsid w:val="006A158B"/>
    <w:rsid w:val="006C1B56"/>
    <w:rsid w:val="006D4761"/>
    <w:rsid w:val="00726872"/>
    <w:rsid w:val="00760F1C"/>
    <w:rsid w:val="007657F0"/>
    <w:rsid w:val="0077110E"/>
    <w:rsid w:val="0077252D"/>
    <w:rsid w:val="007955DA"/>
    <w:rsid w:val="007E5DD3"/>
    <w:rsid w:val="007F350B"/>
    <w:rsid w:val="00820BE4"/>
    <w:rsid w:val="008451E8"/>
    <w:rsid w:val="0084546D"/>
    <w:rsid w:val="008D24A2"/>
    <w:rsid w:val="008F6ABC"/>
    <w:rsid w:val="00913B9C"/>
    <w:rsid w:val="00927F93"/>
    <w:rsid w:val="00956E77"/>
    <w:rsid w:val="009A338E"/>
    <w:rsid w:val="009A76A8"/>
    <w:rsid w:val="009F0D77"/>
    <w:rsid w:val="009F2D96"/>
    <w:rsid w:val="009F4811"/>
    <w:rsid w:val="00A01F4F"/>
    <w:rsid w:val="00A109AF"/>
    <w:rsid w:val="00A94438"/>
    <w:rsid w:val="00AA390C"/>
    <w:rsid w:val="00AD5A4D"/>
    <w:rsid w:val="00AF0EAC"/>
    <w:rsid w:val="00B0200A"/>
    <w:rsid w:val="00B060DF"/>
    <w:rsid w:val="00B1560D"/>
    <w:rsid w:val="00B54F0D"/>
    <w:rsid w:val="00B574DB"/>
    <w:rsid w:val="00B826C2"/>
    <w:rsid w:val="00B8298E"/>
    <w:rsid w:val="00BB6FD8"/>
    <w:rsid w:val="00BD0723"/>
    <w:rsid w:val="00BD2518"/>
    <w:rsid w:val="00BF0329"/>
    <w:rsid w:val="00BF1D1C"/>
    <w:rsid w:val="00C20C59"/>
    <w:rsid w:val="00C2727F"/>
    <w:rsid w:val="00C4421B"/>
    <w:rsid w:val="00C538FC"/>
    <w:rsid w:val="00C55B1F"/>
    <w:rsid w:val="00C76623"/>
    <w:rsid w:val="00CF1A67"/>
    <w:rsid w:val="00D2750E"/>
    <w:rsid w:val="00D375E0"/>
    <w:rsid w:val="00D50A36"/>
    <w:rsid w:val="00D62446"/>
    <w:rsid w:val="00DA4EA2"/>
    <w:rsid w:val="00DC3D3E"/>
    <w:rsid w:val="00DD17E4"/>
    <w:rsid w:val="00DE2C90"/>
    <w:rsid w:val="00DE3B24"/>
    <w:rsid w:val="00DE7376"/>
    <w:rsid w:val="00E06947"/>
    <w:rsid w:val="00E11319"/>
    <w:rsid w:val="00E14864"/>
    <w:rsid w:val="00E21444"/>
    <w:rsid w:val="00E34072"/>
    <w:rsid w:val="00E3592D"/>
    <w:rsid w:val="00E50D76"/>
    <w:rsid w:val="00E77227"/>
    <w:rsid w:val="00E8018B"/>
    <w:rsid w:val="00E92DE8"/>
    <w:rsid w:val="00EA5034"/>
    <w:rsid w:val="00EB1212"/>
    <w:rsid w:val="00ED65AB"/>
    <w:rsid w:val="00F12850"/>
    <w:rsid w:val="00F24B71"/>
    <w:rsid w:val="00F33BF4"/>
    <w:rsid w:val="00F57DE7"/>
    <w:rsid w:val="00F7105E"/>
    <w:rsid w:val="00F75F57"/>
    <w:rsid w:val="00F82FEE"/>
    <w:rsid w:val="00F85E5C"/>
    <w:rsid w:val="00F92BED"/>
    <w:rsid w:val="00FD57D3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5AD390"/>
  <w15:docId w15:val="{EB2E52E6-82CB-4751-80F8-CF04A1B2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0F5A95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F5A95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F5A9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F5A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F5A95"/>
    <w:pPr>
      <w:outlineLvl w:val="4"/>
    </w:pPr>
  </w:style>
  <w:style w:type="paragraph" w:styleId="Heading6">
    <w:name w:val="heading 6"/>
    <w:basedOn w:val="Heading4"/>
    <w:next w:val="Normal"/>
    <w:qFormat/>
    <w:rsid w:val="000F5A95"/>
    <w:pPr>
      <w:outlineLvl w:val="5"/>
    </w:pPr>
  </w:style>
  <w:style w:type="paragraph" w:styleId="Heading7">
    <w:name w:val="heading 7"/>
    <w:basedOn w:val="Heading4"/>
    <w:next w:val="Normal"/>
    <w:qFormat/>
    <w:rsid w:val="000F5A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F5A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F5A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0F5A95"/>
  </w:style>
  <w:style w:type="paragraph" w:styleId="TOC4">
    <w:name w:val="toc 4"/>
    <w:basedOn w:val="TOC1"/>
    <w:next w:val="Normal"/>
    <w:rsid w:val="000F5A95"/>
  </w:style>
  <w:style w:type="paragraph" w:styleId="TOC3">
    <w:name w:val="toc 3"/>
    <w:basedOn w:val="TOC1"/>
    <w:next w:val="Normal"/>
    <w:rsid w:val="000F5A95"/>
  </w:style>
  <w:style w:type="paragraph" w:styleId="TOC2">
    <w:name w:val="toc 2"/>
    <w:basedOn w:val="TOC1"/>
    <w:next w:val="Normal"/>
    <w:rsid w:val="000F5A95"/>
    <w:pPr>
      <w:spacing w:before="160"/>
    </w:pPr>
  </w:style>
  <w:style w:type="paragraph" w:styleId="TOC1">
    <w:name w:val="toc 1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0F5A95"/>
  </w:style>
  <w:style w:type="paragraph" w:styleId="TOC6">
    <w:name w:val="toc 6"/>
    <w:basedOn w:val="TOC5"/>
    <w:next w:val="Normal"/>
    <w:rsid w:val="000F5A95"/>
  </w:style>
  <w:style w:type="paragraph" w:styleId="TOC5">
    <w:name w:val="toc 5"/>
    <w:basedOn w:val="TOC4"/>
    <w:next w:val="Normal"/>
    <w:rsid w:val="000F5A95"/>
    <w:rPr>
      <w:lang w:val="fr-CH"/>
    </w:rPr>
  </w:style>
  <w:style w:type="paragraph" w:styleId="Index7">
    <w:name w:val="index 7"/>
    <w:basedOn w:val="Normal"/>
    <w:next w:val="Normal"/>
    <w:rsid w:val="000F5A95"/>
    <w:pPr>
      <w:ind w:left="1698"/>
    </w:pPr>
  </w:style>
  <w:style w:type="paragraph" w:styleId="Index6">
    <w:name w:val="index 6"/>
    <w:basedOn w:val="Normal"/>
    <w:next w:val="Normal"/>
    <w:rsid w:val="000F5A95"/>
    <w:pPr>
      <w:ind w:left="1415"/>
    </w:pPr>
  </w:style>
  <w:style w:type="paragraph" w:styleId="Index5">
    <w:name w:val="index 5"/>
    <w:basedOn w:val="Normal"/>
    <w:next w:val="Normal"/>
    <w:rsid w:val="000F5A95"/>
    <w:pPr>
      <w:ind w:left="1132"/>
    </w:pPr>
  </w:style>
  <w:style w:type="paragraph" w:styleId="Index4">
    <w:name w:val="index 4"/>
    <w:basedOn w:val="Normal"/>
    <w:next w:val="Normal"/>
    <w:rsid w:val="000F5A95"/>
    <w:pPr>
      <w:ind w:left="849"/>
    </w:pPr>
  </w:style>
  <w:style w:type="paragraph" w:styleId="Index3">
    <w:name w:val="index 3"/>
    <w:basedOn w:val="Normal"/>
    <w:next w:val="Normal"/>
    <w:rsid w:val="000F5A95"/>
    <w:pPr>
      <w:ind w:left="566"/>
    </w:pPr>
  </w:style>
  <w:style w:type="paragraph" w:styleId="Index2">
    <w:name w:val="index 2"/>
    <w:basedOn w:val="Normal"/>
    <w:next w:val="Normal"/>
    <w:rsid w:val="000F5A95"/>
    <w:pPr>
      <w:ind w:left="283"/>
    </w:pPr>
  </w:style>
  <w:style w:type="paragraph" w:styleId="Index1">
    <w:name w:val="index 1"/>
    <w:basedOn w:val="Normal"/>
    <w:next w:val="Normal"/>
    <w:rsid w:val="000F5A95"/>
  </w:style>
  <w:style w:type="character" w:styleId="LineNumber">
    <w:name w:val="line number"/>
    <w:basedOn w:val="DefaultParagraphFont"/>
    <w:rsid w:val="000F5A95"/>
  </w:style>
  <w:style w:type="paragraph" w:styleId="IndexHeading">
    <w:name w:val="index heading"/>
    <w:basedOn w:val="Normal"/>
    <w:next w:val="Index1"/>
    <w:rsid w:val="000F5A95"/>
  </w:style>
  <w:style w:type="paragraph" w:styleId="Footer">
    <w:name w:val="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F5A9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0F5A95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0F5A95"/>
    <w:pPr>
      <w:ind w:left="567"/>
    </w:pPr>
  </w:style>
  <w:style w:type="paragraph" w:customStyle="1" w:styleId="AnnexNo">
    <w:name w:val="Annex_No"/>
    <w:basedOn w:val="Normal"/>
    <w:next w:val="Annexref"/>
    <w:qFormat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aftertitle"/>
    <w:qFormat/>
    <w:rsid w:val="000F5A9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F5A95"/>
    <w:pPr>
      <w:keepNext/>
      <w:keepLines/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F5A95"/>
    <w:pPr>
      <w:spacing w:before="240"/>
    </w:pPr>
  </w:style>
  <w:style w:type="paragraph" w:customStyle="1" w:styleId="AppendixNo">
    <w:name w:val="Appendix_No"/>
    <w:basedOn w:val="AnnexNo"/>
    <w:next w:val="Appendixref"/>
    <w:rsid w:val="000F5A95"/>
  </w:style>
  <w:style w:type="paragraph" w:customStyle="1" w:styleId="Appendixtitle">
    <w:name w:val="Appendix_title"/>
    <w:basedOn w:val="Annextitle"/>
    <w:next w:val="Normalaftertitle"/>
    <w:rsid w:val="000F5A95"/>
  </w:style>
  <w:style w:type="paragraph" w:customStyle="1" w:styleId="Appendixref">
    <w:name w:val="Appendix_ref"/>
    <w:basedOn w:val="Annexref"/>
    <w:next w:val="Appendixtitle"/>
    <w:rsid w:val="000F5A95"/>
  </w:style>
  <w:style w:type="paragraph" w:customStyle="1" w:styleId="enumlev1">
    <w:name w:val="enumlev1"/>
    <w:basedOn w:val="Normal"/>
    <w:rsid w:val="000F5A95"/>
    <w:pPr>
      <w:spacing w:before="80"/>
      <w:ind w:left="567" w:hanging="567"/>
    </w:pPr>
  </w:style>
  <w:style w:type="paragraph" w:customStyle="1" w:styleId="enumlev2">
    <w:name w:val="enumlev2"/>
    <w:basedOn w:val="enumlev1"/>
    <w:rsid w:val="000F5A95"/>
    <w:pPr>
      <w:ind w:left="1134"/>
    </w:pPr>
  </w:style>
  <w:style w:type="paragraph" w:customStyle="1" w:styleId="enumlev3">
    <w:name w:val="enumlev3"/>
    <w:basedOn w:val="enumlev2"/>
    <w:rsid w:val="000F5A95"/>
    <w:pPr>
      <w:ind w:left="1701"/>
    </w:pPr>
  </w:style>
  <w:style w:type="paragraph" w:customStyle="1" w:styleId="Artheading">
    <w:name w:val="Art_heading"/>
    <w:basedOn w:val="Normal"/>
    <w:next w:val="Normalaftertitle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qFormat/>
    <w:rsid w:val="000F5A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F5A95"/>
  </w:style>
  <w:style w:type="paragraph" w:customStyle="1" w:styleId="Chaptitle">
    <w:name w:val="Chap_title"/>
    <w:basedOn w:val="Arttitle"/>
    <w:next w:val="Normalaftertitle"/>
    <w:rsid w:val="000F5A95"/>
  </w:style>
  <w:style w:type="paragraph" w:customStyle="1" w:styleId="Equationlegend">
    <w:name w:val="Equation_legend"/>
    <w:basedOn w:val="NormalIndent"/>
    <w:rsid w:val="000F5A95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rsid w:val="000F5A95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0F5A95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0F5A95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next w:val="Normal"/>
    <w:rsid w:val="000F5A95"/>
    <w:pPr>
      <w:spacing w:before="20" w:after="240"/>
    </w:pPr>
    <w:rPr>
      <w:sz w:val="18"/>
    </w:rPr>
  </w:style>
  <w:style w:type="paragraph" w:customStyle="1" w:styleId="Equation">
    <w:name w:val="Equation"/>
    <w:basedOn w:val="Normal"/>
    <w:rsid w:val="000F5A95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0F5A95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0F5A95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0F5A95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"/>
    <w:rsid w:val="000F5A95"/>
  </w:style>
  <w:style w:type="character" w:styleId="PageNumber">
    <w:name w:val="page number"/>
    <w:basedOn w:val="DefaultParagraphFont"/>
    <w:rsid w:val="000F5A95"/>
    <w:rPr>
      <w:rFonts w:ascii="Calibri" w:hAnsi="Calibri"/>
    </w:rPr>
  </w:style>
  <w:style w:type="paragraph" w:customStyle="1" w:styleId="meeting">
    <w:name w:val="meeting"/>
    <w:basedOn w:val="Head"/>
    <w:next w:val="Head"/>
    <w:rsid w:val="000F5A95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0F5A95"/>
  </w:style>
  <w:style w:type="paragraph" w:customStyle="1" w:styleId="Parttitle">
    <w:name w:val="Part_title"/>
    <w:basedOn w:val="Annextitle"/>
    <w:next w:val="Partref"/>
    <w:rsid w:val="000F5A95"/>
  </w:style>
  <w:style w:type="paragraph" w:customStyle="1" w:styleId="Partref">
    <w:name w:val="Part_ref"/>
    <w:basedOn w:val="Annexref"/>
    <w:next w:val="Normalaftertitle"/>
    <w:rsid w:val="000F5A95"/>
  </w:style>
  <w:style w:type="paragraph" w:customStyle="1" w:styleId="Headingb">
    <w:name w:val="Heading_b"/>
    <w:basedOn w:val="Heading3"/>
    <w:next w:val="Normal"/>
    <w:rsid w:val="000F5A95"/>
    <w:pPr>
      <w:spacing w:before="160"/>
      <w:ind w:left="0" w:firstLine="0"/>
      <w:outlineLvl w:val="0"/>
    </w:pPr>
  </w:style>
  <w:style w:type="paragraph" w:customStyle="1" w:styleId="Subject">
    <w:name w:val="Subject"/>
    <w:basedOn w:val="Normal"/>
    <w:next w:val="Source"/>
    <w:rsid w:val="000F5A95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DD17E4"/>
    <w:pPr>
      <w:framePr w:hSpace="181" w:wrap="around" w:vAnchor="page" w:hAnchor="page" w:x="1589" w:y="2314"/>
      <w:spacing w:before="840"/>
    </w:pPr>
    <w:rPr>
      <w:rFonts w:cstheme="minorHAnsi"/>
      <w:b/>
      <w:sz w:val="32"/>
      <w:szCs w:val="34"/>
      <w:lang w:val="es-ES"/>
    </w:rPr>
  </w:style>
  <w:style w:type="paragraph" w:customStyle="1" w:styleId="Data">
    <w:name w:val="Data"/>
    <w:basedOn w:val="Subject"/>
    <w:next w:val="Subject"/>
    <w:rsid w:val="000F5A95"/>
  </w:style>
  <w:style w:type="character" w:styleId="Hyperlink">
    <w:name w:val="Hyperlink"/>
    <w:basedOn w:val="DefaultParagraphFont"/>
    <w:rsid w:val="000F5A95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0F5A95"/>
    <w:rPr>
      <w:color w:val="800080"/>
      <w:u w:val="single"/>
    </w:rPr>
  </w:style>
  <w:style w:type="paragraph" w:customStyle="1" w:styleId="FirstFooter">
    <w:name w:val="FirstFooter"/>
    <w:basedOn w:val="Footer"/>
    <w:rsid w:val="000F5A95"/>
    <w:rPr>
      <w:caps w:val="0"/>
    </w:rPr>
  </w:style>
  <w:style w:type="paragraph" w:customStyle="1" w:styleId="Note">
    <w:name w:val="Note"/>
    <w:basedOn w:val="Normal"/>
    <w:rsid w:val="000F5A95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0F5A95"/>
    <w:pPr>
      <w:spacing w:before="160"/>
      <w:ind w:left="0" w:firstLine="0"/>
      <w:outlineLvl w:val="0"/>
    </w:pPr>
    <w:rPr>
      <w:b w:val="0"/>
      <w:i/>
    </w:rPr>
  </w:style>
  <w:style w:type="paragraph" w:customStyle="1" w:styleId="Title1">
    <w:name w:val="Title 1"/>
    <w:basedOn w:val="Normal"/>
    <w:next w:val="Normalaftertitle"/>
    <w:rsid w:val="000F5A95"/>
    <w:pPr>
      <w:spacing w:before="360"/>
      <w:jc w:val="center"/>
    </w:pPr>
    <w:rPr>
      <w:caps/>
    </w:rPr>
  </w:style>
  <w:style w:type="paragraph" w:customStyle="1" w:styleId="Title2">
    <w:name w:val="Title 2"/>
    <w:basedOn w:val="Title1"/>
    <w:next w:val="Normalaftertitle"/>
    <w:rsid w:val="000F5A95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0F5A95"/>
    <w:rPr>
      <w:b w:val="0"/>
      <w:caps/>
    </w:rPr>
  </w:style>
  <w:style w:type="paragraph" w:customStyle="1" w:styleId="Title4">
    <w:name w:val="Title 4"/>
    <w:basedOn w:val="Annextitle"/>
    <w:next w:val="Normal"/>
    <w:rsid w:val="000F5A95"/>
    <w:pPr>
      <w:spacing w:after="120"/>
    </w:pPr>
    <w:rPr>
      <w:b w:val="0"/>
    </w:rPr>
  </w:style>
  <w:style w:type="paragraph" w:customStyle="1" w:styleId="dnum">
    <w:name w:val="dnum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F5A95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0F5A95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0F5A95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0F5A95"/>
  </w:style>
  <w:style w:type="paragraph" w:customStyle="1" w:styleId="QuestionNo">
    <w:name w:val="Question_No"/>
    <w:basedOn w:val="RecNo"/>
    <w:next w:val="Questiontitle"/>
    <w:rsid w:val="000F5A95"/>
  </w:style>
  <w:style w:type="paragraph" w:customStyle="1" w:styleId="Questiontitle">
    <w:name w:val="Question_title"/>
    <w:basedOn w:val="Rectitle"/>
    <w:next w:val="Questionref"/>
    <w:rsid w:val="000F5A95"/>
  </w:style>
  <w:style w:type="paragraph" w:customStyle="1" w:styleId="Questionref">
    <w:name w:val="Question_ref"/>
    <w:basedOn w:val="Recref"/>
    <w:next w:val="Questiondate"/>
    <w:rsid w:val="000F5A95"/>
  </w:style>
  <w:style w:type="paragraph" w:customStyle="1" w:styleId="Reftext">
    <w:name w:val="Ref_text"/>
    <w:basedOn w:val="Normal"/>
    <w:rsid w:val="000F5A95"/>
    <w:pPr>
      <w:ind w:left="567" w:hanging="567"/>
    </w:pPr>
  </w:style>
  <w:style w:type="paragraph" w:customStyle="1" w:styleId="Reftitle">
    <w:name w:val="Ref_title"/>
    <w:basedOn w:val="Normal"/>
    <w:next w:val="Reftext"/>
    <w:rsid w:val="000F5A9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0F5A95"/>
  </w:style>
  <w:style w:type="paragraph" w:customStyle="1" w:styleId="RepNo">
    <w:name w:val="Rep_No"/>
    <w:basedOn w:val="RecNo"/>
    <w:next w:val="Reptitle"/>
    <w:rsid w:val="000F5A95"/>
  </w:style>
  <w:style w:type="paragraph" w:customStyle="1" w:styleId="Reptitle">
    <w:name w:val="Rep_title"/>
    <w:basedOn w:val="Rectitle"/>
    <w:next w:val="Repref"/>
    <w:rsid w:val="000F5A95"/>
  </w:style>
  <w:style w:type="paragraph" w:customStyle="1" w:styleId="Repref">
    <w:name w:val="Rep_ref"/>
    <w:basedOn w:val="Recref"/>
    <w:next w:val="Repdate"/>
    <w:rsid w:val="000F5A95"/>
  </w:style>
  <w:style w:type="paragraph" w:customStyle="1" w:styleId="Resdate">
    <w:name w:val="Res_date"/>
    <w:basedOn w:val="Recdate"/>
    <w:next w:val="Normalaftertitle"/>
    <w:rsid w:val="000F5A95"/>
  </w:style>
  <w:style w:type="paragraph" w:customStyle="1" w:styleId="ResNo">
    <w:name w:val="Res_No"/>
    <w:basedOn w:val="AnnexNo"/>
    <w:next w:val="Restitle"/>
    <w:rsid w:val="000F5A95"/>
  </w:style>
  <w:style w:type="paragraph" w:customStyle="1" w:styleId="Restitle">
    <w:name w:val="Res_title"/>
    <w:basedOn w:val="Annextitle"/>
    <w:next w:val="Normal"/>
    <w:rsid w:val="000F5A95"/>
  </w:style>
  <w:style w:type="paragraph" w:customStyle="1" w:styleId="Resref">
    <w:name w:val="Res_ref"/>
    <w:basedOn w:val="Recref"/>
    <w:next w:val="Resdate"/>
    <w:rsid w:val="000F5A95"/>
  </w:style>
  <w:style w:type="paragraph" w:customStyle="1" w:styleId="SectionNo">
    <w:name w:val="Section_No"/>
    <w:basedOn w:val="AnnexNo"/>
    <w:next w:val="Sectiontitle"/>
    <w:rsid w:val="000F5A95"/>
  </w:style>
  <w:style w:type="paragraph" w:customStyle="1" w:styleId="Sectiontitle">
    <w:name w:val="Section_title"/>
    <w:basedOn w:val="Normal"/>
    <w:next w:val="Normalaftertitle"/>
    <w:rsid w:val="000F5A95"/>
    <w:rPr>
      <w:sz w:val="28"/>
    </w:rPr>
  </w:style>
  <w:style w:type="paragraph" w:customStyle="1" w:styleId="SpecialFooter">
    <w:name w:val="Special Footer"/>
    <w:basedOn w:val="Footer"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F5A95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0F5A95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0F5A95"/>
    <w:pPr>
      <w:keepNext/>
      <w:keepLines/>
      <w:jc w:val="center"/>
    </w:pPr>
    <w:rPr>
      <w:sz w:val="20"/>
    </w:rPr>
  </w:style>
  <w:style w:type="paragraph" w:customStyle="1" w:styleId="Reasons">
    <w:name w:val="Reasons"/>
    <w:basedOn w:val="Normal"/>
    <w:qFormat/>
    <w:rsid w:val="000F5A95"/>
  </w:style>
  <w:style w:type="paragraph" w:customStyle="1" w:styleId="FigureNo">
    <w:name w:val="Figure_No"/>
    <w:basedOn w:val="Normal"/>
    <w:next w:val="Figur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Normal"/>
    <w:qFormat/>
    <w:rsid w:val="000F5A95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F5A95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0F5A9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5A95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paragraph" w:customStyle="1" w:styleId="firstfooter0">
    <w:name w:val="first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Object">
    <w:name w:val="Object"/>
    <w:basedOn w:val="Subject"/>
    <w:next w:val="Subject"/>
    <w:rsid w:val="000F5A95"/>
  </w:style>
  <w:style w:type="paragraph" w:customStyle="1" w:styleId="Referencetext">
    <w:name w:val="Reference_text"/>
    <w:basedOn w:val="Normal"/>
    <w:rsid w:val="000F5A95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  <w:style w:type="paragraph" w:styleId="Revision">
    <w:name w:val="Revision"/>
    <w:hidden/>
    <w:uiPriority w:val="99"/>
    <w:semiHidden/>
    <w:rsid w:val="00123BCA"/>
    <w:rPr>
      <w:rFonts w:ascii="Calibri" w:hAnsi="Calibri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/RES-011-E.pdf" TargetMode="External"/><Relationship Id="rId13" Type="http://schemas.openxmlformats.org/officeDocument/2006/relationships/hyperlink" Target="https://www.itu.int/md/S26-CL-C-0034/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tu.int/en/council/Documents/basic-texts/DEC-005-E.pdf" TargetMode="External"/><Relationship Id="rId12" Type="http://schemas.openxmlformats.org/officeDocument/2006/relationships/hyperlink" Target="https://www.itu.int/md/S24-CL-C-0034/e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4-CL-C-0019/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itu.int/md/S11-CL-C-0106/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council/index97/1997/131/131.html" TargetMode="External"/><Relationship Id="rId14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GS\PS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PS_Council26.dotx</Template>
  <TotalTime>21</TotalTime>
  <Pages>7</Pages>
  <Words>2271</Words>
  <Characters>13106</Characters>
  <Application>Microsoft Office Word</Application>
  <DocSecurity>0</DocSecurity>
  <Lines>1191</Lines>
  <Paragraphs>904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>Asignación de los ahorros logrados en la ejecución del presupuesto de 2025</vt:lpstr>
    </vt:vector>
  </TitlesOfParts>
  <Manager>Secretaría General - Pool</Manager>
  <Company>International Telecommunication Union</Company>
  <LinksUpToDate>false</LinksUpToDate>
  <CharactersWithSpaces>14473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Asignación de los ahorros logrados en la ejecución del presupuesto de 2025</dc:title>
  <dc:subject>Consejo 2026 de la UIT</dc:subject>
  <cp:keywords>C26; C2026; Council 2026; PP26</cp:keywords>
  <dc:description/>
  <cp:lastPrinted>2006-03-24T09:51:00Z</cp:lastPrinted>
  <dcterms:created xsi:type="dcterms:W3CDTF">2026-03-23T15:31:00Z</dcterms:created>
  <dcterms:modified xsi:type="dcterms:W3CDTF">2026-03-23T16:15:00Z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