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13E5E" w14:paraId="1CFBEAC4" w14:textId="77777777" w:rsidTr="00796BDB">
        <w:trPr>
          <w:cantSplit/>
          <w:trHeight w:val="23"/>
        </w:trPr>
        <w:tc>
          <w:tcPr>
            <w:tcW w:w="3969" w:type="dxa"/>
            <w:vMerge w:val="restart"/>
            <w:tcMar>
              <w:left w:w="0" w:type="dxa"/>
            </w:tcMar>
          </w:tcPr>
          <w:p w14:paraId="12355BD2" w14:textId="5BC0B688" w:rsidR="00D72F49" w:rsidRPr="00E85629" w:rsidRDefault="00D72F49" w:rsidP="00796BDB">
            <w:pPr>
              <w:tabs>
                <w:tab w:val="left" w:pos="851"/>
              </w:tabs>
              <w:spacing w:before="0" w:line="240" w:lineRule="atLeast"/>
              <w:rPr>
                <w:b/>
              </w:rPr>
            </w:pPr>
            <w:r w:rsidRPr="00573353">
              <w:rPr>
                <w:b/>
              </w:rPr>
              <w:t xml:space="preserve">Point de l'ordre du </w:t>
            </w:r>
            <w:proofErr w:type="gramStart"/>
            <w:r w:rsidRPr="00573353">
              <w:rPr>
                <w:b/>
              </w:rPr>
              <w:t>jour:</w:t>
            </w:r>
            <w:proofErr w:type="gramEnd"/>
            <w:r w:rsidR="00573353">
              <w:rPr>
                <w:b/>
              </w:rPr>
              <w:t xml:space="preserve"> ADM 1</w:t>
            </w:r>
          </w:p>
        </w:tc>
        <w:tc>
          <w:tcPr>
            <w:tcW w:w="5245" w:type="dxa"/>
          </w:tcPr>
          <w:p w14:paraId="24103632" w14:textId="06E11FCF" w:rsidR="00D72F49" w:rsidRPr="00E85629" w:rsidRDefault="00D72F49" w:rsidP="00796BDB">
            <w:pPr>
              <w:tabs>
                <w:tab w:val="left" w:pos="851"/>
              </w:tabs>
              <w:spacing w:before="0" w:line="240" w:lineRule="atLeast"/>
              <w:jc w:val="right"/>
              <w:rPr>
                <w:b/>
              </w:rPr>
            </w:pPr>
            <w:r>
              <w:rPr>
                <w:b/>
              </w:rPr>
              <w:t xml:space="preserve">Document </w:t>
            </w:r>
            <w:proofErr w:type="spellStart"/>
            <w:r>
              <w:rPr>
                <w:b/>
              </w:rPr>
              <w:t>C2</w:t>
            </w:r>
            <w:r w:rsidR="00E4448E">
              <w:rPr>
                <w:b/>
              </w:rPr>
              <w:t>6</w:t>
            </w:r>
            <w:proofErr w:type="spellEnd"/>
            <w:r>
              <w:rPr>
                <w:b/>
              </w:rPr>
              <w:t>/</w:t>
            </w:r>
            <w:r w:rsidR="00631C31">
              <w:rPr>
                <w:b/>
              </w:rPr>
              <w:t>42</w:t>
            </w:r>
            <w:r>
              <w:rPr>
                <w:b/>
              </w:rPr>
              <w:t>-F</w:t>
            </w:r>
          </w:p>
        </w:tc>
      </w:tr>
      <w:tr w:rsidR="00D72F49" w:rsidRPr="00C049D7" w14:paraId="1F65D335" w14:textId="77777777" w:rsidTr="00796BDB">
        <w:trPr>
          <w:cantSplit/>
        </w:trPr>
        <w:tc>
          <w:tcPr>
            <w:tcW w:w="3969" w:type="dxa"/>
            <w:vMerge/>
          </w:tcPr>
          <w:p w14:paraId="076A2970" w14:textId="77777777" w:rsidR="00D72F49" w:rsidRPr="00813E5E" w:rsidRDefault="00D72F49" w:rsidP="00796BDB">
            <w:pPr>
              <w:tabs>
                <w:tab w:val="left" w:pos="851"/>
              </w:tabs>
              <w:spacing w:line="240" w:lineRule="atLeast"/>
              <w:rPr>
                <w:b/>
              </w:rPr>
            </w:pPr>
          </w:p>
        </w:tc>
        <w:tc>
          <w:tcPr>
            <w:tcW w:w="5245" w:type="dxa"/>
          </w:tcPr>
          <w:p w14:paraId="0EC46510" w14:textId="74F926F2" w:rsidR="00D72F49" w:rsidRPr="00FC6D7D" w:rsidRDefault="00631C31" w:rsidP="00796BDB">
            <w:pPr>
              <w:tabs>
                <w:tab w:val="left" w:pos="851"/>
              </w:tabs>
              <w:spacing w:before="0"/>
              <w:jc w:val="right"/>
              <w:rPr>
                <w:b/>
                <w:lang w:val="en-GB"/>
              </w:rPr>
            </w:pPr>
            <w:r>
              <w:rPr>
                <w:b/>
              </w:rPr>
              <w:t>3 mars 2026</w:t>
            </w:r>
          </w:p>
        </w:tc>
      </w:tr>
      <w:tr w:rsidR="00D72F49" w:rsidRPr="00813E5E" w14:paraId="34AB472D" w14:textId="77777777" w:rsidTr="00796BDB">
        <w:trPr>
          <w:cantSplit/>
          <w:trHeight w:val="23"/>
        </w:trPr>
        <w:tc>
          <w:tcPr>
            <w:tcW w:w="3969" w:type="dxa"/>
            <w:vMerge/>
          </w:tcPr>
          <w:p w14:paraId="20645B2B" w14:textId="77777777" w:rsidR="00D72F49" w:rsidRPr="00FC6D7D" w:rsidRDefault="00D72F49" w:rsidP="00796BDB">
            <w:pPr>
              <w:tabs>
                <w:tab w:val="left" w:pos="851"/>
              </w:tabs>
              <w:spacing w:line="240" w:lineRule="atLeast"/>
              <w:rPr>
                <w:b/>
                <w:lang w:val="en-GB"/>
              </w:rPr>
            </w:pPr>
          </w:p>
        </w:tc>
        <w:tc>
          <w:tcPr>
            <w:tcW w:w="5245" w:type="dxa"/>
          </w:tcPr>
          <w:p w14:paraId="450A3BF7" w14:textId="77777777" w:rsidR="00D72F49" w:rsidRPr="00E85629" w:rsidRDefault="00D72F49" w:rsidP="00796BDB">
            <w:pPr>
              <w:tabs>
                <w:tab w:val="left" w:pos="851"/>
              </w:tabs>
              <w:spacing w:before="0" w:line="240" w:lineRule="atLeast"/>
              <w:jc w:val="right"/>
              <w:rPr>
                <w:b/>
              </w:rPr>
            </w:pPr>
            <w:proofErr w:type="gramStart"/>
            <w:r w:rsidRPr="00122CE1">
              <w:rPr>
                <w:b/>
                <w:lang w:val="fr-CH"/>
              </w:rPr>
              <w:t>Original:</w:t>
            </w:r>
            <w:proofErr w:type="gramEnd"/>
            <w:r w:rsidRPr="00122CE1">
              <w:rPr>
                <w:b/>
                <w:lang w:val="fr-CH"/>
              </w:rPr>
              <w:t xml:space="preserve"> anglais</w:t>
            </w:r>
          </w:p>
        </w:tc>
      </w:tr>
      <w:tr w:rsidR="00D72F49" w:rsidRPr="00813E5E" w14:paraId="38373BDA" w14:textId="77777777" w:rsidTr="00796BDB">
        <w:trPr>
          <w:cantSplit/>
          <w:trHeight w:val="23"/>
        </w:trPr>
        <w:tc>
          <w:tcPr>
            <w:tcW w:w="3969" w:type="dxa"/>
          </w:tcPr>
          <w:p w14:paraId="29D65806" w14:textId="77777777" w:rsidR="00D72F49" w:rsidRPr="00813E5E" w:rsidRDefault="00D72F49" w:rsidP="00796BDB">
            <w:pPr>
              <w:tabs>
                <w:tab w:val="left" w:pos="851"/>
              </w:tabs>
              <w:spacing w:line="240" w:lineRule="atLeast"/>
              <w:rPr>
                <w:b/>
              </w:rPr>
            </w:pPr>
          </w:p>
        </w:tc>
        <w:tc>
          <w:tcPr>
            <w:tcW w:w="5245" w:type="dxa"/>
          </w:tcPr>
          <w:p w14:paraId="1EFBAD62" w14:textId="77777777" w:rsidR="00D72F49" w:rsidRDefault="00D72F49" w:rsidP="00796BDB">
            <w:pPr>
              <w:tabs>
                <w:tab w:val="left" w:pos="851"/>
              </w:tabs>
              <w:spacing w:before="0" w:line="240" w:lineRule="atLeast"/>
              <w:jc w:val="right"/>
              <w:rPr>
                <w:b/>
              </w:rPr>
            </w:pPr>
          </w:p>
        </w:tc>
      </w:tr>
      <w:tr w:rsidR="00D72F49" w:rsidRPr="00122CE1" w14:paraId="2CA63EE8" w14:textId="77777777" w:rsidTr="00796BDB">
        <w:trPr>
          <w:cantSplit/>
        </w:trPr>
        <w:tc>
          <w:tcPr>
            <w:tcW w:w="9214" w:type="dxa"/>
            <w:gridSpan w:val="2"/>
            <w:tcMar>
              <w:left w:w="0" w:type="dxa"/>
            </w:tcMar>
          </w:tcPr>
          <w:p w14:paraId="39FFFD53" w14:textId="77777777" w:rsidR="00D72F49" w:rsidRPr="00C42437" w:rsidRDefault="00D72F49" w:rsidP="00E21AE2">
            <w:pPr>
              <w:pStyle w:val="Source"/>
              <w:framePr w:hSpace="0" w:wrap="auto" w:vAnchor="margin" w:hAnchor="text" w:xAlign="left" w:yAlign="inline"/>
              <w:rPr>
                <w:lang w:val="fr-CH"/>
              </w:rPr>
            </w:pPr>
            <w:r w:rsidRPr="00D72F49">
              <w:t xml:space="preserve">Rapport </w:t>
            </w:r>
            <w:r w:rsidR="00E95647">
              <w:t xml:space="preserve">de la </w:t>
            </w:r>
            <w:r w:rsidRPr="00E21AE2">
              <w:t>Secrétaire</w:t>
            </w:r>
            <w:r w:rsidRPr="00D72F49">
              <w:t xml:space="preserve"> général</w:t>
            </w:r>
            <w:r w:rsidR="00E95647">
              <w:t>e</w:t>
            </w:r>
          </w:p>
        </w:tc>
      </w:tr>
      <w:tr w:rsidR="00D72F49" w:rsidRPr="00813E5E" w14:paraId="1735E0EC" w14:textId="77777777" w:rsidTr="00796BDB">
        <w:trPr>
          <w:cantSplit/>
        </w:trPr>
        <w:tc>
          <w:tcPr>
            <w:tcW w:w="9214" w:type="dxa"/>
            <w:gridSpan w:val="2"/>
            <w:tcMar>
              <w:left w:w="0" w:type="dxa"/>
            </w:tcMar>
          </w:tcPr>
          <w:p w14:paraId="00C81763" w14:textId="63FF6C3C" w:rsidR="00D72F49" w:rsidRPr="00631C31" w:rsidRDefault="00420854" w:rsidP="00796BDB">
            <w:pPr>
              <w:pStyle w:val="Subtitle"/>
              <w:framePr w:hSpace="0" w:wrap="auto" w:hAnchor="text" w:xAlign="left" w:yAlign="inline"/>
              <w:rPr>
                <w:sz w:val="32"/>
                <w:szCs w:val="32"/>
                <w:lang w:val="fr-FR"/>
              </w:rPr>
            </w:pPr>
            <w:r w:rsidRPr="00631C31">
              <w:rPr>
                <w:rFonts w:cstheme="minorHAnsi"/>
                <w:sz w:val="32"/>
                <w:szCs w:val="32"/>
                <w:lang w:val="fr-FR"/>
              </w:rPr>
              <w:t>AFFECTATION DES ÉCONOMIES RÉALISÉES DANS LE CADRE DE L'EXÉCUTION DU BUDGET POUR 2025</w:t>
            </w:r>
          </w:p>
        </w:tc>
      </w:tr>
      <w:tr w:rsidR="00D72F49" w:rsidRPr="00813E5E" w14:paraId="7A3C35FF" w14:textId="77777777" w:rsidTr="00796BDB">
        <w:trPr>
          <w:cantSplit/>
        </w:trPr>
        <w:tc>
          <w:tcPr>
            <w:tcW w:w="9214" w:type="dxa"/>
            <w:gridSpan w:val="2"/>
            <w:tcBorders>
              <w:top w:val="single" w:sz="4" w:space="0" w:color="auto"/>
              <w:bottom w:val="single" w:sz="4" w:space="0" w:color="auto"/>
            </w:tcBorders>
            <w:tcMar>
              <w:left w:w="0" w:type="dxa"/>
            </w:tcMar>
          </w:tcPr>
          <w:p w14:paraId="09027ACE" w14:textId="77777777" w:rsidR="00D72F49" w:rsidRPr="0099485B" w:rsidRDefault="00F37FE5" w:rsidP="00796BDB">
            <w:pPr>
              <w:spacing w:before="160"/>
              <w:rPr>
                <w:b/>
                <w:bCs/>
                <w:sz w:val="26"/>
                <w:szCs w:val="26"/>
                <w:lang w:val="fr-CH"/>
              </w:rPr>
            </w:pPr>
            <w:r>
              <w:rPr>
                <w:b/>
                <w:bCs/>
                <w:sz w:val="26"/>
                <w:szCs w:val="26"/>
                <w:lang w:val="fr-CH"/>
              </w:rPr>
              <w:t>Objet</w:t>
            </w:r>
          </w:p>
          <w:p w14:paraId="7789CE87" w14:textId="3332926F" w:rsidR="00631C31" w:rsidRPr="00631C31" w:rsidRDefault="00631C31" w:rsidP="00011B42">
            <w:pPr>
              <w:jc w:val="both"/>
              <w:rPr>
                <w:lang w:val="fr-CH"/>
              </w:rPr>
            </w:pPr>
            <w:r w:rsidRPr="00631C31">
              <w:rPr>
                <w:lang w:val="fr-CH"/>
              </w:rPr>
              <w:t>En 2025, l'Union a été en mesure de réaliser des économies d'un montant de</w:t>
            </w:r>
            <w:r w:rsidR="00563B9D">
              <w:rPr>
                <w:lang w:val="fr-CH"/>
              </w:rPr>
              <w:t> </w:t>
            </w:r>
            <w:r w:rsidRPr="000F63B1">
              <w:rPr>
                <w:b/>
                <w:bCs/>
                <w:lang w:val="fr-CH"/>
              </w:rPr>
              <w:t>10,8</w:t>
            </w:r>
            <w:r w:rsidR="000F63B1">
              <w:rPr>
                <w:b/>
                <w:bCs/>
                <w:lang w:val="fr-CH"/>
              </w:rPr>
              <w:t> </w:t>
            </w:r>
            <w:r w:rsidRPr="000F63B1">
              <w:rPr>
                <w:b/>
                <w:bCs/>
                <w:lang w:val="fr-CH"/>
              </w:rPr>
              <w:t>millions</w:t>
            </w:r>
            <w:r w:rsidR="000F63B1">
              <w:rPr>
                <w:b/>
                <w:bCs/>
                <w:lang w:val="fr-CH"/>
              </w:rPr>
              <w:t> </w:t>
            </w:r>
            <w:r w:rsidRPr="000F63B1">
              <w:rPr>
                <w:b/>
                <w:bCs/>
                <w:lang w:val="fr-CH"/>
              </w:rPr>
              <w:t>CHF</w:t>
            </w:r>
            <w:r w:rsidRPr="00631C31">
              <w:rPr>
                <w:lang w:val="fr-CH"/>
              </w:rPr>
              <w:t>, résultant de produits plus élevés que prévus et d'un contrôle rigoureux des charges appliqué lors de l'exécution du budget. Ces économies témoignent de l'évolution favorable des produits, ainsi que de la gestion prudente et de l'échelonnement méthodique de certains coûts tout au long de l'année.</w:t>
            </w:r>
          </w:p>
          <w:p w14:paraId="3F2DF13D" w14:textId="7CC50D0C" w:rsidR="00D72F49" w:rsidRPr="0099485B" w:rsidRDefault="00631C31" w:rsidP="00011B42">
            <w:pPr>
              <w:jc w:val="both"/>
              <w:rPr>
                <w:lang w:val="fr-CH"/>
              </w:rPr>
            </w:pPr>
            <w:r w:rsidRPr="00631C31">
              <w:rPr>
                <w:lang w:val="fr-CH"/>
              </w:rPr>
              <w:t>Le présent document a pour objet de demander au Conseil d'autoriser l'utilisation de ces économies pour financer certaines activités qui ne sont pas couvertes par le budget ordinaire approuvé.</w:t>
            </w:r>
          </w:p>
          <w:p w14:paraId="608C7C6D" w14:textId="77777777" w:rsidR="00D72F49" w:rsidRPr="00122CE1" w:rsidRDefault="00D72F49" w:rsidP="00796BDB">
            <w:pPr>
              <w:spacing w:before="160"/>
              <w:rPr>
                <w:b/>
                <w:bCs/>
                <w:sz w:val="26"/>
                <w:szCs w:val="26"/>
                <w:lang w:val="fr-CH"/>
              </w:rPr>
            </w:pPr>
            <w:proofErr w:type="gramStart"/>
            <w:r w:rsidRPr="00122CE1">
              <w:rPr>
                <w:b/>
                <w:bCs/>
                <w:sz w:val="26"/>
                <w:szCs w:val="26"/>
                <w:lang w:val="fr-CH"/>
              </w:rPr>
              <w:t>Suite à</w:t>
            </w:r>
            <w:proofErr w:type="gramEnd"/>
            <w:r w:rsidRPr="00122CE1">
              <w:rPr>
                <w:b/>
                <w:bCs/>
                <w:sz w:val="26"/>
                <w:szCs w:val="26"/>
                <w:lang w:val="fr-CH"/>
              </w:rPr>
              <w:t xml:space="preserve"> donner par le Conseil</w:t>
            </w:r>
          </w:p>
          <w:p w14:paraId="088E39DE" w14:textId="204B05F5" w:rsidR="00D72F49" w:rsidRPr="00122CE1" w:rsidRDefault="00631C31" w:rsidP="00011B42">
            <w:pPr>
              <w:jc w:val="both"/>
              <w:rPr>
                <w:lang w:val="fr-CH"/>
              </w:rPr>
            </w:pPr>
            <w:r w:rsidRPr="00631C31">
              <w:rPr>
                <w:lang w:val="fr-CH"/>
              </w:rPr>
              <w:t>Le Conseil est prié d'</w:t>
            </w:r>
            <w:r w:rsidRPr="000F63B1">
              <w:rPr>
                <w:b/>
                <w:bCs/>
                <w:lang w:val="fr-CH"/>
              </w:rPr>
              <w:t>approuver</w:t>
            </w:r>
            <w:r w:rsidRPr="00631C31">
              <w:rPr>
                <w:lang w:val="fr-CH"/>
              </w:rPr>
              <w:t xml:space="preserve"> le projet de Résolution reproduit dans l'</w:t>
            </w:r>
            <w:hyperlink w:anchor="Annex" w:history="1">
              <w:r w:rsidRPr="000F63B1">
                <w:rPr>
                  <w:rStyle w:val="Hyperlink"/>
                  <w:rFonts w:eastAsia="Times New Roman" w:cs="Times New Roman"/>
                  <w:szCs w:val="20"/>
                  <w:lang w:val="fr-CH"/>
                </w:rPr>
                <w:t>annexe</w:t>
              </w:r>
            </w:hyperlink>
            <w:r w:rsidRPr="00631C31">
              <w:rPr>
                <w:lang w:val="fr-CH"/>
              </w:rPr>
              <w:t xml:space="preserve"> du présent document.</w:t>
            </w:r>
          </w:p>
          <w:p w14:paraId="534EAC13" w14:textId="07CCEC6A" w:rsidR="00D72F49" w:rsidRPr="00122CE1" w:rsidRDefault="00D72F49" w:rsidP="00796BDB">
            <w:pPr>
              <w:spacing w:before="160"/>
              <w:rPr>
                <w:b/>
                <w:bCs/>
                <w:sz w:val="26"/>
                <w:szCs w:val="26"/>
                <w:lang w:val="fr-CH"/>
              </w:rPr>
            </w:pPr>
            <w:r w:rsidRPr="00122CE1">
              <w:rPr>
                <w:b/>
                <w:bCs/>
                <w:sz w:val="26"/>
                <w:szCs w:val="26"/>
                <w:lang w:val="fr-CH"/>
              </w:rPr>
              <w:t xml:space="preserve">Lien pertinent avec le </w:t>
            </w:r>
            <w:r w:rsidR="00F37FE5">
              <w:rPr>
                <w:b/>
                <w:bCs/>
                <w:sz w:val="26"/>
                <w:szCs w:val="26"/>
                <w:lang w:val="fr-CH"/>
              </w:rPr>
              <w:t>p</w:t>
            </w:r>
            <w:r w:rsidRPr="00122CE1">
              <w:rPr>
                <w:b/>
                <w:bCs/>
                <w:sz w:val="26"/>
                <w:szCs w:val="26"/>
                <w:lang w:val="fr-CH"/>
              </w:rPr>
              <w:t>lan stratégique</w:t>
            </w:r>
          </w:p>
          <w:p w14:paraId="0C2C381C" w14:textId="71A76C30" w:rsidR="00D72F49" w:rsidRPr="00122CE1" w:rsidRDefault="00631C31" w:rsidP="00011B42">
            <w:pPr>
              <w:jc w:val="both"/>
              <w:rPr>
                <w:lang w:val="fr-CH"/>
              </w:rPr>
            </w:pPr>
            <w:r w:rsidRPr="00631C31">
              <w:rPr>
                <w:lang w:val="fr-CH"/>
              </w:rPr>
              <w:t xml:space="preserve">Le présent document est conforme </w:t>
            </w:r>
            <w:proofErr w:type="gramStart"/>
            <w:r w:rsidRPr="00631C31">
              <w:rPr>
                <w:lang w:val="fr-CH"/>
              </w:rPr>
              <w:t>au</w:t>
            </w:r>
            <w:proofErr w:type="gramEnd"/>
            <w:r w:rsidRPr="00631C31">
              <w:rPr>
                <w:lang w:val="fr-CH"/>
              </w:rPr>
              <w:t xml:space="preserve"> Plan stratégique de l'UIT pour la période 2024-2027.</w:t>
            </w:r>
          </w:p>
          <w:p w14:paraId="17715088" w14:textId="77777777" w:rsidR="00E95647" w:rsidRDefault="00D72F49" w:rsidP="00796BDB">
            <w:pPr>
              <w:spacing w:before="160"/>
              <w:rPr>
                <w:b/>
                <w:bCs/>
                <w:sz w:val="26"/>
                <w:szCs w:val="26"/>
                <w:lang w:val="fr-CH"/>
              </w:rPr>
            </w:pPr>
            <w:r w:rsidRPr="00122CE1">
              <w:rPr>
                <w:b/>
                <w:bCs/>
                <w:sz w:val="26"/>
                <w:szCs w:val="26"/>
                <w:lang w:val="fr-CH"/>
              </w:rPr>
              <w:t>Incidences financières</w:t>
            </w:r>
          </w:p>
          <w:p w14:paraId="712B3A62" w14:textId="1BABFE7C" w:rsidR="00D72F49" w:rsidRPr="00882919" w:rsidRDefault="00631C31" w:rsidP="00011B42">
            <w:pPr>
              <w:tabs>
                <w:tab w:val="clear" w:pos="567"/>
                <w:tab w:val="clear" w:pos="1701"/>
                <w:tab w:val="clear" w:pos="2268"/>
                <w:tab w:val="clear" w:pos="2835"/>
              </w:tabs>
              <w:jc w:val="both"/>
              <w:rPr>
                <w:szCs w:val="24"/>
              </w:rPr>
            </w:pPr>
            <w:r w:rsidRPr="00631C31">
              <w:rPr>
                <w:szCs w:val="24"/>
              </w:rPr>
              <w:t>Affectation des économies réalisées dans le cadre de l'exécution du budget pour 2025, d'un</w:t>
            </w:r>
            <w:r w:rsidR="000F63B1">
              <w:rPr>
                <w:szCs w:val="24"/>
              </w:rPr>
              <w:t> </w:t>
            </w:r>
            <w:r w:rsidRPr="00631C31">
              <w:rPr>
                <w:szCs w:val="24"/>
              </w:rPr>
              <w:t xml:space="preserve">montant de </w:t>
            </w:r>
            <w:r w:rsidRPr="000F63B1">
              <w:rPr>
                <w:b/>
                <w:bCs/>
                <w:szCs w:val="24"/>
              </w:rPr>
              <w:t>10,8 millions CHF</w:t>
            </w:r>
            <w:r w:rsidRPr="00631C31">
              <w:rPr>
                <w:szCs w:val="24"/>
              </w:rPr>
              <w:t>, pour financer des activités qui ne sont pas couvertes par le budget ordinaire.</w:t>
            </w:r>
          </w:p>
          <w:p w14:paraId="226BBEA9" w14:textId="77777777" w:rsidR="00D72F49" w:rsidRPr="00813E5E" w:rsidRDefault="00D72F49" w:rsidP="00796BDB">
            <w:pPr>
              <w:spacing w:before="160"/>
              <w:rPr>
                <w:caps/>
                <w:sz w:val="22"/>
              </w:rPr>
            </w:pPr>
            <w:r w:rsidRPr="00813E5E">
              <w:rPr>
                <w:sz w:val="22"/>
              </w:rPr>
              <w:t>____________</w:t>
            </w:r>
            <w:r>
              <w:rPr>
                <w:sz w:val="22"/>
              </w:rPr>
              <w:t>______</w:t>
            </w:r>
          </w:p>
          <w:p w14:paraId="1A7E1304" w14:textId="77777777" w:rsidR="00D72F49" w:rsidRDefault="00D72F49" w:rsidP="00796BDB">
            <w:pPr>
              <w:spacing w:before="160"/>
              <w:rPr>
                <w:b/>
                <w:bCs/>
                <w:sz w:val="26"/>
                <w:szCs w:val="26"/>
              </w:rPr>
            </w:pPr>
            <w:r w:rsidRPr="00F16BAB">
              <w:rPr>
                <w:b/>
                <w:bCs/>
                <w:sz w:val="26"/>
                <w:szCs w:val="26"/>
              </w:rPr>
              <w:t>Références</w:t>
            </w:r>
          </w:p>
          <w:p w14:paraId="71AC4E13" w14:textId="51B87490" w:rsidR="00D72F49" w:rsidRPr="00011B42" w:rsidRDefault="00631C31" w:rsidP="00563B9D">
            <w:pPr>
              <w:pStyle w:val="Referencetext"/>
              <w:framePr w:hSpace="0" w:wrap="auto" w:vAnchor="margin" w:hAnchor="text" w:xAlign="left" w:yAlign="inline"/>
            </w:pPr>
            <w:r w:rsidRPr="00011B42">
              <w:t xml:space="preserve">Décision </w:t>
            </w:r>
            <w:hyperlink r:id="rId7" w:history="1">
              <w:r w:rsidRPr="00011B42">
                <w:rPr>
                  <w:rStyle w:val="Hyperlink"/>
                  <w:rFonts w:eastAsia="Times New Roman" w:cs="Times New Roman"/>
                </w:rPr>
                <w:t>5</w:t>
              </w:r>
            </w:hyperlink>
            <w:r w:rsidRPr="00011B42">
              <w:t xml:space="preserve"> (Rév. Bucarest, 2022); Résolution </w:t>
            </w:r>
            <w:hyperlink r:id="rId8" w:history="1">
              <w:r w:rsidRPr="00011B42">
                <w:rPr>
                  <w:rStyle w:val="Hyperlink"/>
                  <w:rFonts w:eastAsia="Times New Roman" w:cs="Times New Roman"/>
                </w:rPr>
                <w:t>11</w:t>
              </w:r>
            </w:hyperlink>
            <w:r w:rsidRPr="00011B42">
              <w:t xml:space="preserve"> (abrogée, Bucarest, 2022) de la Conférence</w:t>
            </w:r>
            <w:r w:rsidR="004E6D50" w:rsidRPr="00011B42">
              <w:t xml:space="preserve"> </w:t>
            </w:r>
            <w:r w:rsidRPr="00011B42">
              <w:t>de</w:t>
            </w:r>
            <w:r w:rsidR="000F63B1" w:rsidRPr="00011B42">
              <w:t> </w:t>
            </w:r>
            <w:r w:rsidRPr="00011B42">
              <w:t xml:space="preserve">plénipotentiaires; Résolutions </w:t>
            </w:r>
            <w:hyperlink r:id="rId9" w:history="1">
              <w:r w:rsidRPr="00011B42">
                <w:rPr>
                  <w:rStyle w:val="Hyperlink"/>
                  <w:rFonts w:eastAsia="Times New Roman" w:cs="Times New Roman"/>
                </w:rPr>
                <w:t>1111</w:t>
              </w:r>
            </w:hyperlink>
            <w:r w:rsidRPr="00011B42">
              <w:t xml:space="preserve"> et </w:t>
            </w:r>
            <w:hyperlink r:id="rId10" w:history="1">
              <w:r w:rsidRPr="00011B42">
                <w:rPr>
                  <w:rStyle w:val="Hyperlink"/>
                  <w:rFonts w:eastAsia="Times New Roman" w:cs="Times New Roman"/>
                </w:rPr>
                <w:t>1338</w:t>
              </w:r>
            </w:hyperlink>
            <w:r w:rsidRPr="00011B42">
              <w:t xml:space="preserve"> du Conseil; Document</w:t>
            </w:r>
            <w:r w:rsidR="00E35321" w:rsidRPr="00011B42">
              <w:t>s</w:t>
            </w:r>
            <w:r w:rsidRPr="00011B42">
              <w:t xml:space="preserve"> </w:t>
            </w:r>
            <w:hyperlink r:id="rId11" w:history="1">
              <w:proofErr w:type="spellStart"/>
              <w:r w:rsidRPr="00011B42">
                <w:rPr>
                  <w:rStyle w:val="Hyperlink"/>
                  <w:rFonts w:eastAsia="Times New Roman" w:cs="Times New Roman"/>
                </w:rPr>
                <w:t>C24</w:t>
              </w:r>
              <w:proofErr w:type="spellEnd"/>
              <w:r w:rsidRPr="00011B42">
                <w:rPr>
                  <w:rStyle w:val="Hyperlink"/>
                  <w:rFonts w:eastAsia="Times New Roman" w:cs="Times New Roman"/>
                </w:rPr>
                <w:t>/19</w:t>
              </w:r>
            </w:hyperlink>
            <w:r w:rsidRPr="00011B42">
              <w:t xml:space="preserve"> </w:t>
            </w:r>
            <w:r w:rsidR="00E35321" w:rsidRPr="00011B42">
              <w:t xml:space="preserve">et </w:t>
            </w:r>
            <w:hyperlink r:id="rId12" w:history="1">
              <w:proofErr w:type="spellStart"/>
              <w:r w:rsidR="00E35321" w:rsidRPr="00011B42">
                <w:rPr>
                  <w:rStyle w:val="Hyperlink"/>
                  <w:rFonts w:eastAsia="Times New Roman" w:cs="Times New Roman"/>
                </w:rPr>
                <w:t>C24</w:t>
              </w:r>
              <w:proofErr w:type="spellEnd"/>
              <w:r w:rsidR="00E35321" w:rsidRPr="00011B42">
                <w:rPr>
                  <w:rStyle w:val="Hyperlink"/>
                  <w:rFonts w:eastAsia="Times New Roman" w:cs="Times New Roman"/>
                </w:rPr>
                <w:t>/34</w:t>
              </w:r>
            </w:hyperlink>
            <w:r w:rsidR="00E35321" w:rsidRPr="00011B42">
              <w:t xml:space="preserve"> </w:t>
            </w:r>
            <w:r w:rsidRPr="00011B42">
              <w:t>du</w:t>
            </w:r>
            <w:r w:rsidR="00E35321" w:rsidRPr="00011B42">
              <w:t> </w:t>
            </w:r>
            <w:r w:rsidRPr="00011B42">
              <w:t>Conseil.</w:t>
            </w:r>
          </w:p>
        </w:tc>
      </w:tr>
    </w:tbl>
    <w:p w14:paraId="0B5265F7" w14:textId="77777777" w:rsidR="00A51849" w:rsidRDefault="00A51849">
      <w:pPr>
        <w:tabs>
          <w:tab w:val="clear" w:pos="567"/>
          <w:tab w:val="clear" w:pos="1134"/>
          <w:tab w:val="clear" w:pos="1701"/>
          <w:tab w:val="clear" w:pos="2268"/>
          <w:tab w:val="clear" w:pos="2835"/>
        </w:tabs>
        <w:overflowPunct/>
        <w:autoSpaceDE/>
        <w:autoSpaceDN/>
        <w:adjustRightInd/>
        <w:spacing w:before="0"/>
        <w:textAlignment w:val="auto"/>
      </w:pPr>
      <w:r>
        <w:br w:type="page"/>
      </w:r>
    </w:p>
    <w:p w14:paraId="6B47AC1B" w14:textId="77777777" w:rsidR="00631C31" w:rsidRPr="004D7C99" w:rsidRDefault="00631C31" w:rsidP="004D7C99">
      <w:pPr>
        <w:pStyle w:val="Headingb"/>
        <w:rPr>
          <w:rFonts w:eastAsiaTheme="minorEastAsia"/>
        </w:rPr>
      </w:pPr>
      <w:r w:rsidRPr="004D7C99">
        <w:rPr>
          <w:rFonts w:eastAsiaTheme="minorEastAsia"/>
        </w:rPr>
        <w:lastRenderedPageBreak/>
        <w:t>Introduction</w:t>
      </w:r>
    </w:p>
    <w:p w14:paraId="37A27D39" w14:textId="1AE88317" w:rsidR="00631C31" w:rsidRPr="00A267A2" w:rsidRDefault="00631C31" w:rsidP="00011B42">
      <w:pPr>
        <w:jc w:val="both"/>
      </w:pPr>
      <w:r>
        <w:t>Le budget ordinaire de l'Union approuvé pour 2025 prévoyait un montant des charges de</w:t>
      </w:r>
      <w:r w:rsidR="004D7C99">
        <w:t> </w:t>
      </w:r>
      <w:r>
        <w:t>164,3 millions CHF et un montant des produits de 164,3 millions CHF. À la fin de l'année, le</w:t>
      </w:r>
      <w:r w:rsidR="004E6D50">
        <w:t> </w:t>
      </w:r>
      <w:r>
        <w:t>budget a été clôturé avec un montant effectif des charges s'établissant à</w:t>
      </w:r>
      <w:r w:rsidR="004D7C99">
        <w:t> </w:t>
      </w:r>
      <w:r>
        <w:rPr>
          <w:b/>
          <w:bCs/>
        </w:rPr>
        <w:t>156,7</w:t>
      </w:r>
      <w:r w:rsidR="004E6D50">
        <w:rPr>
          <w:b/>
          <w:bCs/>
        </w:rPr>
        <w:t> </w:t>
      </w:r>
      <w:r>
        <w:rPr>
          <w:b/>
          <w:bCs/>
        </w:rPr>
        <w:t>millions</w:t>
      </w:r>
      <w:r w:rsidR="004E6D50">
        <w:rPr>
          <w:b/>
          <w:bCs/>
        </w:rPr>
        <w:t> </w:t>
      </w:r>
      <w:r>
        <w:rPr>
          <w:b/>
          <w:bCs/>
        </w:rPr>
        <w:t>CHF</w:t>
      </w:r>
      <w:r>
        <w:t xml:space="preserve"> et un montant effectif des produits s'élevant à </w:t>
      </w:r>
      <w:r>
        <w:rPr>
          <w:b/>
          <w:bCs/>
        </w:rPr>
        <w:t>167,5 millions CHF</w:t>
      </w:r>
      <w:r>
        <w:t>, soit</w:t>
      </w:r>
      <w:r w:rsidR="004D7C99">
        <w:t> </w:t>
      </w:r>
      <w:r>
        <w:t xml:space="preserve">un excédent de </w:t>
      </w:r>
      <w:r>
        <w:rPr>
          <w:b/>
          <w:bCs/>
        </w:rPr>
        <w:t>10,8</w:t>
      </w:r>
      <w:r w:rsidR="00573353">
        <w:rPr>
          <w:b/>
          <w:bCs/>
        </w:rPr>
        <w:t> </w:t>
      </w:r>
      <w:r>
        <w:rPr>
          <w:b/>
          <w:bCs/>
        </w:rPr>
        <w:t>millions CHF</w:t>
      </w:r>
      <w:r>
        <w:t>.</w:t>
      </w:r>
    </w:p>
    <w:p w14:paraId="6FAABF75" w14:textId="77777777" w:rsidR="00631C31" w:rsidRDefault="00631C31" w:rsidP="00011B42">
      <w:pPr>
        <w:jc w:val="both"/>
      </w:pPr>
      <w:r>
        <w:t xml:space="preserve">Ce résultat positif découle de la combinaison des éléments </w:t>
      </w:r>
      <w:proofErr w:type="gramStart"/>
      <w:r>
        <w:t>suivants:</w:t>
      </w:r>
      <w:proofErr w:type="gramEnd"/>
    </w:p>
    <w:p w14:paraId="047FDDD9" w14:textId="308BCD51" w:rsidR="00631C31" w:rsidRDefault="004D1C3E" w:rsidP="00011B42">
      <w:pPr>
        <w:pStyle w:val="enumlev1"/>
        <w:jc w:val="both"/>
      </w:pPr>
      <w:r>
        <w:t>–</w:t>
      </w:r>
      <w:r>
        <w:tab/>
      </w:r>
      <w:r w:rsidR="00631C31">
        <w:t>Une sous-exécution des charges, grâce à une gestion financière proactive et rigoureuse. Après l'approbation par le Conseil d'une enveloppe budgétaire réduite, le</w:t>
      </w:r>
      <w:r w:rsidR="00DA1ABD">
        <w:t> </w:t>
      </w:r>
      <w:r w:rsidR="00631C31">
        <w:t>secrétariat a appliqué des mesures strictes de maîtrise des charges, des décisions prudentes en matière de recrutement et un échelonnement méthodique des projets afin de garantir la viabilité financière pour l'exercice biennal 2026-2027.</w:t>
      </w:r>
    </w:p>
    <w:p w14:paraId="386E8880" w14:textId="7322CC83" w:rsidR="00631C31" w:rsidRPr="0010203B" w:rsidRDefault="004D1C3E" w:rsidP="00011B42">
      <w:pPr>
        <w:pStyle w:val="enumlev1"/>
        <w:jc w:val="both"/>
      </w:pPr>
      <w:r>
        <w:t>–</w:t>
      </w:r>
      <w:r>
        <w:tab/>
      </w:r>
      <w:r w:rsidR="00631C31">
        <w:t>Des produits plus élevés que prévus, notamment des ventes de publications plus importantes, des mouvements favorables sur le plan actuariel en ce qui concerne les</w:t>
      </w:r>
      <w:r w:rsidR="004E6D50">
        <w:t xml:space="preserve"> </w:t>
      </w:r>
      <w:r w:rsidR="00631C31">
        <w:t>engagements liés au personnel et des intérêts perçus plus élevés</w:t>
      </w:r>
      <w:r w:rsidR="00631C31" w:rsidRPr="0010203B">
        <w:t>.</w:t>
      </w:r>
    </w:p>
    <w:p w14:paraId="037778F6" w14:textId="77777777" w:rsidR="00631C31" w:rsidRDefault="00631C31" w:rsidP="00011B42">
      <w:pPr>
        <w:jc w:val="both"/>
      </w:pPr>
      <w:r>
        <w:t>Il est également important de souligner que ces mouvements favorables sont en grande partie non récurrents ou ponctuels par nature et ne sont pas représentatifs de réductions structurelles des charges de base actuelles de l'Union.</w:t>
      </w:r>
    </w:p>
    <w:p w14:paraId="19681C68" w14:textId="2ACDDD98" w:rsidR="00631C31" w:rsidRDefault="00631C31" w:rsidP="00011B42">
      <w:pPr>
        <w:jc w:val="both"/>
      </w:pPr>
      <w:r>
        <w:t>En conséquence, le secrétariat propose que l'excédent dégagé en 2025 soit affecté à des priorités stratégiques ponctuelles ou à court terme en 2026-20</w:t>
      </w:r>
      <w:r w:rsidR="00573353">
        <w:t>2</w:t>
      </w:r>
      <w:r>
        <w:t>7, plutôt qu'intégré dans le</w:t>
      </w:r>
      <w:r w:rsidR="004E6D50">
        <w:t xml:space="preserve"> </w:t>
      </w:r>
      <w:r>
        <w:t>budget ordinaire de base. Il est donc demandé au Conseil d'approuver les propositions d'affectation de ces économies.</w:t>
      </w:r>
    </w:p>
    <w:p w14:paraId="4A168D9C" w14:textId="6CC573E7" w:rsidR="00631C31" w:rsidRPr="0010203B" w:rsidRDefault="00631C31" w:rsidP="004D7C99">
      <w:pPr>
        <w:pStyle w:val="Headingb"/>
        <w:rPr>
          <w:rFonts w:eastAsiaTheme="minorEastAsia"/>
          <w:lang w:eastAsia="zh-CN"/>
        </w:rPr>
      </w:pPr>
      <w:r>
        <w:rPr>
          <w:rFonts w:eastAsiaTheme="minorEastAsia"/>
          <w:lang w:eastAsia="zh-CN"/>
        </w:rPr>
        <w:t xml:space="preserve">Utilisation proposée de l'excédent budgétaire dégagé en </w:t>
      </w:r>
      <w:r w:rsidRPr="0010203B">
        <w:rPr>
          <w:rFonts w:eastAsiaTheme="minorEastAsia"/>
          <w:lang w:eastAsia="zh-CN"/>
        </w:rPr>
        <w:t>2025</w:t>
      </w:r>
    </w:p>
    <w:p w14:paraId="5E436C9E" w14:textId="142D3052" w:rsidR="00631C31" w:rsidRDefault="00631C31" w:rsidP="00011B42">
      <w:pPr>
        <w:jc w:val="both"/>
      </w:pPr>
      <w:r>
        <w:t>Comme indiqué ci-dessus, l'excédent budgétaire d'environ 10,8 millions CHF enregistré en</w:t>
      </w:r>
      <w:r w:rsidR="00DA1ABD">
        <w:t> </w:t>
      </w:r>
      <w:r>
        <w:t>2025 est le fruit de la combinaison d'effets non récurrents sur les produits et de charges non comptabilisées au cours de l'exercice financier 2025.</w:t>
      </w:r>
    </w:p>
    <w:p w14:paraId="5BAAC629" w14:textId="60FB8613" w:rsidR="00631C31" w:rsidRPr="00E21AE2" w:rsidRDefault="00631C31" w:rsidP="00011B42">
      <w:pPr>
        <w:jc w:val="both"/>
        <w:rPr>
          <w:spacing w:val="-2"/>
        </w:rPr>
      </w:pPr>
      <w:r w:rsidRPr="00E21AE2">
        <w:rPr>
          <w:spacing w:val="-2"/>
        </w:rPr>
        <w:t>En 2025, en raison du taux de mise en œuvre des projets au cours de l'exercice financier</w:t>
      </w:r>
      <w:r w:rsidR="004D7C99" w:rsidRPr="00E21AE2">
        <w:rPr>
          <w:spacing w:val="-2"/>
        </w:rPr>
        <w:t> </w:t>
      </w:r>
      <w:r w:rsidRPr="00E21AE2">
        <w:rPr>
          <w:spacing w:val="-2"/>
        </w:rPr>
        <w:t xml:space="preserve">2025, le recouvrement des coûts correspondant aux services administratifs et opérationnels a dépassé le montant budgété de </w:t>
      </w:r>
      <w:r w:rsidRPr="00E21AE2">
        <w:rPr>
          <w:b/>
          <w:bCs/>
          <w:spacing w:val="-2"/>
        </w:rPr>
        <w:t>559 800 CHF</w:t>
      </w:r>
      <w:r w:rsidRPr="00E21AE2">
        <w:rPr>
          <w:spacing w:val="-2"/>
        </w:rPr>
        <w:t xml:space="preserve">. Il est proposé que le Conseil approuve l'affectation de ce montant au Fonds pour le développement des TIC </w:t>
      </w:r>
      <w:r w:rsidRPr="00E21AE2">
        <w:rPr>
          <w:rFonts w:asciiTheme="minorHAnsi" w:eastAsiaTheme="minorEastAsia" w:hAnsiTheme="minorHAnsi" w:cstheme="minorBidi"/>
          <w:spacing w:val="-2"/>
          <w:lang w:eastAsia="zh-CN"/>
        </w:rPr>
        <w:t>(Document</w:t>
      </w:r>
      <w:r w:rsidR="004D7C99" w:rsidRPr="00E21AE2">
        <w:rPr>
          <w:rFonts w:asciiTheme="minorHAnsi" w:eastAsiaTheme="minorEastAsia" w:hAnsiTheme="minorHAnsi" w:cstheme="minorBidi"/>
          <w:spacing w:val="-2"/>
          <w:lang w:eastAsia="zh-CN"/>
        </w:rPr>
        <w:t> </w:t>
      </w:r>
      <w:proofErr w:type="spellStart"/>
      <w:r w:rsidRPr="00E21AE2">
        <w:rPr>
          <w:spacing w:val="-2"/>
        </w:rPr>
        <w:fldChar w:fldCharType="begin"/>
      </w:r>
      <w:r w:rsidRPr="00E21AE2">
        <w:rPr>
          <w:spacing w:val="-2"/>
        </w:rPr>
        <w:instrText>HYPERLINK "https://www.itu.int/md/S26-CL-C-0034/fr" \h</w:instrText>
      </w:r>
      <w:r w:rsidRPr="00E21AE2">
        <w:rPr>
          <w:spacing w:val="-2"/>
        </w:rPr>
      </w:r>
      <w:r w:rsidRPr="00E21AE2">
        <w:rPr>
          <w:spacing w:val="-2"/>
        </w:rPr>
        <w:fldChar w:fldCharType="separate"/>
      </w:r>
      <w:r w:rsidRPr="00E21AE2">
        <w:rPr>
          <w:rFonts w:asciiTheme="minorHAnsi" w:eastAsiaTheme="minorEastAsia" w:hAnsiTheme="minorHAnsi" w:cstheme="minorBidi"/>
          <w:color w:val="0563C1"/>
          <w:spacing w:val="-2"/>
          <w:u w:val="single"/>
          <w:lang w:eastAsia="zh-CN"/>
        </w:rPr>
        <w:t>C26</w:t>
      </w:r>
      <w:proofErr w:type="spellEnd"/>
      <w:r w:rsidRPr="00E21AE2">
        <w:rPr>
          <w:rFonts w:asciiTheme="minorHAnsi" w:eastAsiaTheme="minorEastAsia" w:hAnsiTheme="minorHAnsi" w:cstheme="minorBidi"/>
          <w:color w:val="0563C1"/>
          <w:spacing w:val="-2"/>
          <w:u w:val="single"/>
          <w:lang w:eastAsia="zh-CN"/>
        </w:rPr>
        <w:t>/34</w:t>
      </w:r>
      <w:r w:rsidRPr="00E21AE2">
        <w:rPr>
          <w:spacing w:val="-2"/>
        </w:rPr>
        <w:fldChar w:fldCharType="end"/>
      </w:r>
      <w:r w:rsidRPr="00E21AE2">
        <w:rPr>
          <w:spacing w:val="-2"/>
        </w:rPr>
        <w:t>) et l'affectation du reste de l'excédent budgétaire, s'élevant à</w:t>
      </w:r>
      <w:r w:rsidR="004D7C99" w:rsidRPr="00E21AE2">
        <w:rPr>
          <w:spacing w:val="-2"/>
        </w:rPr>
        <w:t> </w:t>
      </w:r>
      <w:r w:rsidRPr="00E21AE2">
        <w:rPr>
          <w:b/>
          <w:bCs/>
          <w:spacing w:val="-2"/>
        </w:rPr>
        <w:t>10,25</w:t>
      </w:r>
      <w:r w:rsidR="004D7C99" w:rsidRPr="00E21AE2">
        <w:rPr>
          <w:b/>
          <w:bCs/>
          <w:spacing w:val="-2"/>
        </w:rPr>
        <w:t> </w:t>
      </w:r>
      <w:r w:rsidRPr="00E21AE2">
        <w:rPr>
          <w:b/>
          <w:bCs/>
          <w:spacing w:val="-2"/>
        </w:rPr>
        <w:t>millions CHF</w:t>
      </w:r>
      <w:r w:rsidRPr="00E21AE2">
        <w:rPr>
          <w:spacing w:val="-2"/>
        </w:rPr>
        <w:t xml:space="preserve">, comme indiqué dans le </w:t>
      </w:r>
      <w:r w:rsidR="004D7C99" w:rsidRPr="00E21AE2">
        <w:rPr>
          <w:spacing w:val="-2"/>
        </w:rPr>
        <w:t>T</w:t>
      </w:r>
      <w:r w:rsidRPr="00E21AE2">
        <w:rPr>
          <w:spacing w:val="-2"/>
        </w:rPr>
        <w:t>ableau 1 ci-dessous. De plus amples renseignements motivant ces choix sont données ci-après.</w:t>
      </w:r>
    </w:p>
    <w:p w14:paraId="71A0DA00" w14:textId="77777777" w:rsidR="00011B42" w:rsidRDefault="00631C31" w:rsidP="00011B42">
      <w:pPr>
        <w:pStyle w:val="TableNo"/>
      </w:pPr>
      <w:r w:rsidRPr="0010203B">
        <w:lastRenderedPageBreak/>
        <w:t>Table</w:t>
      </w:r>
      <w:r>
        <w:t>au</w:t>
      </w:r>
      <w:r w:rsidRPr="0010203B">
        <w:t xml:space="preserve"> 1</w:t>
      </w:r>
    </w:p>
    <w:p w14:paraId="4180E7CA" w14:textId="0F880E7F" w:rsidR="00631C31" w:rsidRPr="0010203B" w:rsidRDefault="00631C31" w:rsidP="000F63B1">
      <w:pPr>
        <w:pStyle w:val="Tabletitle"/>
      </w:pPr>
      <w:r>
        <w:t>Récapitulatif des propositions d'affectation de</w:t>
      </w:r>
      <w:r w:rsidR="004D7C99">
        <w:t>s</w:t>
      </w:r>
      <w:r>
        <w:t xml:space="preserve"> économies</w:t>
      </w:r>
      <w:r w:rsidR="004D7C99">
        <w:br/>
      </w:r>
      <w:r>
        <w:t>réalisées en</w:t>
      </w:r>
      <w:r w:rsidRPr="0010203B">
        <w:t xml:space="preserve"> 2025 </w:t>
      </w:r>
      <w:r>
        <w:t>pour la période</w:t>
      </w:r>
      <w:r w:rsidRPr="0010203B">
        <w:t xml:space="preserve"> 2026-2027</w:t>
      </w:r>
    </w:p>
    <w:p w14:paraId="09490282" w14:textId="313A72C0" w:rsidR="00631C31" w:rsidRPr="0010203B" w:rsidRDefault="004D7C99" w:rsidP="001B0A73">
      <w:pPr>
        <w:pStyle w:val="Figure"/>
      </w:pPr>
      <w:r w:rsidRPr="004D7C99">
        <w:rPr>
          <w:noProof/>
        </w:rPr>
        <w:drawing>
          <wp:inline distT="0" distB="0" distL="0" distR="0" wp14:anchorId="192A23BD" wp14:editId="68AB3131">
            <wp:extent cx="5760085" cy="3360420"/>
            <wp:effectExtent l="0" t="0" r="0" b="0"/>
            <wp:docPr id="153579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3360420"/>
                    </a:xfrm>
                    <a:prstGeom prst="rect">
                      <a:avLst/>
                    </a:prstGeom>
                    <a:noFill/>
                    <a:ln>
                      <a:noFill/>
                    </a:ln>
                  </pic:spPr>
                </pic:pic>
              </a:graphicData>
            </a:graphic>
          </wp:inline>
        </w:drawing>
      </w:r>
    </w:p>
    <w:p w14:paraId="50F1EBB3" w14:textId="6C5BE55A" w:rsidR="00631C31" w:rsidRPr="0010203B" w:rsidRDefault="00631C31" w:rsidP="00E05EC9">
      <w:pPr>
        <w:pStyle w:val="Heading1"/>
      </w:pPr>
      <w:r w:rsidRPr="0010203B">
        <w:t>1</w:t>
      </w:r>
      <w:r w:rsidRPr="0010203B">
        <w:tab/>
      </w:r>
      <w:r>
        <w:t>Départs par accord mutuel</w:t>
      </w:r>
    </w:p>
    <w:p w14:paraId="6BEC0DE3" w14:textId="0C5EDD95" w:rsidR="00631C31" w:rsidRDefault="00631C31" w:rsidP="00011B42">
      <w:pPr>
        <w:jc w:val="both"/>
      </w:pPr>
      <w:r>
        <w:t>À sa session de 2022, le Conseil a approuvé l'utilisation de 6 millions CHF pris sur le Fonds</w:t>
      </w:r>
      <w:r w:rsidR="00E05EC9">
        <w:t xml:space="preserve"> </w:t>
      </w:r>
      <w:r>
        <w:t>de</w:t>
      </w:r>
      <w:r w:rsidR="00E05EC9">
        <w:t xml:space="preserve"> </w:t>
      </w:r>
      <w:r>
        <w:t xml:space="preserve">réserve pour mettre en œuvre des programmes de départ volontaire élaborés par l'UIT pour faciliter la restructuration de l'organisation et appuyer l'évolution des ressources humaines nécessaire compte tenu des changements concernant les besoins stratégiques. Grâce à cette initiative, 42 fonctionnaires éligibles ont pu quitter l'organisation sur une base volontaire, ce qui a permis de </w:t>
      </w:r>
      <w:r w:rsidR="001B0A73">
        <w:t>rationaliser</w:t>
      </w:r>
      <w:r>
        <w:t xml:space="preserve"> les ajustements en matière de personnel tout en maintenant la capacité opérationnelle de l'Union.</w:t>
      </w:r>
    </w:p>
    <w:p w14:paraId="59DDB1D4" w14:textId="77777777" w:rsidR="00631C31" w:rsidRPr="00AF0A28" w:rsidRDefault="00631C31" w:rsidP="00011B42">
      <w:pPr>
        <w:jc w:val="both"/>
        <w:rPr>
          <w:rFonts w:cs="Calibri"/>
        </w:rPr>
      </w:pPr>
      <w:r>
        <w:rPr>
          <w:rFonts w:cs="Calibri"/>
        </w:rPr>
        <w:t xml:space="preserve">Il est proposé d'affecter </w:t>
      </w:r>
      <w:r>
        <w:rPr>
          <w:rFonts w:cs="Calibri"/>
          <w:b/>
          <w:bCs/>
        </w:rPr>
        <w:t>2,5 millions CHF</w:t>
      </w:r>
      <w:r>
        <w:rPr>
          <w:rFonts w:cs="Calibri"/>
        </w:rPr>
        <w:t xml:space="preserve"> à l'élaboration d'initiatives additionnelles de départ volontaire pour appuyer la réorganisation et les objectifs de réduction des coûts sur le long terme.</w:t>
      </w:r>
    </w:p>
    <w:p w14:paraId="28FBEF4E" w14:textId="77777777" w:rsidR="00631C31" w:rsidRDefault="00631C31" w:rsidP="00011B42">
      <w:pPr>
        <w:jc w:val="both"/>
        <w:rPr>
          <w:rFonts w:cs="Calibri"/>
        </w:rPr>
      </w:pPr>
      <w:r>
        <w:rPr>
          <w:rFonts w:cs="Calibri"/>
        </w:rPr>
        <w:t xml:space="preserve">Ces fonds seraient utilisés comme </w:t>
      </w:r>
      <w:proofErr w:type="gramStart"/>
      <w:r>
        <w:rPr>
          <w:rFonts w:cs="Calibri"/>
        </w:rPr>
        <w:t>suit:</w:t>
      </w:r>
      <w:proofErr w:type="gramEnd"/>
    </w:p>
    <w:p w14:paraId="64183C48" w14:textId="4F5D93A8" w:rsidR="00631C31" w:rsidRDefault="004D1C3E" w:rsidP="00011B42">
      <w:pPr>
        <w:pStyle w:val="enumlev1"/>
        <w:jc w:val="both"/>
      </w:pPr>
      <w:r>
        <w:t>–</w:t>
      </w:r>
      <w:r>
        <w:tab/>
      </w:r>
      <w:r w:rsidR="00631C31">
        <w:t>Ce montant servira à financer les départs qui sont nécessaires, dans le meilleur intérêt de l'Union, pour faire face à l'évolution des compétences et aptitudes compte tenu de la réorganisation</w:t>
      </w:r>
      <w:r w:rsidR="00E05EC9">
        <w:t>.</w:t>
      </w:r>
    </w:p>
    <w:p w14:paraId="10CD71CC" w14:textId="526A7898" w:rsidR="00631C31" w:rsidRPr="0010203B" w:rsidRDefault="004D1C3E" w:rsidP="00011B42">
      <w:pPr>
        <w:pStyle w:val="enumlev1"/>
        <w:jc w:val="both"/>
      </w:pPr>
      <w:r>
        <w:t>–</w:t>
      </w:r>
      <w:r>
        <w:tab/>
      </w:r>
      <w:r w:rsidR="00631C31">
        <w:t>Le solde inutilisé éventuel serait mis en réserve en vue de financer les futurs besoins liés à la restructuration, sachant que les ajustements organisationnels se poursuivront au</w:t>
      </w:r>
      <w:r w:rsidR="004E6D50">
        <w:noBreakHyphen/>
      </w:r>
      <w:r w:rsidR="00631C31">
        <w:t>delà d'un seul exercice financier</w:t>
      </w:r>
      <w:r w:rsidR="00E05EC9">
        <w:t>.</w:t>
      </w:r>
    </w:p>
    <w:p w14:paraId="34935835" w14:textId="474C9EB9" w:rsidR="00631C31" w:rsidRPr="004B4A58" w:rsidRDefault="004D1C3E" w:rsidP="00011B42">
      <w:pPr>
        <w:pStyle w:val="enumlev1"/>
        <w:jc w:val="both"/>
      </w:pPr>
      <w:r>
        <w:t>–</w:t>
      </w:r>
      <w:r>
        <w:tab/>
      </w:r>
      <w:r w:rsidR="00631C31" w:rsidRPr="004B4A58">
        <w:rPr>
          <w:szCs w:val="24"/>
        </w:rPr>
        <w:t>Le secrétariat présentera chaque année au Conseil un rapport sur l'utilisation de ce</w:t>
      </w:r>
      <w:r w:rsidR="00631C31">
        <w:rPr>
          <w:szCs w:val="24"/>
        </w:rPr>
        <w:t>s</w:t>
      </w:r>
      <w:r w:rsidR="004E6D50">
        <w:rPr>
          <w:szCs w:val="24"/>
        </w:rPr>
        <w:t xml:space="preserve"> </w:t>
      </w:r>
      <w:r w:rsidR="00631C31" w:rsidRPr="004B4A58">
        <w:rPr>
          <w:szCs w:val="24"/>
        </w:rPr>
        <w:t>fonds</w:t>
      </w:r>
      <w:r w:rsidR="00631C31" w:rsidRPr="004B4A58">
        <w:t>.</w:t>
      </w:r>
    </w:p>
    <w:p w14:paraId="13ABAC78" w14:textId="1CD31933" w:rsidR="00631C31" w:rsidRDefault="00631C31" w:rsidP="00E05EC9">
      <w:pPr>
        <w:pStyle w:val="Heading1"/>
      </w:pPr>
      <w:r w:rsidRPr="0010203B">
        <w:lastRenderedPageBreak/>
        <w:t>2</w:t>
      </w:r>
      <w:r w:rsidRPr="0010203B">
        <w:tab/>
      </w:r>
      <w:r>
        <w:t>Résorption du retard pris dans le traitement des fiches de notification de réseaux à satellite</w:t>
      </w:r>
    </w:p>
    <w:p w14:paraId="3C042873" w14:textId="78C3586D" w:rsidR="00631C31" w:rsidRDefault="00631C31" w:rsidP="00011B42">
      <w:pPr>
        <w:jc w:val="both"/>
        <w:rPr>
          <w:lang w:eastAsia="en-GB"/>
        </w:rPr>
      </w:pPr>
      <w:r>
        <w:rPr>
          <w:lang w:eastAsia="en-GB"/>
        </w:rPr>
        <w:t>Le secrétariat propose d'affecter, de manière ciblée et limitée dans le temps, un montant de</w:t>
      </w:r>
      <w:r w:rsidR="00E05EC9">
        <w:rPr>
          <w:lang w:eastAsia="en-GB"/>
        </w:rPr>
        <w:t> </w:t>
      </w:r>
      <w:r w:rsidRPr="0009287E">
        <w:rPr>
          <w:b/>
          <w:bCs/>
          <w:lang w:eastAsia="en-GB"/>
        </w:rPr>
        <w:t>0,50 million CHF</w:t>
      </w:r>
      <w:r>
        <w:rPr>
          <w:b/>
          <w:bCs/>
          <w:lang w:eastAsia="en-GB"/>
        </w:rPr>
        <w:t xml:space="preserve"> </w:t>
      </w:r>
      <w:r>
        <w:rPr>
          <w:lang w:eastAsia="en-GB"/>
        </w:rPr>
        <w:t>provenant des économies réalisées en 2025 afin de résorber le retard existant concernant le traitement des fiches de notification de réseaux à satellite. Les délais de traitement se sont allongés et sont d'environ 14 mois, ce qui crée des pressions opérationnelles et un risque pour la réputation de l'Union.</w:t>
      </w:r>
    </w:p>
    <w:p w14:paraId="069087BE" w14:textId="675038E3" w:rsidR="00631C31" w:rsidRDefault="00631C31" w:rsidP="00011B42">
      <w:pPr>
        <w:jc w:val="both"/>
        <w:rPr>
          <w:lang w:eastAsia="en-GB"/>
        </w:rPr>
      </w:pPr>
      <w:r>
        <w:rPr>
          <w:lang w:eastAsia="en-GB"/>
        </w:rPr>
        <w:t xml:space="preserve">La mesure proposée permettrait de financer, de manière temporaire, le recrutement de membres du personnel supplémentaires qui s'occuperaient uniquement de réduire ce retard, l'objectif étant de contribuer à ramener le délai de traitement à environ </w:t>
      </w:r>
      <w:r w:rsidR="00E05EC9">
        <w:rPr>
          <w:lang w:eastAsia="en-GB"/>
        </w:rPr>
        <w:t>quatre </w:t>
      </w:r>
      <w:r>
        <w:rPr>
          <w:lang w:eastAsia="en-GB"/>
        </w:rPr>
        <w:t>mois. Cette</w:t>
      </w:r>
      <w:r w:rsidR="004E6D50">
        <w:rPr>
          <w:lang w:eastAsia="en-GB"/>
        </w:rPr>
        <w:t xml:space="preserve"> </w:t>
      </w:r>
      <w:r>
        <w:rPr>
          <w:lang w:eastAsia="en-GB"/>
        </w:rPr>
        <w:t>mesure se veut un renforcement des capacités à court terme visant uniquement à</w:t>
      </w:r>
      <w:r w:rsidR="00E05EC9">
        <w:rPr>
          <w:lang w:eastAsia="en-GB"/>
        </w:rPr>
        <w:t xml:space="preserve"> </w:t>
      </w:r>
      <w:r>
        <w:rPr>
          <w:lang w:eastAsia="en-GB"/>
        </w:rPr>
        <w:t>résorber le retard pris, et non un renforcement des effectifs à long terme.</w:t>
      </w:r>
    </w:p>
    <w:p w14:paraId="71B42DD5" w14:textId="0CDC2E5B" w:rsidR="00631C31" w:rsidRDefault="00631C31" w:rsidP="00E05EC9">
      <w:pPr>
        <w:pStyle w:val="Heading1"/>
      </w:pPr>
      <w:r w:rsidRPr="0010203B">
        <w:t>3</w:t>
      </w:r>
      <w:r w:rsidRPr="0010203B">
        <w:tab/>
      </w:r>
      <w:r>
        <w:t>Renforcement et modernisation des systèmes essentiels de traitement des fiches de notification de réseaux à satellite</w:t>
      </w:r>
    </w:p>
    <w:p w14:paraId="284F2BDB" w14:textId="2796C53D" w:rsidR="00631C31" w:rsidRPr="0009287E" w:rsidRDefault="00631C31" w:rsidP="00011B42">
      <w:pPr>
        <w:jc w:val="both"/>
      </w:pPr>
      <w:r>
        <w:t xml:space="preserve">Il est proposé d'affecter un montant de </w:t>
      </w:r>
      <w:r>
        <w:rPr>
          <w:b/>
          <w:bCs/>
        </w:rPr>
        <w:t>1,3 millions CHF</w:t>
      </w:r>
      <w:r>
        <w:t xml:space="preserve"> pour appuyer la modernisation des logiciels du BR destinés aux services spatiaux, en vue de renforcer les systèmes</w:t>
      </w:r>
      <w:r w:rsidRPr="00F04DDA">
        <w:t xml:space="preserve"> essentiels</w:t>
      </w:r>
      <w:r>
        <w:t xml:space="preserve"> prenant en charge les opérations de traitement des fiches de notification de réseaux à</w:t>
      </w:r>
      <w:r w:rsidR="004E6D50">
        <w:t xml:space="preserve"> </w:t>
      </w:r>
      <w:r>
        <w:t>satellite effectuées par le Bureau des radiocommunications (BR). Cet investissement fera partie de la stratégie structurée de modernisation des logiciels du BR et est aligné sur les objectifs plus larges de l'Union en matière de transformation numérique des services informatiques.</w:t>
      </w:r>
    </w:p>
    <w:p w14:paraId="0052448F" w14:textId="0830A648" w:rsidR="00631C31" w:rsidRPr="0010203B" w:rsidRDefault="00631C31" w:rsidP="00011B42">
      <w:pPr>
        <w:jc w:val="both"/>
      </w:pPr>
      <w:r>
        <w:t>Le BR a identifié des contraintes structurelles ayant des incidences à la fois pour les parties prenantes extérieures et pour les opérations en interne. Les États Membres et les opérateurs de satellites continuent de se heurter à des difficultés, telles que des délais de traitement plus longs que les délais réglementaires, les risques réglementaires associés, des cycles laborieux de correction après l'envoi des soumissions et des interfaces utilisateur fragmentées. En</w:t>
      </w:r>
      <w:r w:rsidR="004E6D50">
        <w:t> </w:t>
      </w:r>
      <w:r>
        <w:t>interne, le BR doit faire face à des dettes techniques qui s'ajoutent, à des exigences de calcul en constante progression et à des risques institutionnels élevés liés à la concentration des compétences et au fait que certaines opérations dépendent d'une seule personne</w:t>
      </w:r>
      <w:r w:rsidRPr="0010203B">
        <w:t>.</w:t>
      </w:r>
      <w:r>
        <w:t xml:space="preserve"> Bien qu'à</w:t>
      </w:r>
      <w:r w:rsidR="00E05EC9">
        <w:t xml:space="preserve"> </w:t>
      </w:r>
      <w:r>
        <w:t>sa session de 2025, le Conseil ait affecté un montant de 0,5 million CHF par an provenant des droits perçus pour le traitement des fiches de notification au Fonds</w:t>
      </w:r>
      <w:r w:rsidR="00E05EC9">
        <w:t xml:space="preserve"> </w:t>
      </w:r>
      <w:r>
        <w:t>de</w:t>
      </w:r>
      <w:r w:rsidR="00E05EC9">
        <w:t xml:space="preserve"> </w:t>
      </w:r>
      <w:r>
        <w:t>roulement des TIC, destiné à financer le développement des logiciels du BR, les</w:t>
      </w:r>
      <w:r w:rsidR="00E05EC9">
        <w:t xml:space="preserve"> </w:t>
      </w:r>
      <w:r>
        <w:t>coûts de modernisation de ces logiciels sont estimés à plus de 3,0 millions CHF.</w:t>
      </w:r>
    </w:p>
    <w:p w14:paraId="6F1CC6D0" w14:textId="48873991" w:rsidR="00631C31" w:rsidRDefault="00631C31" w:rsidP="00011B42">
      <w:pPr>
        <w:jc w:val="both"/>
      </w:pPr>
      <w:r>
        <w:t>Deux catalyseurs transversaux sous-tendent cette stratégie: i) préparation en vue de la migration vers l'informatique en nuage, qui suppose l'adaptation des logiciels de bureau, des</w:t>
      </w:r>
      <w:r w:rsidR="004E6D50">
        <w:t xml:space="preserve"> </w:t>
      </w:r>
      <w:r>
        <w:t>applications web et des bases de données du BR, ainsi que l'optimisation de l'infrastructure pour les opérations à long terme; et ii) adoption structurée d'outils d'IA évolués afin d'améliorer le développement des logiciels, en général, et leur modernisation en particulier, ainsi que les capacités de test des logiciels.</w:t>
      </w:r>
    </w:p>
    <w:p w14:paraId="3E04017D" w14:textId="75EB1539" w:rsidR="00631C31" w:rsidRPr="0010203B" w:rsidRDefault="00631C31" w:rsidP="00E05EC9">
      <w:pPr>
        <w:pStyle w:val="Heading1"/>
      </w:pPr>
      <w:r w:rsidRPr="0010203B">
        <w:t>4</w:t>
      </w:r>
      <w:r w:rsidRPr="0010203B">
        <w:tab/>
        <w:t>Modernisation</w:t>
      </w:r>
      <w:r>
        <w:t xml:space="preserve"> des systèmes institutionnels</w:t>
      </w:r>
    </w:p>
    <w:p w14:paraId="3AB9FE3D" w14:textId="569A2670" w:rsidR="00631C31" w:rsidRPr="008F49EB" w:rsidRDefault="00631C31" w:rsidP="00011B42">
      <w:pPr>
        <w:jc w:val="both"/>
        <w:rPr>
          <w:rFonts w:cs="Calibri"/>
        </w:rPr>
      </w:pPr>
      <w:r>
        <w:t xml:space="preserve">Il est proposé d'affecter un montant de </w:t>
      </w:r>
      <w:r>
        <w:rPr>
          <w:b/>
          <w:bCs/>
        </w:rPr>
        <w:t>1,45 millions CHF</w:t>
      </w:r>
      <w:r>
        <w:t xml:space="preserve"> pour renforcer les capacités dont l'UIT a besoin pour mener à bien son programme de transformation en cours, en particulier pour la mise en œuvre des principaux systèmes d'entreprise tels que </w:t>
      </w:r>
      <w:r w:rsidRPr="0010203B">
        <w:rPr>
          <w:rFonts w:cs="Calibri"/>
        </w:rPr>
        <w:t>SAP S/</w:t>
      </w:r>
      <w:proofErr w:type="spellStart"/>
      <w:r w:rsidRPr="0010203B">
        <w:rPr>
          <w:rFonts w:cs="Calibri"/>
        </w:rPr>
        <w:t>4HANA</w:t>
      </w:r>
      <w:proofErr w:type="spellEnd"/>
      <w:r w:rsidRPr="0010203B">
        <w:rPr>
          <w:rFonts w:cs="Calibri"/>
        </w:rPr>
        <w:t xml:space="preserve">, Microsoft </w:t>
      </w:r>
      <w:r w:rsidRPr="0010203B">
        <w:rPr>
          <w:rFonts w:cs="Calibri"/>
        </w:rPr>
        <w:lastRenderedPageBreak/>
        <w:t>Dynamics</w:t>
      </w:r>
      <w:r>
        <w:rPr>
          <w:rFonts w:cs="Calibri"/>
        </w:rPr>
        <w:t xml:space="preserve"> et</w:t>
      </w:r>
      <w:r w:rsidRPr="0010203B">
        <w:rPr>
          <w:rFonts w:cs="Calibri"/>
        </w:rPr>
        <w:t xml:space="preserve"> Recruitment System</w:t>
      </w:r>
      <w:r>
        <w:rPr>
          <w:rFonts w:cs="Calibri"/>
        </w:rPr>
        <w:t>, et des fondations à l'appui en ce qui concerne l'informatique en nuage, l'IA et les données pour permettre la modernisation des systèmes des Secteurs.</w:t>
      </w:r>
    </w:p>
    <w:p w14:paraId="0C5B3E3C" w14:textId="77777777" w:rsidR="00631C31" w:rsidRPr="0010203B" w:rsidRDefault="00631C31" w:rsidP="00011B42">
      <w:pPr>
        <w:jc w:val="both"/>
        <w:rPr>
          <w:rFonts w:cs="Calibri"/>
        </w:rPr>
      </w:pPr>
      <w:r>
        <w:rPr>
          <w:rFonts w:cs="Calibri"/>
        </w:rPr>
        <w:t>Ces initiatives permettront non seulement de remplacer les systèmes, mais elles seront aussi une occasion structurée de relever les défis rencontrés grâce à la réorganisation des processus opérationnels, à la modernisation de l'architecture et à une gouvernance renforcée</w:t>
      </w:r>
      <w:r w:rsidRPr="0010203B">
        <w:rPr>
          <w:rFonts w:cs="Calibri"/>
        </w:rPr>
        <w:t>.</w:t>
      </w:r>
    </w:p>
    <w:p w14:paraId="236F2FA2" w14:textId="72C184E7" w:rsidR="00631C31" w:rsidRDefault="00631C31" w:rsidP="00011B42">
      <w:pPr>
        <w:jc w:val="both"/>
      </w:pPr>
      <w:r>
        <w:t xml:space="preserve">L'affectation proposée, qui est par nature un investissement, </w:t>
      </w:r>
      <w:proofErr w:type="gramStart"/>
      <w:r>
        <w:t>appuierait:</w:t>
      </w:r>
      <w:proofErr w:type="gramEnd"/>
    </w:p>
    <w:p w14:paraId="7B83174A" w14:textId="41FE60A5" w:rsidR="00631C31" w:rsidRDefault="004D1C3E" w:rsidP="00011B42">
      <w:pPr>
        <w:pStyle w:val="enumlev1"/>
        <w:jc w:val="both"/>
      </w:pPr>
      <w:r>
        <w:t>–</w:t>
      </w:r>
      <w:r>
        <w:tab/>
      </w:r>
      <w:r w:rsidR="00631C31">
        <w:t xml:space="preserve">la réduction de la dette technique et la modernisation des systèmes essentiels, dont les systèmes ERP et CRM, ainsi que les systèmes utilisés pour la gestion des manifestations, les recrutements, la gestion des voyages et des dépenses et la gestion des services, ainsi que d'autres plates-formes </w:t>
      </w:r>
      <w:proofErr w:type="gramStart"/>
      <w:r w:rsidR="00631C31">
        <w:t>numériques;</w:t>
      </w:r>
      <w:proofErr w:type="gramEnd"/>
    </w:p>
    <w:p w14:paraId="6F216FFC" w14:textId="6CB9C477" w:rsidR="00631C31" w:rsidRPr="0010203B" w:rsidRDefault="004D1C3E" w:rsidP="00011B42">
      <w:pPr>
        <w:pStyle w:val="enumlev1"/>
        <w:jc w:val="both"/>
      </w:pPr>
      <w:r>
        <w:t>–</w:t>
      </w:r>
      <w:r>
        <w:tab/>
      </w:r>
      <w:r w:rsidR="00631C31">
        <w:t xml:space="preserve">la migration vers l'informatique en nuage et l'optimisation architecturale des systèmes d'importance </w:t>
      </w:r>
      <w:proofErr w:type="gramStart"/>
      <w:r w:rsidR="00631C31">
        <w:t>critique</w:t>
      </w:r>
      <w:r w:rsidR="00631C31" w:rsidRPr="0010203B">
        <w:t>;</w:t>
      </w:r>
      <w:proofErr w:type="gramEnd"/>
    </w:p>
    <w:p w14:paraId="70D20B5C" w14:textId="730D10C9" w:rsidR="00631C31" w:rsidRPr="0010203B" w:rsidRDefault="004D1C3E" w:rsidP="00011B42">
      <w:pPr>
        <w:pStyle w:val="enumlev1"/>
        <w:jc w:val="both"/>
      </w:pPr>
      <w:r>
        <w:t>–</w:t>
      </w:r>
      <w:r>
        <w:tab/>
      </w:r>
      <w:r w:rsidR="00631C31">
        <w:t xml:space="preserve">la rationalisation et l'automatisation de processus clés de bout en </w:t>
      </w:r>
      <w:proofErr w:type="gramStart"/>
      <w:r w:rsidR="00631C31">
        <w:t>bout</w:t>
      </w:r>
      <w:r w:rsidR="00631C31" w:rsidRPr="0010203B">
        <w:t>;</w:t>
      </w:r>
      <w:proofErr w:type="gramEnd"/>
    </w:p>
    <w:p w14:paraId="450AA928" w14:textId="1190CC45" w:rsidR="00631C31" w:rsidRPr="0010203B" w:rsidRDefault="004D1C3E" w:rsidP="00011B42">
      <w:pPr>
        <w:pStyle w:val="enumlev1"/>
        <w:jc w:val="both"/>
      </w:pPr>
      <w:r>
        <w:t>–</w:t>
      </w:r>
      <w:r>
        <w:tab/>
      </w:r>
      <w:r w:rsidR="00631C31">
        <w:t xml:space="preserve">l'amélioration de la qualité des données, des contrôles internes et des capacités de présentation de </w:t>
      </w:r>
      <w:proofErr w:type="gramStart"/>
      <w:r w:rsidR="00631C31">
        <w:t>l'information</w:t>
      </w:r>
      <w:r w:rsidR="00631C31" w:rsidRPr="0010203B">
        <w:t>;</w:t>
      </w:r>
      <w:proofErr w:type="gramEnd"/>
    </w:p>
    <w:p w14:paraId="45082A30" w14:textId="21D4040C" w:rsidR="00631C31" w:rsidRPr="0010203B" w:rsidRDefault="004D1C3E" w:rsidP="00011B42">
      <w:pPr>
        <w:pStyle w:val="enumlev1"/>
        <w:jc w:val="both"/>
      </w:pPr>
      <w:r>
        <w:t>–</w:t>
      </w:r>
      <w:r>
        <w:tab/>
      </w:r>
      <w:r w:rsidR="00631C31">
        <w:t xml:space="preserve">la modernisation des méthodes de travail, y compris avec un investissement dans </w:t>
      </w:r>
      <w:proofErr w:type="spellStart"/>
      <w:proofErr w:type="gramStart"/>
      <w:r w:rsidR="00631C31">
        <w:t>MyWorkspace</w:t>
      </w:r>
      <w:proofErr w:type="spellEnd"/>
      <w:r w:rsidR="00631C31">
        <w:t>;</w:t>
      </w:r>
      <w:proofErr w:type="gramEnd"/>
    </w:p>
    <w:p w14:paraId="6547584A" w14:textId="557628E4" w:rsidR="00631C31" w:rsidRPr="0010203B" w:rsidRDefault="004D1C3E" w:rsidP="00011B42">
      <w:pPr>
        <w:pStyle w:val="enumlev1"/>
        <w:jc w:val="both"/>
      </w:pPr>
      <w:r>
        <w:t>–</w:t>
      </w:r>
      <w:r>
        <w:tab/>
      </w:r>
      <w:r w:rsidR="00631C31">
        <w:t xml:space="preserve">le renforcement de la gouvernance, de l'architecture d'entreprise et de la gestion de </w:t>
      </w:r>
      <w:proofErr w:type="gramStart"/>
      <w:r w:rsidR="00631C31">
        <w:t>portefeuilles</w:t>
      </w:r>
      <w:r w:rsidR="00631C31" w:rsidRPr="0010203B">
        <w:t>;</w:t>
      </w:r>
      <w:proofErr w:type="gramEnd"/>
      <w:r w:rsidR="00631C31">
        <w:t xml:space="preserve"> et</w:t>
      </w:r>
    </w:p>
    <w:p w14:paraId="7D12FB73" w14:textId="48BC6803" w:rsidR="00631C31" w:rsidRPr="0010203B" w:rsidRDefault="004D1C3E" w:rsidP="00011B42">
      <w:pPr>
        <w:pStyle w:val="enumlev1"/>
        <w:jc w:val="both"/>
      </w:pPr>
      <w:r>
        <w:t>–</w:t>
      </w:r>
      <w:r>
        <w:tab/>
      </w:r>
      <w:r w:rsidR="00631C31">
        <w:t>la mise hors service des anciennes plates-formes et la réduction des doublons.</w:t>
      </w:r>
    </w:p>
    <w:p w14:paraId="5C45728C" w14:textId="08EF2AB7" w:rsidR="00631C31" w:rsidRDefault="00631C31" w:rsidP="00011B42">
      <w:pPr>
        <w:jc w:val="both"/>
      </w:pPr>
      <w:r>
        <w:t xml:space="preserve">En utilisant une partie de l'excédent dégagé en 2025 pour financer ces activités, l'UIT peut accélérer la transformation tout en contenant les coûts sur </w:t>
      </w:r>
      <w:proofErr w:type="gramStart"/>
      <w:r>
        <w:t>les moyen</w:t>
      </w:r>
      <w:proofErr w:type="gramEnd"/>
      <w:r>
        <w:t xml:space="preserve"> et </w:t>
      </w:r>
      <w:proofErr w:type="gramStart"/>
      <w:r>
        <w:t>long termes</w:t>
      </w:r>
      <w:proofErr w:type="gramEnd"/>
      <w:r>
        <w:t>, en</w:t>
      </w:r>
      <w:r w:rsidR="0063336D">
        <w:t xml:space="preserve"> </w:t>
      </w:r>
      <w:r>
        <w:t>renforçant les contrôles internes et en réduisant les risques opérationnels, sans créer de</w:t>
      </w:r>
      <w:r w:rsidR="004E6D50">
        <w:t xml:space="preserve"> </w:t>
      </w:r>
      <w:r>
        <w:t>pression structurelle permanente sur le budget de base.</w:t>
      </w:r>
    </w:p>
    <w:p w14:paraId="6F4843CA" w14:textId="5A466A7F" w:rsidR="00631C31" w:rsidRPr="0010203B" w:rsidRDefault="00631C31" w:rsidP="00E05EC9">
      <w:pPr>
        <w:pStyle w:val="Heading1"/>
      </w:pPr>
      <w:r w:rsidRPr="0010203B">
        <w:t>5</w:t>
      </w:r>
      <w:r w:rsidRPr="0010203B">
        <w:tab/>
      </w:r>
      <w:r>
        <w:t>Mesures en faveur de la continuité des activités</w:t>
      </w:r>
    </w:p>
    <w:p w14:paraId="425DA1E8" w14:textId="77777777" w:rsidR="00631C31" w:rsidRDefault="00631C31" w:rsidP="00011B42">
      <w:pPr>
        <w:jc w:val="both"/>
      </w:pPr>
      <w:r>
        <w:t xml:space="preserve">Dans la droite ligne du plan de continuité des activités pendant les travaux de construction du siège, il est proposé d'affecter un montant de </w:t>
      </w:r>
      <w:r>
        <w:rPr>
          <w:b/>
          <w:bCs/>
        </w:rPr>
        <w:t>1,50 millions CHF</w:t>
      </w:r>
      <w:r>
        <w:t xml:space="preserve"> pour assurer la continuité des activités de l'UIT pendant la phase de construction.</w:t>
      </w:r>
    </w:p>
    <w:p w14:paraId="1D190F22" w14:textId="49E46DE2" w:rsidR="00631C31" w:rsidRPr="00EE408C" w:rsidRDefault="00631C31" w:rsidP="00011B42">
      <w:pPr>
        <w:jc w:val="both"/>
      </w:pPr>
      <w:r>
        <w:t>L'objectif, énoncé dans le plan de continuité des activités, est de garantir la poursuite des activités essentielles de l'UIT et des services d'appui connexes au siège de Genève pendant les travaux de construction.</w:t>
      </w:r>
    </w:p>
    <w:p w14:paraId="65665AA0" w14:textId="77777777" w:rsidR="00631C31" w:rsidRPr="0010203B" w:rsidRDefault="00631C31" w:rsidP="00011B42">
      <w:pPr>
        <w:keepNext/>
        <w:jc w:val="both"/>
        <w:rPr>
          <w:szCs w:val="24"/>
        </w:rPr>
      </w:pPr>
      <w:r>
        <w:t xml:space="preserve">Plus particulièrement, cette affectation concerne les mesures transitoires et opérationnelles pour assurer la continuité, </w:t>
      </w:r>
      <w:proofErr w:type="gramStart"/>
      <w:r>
        <w:t>notamment:</w:t>
      </w:r>
      <w:proofErr w:type="gramEnd"/>
    </w:p>
    <w:p w14:paraId="22AF8CB6" w14:textId="1DF36627" w:rsidR="00631C31" w:rsidRDefault="004D1C3E" w:rsidP="00011B42">
      <w:pPr>
        <w:pStyle w:val="enumlev1"/>
        <w:jc w:val="both"/>
      </w:pPr>
      <w:r>
        <w:t>–</w:t>
      </w:r>
      <w:r>
        <w:tab/>
      </w:r>
      <w:r w:rsidR="0063336D">
        <w:t>le r</w:t>
      </w:r>
      <w:r w:rsidR="00631C31" w:rsidRPr="0010203B">
        <w:t>elo</w:t>
      </w:r>
      <w:r w:rsidR="00631C31">
        <w:t xml:space="preserve">gement du personnel et </w:t>
      </w:r>
      <w:r w:rsidR="0063336D">
        <w:t xml:space="preserve">la </w:t>
      </w:r>
      <w:r w:rsidR="00631C31">
        <w:t>reconfiguration de l'espace de travail dans les bâtiments de la Tour et Montbrillant selon le modèle de partage de bureaux et d'optimisation de</w:t>
      </w:r>
      <w:r w:rsidR="004E6D50">
        <w:t xml:space="preserve"> </w:t>
      </w:r>
      <w:proofErr w:type="gramStart"/>
      <w:r w:rsidR="00631C31">
        <w:t>l'espace;</w:t>
      </w:r>
      <w:proofErr w:type="gramEnd"/>
    </w:p>
    <w:p w14:paraId="43B5DAC3" w14:textId="791018D8" w:rsidR="00631C31" w:rsidRPr="0010203B" w:rsidRDefault="004D1C3E" w:rsidP="00011B42">
      <w:pPr>
        <w:pStyle w:val="enumlev1"/>
        <w:jc w:val="both"/>
      </w:pPr>
      <w:r>
        <w:t>–</w:t>
      </w:r>
      <w:r>
        <w:tab/>
      </w:r>
      <w:r w:rsidR="0063336D">
        <w:t>l'a</w:t>
      </w:r>
      <w:r w:rsidR="00631C31">
        <w:t xml:space="preserve">daptation des services d'appui pour maintenir les opérations essentielles pour le bâtiment, le bien-être et la santé, la sécurité et les capacités de </w:t>
      </w:r>
      <w:proofErr w:type="gramStart"/>
      <w:r w:rsidR="00631C31">
        <w:t>conférence</w:t>
      </w:r>
      <w:r w:rsidR="00631C31" w:rsidRPr="0010203B">
        <w:t>;</w:t>
      </w:r>
      <w:proofErr w:type="gramEnd"/>
    </w:p>
    <w:p w14:paraId="329650F8" w14:textId="78B12B5B" w:rsidR="00631C31" w:rsidRPr="0010203B" w:rsidRDefault="004D1C3E" w:rsidP="00011B42">
      <w:pPr>
        <w:pStyle w:val="enumlev1"/>
        <w:jc w:val="both"/>
      </w:pPr>
      <w:r>
        <w:t>–</w:t>
      </w:r>
      <w:r>
        <w:tab/>
      </w:r>
      <w:r w:rsidR="0063336D">
        <w:t>le m</w:t>
      </w:r>
      <w:r w:rsidR="00631C31">
        <w:t>aintien des activités statutaires et opérationnelles essentielles, y compris les</w:t>
      </w:r>
      <w:r w:rsidR="004E6D50">
        <w:t xml:space="preserve"> </w:t>
      </w:r>
      <w:r w:rsidR="00631C31">
        <w:t xml:space="preserve">conférences, les réunions hybrides et les fonctions institutionnelles </w:t>
      </w:r>
      <w:proofErr w:type="gramStart"/>
      <w:r w:rsidR="00631C31">
        <w:t>clés</w:t>
      </w:r>
      <w:r w:rsidR="00631C31" w:rsidRPr="0010203B">
        <w:t>;</w:t>
      </w:r>
      <w:proofErr w:type="gramEnd"/>
      <w:r w:rsidR="00631C31">
        <w:t xml:space="preserve"> et</w:t>
      </w:r>
    </w:p>
    <w:p w14:paraId="4BAD03AC" w14:textId="78FDFB5D" w:rsidR="00631C31" w:rsidRPr="0010203B" w:rsidRDefault="004D1C3E" w:rsidP="00011B42">
      <w:pPr>
        <w:pStyle w:val="enumlev1"/>
        <w:jc w:val="both"/>
      </w:pPr>
      <w:r>
        <w:lastRenderedPageBreak/>
        <w:t>–</w:t>
      </w:r>
      <w:r>
        <w:tab/>
      </w:r>
      <w:r w:rsidR="0063336D">
        <w:t>les a</w:t>
      </w:r>
      <w:r w:rsidR="00631C31">
        <w:t>justements opérationnels temporaires nécessaires pour gérer la gêne, les contraintes de stockage et la réduction des capacités sur site</w:t>
      </w:r>
      <w:r w:rsidR="00631C31" w:rsidRPr="0010203B">
        <w:t>.</w:t>
      </w:r>
    </w:p>
    <w:p w14:paraId="4772C58F" w14:textId="77777777" w:rsidR="00631C31" w:rsidRPr="0010203B" w:rsidRDefault="00631C31" w:rsidP="00011B42">
      <w:pPr>
        <w:jc w:val="both"/>
      </w:pPr>
      <w:r>
        <w:t>Les besoins additionnels à plus long terme liés aux travaux de construction seront traités dans le cadre du Plan financier pour la période 2028-2031</w:t>
      </w:r>
      <w:r w:rsidRPr="0010203B">
        <w:t>.</w:t>
      </w:r>
    </w:p>
    <w:p w14:paraId="1911E441" w14:textId="23B190DA" w:rsidR="00631C31" w:rsidRPr="0010203B" w:rsidRDefault="00631C31" w:rsidP="00E05EC9">
      <w:pPr>
        <w:pStyle w:val="Heading1"/>
      </w:pPr>
      <w:r w:rsidRPr="0010203B">
        <w:t>6</w:t>
      </w:r>
      <w:r w:rsidRPr="0010203B">
        <w:tab/>
        <w:t>Initiatives</w:t>
      </w:r>
      <w:r>
        <w:t xml:space="preserve"> régionales</w:t>
      </w:r>
    </w:p>
    <w:p w14:paraId="5E6E5B44" w14:textId="353198F7" w:rsidR="00631C31" w:rsidRPr="00E500DF" w:rsidRDefault="00631C31" w:rsidP="00011B42">
      <w:pPr>
        <w:jc w:val="both"/>
      </w:pPr>
      <w:r>
        <w:t>Conformément à la pratique établie après les conférences mondiales de développement des télécommunications, il est proposé d'affecter de manière ciblée un montant de</w:t>
      </w:r>
      <w:r w:rsidR="0063336D">
        <w:t> </w:t>
      </w:r>
      <w:r w:rsidRPr="00E500DF">
        <w:rPr>
          <w:b/>
          <w:bCs/>
        </w:rPr>
        <w:t>1,3</w:t>
      </w:r>
      <w:r w:rsidR="00573353">
        <w:rPr>
          <w:b/>
          <w:bCs/>
        </w:rPr>
        <w:t> </w:t>
      </w:r>
      <w:r w:rsidRPr="00E500DF">
        <w:rPr>
          <w:b/>
          <w:bCs/>
        </w:rPr>
        <w:t>millions</w:t>
      </w:r>
      <w:r w:rsidR="00573353">
        <w:rPr>
          <w:b/>
          <w:bCs/>
        </w:rPr>
        <w:t> </w:t>
      </w:r>
      <w:r w:rsidRPr="00E500DF">
        <w:rPr>
          <w:b/>
          <w:bCs/>
        </w:rPr>
        <w:t>CHF</w:t>
      </w:r>
      <w:r>
        <w:t xml:space="preserve"> pour appuyer le Bureau de développement des télécommunications (BDT) à</w:t>
      </w:r>
      <w:r w:rsidR="0063336D">
        <w:t xml:space="preserve"> </w:t>
      </w:r>
      <w:r>
        <w:t xml:space="preserve">mettre en œuvre sans délai les initiatives régionales adoptées à la </w:t>
      </w:r>
      <w:proofErr w:type="spellStart"/>
      <w:r>
        <w:t>CMDT</w:t>
      </w:r>
      <w:proofErr w:type="spellEnd"/>
      <w:r>
        <w:t xml:space="preserve">-25. Sur ce montant, </w:t>
      </w:r>
      <w:r>
        <w:rPr>
          <w:b/>
          <w:bCs/>
        </w:rPr>
        <w:t>500 000</w:t>
      </w:r>
      <w:r w:rsidR="00573353">
        <w:rPr>
          <w:b/>
          <w:bCs/>
        </w:rPr>
        <w:t> </w:t>
      </w:r>
      <w:r>
        <w:rPr>
          <w:b/>
          <w:bCs/>
        </w:rPr>
        <w:t>CHF</w:t>
      </w:r>
      <w:r>
        <w:t xml:space="preserve"> seront affectés directement pour financer les activités menées par le</w:t>
      </w:r>
      <w:r w:rsidR="004E6D50">
        <w:t xml:space="preserve"> </w:t>
      </w:r>
      <w:r>
        <w:t xml:space="preserve">Bureau et </w:t>
      </w:r>
      <w:r>
        <w:rPr>
          <w:b/>
          <w:bCs/>
        </w:rPr>
        <w:t>800 </w:t>
      </w:r>
      <w:proofErr w:type="spellStart"/>
      <w:r>
        <w:rPr>
          <w:b/>
          <w:bCs/>
        </w:rPr>
        <w:t>000CHF</w:t>
      </w:r>
      <w:proofErr w:type="spellEnd"/>
      <w:r>
        <w:t xml:space="preserve"> seront versés sur le Fonds pour le développement des TIC en vue de financer les projets du BDT menés en partenariat avec des bailleurs de fonds. Le BDT a</w:t>
      </w:r>
      <w:r w:rsidR="004E6D50">
        <w:t xml:space="preserve"> </w:t>
      </w:r>
      <w:r>
        <w:t xml:space="preserve">confirmé qu'il sera répondu aux autres besoins en matière de mise en œuvre liés à la </w:t>
      </w:r>
      <w:proofErr w:type="spellStart"/>
      <w:r>
        <w:t>CMDT</w:t>
      </w:r>
      <w:proofErr w:type="spellEnd"/>
      <w:r w:rsidR="006D0D15">
        <w:noBreakHyphen/>
      </w:r>
      <w:r>
        <w:t>2025 dans le cadre des crédits financiers actuellement alloués.</w:t>
      </w:r>
    </w:p>
    <w:p w14:paraId="4AB02EBF" w14:textId="2D13A9C1" w:rsidR="00631C31" w:rsidRPr="0010203B" w:rsidRDefault="00631C31" w:rsidP="00011B42">
      <w:pPr>
        <w:jc w:val="both"/>
      </w:pPr>
      <w:r>
        <w:t xml:space="preserve">La </w:t>
      </w:r>
      <w:proofErr w:type="spellStart"/>
      <w:r>
        <w:t>CMDT</w:t>
      </w:r>
      <w:proofErr w:type="spellEnd"/>
      <w:r>
        <w:t>-2025 a réaffirmé le rôle central que joue l'UIT-D dans la promotion de la transformation numérique, de l'expansion de la connectivité et du développement des capacités, en particulier dans les pays en développement, les pays les moins avancés (PMA), les petits États insulaires en développement (</w:t>
      </w:r>
      <w:proofErr w:type="spellStart"/>
      <w:r>
        <w:t>PEID</w:t>
      </w:r>
      <w:proofErr w:type="spellEnd"/>
      <w:r>
        <w:t>) et les pays en développement sans littoral (</w:t>
      </w:r>
      <w:proofErr w:type="spellStart"/>
      <w:r>
        <w:t>PDSL</w:t>
      </w:r>
      <w:proofErr w:type="spellEnd"/>
      <w:r>
        <w:t xml:space="preserve">). La </w:t>
      </w:r>
      <w:r w:rsidR="0063336D">
        <w:t>c</w:t>
      </w:r>
      <w:r>
        <w:t>onférence a adopté des Résolutions et des résultats appelant des activités concrètes exigeant une assistance technique plus rapide, une exécution plus efficace des projets et des mécanismes de mise en œuvre renforcés.</w:t>
      </w:r>
    </w:p>
    <w:p w14:paraId="63FE3691" w14:textId="5B8F0376" w:rsidR="00631C31" w:rsidRPr="0010203B" w:rsidRDefault="00631C31" w:rsidP="00011B42">
      <w:pPr>
        <w:jc w:val="both"/>
        <w:rPr>
          <w:szCs w:val="24"/>
        </w:rPr>
      </w:pPr>
      <w:r>
        <w:rPr>
          <w:szCs w:val="24"/>
        </w:rPr>
        <w:t xml:space="preserve">L'affectation de ces crédits aiderait directement à transformer les décisions de la </w:t>
      </w:r>
      <w:r w:rsidR="0063336D">
        <w:rPr>
          <w:szCs w:val="24"/>
        </w:rPr>
        <w:t>c</w:t>
      </w:r>
      <w:r>
        <w:rPr>
          <w:szCs w:val="24"/>
        </w:rPr>
        <w:t xml:space="preserve">onférence en programmes concrets exécutés, et ainsi à faire en sorte que la mise en œuvre des résultats de la </w:t>
      </w:r>
      <w:proofErr w:type="spellStart"/>
      <w:r>
        <w:rPr>
          <w:szCs w:val="24"/>
        </w:rPr>
        <w:t>CMDT</w:t>
      </w:r>
      <w:proofErr w:type="spellEnd"/>
      <w:r>
        <w:rPr>
          <w:szCs w:val="24"/>
        </w:rPr>
        <w:t>-25 ne soit pas reportée à cause de contraintes liées aux délais de mise</w:t>
      </w:r>
      <w:r w:rsidR="004E6D50">
        <w:rPr>
          <w:szCs w:val="24"/>
        </w:rPr>
        <w:t xml:space="preserve"> </w:t>
      </w:r>
      <w:r>
        <w:rPr>
          <w:szCs w:val="24"/>
        </w:rPr>
        <w:t>à</w:t>
      </w:r>
      <w:r w:rsidR="0063336D">
        <w:rPr>
          <w:szCs w:val="24"/>
        </w:rPr>
        <w:t xml:space="preserve"> </w:t>
      </w:r>
      <w:r>
        <w:rPr>
          <w:szCs w:val="24"/>
        </w:rPr>
        <w:t>disposition des ressources</w:t>
      </w:r>
      <w:r w:rsidRPr="0010203B">
        <w:rPr>
          <w:szCs w:val="24"/>
        </w:rPr>
        <w:t>.</w:t>
      </w:r>
      <w:r>
        <w:rPr>
          <w:szCs w:val="24"/>
        </w:rPr>
        <w:t xml:space="preserve"> Elle constitue un renforcement limité dans le temps de la</w:t>
      </w:r>
      <w:r w:rsidR="0063336D">
        <w:rPr>
          <w:szCs w:val="24"/>
        </w:rPr>
        <w:t xml:space="preserve"> </w:t>
      </w:r>
      <w:r>
        <w:rPr>
          <w:szCs w:val="24"/>
        </w:rPr>
        <w:t>capacité d'exécution plutôt qu'une hausse structurelle du budget de base.</w:t>
      </w:r>
    </w:p>
    <w:p w14:paraId="2A804912" w14:textId="04484C9E" w:rsidR="00631C31" w:rsidRPr="0010203B" w:rsidRDefault="00631C31" w:rsidP="00E05EC9">
      <w:pPr>
        <w:pStyle w:val="Heading1"/>
        <w:keepNext w:val="0"/>
        <w:keepLines w:val="0"/>
      </w:pPr>
      <w:r w:rsidRPr="0010203B">
        <w:t>7</w:t>
      </w:r>
      <w:r w:rsidRPr="0010203B">
        <w:tab/>
        <w:t xml:space="preserve">Initiatives </w:t>
      </w:r>
      <w:r>
        <w:t>dans le domaine de l'IA</w:t>
      </w:r>
    </w:p>
    <w:p w14:paraId="167FFCB3" w14:textId="77777777" w:rsidR="00631C31" w:rsidRPr="003339A0" w:rsidRDefault="00631C31" w:rsidP="00011B42">
      <w:pPr>
        <w:jc w:val="both"/>
      </w:pPr>
      <w:r>
        <w:t xml:space="preserve">Il est proposé d'affecter un montant de </w:t>
      </w:r>
      <w:r w:rsidRPr="0010203B">
        <w:rPr>
          <w:b/>
        </w:rPr>
        <w:t>1 million</w:t>
      </w:r>
      <w:r>
        <w:rPr>
          <w:b/>
        </w:rPr>
        <w:t xml:space="preserve"> CHF</w:t>
      </w:r>
      <w:r>
        <w:t xml:space="preserve"> pour appuyer les missions prioritaires découlant de l'</w:t>
      </w:r>
      <w:proofErr w:type="spellStart"/>
      <w:r>
        <w:t>AMNT</w:t>
      </w:r>
      <w:proofErr w:type="spellEnd"/>
      <w:r>
        <w:t>-24 et renforcer la position de chef de file de l'UIT en matière d'IA et d'innovation.</w:t>
      </w:r>
    </w:p>
    <w:p w14:paraId="470E2B9B" w14:textId="04D91F87" w:rsidR="00631C31" w:rsidRPr="0010203B" w:rsidRDefault="00631C31" w:rsidP="004D1C3E">
      <w:pPr>
        <w:jc w:val="both"/>
      </w:pPr>
      <w:r>
        <w:t>Mettant à profit le Fonds pour l'IA, établi en 2025 après la décision du Conseil d'allouer des ressources correspondantes, cette affectation permettrait de renforcer encore la plate</w:t>
      </w:r>
      <w:r w:rsidR="006D0D15">
        <w:noBreakHyphen/>
      </w:r>
      <w:r>
        <w:t>forme de l'UIT sur l'IA au service du bien social et la mise en œuvre d'autres mandats dans le domaine de l'IA, en appuyant l'exécution de programmes, les partenariats et le</w:t>
      </w:r>
      <w:r w:rsidR="0063336D">
        <w:t xml:space="preserve"> </w:t>
      </w:r>
      <w:r>
        <w:t>dialogue technique sur une IA éthique et inclusive. Elle soutient le rôle de coordination de</w:t>
      </w:r>
      <w:r w:rsidR="0063336D">
        <w:t xml:space="preserve"> </w:t>
      </w:r>
      <w:r>
        <w:t>l'UIT et établit un lien entre innovation et élaboration de normes internationales.</w:t>
      </w:r>
    </w:p>
    <w:p w14:paraId="05ABA537" w14:textId="64B00809" w:rsidR="00631C31" w:rsidRPr="0010203B" w:rsidRDefault="00631C31" w:rsidP="00E05EC9">
      <w:pPr>
        <w:pStyle w:val="Heading1"/>
        <w:keepNext w:val="0"/>
        <w:keepLines w:val="0"/>
      </w:pPr>
      <w:r w:rsidRPr="0010203B">
        <w:t>8</w:t>
      </w:r>
      <w:r w:rsidRPr="0010203B">
        <w:tab/>
      </w:r>
      <w:r>
        <w:t>Versement sur le Fonds de réserve de l'UIT</w:t>
      </w:r>
    </w:p>
    <w:p w14:paraId="24EDE288" w14:textId="1520A8FB" w:rsidR="00631C31" w:rsidRDefault="00631C31" w:rsidP="00011B42">
      <w:pPr>
        <w:jc w:val="both"/>
      </w:pPr>
      <w:r>
        <w:t>Le secrétariat propose que le reste de l'excédent dégagé en 2025, soit un montant de</w:t>
      </w:r>
      <w:r w:rsidR="0063336D">
        <w:t> </w:t>
      </w:r>
      <w:r w:rsidRPr="00F40042">
        <w:rPr>
          <w:b/>
          <w:bCs/>
        </w:rPr>
        <w:t>0,70</w:t>
      </w:r>
      <w:r w:rsidR="00573353">
        <w:rPr>
          <w:b/>
          <w:bCs/>
        </w:rPr>
        <w:t> </w:t>
      </w:r>
      <w:r w:rsidRPr="00F40042">
        <w:rPr>
          <w:b/>
          <w:bCs/>
        </w:rPr>
        <w:t>millions CHF</w:t>
      </w:r>
      <w:r>
        <w:t>, soit versé sur le Fonds de réserve de l'UIT afin d'accroître la résilience financière de l'Union.</w:t>
      </w:r>
    </w:p>
    <w:p w14:paraId="5518540C" w14:textId="02C1D17D" w:rsidR="00631C31" w:rsidRDefault="00DA1ABD" w:rsidP="00011B42">
      <w:pPr>
        <w:jc w:val="both"/>
        <w:rPr>
          <w:szCs w:val="24"/>
        </w:rPr>
      </w:pPr>
      <w:r>
        <w:rPr>
          <w:szCs w:val="24"/>
        </w:rPr>
        <w:lastRenderedPageBreak/>
        <w:t>La consolidation</w:t>
      </w:r>
      <w:r w:rsidR="00631C31">
        <w:rPr>
          <w:szCs w:val="24"/>
        </w:rPr>
        <w:t xml:space="preserve"> du Fonds de réserve renforcera la capacité de l'UIT de gérer la volatilité des produits, les risques liés à la mise en œuvre et l'incertitude économique extérieure, en</w:t>
      </w:r>
      <w:r w:rsidR="004E6D50">
        <w:rPr>
          <w:szCs w:val="24"/>
        </w:rPr>
        <w:t> </w:t>
      </w:r>
      <w:r w:rsidR="00631C31">
        <w:rPr>
          <w:szCs w:val="24"/>
        </w:rPr>
        <w:t>particulier alors que l'Union entame l'exercice biennal 2026-2027 avec un cadre budgétaire soumis à des contraintes et fait face à des pressions financières sur le moyen terme. Il est indispensable de maintenir un niveau de réserve adéquat pour préserver la</w:t>
      </w:r>
      <w:r w:rsidR="0063336D">
        <w:rPr>
          <w:szCs w:val="24"/>
        </w:rPr>
        <w:t xml:space="preserve"> </w:t>
      </w:r>
      <w:r w:rsidR="00631C31">
        <w:rPr>
          <w:szCs w:val="24"/>
        </w:rPr>
        <w:t>stabilité des programmes, protéger les activités essentielles et garantir la crédibilité institutionnelle.</w:t>
      </w:r>
    </w:p>
    <w:p w14:paraId="0D796017" w14:textId="77777777" w:rsidR="00631C31" w:rsidRPr="00011B42" w:rsidRDefault="00631C31" w:rsidP="004D1C3E">
      <w:pPr>
        <w:spacing w:before="2400" w:after="120"/>
        <w:rPr>
          <w:rFonts w:cs="Calibri"/>
          <w:b/>
          <w:bCs/>
          <w:szCs w:val="24"/>
        </w:rPr>
      </w:pPr>
      <w:proofErr w:type="gramStart"/>
      <w:r w:rsidRPr="00011B42">
        <w:rPr>
          <w:rFonts w:cs="Calibri"/>
          <w:b/>
          <w:bCs/>
          <w:szCs w:val="24"/>
        </w:rPr>
        <w:t>Annexe:</w:t>
      </w:r>
      <w:proofErr w:type="gramEnd"/>
      <w:r w:rsidRPr="00011B42">
        <w:rPr>
          <w:rFonts w:cs="Calibri"/>
          <w:b/>
          <w:bCs/>
          <w:szCs w:val="24"/>
        </w:rPr>
        <w:t xml:space="preserve"> </w:t>
      </w:r>
      <w:r w:rsidRPr="00011B42">
        <w:rPr>
          <w:rFonts w:cs="Calibri"/>
          <w:szCs w:val="24"/>
        </w:rPr>
        <w:t>1</w:t>
      </w:r>
    </w:p>
    <w:p w14:paraId="04681A97" w14:textId="77777777" w:rsidR="00631C31" w:rsidRPr="0010203B" w:rsidRDefault="00631C31" w:rsidP="00631C31">
      <w:pPr>
        <w:tabs>
          <w:tab w:val="clear" w:pos="567"/>
          <w:tab w:val="clear" w:pos="1134"/>
          <w:tab w:val="clear" w:pos="1701"/>
          <w:tab w:val="clear" w:pos="2268"/>
          <w:tab w:val="clear" w:pos="2835"/>
          <w:tab w:val="left" w:pos="709"/>
        </w:tabs>
        <w:snapToGrid w:val="0"/>
        <w:spacing w:after="120"/>
        <w:jc w:val="both"/>
        <w:rPr>
          <w:rFonts w:eastAsia="SimSun" w:cs="Calibri"/>
          <w:b/>
          <w:szCs w:val="24"/>
        </w:rPr>
      </w:pPr>
      <w:r w:rsidRPr="0010203B">
        <w:rPr>
          <w:rFonts w:eastAsia="SimSun" w:cs="Calibri"/>
          <w:b/>
          <w:szCs w:val="24"/>
        </w:rPr>
        <w:br w:type="page"/>
      </w:r>
    </w:p>
    <w:p w14:paraId="28D0CA3B" w14:textId="77777777" w:rsidR="00631C31" w:rsidRPr="0010203B" w:rsidRDefault="00631C31" w:rsidP="00631C31">
      <w:pPr>
        <w:pStyle w:val="AnnexNo"/>
      </w:pPr>
      <w:bookmarkStart w:id="0" w:name="Annex"/>
      <w:r w:rsidRPr="0010203B">
        <w:lastRenderedPageBreak/>
        <w:t>ANNEX</w:t>
      </w:r>
      <w:bookmarkEnd w:id="0"/>
      <w:r>
        <w:t>E</w:t>
      </w:r>
    </w:p>
    <w:p w14:paraId="6CEAF5D3" w14:textId="77777777" w:rsidR="00631C31" w:rsidRPr="0010203B" w:rsidRDefault="00631C31" w:rsidP="0063336D">
      <w:pPr>
        <w:pStyle w:val="ResNo"/>
      </w:pPr>
      <w:r>
        <w:t>PRojet de nouvelle résolution</w:t>
      </w:r>
      <w:r w:rsidRPr="0010203B">
        <w:t xml:space="preserve"> [...]</w:t>
      </w:r>
    </w:p>
    <w:p w14:paraId="0CE588EE" w14:textId="1312A065" w:rsidR="00631C31" w:rsidRPr="0010203B" w:rsidRDefault="00631C31" w:rsidP="0063336D">
      <w:pPr>
        <w:pStyle w:val="Restitle"/>
      </w:pPr>
      <w:r w:rsidRPr="005331C5">
        <w:t>Affectation des économies réalisées dans le cadre de</w:t>
      </w:r>
      <w:r w:rsidR="006D0D15">
        <w:br/>
      </w:r>
      <w:r w:rsidRPr="005331C5">
        <w:t>l'exécution du budget pour 2025</w:t>
      </w:r>
    </w:p>
    <w:p w14:paraId="5CC2CDE1" w14:textId="77777777" w:rsidR="00631C31" w:rsidRPr="0010203B" w:rsidRDefault="00631C31" w:rsidP="0063336D">
      <w:pPr>
        <w:pStyle w:val="Normalaftertitle"/>
      </w:pPr>
      <w:r w:rsidRPr="005331C5">
        <w:t>Le Conseil de l'UIT</w:t>
      </w:r>
      <w:r w:rsidRPr="0010203B">
        <w:t>,</w:t>
      </w:r>
    </w:p>
    <w:p w14:paraId="38610C27" w14:textId="77777777" w:rsidR="00631C31" w:rsidRPr="0010203B" w:rsidRDefault="00631C31" w:rsidP="0063336D">
      <w:pPr>
        <w:pStyle w:val="Call"/>
      </w:pPr>
      <w:proofErr w:type="gramStart"/>
      <w:r w:rsidRPr="005331C5">
        <w:t>ayant</w:t>
      </w:r>
      <w:proofErr w:type="gramEnd"/>
      <w:r w:rsidRPr="005331C5">
        <w:t xml:space="preserve"> examiné</w:t>
      </w:r>
    </w:p>
    <w:p w14:paraId="7E1BFEB8" w14:textId="77777777" w:rsidR="00631C31" w:rsidRPr="0010203B" w:rsidRDefault="00631C31" w:rsidP="004D1C3E">
      <w:pPr>
        <w:jc w:val="both"/>
        <w:rPr>
          <w:rFonts w:cs="Calibri"/>
          <w:szCs w:val="24"/>
        </w:rPr>
      </w:pPr>
      <w:proofErr w:type="gramStart"/>
      <w:r w:rsidRPr="005331C5">
        <w:rPr>
          <w:rFonts w:cs="Calibri"/>
        </w:rPr>
        <w:t>les</w:t>
      </w:r>
      <w:proofErr w:type="gramEnd"/>
      <w:r w:rsidRPr="005331C5">
        <w:rPr>
          <w:rFonts w:cs="Calibri"/>
        </w:rPr>
        <w:t xml:space="preserve"> économies réalisées dans le cadre de la mise en œuvre du budget de</w:t>
      </w:r>
      <w:r>
        <w:rPr>
          <w:rFonts w:cs="Calibri"/>
        </w:rPr>
        <w:t xml:space="preserve"> </w:t>
      </w:r>
      <w:r w:rsidRPr="0010203B">
        <w:rPr>
          <w:rFonts w:cs="Calibri"/>
        </w:rPr>
        <w:t>2025</w:t>
      </w:r>
      <w:r>
        <w:rPr>
          <w:rFonts w:cs="Calibri"/>
        </w:rPr>
        <w:t xml:space="preserve">, </w:t>
      </w:r>
      <w:r w:rsidRPr="005331C5">
        <w:rPr>
          <w:rFonts w:cs="Calibri"/>
        </w:rPr>
        <w:t>d'un montant de</w:t>
      </w:r>
      <w:r>
        <w:rPr>
          <w:rFonts w:cs="Calibri"/>
        </w:rPr>
        <w:t xml:space="preserve"> </w:t>
      </w:r>
      <w:r w:rsidRPr="0010203B">
        <w:rPr>
          <w:rFonts w:cs="Calibri"/>
        </w:rPr>
        <w:t>10</w:t>
      </w:r>
      <w:r>
        <w:rPr>
          <w:rFonts w:cs="Calibri"/>
        </w:rPr>
        <w:t>,</w:t>
      </w:r>
      <w:r w:rsidRPr="0010203B">
        <w:rPr>
          <w:rFonts w:cs="Calibri"/>
        </w:rPr>
        <w:t>8 million</w:t>
      </w:r>
      <w:r>
        <w:rPr>
          <w:rFonts w:cs="Calibri"/>
        </w:rPr>
        <w:t>s CHF</w:t>
      </w:r>
      <w:r w:rsidRPr="0010203B">
        <w:rPr>
          <w:rFonts w:cs="Calibri"/>
        </w:rPr>
        <w:t>,</w:t>
      </w:r>
    </w:p>
    <w:p w14:paraId="1307CEC9" w14:textId="77777777" w:rsidR="00631C31" w:rsidRPr="0010203B" w:rsidRDefault="00631C31" w:rsidP="0063336D">
      <w:pPr>
        <w:pStyle w:val="Call"/>
      </w:pPr>
      <w:proofErr w:type="gramStart"/>
      <w:r w:rsidRPr="005331C5">
        <w:t>décide</w:t>
      </w:r>
      <w:proofErr w:type="gramEnd"/>
    </w:p>
    <w:p w14:paraId="2D94A4E6" w14:textId="2C5CA1E3" w:rsidR="00631C31" w:rsidRDefault="00631C31" w:rsidP="004D1C3E">
      <w:pPr>
        <w:jc w:val="both"/>
        <w:rPr>
          <w:rFonts w:cs="Calibri"/>
          <w:lang w:eastAsia="en-GB"/>
        </w:rPr>
      </w:pPr>
      <w:r>
        <w:t>d'affecter ces économies comme suit: départs par accord mutuel</w:t>
      </w:r>
      <w:r w:rsidRPr="0010203B">
        <w:rPr>
          <w:rFonts w:cs="Calibri"/>
          <w:lang w:eastAsia="en-GB"/>
        </w:rPr>
        <w:t xml:space="preserve"> (2</w:t>
      </w:r>
      <w:r>
        <w:rPr>
          <w:rFonts w:cs="Calibri"/>
          <w:lang w:eastAsia="en-GB"/>
        </w:rPr>
        <w:t>,</w:t>
      </w:r>
      <w:r w:rsidRPr="0010203B">
        <w:rPr>
          <w:rFonts w:cs="Calibri"/>
          <w:lang w:eastAsia="en-GB"/>
        </w:rPr>
        <w:t>5 million</w:t>
      </w:r>
      <w:r>
        <w:rPr>
          <w:rFonts w:cs="Calibri"/>
          <w:lang w:eastAsia="en-GB"/>
        </w:rPr>
        <w:t xml:space="preserve">s </w:t>
      </w:r>
      <w:r w:rsidRPr="0010203B">
        <w:rPr>
          <w:rFonts w:cs="Calibri"/>
          <w:lang w:eastAsia="en-GB"/>
        </w:rPr>
        <w:t xml:space="preserve">CHF); </w:t>
      </w:r>
      <w:r>
        <w:rPr>
          <w:rFonts w:cs="Calibri"/>
          <w:lang w:eastAsia="en-GB"/>
        </w:rPr>
        <w:t>résorption du retard pris dans le traitement des fiches de notification de réseaux à satellite</w:t>
      </w:r>
      <w:r w:rsidRPr="0010203B">
        <w:rPr>
          <w:rFonts w:cs="Calibri"/>
          <w:lang w:eastAsia="en-GB"/>
        </w:rPr>
        <w:t xml:space="preserve"> (0</w:t>
      </w:r>
      <w:r>
        <w:rPr>
          <w:rFonts w:cs="Calibri"/>
          <w:lang w:eastAsia="en-GB"/>
        </w:rPr>
        <w:t>,</w:t>
      </w:r>
      <w:r w:rsidRPr="0010203B">
        <w:rPr>
          <w:rFonts w:cs="Calibri"/>
          <w:lang w:eastAsia="en-GB"/>
        </w:rPr>
        <w:t>5 million</w:t>
      </w:r>
      <w:r w:rsidRPr="005331C5">
        <w:rPr>
          <w:rFonts w:cs="Calibri"/>
          <w:lang w:eastAsia="en-GB"/>
        </w:rPr>
        <w:t xml:space="preserve"> </w:t>
      </w:r>
      <w:r w:rsidRPr="0010203B">
        <w:rPr>
          <w:rFonts w:cs="Calibri"/>
          <w:lang w:eastAsia="en-GB"/>
        </w:rPr>
        <w:t xml:space="preserve">CHF); </w:t>
      </w:r>
      <w:r>
        <w:rPr>
          <w:rFonts w:cs="Calibri"/>
          <w:lang w:eastAsia="en-GB"/>
        </w:rPr>
        <w:t>r</w:t>
      </w:r>
      <w:r w:rsidRPr="005331C5">
        <w:rPr>
          <w:rFonts w:cs="Calibri"/>
          <w:lang w:eastAsia="en-GB"/>
        </w:rPr>
        <w:t xml:space="preserve">enforcement et modernisation des systèmes </w:t>
      </w:r>
      <w:r>
        <w:rPr>
          <w:rFonts w:cs="Calibri"/>
          <w:lang w:eastAsia="en-GB"/>
        </w:rPr>
        <w:t>essentiels de traitement des fiches de notification</w:t>
      </w:r>
      <w:r w:rsidRPr="005331C5">
        <w:rPr>
          <w:rFonts w:cs="Calibri"/>
          <w:lang w:eastAsia="en-GB"/>
        </w:rPr>
        <w:t xml:space="preserve"> </w:t>
      </w:r>
      <w:r>
        <w:rPr>
          <w:rFonts w:cs="Calibri"/>
          <w:lang w:eastAsia="en-GB"/>
        </w:rPr>
        <w:t xml:space="preserve">de réseaux à satellite </w:t>
      </w:r>
      <w:r w:rsidRPr="0010203B">
        <w:rPr>
          <w:rFonts w:cs="Calibri"/>
          <w:lang w:eastAsia="en-GB"/>
        </w:rPr>
        <w:t>(1</w:t>
      </w:r>
      <w:r>
        <w:rPr>
          <w:rFonts w:cs="Calibri"/>
          <w:lang w:eastAsia="en-GB"/>
        </w:rPr>
        <w:t>,</w:t>
      </w:r>
      <w:r w:rsidRPr="0010203B">
        <w:rPr>
          <w:rFonts w:cs="Calibri"/>
          <w:lang w:eastAsia="en-GB"/>
        </w:rPr>
        <w:t>3 million</w:t>
      </w:r>
      <w:r w:rsidRPr="005331C5">
        <w:rPr>
          <w:rFonts w:cs="Calibri"/>
          <w:lang w:eastAsia="en-GB"/>
        </w:rPr>
        <w:t xml:space="preserve"> </w:t>
      </w:r>
      <w:r w:rsidRPr="0010203B">
        <w:rPr>
          <w:rFonts w:cs="Calibri"/>
          <w:lang w:eastAsia="en-GB"/>
        </w:rPr>
        <w:t xml:space="preserve">CHF); </w:t>
      </w:r>
      <w:r>
        <w:rPr>
          <w:rFonts w:cs="Calibri"/>
          <w:lang w:eastAsia="en-GB"/>
        </w:rPr>
        <w:t>modernisation des systèmes institutionnels</w:t>
      </w:r>
      <w:r w:rsidRPr="0010203B">
        <w:rPr>
          <w:rFonts w:cs="Calibri"/>
          <w:lang w:eastAsia="en-GB"/>
        </w:rPr>
        <w:t xml:space="preserve"> (1</w:t>
      </w:r>
      <w:r>
        <w:rPr>
          <w:rFonts w:cs="Calibri"/>
          <w:lang w:eastAsia="en-GB"/>
        </w:rPr>
        <w:t>,</w:t>
      </w:r>
      <w:r w:rsidRPr="0010203B">
        <w:rPr>
          <w:rFonts w:cs="Calibri"/>
          <w:lang w:eastAsia="en-GB"/>
        </w:rPr>
        <w:t>45 million</w:t>
      </w:r>
      <w:r w:rsidRPr="005331C5">
        <w:rPr>
          <w:rFonts w:cs="Calibri"/>
          <w:lang w:eastAsia="en-GB"/>
        </w:rPr>
        <w:t xml:space="preserve"> </w:t>
      </w:r>
      <w:r w:rsidRPr="0010203B">
        <w:rPr>
          <w:rFonts w:cs="Calibri"/>
          <w:lang w:eastAsia="en-GB"/>
        </w:rPr>
        <w:t xml:space="preserve">CHF); </w:t>
      </w:r>
      <w:r>
        <w:rPr>
          <w:rFonts w:cs="Calibri"/>
          <w:lang w:eastAsia="en-GB"/>
        </w:rPr>
        <w:t>mesures en faveur de la continuité des activités</w:t>
      </w:r>
      <w:r w:rsidRPr="0010203B">
        <w:rPr>
          <w:rFonts w:cs="Calibri"/>
          <w:lang w:eastAsia="en-GB"/>
        </w:rPr>
        <w:t xml:space="preserve"> (1</w:t>
      </w:r>
      <w:r>
        <w:rPr>
          <w:rFonts w:cs="Calibri"/>
          <w:lang w:eastAsia="en-GB"/>
        </w:rPr>
        <w:t>,</w:t>
      </w:r>
      <w:r w:rsidRPr="0010203B">
        <w:rPr>
          <w:rFonts w:cs="Calibri"/>
          <w:lang w:eastAsia="en-GB"/>
        </w:rPr>
        <w:t>5 million</w:t>
      </w:r>
      <w:r w:rsidR="006D0D15">
        <w:rPr>
          <w:rFonts w:cs="Calibri"/>
          <w:lang w:eastAsia="en-GB"/>
        </w:rPr>
        <w:t> </w:t>
      </w:r>
      <w:r w:rsidRPr="0010203B">
        <w:rPr>
          <w:rFonts w:cs="Calibri"/>
          <w:lang w:eastAsia="en-GB"/>
        </w:rPr>
        <w:t xml:space="preserve">CHF); initiatives </w:t>
      </w:r>
      <w:r>
        <w:rPr>
          <w:rFonts w:cs="Calibri"/>
          <w:lang w:eastAsia="en-GB"/>
        </w:rPr>
        <w:t xml:space="preserve">régionales </w:t>
      </w:r>
      <w:r w:rsidRPr="0010203B">
        <w:rPr>
          <w:rFonts w:cs="Calibri"/>
          <w:lang w:eastAsia="en-GB"/>
        </w:rPr>
        <w:t>(1</w:t>
      </w:r>
      <w:r>
        <w:rPr>
          <w:rFonts w:cs="Calibri"/>
          <w:lang w:eastAsia="en-GB"/>
        </w:rPr>
        <w:t>,</w:t>
      </w:r>
      <w:r w:rsidRPr="0010203B">
        <w:rPr>
          <w:rFonts w:cs="Calibri"/>
          <w:lang w:eastAsia="en-GB"/>
        </w:rPr>
        <w:t>3 million</w:t>
      </w:r>
      <w:r w:rsidRPr="005331C5">
        <w:rPr>
          <w:rFonts w:cs="Calibri"/>
          <w:lang w:eastAsia="en-GB"/>
        </w:rPr>
        <w:t xml:space="preserve"> </w:t>
      </w:r>
      <w:r w:rsidRPr="0010203B">
        <w:rPr>
          <w:rFonts w:cs="Calibri"/>
          <w:lang w:eastAsia="en-GB"/>
        </w:rPr>
        <w:t xml:space="preserve">CHF); </w:t>
      </w:r>
      <w:r>
        <w:rPr>
          <w:rFonts w:cs="Calibri"/>
          <w:lang w:eastAsia="en-GB"/>
        </w:rPr>
        <w:t>initiatives dans le domaine de l'IA</w:t>
      </w:r>
      <w:r w:rsidRPr="0010203B">
        <w:rPr>
          <w:rFonts w:cs="Calibri"/>
          <w:lang w:eastAsia="en-GB"/>
        </w:rPr>
        <w:t xml:space="preserve"> (1</w:t>
      </w:r>
      <w:r>
        <w:rPr>
          <w:rFonts w:cs="Calibri"/>
          <w:lang w:eastAsia="en-GB"/>
        </w:rPr>
        <w:t>,</w:t>
      </w:r>
      <w:r w:rsidRPr="0010203B">
        <w:rPr>
          <w:rFonts w:cs="Calibri"/>
          <w:lang w:eastAsia="en-GB"/>
        </w:rPr>
        <w:t>0 million</w:t>
      </w:r>
      <w:r w:rsidRPr="005331C5">
        <w:rPr>
          <w:rFonts w:cs="Calibri"/>
          <w:lang w:eastAsia="en-GB"/>
        </w:rPr>
        <w:t xml:space="preserve"> </w:t>
      </w:r>
      <w:r w:rsidRPr="0010203B">
        <w:rPr>
          <w:rFonts w:cs="Calibri"/>
          <w:lang w:eastAsia="en-GB"/>
        </w:rPr>
        <w:t xml:space="preserve">CHF); </w:t>
      </w:r>
      <w:r>
        <w:rPr>
          <w:lang w:eastAsia="en-GB"/>
        </w:rPr>
        <w:t>Fonds pour le développement des TIC</w:t>
      </w:r>
      <w:r w:rsidRPr="0010203B">
        <w:rPr>
          <w:lang w:eastAsia="en-GB"/>
        </w:rPr>
        <w:t xml:space="preserve"> (</w:t>
      </w:r>
      <w:r w:rsidRPr="0010203B">
        <w:rPr>
          <w:rFonts w:asciiTheme="minorHAnsi" w:eastAsiaTheme="minorEastAsia" w:hAnsiTheme="minorHAnsi" w:cstheme="minorBidi"/>
          <w:lang w:eastAsia="zh-CN"/>
        </w:rPr>
        <w:t>559 800</w:t>
      </w:r>
      <w:r w:rsidRPr="005331C5">
        <w:rPr>
          <w:rFonts w:cs="Calibri"/>
          <w:lang w:eastAsia="en-GB"/>
        </w:rPr>
        <w:t xml:space="preserve"> </w:t>
      </w:r>
      <w:r w:rsidRPr="0010203B">
        <w:rPr>
          <w:rFonts w:cs="Calibri"/>
          <w:lang w:eastAsia="en-GB"/>
        </w:rPr>
        <w:t>CHF</w:t>
      </w:r>
      <w:r w:rsidRPr="0010203B">
        <w:rPr>
          <w:rFonts w:asciiTheme="minorHAnsi" w:eastAsiaTheme="minorEastAsia" w:hAnsiTheme="minorHAnsi" w:cstheme="minorBidi"/>
          <w:lang w:eastAsia="zh-CN"/>
        </w:rPr>
        <w:t xml:space="preserve">) </w:t>
      </w:r>
      <w:r>
        <w:rPr>
          <w:rFonts w:asciiTheme="minorHAnsi" w:eastAsiaTheme="minorEastAsia" w:hAnsiTheme="minorHAnsi" w:cstheme="minorBidi"/>
          <w:lang w:eastAsia="zh-CN"/>
        </w:rPr>
        <w:t>et versement sur le Fonds de réserve de l'UIT</w:t>
      </w:r>
      <w:r w:rsidRPr="0010203B">
        <w:rPr>
          <w:rFonts w:asciiTheme="minorHAnsi" w:eastAsiaTheme="minorEastAsia" w:hAnsiTheme="minorHAnsi" w:cstheme="minorBidi"/>
          <w:lang w:eastAsia="zh-CN"/>
        </w:rPr>
        <w:t xml:space="preserve"> (0</w:t>
      </w:r>
      <w:r>
        <w:rPr>
          <w:rFonts w:asciiTheme="minorHAnsi" w:eastAsiaTheme="minorEastAsia" w:hAnsiTheme="minorHAnsi" w:cstheme="minorBidi"/>
          <w:lang w:eastAsia="zh-CN"/>
        </w:rPr>
        <w:t>,</w:t>
      </w:r>
      <w:r w:rsidRPr="0010203B">
        <w:rPr>
          <w:rFonts w:asciiTheme="minorHAnsi" w:eastAsiaTheme="minorEastAsia" w:hAnsiTheme="minorHAnsi" w:cstheme="minorBidi"/>
          <w:lang w:eastAsia="zh-CN"/>
        </w:rPr>
        <w:t>70 million)</w:t>
      </w:r>
      <w:r w:rsidRPr="0010203B">
        <w:rPr>
          <w:rFonts w:cs="Calibri"/>
          <w:lang w:eastAsia="en-GB"/>
        </w:rPr>
        <w:t>.</w:t>
      </w:r>
    </w:p>
    <w:p w14:paraId="2725991E" w14:textId="77777777" w:rsidR="004D1C3E" w:rsidRPr="0010203B" w:rsidRDefault="004D1C3E" w:rsidP="004D1C3E">
      <w:pPr>
        <w:jc w:val="both"/>
        <w:rPr>
          <w:rFonts w:eastAsiaTheme="minorEastAsia" w:cs="Calibri"/>
          <w:lang w:eastAsia="zh-CN"/>
        </w:rPr>
      </w:pPr>
    </w:p>
    <w:p w14:paraId="1415B45A" w14:textId="77777777" w:rsidR="00631C31" w:rsidRPr="0010203B" w:rsidRDefault="00631C31" w:rsidP="00631C31">
      <w:pPr>
        <w:jc w:val="center"/>
      </w:pPr>
      <w:r w:rsidRPr="0010203B">
        <w:t>______________</w:t>
      </w:r>
    </w:p>
    <w:sectPr w:rsidR="00631C31" w:rsidRPr="0010203B" w:rsidSect="00D72F49">
      <w:headerReference w:type="even" r:id="rId14"/>
      <w:footerReference w:type="even" r:id="rId15"/>
      <w:footerReference w:type="default" r:id="rId16"/>
      <w:headerReference w:type="first" r:id="rId17"/>
      <w:footerReference w:type="first" r:id="rId18"/>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652C7" w14:textId="77777777" w:rsidR="001814EC" w:rsidRDefault="001814EC">
      <w:r>
        <w:separator/>
      </w:r>
    </w:p>
  </w:endnote>
  <w:endnote w:type="continuationSeparator" w:id="0">
    <w:p w14:paraId="4EA6BDBC" w14:textId="77777777" w:rsidR="001814EC" w:rsidRDefault="0018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580D" w14:textId="49FBDD22" w:rsidR="00732045" w:rsidRPr="00DA1ABD" w:rsidRDefault="00271321">
    <w:pPr>
      <w:pStyle w:val="Footer"/>
      <w:rPr>
        <w:lang w:val="en-GB"/>
      </w:rPr>
    </w:pPr>
    <w:r>
      <w:fldChar w:fldCharType="begin"/>
    </w:r>
    <w:r w:rsidRPr="00DA1ABD">
      <w:rPr>
        <w:lang w:val="en-GB"/>
      </w:rPr>
      <w:instrText xml:space="preserve"> FILENAME \p \* MERGEFORMAT </w:instrText>
    </w:r>
    <w:r>
      <w:fldChar w:fldCharType="separate"/>
    </w:r>
    <w:r w:rsidR="00B251C5">
      <w:rPr>
        <w:lang w:val="en-GB"/>
      </w:rPr>
      <w:t>P:\FRA\gDoc\SG\C26\2600512F.docx</w:t>
    </w:r>
    <w:r>
      <w:fldChar w:fldCharType="end"/>
    </w:r>
    <w:r w:rsidR="00732045" w:rsidRPr="00DA1ABD">
      <w:rPr>
        <w:lang w:val="en-GB"/>
      </w:rPr>
      <w:tab/>
    </w:r>
    <w:r w:rsidR="002F1B76">
      <w:fldChar w:fldCharType="begin"/>
    </w:r>
    <w:r w:rsidR="00732045">
      <w:instrText xml:space="preserve"> savedate \@ dd.MM.yy </w:instrText>
    </w:r>
    <w:r w:rsidR="002F1B76">
      <w:fldChar w:fldCharType="separate"/>
    </w:r>
    <w:r w:rsidR="002E5843">
      <w:t>23.03.26</w:t>
    </w:r>
    <w:r w:rsidR="002F1B76">
      <w:fldChar w:fldCharType="end"/>
    </w:r>
    <w:r w:rsidR="00732045" w:rsidRPr="00DA1ABD">
      <w:rPr>
        <w:lang w:val="en-GB"/>
      </w:rPr>
      <w:tab/>
    </w:r>
    <w:r w:rsidR="002F1B76">
      <w:fldChar w:fldCharType="begin"/>
    </w:r>
    <w:r w:rsidR="00732045">
      <w:instrText xml:space="preserve"> printdate \@ dd.MM.yy </w:instrText>
    </w:r>
    <w:r w:rsidR="002F1B76">
      <w:fldChar w:fldCharType="separate"/>
    </w:r>
    <w:r w:rsidR="00B251C5">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8AE1993" w14:textId="77777777" w:rsidTr="00E31DCE">
      <w:trPr>
        <w:jc w:val="center"/>
      </w:trPr>
      <w:tc>
        <w:tcPr>
          <w:tcW w:w="1803" w:type="dxa"/>
          <w:vAlign w:val="center"/>
        </w:tcPr>
        <w:p w14:paraId="64D1DE91" w14:textId="04085BC5" w:rsidR="00A51849" w:rsidRDefault="00573353" w:rsidP="00A51849">
          <w:pPr>
            <w:pStyle w:val="Header"/>
            <w:jc w:val="left"/>
            <w:rPr>
              <w:noProof/>
            </w:rPr>
          </w:pPr>
          <w:r w:rsidRPr="001434F5">
            <w:rPr>
              <w:noProof/>
            </w:rPr>
            <w:t>2600512</w:t>
          </w:r>
        </w:p>
      </w:tc>
      <w:tc>
        <w:tcPr>
          <w:tcW w:w="8261" w:type="dxa"/>
        </w:tcPr>
        <w:p w14:paraId="62545783" w14:textId="17CBA046"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631C31">
            <w:rPr>
              <w:bCs/>
            </w:rPr>
            <w:t>42</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2A180634"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554B55A" w14:textId="77777777" w:rsidTr="00E31DCE">
      <w:trPr>
        <w:jc w:val="center"/>
      </w:trPr>
      <w:tc>
        <w:tcPr>
          <w:tcW w:w="1803" w:type="dxa"/>
          <w:vAlign w:val="center"/>
        </w:tcPr>
        <w:p w14:paraId="5C903AA7"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2426F368" w14:textId="43F7547A"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631C31">
            <w:rPr>
              <w:bCs/>
            </w:rPr>
            <w:t>42</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1DBDE5A2"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27C15" w14:textId="77777777" w:rsidR="001814EC" w:rsidRDefault="001814EC">
      <w:r>
        <w:t>____________________</w:t>
      </w:r>
    </w:p>
  </w:footnote>
  <w:footnote w:type="continuationSeparator" w:id="0">
    <w:p w14:paraId="1A3DD6CD" w14:textId="77777777" w:rsidR="001814EC" w:rsidRDefault="00181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6C70"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2257F203"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8C444" w14:textId="77777777" w:rsidR="00A51849" w:rsidRPr="001342E0" w:rsidRDefault="001342E0" w:rsidP="001342E0">
    <w:pPr>
      <w:pStyle w:val="Header"/>
    </w:pPr>
    <w:r>
      <w:rPr>
        <w:noProof/>
      </w:rPr>
      <w:drawing>
        <wp:inline distT="0" distB="0" distL="0" distR="0" wp14:anchorId="2AA9123C" wp14:editId="332D58CC">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A42BF0"/>
    <w:multiLevelType w:val="multilevel"/>
    <w:tmpl w:val="BB2A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300FDF"/>
    <w:multiLevelType w:val="multilevel"/>
    <w:tmpl w:val="44EA1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10144C"/>
    <w:multiLevelType w:val="multilevel"/>
    <w:tmpl w:val="A4A8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362404"/>
    <w:multiLevelType w:val="multilevel"/>
    <w:tmpl w:val="B62E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 w:numId="16" w16cid:durableId="711422284">
    <w:abstractNumId w:val="10"/>
  </w:num>
  <w:num w:numId="17" w16cid:durableId="869340528">
    <w:abstractNumId w:val="11"/>
  </w:num>
  <w:num w:numId="18" w16cid:durableId="240723519">
    <w:abstractNumId w:val="12"/>
  </w:num>
  <w:num w:numId="19" w16cid:durableId="17668014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EC"/>
    <w:rsid w:val="00002CD7"/>
    <w:rsid w:val="00011B42"/>
    <w:rsid w:val="0004037C"/>
    <w:rsid w:val="000468A8"/>
    <w:rsid w:val="00076A2C"/>
    <w:rsid w:val="000D0D0A"/>
    <w:rsid w:val="000F63B1"/>
    <w:rsid w:val="00103163"/>
    <w:rsid w:val="00106B19"/>
    <w:rsid w:val="001133EF"/>
    <w:rsid w:val="00115D93"/>
    <w:rsid w:val="00124514"/>
    <w:rsid w:val="001247A8"/>
    <w:rsid w:val="001342E0"/>
    <w:rsid w:val="001370B2"/>
    <w:rsid w:val="001378C0"/>
    <w:rsid w:val="001658F9"/>
    <w:rsid w:val="001814EC"/>
    <w:rsid w:val="0018694A"/>
    <w:rsid w:val="0019129B"/>
    <w:rsid w:val="001A3287"/>
    <w:rsid w:val="001A6508"/>
    <w:rsid w:val="001B0A73"/>
    <w:rsid w:val="001D4C31"/>
    <w:rsid w:val="001E4D21"/>
    <w:rsid w:val="00207CD1"/>
    <w:rsid w:val="00226657"/>
    <w:rsid w:val="002477A2"/>
    <w:rsid w:val="00263A51"/>
    <w:rsid w:val="00267E02"/>
    <w:rsid w:val="00271321"/>
    <w:rsid w:val="00277DEA"/>
    <w:rsid w:val="002A5D44"/>
    <w:rsid w:val="002A61D8"/>
    <w:rsid w:val="002C3F32"/>
    <w:rsid w:val="002C4E3D"/>
    <w:rsid w:val="002D2336"/>
    <w:rsid w:val="002E0BC4"/>
    <w:rsid w:val="002E5843"/>
    <w:rsid w:val="002F1B76"/>
    <w:rsid w:val="0033568E"/>
    <w:rsid w:val="00355FF5"/>
    <w:rsid w:val="00361350"/>
    <w:rsid w:val="003C3FAE"/>
    <w:rsid w:val="004038CB"/>
    <w:rsid w:val="0040546F"/>
    <w:rsid w:val="004177BD"/>
    <w:rsid w:val="00420854"/>
    <w:rsid w:val="0042404A"/>
    <w:rsid w:val="0044618F"/>
    <w:rsid w:val="00465C35"/>
    <w:rsid w:val="0046769A"/>
    <w:rsid w:val="00475FB3"/>
    <w:rsid w:val="004B3799"/>
    <w:rsid w:val="004C37A9"/>
    <w:rsid w:val="004D1C3E"/>
    <w:rsid w:val="004D1D50"/>
    <w:rsid w:val="004D7C99"/>
    <w:rsid w:val="004E6D50"/>
    <w:rsid w:val="004F259E"/>
    <w:rsid w:val="004F633A"/>
    <w:rsid w:val="00504C7F"/>
    <w:rsid w:val="00511F1D"/>
    <w:rsid w:val="00520F36"/>
    <w:rsid w:val="00524E8D"/>
    <w:rsid w:val="00534E13"/>
    <w:rsid w:val="00540615"/>
    <w:rsid w:val="00540A6D"/>
    <w:rsid w:val="00553536"/>
    <w:rsid w:val="00563B9D"/>
    <w:rsid w:val="00566679"/>
    <w:rsid w:val="00571EEA"/>
    <w:rsid w:val="00573353"/>
    <w:rsid w:val="00575417"/>
    <w:rsid w:val="005768E1"/>
    <w:rsid w:val="005B1938"/>
    <w:rsid w:val="005C3890"/>
    <w:rsid w:val="005F7BFE"/>
    <w:rsid w:val="00600017"/>
    <w:rsid w:val="00602682"/>
    <w:rsid w:val="006235CA"/>
    <w:rsid w:val="0062366E"/>
    <w:rsid w:val="00631C31"/>
    <w:rsid w:val="0063336D"/>
    <w:rsid w:val="006643AB"/>
    <w:rsid w:val="006A11AE"/>
    <w:rsid w:val="006B224B"/>
    <w:rsid w:val="006D0D15"/>
    <w:rsid w:val="006F0A53"/>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2299A"/>
    <w:rsid w:val="0083391C"/>
    <w:rsid w:val="0084546D"/>
    <w:rsid w:val="00861D73"/>
    <w:rsid w:val="00882919"/>
    <w:rsid w:val="00897553"/>
    <w:rsid w:val="008A4E87"/>
    <w:rsid w:val="008D76E6"/>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251C5"/>
    <w:rsid w:val="00B27B00"/>
    <w:rsid w:val="00B309F9"/>
    <w:rsid w:val="00B32B60"/>
    <w:rsid w:val="00B51005"/>
    <w:rsid w:val="00B61619"/>
    <w:rsid w:val="00BB38C1"/>
    <w:rsid w:val="00BB4545"/>
    <w:rsid w:val="00BD5873"/>
    <w:rsid w:val="00BF4B60"/>
    <w:rsid w:val="00C049D7"/>
    <w:rsid w:val="00C04BE3"/>
    <w:rsid w:val="00C21FF0"/>
    <w:rsid w:val="00C25D29"/>
    <w:rsid w:val="00C2625E"/>
    <w:rsid w:val="00C27A7C"/>
    <w:rsid w:val="00C42437"/>
    <w:rsid w:val="00C95B4B"/>
    <w:rsid w:val="00CA08ED"/>
    <w:rsid w:val="00CC6EAA"/>
    <w:rsid w:val="00CE5172"/>
    <w:rsid w:val="00CF0534"/>
    <w:rsid w:val="00CF183B"/>
    <w:rsid w:val="00D375CD"/>
    <w:rsid w:val="00D37B53"/>
    <w:rsid w:val="00D553A2"/>
    <w:rsid w:val="00D72F49"/>
    <w:rsid w:val="00D774D3"/>
    <w:rsid w:val="00D904E8"/>
    <w:rsid w:val="00DA08C3"/>
    <w:rsid w:val="00DA1ABD"/>
    <w:rsid w:val="00DB5A3E"/>
    <w:rsid w:val="00DC22AA"/>
    <w:rsid w:val="00DD1A99"/>
    <w:rsid w:val="00DE62C6"/>
    <w:rsid w:val="00DF74DD"/>
    <w:rsid w:val="00E05EC9"/>
    <w:rsid w:val="00E21AE2"/>
    <w:rsid w:val="00E25AD0"/>
    <w:rsid w:val="00E35321"/>
    <w:rsid w:val="00E4428F"/>
    <w:rsid w:val="00E4448E"/>
    <w:rsid w:val="00E47427"/>
    <w:rsid w:val="00E81D9F"/>
    <w:rsid w:val="00E93668"/>
    <w:rsid w:val="00E95647"/>
    <w:rsid w:val="00EB60CA"/>
    <w:rsid w:val="00EB6350"/>
    <w:rsid w:val="00ED799B"/>
    <w:rsid w:val="00F15B5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93419"/>
  <w15:docId w15:val="{316B903B-1EDE-48CA-BFEF-983A284C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qFormat/>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E21AE2"/>
    <w:pPr>
      <w:framePr w:hSpace="181" w:wrap="around" w:vAnchor="page" w:hAnchor="page" w:x="1589" w:y="2314"/>
      <w:spacing w:before="840"/>
    </w:pPr>
    <w:rPr>
      <w:rFonts w:cstheme="minorHAnsi"/>
      <w:b/>
      <w:color w:val="000000"/>
      <w:sz w:val="32"/>
      <w:szCs w:val="34"/>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qFormat/>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qFormat/>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011B42"/>
    <w:pPr>
      <w:keepNext/>
      <w:keepLines/>
      <w:spacing w:before="480" w:after="120"/>
      <w:jc w:val="center"/>
    </w:pPr>
    <w:rPr>
      <w:caps/>
      <w:sz w:val="22"/>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RES-011-F.pdf" TargetMode="External"/><Relationship Id="rId13" Type="http://schemas.openxmlformats.org/officeDocument/2006/relationships/image" Target="media/image1.emf"/><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tu.int/en/council/Documents/basic-texts/DEC-005-F.pdf" TargetMode="External"/><Relationship Id="rId12" Type="http://schemas.openxmlformats.org/officeDocument/2006/relationships/hyperlink" Target="https://www.itu.int/md/S24-CL-C-0034/f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4-CL-C-0019/e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tu.int/dms_pub/itu-s/opb/conf/S-CONF-CL-2025-PDF-F.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tu.int/dms_pub/itu-s/opb/conf/S-CONF-CL-2025-PDF-F.pdf"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13</TotalTime>
  <Pages>8</Pages>
  <Words>2512</Words>
  <Characters>14550</Characters>
  <Application>Microsoft Office Word</Application>
  <DocSecurity>0</DocSecurity>
  <Lines>1322</Lines>
  <Paragraphs>1003</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16059</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Affectation des économies réalisées dans le cadre de l'exécution du budget pour 2025</dc:title>
  <dc:subject>Conseil 2026 de l'UIT</dc:subject>
  <cp:keywords>C26; C2026; Council 2026; PP26</cp:keywords>
  <dc:description/>
  <cp:lastPrinted>2000-07-18T08:55:00Z</cp:lastPrinted>
  <dcterms:created xsi:type="dcterms:W3CDTF">2026-03-23T15:29:00Z</dcterms:created>
  <dcterms:modified xsi:type="dcterms:W3CDTF">2026-03-23T15:53:00Z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