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5619A8" w14:paraId="0746F508" w14:textId="77777777" w:rsidTr="005619A8">
        <w:tc>
          <w:tcPr>
            <w:tcW w:w="6105" w:type="dxa"/>
          </w:tcPr>
          <w:p w14:paraId="12A925CC" w14:textId="17642D7E" w:rsidR="005619A8" w:rsidRPr="007B0AA0" w:rsidRDefault="005619A8" w:rsidP="005619A8">
            <w:pPr>
              <w:spacing w:before="60" w:after="60" w:line="260" w:lineRule="exact"/>
              <w:rPr>
                <w:b/>
                <w:bCs/>
                <w:rtl/>
                <w:lang w:bidi="ar-EG"/>
              </w:rPr>
            </w:pPr>
            <w:r w:rsidRPr="007B0AA0">
              <w:rPr>
                <w:rFonts w:hint="cs"/>
                <w:b/>
                <w:bCs/>
                <w:rtl/>
                <w:lang w:bidi="ar-EG"/>
              </w:rPr>
              <w:t>بند جدول الأعمال:</w:t>
            </w:r>
            <w:r>
              <w:rPr>
                <w:rFonts w:hint="cs"/>
                <w:b/>
                <w:bCs/>
                <w:rtl/>
              </w:rPr>
              <w:t xml:space="preserve"> </w:t>
            </w:r>
            <w:r>
              <w:rPr>
                <w:b/>
                <w:bCs/>
              </w:rPr>
              <w:t>ADM 1</w:t>
            </w:r>
          </w:p>
        </w:tc>
        <w:tc>
          <w:tcPr>
            <w:tcW w:w="2966" w:type="dxa"/>
          </w:tcPr>
          <w:p w14:paraId="7E1BB04A" w14:textId="0C1D9876" w:rsidR="005619A8" w:rsidRPr="007B0AA0" w:rsidRDefault="005619A8" w:rsidP="005619A8">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Pr>
                <w:b/>
                <w:bCs/>
                <w:lang w:bidi="ar-EG"/>
              </w:rPr>
              <w:t>6</w:t>
            </w:r>
            <w:r w:rsidRPr="007B0AA0">
              <w:rPr>
                <w:b/>
                <w:bCs/>
                <w:lang w:bidi="ar-EG"/>
              </w:rPr>
              <w:t>/</w:t>
            </w:r>
            <w:r>
              <w:rPr>
                <w:b/>
                <w:bCs/>
                <w:lang w:bidi="ar-EG"/>
              </w:rPr>
              <w:t>42</w:t>
            </w:r>
            <w:r w:rsidRPr="007B0AA0">
              <w:rPr>
                <w:b/>
                <w:bCs/>
                <w:lang w:bidi="ar-EG"/>
              </w:rPr>
              <w:t>-A</w:t>
            </w:r>
          </w:p>
        </w:tc>
      </w:tr>
      <w:tr w:rsidR="005619A8" w14:paraId="18F0E1F2" w14:textId="77777777" w:rsidTr="005619A8">
        <w:tc>
          <w:tcPr>
            <w:tcW w:w="6105" w:type="dxa"/>
          </w:tcPr>
          <w:p w14:paraId="4832E7FB" w14:textId="77777777" w:rsidR="005619A8" w:rsidRPr="007B0AA0" w:rsidRDefault="005619A8" w:rsidP="005619A8">
            <w:pPr>
              <w:spacing w:before="60" w:after="60" w:line="260" w:lineRule="exact"/>
              <w:rPr>
                <w:b/>
                <w:bCs/>
                <w:rtl/>
                <w:lang w:bidi="ar-EG"/>
              </w:rPr>
            </w:pPr>
          </w:p>
        </w:tc>
        <w:tc>
          <w:tcPr>
            <w:tcW w:w="2966" w:type="dxa"/>
          </w:tcPr>
          <w:p w14:paraId="63FA6B3D" w14:textId="39F08CFD" w:rsidR="005619A8" w:rsidRPr="007B0AA0" w:rsidRDefault="005619A8" w:rsidP="005619A8">
            <w:pPr>
              <w:spacing w:before="60" w:after="60" w:line="260" w:lineRule="exact"/>
              <w:rPr>
                <w:b/>
                <w:bCs/>
                <w:rtl/>
                <w:lang w:bidi="ar-EG"/>
              </w:rPr>
            </w:pPr>
            <w:r>
              <w:rPr>
                <w:rFonts w:hint="cs"/>
                <w:b/>
                <w:bCs/>
                <w:rtl/>
              </w:rPr>
              <w:t>‏</w:t>
            </w:r>
            <w:r>
              <w:rPr>
                <w:b/>
                <w:bCs/>
              </w:rPr>
              <w:t>3</w:t>
            </w:r>
            <w:r>
              <w:rPr>
                <w:rFonts w:hint="cs"/>
                <w:b/>
                <w:bCs/>
                <w:rtl/>
              </w:rPr>
              <w:t>‏ مارس‏ 2026</w:t>
            </w:r>
          </w:p>
        </w:tc>
      </w:tr>
      <w:tr w:rsidR="005619A8" w14:paraId="00363A10" w14:textId="77777777" w:rsidTr="005619A8">
        <w:tc>
          <w:tcPr>
            <w:tcW w:w="6105" w:type="dxa"/>
          </w:tcPr>
          <w:p w14:paraId="6C18D222" w14:textId="77777777" w:rsidR="005619A8" w:rsidRPr="007B0AA0" w:rsidRDefault="005619A8" w:rsidP="005619A8">
            <w:pPr>
              <w:spacing w:before="60" w:after="60" w:line="260" w:lineRule="exact"/>
              <w:rPr>
                <w:b/>
                <w:bCs/>
                <w:rtl/>
                <w:lang w:bidi="ar-EG"/>
              </w:rPr>
            </w:pPr>
          </w:p>
        </w:tc>
        <w:tc>
          <w:tcPr>
            <w:tcW w:w="2966" w:type="dxa"/>
          </w:tcPr>
          <w:p w14:paraId="0F425EA9" w14:textId="0F059794" w:rsidR="005619A8" w:rsidRPr="007B0AA0" w:rsidRDefault="005619A8" w:rsidP="005619A8">
            <w:pPr>
              <w:spacing w:before="60" w:after="60" w:line="260" w:lineRule="exact"/>
              <w:rPr>
                <w:b/>
                <w:bCs/>
                <w:rtl/>
                <w:lang w:bidi="ar-EG"/>
              </w:rPr>
            </w:pPr>
            <w:r w:rsidRPr="007B0AA0">
              <w:rPr>
                <w:rFonts w:hint="cs"/>
                <w:b/>
                <w:bCs/>
                <w:rtl/>
                <w:lang w:bidi="ar-EG"/>
              </w:rPr>
              <w:t>الأصل: بالإنكليزية</w:t>
            </w:r>
          </w:p>
        </w:tc>
      </w:tr>
      <w:tr w:rsidR="005619A8" w14:paraId="5E8E8607" w14:textId="77777777" w:rsidTr="005619A8">
        <w:tc>
          <w:tcPr>
            <w:tcW w:w="6105" w:type="dxa"/>
          </w:tcPr>
          <w:p w14:paraId="3B5E21EC" w14:textId="77777777" w:rsidR="005619A8" w:rsidRDefault="005619A8" w:rsidP="005619A8">
            <w:pPr>
              <w:spacing w:before="60" w:after="60" w:line="260" w:lineRule="exact"/>
              <w:rPr>
                <w:lang w:bidi="ar-EG"/>
              </w:rPr>
            </w:pPr>
          </w:p>
        </w:tc>
        <w:tc>
          <w:tcPr>
            <w:tcW w:w="2966" w:type="dxa"/>
          </w:tcPr>
          <w:p w14:paraId="254837B9" w14:textId="77777777" w:rsidR="005619A8" w:rsidRDefault="005619A8" w:rsidP="005619A8">
            <w:pPr>
              <w:spacing w:before="60" w:after="60" w:line="260" w:lineRule="exact"/>
              <w:rPr>
                <w:rtl/>
                <w:lang w:bidi="ar-EG"/>
              </w:rPr>
            </w:pPr>
          </w:p>
        </w:tc>
      </w:tr>
      <w:tr w:rsidR="005619A8" w14:paraId="7226ADFE" w14:textId="77777777" w:rsidTr="005619A8">
        <w:tc>
          <w:tcPr>
            <w:tcW w:w="9071" w:type="dxa"/>
            <w:gridSpan w:val="2"/>
          </w:tcPr>
          <w:p w14:paraId="1CB8A1DF" w14:textId="3C9E3ED0" w:rsidR="005619A8" w:rsidRPr="00A31E48" w:rsidRDefault="005619A8" w:rsidP="00A31E48">
            <w:pPr>
              <w:pStyle w:val="Source"/>
              <w:jc w:val="both"/>
            </w:pPr>
            <w:r w:rsidRPr="00A31E48">
              <w:rPr>
                <w:rFonts w:hint="cs"/>
                <w:rtl/>
              </w:rPr>
              <w:t>تقرير من الأمينة العامة</w:t>
            </w:r>
          </w:p>
        </w:tc>
      </w:tr>
      <w:tr w:rsidR="005619A8" w14:paraId="50231616" w14:textId="77777777" w:rsidTr="005619A8">
        <w:tc>
          <w:tcPr>
            <w:tcW w:w="9071" w:type="dxa"/>
            <w:gridSpan w:val="2"/>
            <w:tcBorders>
              <w:bottom w:val="single" w:sz="4" w:space="0" w:color="auto"/>
            </w:tcBorders>
          </w:tcPr>
          <w:p w14:paraId="50EDDC23" w14:textId="048A3FE2" w:rsidR="005619A8" w:rsidRPr="00A31E48" w:rsidRDefault="005619A8" w:rsidP="00A31E48">
            <w:pPr>
              <w:pStyle w:val="Subtitle0"/>
            </w:pPr>
            <w:r w:rsidRPr="00A31E48">
              <w:rPr>
                <w:rtl/>
              </w:rPr>
              <w:t>مخصصات الوفورات المحققة في تنفيذ ميزانية 2025</w:t>
            </w:r>
          </w:p>
        </w:tc>
      </w:tr>
      <w:tr w:rsidR="005619A8" w14:paraId="7C36B840" w14:textId="77777777" w:rsidTr="005619A8">
        <w:tc>
          <w:tcPr>
            <w:tcW w:w="9071" w:type="dxa"/>
            <w:gridSpan w:val="2"/>
            <w:tcBorders>
              <w:top w:val="single" w:sz="4" w:space="0" w:color="auto"/>
              <w:bottom w:val="single" w:sz="4" w:space="0" w:color="auto"/>
            </w:tcBorders>
          </w:tcPr>
          <w:p w14:paraId="6D132EFE" w14:textId="77777777" w:rsidR="005619A8" w:rsidRPr="007B0AA0" w:rsidRDefault="005619A8" w:rsidP="005619A8">
            <w:pPr>
              <w:rPr>
                <w:b/>
                <w:bCs/>
                <w:rtl/>
              </w:rPr>
            </w:pPr>
            <w:r w:rsidRPr="00494119">
              <w:rPr>
                <w:rFonts w:hint="cs"/>
                <w:b/>
                <w:bCs/>
                <w:rtl/>
              </w:rPr>
              <w:t>الغرض</w:t>
            </w:r>
          </w:p>
          <w:p w14:paraId="421238F0" w14:textId="11A4D2C2" w:rsidR="00A31E48" w:rsidRDefault="00A31E48" w:rsidP="00A31E48">
            <w:pPr>
              <w:rPr>
                <w:rtl/>
              </w:rPr>
            </w:pPr>
            <w:r>
              <w:rPr>
                <w:rtl/>
              </w:rPr>
              <w:t xml:space="preserve">تمكن الاتحاد في عام 2025 من تحقيق وفورات قدرها </w:t>
            </w:r>
            <w:r w:rsidR="00AA7949" w:rsidRPr="00AA7949">
              <w:rPr>
                <w:b/>
                <w:bCs/>
              </w:rPr>
              <w:t>10,8</w:t>
            </w:r>
            <w:r w:rsidRPr="00AA7949">
              <w:rPr>
                <w:b/>
                <w:bCs/>
                <w:rtl/>
              </w:rPr>
              <w:t xml:space="preserve"> ملايين فرنك سويسري</w:t>
            </w:r>
            <w:r>
              <w:rPr>
                <w:rtl/>
              </w:rPr>
              <w:t xml:space="preserve"> بفضل ارتفاع مستوى الإيرادات أكثر من المتوقع وضبط الإنفاق في أثناء تنفيذ الميزانية. وتعكس هذه الوفورات حدوث تطورات م</w:t>
            </w:r>
            <w:r w:rsidR="00F45331">
              <w:rPr>
                <w:rFonts w:hint="cs"/>
                <w:rtl/>
              </w:rPr>
              <w:t>ؤ</w:t>
            </w:r>
            <w:r>
              <w:rPr>
                <w:rtl/>
              </w:rPr>
              <w:t>اتية في الإيرادات والإدارة الحصيفة لبعض التكاليف وتقسيمها على مراحل خلال السنة.</w:t>
            </w:r>
          </w:p>
          <w:p w14:paraId="13FEC0C9" w14:textId="501F38E9" w:rsidR="005619A8" w:rsidRDefault="00A31E48" w:rsidP="00A31E48">
            <w:pPr>
              <w:rPr>
                <w:rtl/>
              </w:rPr>
            </w:pPr>
            <w:r>
              <w:rPr>
                <w:rtl/>
              </w:rPr>
              <w:t>والغرض من هذه الوثيقة أن يُطلب من المجلس تخويل استخدام هذه الوفورات لتمويل أنشطة معينة لا تغطيها الميزانية العادية المعتمدة.</w:t>
            </w:r>
          </w:p>
          <w:p w14:paraId="2F3691E6" w14:textId="77777777" w:rsidR="005619A8" w:rsidRPr="007B0AA0" w:rsidRDefault="005619A8" w:rsidP="005619A8">
            <w:pPr>
              <w:rPr>
                <w:b/>
                <w:bCs/>
                <w:rtl/>
              </w:rPr>
            </w:pPr>
            <w:r w:rsidRPr="007B0AA0">
              <w:rPr>
                <w:rFonts w:hint="cs"/>
                <w:b/>
                <w:bCs/>
                <w:rtl/>
              </w:rPr>
              <w:t>الإجراء المطلوب من المجلس</w:t>
            </w:r>
          </w:p>
          <w:p w14:paraId="5B87E4D8" w14:textId="1B6A5410" w:rsidR="005619A8" w:rsidRDefault="00A31E48" w:rsidP="005619A8">
            <w:pPr>
              <w:rPr>
                <w:rtl/>
              </w:rPr>
            </w:pPr>
            <w:r w:rsidRPr="00A31E48">
              <w:rPr>
                <w:rtl/>
              </w:rPr>
              <w:t xml:space="preserve">يُدعى المجلس إلى </w:t>
            </w:r>
            <w:r w:rsidRPr="00AA7949">
              <w:rPr>
                <w:b/>
                <w:bCs/>
                <w:rtl/>
              </w:rPr>
              <w:t>الموافقة</w:t>
            </w:r>
            <w:r w:rsidRPr="00A31E48">
              <w:rPr>
                <w:rtl/>
              </w:rPr>
              <w:t xml:space="preserve"> على مشروع القرار </w:t>
            </w:r>
            <w:hyperlink w:anchor="Annex" w:history="1">
              <w:r w:rsidRPr="00AA7949">
                <w:rPr>
                  <w:rStyle w:val="Hyperlink"/>
                  <w:noProof w:val="0"/>
                  <w:rtl/>
                  <w:lang w:val="en-US" w:eastAsia="zh-CN"/>
                </w:rPr>
                <w:t>الملحق</w:t>
              </w:r>
            </w:hyperlink>
            <w:r w:rsidRPr="00A31E48">
              <w:rPr>
                <w:rtl/>
              </w:rPr>
              <w:t xml:space="preserve"> بهذه الوثيقة.</w:t>
            </w:r>
          </w:p>
          <w:p w14:paraId="07630678" w14:textId="77777777" w:rsidR="005619A8" w:rsidRPr="007B0AA0" w:rsidRDefault="005619A8" w:rsidP="005619A8">
            <w:pPr>
              <w:rPr>
                <w:b/>
                <w:bCs/>
              </w:rPr>
            </w:pPr>
            <w:r>
              <w:rPr>
                <w:rFonts w:hint="cs"/>
                <w:b/>
                <w:bCs/>
                <w:rtl/>
                <w:lang w:bidi="ar-EG"/>
              </w:rPr>
              <w:t>الصلة</w:t>
            </w:r>
            <w:r w:rsidRPr="007B0AA0">
              <w:rPr>
                <w:b/>
                <w:bCs/>
                <w:rtl/>
              </w:rPr>
              <w:t xml:space="preserve"> بالخطة ال</w:t>
            </w:r>
            <w:r w:rsidRPr="007B0AA0">
              <w:rPr>
                <w:rFonts w:hint="cs"/>
                <w:b/>
                <w:bCs/>
                <w:rtl/>
              </w:rPr>
              <w:t>ا</w:t>
            </w:r>
            <w:r w:rsidRPr="007B0AA0">
              <w:rPr>
                <w:b/>
                <w:bCs/>
                <w:rtl/>
              </w:rPr>
              <w:t>ستراتيجية</w:t>
            </w:r>
          </w:p>
          <w:p w14:paraId="7CFBCE75" w14:textId="5F532445" w:rsidR="005619A8" w:rsidRDefault="00A31E48" w:rsidP="005619A8">
            <w:pPr>
              <w:rPr>
                <w:rtl/>
              </w:rPr>
            </w:pPr>
            <w:r w:rsidRPr="00A31E48">
              <w:rPr>
                <w:rtl/>
              </w:rPr>
              <w:t xml:space="preserve">تتوافق هذه الوثيقة مع الخطة الاستراتيجية للفترة </w:t>
            </w:r>
            <w:r w:rsidR="00AA7949">
              <w:t>2027-2024</w:t>
            </w:r>
            <w:r w:rsidRPr="00A31E48">
              <w:rPr>
                <w:rtl/>
              </w:rPr>
              <w:t>.</w:t>
            </w:r>
          </w:p>
          <w:p w14:paraId="632C466D" w14:textId="77777777" w:rsidR="005619A8" w:rsidRDefault="005619A8" w:rsidP="005619A8">
            <w:pPr>
              <w:rPr>
                <w:b/>
                <w:bCs/>
              </w:rPr>
            </w:pPr>
            <w:r w:rsidRPr="007B0AA0">
              <w:rPr>
                <w:rFonts w:hint="cs"/>
                <w:b/>
                <w:bCs/>
                <w:rtl/>
              </w:rPr>
              <w:t>الآثار المالية</w:t>
            </w:r>
          </w:p>
          <w:p w14:paraId="3496C167" w14:textId="7E76B3C7" w:rsidR="005619A8" w:rsidRPr="005546CF" w:rsidRDefault="00A31E48" w:rsidP="005619A8">
            <w:pPr>
              <w:rPr>
                <w:rtl/>
              </w:rPr>
            </w:pPr>
            <w:r w:rsidRPr="00A31E48">
              <w:rPr>
                <w:rtl/>
              </w:rPr>
              <w:t xml:space="preserve">تخصيص مبلغ </w:t>
            </w:r>
            <w:r w:rsidR="00AA7949" w:rsidRPr="00AA7949">
              <w:rPr>
                <w:b/>
                <w:bCs/>
              </w:rPr>
              <w:t>10,8</w:t>
            </w:r>
            <w:r w:rsidRPr="00AA7949">
              <w:rPr>
                <w:b/>
                <w:bCs/>
                <w:rtl/>
              </w:rPr>
              <w:t xml:space="preserve"> مليون فرنك سويسري</w:t>
            </w:r>
            <w:r w:rsidRPr="00A31E48">
              <w:rPr>
                <w:rtl/>
              </w:rPr>
              <w:t xml:space="preserve"> من الوفورات المحققة في تنفيذ ميزانية 2025 لتمويل أنشطة لا تغطيها الميزانية العادية.</w:t>
            </w:r>
          </w:p>
          <w:p w14:paraId="16866549" w14:textId="77777777" w:rsidR="005619A8" w:rsidRPr="007B0AA0" w:rsidRDefault="005619A8" w:rsidP="005619A8">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CE86555" w14:textId="77777777" w:rsidR="005619A8" w:rsidRPr="007B0AA0" w:rsidRDefault="005619A8" w:rsidP="005619A8">
            <w:pPr>
              <w:rPr>
                <w:b/>
                <w:bCs/>
                <w:rtl/>
              </w:rPr>
            </w:pPr>
            <w:r w:rsidRPr="007B0AA0">
              <w:rPr>
                <w:rFonts w:hint="cs"/>
                <w:b/>
                <w:bCs/>
                <w:rtl/>
              </w:rPr>
              <w:t>المراجع</w:t>
            </w:r>
          </w:p>
          <w:p w14:paraId="3A84301E" w14:textId="1E067424" w:rsidR="005619A8" w:rsidRPr="005546CF" w:rsidRDefault="00A31E48" w:rsidP="005619A8">
            <w:pPr>
              <w:rPr>
                <w:i/>
                <w:iCs/>
                <w:rtl/>
              </w:rPr>
            </w:pPr>
            <w:r w:rsidRPr="00A31E48">
              <w:rPr>
                <w:i/>
                <w:iCs/>
                <w:rtl/>
              </w:rPr>
              <w:t xml:space="preserve">المقرر </w:t>
            </w:r>
            <w:r>
              <w:fldChar w:fldCharType="begin"/>
            </w:r>
            <w:r>
              <w:instrText>HYPERLINK "https://www.itu.int/en/council/Documents/basic-texts/DEC-005-a.pdf"</w:instrText>
            </w:r>
            <w:r>
              <w:fldChar w:fldCharType="separate"/>
            </w:r>
            <w:r w:rsidRPr="00AA7949">
              <w:rPr>
                <w:rStyle w:val="Hyperlink"/>
                <w:i/>
                <w:iCs/>
                <w:noProof w:val="0"/>
                <w:rtl/>
                <w:lang w:val="en-US" w:eastAsia="zh-CN"/>
              </w:rPr>
              <w:t>5 (المراجَع في بوخارست، 2022)</w:t>
            </w:r>
            <w:r>
              <w:fldChar w:fldCharType="end"/>
            </w:r>
            <w:r w:rsidRPr="00A31E48">
              <w:rPr>
                <w:i/>
                <w:iCs/>
                <w:rtl/>
              </w:rPr>
              <w:t xml:space="preserve">؛ القرار </w:t>
            </w:r>
            <w:r>
              <w:fldChar w:fldCharType="begin"/>
            </w:r>
            <w:r>
              <w:instrText>HYPERLINK "https://www.itu.int/en/council/Documents/basic-texts/RES-011-a.pdf"</w:instrText>
            </w:r>
            <w:r>
              <w:fldChar w:fldCharType="separate"/>
            </w:r>
            <w:r w:rsidRPr="00AA7949">
              <w:rPr>
                <w:rStyle w:val="Hyperlink"/>
                <w:i/>
                <w:iCs/>
                <w:noProof w:val="0"/>
                <w:rtl/>
                <w:lang w:val="en-US" w:eastAsia="zh-CN"/>
              </w:rPr>
              <w:t>11 (الملغى في بوخارست، 2022)</w:t>
            </w:r>
            <w:r>
              <w:fldChar w:fldCharType="end"/>
            </w:r>
            <w:r w:rsidRPr="00A31E48">
              <w:rPr>
                <w:i/>
                <w:iCs/>
                <w:rtl/>
              </w:rPr>
              <w:t xml:space="preserve"> لمؤتمر المندوبين المفوضين؛ </w:t>
            </w:r>
            <w:r w:rsidRPr="00461EDD">
              <w:rPr>
                <w:i/>
                <w:iCs/>
                <w:rtl/>
              </w:rPr>
              <w:t>قرارا</w:t>
            </w:r>
            <w:r w:rsidR="00AA7949" w:rsidRPr="00461EDD">
              <w:rPr>
                <w:rFonts w:hint="eastAsia"/>
                <w:i/>
                <w:iCs/>
                <w:rtl/>
              </w:rPr>
              <w:t> </w:t>
            </w:r>
            <w:r w:rsidRPr="00461EDD">
              <w:rPr>
                <w:i/>
                <w:iCs/>
                <w:rtl/>
              </w:rPr>
              <w:t xml:space="preserve">المجلس </w:t>
            </w:r>
            <w:hyperlink r:id="rId8" w:anchor="/ar" w:history="1">
              <w:r w:rsidRPr="00461EDD">
                <w:rPr>
                  <w:rStyle w:val="Hyperlink"/>
                  <w:i/>
                  <w:iCs/>
                  <w:noProof w:val="0"/>
                  <w:rtl/>
                  <w:lang w:val="en-US" w:eastAsia="zh-CN"/>
                </w:rPr>
                <w:t>1111</w:t>
              </w:r>
            </w:hyperlink>
            <w:r w:rsidRPr="00461EDD">
              <w:rPr>
                <w:i/>
                <w:iCs/>
                <w:rtl/>
              </w:rPr>
              <w:t xml:space="preserve"> و</w:t>
            </w:r>
            <w:hyperlink r:id="rId9" w:history="1">
              <w:r w:rsidRPr="00461EDD">
                <w:rPr>
                  <w:rStyle w:val="Hyperlink"/>
                  <w:i/>
                  <w:iCs/>
                  <w:noProof w:val="0"/>
                  <w:rtl/>
                  <w:lang w:val="en-US" w:eastAsia="zh-CN"/>
                </w:rPr>
                <w:t>1338</w:t>
              </w:r>
            </w:hyperlink>
            <w:r w:rsidRPr="00461EDD">
              <w:rPr>
                <w:i/>
                <w:iCs/>
                <w:rtl/>
              </w:rPr>
              <w:t>؛ وثيق</w:t>
            </w:r>
            <w:r w:rsidR="00461EDD" w:rsidRPr="00461EDD">
              <w:rPr>
                <w:rFonts w:hint="cs"/>
                <w:i/>
                <w:iCs/>
                <w:rtl/>
              </w:rPr>
              <w:t>ا</w:t>
            </w:r>
            <w:r w:rsidRPr="00461EDD">
              <w:rPr>
                <w:i/>
                <w:iCs/>
                <w:rtl/>
              </w:rPr>
              <w:t xml:space="preserve"> المجلس </w:t>
            </w:r>
            <w:r>
              <w:fldChar w:fldCharType="begin"/>
            </w:r>
            <w:r>
              <w:instrText>HYPERLINK "https://www.itu.int/md/S24-CL-C-0019/en"</w:instrText>
            </w:r>
            <w:r>
              <w:fldChar w:fldCharType="separate"/>
            </w:r>
            <w:proofErr w:type="spellStart"/>
            <w:r w:rsidRPr="00461EDD">
              <w:rPr>
                <w:rStyle w:val="Hyperlink"/>
                <w:i/>
                <w:iCs/>
                <w:noProof w:val="0"/>
                <w:lang w:val="en-US" w:eastAsia="zh-CN"/>
              </w:rPr>
              <w:t>C24</w:t>
            </w:r>
            <w:proofErr w:type="spellEnd"/>
            <w:r w:rsidRPr="00461EDD">
              <w:rPr>
                <w:rStyle w:val="Hyperlink"/>
                <w:i/>
                <w:iCs/>
                <w:noProof w:val="0"/>
                <w:lang w:val="en-US" w:eastAsia="zh-CN"/>
              </w:rPr>
              <w:t>/19</w:t>
            </w:r>
            <w:r>
              <w:fldChar w:fldCharType="end"/>
            </w:r>
            <w:r w:rsidR="00461EDD" w:rsidRPr="00461EDD">
              <w:rPr>
                <w:rFonts w:hint="cs"/>
                <w:i/>
                <w:iCs/>
                <w:rtl/>
              </w:rPr>
              <w:t xml:space="preserve"> و</w:t>
            </w:r>
            <w:r w:rsidR="00461EDD" w:rsidRPr="00EA49CD">
              <w:rPr>
                <w:rStyle w:val="Hyperlink"/>
                <w:i/>
                <w:iCs/>
              </w:rPr>
              <w:fldChar w:fldCharType="begin"/>
            </w:r>
            <w:r w:rsidR="00461EDD" w:rsidRPr="00EA49CD">
              <w:rPr>
                <w:rStyle w:val="Hyperlink"/>
                <w:i/>
                <w:iCs/>
              </w:rPr>
              <w:instrText>HYPERLINK "https://www.itu.int/md/S24-CL-C-0034/en"</w:instrText>
            </w:r>
            <w:r w:rsidR="00461EDD" w:rsidRPr="00EA49CD">
              <w:rPr>
                <w:rStyle w:val="Hyperlink"/>
                <w:i/>
                <w:iCs/>
              </w:rPr>
            </w:r>
            <w:r w:rsidR="00461EDD" w:rsidRPr="00EA49CD">
              <w:rPr>
                <w:rStyle w:val="Hyperlink"/>
                <w:i/>
                <w:iCs/>
              </w:rPr>
              <w:fldChar w:fldCharType="separate"/>
            </w:r>
            <w:r w:rsidR="00461EDD" w:rsidRPr="00EA49CD">
              <w:rPr>
                <w:rStyle w:val="Hyperlink"/>
                <w:i/>
                <w:iCs/>
              </w:rPr>
              <w:t>C24/34</w:t>
            </w:r>
            <w:r w:rsidR="00461EDD" w:rsidRPr="00EA49CD">
              <w:rPr>
                <w:rStyle w:val="Hyperlink"/>
                <w:i/>
                <w:iCs/>
              </w:rPr>
              <w:fldChar w:fldCharType="end"/>
            </w:r>
            <w:r w:rsidR="00461EDD" w:rsidRPr="00461EDD">
              <w:rPr>
                <w:rFonts w:hint="cs"/>
                <w:i/>
                <w:iCs/>
                <w:rtl/>
              </w:rPr>
              <w:t>.</w:t>
            </w:r>
          </w:p>
        </w:tc>
      </w:tr>
    </w:tbl>
    <w:p w14:paraId="008BB27A" w14:textId="77777777" w:rsidR="00F50E3F" w:rsidRDefault="00F50E3F" w:rsidP="00AA7949">
      <w:pPr>
        <w:rPr>
          <w:rtl/>
          <w:lang w:bidi="ar-EG"/>
        </w:rPr>
      </w:pPr>
      <w:r>
        <w:rPr>
          <w:rtl/>
          <w:lang w:bidi="ar-EG"/>
        </w:rPr>
        <w:br w:type="page"/>
      </w:r>
    </w:p>
    <w:p w14:paraId="3C8E287C" w14:textId="77777777" w:rsidR="00A31E48" w:rsidRDefault="00A31E48" w:rsidP="00A2678D">
      <w:pPr>
        <w:pStyle w:val="Headingb"/>
        <w:rPr>
          <w:rtl/>
          <w:lang w:bidi="ar-EG"/>
        </w:rPr>
      </w:pPr>
      <w:r>
        <w:rPr>
          <w:rtl/>
          <w:lang w:bidi="ar-EG"/>
        </w:rPr>
        <w:lastRenderedPageBreak/>
        <w:t>مقدمة</w:t>
      </w:r>
    </w:p>
    <w:p w14:paraId="34B3F191" w14:textId="3CE0EC6D" w:rsidR="00A31E48" w:rsidRPr="00DB0A70" w:rsidRDefault="00A31E48" w:rsidP="00EA49CD">
      <w:pPr>
        <w:rPr>
          <w:spacing w:val="-2"/>
          <w:rtl/>
          <w:lang w:bidi="ar-EG"/>
        </w:rPr>
      </w:pPr>
      <w:r w:rsidRPr="00DB0A70">
        <w:rPr>
          <w:spacing w:val="-2"/>
          <w:rtl/>
          <w:lang w:bidi="ar-EG"/>
        </w:rPr>
        <w:t xml:space="preserve">أُقرت الميزانية العادية للاتحاد لعام 2025 بنفقات مقررة قدرها </w:t>
      </w:r>
      <w:r w:rsidR="00A2678D" w:rsidRPr="00DB0A70">
        <w:rPr>
          <w:spacing w:val="-2"/>
          <w:lang w:bidi="ar-EG"/>
        </w:rPr>
        <w:t>164,3</w:t>
      </w:r>
      <w:r w:rsidRPr="00DB0A70">
        <w:rPr>
          <w:spacing w:val="-2"/>
          <w:rtl/>
          <w:lang w:bidi="ar-EG"/>
        </w:rPr>
        <w:t xml:space="preserve"> مليون فرنك سويسري مقارنةً بإيرادات متوقعة قدرها </w:t>
      </w:r>
      <w:r w:rsidR="00A2678D" w:rsidRPr="00DB0A70">
        <w:rPr>
          <w:spacing w:val="-2"/>
          <w:lang w:bidi="ar-EG"/>
        </w:rPr>
        <w:t>164,3</w:t>
      </w:r>
      <w:r w:rsidRPr="00DB0A70">
        <w:rPr>
          <w:spacing w:val="-2"/>
          <w:rtl/>
          <w:lang w:bidi="ar-EG"/>
        </w:rPr>
        <w:t xml:space="preserve"> مليون فرنك سويسري. وفي نهاية السنة، أُقفلت الميزانية بنفقات فعلية بقيمة </w:t>
      </w:r>
      <w:r w:rsidR="00A2678D" w:rsidRPr="00DB0A70">
        <w:rPr>
          <w:b/>
          <w:bCs/>
          <w:spacing w:val="-2"/>
          <w:lang w:bidi="ar-EG"/>
        </w:rPr>
        <w:t>156,7</w:t>
      </w:r>
      <w:r w:rsidRPr="00DB0A70">
        <w:rPr>
          <w:b/>
          <w:bCs/>
          <w:spacing w:val="-2"/>
          <w:rtl/>
          <w:lang w:bidi="ar-EG"/>
        </w:rPr>
        <w:t xml:space="preserve"> مليون فرنك سويسري</w:t>
      </w:r>
      <w:r w:rsidRPr="00DB0A70">
        <w:rPr>
          <w:spacing w:val="-2"/>
          <w:rtl/>
          <w:lang w:bidi="ar-EG"/>
        </w:rPr>
        <w:t xml:space="preserve"> وإيرادات فعلية قدرها </w:t>
      </w:r>
      <w:r w:rsidR="00A2678D" w:rsidRPr="00DB0A70">
        <w:rPr>
          <w:b/>
          <w:bCs/>
          <w:spacing w:val="-2"/>
          <w:lang w:bidi="ar-EG"/>
        </w:rPr>
        <w:t>167,5</w:t>
      </w:r>
      <w:r w:rsidRPr="00DB0A70">
        <w:rPr>
          <w:b/>
          <w:bCs/>
          <w:spacing w:val="-2"/>
          <w:rtl/>
          <w:lang w:bidi="ar-EG"/>
        </w:rPr>
        <w:t xml:space="preserve"> مليون فرنك سويسري</w:t>
      </w:r>
      <w:r w:rsidRPr="00DB0A70">
        <w:rPr>
          <w:spacing w:val="-2"/>
          <w:rtl/>
          <w:lang w:bidi="ar-EG"/>
        </w:rPr>
        <w:t xml:space="preserve">، محققةً فائضاً بلغ </w:t>
      </w:r>
      <w:r w:rsidR="00A2678D" w:rsidRPr="00DB0A70">
        <w:rPr>
          <w:b/>
          <w:bCs/>
          <w:spacing w:val="-2"/>
          <w:lang w:bidi="ar-EG"/>
        </w:rPr>
        <w:t>10,8</w:t>
      </w:r>
      <w:r w:rsidRPr="00DB0A70">
        <w:rPr>
          <w:b/>
          <w:bCs/>
          <w:spacing w:val="-2"/>
          <w:rtl/>
          <w:lang w:bidi="ar-EG"/>
        </w:rPr>
        <w:t xml:space="preserve"> ملايين فرنك سويسري</w:t>
      </w:r>
      <w:r w:rsidRPr="00DB0A70">
        <w:rPr>
          <w:spacing w:val="-2"/>
          <w:rtl/>
          <w:lang w:bidi="ar-EG"/>
        </w:rPr>
        <w:t>.</w:t>
      </w:r>
    </w:p>
    <w:p w14:paraId="76471D51" w14:textId="77777777" w:rsidR="00A31E48" w:rsidRDefault="00A31E48" w:rsidP="00A31E48">
      <w:pPr>
        <w:rPr>
          <w:rtl/>
          <w:lang w:bidi="ar-EG"/>
        </w:rPr>
      </w:pPr>
      <w:r>
        <w:rPr>
          <w:rtl/>
          <w:lang w:bidi="ar-EG"/>
        </w:rPr>
        <w:t>وكانت يقف وراء هذه النتيجة الإيجابية مزيجاً من هذين العاملين:</w:t>
      </w:r>
    </w:p>
    <w:p w14:paraId="213C9DDF" w14:textId="05C5A50F" w:rsidR="00A31E48" w:rsidRDefault="00461EDD" w:rsidP="00A2678D">
      <w:pPr>
        <w:pStyle w:val="enumlev1"/>
        <w:rPr>
          <w:rtl/>
        </w:rPr>
      </w:pPr>
      <w:r>
        <w:rPr>
          <w:rFonts w:hint="cs"/>
          <w:rtl/>
        </w:rPr>
        <w:t>-</w:t>
      </w:r>
      <w:r w:rsidR="00A31E48">
        <w:rPr>
          <w:rtl/>
        </w:rPr>
        <w:tab/>
        <w:t xml:space="preserve">انخفاض الإنفاق نتيجة الإدارة المالية الاستباقية والمنضبطة. فبعد أن اعتمد المجلس ميزانية مخفضة، نفذت الأمانة ضوابط صارمة على النفقات، وقرارات توظيف رشيدة، وأسلوباً دقيقاً لتقسيم المشاريع إلى مراحل من أجل ضمان الاستدامة المالية خلال فترة السنتين </w:t>
      </w:r>
      <w:r w:rsidR="00B76927">
        <w:t>2027-2026</w:t>
      </w:r>
      <w:r w:rsidR="00A31E48">
        <w:rPr>
          <w:rtl/>
        </w:rPr>
        <w:t>.</w:t>
      </w:r>
    </w:p>
    <w:p w14:paraId="2D8127CA" w14:textId="36EE3CBC" w:rsidR="00A31E48" w:rsidRDefault="00461EDD" w:rsidP="00A2678D">
      <w:pPr>
        <w:pStyle w:val="enumlev1"/>
        <w:rPr>
          <w:rtl/>
        </w:rPr>
      </w:pPr>
      <w:r>
        <w:rPr>
          <w:rFonts w:hint="cs"/>
          <w:rtl/>
        </w:rPr>
        <w:t>-</w:t>
      </w:r>
      <w:r w:rsidR="00A31E48">
        <w:rPr>
          <w:rtl/>
        </w:rPr>
        <w:tab/>
        <w:t>تحصيل إيرادات أعلى من المتوقع، ويشمل ذلك زيادة مبيعات المنشورات، وحدوث تغيرات إكتوارية إيجابية فيما يتعلق باستحقاقات الموظفين، وزيادة الإيرادات المتأتية من الفوائد؛</w:t>
      </w:r>
    </w:p>
    <w:p w14:paraId="4EE03790" w14:textId="415C68FA" w:rsidR="00A31E48" w:rsidRDefault="008528D3" w:rsidP="00A2678D">
      <w:pPr>
        <w:rPr>
          <w:rtl/>
          <w:lang w:bidi="ar-EG"/>
        </w:rPr>
      </w:pPr>
      <w:r>
        <w:rPr>
          <w:rFonts w:hint="cs"/>
          <w:rtl/>
        </w:rPr>
        <w:t>و</w:t>
      </w:r>
      <w:r w:rsidR="00A31E48">
        <w:rPr>
          <w:rtl/>
          <w:lang w:bidi="ar-EG"/>
        </w:rPr>
        <w:t>من الأهمية بمكان التأكيد على أن هذه التغيرات الإيجابية غير متكررة إلى حد بعيد أو مرتبطة بتوقيتها، ولا تعد تخفيضات هيكلية في النفقات الأساسية الجارية للاتحاد.</w:t>
      </w:r>
    </w:p>
    <w:p w14:paraId="0AC07E96" w14:textId="4BE9CEE9" w:rsidR="00A31E48" w:rsidRDefault="00A31E48" w:rsidP="00A2678D">
      <w:pPr>
        <w:rPr>
          <w:rtl/>
          <w:lang w:bidi="ar-EG"/>
        </w:rPr>
      </w:pPr>
      <w:r>
        <w:rPr>
          <w:rtl/>
          <w:lang w:bidi="ar-EG"/>
        </w:rPr>
        <w:t xml:space="preserve">وبناءً عليه، تقترح الأمانة تخصيص الفائض من ميزانية عام 2025 لصالح أولويات استراتيجية لمرة واحدة أو محددة المدة في الفترة </w:t>
      </w:r>
      <w:r w:rsidR="00A2678D">
        <w:rPr>
          <w:lang w:bidi="ar-EG"/>
        </w:rPr>
        <w:t>2027-2026</w:t>
      </w:r>
      <w:r>
        <w:rPr>
          <w:rtl/>
          <w:lang w:bidi="ar-EG"/>
        </w:rPr>
        <w:t>، عوضاً عن دمجه في خط الأساس للميزانية العادية. ولذلك تلتمس موافقة المجلس على</w:t>
      </w:r>
      <w:r w:rsidR="008528D3">
        <w:rPr>
          <w:rFonts w:hint="cs"/>
          <w:rtl/>
          <w:lang w:bidi="ar-EG"/>
        </w:rPr>
        <w:t> </w:t>
      </w:r>
      <w:r>
        <w:rPr>
          <w:rtl/>
          <w:lang w:bidi="ar-EG"/>
        </w:rPr>
        <w:t>التخصيص المقترح لهذه الوفورات.</w:t>
      </w:r>
    </w:p>
    <w:p w14:paraId="15C4E9DB" w14:textId="77777777" w:rsidR="00A31E48" w:rsidRDefault="00A31E48" w:rsidP="00A2678D">
      <w:pPr>
        <w:pStyle w:val="Headingb"/>
        <w:rPr>
          <w:rtl/>
          <w:lang w:bidi="ar-EG"/>
        </w:rPr>
      </w:pPr>
      <w:r>
        <w:rPr>
          <w:rtl/>
          <w:lang w:bidi="ar-EG"/>
        </w:rPr>
        <w:t>الاستخدام المقترح لفائض ميزانية عام 2025</w:t>
      </w:r>
    </w:p>
    <w:p w14:paraId="3E4C343A" w14:textId="4EE8247D" w:rsidR="00A31E48" w:rsidRDefault="00A31E48" w:rsidP="00A31E48">
      <w:pPr>
        <w:rPr>
          <w:rtl/>
          <w:lang w:bidi="ar-EG"/>
        </w:rPr>
      </w:pPr>
      <w:r>
        <w:rPr>
          <w:rtl/>
          <w:lang w:bidi="ar-EG"/>
        </w:rPr>
        <w:t xml:space="preserve">كما ذكر أعلاه، نتج فائض الميزانية الذي يبلغ قرابة </w:t>
      </w:r>
      <w:r w:rsidR="00A2678D" w:rsidRPr="00A2678D">
        <w:rPr>
          <w:lang w:bidi="ar-EG"/>
        </w:rPr>
        <w:t>10,8</w:t>
      </w:r>
      <w:r>
        <w:rPr>
          <w:rtl/>
          <w:lang w:bidi="ar-EG"/>
        </w:rPr>
        <w:t xml:space="preserve"> ملايين فرنك سويسري، بحسب ما هو مسجل في عام 2025، عن مزيج من الإيرادات غير المتكررة، والنفقات غير المسجلة في السنة المالية 2025.</w:t>
      </w:r>
    </w:p>
    <w:p w14:paraId="0C7C5B5B" w14:textId="57B4D872" w:rsidR="00A31E48" w:rsidRPr="008528D3" w:rsidRDefault="00A31E48" w:rsidP="00A31E48">
      <w:pPr>
        <w:rPr>
          <w:spacing w:val="-2"/>
          <w:rtl/>
          <w:lang w:bidi="ar-EG"/>
        </w:rPr>
      </w:pPr>
      <w:r w:rsidRPr="008528D3">
        <w:rPr>
          <w:spacing w:val="-2"/>
          <w:rtl/>
          <w:lang w:bidi="ar-EG"/>
        </w:rPr>
        <w:t xml:space="preserve">وخلال عام 2025، وبالنظر إلى معدل تنفيذ للمشاريع في السنة المالية 2025، تجاوز استرداد تكاليف الخدمات الإدارية والتشغيلية المبلغ المرصود لذلك في الميزانية بمقدار </w:t>
      </w:r>
      <w:r w:rsidR="00A2678D" w:rsidRPr="008528D3">
        <w:rPr>
          <w:b/>
          <w:bCs/>
          <w:spacing w:val="-2"/>
          <w:lang w:bidi="ar-EG"/>
        </w:rPr>
        <w:t>559 800</w:t>
      </w:r>
      <w:r w:rsidRPr="008528D3">
        <w:rPr>
          <w:b/>
          <w:bCs/>
          <w:spacing w:val="-2"/>
          <w:rtl/>
          <w:lang w:bidi="ar-EG"/>
        </w:rPr>
        <w:t xml:space="preserve"> فرنك سويسري</w:t>
      </w:r>
      <w:r w:rsidRPr="008528D3">
        <w:rPr>
          <w:spacing w:val="-2"/>
          <w:rtl/>
          <w:lang w:bidi="ar-EG"/>
        </w:rPr>
        <w:t xml:space="preserve">. ويُقترح أن يوافق المجلس على تخصيص هذا المبلغ لصندوق تنمية تكنولوجيا المعلومات والاتصالات (الوثيقة </w:t>
      </w:r>
      <w:hyperlink r:id="rId10" w:history="1">
        <w:r w:rsidRPr="008528D3">
          <w:rPr>
            <w:rStyle w:val="Hyperlink"/>
            <w:noProof w:val="0"/>
            <w:spacing w:val="-2"/>
            <w:lang w:val="en-US" w:eastAsia="zh-CN" w:bidi="ar-EG"/>
          </w:rPr>
          <w:t>C26/34</w:t>
        </w:r>
      </w:hyperlink>
      <w:r w:rsidRPr="008528D3">
        <w:rPr>
          <w:spacing w:val="-2"/>
          <w:rtl/>
          <w:lang w:bidi="ar-EG"/>
        </w:rPr>
        <w:t xml:space="preserve">)، وتخصيص المبلغ المتبقي من فائض الميزانية وقدره </w:t>
      </w:r>
      <w:r w:rsidR="00A2678D" w:rsidRPr="008528D3">
        <w:rPr>
          <w:b/>
          <w:bCs/>
          <w:spacing w:val="-2"/>
          <w:lang w:bidi="ar-EG"/>
        </w:rPr>
        <w:t>10,25</w:t>
      </w:r>
      <w:r w:rsidRPr="008528D3">
        <w:rPr>
          <w:b/>
          <w:bCs/>
          <w:spacing w:val="-2"/>
          <w:rtl/>
          <w:lang w:bidi="ar-EG"/>
        </w:rPr>
        <w:t xml:space="preserve"> ملايين فرنك سويسري</w:t>
      </w:r>
      <w:r w:rsidRPr="008528D3">
        <w:rPr>
          <w:spacing w:val="-2"/>
          <w:rtl/>
          <w:lang w:bidi="ar-EG"/>
        </w:rPr>
        <w:t xml:space="preserve"> بحسب الملخص الوارد في الجدول 1 أدناه. وتُعرض فيما يلي مبررات ذلك بمزيد من التفصيل.</w:t>
      </w:r>
    </w:p>
    <w:p w14:paraId="667D2DF2" w14:textId="77777777" w:rsidR="00EA49CD" w:rsidRDefault="00A31E48" w:rsidP="00EA49CD">
      <w:pPr>
        <w:pStyle w:val="TableNo"/>
      </w:pPr>
      <w:r>
        <w:rPr>
          <w:rtl/>
        </w:rPr>
        <w:t xml:space="preserve">الجدول </w:t>
      </w:r>
      <w:r w:rsidR="00A2678D">
        <w:t>1</w:t>
      </w:r>
      <w:r>
        <w:rPr>
          <w:rtl/>
        </w:rPr>
        <w:t xml:space="preserve"> </w:t>
      </w:r>
    </w:p>
    <w:p w14:paraId="52C614EF" w14:textId="40E6C133" w:rsidR="00A31E48" w:rsidRDefault="00A31E48" w:rsidP="00A2678D">
      <w:pPr>
        <w:pStyle w:val="Tabletitle"/>
      </w:pPr>
      <w:r>
        <w:rPr>
          <w:rtl/>
        </w:rPr>
        <w:t xml:space="preserve">ملخص المخصصات المقترحة لوفورات عام 2025 للفترة </w:t>
      </w:r>
      <w:r w:rsidR="00A2678D">
        <w:t>2027-2026</w:t>
      </w:r>
    </w:p>
    <w:p w14:paraId="6C45FA9A" w14:textId="5AE8633E" w:rsidR="00F50E3F" w:rsidRDefault="006A1F45" w:rsidP="002704EB">
      <w:pPr>
        <w:pStyle w:val="Figure"/>
        <w:rPr>
          <w:rtl/>
        </w:rPr>
      </w:pPr>
      <w:r>
        <w:drawing>
          <wp:inline distT="0" distB="0" distL="0" distR="0" wp14:anchorId="61239E91" wp14:editId="440B8C97">
            <wp:extent cx="5760000" cy="277542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2775422"/>
                    </a:xfrm>
                    <a:prstGeom prst="rect">
                      <a:avLst/>
                    </a:prstGeom>
                    <a:noFill/>
                  </pic:spPr>
                </pic:pic>
              </a:graphicData>
            </a:graphic>
          </wp:inline>
        </w:drawing>
      </w:r>
    </w:p>
    <w:p w14:paraId="24985949" w14:textId="799A1366" w:rsidR="00A31E48" w:rsidRDefault="00A2678D" w:rsidP="00A2678D">
      <w:pPr>
        <w:pStyle w:val="Heading1"/>
        <w:rPr>
          <w:rtl/>
          <w:lang w:bidi="ar-EG"/>
        </w:rPr>
      </w:pPr>
      <w:r>
        <w:rPr>
          <w:lang w:bidi="ar-EG"/>
        </w:rPr>
        <w:lastRenderedPageBreak/>
        <w:t>1</w:t>
      </w:r>
      <w:r>
        <w:rPr>
          <w:lang w:bidi="ar-EG"/>
        </w:rPr>
        <w:tab/>
      </w:r>
      <w:r w:rsidR="00A31E48">
        <w:rPr>
          <w:rtl/>
          <w:lang w:bidi="ar-EG"/>
        </w:rPr>
        <w:t>مخصصات نظام إنهاء الخدمة المتفق عليه</w:t>
      </w:r>
    </w:p>
    <w:p w14:paraId="4C7D1B3E" w14:textId="77777777" w:rsidR="00C40832" w:rsidRPr="002704EB" w:rsidRDefault="00A31E48" w:rsidP="00A31E48">
      <w:pPr>
        <w:rPr>
          <w:spacing w:val="-2"/>
          <w:rtl/>
          <w:lang w:bidi="ar-EG"/>
        </w:rPr>
      </w:pPr>
      <w:r w:rsidRPr="002704EB">
        <w:rPr>
          <w:spacing w:val="-2"/>
          <w:rtl/>
          <w:lang w:bidi="ar-EG"/>
        </w:rPr>
        <w:t>وافق المجلس في عام 2022 على استخدام 6 ملايين فرنك سويسري من صندوق الاحتياطي لكي ينفذ الاتحاد برامج الإنهاء الطوعي للخدمة، بغرض تسهيل إعادة الهيكلة المؤسسية ودعم مسيرة تطور القوة العاملة استجابةً للاحتياجات الاستراتيجية المتغيرة. ومكنت المبادرة 42 موظفاً مؤهلاً من ترك الخدمة طوعاً، ما أدى إلى تيسير إجراء تعديلات على أطقم الموظفين مع الحفاظ على القدرة التشغيلية للاتحاد.</w:t>
      </w:r>
    </w:p>
    <w:p w14:paraId="169243A8" w14:textId="262AA15C" w:rsidR="00A31E48" w:rsidRDefault="00A31E48" w:rsidP="00A31E48">
      <w:pPr>
        <w:rPr>
          <w:rtl/>
          <w:lang w:bidi="ar-EG"/>
        </w:rPr>
      </w:pPr>
      <w:r>
        <w:rPr>
          <w:rtl/>
          <w:lang w:bidi="ar-EG"/>
        </w:rPr>
        <w:t xml:space="preserve">ويُقترح تخصيص </w:t>
      </w:r>
      <w:r w:rsidR="00A2678D" w:rsidRPr="00A2678D">
        <w:rPr>
          <w:b/>
          <w:bCs/>
          <w:lang w:bidi="ar-EG"/>
        </w:rPr>
        <w:t>2,5</w:t>
      </w:r>
      <w:r w:rsidRPr="00A2678D">
        <w:rPr>
          <w:b/>
          <w:bCs/>
          <w:rtl/>
          <w:lang w:bidi="ar-EG"/>
        </w:rPr>
        <w:t xml:space="preserve"> مليون فرنك سويسري</w:t>
      </w:r>
      <w:r>
        <w:rPr>
          <w:rtl/>
          <w:lang w:bidi="ar-EG"/>
        </w:rPr>
        <w:t xml:space="preserve"> لتدشين مبادرات إضافية لإنهاء الخدمة دعماً لأهداف إعادة التنظيم المؤسسي وخفض التكاليف على المدى الطويل.</w:t>
      </w:r>
    </w:p>
    <w:p w14:paraId="4973A1CE" w14:textId="77777777" w:rsidR="00C40832" w:rsidRDefault="00A31E48" w:rsidP="00A31E48">
      <w:pPr>
        <w:rPr>
          <w:rtl/>
          <w:lang w:bidi="ar-EG"/>
        </w:rPr>
      </w:pPr>
      <w:r>
        <w:rPr>
          <w:rtl/>
          <w:lang w:bidi="ar-EG"/>
        </w:rPr>
        <w:t>وسيُستخدم التمويل على النحو التالي:</w:t>
      </w:r>
    </w:p>
    <w:p w14:paraId="4BEE3FAD" w14:textId="158FDB39" w:rsidR="00A31E48" w:rsidRDefault="00EA49CD" w:rsidP="00A2678D">
      <w:pPr>
        <w:pStyle w:val="enumlev1"/>
        <w:rPr>
          <w:rtl/>
        </w:rPr>
      </w:pPr>
      <w:r>
        <w:rPr>
          <w:rFonts w:hint="cs"/>
          <w:rtl/>
        </w:rPr>
        <w:t>-</w:t>
      </w:r>
      <w:r w:rsidR="00A31E48">
        <w:rPr>
          <w:rtl/>
        </w:rPr>
        <w:tab/>
        <w:t>تمويل إنهاء الخدمة حيثما كان ذلك مطلوباً، وبما يخدم المصالح الفضلى للاتحاد، لتلبية الاحتياجات المتغيرة في المهارات والكفاءات في ضوء إعادة التنظيم المؤسسي؛</w:t>
      </w:r>
    </w:p>
    <w:p w14:paraId="0E0DBFF2" w14:textId="225EE1B4" w:rsidR="00A31E48" w:rsidRDefault="00EA49CD" w:rsidP="00A2678D">
      <w:pPr>
        <w:pStyle w:val="enumlev1"/>
        <w:rPr>
          <w:rtl/>
        </w:rPr>
      </w:pPr>
      <w:r>
        <w:rPr>
          <w:rFonts w:hint="cs"/>
          <w:rtl/>
        </w:rPr>
        <w:t>-</w:t>
      </w:r>
      <w:r w:rsidR="00A31E48">
        <w:rPr>
          <w:rtl/>
        </w:rPr>
        <w:tab/>
        <w:t>سيبقى أي رصيد غير مستغل في الاحتياطي لدعم احتياجات إعادة الهيكلة المستقبلية، إقراراً بأن التعديلات في الهيكلة المؤسسية لا تقف عند سنة مالية واحدة؛</w:t>
      </w:r>
    </w:p>
    <w:p w14:paraId="40895033" w14:textId="45AC84F2" w:rsidR="00A31E48" w:rsidRDefault="00EA49CD" w:rsidP="00A2678D">
      <w:pPr>
        <w:pStyle w:val="enumlev1"/>
        <w:rPr>
          <w:rtl/>
        </w:rPr>
      </w:pPr>
      <w:r>
        <w:rPr>
          <w:rFonts w:hint="cs"/>
          <w:rtl/>
        </w:rPr>
        <w:t>-</w:t>
      </w:r>
      <w:r w:rsidR="00A31E48">
        <w:rPr>
          <w:rtl/>
        </w:rPr>
        <w:tab/>
      </w:r>
      <w:r w:rsidR="00927371">
        <w:rPr>
          <w:rFonts w:hint="cs"/>
          <w:rtl/>
          <w:lang w:bidi="ar-SA"/>
        </w:rPr>
        <w:t>و</w:t>
      </w:r>
      <w:r w:rsidR="00A31E48">
        <w:rPr>
          <w:rtl/>
        </w:rPr>
        <w:t>تتولى الأمانة تقديم تقرير سنوي إلى المجلس بشأن استغلال هذه الأموال.</w:t>
      </w:r>
    </w:p>
    <w:p w14:paraId="6ED69196" w14:textId="6BD0768A" w:rsidR="00A31E48" w:rsidRPr="00A2678D" w:rsidRDefault="00A2678D" w:rsidP="00A2678D">
      <w:pPr>
        <w:pStyle w:val="Heading1"/>
        <w:rPr>
          <w:spacing w:val="-4"/>
          <w:rtl/>
          <w:lang w:bidi="ar-EG"/>
        </w:rPr>
      </w:pPr>
      <w:r w:rsidRPr="00A2678D">
        <w:rPr>
          <w:spacing w:val="-4"/>
          <w:lang w:bidi="ar-EG"/>
        </w:rPr>
        <w:t>2</w:t>
      </w:r>
      <w:r w:rsidRPr="00A2678D">
        <w:rPr>
          <w:spacing w:val="-4"/>
          <w:lang w:bidi="ar-EG"/>
        </w:rPr>
        <w:tab/>
      </w:r>
      <w:r w:rsidR="00A31E48" w:rsidRPr="00A2678D">
        <w:rPr>
          <w:spacing w:val="-4"/>
          <w:rtl/>
          <w:lang w:bidi="ar-EG"/>
        </w:rPr>
        <w:t>معالجة الأعمال المتأخرة المتراكمة في معالجة بطاقات التبليغ عن الشبكات الساتلية (</w:t>
      </w:r>
      <w:r w:rsidR="00A31E48" w:rsidRPr="00A2678D">
        <w:rPr>
          <w:spacing w:val="-4"/>
          <w:lang w:bidi="ar-EG"/>
        </w:rPr>
        <w:t>SNF</w:t>
      </w:r>
      <w:r w:rsidR="00A31E48" w:rsidRPr="00A2678D">
        <w:rPr>
          <w:spacing w:val="-4"/>
          <w:rtl/>
          <w:lang w:bidi="ar-EG"/>
        </w:rPr>
        <w:t>)</w:t>
      </w:r>
    </w:p>
    <w:p w14:paraId="389C1843" w14:textId="744C364C" w:rsidR="00A31E48" w:rsidRDefault="00A31E48" w:rsidP="00A31E48">
      <w:pPr>
        <w:rPr>
          <w:rtl/>
          <w:lang w:bidi="ar-EG"/>
        </w:rPr>
      </w:pPr>
      <w:r>
        <w:rPr>
          <w:rtl/>
          <w:lang w:bidi="ar-EG"/>
        </w:rPr>
        <w:t>تقترح الأمانة إجراء تخصيص موجَّه ومحدد المدة لوفورات عام 2025 لمعالجة الأعمال المتأخرة المتراكمة الحالية في</w:t>
      </w:r>
      <w:r w:rsidR="002704EB">
        <w:rPr>
          <w:rFonts w:hint="cs"/>
          <w:rtl/>
          <w:lang w:bidi="ar-EG"/>
        </w:rPr>
        <w:t> </w:t>
      </w:r>
      <w:r>
        <w:rPr>
          <w:rtl/>
          <w:lang w:bidi="ar-EG"/>
        </w:rPr>
        <w:t>طلبات بطاقات التبليغ عن الشبكات الساتلية (</w:t>
      </w:r>
      <w:r>
        <w:rPr>
          <w:lang w:bidi="ar-EG"/>
        </w:rPr>
        <w:t>SNF</w:t>
      </w:r>
      <w:r>
        <w:rPr>
          <w:rtl/>
          <w:lang w:bidi="ar-EG"/>
        </w:rPr>
        <w:t xml:space="preserve">)، قدره </w:t>
      </w:r>
      <w:r w:rsidR="00A2678D" w:rsidRPr="00A2678D">
        <w:rPr>
          <w:b/>
          <w:bCs/>
          <w:lang w:bidi="ar-EG"/>
        </w:rPr>
        <w:t>0,50</w:t>
      </w:r>
      <w:r w:rsidRPr="00A2678D">
        <w:rPr>
          <w:b/>
          <w:bCs/>
          <w:rtl/>
          <w:lang w:bidi="ar-EG"/>
        </w:rPr>
        <w:t xml:space="preserve"> مليون فرنك سويسري</w:t>
      </w:r>
      <w:r>
        <w:rPr>
          <w:rtl/>
          <w:lang w:bidi="ar-EG"/>
        </w:rPr>
        <w:t>. فقد امتدت الجداول الزمنية للمعالجة إلى قرابة 14 شهراً، ما يضع ضغوطاً تشغيلية على كاهل الاتحاد ويضر بسمعته.</w:t>
      </w:r>
    </w:p>
    <w:p w14:paraId="575B840D" w14:textId="6CF03704" w:rsidR="00A31E48" w:rsidRDefault="00A31E48" w:rsidP="00A31E48">
      <w:pPr>
        <w:rPr>
          <w:rtl/>
          <w:lang w:bidi="ar-EG"/>
        </w:rPr>
      </w:pPr>
      <w:r>
        <w:rPr>
          <w:rtl/>
          <w:lang w:bidi="ar-EG"/>
        </w:rPr>
        <w:t>سيوفر التدبير المقترح تمويلاً مؤقتاً لتعيين موظفين إضافيين لمهمة حصرية، وهي تقليص الأعمال المتأخرة، بهدف المساعدة على العودة بالجداول الزمنية للمعالجة إلى حدود أربعة أشهر. ويُقصد بهذا الإجراء التدخلي تعزيز القدرات على</w:t>
      </w:r>
      <w:r w:rsidR="002704EB">
        <w:rPr>
          <w:rFonts w:hint="cs"/>
          <w:rtl/>
          <w:lang w:bidi="ar-EG"/>
        </w:rPr>
        <w:t> </w:t>
      </w:r>
      <w:r>
        <w:rPr>
          <w:rtl/>
          <w:lang w:bidi="ar-EG"/>
        </w:rPr>
        <w:t>المدى القصير، والتركيز على إنجاز الحالات المتراكمة بدلاً من توسيع نطاق الملاك الوظيفي طويل الأجل.</w:t>
      </w:r>
    </w:p>
    <w:p w14:paraId="6CE5CC06" w14:textId="060DE09F" w:rsidR="00A31E48" w:rsidRPr="00A2678D" w:rsidRDefault="00A2678D" w:rsidP="00A2678D">
      <w:pPr>
        <w:pStyle w:val="Heading1"/>
        <w:rPr>
          <w:spacing w:val="-4"/>
          <w:rtl/>
          <w:lang w:bidi="ar-EG"/>
        </w:rPr>
      </w:pPr>
      <w:r>
        <w:rPr>
          <w:spacing w:val="-4"/>
          <w:lang w:bidi="ar-EG"/>
        </w:rPr>
        <w:t>3</w:t>
      </w:r>
      <w:r>
        <w:rPr>
          <w:spacing w:val="-4"/>
          <w:lang w:bidi="ar-EG"/>
        </w:rPr>
        <w:tab/>
      </w:r>
      <w:r w:rsidR="00A31E48" w:rsidRPr="00A2678D">
        <w:rPr>
          <w:spacing w:val="-4"/>
          <w:rtl/>
          <w:lang w:bidi="ar-EG"/>
        </w:rPr>
        <w:t>تعزيز النظم الأساسية لبطاقات التبليغ عن الشبكات الساتلية وقدرات تحديث البرمجيات</w:t>
      </w:r>
    </w:p>
    <w:p w14:paraId="46D0F233" w14:textId="528F6960" w:rsidR="00A31E48" w:rsidRDefault="00A31E48" w:rsidP="00927371">
      <w:pPr>
        <w:keepLines/>
        <w:rPr>
          <w:rtl/>
          <w:lang w:bidi="ar-EG"/>
        </w:rPr>
      </w:pPr>
      <w:r>
        <w:rPr>
          <w:rtl/>
          <w:lang w:bidi="ar-EG"/>
        </w:rPr>
        <w:t xml:space="preserve">يُقترح تخصيص مبلغ </w:t>
      </w:r>
      <w:r w:rsidR="00A2678D" w:rsidRPr="002704EB">
        <w:rPr>
          <w:b/>
          <w:bCs/>
          <w:lang w:bidi="ar-EG"/>
        </w:rPr>
        <w:t>1,3</w:t>
      </w:r>
      <w:r w:rsidRPr="002704EB">
        <w:rPr>
          <w:b/>
          <w:bCs/>
          <w:rtl/>
          <w:lang w:bidi="ar-EG"/>
        </w:rPr>
        <w:t xml:space="preserve"> مليون فرنك سويسري</w:t>
      </w:r>
      <w:r>
        <w:rPr>
          <w:rtl/>
          <w:lang w:bidi="ar-EG"/>
        </w:rPr>
        <w:t xml:space="preserve"> لدعم تحديث برمجيات الخدمات الفضائية لمكتب الاتصالات الراديوية، بغرض تعزيز النظم الأساسية الداعمة لعمليات بطاقات التبليغ عن الشبكات الساتلية (</w:t>
      </w:r>
      <w:r>
        <w:rPr>
          <w:lang w:bidi="ar-EG"/>
        </w:rPr>
        <w:t>SNF</w:t>
      </w:r>
      <w:r>
        <w:rPr>
          <w:rtl/>
          <w:lang w:bidi="ar-EG"/>
        </w:rPr>
        <w:t>) ضمن نطاق عمل مكتب الاتصالات الراديوية (</w:t>
      </w:r>
      <w:r>
        <w:rPr>
          <w:lang w:bidi="ar-EG"/>
        </w:rPr>
        <w:t>BR</w:t>
      </w:r>
      <w:r>
        <w:rPr>
          <w:rtl/>
          <w:lang w:bidi="ar-EG"/>
        </w:rPr>
        <w:t>). وسيدخل هذا الاستثمار في إطار استراتيجية تحديث البرمجيات الهيكلية للمكتب، بما يتماشى مع أهداف التحول الرقمي الأوسع لنظم المعلومات بالاتحاد.</w:t>
      </w:r>
    </w:p>
    <w:p w14:paraId="58E85748" w14:textId="65F5D519" w:rsidR="00A31E48" w:rsidRDefault="00A31E48" w:rsidP="00A31E48">
      <w:pPr>
        <w:rPr>
          <w:rtl/>
          <w:lang w:bidi="ar-EG"/>
        </w:rPr>
      </w:pPr>
      <w:r w:rsidRPr="000B5B61">
        <w:rPr>
          <w:rtl/>
          <w:lang w:bidi="ar-EG"/>
        </w:rPr>
        <w:t>حدد مكتب الاتصالات الراديوية قيوداً هيكلية تؤثر على أصحاب المصلحة الخارجيين والعمليات التشغيلية الداخلية على</w:t>
      </w:r>
      <w:r w:rsidR="007D3ADE" w:rsidRPr="000B5B61">
        <w:rPr>
          <w:rFonts w:hint="cs"/>
          <w:rtl/>
          <w:lang w:bidi="ar-EG"/>
        </w:rPr>
        <w:t> </w:t>
      </w:r>
      <w:r w:rsidRPr="000B5B61">
        <w:rPr>
          <w:rtl/>
          <w:lang w:bidi="ar-EG"/>
        </w:rPr>
        <w:t>حد سواء. فما تزال الدول الأعضاء ومشغلو السواتل يواجهون تحديات، مثل معالجة الأعمال المتأخرة المتراكمة التي تتجاوز المهل التنظيمية</w:t>
      </w:r>
      <w:r w:rsidR="00C40832" w:rsidRPr="000B5B61">
        <w:rPr>
          <w:rtl/>
          <w:lang w:bidi="ar-EG"/>
        </w:rPr>
        <w:t xml:space="preserve"> </w:t>
      </w:r>
      <w:r w:rsidRPr="000B5B61">
        <w:rPr>
          <w:rtl/>
          <w:lang w:bidi="ar-EG"/>
        </w:rPr>
        <w:t xml:space="preserve">المقررة، وما يرتبط بذلك من مخاطر تنظيمية، وطول مدة دورات التصحيح بعد تقديم التبليغات، وتجزؤ السطوح البينية للمستعملين. وعلى الصعيد الداخلي، يعاني المكتب ديوناً تقنية متراكمة، وتزايد المتطلبات الحسابية، ومخاطر مؤسسية كبيرة ترتبط بحالات الاعتماد على أفراد بعينهم وتركز الخبرة الفنية لدى كفاءات معينة. ورغم أن المجلس، في دورته لعام 2025، خصص </w:t>
      </w:r>
      <w:r w:rsidR="00A2678D" w:rsidRPr="000B5B61">
        <w:rPr>
          <w:lang w:bidi="ar-EG"/>
        </w:rPr>
        <w:t>0,5</w:t>
      </w:r>
      <w:r w:rsidRPr="000B5B61">
        <w:rPr>
          <w:rtl/>
          <w:lang w:bidi="ar-EG"/>
        </w:rPr>
        <w:t xml:space="preserve"> مليون فرنك سويسري سنوياً من الرسوم المحصلة من بطاقات التبليغ عن الشبكات الساتلية لصالح الصندوق الرأسمالي لتكنولوجيا المعلومات والاتصالات لتطوير برمجيات مكتب الاتصالات الراديوية، تُقدَّر تكاليف تحديث برمجيات المكتب بأكثر من </w:t>
      </w:r>
      <w:r w:rsidR="00A2678D" w:rsidRPr="000B5B61">
        <w:rPr>
          <w:lang w:bidi="ar-EG"/>
        </w:rPr>
        <w:t>3,0</w:t>
      </w:r>
      <w:r w:rsidRPr="000B5B61">
        <w:rPr>
          <w:rtl/>
          <w:lang w:bidi="ar-EG"/>
        </w:rPr>
        <w:t xml:space="preserve"> ملايين فرنك سويسري.</w:t>
      </w:r>
    </w:p>
    <w:p w14:paraId="64694D4E" w14:textId="4C79776D" w:rsidR="00A31E48" w:rsidRDefault="00A31E48" w:rsidP="00A31E48">
      <w:pPr>
        <w:rPr>
          <w:rtl/>
          <w:lang w:bidi="ar-EG"/>
        </w:rPr>
      </w:pPr>
      <w:r>
        <w:rPr>
          <w:rtl/>
          <w:lang w:bidi="ar-EG"/>
        </w:rPr>
        <w:t xml:space="preserve">يعزز عاملان تمكينيان متعددا الجوانب هذه الاستراتيجية، وهما: </w:t>
      </w:r>
      <w:r w:rsidR="00A2678D">
        <w:rPr>
          <w:rFonts w:hint="cs"/>
          <w:rtl/>
          <w:lang w:bidi="ar-EG"/>
        </w:rPr>
        <w:t>’1‘</w:t>
      </w:r>
      <w:r>
        <w:rPr>
          <w:rtl/>
          <w:lang w:bidi="ar-EG"/>
        </w:rPr>
        <w:t xml:space="preserve"> الجاهزية للانتقال إلى الحوسبة السحابية، الذي ينطوي على مواءمة برمجيات الحواسيب المكتبية وتطبيقات الويب وقواعد البيانات بمكتب الاتصالات الراديوية، فضلاً عن تحسين البنية التحتية بما يلائم العمليات التشغيلية طويلة الأجل؛ و</w:t>
      </w:r>
      <w:r w:rsidR="00A2678D">
        <w:rPr>
          <w:rFonts w:hint="cs"/>
          <w:rtl/>
          <w:lang w:bidi="ar-EG"/>
        </w:rPr>
        <w:t>’2‘</w:t>
      </w:r>
      <w:r>
        <w:rPr>
          <w:rtl/>
          <w:lang w:bidi="ar-EG"/>
        </w:rPr>
        <w:t xml:space="preserve"> الاعتماد الهيكلي على أدوات الذكاء الاصطناعي المتقدمة لتعزيز تطوير البرمجيات عموماً، وتحديثها بشكل خاص، فضلاً عن قدرات اختبار البرمجيات.</w:t>
      </w:r>
    </w:p>
    <w:p w14:paraId="36C7959C" w14:textId="5040FD04" w:rsidR="00A31E48" w:rsidRPr="00A2678D" w:rsidRDefault="00A2678D" w:rsidP="00A2678D">
      <w:pPr>
        <w:pStyle w:val="Heading1"/>
        <w:rPr>
          <w:spacing w:val="-4"/>
          <w:rtl/>
          <w:lang w:bidi="ar-EG"/>
        </w:rPr>
      </w:pPr>
      <w:r>
        <w:rPr>
          <w:spacing w:val="-4"/>
          <w:lang w:bidi="ar-EG"/>
        </w:rPr>
        <w:lastRenderedPageBreak/>
        <w:t>4</w:t>
      </w:r>
      <w:r>
        <w:rPr>
          <w:spacing w:val="-4"/>
          <w:lang w:bidi="ar-EG"/>
        </w:rPr>
        <w:tab/>
      </w:r>
      <w:r w:rsidR="00A31E48" w:rsidRPr="00A2678D">
        <w:rPr>
          <w:spacing w:val="-4"/>
          <w:rtl/>
          <w:lang w:bidi="ar-EG"/>
        </w:rPr>
        <w:t>تحديث النظم المؤسسية</w:t>
      </w:r>
    </w:p>
    <w:p w14:paraId="21C34735" w14:textId="35EB3B20" w:rsidR="00A31E48" w:rsidRDefault="00A31E48" w:rsidP="00A31E48">
      <w:pPr>
        <w:rPr>
          <w:rtl/>
          <w:lang w:bidi="ar-EG"/>
        </w:rPr>
      </w:pPr>
      <w:r>
        <w:rPr>
          <w:rtl/>
          <w:lang w:bidi="ar-EG"/>
        </w:rPr>
        <w:t xml:space="preserve">يُقترح تخصيص مبلغ </w:t>
      </w:r>
      <w:r w:rsidR="00A2678D" w:rsidRPr="00A2678D">
        <w:rPr>
          <w:b/>
          <w:bCs/>
          <w:lang w:bidi="ar-EG"/>
        </w:rPr>
        <w:t>1,45</w:t>
      </w:r>
      <w:r w:rsidRPr="00A2678D">
        <w:rPr>
          <w:b/>
          <w:bCs/>
          <w:rtl/>
          <w:lang w:bidi="ar-EG"/>
        </w:rPr>
        <w:t xml:space="preserve"> مليون فرنك سويسري</w:t>
      </w:r>
      <w:r>
        <w:rPr>
          <w:rtl/>
          <w:lang w:bidi="ar-EG"/>
        </w:rPr>
        <w:t xml:space="preserve"> لتعزيز القدرات المطلوبة لتنفيذ جدول أعمال التحول الجاري للاتحاد، لا سيما تنفيذ النظم المؤسسات الرئيسية، مثل </w:t>
      </w:r>
      <w:r>
        <w:rPr>
          <w:lang w:bidi="ar-EG"/>
        </w:rPr>
        <w:t>SAP S/4HANA</w:t>
      </w:r>
      <w:r>
        <w:rPr>
          <w:rtl/>
          <w:lang w:bidi="ar-EG"/>
        </w:rPr>
        <w:t>، و</w:t>
      </w:r>
      <w:r>
        <w:rPr>
          <w:lang w:bidi="ar-EG"/>
        </w:rPr>
        <w:t>Microsoft Dynamics</w:t>
      </w:r>
      <w:r>
        <w:rPr>
          <w:rtl/>
          <w:lang w:bidi="ar-EG"/>
        </w:rPr>
        <w:t>، ونظام التوظيف، ودعم الحوسبة السحابية، والذكاء الاصطناعي، وأسس البيانات، بما يتيح تحديث نظم القطاع.</w:t>
      </w:r>
    </w:p>
    <w:p w14:paraId="5B8F854F" w14:textId="77777777" w:rsidR="00A31E48" w:rsidRDefault="00A31E48" w:rsidP="00A31E48">
      <w:pPr>
        <w:rPr>
          <w:rtl/>
          <w:lang w:bidi="ar-EG"/>
        </w:rPr>
      </w:pPr>
      <w:r>
        <w:rPr>
          <w:rtl/>
          <w:lang w:bidi="ar-EG"/>
        </w:rPr>
        <w:t>ولا تمثل هذه المبادرات إحلالاً للنظم فحسب، بل تعد فرصة سانحة على المستوى الهيكلي لمواجهة هذه التحديات من خلال إعادة هندسة الأعمال، وتحديث النماذج المعمارية، وتعزيز الحوكمة.</w:t>
      </w:r>
    </w:p>
    <w:p w14:paraId="2BFA055C" w14:textId="77777777" w:rsidR="00A31E48" w:rsidRDefault="00A31E48" w:rsidP="00A31E48">
      <w:pPr>
        <w:rPr>
          <w:rtl/>
          <w:lang w:bidi="ar-EG"/>
        </w:rPr>
      </w:pPr>
      <w:r>
        <w:rPr>
          <w:rtl/>
          <w:lang w:bidi="ar-EG"/>
        </w:rPr>
        <w:t>سيدعم التخصيص المقترح، بطبيعته الرأسمالية، ما يلي:</w:t>
      </w:r>
    </w:p>
    <w:p w14:paraId="31AC7636" w14:textId="5689F003" w:rsidR="00A31E48" w:rsidRDefault="00EA49CD" w:rsidP="00A2678D">
      <w:pPr>
        <w:pStyle w:val="enumlev1"/>
        <w:rPr>
          <w:rtl/>
        </w:rPr>
      </w:pPr>
      <w:r>
        <w:rPr>
          <w:rFonts w:hint="cs"/>
          <w:rtl/>
        </w:rPr>
        <w:t>-</w:t>
      </w:r>
      <w:r w:rsidR="00A31E48">
        <w:rPr>
          <w:rtl/>
        </w:rPr>
        <w:tab/>
        <w:t>خفض الديون التقنية وتحديث النظم الأساسية، وتشمل نظام تخطيط الموارد المؤسسية (</w:t>
      </w:r>
      <w:r w:rsidR="00A31E48">
        <w:t>ERP</w:t>
      </w:r>
      <w:r w:rsidR="00A31E48">
        <w:rPr>
          <w:rtl/>
        </w:rPr>
        <w:t>) ونظام إدارة العلاقات مع العملاء (</w:t>
      </w:r>
      <w:r w:rsidR="00A31E48">
        <w:t>CRM</w:t>
      </w:r>
      <w:r w:rsidR="00A31E48">
        <w:rPr>
          <w:rtl/>
        </w:rPr>
        <w:t>) وإدارة الأحداث، والتوظيف، وإدارة السفريات والنفقات، وإدارة الخدمات، والمنصات الرقمية الأخرى؛</w:t>
      </w:r>
    </w:p>
    <w:p w14:paraId="403FBCA6" w14:textId="451D3658" w:rsidR="00A31E48" w:rsidRDefault="00EA49CD" w:rsidP="00A2678D">
      <w:pPr>
        <w:pStyle w:val="enumlev1"/>
        <w:rPr>
          <w:rtl/>
        </w:rPr>
      </w:pPr>
      <w:r>
        <w:rPr>
          <w:rFonts w:hint="cs"/>
          <w:rtl/>
        </w:rPr>
        <w:t>-</w:t>
      </w:r>
      <w:r w:rsidR="00A31E48">
        <w:rPr>
          <w:rtl/>
        </w:rPr>
        <w:tab/>
      </w:r>
      <w:r w:rsidR="000B5B61">
        <w:rPr>
          <w:rFonts w:hint="cs"/>
          <w:rtl/>
          <w:lang w:bidi="ar-EG"/>
        </w:rPr>
        <w:t>و</w:t>
      </w:r>
      <w:r w:rsidR="00A31E48">
        <w:rPr>
          <w:rtl/>
        </w:rPr>
        <w:t>الانتقال إلى الحوسبة السحابية، والتحسين المعماري للنظم الحيوية لإنجاز المهام؛</w:t>
      </w:r>
    </w:p>
    <w:p w14:paraId="68350DA2" w14:textId="6DA53A50" w:rsidR="00A31E48" w:rsidRDefault="00EA49CD" w:rsidP="00A2678D">
      <w:pPr>
        <w:pStyle w:val="enumlev1"/>
        <w:rPr>
          <w:rtl/>
        </w:rPr>
      </w:pPr>
      <w:r>
        <w:rPr>
          <w:rFonts w:hint="cs"/>
          <w:rtl/>
        </w:rPr>
        <w:t>-</w:t>
      </w:r>
      <w:r w:rsidR="00A31E48">
        <w:rPr>
          <w:rtl/>
        </w:rPr>
        <w:tab/>
      </w:r>
      <w:r w:rsidR="000B5B61">
        <w:rPr>
          <w:rFonts w:hint="cs"/>
          <w:rtl/>
        </w:rPr>
        <w:t>و</w:t>
      </w:r>
      <w:r w:rsidR="00A31E48">
        <w:rPr>
          <w:rtl/>
        </w:rPr>
        <w:t>تبسيط العمليات الرئيسية من طرف إلى طرف، وأتمتتها؛</w:t>
      </w:r>
    </w:p>
    <w:p w14:paraId="5658FE2E" w14:textId="7D320451" w:rsidR="00A31E48" w:rsidRDefault="00EA49CD" w:rsidP="00A2678D">
      <w:pPr>
        <w:pStyle w:val="enumlev1"/>
        <w:rPr>
          <w:rtl/>
        </w:rPr>
      </w:pPr>
      <w:r>
        <w:rPr>
          <w:rFonts w:hint="cs"/>
          <w:rtl/>
        </w:rPr>
        <w:t>-</w:t>
      </w:r>
      <w:r w:rsidR="00A31E48">
        <w:rPr>
          <w:rtl/>
        </w:rPr>
        <w:tab/>
      </w:r>
      <w:r w:rsidR="000B5B61">
        <w:rPr>
          <w:rFonts w:hint="cs"/>
          <w:rtl/>
        </w:rPr>
        <w:t>و</w:t>
      </w:r>
      <w:r w:rsidR="00A31E48">
        <w:rPr>
          <w:rtl/>
        </w:rPr>
        <w:t>تحسين جودة البيانات، والضوابط الداخلية، وقدرات إعداد التقارير؛</w:t>
      </w:r>
    </w:p>
    <w:p w14:paraId="2F1C0DFE" w14:textId="639ACE45" w:rsidR="00A31E48" w:rsidRDefault="00EA49CD" w:rsidP="00A2678D">
      <w:pPr>
        <w:pStyle w:val="enumlev1"/>
        <w:rPr>
          <w:rtl/>
        </w:rPr>
      </w:pPr>
      <w:r>
        <w:rPr>
          <w:rFonts w:hint="cs"/>
          <w:rtl/>
        </w:rPr>
        <w:t>-</w:t>
      </w:r>
      <w:r w:rsidR="00A31E48">
        <w:rPr>
          <w:rtl/>
        </w:rPr>
        <w:tab/>
      </w:r>
      <w:r w:rsidR="000B5B61">
        <w:rPr>
          <w:rFonts w:hint="cs"/>
          <w:rtl/>
        </w:rPr>
        <w:t>و</w:t>
      </w:r>
      <w:r w:rsidR="00A31E48">
        <w:rPr>
          <w:rtl/>
        </w:rPr>
        <w:t xml:space="preserve">تحديث أساليب العمل، بما في ذلك الاستثمار الرأسمالي في منصة </w:t>
      </w:r>
      <w:proofErr w:type="spellStart"/>
      <w:r w:rsidR="00A31E48">
        <w:t>MyWorkspace</w:t>
      </w:r>
      <w:proofErr w:type="spellEnd"/>
      <w:r w:rsidR="00A31E48">
        <w:rPr>
          <w:rtl/>
        </w:rPr>
        <w:t>؛</w:t>
      </w:r>
    </w:p>
    <w:p w14:paraId="62519699" w14:textId="1488F905" w:rsidR="00A31E48" w:rsidRDefault="00EA49CD" w:rsidP="00A2678D">
      <w:pPr>
        <w:pStyle w:val="enumlev1"/>
        <w:rPr>
          <w:rtl/>
        </w:rPr>
      </w:pPr>
      <w:r>
        <w:rPr>
          <w:rFonts w:hint="cs"/>
          <w:rtl/>
        </w:rPr>
        <w:t>-</w:t>
      </w:r>
      <w:r w:rsidR="00A31E48">
        <w:rPr>
          <w:rtl/>
        </w:rPr>
        <w:tab/>
      </w:r>
      <w:r w:rsidR="000B5B61">
        <w:rPr>
          <w:rFonts w:hint="cs"/>
          <w:rtl/>
        </w:rPr>
        <w:t>و</w:t>
      </w:r>
      <w:r w:rsidR="00A31E48">
        <w:rPr>
          <w:rtl/>
        </w:rPr>
        <w:t>تعزيز الحكومة، ومعمارية المؤسسة، وضبط الحافظة المؤسسية؛</w:t>
      </w:r>
    </w:p>
    <w:p w14:paraId="6F0B56CD" w14:textId="753C4D9B" w:rsidR="00A31E48" w:rsidRDefault="00EA49CD" w:rsidP="00A2678D">
      <w:pPr>
        <w:pStyle w:val="enumlev1"/>
        <w:rPr>
          <w:rtl/>
        </w:rPr>
      </w:pPr>
      <w:r>
        <w:rPr>
          <w:rFonts w:hint="cs"/>
          <w:rtl/>
        </w:rPr>
        <w:t>-</w:t>
      </w:r>
      <w:r w:rsidR="00A31E48">
        <w:rPr>
          <w:rtl/>
        </w:rPr>
        <w:tab/>
      </w:r>
      <w:r w:rsidR="00A2678D">
        <w:rPr>
          <w:rFonts w:hint="cs"/>
          <w:rtl/>
          <w:lang w:bidi="ar-SA"/>
        </w:rPr>
        <w:t>و</w:t>
      </w:r>
      <w:r w:rsidR="00A31E48">
        <w:rPr>
          <w:rtl/>
        </w:rPr>
        <w:t>إيقاف تشغيل المنصات التقليدية، والحد من الازدواجية.</w:t>
      </w:r>
    </w:p>
    <w:p w14:paraId="210DF3E8" w14:textId="7EB22974" w:rsidR="00A31E48" w:rsidRDefault="00A31E48" w:rsidP="00A31E48">
      <w:pPr>
        <w:rPr>
          <w:rtl/>
          <w:lang w:bidi="ar-EG"/>
        </w:rPr>
      </w:pPr>
      <w:r>
        <w:rPr>
          <w:rtl/>
          <w:lang w:bidi="ar-EG"/>
        </w:rPr>
        <w:t>ويمكن للاتحاد، باستخدام جزء من فائض عام 2025 لدعم هذا العمل، تسريع وتيرة التحول مع الحد من التكاليف على</w:t>
      </w:r>
      <w:r w:rsidR="00005C48">
        <w:rPr>
          <w:rFonts w:hint="cs"/>
          <w:rtl/>
          <w:lang w:bidi="ar-EG"/>
        </w:rPr>
        <w:t> </w:t>
      </w:r>
      <w:r>
        <w:rPr>
          <w:rtl/>
          <w:lang w:bidi="ar-EG"/>
        </w:rPr>
        <w:t>المديين المتوسط والطويل، وتعزيز الضوابط الداخلية، والحد من المخاطر التشغيلية، دون وضع ضغوط هيكلية دائمة على الميزانية الأساسية.</w:t>
      </w:r>
    </w:p>
    <w:p w14:paraId="2F52C175" w14:textId="52007DE1" w:rsidR="00A31E48" w:rsidRPr="00A2678D" w:rsidRDefault="00A2678D" w:rsidP="00A2678D">
      <w:pPr>
        <w:pStyle w:val="Heading1"/>
        <w:rPr>
          <w:spacing w:val="-4"/>
          <w:rtl/>
          <w:lang w:bidi="ar-EG"/>
        </w:rPr>
      </w:pPr>
      <w:r>
        <w:rPr>
          <w:spacing w:val="-4"/>
          <w:lang w:bidi="ar-EG"/>
        </w:rPr>
        <w:t>5</w:t>
      </w:r>
      <w:r w:rsidR="00A31E48" w:rsidRPr="00A2678D">
        <w:rPr>
          <w:spacing w:val="-4"/>
          <w:rtl/>
          <w:lang w:bidi="ar-EG"/>
        </w:rPr>
        <w:tab/>
        <w:t>تدابير استمرارية الأعمال</w:t>
      </w:r>
    </w:p>
    <w:p w14:paraId="14D4657F" w14:textId="0DA67173" w:rsidR="00A31E48" w:rsidRDefault="00A31E48" w:rsidP="00A31E48">
      <w:pPr>
        <w:rPr>
          <w:rtl/>
          <w:lang w:bidi="ar-EG"/>
        </w:rPr>
      </w:pPr>
      <w:r>
        <w:rPr>
          <w:rtl/>
          <w:lang w:bidi="ar-EG"/>
        </w:rPr>
        <w:t xml:space="preserve">تماشياً مع خطة استمرارية الأعمال في مرحلة تشييد المقر، يُقترح تخصيص مبلغ </w:t>
      </w:r>
      <w:r w:rsidR="00A2678D" w:rsidRPr="00A2678D">
        <w:rPr>
          <w:b/>
          <w:bCs/>
          <w:lang w:bidi="ar-EG"/>
        </w:rPr>
        <w:t>1,50</w:t>
      </w:r>
      <w:r w:rsidRPr="00A2678D">
        <w:rPr>
          <w:b/>
          <w:bCs/>
          <w:rtl/>
          <w:lang w:bidi="ar-EG"/>
        </w:rPr>
        <w:t xml:space="preserve"> مليون فرنك سويسري</w:t>
      </w:r>
      <w:r>
        <w:rPr>
          <w:rtl/>
          <w:lang w:bidi="ar-EG"/>
        </w:rPr>
        <w:t xml:space="preserve"> لضمان استمرارية العمليات التشغيلية </w:t>
      </w:r>
      <w:r w:rsidR="00005C48">
        <w:rPr>
          <w:rFonts w:hint="cs"/>
          <w:rtl/>
          <w:lang w:bidi="ar-EG"/>
        </w:rPr>
        <w:t>ل</w:t>
      </w:r>
      <w:r>
        <w:rPr>
          <w:rtl/>
          <w:lang w:bidi="ar-EG"/>
        </w:rPr>
        <w:t>لاتحاد في أثناء مرحلة التشييد.</w:t>
      </w:r>
    </w:p>
    <w:p w14:paraId="33467142" w14:textId="2D1F0FF8" w:rsidR="00A31E48" w:rsidRDefault="00A31E48" w:rsidP="00A31E48">
      <w:pPr>
        <w:rPr>
          <w:rtl/>
          <w:lang w:bidi="ar-EG"/>
        </w:rPr>
      </w:pPr>
      <w:r>
        <w:rPr>
          <w:rtl/>
          <w:lang w:bidi="ar-EG"/>
        </w:rPr>
        <w:t xml:space="preserve">والهدف من ذلك على النحو المبين في خطة استمرارية الأعمال هو ضمان استمرار الأنشطة الأساسية للاتحاد وخدمات الدعم ذات الصلة في موقع </w:t>
      </w:r>
      <w:r w:rsidR="000B5B61">
        <w:rPr>
          <w:rFonts w:hint="cs"/>
          <w:rtl/>
          <w:lang w:bidi="ar-EG"/>
        </w:rPr>
        <w:t>ال</w:t>
      </w:r>
      <w:r>
        <w:rPr>
          <w:rtl/>
          <w:lang w:bidi="ar-EG"/>
        </w:rPr>
        <w:t>مقر بجنيف في أثناء أنشطة التشييد.</w:t>
      </w:r>
    </w:p>
    <w:p w14:paraId="3073CCB1" w14:textId="77777777" w:rsidR="00A31E48" w:rsidRDefault="00A31E48" w:rsidP="00A31E48">
      <w:pPr>
        <w:rPr>
          <w:rtl/>
          <w:lang w:bidi="ar-EG"/>
        </w:rPr>
      </w:pPr>
      <w:r>
        <w:rPr>
          <w:rtl/>
          <w:lang w:bidi="ar-EG"/>
        </w:rPr>
        <w:t>يتعلق هذا التخصيص تحديداً بتدابير الاستمرارية الانتقالية والتشغيلية، ويشمل ذلك:</w:t>
      </w:r>
    </w:p>
    <w:p w14:paraId="2043FC6B" w14:textId="57CCEBBD" w:rsidR="00C40832" w:rsidRDefault="00EA49CD" w:rsidP="00A2678D">
      <w:pPr>
        <w:pStyle w:val="enumlev1"/>
        <w:rPr>
          <w:rtl/>
        </w:rPr>
      </w:pPr>
      <w:r>
        <w:rPr>
          <w:rFonts w:hint="cs"/>
          <w:rtl/>
        </w:rPr>
        <w:t>-</w:t>
      </w:r>
      <w:r w:rsidR="00A31E48">
        <w:rPr>
          <w:rtl/>
        </w:rPr>
        <w:tab/>
        <w:t>نقل أماكن العمل وإعادة تشكيلها في مبنييْ البرج ومونبريان وفقاً لنموذج مشاركة المكاتب والاستعمال الأمثل للمساحات؛</w:t>
      </w:r>
    </w:p>
    <w:p w14:paraId="094A6F3E" w14:textId="252E5198" w:rsidR="00A31E48" w:rsidRPr="00927371" w:rsidRDefault="00EA49CD" w:rsidP="00A2678D">
      <w:pPr>
        <w:pStyle w:val="enumlev1"/>
        <w:rPr>
          <w:spacing w:val="-5"/>
          <w:rtl/>
        </w:rPr>
      </w:pPr>
      <w:r>
        <w:rPr>
          <w:rFonts w:hint="cs"/>
          <w:rtl/>
        </w:rPr>
        <w:t>-</w:t>
      </w:r>
      <w:r w:rsidR="00A31E48" w:rsidRPr="00927371">
        <w:rPr>
          <w:spacing w:val="-5"/>
          <w:rtl/>
        </w:rPr>
        <w:tab/>
        <w:t>مواءمة خدمات الدعم للحفاظ على سير عمليات التشييد الأساسية، والصحة والرفاه، والأمن وقدرات عقد المؤتمرات؛</w:t>
      </w:r>
    </w:p>
    <w:p w14:paraId="079A4EC1" w14:textId="1167BA44" w:rsidR="00A31E48" w:rsidRDefault="00EA49CD" w:rsidP="00A2678D">
      <w:pPr>
        <w:pStyle w:val="enumlev1"/>
        <w:rPr>
          <w:rtl/>
        </w:rPr>
      </w:pPr>
      <w:r>
        <w:rPr>
          <w:rFonts w:hint="cs"/>
          <w:rtl/>
        </w:rPr>
        <w:t>-</w:t>
      </w:r>
      <w:r w:rsidR="00A31E48">
        <w:rPr>
          <w:rtl/>
        </w:rPr>
        <w:tab/>
        <w:t xml:space="preserve">استمرارية إجراء الأنشطة </w:t>
      </w:r>
      <w:r w:rsidR="00A31E48" w:rsidRPr="000B5B61">
        <w:rPr>
          <w:rtl/>
        </w:rPr>
        <w:t>النظامية</w:t>
      </w:r>
      <w:r w:rsidR="00C40832">
        <w:rPr>
          <w:rtl/>
        </w:rPr>
        <w:t xml:space="preserve"> </w:t>
      </w:r>
      <w:r w:rsidR="00A31E48">
        <w:rPr>
          <w:rtl/>
        </w:rPr>
        <w:t>والتشغيلية الأساسية، وتشمل المؤتمرات والاجتماعات الهجينة والوظائف المؤسسية الرئيسية؛</w:t>
      </w:r>
    </w:p>
    <w:p w14:paraId="45CC028D" w14:textId="5C5E9BA0" w:rsidR="00A31E48" w:rsidRDefault="00EA49CD" w:rsidP="00A2678D">
      <w:pPr>
        <w:pStyle w:val="enumlev1"/>
        <w:rPr>
          <w:rtl/>
        </w:rPr>
      </w:pPr>
      <w:r>
        <w:rPr>
          <w:rFonts w:hint="cs"/>
          <w:rtl/>
        </w:rPr>
        <w:t>-</w:t>
      </w:r>
      <w:r w:rsidR="00A31E48">
        <w:rPr>
          <w:rtl/>
        </w:rPr>
        <w:tab/>
      </w:r>
      <w:r w:rsidR="00A2678D">
        <w:rPr>
          <w:rFonts w:hint="cs"/>
          <w:rtl/>
          <w:lang w:bidi="ar-SA"/>
        </w:rPr>
        <w:t>و</w:t>
      </w:r>
      <w:r w:rsidR="00A31E48">
        <w:rPr>
          <w:rtl/>
        </w:rPr>
        <w:t>التعديلات التشغيلية المؤقتة المطلوبة لإدارة الاضطراب، والقيود المتعلقة بالتخزين، وانخفاض السعة الاستيعابية للموقع.</w:t>
      </w:r>
    </w:p>
    <w:p w14:paraId="3E8ABD28" w14:textId="57AFC22F" w:rsidR="00A31E48" w:rsidRDefault="00A31E48" w:rsidP="00A31E48">
      <w:pPr>
        <w:rPr>
          <w:rtl/>
          <w:lang w:bidi="ar-EG"/>
        </w:rPr>
      </w:pPr>
      <w:r>
        <w:rPr>
          <w:rtl/>
          <w:lang w:bidi="ar-EG"/>
        </w:rPr>
        <w:t xml:space="preserve">وستُعالَج متطلبات إضافية لمرحلة التشييد على المدى الطويل في إطار الخطة المالية للفترة </w:t>
      </w:r>
      <w:r w:rsidR="002F09E8">
        <w:rPr>
          <w:lang w:bidi="ar-EG"/>
        </w:rPr>
        <w:t>2031-2028</w:t>
      </w:r>
      <w:r>
        <w:rPr>
          <w:rtl/>
          <w:lang w:bidi="ar-EG"/>
        </w:rPr>
        <w:t>.</w:t>
      </w:r>
    </w:p>
    <w:p w14:paraId="6B876A84" w14:textId="7D4032FF" w:rsidR="00A31E48" w:rsidRPr="002F09E8" w:rsidRDefault="002F09E8" w:rsidP="002F09E8">
      <w:pPr>
        <w:pStyle w:val="Heading1"/>
        <w:rPr>
          <w:spacing w:val="-4"/>
          <w:rtl/>
          <w:lang w:bidi="ar-EG"/>
        </w:rPr>
      </w:pPr>
      <w:r>
        <w:rPr>
          <w:spacing w:val="-4"/>
          <w:lang w:bidi="ar-EG"/>
        </w:rPr>
        <w:t>6</w:t>
      </w:r>
      <w:r w:rsidR="00A31E48" w:rsidRPr="002F09E8">
        <w:rPr>
          <w:spacing w:val="-4"/>
          <w:rtl/>
          <w:lang w:bidi="ar-EG"/>
        </w:rPr>
        <w:tab/>
        <w:t>المبادرات الإقليمية</w:t>
      </w:r>
    </w:p>
    <w:p w14:paraId="450E32A1" w14:textId="6F8A8BFE" w:rsidR="00A31E48" w:rsidRDefault="00A31E48" w:rsidP="00A31E48">
      <w:pPr>
        <w:rPr>
          <w:rtl/>
          <w:lang w:bidi="ar-EG"/>
        </w:rPr>
      </w:pPr>
      <w:r>
        <w:rPr>
          <w:rtl/>
          <w:lang w:bidi="ar-EG"/>
        </w:rPr>
        <w:t xml:space="preserve">تماشياً مع الممارسة المتبعة في أعقاب المؤتمرات العالمية لتنمية الاتصالات، يُقترح توجيه تخصيص بمبلغ </w:t>
      </w:r>
      <w:r w:rsidR="002F09E8" w:rsidRPr="002F09E8">
        <w:rPr>
          <w:b/>
          <w:bCs/>
          <w:lang w:bidi="ar-EG"/>
        </w:rPr>
        <w:t>1,3</w:t>
      </w:r>
      <w:r w:rsidRPr="002F09E8">
        <w:rPr>
          <w:b/>
          <w:bCs/>
          <w:rtl/>
          <w:lang w:bidi="ar-EG"/>
        </w:rPr>
        <w:t xml:space="preserve"> مليون فرنك سويسري</w:t>
      </w:r>
      <w:r>
        <w:rPr>
          <w:rtl/>
          <w:lang w:bidi="ar-EG"/>
        </w:rPr>
        <w:t xml:space="preserve"> لدعم مكتب تنمية الاتصالات (</w:t>
      </w:r>
      <w:r>
        <w:rPr>
          <w:lang w:bidi="ar-EG"/>
        </w:rPr>
        <w:t>BDT</w:t>
      </w:r>
      <w:r>
        <w:rPr>
          <w:rtl/>
          <w:lang w:bidi="ar-EG"/>
        </w:rPr>
        <w:t>) في تنفيذ المبادرات الإقليمية المعتمدة في المؤتمر العالمي لتنمية الاتصالات لعام 2025 (</w:t>
      </w:r>
      <w:r>
        <w:rPr>
          <w:lang w:bidi="ar-EG"/>
        </w:rPr>
        <w:t>WTDC-2025</w:t>
      </w:r>
      <w:r>
        <w:rPr>
          <w:rtl/>
          <w:lang w:bidi="ar-EG"/>
        </w:rPr>
        <w:t xml:space="preserve">) في الوقت المحدد لها. وسيُخصَّص مبلغ </w:t>
      </w:r>
      <w:r w:rsidR="002F09E8" w:rsidRPr="002F09E8">
        <w:rPr>
          <w:b/>
          <w:bCs/>
          <w:lang w:bidi="ar-EG"/>
        </w:rPr>
        <w:t>500 000</w:t>
      </w:r>
      <w:r w:rsidRPr="002F09E8">
        <w:rPr>
          <w:b/>
          <w:bCs/>
          <w:rtl/>
          <w:lang w:bidi="ar-EG"/>
        </w:rPr>
        <w:t xml:space="preserve"> فرنك سويسري</w:t>
      </w:r>
      <w:r>
        <w:rPr>
          <w:rtl/>
          <w:lang w:bidi="ar-EG"/>
        </w:rPr>
        <w:t xml:space="preserve"> من هذا </w:t>
      </w:r>
      <w:r>
        <w:rPr>
          <w:rtl/>
          <w:lang w:bidi="ar-EG"/>
        </w:rPr>
        <w:lastRenderedPageBreak/>
        <w:t xml:space="preserve">التمويل لدعم جهود المكتب مباشرةً، بينما سيُخصَّص مبلغ </w:t>
      </w:r>
      <w:r w:rsidR="002F09E8" w:rsidRPr="002F09E8">
        <w:rPr>
          <w:b/>
          <w:bCs/>
          <w:lang w:bidi="ar-EG"/>
        </w:rPr>
        <w:t>800 000</w:t>
      </w:r>
      <w:r w:rsidRPr="002F09E8">
        <w:rPr>
          <w:b/>
          <w:bCs/>
          <w:rtl/>
          <w:lang w:bidi="ar-EG"/>
        </w:rPr>
        <w:t xml:space="preserve"> فرنك سويسري</w:t>
      </w:r>
      <w:r>
        <w:rPr>
          <w:rtl/>
          <w:lang w:bidi="ar-EG"/>
        </w:rPr>
        <w:t xml:space="preserve"> لصالح صندوق تنمية تكنولوجيا المعلومات والاتصالات في إطار دعم المشاريع التي يضطلع بها الاتحاد بالشراكة مع جهات مانحة. وأكد مكتب تنمية الاتصالات أن ستُجرى تلبية متطلبات التنفيذ الأخرى للمؤتمر </w:t>
      </w:r>
      <w:r>
        <w:rPr>
          <w:lang w:bidi="ar-EG"/>
        </w:rPr>
        <w:t>WTDC-2025</w:t>
      </w:r>
      <w:r>
        <w:rPr>
          <w:rtl/>
          <w:lang w:bidi="ar-EG"/>
        </w:rPr>
        <w:t xml:space="preserve"> في إطار المخصصات المالية الحالية.</w:t>
      </w:r>
    </w:p>
    <w:p w14:paraId="4CB91AE3" w14:textId="7116E3B4" w:rsidR="00A31E48" w:rsidRDefault="00A31E48" w:rsidP="00A31E48">
      <w:pPr>
        <w:rPr>
          <w:rtl/>
          <w:lang w:bidi="ar-EG"/>
        </w:rPr>
      </w:pPr>
      <w:r>
        <w:rPr>
          <w:rtl/>
          <w:lang w:bidi="ar-EG"/>
        </w:rPr>
        <w:t xml:space="preserve">وقد أعاد المؤتمر </w:t>
      </w:r>
      <w:r>
        <w:rPr>
          <w:lang w:bidi="ar-EG"/>
        </w:rPr>
        <w:t>WTDC-2025</w:t>
      </w:r>
      <w:r w:rsidR="0015416E">
        <w:rPr>
          <w:rFonts w:hint="cs"/>
          <w:rtl/>
          <w:lang w:bidi="ar-EG"/>
        </w:rPr>
        <w:t xml:space="preserve"> </w:t>
      </w:r>
      <w:r>
        <w:rPr>
          <w:rtl/>
          <w:lang w:bidi="ar-EG"/>
        </w:rPr>
        <w:t>التأكيد على الدور المركزي لقطاع تنمية الاتصالات في النهوض بالتحول الرقمي، وتوسيع</w:t>
      </w:r>
      <w:r w:rsidR="0015416E">
        <w:rPr>
          <w:rFonts w:hint="cs"/>
          <w:rtl/>
          <w:lang w:bidi="ar-EG"/>
        </w:rPr>
        <w:t> </w:t>
      </w:r>
      <w:r>
        <w:rPr>
          <w:rtl/>
          <w:lang w:bidi="ar-EG"/>
        </w:rPr>
        <w:t>نطاق التوصيلية، وتنمية القدرات، لا سيما في البلدان النامية وأقل البلدان نمواً (</w:t>
      </w:r>
      <w:r>
        <w:rPr>
          <w:lang w:bidi="ar-EG"/>
        </w:rPr>
        <w:t>LDC</w:t>
      </w:r>
      <w:r>
        <w:rPr>
          <w:rtl/>
          <w:lang w:bidi="ar-EG"/>
        </w:rPr>
        <w:t>) والدول الجزرية الصغيرة النامية</w:t>
      </w:r>
      <w:r w:rsidR="0015416E">
        <w:rPr>
          <w:rFonts w:hint="cs"/>
          <w:rtl/>
          <w:lang w:bidi="ar-EG"/>
        </w:rPr>
        <w:t> </w:t>
      </w:r>
      <w:r>
        <w:rPr>
          <w:rtl/>
          <w:lang w:bidi="ar-EG"/>
        </w:rPr>
        <w:t>(</w:t>
      </w:r>
      <w:r>
        <w:rPr>
          <w:lang w:bidi="ar-EG"/>
        </w:rPr>
        <w:t>SIDS</w:t>
      </w:r>
      <w:r>
        <w:rPr>
          <w:rtl/>
          <w:lang w:bidi="ar-EG"/>
        </w:rPr>
        <w:t>) والبلدان النامية غير الساحلية (</w:t>
      </w:r>
      <w:r>
        <w:rPr>
          <w:lang w:bidi="ar-EG"/>
        </w:rPr>
        <w:t>LLDC</w:t>
      </w:r>
      <w:r>
        <w:rPr>
          <w:rtl/>
          <w:lang w:bidi="ar-EG"/>
        </w:rPr>
        <w:t>). واعتمد المؤتمر قرارات ونتائج ذات منحى عملي، تتطلب تسريع وتيرة المساعدة التقنية، وتعزيز تنفيذ البرامج ودعم آليات التنفيذ.</w:t>
      </w:r>
    </w:p>
    <w:p w14:paraId="74494C7B" w14:textId="77777777" w:rsidR="00A31E48" w:rsidRDefault="00A31E48" w:rsidP="00A31E48">
      <w:pPr>
        <w:rPr>
          <w:rtl/>
          <w:lang w:bidi="ar-EG"/>
        </w:rPr>
      </w:pPr>
      <w:r>
        <w:rPr>
          <w:rtl/>
          <w:lang w:bidi="ar-EG"/>
        </w:rPr>
        <w:t xml:space="preserve">ومن شأن هذا التخصيص أن يساعد مباشرةً في ترجمة قرارات المؤتمر إلى خطوات ملموسة في تنفيذ البرامج، بما يضمن عدم إرجاء تنفيذ نتائج المؤتمر </w:t>
      </w:r>
      <w:r>
        <w:rPr>
          <w:lang w:bidi="ar-EG"/>
        </w:rPr>
        <w:t>WTDC-2025</w:t>
      </w:r>
      <w:r>
        <w:rPr>
          <w:rtl/>
          <w:lang w:bidi="ar-EG"/>
        </w:rPr>
        <w:t xml:space="preserve"> بسبب القيود المتعلقة بتوقيت توفير الموارد. ويمثل هذا الإجراء تعزيزاً لقدرات التنفيذ لفترة محددة، وليس توسعاً هيكلياً في الميزانية الأساسية.</w:t>
      </w:r>
    </w:p>
    <w:p w14:paraId="4540B496" w14:textId="77777777" w:rsidR="00C40832" w:rsidRDefault="00927371" w:rsidP="00927371">
      <w:pPr>
        <w:pStyle w:val="Heading1"/>
        <w:rPr>
          <w:spacing w:val="-4"/>
          <w:rtl/>
          <w:lang w:bidi="ar-EG"/>
        </w:rPr>
      </w:pPr>
      <w:r>
        <w:rPr>
          <w:spacing w:val="-4"/>
          <w:lang w:bidi="ar-EG"/>
        </w:rPr>
        <w:t>7</w:t>
      </w:r>
      <w:r>
        <w:rPr>
          <w:spacing w:val="-4"/>
          <w:lang w:bidi="ar-EG"/>
        </w:rPr>
        <w:tab/>
      </w:r>
      <w:r w:rsidR="00A31E48" w:rsidRPr="00927371">
        <w:rPr>
          <w:spacing w:val="-4"/>
          <w:rtl/>
          <w:lang w:bidi="ar-EG"/>
        </w:rPr>
        <w:t>مبادرات الذكاء الاصطناعي</w:t>
      </w:r>
    </w:p>
    <w:p w14:paraId="3BD917C5" w14:textId="6B37583B" w:rsidR="00A31E48" w:rsidRDefault="00A31E48" w:rsidP="00A31E48">
      <w:pPr>
        <w:rPr>
          <w:rtl/>
          <w:lang w:bidi="ar-EG"/>
        </w:rPr>
      </w:pPr>
      <w:r>
        <w:rPr>
          <w:rtl/>
          <w:lang w:bidi="ar-EG"/>
        </w:rPr>
        <w:t xml:space="preserve">يُقترح تخصيص مبلغ </w:t>
      </w:r>
      <w:r w:rsidRPr="00927371">
        <w:rPr>
          <w:b/>
          <w:bCs/>
          <w:rtl/>
          <w:lang w:bidi="ar-EG"/>
        </w:rPr>
        <w:t>مليون فرنك سويسري</w:t>
      </w:r>
      <w:r>
        <w:rPr>
          <w:rtl/>
          <w:lang w:bidi="ar-EG"/>
        </w:rPr>
        <w:t xml:space="preserve"> لدعم الاختصاصات ذات الأولوية التي انبثقت عن الجمعية العالمية لتقييس الاتصالات لعام 2024 (</w:t>
      </w:r>
      <w:r>
        <w:rPr>
          <w:lang w:bidi="ar-EG"/>
        </w:rPr>
        <w:t>WTSA-24</w:t>
      </w:r>
      <w:r>
        <w:rPr>
          <w:rtl/>
          <w:lang w:bidi="ar-EG"/>
        </w:rPr>
        <w:t>)، ولتعزيز ريادة الاتحاد في مجال الذكاء الاصطناعي والابتكار.</w:t>
      </w:r>
    </w:p>
    <w:p w14:paraId="1271A2A8" w14:textId="77777777" w:rsidR="00A31E48" w:rsidRDefault="00A31E48" w:rsidP="00A31E48">
      <w:pPr>
        <w:rPr>
          <w:rtl/>
          <w:lang w:bidi="ar-EG"/>
        </w:rPr>
      </w:pPr>
      <w:r>
        <w:rPr>
          <w:rtl/>
          <w:lang w:bidi="ar-EG"/>
        </w:rPr>
        <w:t>ونظراً لإنشاء صندوق الذكاء الاصطناعي، بموجب قرار من المجلس بتخصيص الموارد اللازمة لهذا الغرض في عام 2025، سيزيد هذا التخصيص مستوى تعزيز منصة الذكاء الاصطناعي من أجل المصلحة العامة التابعة للاتحاد، وتنفيذ الاختصاصات الأخرى المتعلقة بالذكاء الاصطناعي، ما يدعم تنفيذ البرامج وإبرام الشراكات والحوار التقني بشأن الذكاء الاصطناعي الأخلاقي والشامل للجميع. يصب ذلك في دعم دور الاتحاد في عقد الاجتماعات، ويربط الابتكار بوضع معايير على المستوى الدولي.</w:t>
      </w:r>
    </w:p>
    <w:p w14:paraId="2C79C273" w14:textId="5D002DA3" w:rsidR="00A31E48" w:rsidRPr="00927371" w:rsidRDefault="00927371" w:rsidP="00927371">
      <w:pPr>
        <w:pStyle w:val="Heading1"/>
        <w:rPr>
          <w:spacing w:val="-4"/>
          <w:rtl/>
          <w:lang w:bidi="ar-EG"/>
        </w:rPr>
      </w:pPr>
      <w:r>
        <w:rPr>
          <w:spacing w:val="-4"/>
          <w:lang w:bidi="ar-EG"/>
        </w:rPr>
        <w:t>8</w:t>
      </w:r>
      <w:r>
        <w:rPr>
          <w:spacing w:val="-4"/>
          <w:lang w:bidi="ar-EG"/>
        </w:rPr>
        <w:tab/>
      </w:r>
      <w:r w:rsidR="00A31E48" w:rsidRPr="00927371">
        <w:rPr>
          <w:spacing w:val="-4"/>
          <w:rtl/>
          <w:lang w:bidi="ar-EG"/>
        </w:rPr>
        <w:t>التحويل إلى حساب احتياطي الاتحاد</w:t>
      </w:r>
    </w:p>
    <w:p w14:paraId="56259130" w14:textId="1D85C235" w:rsidR="00A31E48" w:rsidRDefault="00A31E48" w:rsidP="00A31E48">
      <w:pPr>
        <w:rPr>
          <w:rtl/>
          <w:lang w:bidi="ar-EG"/>
        </w:rPr>
      </w:pPr>
      <w:r>
        <w:rPr>
          <w:rtl/>
          <w:lang w:bidi="ar-EG"/>
        </w:rPr>
        <w:t xml:space="preserve">تقترح الأمانة تحويل الفائض المتبقي، الذي يبلغ </w:t>
      </w:r>
      <w:r w:rsidR="00927371" w:rsidRPr="00927371">
        <w:rPr>
          <w:b/>
          <w:bCs/>
          <w:lang w:bidi="ar-EG"/>
        </w:rPr>
        <w:t>0,70</w:t>
      </w:r>
      <w:r w:rsidRPr="00927371">
        <w:rPr>
          <w:b/>
          <w:bCs/>
          <w:rtl/>
          <w:lang w:bidi="ar-EG"/>
        </w:rPr>
        <w:t xml:space="preserve"> مليون فرنك سويسري</w:t>
      </w:r>
      <w:r>
        <w:rPr>
          <w:rtl/>
          <w:lang w:bidi="ar-EG"/>
        </w:rPr>
        <w:t xml:space="preserve"> من وفورات عام 2025، إلى حساب احتياطي الاتحاد من أجل تعزيز قدرة الاتحاد على الصمود المالي.</w:t>
      </w:r>
    </w:p>
    <w:p w14:paraId="7A3FCF5A" w14:textId="736C75EB" w:rsidR="00A31E48" w:rsidRDefault="00A31E48" w:rsidP="00A31E48">
      <w:pPr>
        <w:rPr>
          <w:rtl/>
          <w:lang w:bidi="ar-EG"/>
        </w:rPr>
      </w:pPr>
      <w:r>
        <w:rPr>
          <w:rtl/>
          <w:lang w:bidi="ar-EG"/>
        </w:rPr>
        <w:t xml:space="preserve">سيؤدي تعزيز الاحتياطي إلى تحسين قدرة الاتحاد على مواجهة التقلبات في الإيرادات، ومخاطر التنفيذ، وعدم اليقين الاقتصادي الناجم عن عوامل خارجية، إذ يدخل الاتحاد فترة السنتين </w:t>
      </w:r>
      <w:r w:rsidR="00927371">
        <w:rPr>
          <w:lang w:bidi="ar-EG"/>
        </w:rPr>
        <w:t>2027-2026</w:t>
      </w:r>
      <w:r>
        <w:rPr>
          <w:rtl/>
          <w:lang w:bidi="ar-EG"/>
        </w:rPr>
        <w:t xml:space="preserve"> بإطار ميزانية مقيدة ويواجه ضغوطاً مالية على المدى المتوسط. لذا يعد امتلاك احتياطيات كافية أمراً ضرورياً للحفاظ على استقرار البرامج وحماية الأنشطة الأساسية، وضمان المصداقية المؤسسية.</w:t>
      </w:r>
    </w:p>
    <w:p w14:paraId="69990E18" w14:textId="7BBD6259" w:rsidR="00A31E48" w:rsidRPr="00961152" w:rsidRDefault="00461EDD" w:rsidP="00927371">
      <w:pPr>
        <w:spacing w:before="1440"/>
        <w:rPr>
          <w:rtl/>
          <w:lang w:bidi="ar-EG"/>
        </w:rPr>
      </w:pPr>
      <w:r w:rsidRPr="00961152">
        <w:rPr>
          <w:rFonts w:hint="cs"/>
          <w:b/>
          <w:bCs/>
          <w:rtl/>
          <w:lang w:bidi="ar-EG"/>
        </w:rPr>
        <w:t>الملحق</w:t>
      </w:r>
      <w:r w:rsidR="00A31E48" w:rsidRPr="00961152">
        <w:rPr>
          <w:rtl/>
          <w:lang w:bidi="ar-EG"/>
        </w:rPr>
        <w:t>: 1</w:t>
      </w:r>
    </w:p>
    <w:p w14:paraId="0EF3BDE2" w14:textId="77777777" w:rsidR="00927371" w:rsidRDefault="00927371" w:rsidP="00927371">
      <w:pPr>
        <w:rPr>
          <w:sz w:val="26"/>
          <w:szCs w:val="26"/>
          <w:rtl/>
          <w:lang w:bidi="ar-SY"/>
        </w:rPr>
      </w:pPr>
      <w:bookmarkStart w:id="0" w:name="Annex"/>
      <w:r>
        <w:rPr>
          <w:rtl/>
        </w:rPr>
        <w:br w:type="page"/>
      </w:r>
    </w:p>
    <w:p w14:paraId="3BF122F7" w14:textId="40C2DF0D" w:rsidR="00A31E48" w:rsidRDefault="00A31E48" w:rsidP="00AA7949">
      <w:pPr>
        <w:pStyle w:val="AnnexNo"/>
        <w:rPr>
          <w:rtl/>
        </w:rPr>
      </w:pPr>
      <w:r>
        <w:rPr>
          <w:rtl/>
        </w:rPr>
        <w:lastRenderedPageBreak/>
        <w:t>الملحق</w:t>
      </w:r>
      <w:bookmarkEnd w:id="0"/>
    </w:p>
    <w:p w14:paraId="2CD73C37" w14:textId="2A3FEB96" w:rsidR="00A31E48" w:rsidRDefault="00A31E48" w:rsidP="00927371">
      <w:pPr>
        <w:pStyle w:val="ResNo"/>
        <w:rPr>
          <w:rtl/>
          <w:lang w:bidi="ar-EG"/>
        </w:rPr>
      </w:pPr>
      <w:r>
        <w:rPr>
          <w:rtl/>
          <w:lang w:bidi="ar-EG"/>
        </w:rPr>
        <w:t xml:space="preserve">مشروع </w:t>
      </w:r>
      <w:r w:rsidR="008703A0">
        <w:rPr>
          <w:rFonts w:hint="cs"/>
          <w:rtl/>
          <w:lang w:bidi="ar-EG"/>
        </w:rPr>
        <w:t>ال</w:t>
      </w:r>
      <w:r>
        <w:rPr>
          <w:rtl/>
          <w:lang w:bidi="ar-EG"/>
        </w:rPr>
        <w:t xml:space="preserve">قرار </w:t>
      </w:r>
      <w:r w:rsidR="008703A0">
        <w:rPr>
          <w:rFonts w:hint="cs"/>
          <w:rtl/>
          <w:lang w:bidi="ar-EG"/>
        </w:rPr>
        <w:t>ال</w:t>
      </w:r>
      <w:r>
        <w:rPr>
          <w:rtl/>
          <w:lang w:bidi="ar-EG"/>
        </w:rPr>
        <w:t>جديد [...]</w:t>
      </w:r>
    </w:p>
    <w:p w14:paraId="582DE5B1" w14:textId="77777777" w:rsidR="00A31E48" w:rsidRDefault="00A31E48" w:rsidP="00927371">
      <w:pPr>
        <w:pStyle w:val="Restitle"/>
        <w:rPr>
          <w:rtl/>
        </w:rPr>
      </w:pPr>
      <w:r>
        <w:rPr>
          <w:rtl/>
        </w:rPr>
        <w:t>مخصصات الوفورات المحققة في تنفيذ ميزانية 2025</w:t>
      </w:r>
    </w:p>
    <w:p w14:paraId="73D19DBA" w14:textId="77777777" w:rsidR="00A31E48" w:rsidRDefault="00A31E48" w:rsidP="00927371">
      <w:pPr>
        <w:pStyle w:val="Normalaftertitle"/>
        <w:rPr>
          <w:rtl/>
        </w:rPr>
      </w:pPr>
      <w:r>
        <w:rPr>
          <w:rtl/>
        </w:rPr>
        <w:t>إن مجلس الاتحاد الدولي للاتصالات،</w:t>
      </w:r>
    </w:p>
    <w:p w14:paraId="4B9CCE06" w14:textId="77777777" w:rsidR="00A31E48" w:rsidRDefault="00A31E48" w:rsidP="00927371">
      <w:pPr>
        <w:pStyle w:val="Call"/>
        <w:rPr>
          <w:rtl/>
          <w:lang w:bidi="ar-EG"/>
        </w:rPr>
      </w:pPr>
      <w:r>
        <w:rPr>
          <w:rtl/>
          <w:lang w:bidi="ar-EG"/>
        </w:rPr>
        <w:t>إذ يضع في اعتباره</w:t>
      </w:r>
    </w:p>
    <w:p w14:paraId="599893EB" w14:textId="58264313" w:rsidR="00A31E48" w:rsidRDefault="00A31E48" w:rsidP="00A31E48">
      <w:pPr>
        <w:rPr>
          <w:rtl/>
          <w:lang w:bidi="ar-EG"/>
        </w:rPr>
      </w:pPr>
      <w:r>
        <w:rPr>
          <w:rtl/>
          <w:lang w:bidi="ar-EG"/>
        </w:rPr>
        <w:t xml:space="preserve">الوفورات المحققة في تنفيذ ميزانية عام 2025، والتي تبلغ </w:t>
      </w:r>
      <w:r w:rsidR="00A2678D" w:rsidRPr="00A2678D">
        <w:rPr>
          <w:lang w:bidi="ar-EG"/>
        </w:rPr>
        <w:t>10,8</w:t>
      </w:r>
      <w:r>
        <w:rPr>
          <w:rtl/>
          <w:lang w:bidi="ar-EG"/>
        </w:rPr>
        <w:t xml:space="preserve"> ملايين فرنك سويسري،</w:t>
      </w:r>
    </w:p>
    <w:p w14:paraId="4D6F931C" w14:textId="77777777" w:rsidR="00A31E48" w:rsidRDefault="00A31E48" w:rsidP="00927371">
      <w:pPr>
        <w:pStyle w:val="Call"/>
        <w:rPr>
          <w:rtl/>
          <w:lang w:bidi="ar-EG"/>
        </w:rPr>
      </w:pPr>
      <w:r>
        <w:rPr>
          <w:rtl/>
          <w:lang w:bidi="ar-EG"/>
        </w:rPr>
        <w:t>يقرر</w:t>
      </w:r>
    </w:p>
    <w:p w14:paraId="53ABC477" w14:textId="6C9CC565" w:rsidR="00F50E3F" w:rsidRDefault="00A31E48" w:rsidP="008D51BA">
      <w:pPr>
        <w:rPr>
          <w:lang w:bidi="ar-EG"/>
        </w:rPr>
      </w:pPr>
      <w:r>
        <w:rPr>
          <w:rtl/>
          <w:lang w:bidi="ar-EG"/>
        </w:rPr>
        <w:t>تخصيص الوفورات على النحو التالي: مخصصات نظام إنهاء الخدمة المتفق عليه (</w:t>
      </w:r>
      <w:r w:rsidR="00927371">
        <w:rPr>
          <w:lang w:bidi="ar-EG"/>
        </w:rPr>
        <w:t>2,5</w:t>
      </w:r>
      <w:r>
        <w:rPr>
          <w:rtl/>
          <w:lang w:bidi="ar-EG"/>
        </w:rPr>
        <w:t xml:space="preserve"> مليون فرنك سويسري)؛ ومعالجة الأعمال المتأخرة المتراكمة في </w:t>
      </w:r>
      <w:r w:rsidR="008D51BA" w:rsidRPr="008D51BA">
        <w:rPr>
          <w:rtl/>
          <w:lang w:bidi="ar-EG"/>
        </w:rPr>
        <w:t>معالجة</w:t>
      </w:r>
      <w:r w:rsidR="008D51BA">
        <w:rPr>
          <w:rFonts w:hint="cs"/>
          <w:rtl/>
          <w:lang w:bidi="ar-EG"/>
        </w:rPr>
        <w:t xml:space="preserve"> </w:t>
      </w:r>
      <w:r>
        <w:rPr>
          <w:rtl/>
          <w:lang w:bidi="ar-EG"/>
        </w:rPr>
        <w:t>بطاقات التبليغ عن الشبكات الساتلية (</w:t>
      </w:r>
      <w:r w:rsidR="00927371">
        <w:rPr>
          <w:lang w:bidi="ar-EG"/>
        </w:rPr>
        <w:t>0,5</w:t>
      </w:r>
      <w:r>
        <w:rPr>
          <w:rtl/>
          <w:lang w:bidi="ar-EG"/>
        </w:rPr>
        <w:t xml:space="preserve"> مليون فرنك سويسري)؛ تعزيز</w:t>
      </w:r>
      <w:r w:rsidR="00927371">
        <w:rPr>
          <w:rFonts w:hint="cs"/>
          <w:rtl/>
          <w:lang w:bidi="ar-EG"/>
        </w:rPr>
        <w:t> </w:t>
      </w:r>
      <w:r>
        <w:rPr>
          <w:rtl/>
          <w:lang w:bidi="ar-EG"/>
        </w:rPr>
        <w:t>النظم الأساسية لبطاقات التبليغ عن الشبكات الساتلية وقدرات تحديث البرمجيات (</w:t>
      </w:r>
      <w:r w:rsidR="00927371">
        <w:rPr>
          <w:lang w:bidi="ar-EG"/>
        </w:rPr>
        <w:t>1,3</w:t>
      </w:r>
      <w:r>
        <w:rPr>
          <w:rtl/>
          <w:lang w:bidi="ar-EG"/>
        </w:rPr>
        <w:t xml:space="preserve"> مليون فرنك سويسري)؛ تحديث النظم المؤسسية (</w:t>
      </w:r>
      <w:r w:rsidR="00927371">
        <w:rPr>
          <w:lang w:bidi="ar-EG"/>
        </w:rPr>
        <w:t>1,45</w:t>
      </w:r>
      <w:r>
        <w:rPr>
          <w:rtl/>
          <w:lang w:bidi="ar-EG"/>
        </w:rPr>
        <w:t xml:space="preserve"> مليون فرنك سويسري)؛ تدابير استمرارية الأعمال (</w:t>
      </w:r>
      <w:r w:rsidR="00927371">
        <w:rPr>
          <w:lang w:bidi="ar-EG"/>
        </w:rPr>
        <w:t>1,5</w:t>
      </w:r>
      <w:r>
        <w:rPr>
          <w:rtl/>
          <w:lang w:bidi="ar-EG"/>
        </w:rPr>
        <w:t xml:space="preserve"> مليون فرنك سويسري)؛ والمبادرات الإقليمية (</w:t>
      </w:r>
      <w:r w:rsidR="00927371">
        <w:rPr>
          <w:lang w:bidi="ar-EG"/>
        </w:rPr>
        <w:t>1,3</w:t>
      </w:r>
      <w:r>
        <w:rPr>
          <w:rtl/>
          <w:lang w:bidi="ar-EG"/>
        </w:rPr>
        <w:t xml:space="preserve"> مليون فرنك سويسري)؛ ومبادرات الذكاء الاصطناعي (مليون فرنك سويسري)؛ وصندوق</w:t>
      </w:r>
      <w:r w:rsidR="00927371">
        <w:rPr>
          <w:rFonts w:hint="cs"/>
          <w:rtl/>
          <w:lang w:bidi="ar-EG"/>
        </w:rPr>
        <w:t> </w:t>
      </w:r>
      <w:r>
        <w:rPr>
          <w:rtl/>
          <w:lang w:bidi="ar-EG"/>
        </w:rPr>
        <w:t>تنمية تكنولوجيا المعلومات والاتصالات (</w:t>
      </w:r>
      <w:r w:rsidR="00927371">
        <w:rPr>
          <w:lang w:bidi="ar-EG"/>
        </w:rPr>
        <w:t>559 800</w:t>
      </w:r>
      <w:r>
        <w:rPr>
          <w:rtl/>
          <w:lang w:bidi="ar-EG"/>
        </w:rPr>
        <w:t xml:space="preserve"> فرنك سويسري)؛ والتحويل إلى حساب احتياطي الاتحاد (</w:t>
      </w:r>
      <w:r w:rsidR="00927371">
        <w:rPr>
          <w:lang w:bidi="ar-EG"/>
        </w:rPr>
        <w:t>0,70</w:t>
      </w:r>
      <w:r>
        <w:rPr>
          <w:rtl/>
          <w:lang w:bidi="ar-EG"/>
        </w:rPr>
        <w:t xml:space="preserve"> مليون فرنك سويسري).</w:t>
      </w:r>
    </w:p>
    <w:p w14:paraId="7F9CFBA4"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5DEE" w14:textId="77777777" w:rsidR="008E4404" w:rsidRDefault="008E4404" w:rsidP="006C3242">
      <w:pPr>
        <w:spacing w:before="0" w:line="240" w:lineRule="auto"/>
      </w:pPr>
      <w:r>
        <w:separator/>
      </w:r>
    </w:p>
  </w:endnote>
  <w:endnote w:type="continuationSeparator" w:id="0">
    <w:p w14:paraId="68F54951" w14:textId="77777777" w:rsidR="008E4404" w:rsidRDefault="008E440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0E1010B1" w14:textId="77777777" w:rsidTr="00A67F05">
      <w:trPr>
        <w:jc w:val="center"/>
      </w:trPr>
      <w:tc>
        <w:tcPr>
          <w:tcW w:w="868" w:type="pct"/>
          <w:vAlign w:val="center"/>
        </w:tcPr>
        <w:p w14:paraId="3ABA58D5" w14:textId="29A1AB33" w:rsidR="00F50E3F" w:rsidRPr="007B0AA0" w:rsidRDefault="00A31E48" w:rsidP="00937A1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A31E48">
            <w:rPr>
              <w:rFonts w:ascii="Calibri" w:hAnsi="Calibri" w:cs="Arial"/>
              <w:sz w:val="18"/>
              <w:szCs w:val="14"/>
            </w:rPr>
            <w:t>2600512</w:t>
          </w:r>
        </w:p>
      </w:tc>
      <w:tc>
        <w:tcPr>
          <w:tcW w:w="3912" w:type="pct"/>
        </w:tcPr>
        <w:p w14:paraId="19EEA3F8" w14:textId="52F48293" w:rsidR="00F50E3F"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31E48">
            <w:rPr>
              <w:rFonts w:ascii="Calibri" w:hAnsi="Calibri" w:cs="Arial"/>
              <w:bCs/>
              <w:color w:val="7F7F7F"/>
              <w:sz w:val="18"/>
            </w:rPr>
            <w:t>42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3152A98" w14:textId="77777777" w:rsidR="00F50E3F"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95D195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3D8A37A" w14:textId="77777777" w:rsidTr="00A67F05">
      <w:trPr>
        <w:jc w:val="center"/>
      </w:trPr>
      <w:tc>
        <w:tcPr>
          <w:tcW w:w="1013" w:type="pct"/>
          <w:vAlign w:val="center"/>
        </w:tcPr>
        <w:p w14:paraId="6B4757E9" w14:textId="77777777" w:rsidR="007B0AA0" w:rsidRPr="000116AF" w:rsidRDefault="000116AF" w:rsidP="00937A1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2B0482C7" w14:textId="2A0632F1" w:rsidR="007B0AA0" w:rsidRPr="007B0AA0" w:rsidRDefault="007B0AA0"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A31E48">
            <w:rPr>
              <w:rFonts w:ascii="Calibri" w:hAnsi="Calibri" w:cs="Arial"/>
              <w:bCs/>
              <w:color w:val="7F7F7F"/>
              <w:sz w:val="18"/>
            </w:rPr>
            <w:t>42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719CCF4" w14:textId="77777777" w:rsidR="007B0AA0" w:rsidRPr="007B0AA0" w:rsidRDefault="00F50E3F" w:rsidP="00937A1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9045C4F"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F3C1" w14:textId="77777777" w:rsidR="008E4404" w:rsidRDefault="008E4404" w:rsidP="006C3242">
      <w:pPr>
        <w:spacing w:before="0" w:line="240" w:lineRule="auto"/>
      </w:pPr>
      <w:r>
        <w:separator/>
      </w:r>
    </w:p>
  </w:footnote>
  <w:footnote w:type="continuationSeparator" w:id="0">
    <w:p w14:paraId="3A577BEE" w14:textId="77777777" w:rsidR="008E4404" w:rsidRDefault="008E440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2E61" w14:textId="0D568083" w:rsidR="007B0AA0" w:rsidRDefault="000116AF" w:rsidP="000116AF">
    <w:pPr>
      <w:pStyle w:val="Header"/>
      <w:spacing w:before="120"/>
    </w:pPr>
    <w:r>
      <w:rPr>
        <w:noProof/>
      </w:rPr>
      <w:drawing>
        <wp:inline distT="0" distB="0" distL="0" distR="0" wp14:anchorId="4B819608" wp14:editId="4A8CC8A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A8"/>
    <w:rsid w:val="00002CD7"/>
    <w:rsid w:val="00005C48"/>
    <w:rsid w:val="000116AF"/>
    <w:rsid w:val="00054963"/>
    <w:rsid w:val="0006468A"/>
    <w:rsid w:val="00077A58"/>
    <w:rsid w:val="00090574"/>
    <w:rsid w:val="000B5B61"/>
    <w:rsid w:val="000C1C0E"/>
    <w:rsid w:val="000C548A"/>
    <w:rsid w:val="0015416E"/>
    <w:rsid w:val="00191059"/>
    <w:rsid w:val="001B6E2B"/>
    <w:rsid w:val="001C0169"/>
    <w:rsid w:val="001C0C21"/>
    <w:rsid w:val="001D1D50"/>
    <w:rsid w:val="001D64C7"/>
    <w:rsid w:val="001D6745"/>
    <w:rsid w:val="001E0309"/>
    <w:rsid w:val="001E446E"/>
    <w:rsid w:val="002154EE"/>
    <w:rsid w:val="002276D2"/>
    <w:rsid w:val="0023283D"/>
    <w:rsid w:val="00254393"/>
    <w:rsid w:val="0026373E"/>
    <w:rsid w:val="002704EB"/>
    <w:rsid w:val="00271C43"/>
    <w:rsid w:val="00290728"/>
    <w:rsid w:val="002978F4"/>
    <w:rsid w:val="002B028D"/>
    <w:rsid w:val="002C3F32"/>
    <w:rsid w:val="002C5B74"/>
    <w:rsid w:val="002E6541"/>
    <w:rsid w:val="002F09E8"/>
    <w:rsid w:val="00334924"/>
    <w:rsid w:val="003409BC"/>
    <w:rsid w:val="00357185"/>
    <w:rsid w:val="00383829"/>
    <w:rsid w:val="003F4B29"/>
    <w:rsid w:val="00410B26"/>
    <w:rsid w:val="00420F8A"/>
    <w:rsid w:val="0042686F"/>
    <w:rsid w:val="004317D8"/>
    <w:rsid w:val="0043260A"/>
    <w:rsid w:val="00434183"/>
    <w:rsid w:val="00443869"/>
    <w:rsid w:val="00447F32"/>
    <w:rsid w:val="00461EDD"/>
    <w:rsid w:val="00491BA9"/>
    <w:rsid w:val="00494119"/>
    <w:rsid w:val="004A4701"/>
    <w:rsid w:val="004B7334"/>
    <w:rsid w:val="004E11DC"/>
    <w:rsid w:val="005130DE"/>
    <w:rsid w:val="00513157"/>
    <w:rsid w:val="00525DDD"/>
    <w:rsid w:val="005409AC"/>
    <w:rsid w:val="005434E0"/>
    <w:rsid w:val="005546CF"/>
    <w:rsid w:val="0055516A"/>
    <w:rsid w:val="005619A8"/>
    <w:rsid w:val="0058491B"/>
    <w:rsid w:val="00592EA5"/>
    <w:rsid w:val="005A3170"/>
    <w:rsid w:val="00657019"/>
    <w:rsid w:val="00660DEA"/>
    <w:rsid w:val="00677396"/>
    <w:rsid w:val="00683F16"/>
    <w:rsid w:val="0069200F"/>
    <w:rsid w:val="006A11DE"/>
    <w:rsid w:val="006A1F45"/>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94CD7"/>
    <w:rsid w:val="007A6684"/>
    <w:rsid w:val="007B0AA0"/>
    <w:rsid w:val="007C3BC7"/>
    <w:rsid w:val="007C3BCD"/>
    <w:rsid w:val="007D3ADE"/>
    <w:rsid w:val="007D4ACF"/>
    <w:rsid w:val="007F0787"/>
    <w:rsid w:val="00810B7B"/>
    <w:rsid w:val="0082358A"/>
    <w:rsid w:val="008235CD"/>
    <w:rsid w:val="008247DE"/>
    <w:rsid w:val="008339C0"/>
    <w:rsid w:val="00840B10"/>
    <w:rsid w:val="008513CB"/>
    <w:rsid w:val="008528D3"/>
    <w:rsid w:val="008703A0"/>
    <w:rsid w:val="00874E9F"/>
    <w:rsid w:val="008A7F84"/>
    <w:rsid w:val="008D51BA"/>
    <w:rsid w:val="008E4404"/>
    <w:rsid w:val="0091702E"/>
    <w:rsid w:val="00923B0C"/>
    <w:rsid w:val="00924F46"/>
    <w:rsid w:val="00927371"/>
    <w:rsid w:val="00935AAC"/>
    <w:rsid w:val="0093725D"/>
    <w:rsid w:val="00937A11"/>
    <w:rsid w:val="0094021C"/>
    <w:rsid w:val="00952F86"/>
    <w:rsid w:val="00961152"/>
    <w:rsid w:val="0096716C"/>
    <w:rsid w:val="00982B28"/>
    <w:rsid w:val="009D313F"/>
    <w:rsid w:val="00A2678D"/>
    <w:rsid w:val="00A31E48"/>
    <w:rsid w:val="00A47A5A"/>
    <w:rsid w:val="00A63AE6"/>
    <w:rsid w:val="00A6683B"/>
    <w:rsid w:val="00A67F05"/>
    <w:rsid w:val="00A97F94"/>
    <w:rsid w:val="00AA7949"/>
    <w:rsid w:val="00AA7EA2"/>
    <w:rsid w:val="00AB042D"/>
    <w:rsid w:val="00AB5A56"/>
    <w:rsid w:val="00B03099"/>
    <w:rsid w:val="00B05BC8"/>
    <w:rsid w:val="00B14753"/>
    <w:rsid w:val="00B30F5E"/>
    <w:rsid w:val="00B64B47"/>
    <w:rsid w:val="00B76927"/>
    <w:rsid w:val="00B95654"/>
    <w:rsid w:val="00B97F32"/>
    <w:rsid w:val="00BA04B2"/>
    <w:rsid w:val="00C002DE"/>
    <w:rsid w:val="00C0602B"/>
    <w:rsid w:val="00C224DA"/>
    <w:rsid w:val="00C40832"/>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B0A70"/>
    <w:rsid w:val="00DC1E02"/>
    <w:rsid w:val="00DC24B4"/>
    <w:rsid w:val="00DC5FB0"/>
    <w:rsid w:val="00DF16DC"/>
    <w:rsid w:val="00E45211"/>
    <w:rsid w:val="00E473C5"/>
    <w:rsid w:val="00E61BE8"/>
    <w:rsid w:val="00E83FF1"/>
    <w:rsid w:val="00E92863"/>
    <w:rsid w:val="00E979B2"/>
    <w:rsid w:val="00EA49CD"/>
    <w:rsid w:val="00EB796D"/>
    <w:rsid w:val="00F058DC"/>
    <w:rsid w:val="00F24FC4"/>
    <w:rsid w:val="00F2676C"/>
    <w:rsid w:val="00F363FE"/>
    <w:rsid w:val="00F45331"/>
    <w:rsid w:val="00F50E3F"/>
    <w:rsid w:val="00F6114C"/>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022B8"/>
  <w15:chartTrackingRefBased/>
  <w15:docId w15:val="{A7F5CBA3-5672-4C4B-B949-9248040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Figure">
    <w:name w:val="Figure"/>
    <w:basedOn w:val="Normal"/>
    <w:qFormat/>
    <w:rsid w:val="00A2678D"/>
    <w:pPr>
      <w:spacing w:before="240" w:line="240" w:lineRule="auto"/>
    </w:pPr>
    <w:rPr>
      <w:noProof/>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council/index97/1997/131/131.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6-CL-C-0034/en" TargetMode="External"/><Relationship Id="rId4" Type="http://schemas.openxmlformats.org/officeDocument/2006/relationships/settings" Target="settings.xml"/><Relationship Id="rId9" Type="http://schemas.openxmlformats.org/officeDocument/2006/relationships/hyperlink" Target="http://www.itu.int/md/S11-CL-C-0106/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8</TotalTime>
  <Pages>6</Pages>
  <Words>1823</Words>
  <Characters>10828</Characters>
  <Application>Microsoft Office Word</Application>
  <DocSecurity>0</DocSecurity>
  <Lines>984</Lines>
  <Paragraphs>744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cp:keywords>C2026; C26; Council-26; PP-26</cp:keywords>
  <dc:description/>
  <dcterms:created xsi:type="dcterms:W3CDTF">2026-03-23T15:26:00Z</dcterms:created>
  <dcterms:modified xsi:type="dcterms:W3CDTF">2026-03-23T16:02:00Z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