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EB733F" w14:paraId="15053D44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5F289C4" w14:textId="77777777" w:rsidR="00FE57F6" w:rsidRPr="00EB733F" w:rsidRDefault="00BB6FD8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  <w:r w:rsidRPr="00EB733F">
              <w:rPr>
                <w:b/>
                <w:lang w:val="es-ES"/>
              </w:rPr>
              <w:t>Orden del día</w:t>
            </w:r>
            <w:r w:rsidR="00FE57F6" w:rsidRPr="00EB733F">
              <w:rPr>
                <w:b/>
                <w:lang w:val="es-ES"/>
              </w:rPr>
              <w:t xml:space="preserve">: </w:t>
            </w:r>
          </w:p>
        </w:tc>
        <w:tc>
          <w:tcPr>
            <w:tcW w:w="5245" w:type="dxa"/>
          </w:tcPr>
          <w:p w14:paraId="249C235C" w14:textId="26B6B4B7" w:rsidR="00FE57F6" w:rsidRPr="00EB733F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EB733F">
              <w:rPr>
                <w:b/>
                <w:lang w:val="es-ES"/>
              </w:rPr>
              <w:t>Document</w:t>
            </w:r>
            <w:r w:rsidR="00F24B71" w:rsidRPr="00EB733F">
              <w:rPr>
                <w:b/>
                <w:lang w:val="es-ES"/>
              </w:rPr>
              <w:t>o</w:t>
            </w:r>
            <w:r w:rsidRPr="00EB733F">
              <w:rPr>
                <w:b/>
                <w:lang w:val="es-ES"/>
              </w:rPr>
              <w:t xml:space="preserve"> C2</w:t>
            </w:r>
            <w:r w:rsidR="00F85E5C" w:rsidRPr="00EB733F">
              <w:rPr>
                <w:b/>
                <w:lang w:val="es-ES"/>
              </w:rPr>
              <w:t>6</w:t>
            </w:r>
            <w:r w:rsidRPr="00EB733F">
              <w:rPr>
                <w:b/>
                <w:lang w:val="es-ES"/>
              </w:rPr>
              <w:t>/</w:t>
            </w:r>
            <w:r w:rsidR="00881087" w:rsidRPr="00EB733F">
              <w:rPr>
                <w:b/>
                <w:lang w:val="es-ES"/>
              </w:rPr>
              <w:t>38</w:t>
            </w:r>
            <w:r w:rsidRPr="00EB733F">
              <w:rPr>
                <w:b/>
                <w:lang w:val="es-ES"/>
              </w:rPr>
              <w:t>-</w:t>
            </w:r>
            <w:r w:rsidR="00F24B71" w:rsidRPr="00EB733F">
              <w:rPr>
                <w:b/>
                <w:lang w:val="es-ES"/>
              </w:rPr>
              <w:t>S</w:t>
            </w:r>
          </w:p>
        </w:tc>
      </w:tr>
      <w:tr w:rsidR="00FE57F6" w:rsidRPr="00EB733F" w14:paraId="7AA8186F" w14:textId="77777777" w:rsidTr="00C4421B">
        <w:trPr>
          <w:cantSplit/>
        </w:trPr>
        <w:tc>
          <w:tcPr>
            <w:tcW w:w="3969" w:type="dxa"/>
            <w:vMerge/>
          </w:tcPr>
          <w:p w14:paraId="050C2011" w14:textId="77777777" w:rsidR="00FE57F6" w:rsidRPr="00EB733F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3D36CECB" w14:textId="2F94B5CF" w:rsidR="00FE57F6" w:rsidRPr="00EB733F" w:rsidRDefault="00881087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 w:rsidRPr="00EB733F">
              <w:rPr>
                <w:b/>
                <w:lang w:val="es-ES"/>
              </w:rPr>
              <w:t>26 de marzo de 2026</w:t>
            </w:r>
          </w:p>
        </w:tc>
      </w:tr>
      <w:tr w:rsidR="00FE57F6" w:rsidRPr="00EB733F" w14:paraId="4B1FCD03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1DBE6099" w14:textId="77777777" w:rsidR="00FE57F6" w:rsidRPr="00EB733F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2B8C943E" w14:textId="77777777" w:rsidR="00FE57F6" w:rsidRPr="00EB733F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EB733F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EB733F" w14:paraId="682E1368" w14:textId="77777777" w:rsidTr="00C4421B">
        <w:trPr>
          <w:cantSplit/>
          <w:trHeight w:val="23"/>
        </w:trPr>
        <w:tc>
          <w:tcPr>
            <w:tcW w:w="3969" w:type="dxa"/>
          </w:tcPr>
          <w:p w14:paraId="1E08D8AA" w14:textId="77777777" w:rsidR="00FE57F6" w:rsidRPr="00EB733F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546CACCD" w14:textId="77777777" w:rsidR="00FE57F6" w:rsidRPr="00EB733F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  <w:tr w:rsidR="00FE57F6" w:rsidRPr="00525D4D" w14:paraId="2AF2FA41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AAB5BF1" w14:textId="77777777" w:rsidR="00FE57F6" w:rsidRPr="00EB733F" w:rsidRDefault="00157AC4" w:rsidP="00942F92">
            <w:pPr>
              <w:pStyle w:val="Source"/>
              <w:framePr w:hSpace="0" w:wrap="auto" w:vAnchor="margin" w:hAnchor="text" w:xAlign="left" w:yAlign="inline"/>
            </w:pPr>
            <w:r w:rsidRPr="00942F92">
              <w:t>Informe</w:t>
            </w:r>
            <w:r w:rsidRPr="00EB733F">
              <w:t xml:space="preserve"> de la Secretaria General</w:t>
            </w:r>
          </w:p>
        </w:tc>
      </w:tr>
      <w:tr w:rsidR="00FE57F6" w:rsidRPr="00525D4D" w14:paraId="6A69631A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67750F3" w14:textId="7463EFA3" w:rsidR="00FE57F6" w:rsidRPr="00EB733F" w:rsidRDefault="00D8143C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EB733F">
              <w:rPr>
                <w:lang w:val="es-ES"/>
              </w:rPr>
              <w:t xml:space="preserve">Informe de situación sobre la aplicación de los Acuerdos 600 y 601 del Consejo </w:t>
            </w:r>
            <w:r w:rsidR="00BD2639" w:rsidRPr="00EB733F">
              <w:rPr>
                <w:lang w:val="es-ES"/>
              </w:rPr>
              <w:t>(</w:t>
            </w:r>
            <w:proofErr w:type="spellStart"/>
            <w:r w:rsidR="00BD2639" w:rsidRPr="00EB733F">
              <w:rPr>
                <w:lang w:val="es-ES"/>
              </w:rPr>
              <w:t>UIFN</w:t>
            </w:r>
            <w:proofErr w:type="spellEnd"/>
            <w:r w:rsidR="00BD2639" w:rsidRPr="00EB733F">
              <w:rPr>
                <w:lang w:val="es-ES"/>
              </w:rPr>
              <w:t>, IIN)</w:t>
            </w:r>
          </w:p>
        </w:tc>
      </w:tr>
      <w:tr w:rsidR="00FE57F6" w:rsidRPr="00525D4D" w14:paraId="5E4B04ED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80BBAB4" w14:textId="77777777" w:rsidR="00FE57F6" w:rsidRPr="00EB733F" w:rsidRDefault="00F24B71" w:rsidP="00EB733F">
            <w:pPr>
              <w:rPr>
                <w:b/>
                <w:bCs/>
                <w:sz w:val="26"/>
                <w:szCs w:val="26"/>
                <w:lang w:val="es-ES"/>
              </w:rPr>
            </w:pPr>
            <w:r w:rsidRPr="00EB733F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123AD593" w14:textId="329FF78F" w:rsidR="00FD3004" w:rsidRPr="00EB733F" w:rsidRDefault="00FD3004" w:rsidP="001736D8">
            <w:pPr>
              <w:jc w:val="both"/>
              <w:rPr>
                <w:lang w:val="es-ES"/>
              </w:rPr>
            </w:pPr>
            <w:r w:rsidRPr="00EB733F">
              <w:rPr>
                <w:lang w:val="es-ES"/>
              </w:rPr>
              <w:t>El presente informe proporciona: i) información actualizada sobre la recaudación de ingresos mediante la aplicación del Acuerdo 600 del Consejo relativo a los números universales del servicio internacional llamada gratuita (UIFN); y ii) la recomendación de derogar el Acuerdo</w:t>
            </w:r>
            <w:r w:rsidR="001736D8">
              <w:rPr>
                <w:lang w:val="es-ES"/>
              </w:rPr>
              <w:t> </w:t>
            </w:r>
            <w:r w:rsidRPr="00EB733F">
              <w:rPr>
                <w:lang w:val="es-ES"/>
              </w:rPr>
              <w:t>601 del Consejo relativo a los números de identificación de expedidor (IIN).</w:t>
            </w:r>
          </w:p>
          <w:p w14:paraId="7620234B" w14:textId="16050F16" w:rsidR="00FD3004" w:rsidRPr="00EB733F" w:rsidRDefault="00FD3004" w:rsidP="001736D8">
            <w:pPr>
              <w:jc w:val="both"/>
              <w:rPr>
                <w:lang w:val="es-ES"/>
              </w:rPr>
            </w:pPr>
            <w:r w:rsidRPr="00EB733F">
              <w:rPr>
                <w:lang w:val="es-ES"/>
              </w:rPr>
              <w:t xml:space="preserve">Los ingresos procedentes de la aplicación del Acuerdo </w:t>
            </w:r>
            <w:r w:rsidRPr="00EB733F">
              <w:rPr>
                <w:b/>
                <w:bCs/>
                <w:lang w:val="es-ES"/>
              </w:rPr>
              <w:t>600</w:t>
            </w:r>
            <w:r w:rsidRPr="00EB733F">
              <w:rPr>
                <w:lang w:val="es-ES"/>
              </w:rPr>
              <w:t xml:space="preserve"> del Consejo han rondado, en promedio, los </w:t>
            </w:r>
            <w:r w:rsidRPr="00EB733F">
              <w:rPr>
                <w:b/>
                <w:bCs/>
                <w:lang w:val="es-ES"/>
              </w:rPr>
              <w:t>235 000</w:t>
            </w:r>
            <w:r w:rsidRPr="00EB733F">
              <w:rPr>
                <w:lang w:val="es-ES"/>
              </w:rPr>
              <w:t xml:space="preserve"> francos suizos anuales desde 2018. </w:t>
            </w:r>
          </w:p>
          <w:p w14:paraId="25067890" w14:textId="064A3D7A" w:rsidR="00FE57F6" w:rsidRPr="00EB733F" w:rsidRDefault="00FD3004" w:rsidP="001736D8">
            <w:pPr>
              <w:jc w:val="both"/>
              <w:rPr>
                <w:lang w:val="es-ES"/>
              </w:rPr>
            </w:pPr>
            <w:r w:rsidRPr="00EB733F">
              <w:rPr>
                <w:lang w:val="es-ES"/>
              </w:rPr>
              <w:t xml:space="preserve">Sin embargo, los ingresos procedentes de la aplicación del Acuerdo </w:t>
            </w:r>
            <w:r w:rsidRPr="00EB733F">
              <w:rPr>
                <w:b/>
                <w:bCs/>
                <w:lang w:val="es-ES"/>
              </w:rPr>
              <w:t>601</w:t>
            </w:r>
            <w:r w:rsidRPr="00EB733F">
              <w:rPr>
                <w:lang w:val="es-ES"/>
              </w:rPr>
              <w:t xml:space="preserve"> del Consejo han sido, en promedio, del orden de </w:t>
            </w:r>
            <w:r w:rsidRPr="00EB733F">
              <w:rPr>
                <w:b/>
                <w:bCs/>
                <w:lang w:val="es-ES"/>
              </w:rPr>
              <w:t>4 700</w:t>
            </w:r>
            <w:r w:rsidRPr="00EB733F">
              <w:rPr>
                <w:lang w:val="es-ES"/>
              </w:rPr>
              <w:t xml:space="preserve"> francos suizos anuales desde 2018. Además, la </w:t>
            </w:r>
            <w:r w:rsidRPr="00EB733F">
              <w:rPr>
                <w:b/>
                <w:bCs/>
                <w:lang w:val="es-ES"/>
              </w:rPr>
              <w:t>Comisión de Estudio 2</w:t>
            </w:r>
            <w:r w:rsidRPr="00EB733F">
              <w:rPr>
                <w:lang w:val="es-ES"/>
              </w:rPr>
              <w:t xml:space="preserve"> </w:t>
            </w:r>
            <w:r w:rsidRPr="00EB733F">
              <w:rPr>
                <w:b/>
                <w:bCs/>
                <w:lang w:val="es-ES"/>
              </w:rPr>
              <w:t>del UIT-T</w:t>
            </w:r>
            <w:r w:rsidRPr="00EB733F">
              <w:rPr>
                <w:lang w:val="es-ES"/>
              </w:rPr>
              <w:t xml:space="preserve"> ha aprobado una </w:t>
            </w:r>
            <w:r w:rsidRPr="00EB733F">
              <w:rPr>
                <w:b/>
                <w:bCs/>
                <w:lang w:val="es-ES"/>
              </w:rPr>
              <w:t>revisión de la Recomendación UIT-T E.118</w:t>
            </w:r>
            <w:r w:rsidRPr="00EB733F">
              <w:rPr>
                <w:lang w:val="es-ES"/>
              </w:rPr>
              <w:t xml:space="preserve"> que regula la administración de los IIN, en la que se ha eliminado la función de registrador y el marco de recaudación de cánones asociado. Habida cuenta de estos factores, en el Informe se propone </w:t>
            </w:r>
            <w:r w:rsidRPr="00EB733F">
              <w:rPr>
                <w:b/>
                <w:bCs/>
                <w:lang w:val="es-ES"/>
              </w:rPr>
              <w:t>derogar</w:t>
            </w:r>
            <w:r w:rsidRPr="00EB733F">
              <w:rPr>
                <w:lang w:val="es-ES"/>
              </w:rPr>
              <w:t xml:space="preserve"> el Acuerdo 601 del Consejo.</w:t>
            </w:r>
          </w:p>
          <w:p w14:paraId="044BF8BE" w14:textId="77777777" w:rsidR="00FE57F6" w:rsidRPr="00EB733F" w:rsidRDefault="00F24B71" w:rsidP="00EB733F">
            <w:pPr>
              <w:rPr>
                <w:b/>
                <w:bCs/>
                <w:sz w:val="26"/>
                <w:szCs w:val="26"/>
                <w:lang w:val="es-ES"/>
              </w:rPr>
            </w:pPr>
            <w:r w:rsidRPr="00EB733F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EB733F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EB733F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71924EFD" w14:textId="4A8CB59E" w:rsidR="00F92BED" w:rsidRPr="00EB733F" w:rsidRDefault="00FD3004" w:rsidP="00C4421B">
            <w:pPr>
              <w:spacing w:before="160"/>
              <w:rPr>
                <w:szCs w:val="24"/>
                <w:lang w:val="es-ES"/>
              </w:rPr>
            </w:pPr>
            <w:r w:rsidRPr="00EB733F">
              <w:rPr>
                <w:szCs w:val="24"/>
                <w:lang w:val="es-ES"/>
              </w:rPr>
              <w:t xml:space="preserve">Se invita al Consejo a </w:t>
            </w:r>
            <w:r w:rsidRPr="00EB733F">
              <w:rPr>
                <w:b/>
                <w:bCs/>
                <w:szCs w:val="24"/>
                <w:lang w:val="es-ES"/>
              </w:rPr>
              <w:t>tomar nota</w:t>
            </w:r>
            <w:r w:rsidRPr="00EB733F">
              <w:rPr>
                <w:szCs w:val="24"/>
                <w:lang w:val="es-ES"/>
              </w:rPr>
              <w:t xml:space="preserve"> de la aplicación del Acuerdo </w:t>
            </w:r>
            <w:r w:rsidRPr="00EB733F">
              <w:rPr>
                <w:b/>
                <w:bCs/>
                <w:szCs w:val="24"/>
                <w:lang w:val="es-ES"/>
              </w:rPr>
              <w:t>600</w:t>
            </w:r>
            <w:r w:rsidRPr="00EB733F">
              <w:rPr>
                <w:szCs w:val="24"/>
                <w:lang w:val="es-ES"/>
              </w:rPr>
              <w:t xml:space="preserve"> del Consejo y a aprobar la </w:t>
            </w:r>
            <w:r w:rsidRPr="00EB733F">
              <w:rPr>
                <w:b/>
                <w:bCs/>
                <w:szCs w:val="24"/>
                <w:lang w:val="es-ES"/>
              </w:rPr>
              <w:t>derogación</w:t>
            </w:r>
            <w:r w:rsidRPr="00EB733F">
              <w:rPr>
                <w:szCs w:val="24"/>
                <w:lang w:val="es-ES"/>
              </w:rPr>
              <w:t xml:space="preserve"> del Acuerdo </w:t>
            </w:r>
            <w:r w:rsidRPr="00EB733F">
              <w:rPr>
                <w:b/>
                <w:bCs/>
                <w:szCs w:val="24"/>
                <w:lang w:val="es-ES"/>
              </w:rPr>
              <w:t>601</w:t>
            </w:r>
            <w:r w:rsidRPr="00EB733F">
              <w:rPr>
                <w:szCs w:val="24"/>
                <w:lang w:val="es-ES"/>
              </w:rPr>
              <w:t>.</w:t>
            </w:r>
          </w:p>
          <w:p w14:paraId="14ED2212" w14:textId="77777777" w:rsidR="00F92BED" w:rsidRPr="00EB733F" w:rsidRDefault="00F92BED" w:rsidP="00EB733F">
            <w:pPr>
              <w:rPr>
                <w:b/>
                <w:bCs/>
                <w:sz w:val="26"/>
                <w:szCs w:val="26"/>
                <w:lang w:val="es-ES"/>
              </w:rPr>
            </w:pPr>
            <w:r w:rsidRPr="00EB733F">
              <w:rPr>
                <w:b/>
                <w:bCs/>
                <w:sz w:val="26"/>
                <w:szCs w:val="26"/>
                <w:lang w:val="es-ES"/>
              </w:rPr>
              <w:t>Vínculo(s) pertinente(s) con el Plan Estratégico</w:t>
            </w:r>
          </w:p>
          <w:p w14:paraId="6840BE37" w14:textId="7E88552E" w:rsidR="00F92BED" w:rsidRPr="00EB733F" w:rsidRDefault="00FD3004" w:rsidP="00C4421B">
            <w:pPr>
              <w:rPr>
                <w:lang w:val="es-ES"/>
              </w:rPr>
            </w:pPr>
            <w:r w:rsidRPr="00EB733F">
              <w:rPr>
                <w:lang w:val="es-ES"/>
              </w:rPr>
              <w:t>Recursos de numeración de las telecomunicaciones internacionales.</w:t>
            </w:r>
          </w:p>
          <w:p w14:paraId="16CE2E3B" w14:textId="77777777" w:rsidR="00F92BED" w:rsidRPr="00EB733F" w:rsidRDefault="00F92BED" w:rsidP="00EB733F">
            <w:pPr>
              <w:rPr>
                <w:b/>
                <w:bCs/>
                <w:sz w:val="26"/>
                <w:szCs w:val="26"/>
                <w:lang w:val="es-ES"/>
              </w:rPr>
            </w:pPr>
            <w:r w:rsidRPr="00EB733F">
              <w:rPr>
                <w:b/>
                <w:bCs/>
                <w:sz w:val="26"/>
                <w:szCs w:val="26"/>
                <w:lang w:val="es-ES"/>
              </w:rPr>
              <w:t>Repercusiones financieras</w:t>
            </w:r>
          </w:p>
          <w:p w14:paraId="199896D1" w14:textId="0BF301DD" w:rsidR="00FE57F6" w:rsidRPr="00EB733F" w:rsidRDefault="00FD3004" w:rsidP="00EB733F">
            <w:pPr>
              <w:rPr>
                <w:lang w:val="es-ES"/>
              </w:rPr>
            </w:pPr>
            <w:r w:rsidRPr="00EB733F">
              <w:rPr>
                <w:lang w:val="es-ES"/>
              </w:rPr>
              <w:t>Los ingresos derivados de la aplicación de los Acuerdos 600 y 601 del Consejo se han incluido en el presupuesto para 2026 2027.</w:t>
            </w:r>
          </w:p>
          <w:p w14:paraId="0DDE7D1C" w14:textId="049B4026" w:rsidR="00FE57F6" w:rsidRPr="00EB733F" w:rsidRDefault="00F24B71" w:rsidP="00EB733F">
            <w:pPr>
              <w:rPr>
                <w:b/>
                <w:bCs/>
                <w:sz w:val="26"/>
                <w:szCs w:val="26"/>
                <w:lang w:val="es-ES"/>
              </w:rPr>
            </w:pPr>
            <w:r w:rsidRPr="00EB733F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EB733F">
              <w:rPr>
                <w:b/>
                <w:bCs/>
                <w:sz w:val="26"/>
                <w:szCs w:val="26"/>
                <w:lang w:val="es-ES"/>
              </w:rPr>
              <w:t>s</w:t>
            </w:r>
          </w:p>
          <w:p w14:paraId="2B7262F4" w14:textId="277F319D" w:rsidR="00FE57F6" w:rsidRPr="001736D8" w:rsidRDefault="00FD3004" w:rsidP="001736D8">
            <w:pPr>
              <w:spacing w:after="160"/>
              <w:jc w:val="both"/>
              <w:rPr>
                <w:i/>
                <w:iCs/>
                <w:sz w:val="22"/>
                <w:szCs w:val="22"/>
                <w:lang w:val="es-ES"/>
              </w:rPr>
            </w:pPr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Documentos </w:t>
            </w:r>
            <w:hyperlink r:id="rId6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C17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/133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7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C17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/134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8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C18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/100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9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C18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/121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0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CWG-FHR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 xml:space="preserve"> 8/18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1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-9/14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2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-9/15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3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C19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/47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4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C19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/120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5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C20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/47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6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C21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/47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7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C21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/92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8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-14/6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9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-14/12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0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C22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 xml:space="preserve">/50; 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-17/8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1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C24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/38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2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C24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/120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3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-20/13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4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-20/32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5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C25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/38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6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C25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/114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7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CWG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</w:t>
              </w:r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FHR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-22/03</w:t>
              </w:r>
            </w:hyperlink>
            <w:r w:rsidRPr="001736D8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28" w:history="1">
              <w:proofErr w:type="spellStart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C26</w:t>
              </w:r>
              <w:proofErr w:type="spellEnd"/>
              <w:r w:rsidRPr="001736D8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/50</w:t>
              </w:r>
            </w:hyperlink>
            <w:r w:rsidR="00EB733F" w:rsidRPr="001736D8">
              <w:rPr>
                <w:sz w:val="22"/>
                <w:szCs w:val="22"/>
                <w:lang w:val="es-ES"/>
              </w:rPr>
              <w:br w:type="page"/>
            </w:r>
          </w:p>
        </w:tc>
      </w:tr>
    </w:tbl>
    <w:bookmarkEnd w:id="0"/>
    <w:p w14:paraId="47086033" w14:textId="746D7866" w:rsidR="00F92BED" w:rsidRPr="00EB733F" w:rsidRDefault="00796E9D" w:rsidP="00796E9D">
      <w:pPr>
        <w:pStyle w:val="Headingb"/>
        <w:rPr>
          <w:lang w:val="es-ES"/>
        </w:rPr>
      </w:pPr>
      <w:r w:rsidRPr="00EB733F">
        <w:rPr>
          <w:lang w:val="es-ES"/>
        </w:rPr>
        <w:lastRenderedPageBreak/>
        <w:t>Antecedentes</w:t>
      </w:r>
    </w:p>
    <w:p w14:paraId="1AB1E25A" w14:textId="6C9A718B" w:rsidR="00796E9D" w:rsidRPr="00EB733F" w:rsidRDefault="00796E9D" w:rsidP="001736D8">
      <w:pPr>
        <w:jc w:val="both"/>
        <w:rPr>
          <w:lang w:val="es-ES"/>
        </w:rPr>
      </w:pPr>
      <w:r w:rsidRPr="00EB733F">
        <w:rPr>
          <w:lang w:val="es-ES"/>
        </w:rPr>
        <w:t>1</w:t>
      </w:r>
      <w:r w:rsidRPr="00EB733F">
        <w:rPr>
          <w:lang w:val="es-ES"/>
        </w:rPr>
        <w:tab/>
        <w:t xml:space="preserve">La Secretaría ha estado trabajando en la aplicación de los Acuerdos 600 (Doc. </w:t>
      </w:r>
      <w:hyperlink r:id="rId29" w:history="1">
        <w:proofErr w:type="spellStart"/>
        <w:r w:rsidRPr="00EB733F">
          <w:rPr>
            <w:rStyle w:val="Hyperlink"/>
            <w:rFonts w:eastAsia="Times New Roman" w:cs="Times New Roman"/>
            <w:szCs w:val="20"/>
            <w:lang w:val="es-ES"/>
          </w:rPr>
          <w:t>C17</w:t>
        </w:r>
        <w:proofErr w:type="spellEnd"/>
        <w:r w:rsidRPr="00EB733F">
          <w:rPr>
            <w:rStyle w:val="Hyperlink"/>
            <w:rFonts w:eastAsia="Times New Roman" w:cs="Times New Roman"/>
            <w:szCs w:val="20"/>
            <w:lang w:val="es-ES"/>
          </w:rPr>
          <w:t>/133</w:t>
        </w:r>
      </w:hyperlink>
      <w:r w:rsidRPr="00EB733F">
        <w:rPr>
          <w:lang w:val="es-ES"/>
        </w:rPr>
        <w:t xml:space="preserve">) y 601 (Doc. </w:t>
      </w:r>
      <w:hyperlink r:id="rId30" w:history="1">
        <w:proofErr w:type="spellStart"/>
        <w:r w:rsidRPr="00EB733F">
          <w:rPr>
            <w:rStyle w:val="Hyperlink"/>
            <w:rFonts w:eastAsia="Times New Roman" w:cs="Times New Roman"/>
            <w:szCs w:val="20"/>
            <w:lang w:val="es-ES"/>
          </w:rPr>
          <w:t>C17</w:t>
        </w:r>
        <w:proofErr w:type="spellEnd"/>
        <w:r w:rsidRPr="00EB733F">
          <w:rPr>
            <w:rStyle w:val="Hyperlink"/>
            <w:rFonts w:eastAsia="Times New Roman" w:cs="Times New Roman"/>
            <w:szCs w:val="20"/>
            <w:lang w:val="es-ES"/>
          </w:rPr>
          <w:t>/134</w:t>
        </w:r>
      </w:hyperlink>
      <w:r w:rsidRPr="00EB733F">
        <w:rPr>
          <w:lang w:val="es-ES"/>
        </w:rPr>
        <w:t xml:space="preserve">) desde su aprobación en la reunión del Consejo de 2017. </w:t>
      </w:r>
    </w:p>
    <w:p w14:paraId="35454E98" w14:textId="56791E81" w:rsidR="00796E9D" w:rsidRPr="00EB733F" w:rsidRDefault="00796E9D" w:rsidP="001736D8">
      <w:pPr>
        <w:jc w:val="both"/>
        <w:rPr>
          <w:lang w:val="es-ES"/>
        </w:rPr>
      </w:pPr>
      <w:r w:rsidRPr="00EB733F">
        <w:rPr>
          <w:lang w:val="es-ES"/>
        </w:rPr>
        <w:t>2</w:t>
      </w:r>
      <w:r w:rsidRPr="00EB733F">
        <w:rPr>
          <w:lang w:val="es-ES"/>
        </w:rPr>
        <w:tab/>
        <w:t>La Oficina de Normalización de las Telecomunicaciones (TSB) presentó el Documento</w:t>
      </w:r>
      <w:r w:rsidR="00EB733F">
        <w:rPr>
          <w:lang w:val="es-ES"/>
        </w:rPr>
        <w:t> </w:t>
      </w:r>
      <w:proofErr w:type="spellStart"/>
      <w:r>
        <w:fldChar w:fldCharType="begin"/>
      </w:r>
      <w:r w:rsidRPr="00525D4D">
        <w:rPr>
          <w:lang w:val="es-ES"/>
        </w:rPr>
        <w:instrText>HYPERLINK "https://www.itu.int/md/S25-CL-C-0038/es"</w:instrText>
      </w:r>
      <w:r>
        <w:fldChar w:fldCharType="separate"/>
      </w:r>
      <w:r w:rsidRPr="00EB733F">
        <w:rPr>
          <w:rStyle w:val="Hyperlink"/>
          <w:rFonts w:eastAsia="Times New Roman" w:cs="Times New Roman"/>
          <w:szCs w:val="20"/>
          <w:lang w:val="es-ES"/>
        </w:rPr>
        <w:t>C25</w:t>
      </w:r>
      <w:proofErr w:type="spellEnd"/>
      <w:r w:rsidRPr="00EB733F">
        <w:rPr>
          <w:rStyle w:val="Hyperlink"/>
          <w:rFonts w:eastAsia="Times New Roman" w:cs="Times New Roman"/>
          <w:szCs w:val="20"/>
          <w:lang w:val="es-ES"/>
        </w:rPr>
        <w:t>/38</w:t>
      </w:r>
      <w:r>
        <w:fldChar w:fldCharType="end"/>
      </w:r>
      <w:r w:rsidRPr="00EB733F">
        <w:rPr>
          <w:lang w:val="es-ES"/>
        </w:rPr>
        <w:t xml:space="preserve"> a la reunión de 2025 del Consejo, en el que se facilitaba información financiera actualizada sobre los UIFN (Acuerdo 600) y los IIN (Acuerdo 601).</w:t>
      </w:r>
    </w:p>
    <w:p w14:paraId="3EE4E407" w14:textId="4FC22A38" w:rsidR="00796E9D" w:rsidRPr="00EB733F" w:rsidRDefault="00796E9D" w:rsidP="001736D8">
      <w:pPr>
        <w:jc w:val="both"/>
        <w:rPr>
          <w:lang w:val="es-ES"/>
        </w:rPr>
      </w:pPr>
      <w:r w:rsidRPr="00EB733F">
        <w:rPr>
          <w:lang w:val="es-ES"/>
        </w:rPr>
        <w:t>3</w:t>
      </w:r>
      <w:r w:rsidRPr="00EB733F">
        <w:rPr>
          <w:lang w:val="es-ES"/>
        </w:rPr>
        <w:tab/>
        <w:t xml:space="preserve">Como seguimiento del Documento C25/38 del Consejo, la Secretaría informó al Grupo de Trabajo del Consejo sobre Recursos Humanos y Financieros (GTC-RHF) en su reunión de enero de 2026, a través del Documento </w:t>
      </w:r>
      <w:hyperlink r:id="rId31" w:history="1">
        <w:proofErr w:type="spellStart"/>
        <w:r w:rsidRPr="00EB733F">
          <w:rPr>
            <w:rStyle w:val="Hyperlink"/>
            <w:rFonts w:eastAsia="Times New Roman" w:cs="Times New Roman"/>
            <w:szCs w:val="20"/>
            <w:lang w:val="es-ES"/>
          </w:rPr>
          <w:t>CWG</w:t>
        </w:r>
        <w:proofErr w:type="spellEnd"/>
        <w:r w:rsidRPr="00EB733F">
          <w:rPr>
            <w:rStyle w:val="Hyperlink"/>
            <w:rFonts w:eastAsia="Times New Roman" w:cs="Times New Roman"/>
            <w:szCs w:val="20"/>
            <w:lang w:val="es-ES"/>
          </w:rPr>
          <w:t>-</w:t>
        </w:r>
        <w:proofErr w:type="spellStart"/>
        <w:r w:rsidRPr="00EB733F">
          <w:rPr>
            <w:rStyle w:val="Hyperlink"/>
            <w:rFonts w:eastAsia="Times New Roman" w:cs="Times New Roman"/>
            <w:szCs w:val="20"/>
            <w:lang w:val="es-ES"/>
          </w:rPr>
          <w:t>FHR</w:t>
        </w:r>
        <w:proofErr w:type="spellEnd"/>
        <w:r w:rsidRPr="00EB733F">
          <w:rPr>
            <w:rStyle w:val="Hyperlink"/>
            <w:rFonts w:eastAsia="Times New Roman" w:cs="Times New Roman"/>
            <w:szCs w:val="20"/>
            <w:lang w:val="es-ES"/>
          </w:rPr>
          <w:t>-22/3</w:t>
        </w:r>
      </w:hyperlink>
      <w:r w:rsidRPr="00EB733F">
        <w:rPr>
          <w:lang w:val="es-ES"/>
        </w:rPr>
        <w:t>, de la aprobación de la Recomendación UIT-T E.118 revisada que regula la administración de los IIN y en la que se eliminó la función de registrador y el marco de recaudación de cánones asociado.</w:t>
      </w:r>
    </w:p>
    <w:p w14:paraId="26B0DAE4" w14:textId="6E0CACF8" w:rsidR="00796E9D" w:rsidRPr="00EB733F" w:rsidRDefault="00796E9D" w:rsidP="001736D8">
      <w:pPr>
        <w:jc w:val="both"/>
        <w:rPr>
          <w:lang w:val="es-ES"/>
        </w:rPr>
      </w:pPr>
      <w:r w:rsidRPr="00EB733F">
        <w:rPr>
          <w:lang w:val="es-ES"/>
        </w:rPr>
        <w:t>4</w:t>
      </w:r>
      <w:r w:rsidRPr="00EB733F">
        <w:rPr>
          <w:lang w:val="es-ES"/>
        </w:rPr>
        <w:tab/>
        <w:t>En este documento se facilita información actualizada sobre la recaudación de ingresos de los UIFN con arreglo al Acuerdo 600 y se exponen los argumentos a favor de la derogación del Acuerdo 601.</w:t>
      </w:r>
    </w:p>
    <w:p w14:paraId="14E6598C" w14:textId="56B3C1FC" w:rsidR="00796E9D" w:rsidRPr="00EB733F" w:rsidRDefault="00796E9D" w:rsidP="00796E9D">
      <w:pPr>
        <w:pStyle w:val="Headingb"/>
        <w:rPr>
          <w:lang w:val="es-ES"/>
        </w:rPr>
      </w:pPr>
      <w:r w:rsidRPr="00EB733F">
        <w:rPr>
          <w:lang w:val="es-ES"/>
        </w:rPr>
        <w:t>Situación financiera actualizada de los UIFN (Acuerdo 600 del Consejo)</w:t>
      </w:r>
    </w:p>
    <w:p w14:paraId="4925CDDE" w14:textId="3FEF0F58" w:rsidR="00796E9D" w:rsidRPr="00EB733F" w:rsidRDefault="00B6750C" w:rsidP="00796E9D">
      <w:pPr>
        <w:pStyle w:val="Figure"/>
        <w:rPr>
          <w:lang w:val="es-ES"/>
        </w:rPr>
      </w:pPr>
      <w:r w:rsidRPr="00B6750C">
        <w:rPr>
          <w:noProof/>
        </w:rPr>
        <w:drawing>
          <wp:inline distT="0" distB="0" distL="0" distR="0" wp14:anchorId="129D4071" wp14:editId="66EA2735">
            <wp:extent cx="4583430" cy="275463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200CA" w14:textId="65562F4E" w:rsidR="00796E9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t>En el gráfico anterior se muestra que las facturas relacionadas con el Acuerdo 600 emitidas desde 2018, con un valor promedio anual de 235</w:t>
      </w:r>
      <w:r w:rsidR="00EB733F">
        <w:rPr>
          <w:lang w:val="es-ES"/>
        </w:rPr>
        <w:t> </w:t>
      </w:r>
      <w:r w:rsidRPr="00EB733F">
        <w:rPr>
          <w:lang w:val="es-ES"/>
        </w:rPr>
        <w:t xml:space="preserve">000 </w:t>
      </w:r>
      <w:r w:rsidR="00EB733F">
        <w:rPr>
          <w:lang w:val="es-ES"/>
        </w:rPr>
        <w:t>francos suizos</w:t>
      </w:r>
      <w:r w:rsidRPr="00EB733F">
        <w:rPr>
          <w:lang w:val="es-ES"/>
        </w:rPr>
        <w:t>, se han pagado en su mayor parte.</w:t>
      </w:r>
    </w:p>
    <w:p w14:paraId="150E2003" w14:textId="56F4F02F" w:rsidR="00A431C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t>Sin embargo, a de 28 de enero de 2026, los importes siguientes siguen pendientes de pago y deben recuperarse:</w:t>
      </w:r>
    </w:p>
    <w:p w14:paraId="0C41EA6A" w14:textId="4062A872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2018: 14 300 CHF.</w:t>
      </w:r>
    </w:p>
    <w:p w14:paraId="57CAABEA" w14:textId="77777777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2023: 100 CHF.</w:t>
      </w:r>
    </w:p>
    <w:p w14:paraId="15320DD2" w14:textId="77777777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2024: 77 400 CHF.</w:t>
      </w:r>
    </w:p>
    <w:p w14:paraId="380AFCEF" w14:textId="3C48F4A6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2025: 61 200 CHF.</w:t>
      </w:r>
    </w:p>
    <w:p w14:paraId="4E68A1A3" w14:textId="0CF3390D" w:rsidR="00A431C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t xml:space="preserve">En el </w:t>
      </w:r>
      <w:hyperlink w:anchor="Anexo1" w:history="1">
        <w:r w:rsidRPr="008A0089">
          <w:rPr>
            <w:rStyle w:val="Hyperlink"/>
            <w:rFonts w:eastAsia="Times New Roman" w:cs="Times New Roman"/>
            <w:szCs w:val="20"/>
            <w:lang w:val="es-ES"/>
          </w:rPr>
          <w:t>Anexo 1</w:t>
        </w:r>
      </w:hyperlink>
      <w:r w:rsidRPr="00EB733F">
        <w:rPr>
          <w:lang w:val="es-ES"/>
        </w:rPr>
        <w:t xml:space="preserve"> se enumeran las entidades para las que se emitieron facturas en 2018-2025 y que no habían liquidado sus deudas a 28 de enero de 2026.</w:t>
      </w:r>
    </w:p>
    <w:p w14:paraId="56852060" w14:textId="76F3B7A0" w:rsidR="00A431C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lastRenderedPageBreak/>
        <w:t xml:space="preserve">La Secretaría solicita amablemente la </w:t>
      </w:r>
      <w:r w:rsidRPr="00EB733F">
        <w:rPr>
          <w:b/>
          <w:bCs/>
          <w:lang w:val="es-ES"/>
        </w:rPr>
        <w:t>asistencia de los Estados Miembros</w:t>
      </w:r>
      <w:r w:rsidRPr="00EB733F">
        <w:rPr>
          <w:lang w:val="es-ES"/>
        </w:rPr>
        <w:t xml:space="preserve"> con entidades con facturas impagadas para alentarlas a cumplir con el Acuerdo 600 del Consejo y abonar sus facturas.</w:t>
      </w:r>
    </w:p>
    <w:p w14:paraId="7ED87D31" w14:textId="1F1900AE" w:rsidR="00A431CD" w:rsidRPr="00EB733F" w:rsidRDefault="00A431CD" w:rsidP="001736D8">
      <w:pPr>
        <w:pStyle w:val="Headingb"/>
        <w:jc w:val="both"/>
        <w:rPr>
          <w:lang w:val="es-ES"/>
        </w:rPr>
      </w:pPr>
      <w:r w:rsidRPr="00EB733F">
        <w:rPr>
          <w:lang w:val="es-ES"/>
        </w:rPr>
        <w:t>Acuerdo 601 del Consejo (IIN): Fundamentos para la derogación</w:t>
      </w:r>
    </w:p>
    <w:p w14:paraId="24F51E6C" w14:textId="2CB1A918" w:rsidR="00A431C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t xml:space="preserve">En la lista siguiente se muestra que los ingresos relacionados con el Acuerdo 601 tan solo ascienden a </w:t>
      </w:r>
      <w:r w:rsidRPr="00EB733F">
        <w:rPr>
          <w:b/>
          <w:bCs/>
          <w:lang w:val="es-ES"/>
        </w:rPr>
        <w:t>4 700</w:t>
      </w:r>
      <w:r w:rsidRPr="00EB733F">
        <w:rPr>
          <w:lang w:val="es-ES"/>
        </w:rPr>
        <w:t xml:space="preserve"> francos suizos en promedio al año, lo que no cubre los gastos de recaudación de dichos ingresos:</w:t>
      </w:r>
    </w:p>
    <w:p w14:paraId="28A2EA6D" w14:textId="5D35F238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2021: 6</w:t>
      </w:r>
      <w:r w:rsidR="00EB733F">
        <w:rPr>
          <w:lang w:val="es-ES"/>
        </w:rPr>
        <w:t> </w:t>
      </w:r>
      <w:r w:rsidRPr="00EB733F">
        <w:rPr>
          <w:lang w:val="es-ES"/>
        </w:rPr>
        <w:t>900 CHF.</w:t>
      </w:r>
    </w:p>
    <w:p w14:paraId="0D08206E" w14:textId="2E65724F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2022: 5</w:t>
      </w:r>
      <w:r w:rsidR="00EB733F">
        <w:rPr>
          <w:lang w:val="es-ES"/>
        </w:rPr>
        <w:t> </w:t>
      </w:r>
      <w:r w:rsidRPr="00EB733F">
        <w:rPr>
          <w:lang w:val="es-ES"/>
        </w:rPr>
        <w:t>200 CHF.</w:t>
      </w:r>
    </w:p>
    <w:p w14:paraId="0BD0E4B8" w14:textId="7E93EB98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2023: 3</w:t>
      </w:r>
      <w:r w:rsidR="00EB733F">
        <w:rPr>
          <w:lang w:val="es-ES"/>
        </w:rPr>
        <w:t> </w:t>
      </w:r>
      <w:r w:rsidRPr="00EB733F">
        <w:rPr>
          <w:lang w:val="es-ES"/>
        </w:rPr>
        <w:t>150 CHF.</w:t>
      </w:r>
    </w:p>
    <w:p w14:paraId="07F579EE" w14:textId="31519A1B" w:rsidR="00A431CD" w:rsidRPr="00EB733F" w:rsidRDefault="00A431CD" w:rsidP="001736D8">
      <w:pPr>
        <w:pStyle w:val="enumlev1"/>
        <w:jc w:val="both"/>
        <w:rPr>
          <w:lang w:val="es-ES"/>
        </w:rPr>
      </w:pPr>
      <w:r w:rsidRPr="00EB733F">
        <w:rPr>
          <w:lang w:val="es-ES"/>
        </w:rPr>
        <w:t>–</w:t>
      </w:r>
      <w:r w:rsidRPr="00EB733F">
        <w:rPr>
          <w:lang w:val="es-ES"/>
        </w:rPr>
        <w:tab/>
        <w:t>2024: 4</w:t>
      </w:r>
      <w:r w:rsidR="00EB733F">
        <w:rPr>
          <w:lang w:val="es-ES"/>
        </w:rPr>
        <w:t> </w:t>
      </w:r>
      <w:r w:rsidRPr="00EB733F">
        <w:rPr>
          <w:lang w:val="es-ES"/>
        </w:rPr>
        <w:t>450 CHF.</w:t>
      </w:r>
    </w:p>
    <w:p w14:paraId="4EF49D69" w14:textId="77777777" w:rsidR="00A431C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t xml:space="preserve">Además, el 5 de septiembre de 2025 la Comisión de Estudio 2 del UIT-T aprobó una revisión de la Recomendación UIT-T E.118 que regula la administración de los IIN, en la que se eliminó la función de registrador y el marco de recaudación de cánones asociado. </w:t>
      </w:r>
    </w:p>
    <w:p w14:paraId="6AF4EF1B" w14:textId="72021D60" w:rsidR="00A431CD" w:rsidRPr="00EB733F" w:rsidRDefault="00A431CD" w:rsidP="001736D8">
      <w:pPr>
        <w:jc w:val="both"/>
        <w:rPr>
          <w:lang w:val="es-ES"/>
        </w:rPr>
      </w:pPr>
      <w:r w:rsidRPr="00EB733F">
        <w:rPr>
          <w:lang w:val="es-ES"/>
        </w:rPr>
        <w:t xml:space="preserve">Habida cuenta de estos factores, en el Informe se propone </w:t>
      </w:r>
      <w:r w:rsidRPr="00EB733F">
        <w:rPr>
          <w:b/>
          <w:bCs/>
          <w:lang w:val="es-ES"/>
        </w:rPr>
        <w:t>derogar</w:t>
      </w:r>
      <w:r w:rsidRPr="00EB733F">
        <w:rPr>
          <w:lang w:val="es-ES"/>
        </w:rPr>
        <w:t xml:space="preserve"> el Acuerdo 601 del Consejo.</w:t>
      </w:r>
    </w:p>
    <w:p w14:paraId="562DCEA1" w14:textId="74E04B98" w:rsidR="004C0BCA" w:rsidRPr="00EB733F" w:rsidRDefault="004C0BCA" w:rsidP="001736D8">
      <w:pPr>
        <w:pStyle w:val="Headingb"/>
        <w:jc w:val="both"/>
        <w:rPr>
          <w:lang w:val="es-ES"/>
        </w:rPr>
      </w:pPr>
      <w:r w:rsidRPr="00EB733F">
        <w:rPr>
          <w:lang w:val="es-ES"/>
        </w:rPr>
        <w:t>Recomendación</w:t>
      </w:r>
    </w:p>
    <w:p w14:paraId="2AF343A1" w14:textId="77777777" w:rsidR="004C0BCA" w:rsidRPr="00EB733F" w:rsidRDefault="004C0BCA" w:rsidP="001736D8">
      <w:pPr>
        <w:jc w:val="both"/>
        <w:rPr>
          <w:lang w:val="es-ES"/>
        </w:rPr>
      </w:pPr>
      <w:r w:rsidRPr="00EB733F">
        <w:rPr>
          <w:lang w:val="es-ES"/>
        </w:rPr>
        <w:t xml:space="preserve">La Secretaría continuará aplicando el Acuerdo 600 del Consejo (UIFN). </w:t>
      </w:r>
    </w:p>
    <w:p w14:paraId="20FFA3EA" w14:textId="3DEAD0F0" w:rsidR="00A431CD" w:rsidRPr="00EB733F" w:rsidRDefault="004C0BCA" w:rsidP="001736D8">
      <w:pPr>
        <w:jc w:val="both"/>
        <w:rPr>
          <w:lang w:val="es-ES"/>
        </w:rPr>
      </w:pPr>
      <w:r w:rsidRPr="00EB733F">
        <w:rPr>
          <w:lang w:val="es-ES"/>
        </w:rPr>
        <w:t>Se invita al Consejo a derogar el Acuerdo 601 del Consejo (IIN).</w:t>
      </w:r>
    </w:p>
    <w:p w14:paraId="745E5256" w14:textId="2FFDF080" w:rsidR="004C0BCA" w:rsidRPr="00EB733F" w:rsidRDefault="004C0BCA" w:rsidP="001736D8">
      <w:pPr>
        <w:spacing w:before="2400"/>
        <w:rPr>
          <w:lang w:val="es-ES"/>
        </w:rPr>
      </w:pPr>
      <w:r w:rsidRPr="00EB733F">
        <w:rPr>
          <w:b/>
          <w:bCs/>
          <w:lang w:val="es-ES"/>
        </w:rPr>
        <w:t>Anexo</w:t>
      </w:r>
      <w:r w:rsidRPr="00EB733F">
        <w:rPr>
          <w:lang w:val="es-ES"/>
        </w:rPr>
        <w:t>:1</w:t>
      </w:r>
    </w:p>
    <w:p w14:paraId="0C9C4E71" w14:textId="4834AB90" w:rsidR="004C0BCA" w:rsidRPr="00EB733F" w:rsidRDefault="004C0BCA" w:rsidP="004C0BCA">
      <w:pPr>
        <w:rPr>
          <w:lang w:val="es-ES"/>
        </w:rPr>
        <w:sectPr w:rsidR="004C0BCA" w:rsidRPr="00EB733F" w:rsidSect="00C538FC">
          <w:footerReference w:type="default" r:id="rId33"/>
          <w:headerReference w:type="first" r:id="rId34"/>
          <w:footerReference w:type="first" r:id="rId35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3C002F93" w14:textId="301D3AFE" w:rsidR="004C0BCA" w:rsidRPr="00EB733F" w:rsidRDefault="004C0BCA" w:rsidP="00D1176A">
      <w:pPr>
        <w:pStyle w:val="AnnexNo"/>
        <w:spacing w:before="120"/>
        <w:rPr>
          <w:b/>
          <w:lang w:val="es-ES"/>
        </w:rPr>
      </w:pPr>
      <w:bookmarkStart w:id="1" w:name="Anexo1"/>
      <w:r w:rsidRPr="00EB733F">
        <w:rPr>
          <w:lang w:val="es-ES"/>
        </w:rPr>
        <w:lastRenderedPageBreak/>
        <w:t>Anexo</w:t>
      </w:r>
      <w:bookmarkEnd w:id="1"/>
    </w:p>
    <w:p w14:paraId="13A1C824" w14:textId="04E7D8F2" w:rsidR="004C0BCA" w:rsidRPr="00EB733F" w:rsidRDefault="004C0BCA" w:rsidP="00D1176A">
      <w:pPr>
        <w:pStyle w:val="Annextitle"/>
        <w:rPr>
          <w:lang w:val="es-ES"/>
        </w:rPr>
      </w:pPr>
      <w:r w:rsidRPr="00EB733F">
        <w:rPr>
          <w:lang w:val="es-ES"/>
        </w:rPr>
        <w:t>Lista actualizada de proveedores de servicios UIFN con facturas pendientes de pago</w:t>
      </w:r>
      <w:r w:rsidRPr="00EB733F">
        <w:rPr>
          <w:lang w:val="es-ES"/>
        </w:rPr>
        <w:br/>
        <w:t>(para 2018, 2019, 2020, 2021, 2022, 2023, 2024 y 2025, al 28 de enero de 2026)</w:t>
      </w: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1748"/>
        <w:gridCol w:w="4039"/>
        <w:gridCol w:w="1620"/>
        <w:gridCol w:w="1350"/>
      </w:tblGrid>
      <w:tr w:rsidR="00632D1C" w:rsidRPr="00B32B55" w14:paraId="422CBC53" w14:textId="77777777" w:rsidTr="001B0C83">
        <w:trPr>
          <w:cantSplit/>
          <w:tblHeader/>
          <w:jc w:val="center"/>
        </w:trPr>
        <w:tc>
          <w:tcPr>
            <w:tcW w:w="1413" w:type="dxa"/>
            <w:shd w:val="clear" w:color="auto" w:fill="DDDDDD"/>
          </w:tcPr>
          <w:p w14:paraId="620B5863" w14:textId="77777777" w:rsidR="00632D1C" w:rsidRPr="00B32B55" w:rsidRDefault="00632D1C" w:rsidP="00632D1C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Año</w:t>
            </w:r>
          </w:p>
        </w:tc>
        <w:tc>
          <w:tcPr>
            <w:tcW w:w="2551" w:type="dxa"/>
            <w:shd w:val="clear" w:color="auto" w:fill="DDDDDD"/>
            <w:noWrap/>
          </w:tcPr>
          <w:p w14:paraId="684ABF8E" w14:textId="77777777" w:rsidR="00632D1C" w:rsidRPr="00B32B55" w:rsidRDefault="00632D1C" w:rsidP="00632D1C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Importe</w:t>
            </w:r>
          </w:p>
        </w:tc>
        <w:tc>
          <w:tcPr>
            <w:tcW w:w="1134" w:type="dxa"/>
            <w:shd w:val="clear" w:color="auto" w:fill="DDDDDD"/>
            <w:noWrap/>
          </w:tcPr>
          <w:p w14:paraId="16A39284" w14:textId="77777777" w:rsidR="00632D1C" w:rsidRPr="00B32B55" w:rsidRDefault="00632D1C" w:rsidP="005C35FE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Divisa</w:t>
            </w:r>
          </w:p>
        </w:tc>
        <w:tc>
          <w:tcPr>
            <w:tcW w:w="1748" w:type="dxa"/>
            <w:shd w:val="clear" w:color="auto" w:fill="DDDDDD"/>
          </w:tcPr>
          <w:p w14:paraId="1C3882F5" w14:textId="77777777" w:rsidR="00632D1C" w:rsidRPr="00B32B55" w:rsidRDefault="00632D1C" w:rsidP="00632D1C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Cantidad de UIFN</w:t>
            </w:r>
          </w:p>
        </w:tc>
        <w:tc>
          <w:tcPr>
            <w:tcW w:w="4039" w:type="dxa"/>
            <w:shd w:val="clear" w:color="auto" w:fill="DDDDDD"/>
            <w:noWrap/>
          </w:tcPr>
          <w:p w14:paraId="3F04C2E7" w14:textId="77777777" w:rsidR="00632D1C" w:rsidRPr="00B32B55" w:rsidRDefault="00632D1C" w:rsidP="00632D1C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Nombre de la empresa</w:t>
            </w:r>
          </w:p>
        </w:tc>
        <w:tc>
          <w:tcPr>
            <w:tcW w:w="1620" w:type="dxa"/>
            <w:shd w:val="clear" w:color="auto" w:fill="DDDDDD"/>
            <w:noWrap/>
          </w:tcPr>
          <w:p w14:paraId="34B5DFDA" w14:textId="77777777" w:rsidR="00632D1C" w:rsidRPr="00B32B55" w:rsidRDefault="00632D1C" w:rsidP="00632D1C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País/Zona geográfica</w:t>
            </w:r>
          </w:p>
        </w:tc>
        <w:tc>
          <w:tcPr>
            <w:tcW w:w="1350" w:type="dxa"/>
            <w:shd w:val="clear" w:color="auto" w:fill="DDDDDD"/>
          </w:tcPr>
          <w:p w14:paraId="4059700F" w14:textId="77777777" w:rsidR="00632D1C" w:rsidRPr="00B32B55" w:rsidRDefault="00632D1C" w:rsidP="00632D1C">
            <w:pPr>
              <w:pStyle w:val="Tablehead"/>
              <w:rPr>
                <w:rFonts w:eastAsia="DengXian"/>
                <w:sz w:val="20"/>
                <w:lang w:val="es-ES"/>
              </w:rPr>
            </w:pPr>
            <w:r w:rsidRPr="00B32B55">
              <w:rPr>
                <w:rFonts w:eastAsia="DengXian"/>
                <w:sz w:val="20"/>
                <w:lang w:val="es-ES"/>
              </w:rPr>
              <w:t>Nota</w:t>
            </w:r>
          </w:p>
        </w:tc>
      </w:tr>
      <w:tr w:rsidR="00632D1C" w:rsidRPr="00B32B55" w14:paraId="332C2C17" w14:textId="77777777" w:rsidTr="001B0C83">
        <w:trPr>
          <w:cantSplit/>
          <w:jc w:val="center"/>
        </w:trPr>
        <w:tc>
          <w:tcPr>
            <w:tcW w:w="1413" w:type="dxa"/>
          </w:tcPr>
          <w:p w14:paraId="4941A3E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763AAAE3" w14:textId="028A0B2F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28 100 00</w:t>
            </w:r>
          </w:p>
        </w:tc>
        <w:tc>
          <w:tcPr>
            <w:tcW w:w="1134" w:type="dxa"/>
          </w:tcPr>
          <w:p w14:paraId="43BAC6F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F6FDF5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281</w:t>
            </w:r>
          </w:p>
        </w:tc>
        <w:tc>
          <w:tcPr>
            <w:tcW w:w="4039" w:type="dxa"/>
          </w:tcPr>
          <w:p w14:paraId="31D84F92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TDC A/S</w:t>
            </w:r>
          </w:p>
        </w:tc>
        <w:tc>
          <w:tcPr>
            <w:tcW w:w="1620" w:type="dxa"/>
          </w:tcPr>
          <w:p w14:paraId="52715FC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Dinamarca</w:t>
            </w:r>
          </w:p>
        </w:tc>
        <w:tc>
          <w:tcPr>
            <w:tcW w:w="1350" w:type="dxa"/>
          </w:tcPr>
          <w:p w14:paraId="6274BAB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09D2094" w14:textId="77777777" w:rsidTr="001B0C83">
        <w:trPr>
          <w:cantSplit/>
          <w:jc w:val="center"/>
        </w:trPr>
        <w:tc>
          <w:tcPr>
            <w:tcW w:w="1413" w:type="dxa"/>
          </w:tcPr>
          <w:p w14:paraId="40A442E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78A66104" w14:textId="7C8AE153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28 100 00</w:t>
            </w:r>
          </w:p>
        </w:tc>
        <w:tc>
          <w:tcPr>
            <w:tcW w:w="1134" w:type="dxa"/>
          </w:tcPr>
          <w:p w14:paraId="21E4C7E6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0D57654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281</w:t>
            </w:r>
          </w:p>
        </w:tc>
        <w:tc>
          <w:tcPr>
            <w:tcW w:w="4039" w:type="dxa"/>
          </w:tcPr>
          <w:p w14:paraId="7829620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TDC A/S</w:t>
            </w:r>
          </w:p>
        </w:tc>
        <w:tc>
          <w:tcPr>
            <w:tcW w:w="1620" w:type="dxa"/>
          </w:tcPr>
          <w:p w14:paraId="66A3C8B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Dinamarca</w:t>
            </w:r>
          </w:p>
        </w:tc>
        <w:tc>
          <w:tcPr>
            <w:tcW w:w="1350" w:type="dxa"/>
          </w:tcPr>
          <w:p w14:paraId="34580AA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22204E6C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6F78FE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2595FD9" w14:textId="338A32DD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56 200 00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BEDF20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A82998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1F49A8A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Dinamarca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7D75D10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Dinamarca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C1A259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8CF05BA" w14:textId="77777777" w:rsidTr="001B0C83">
        <w:trPr>
          <w:cantSplit/>
          <w:jc w:val="center"/>
        </w:trPr>
        <w:tc>
          <w:tcPr>
            <w:tcW w:w="1413" w:type="dxa"/>
          </w:tcPr>
          <w:p w14:paraId="4C6D4CCA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1827CD22" w14:textId="166260F1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33 600 00</w:t>
            </w:r>
          </w:p>
        </w:tc>
        <w:tc>
          <w:tcPr>
            <w:tcW w:w="1134" w:type="dxa"/>
          </w:tcPr>
          <w:p w14:paraId="49F54C7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2837D7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69724C2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International Telecom Ltd.</w:t>
            </w:r>
          </w:p>
        </w:tc>
        <w:tc>
          <w:tcPr>
            <w:tcW w:w="1620" w:type="dxa"/>
          </w:tcPr>
          <w:p w14:paraId="60E1286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Estados Unidos</w:t>
            </w:r>
          </w:p>
        </w:tc>
        <w:tc>
          <w:tcPr>
            <w:tcW w:w="1350" w:type="dxa"/>
          </w:tcPr>
          <w:p w14:paraId="38D89B6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0DD41674" w14:textId="77777777" w:rsidTr="001B0C83">
        <w:trPr>
          <w:cantSplit/>
          <w:jc w:val="center"/>
        </w:trPr>
        <w:tc>
          <w:tcPr>
            <w:tcW w:w="1413" w:type="dxa"/>
          </w:tcPr>
          <w:p w14:paraId="691B90B3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618B24F4" w14:textId="124004F0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1600 00</w:t>
            </w:r>
          </w:p>
        </w:tc>
        <w:tc>
          <w:tcPr>
            <w:tcW w:w="1134" w:type="dxa"/>
          </w:tcPr>
          <w:p w14:paraId="32157D22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7D6E48A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56</w:t>
            </w:r>
          </w:p>
        </w:tc>
        <w:tc>
          <w:tcPr>
            <w:tcW w:w="4039" w:type="dxa"/>
          </w:tcPr>
          <w:p w14:paraId="0AE7386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International Telecom Ltd.</w:t>
            </w:r>
          </w:p>
        </w:tc>
        <w:tc>
          <w:tcPr>
            <w:tcW w:w="1620" w:type="dxa"/>
          </w:tcPr>
          <w:p w14:paraId="636C286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Estados Unidos</w:t>
            </w:r>
          </w:p>
        </w:tc>
        <w:tc>
          <w:tcPr>
            <w:tcW w:w="1350" w:type="dxa"/>
          </w:tcPr>
          <w:p w14:paraId="4757C95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7C2D9C30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C6E1FA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7C23140" w14:textId="4960E4C1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35 200 00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E83252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9DF7E5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DFE572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Estados Unidos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1631A17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Estados Unidos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1EC956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21C7544A" w14:textId="77777777" w:rsidTr="001B0C83">
        <w:trPr>
          <w:cantSplit/>
          <w:jc w:val="center"/>
        </w:trPr>
        <w:tc>
          <w:tcPr>
            <w:tcW w:w="1413" w:type="dxa"/>
          </w:tcPr>
          <w:p w14:paraId="7CCDD31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7F2760A2" w14:textId="555CF2A3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11 200 00</w:t>
            </w:r>
          </w:p>
        </w:tc>
        <w:tc>
          <w:tcPr>
            <w:tcW w:w="1134" w:type="dxa"/>
          </w:tcPr>
          <w:p w14:paraId="24B313E0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50E36F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140</w:t>
            </w:r>
          </w:p>
        </w:tc>
        <w:tc>
          <w:tcPr>
            <w:tcW w:w="4039" w:type="dxa"/>
          </w:tcPr>
          <w:p w14:paraId="0D5E88B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Bezeq International</w:t>
            </w:r>
          </w:p>
        </w:tc>
        <w:tc>
          <w:tcPr>
            <w:tcW w:w="1620" w:type="dxa"/>
          </w:tcPr>
          <w:p w14:paraId="7EB024D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Israel</w:t>
            </w:r>
          </w:p>
        </w:tc>
        <w:tc>
          <w:tcPr>
            <w:tcW w:w="1350" w:type="dxa"/>
          </w:tcPr>
          <w:p w14:paraId="4682C4D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B8FEB2B" w14:textId="77777777" w:rsidTr="001B0C83">
        <w:trPr>
          <w:cantSplit/>
          <w:jc w:val="center"/>
        </w:trPr>
        <w:tc>
          <w:tcPr>
            <w:tcW w:w="1413" w:type="dxa"/>
          </w:tcPr>
          <w:p w14:paraId="76F953FA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56178765" w14:textId="320A004B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6 800 00</w:t>
            </w:r>
          </w:p>
        </w:tc>
        <w:tc>
          <w:tcPr>
            <w:tcW w:w="1134" w:type="dxa"/>
          </w:tcPr>
          <w:p w14:paraId="5FB204FB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B76027A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68</w:t>
            </w:r>
          </w:p>
        </w:tc>
        <w:tc>
          <w:tcPr>
            <w:tcW w:w="4039" w:type="dxa"/>
          </w:tcPr>
          <w:p w14:paraId="0949CE60" w14:textId="77777777" w:rsidR="00632D1C" w:rsidRPr="00B32B55" w:rsidRDefault="00632D1C" w:rsidP="00632D1C">
            <w:pPr>
              <w:pStyle w:val="Tabletext"/>
              <w:rPr>
                <w:sz w:val="20"/>
                <w:lang w:val="en-US"/>
              </w:rPr>
            </w:pPr>
            <w:r w:rsidRPr="00B32B55">
              <w:rPr>
                <w:sz w:val="20"/>
                <w:lang w:val="en-US"/>
              </w:rPr>
              <w:t>Partner Land-Line Communications Solutions LP</w:t>
            </w:r>
          </w:p>
        </w:tc>
        <w:tc>
          <w:tcPr>
            <w:tcW w:w="1620" w:type="dxa"/>
          </w:tcPr>
          <w:p w14:paraId="6F7EFA5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Israel</w:t>
            </w:r>
          </w:p>
        </w:tc>
        <w:tc>
          <w:tcPr>
            <w:tcW w:w="1350" w:type="dxa"/>
          </w:tcPr>
          <w:p w14:paraId="7557922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436A409F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B3D9F3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61215F1" w14:textId="3287737E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18 000 00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EE075ED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418C17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4C3C1A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Israel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4EA384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Israel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87DF69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05A545F6" w14:textId="77777777" w:rsidTr="001B0C83">
        <w:trPr>
          <w:cantSplit/>
          <w:jc w:val="center"/>
        </w:trPr>
        <w:tc>
          <w:tcPr>
            <w:tcW w:w="1413" w:type="dxa"/>
          </w:tcPr>
          <w:p w14:paraId="5E3DE2F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0738D0FC" w14:textId="22E76725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13 900 00</w:t>
            </w:r>
          </w:p>
        </w:tc>
        <w:tc>
          <w:tcPr>
            <w:tcW w:w="1134" w:type="dxa"/>
          </w:tcPr>
          <w:p w14:paraId="29B61051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89CB2D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139</w:t>
            </w:r>
          </w:p>
        </w:tc>
        <w:tc>
          <w:tcPr>
            <w:tcW w:w="4039" w:type="dxa"/>
          </w:tcPr>
          <w:p w14:paraId="3E84C90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Hong Kong Telecommunications (HKT) Limited</w:t>
            </w:r>
          </w:p>
        </w:tc>
        <w:tc>
          <w:tcPr>
            <w:tcW w:w="1620" w:type="dxa"/>
          </w:tcPr>
          <w:p w14:paraId="0720E7D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Hong Kong, China</w:t>
            </w:r>
          </w:p>
        </w:tc>
        <w:tc>
          <w:tcPr>
            <w:tcW w:w="1350" w:type="dxa"/>
          </w:tcPr>
          <w:p w14:paraId="146BC65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265484BF" w14:textId="77777777" w:rsidTr="001B0C83">
        <w:trPr>
          <w:cantSplit/>
          <w:jc w:val="center"/>
        </w:trPr>
        <w:tc>
          <w:tcPr>
            <w:tcW w:w="1413" w:type="dxa"/>
          </w:tcPr>
          <w:p w14:paraId="3079AAFC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46A15D5D" w14:textId="3D85F0A1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400 00</w:t>
            </w:r>
          </w:p>
        </w:tc>
        <w:tc>
          <w:tcPr>
            <w:tcW w:w="1134" w:type="dxa"/>
          </w:tcPr>
          <w:p w14:paraId="37878E21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6645D8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4</w:t>
            </w:r>
          </w:p>
        </w:tc>
        <w:tc>
          <w:tcPr>
            <w:tcW w:w="4039" w:type="dxa"/>
          </w:tcPr>
          <w:p w14:paraId="3365FB0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HKBN Enterprise Solutions HK Limited (ex-WTT HK Limited)</w:t>
            </w:r>
          </w:p>
        </w:tc>
        <w:tc>
          <w:tcPr>
            <w:tcW w:w="1620" w:type="dxa"/>
          </w:tcPr>
          <w:p w14:paraId="6A5D4C8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Hong Kong, China</w:t>
            </w:r>
          </w:p>
        </w:tc>
        <w:tc>
          <w:tcPr>
            <w:tcW w:w="1350" w:type="dxa"/>
          </w:tcPr>
          <w:p w14:paraId="184EE93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14E3008B" w14:textId="77777777" w:rsidTr="001B0C83">
        <w:trPr>
          <w:cantSplit/>
          <w:jc w:val="center"/>
        </w:trPr>
        <w:tc>
          <w:tcPr>
            <w:tcW w:w="1413" w:type="dxa"/>
          </w:tcPr>
          <w:p w14:paraId="1375509B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2023</w:t>
            </w:r>
          </w:p>
        </w:tc>
        <w:tc>
          <w:tcPr>
            <w:tcW w:w="2551" w:type="dxa"/>
          </w:tcPr>
          <w:p w14:paraId="16A20D26" w14:textId="35C6E123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61DF1F2E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7BC004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1263721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HGC Global Communications Limited</w:t>
            </w:r>
          </w:p>
        </w:tc>
        <w:tc>
          <w:tcPr>
            <w:tcW w:w="1620" w:type="dxa"/>
          </w:tcPr>
          <w:p w14:paraId="0C1CD57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Hong Kong, China</w:t>
            </w:r>
          </w:p>
        </w:tc>
        <w:tc>
          <w:tcPr>
            <w:tcW w:w="1350" w:type="dxa"/>
          </w:tcPr>
          <w:p w14:paraId="493517E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2504E46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3987F2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C51FC63" w14:textId="70902038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14 400 00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4C554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B70739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14101A51" w14:textId="77777777" w:rsidR="00632D1C" w:rsidRPr="00B32B55" w:rsidRDefault="00632D1C" w:rsidP="00632D1C">
            <w:pPr>
              <w:pStyle w:val="Tabletext"/>
              <w:rPr>
                <w:b/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Hong Kong, China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8CE457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Hong Kong, China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4B5D8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AB2883E" w14:textId="77777777" w:rsidTr="001B0C83">
        <w:trPr>
          <w:cantSplit/>
          <w:jc w:val="center"/>
        </w:trPr>
        <w:tc>
          <w:tcPr>
            <w:tcW w:w="1413" w:type="dxa"/>
          </w:tcPr>
          <w:p w14:paraId="3DD7B6C9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178C1151" w14:textId="453DDAFD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3 000 00</w:t>
            </w:r>
          </w:p>
        </w:tc>
        <w:tc>
          <w:tcPr>
            <w:tcW w:w="1134" w:type="dxa"/>
          </w:tcPr>
          <w:p w14:paraId="73811129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397C4FB3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710A5EF7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Kingston communications/Affiniti</w:t>
            </w:r>
          </w:p>
        </w:tc>
        <w:tc>
          <w:tcPr>
            <w:tcW w:w="1620" w:type="dxa"/>
          </w:tcPr>
          <w:p w14:paraId="35EA1AE0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Reino Unido</w:t>
            </w:r>
          </w:p>
        </w:tc>
        <w:tc>
          <w:tcPr>
            <w:tcW w:w="1350" w:type="dxa"/>
          </w:tcPr>
          <w:p w14:paraId="7115C1A3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14EA6B81" w14:textId="77777777" w:rsidTr="001B0C83">
        <w:trPr>
          <w:cantSplit/>
          <w:jc w:val="center"/>
        </w:trPr>
        <w:tc>
          <w:tcPr>
            <w:tcW w:w="1413" w:type="dxa"/>
          </w:tcPr>
          <w:p w14:paraId="5E21A07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4B14FACC" w14:textId="70A958C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1 800 00</w:t>
            </w:r>
          </w:p>
        </w:tc>
        <w:tc>
          <w:tcPr>
            <w:tcW w:w="1134" w:type="dxa"/>
          </w:tcPr>
          <w:p w14:paraId="7EE64596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30897C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5BB2C88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 xml:space="preserve">PTGI INTERNATIONAL CARRIER </w:t>
            </w:r>
            <w:r w:rsidRPr="00B32B55">
              <w:rPr>
                <w:sz w:val="20"/>
                <w:lang w:val="es-ES"/>
              </w:rPr>
              <w:br/>
              <w:t>(antes PRIMUS Telecommunications Ltd.)</w:t>
            </w:r>
          </w:p>
        </w:tc>
        <w:tc>
          <w:tcPr>
            <w:tcW w:w="1620" w:type="dxa"/>
          </w:tcPr>
          <w:p w14:paraId="74C33E0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Reino Unido</w:t>
            </w:r>
          </w:p>
        </w:tc>
        <w:tc>
          <w:tcPr>
            <w:tcW w:w="1350" w:type="dxa"/>
          </w:tcPr>
          <w:p w14:paraId="012F76B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5057BD97" w14:textId="77777777" w:rsidTr="001B0C83">
        <w:trPr>
          <w:cantSplit/>
          <w:jc w:val="center"/>
        </w:trPr>
        <w:tc>
          <w:tcPr>
            <w:tcW w:w="1413" w:type="dxa"/>
          </w:tcPr>
          <w:p w14:paraId="002AF49B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0AF69AE4" w14:textId="250A7F3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31A0DDFB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370B8C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5</w:t>
            </w:r>
          </w:p>
        </w:tc>
        <w:tc>
          <w:tcPr>
            <w:tcW w:w="4039" w:type="dxa"/>
          </w:tcPr>
          <w:p w14:paraId="166DB85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Kingston communications/Affiniti</w:t>
            </w:r>
          </w:p>
        </w:tc>
        <w:tc>
          <w:tcPr>
            <w:tcW w:w="1620" w:type="dxa"/>
          </w:tcPr>
          <w:p w14:paraId="0A4663E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Reino Unido</w:t>
            </w:r>
          </w:p>
        </w:tc>
        <w:tc>
          <w:tcPr>
            <w:tcW w:w="1350" w:type="dxa"/>
          </w:tcPr>
          <w:p w14:paraId="4972B35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48BFF867" w14:textId="77777777" w:rsidTr="001B0C83">
        <w:trPr>
          <w:cantSplit/>
          <w:jc w:val="center"/>
        </w:trPr>
        <w:tc>
          <w:tcPr>
            <w:tcW w:w="1413" w:type="dxa"/>
          </w:tcPr>
          <w:p w14:paraId="51113CA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1D506A46" w14:textId="3481C3B5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300 00</w:t>
            </w:r>
          </w:p>
        </w:tc>
        <w:tc>
          <w:tcPr>
            <w:tcW w:w="1134" w:type="dxa"/>
          </w:tcPr>
          <w:p w14:paraId="3109BB39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5D60519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</w:t>
            </w:r>
          </w:p>
        </w:tc>
        <w:tc>
          <w:tcPr>
            <w:tcW w:w="4039" w:type="dxa"/>
          </w:tcPr>
          <w:p w14:paraId="532736E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 xml:space="preserve">PTGI INTERNATIONAL CARRIER </w:t>
            </w:r>
            <w:r w:rsidRPr="00B32B55">
              <w:rPr>
                <w:sz w:val="20"/>
                <w:lang w:val="es-ES"/>
              </w:rPr>
              <w:br/>
              <w:t>(antes PRIMUS Telecommunications Ltd.)</w:t>
            </w:r>
          </w:p>
        </w:tc>
        <w:tc>
          <w:tcPr>
            <w:tcW w:w="1620" w:type="dxa"/>
          </w:tcPr>
          <w:p w14:paraId="2271C0A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Reino Unido</w:t>
            </w:r>
          </w:p>
        </w:tc>
        <w:tc>
          <w:tcPr>
            <w:tcW w:w="1350" w:type="dxa"/>
          </w:tcPr>
          <w:p w14:paraId="00F8181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7CD13E0F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7A9520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5BD785F" w14:textId="38F2F2A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5 200 00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BF781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C6F61F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8</w:t>
            </w:r>
          </w:p>
        </w:tc>
        <w:tc>
          <w:tcPr>
            <w:tcW w:w="4039" w:type="dxa"/>
            <w:shd w:val="clear" w:color="auto" w:fill="F2F2F2" w:themeFill="background1" w:themeFillShade="F2"/>
          </w:tcPr>
          <w:p w14:paraId="380F6AB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Reino Unido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7D208E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Reino Unido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556C50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0939365" w14:textId="77777777" w:rsidTr="001B0C83">
        <w:trPr>
          <w:cantSplit/>
          <w:jc w:val="center"/>
        </w:trPr>
        <w:tc>
          <w:tcPr>
            <w:tcW w:w="1413" w:type="dxa"/>
          </w:tcPr>
          <w:p w14:paraId="0246BF3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lastRenderedPageBreak/>
              <w:t>2025</w:t>
            </w:r>
          </w:p>
        </w:tc>
        <w:tc>
          <w:tcPr>
            <w:tcW w:w="2551" w:type="dxa"/>
          </w:tcPr>
          <w:p w14:paraId="6F223489" w14:textId="066A810B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4 500 00</w:t>
            </w:r>
          </w:p>
        </w:tc>
        <w:tc>
          <w:tcPr>
            <w:tcW w:w="1134" w:type="dxa"/>
          </w:tcPr>
          <w:p w14:paraId="0E465546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3B421F6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45</w:t>
            </w:r>
          </w:p>
        </w:tc>
        <w:tc>
          <w:tcPr>
            <w:tcW w:w="4039" w:type="dxa"/>
          </w:tcPr>
          <w:p w14:paraId="72BB2BA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MessageBird B.V.</w:t>
            </w:r>
          </w:p>
        </w:tc>
        <w:tc>
          <w:tcPr>
            <w:tcW w:w="1620" w:type="dxa"/>
          </w:tcPr>
          <w:p w14:paraId="1187585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Países Bajos</w:t>
            </w:r>
          </w:p>
        </w:tc>
        <w:tc>
          <w:tcPr>
            <w:tcW w:w="1350" w:type="dxa"/>
          </w:tcPr>
          <w:p w14:paraId="105539B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2559F968" w14:textId="77777777" w:rsidTr="001B0C83">
        <w:trPr>
          <w:cantSplit/>
          <w:jc w:val="center"/>
        </w:trPr>
        <w:tc>
          <w:tcPr>
            <w:tcW w:w="1413" w:type="dxa"/>
          </w:tcPr>
          <w:p w14:paraId="288A5DD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5F3EB3E8" w14:textId="79761C7D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800 00</w:t>
            </w:r>
          </w:p>
        </w:tc>
        <w:tc>
          <w:tcPr>
            <w:tcW w:w="1134" w:type="dxa"/>
          </w:tcPr>
          <w:p w14:paraId="0388AAF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2D139DD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8</w:t>
            </w:r>
          </w:p>
        </w:tc>
        <w:tc>
          <w:tcPr>
            <w:tcW w:w="4039" w:type="dxa"/>
          </w:tcPr>
          <w:p w14:paraId="649B58A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TeleForwarding International B.V.</w:t>
            </w:r>
          </w:p>
        </w:tc>
        <w:tc>
          <w:tcPr>
            <w:tcW w:w="1620" w:type="dxa"/>
          </w:tcPr>
          <w:p w14:paraId="36A61D0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Países Bajos</w:t>
            </w:r>
          </w:p>
        </w:tc>
        <w:tc>
          <w:tcPr>
            <w:tcW w:w="1350" w:type="dxa"/>
          </w:tcPr>
          <w:p w14:paraId="1DB434C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CA64BC1" w14:textId="77777777" w:rsidTr="001B0C83">
        <w:trPr>
          <w:cantSplit/>
          <w:jc w:val="center"/>
        </w:trPr>
        <w:tc>
          <w:tcPr>
            <w:tcW w:w="1413" w:type="dxa"/>
          </w:tcPr>
          <w:p w14:paraId="07C1E453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</w:tcPr>
          <w:p w14:paraId="3460F9F4" w14:textId="4AE9EB6C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5 300 00</w:t>
            </w:r>
          </w:p>
        </w:tc>
        <w:tc>
          <w:tcPr>
            <w:tcW w:w="1134" w:type="dxa"/>
          </w:tcPr>
          <w:p w14:paraId="0761C92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D6EA9E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</w:tcPr>
          <w:p w14:paraId="2978900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Países Bajos</w:t>
            </w:r>
          </w:p>
        </w:tc>
        <w:tc>
          <w:tcPr>
            <w:tcW w:w="1620" w:type="dxa"/>
          </w:tcPr>
          <w:p w14:paraId="113A5495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Países Bajos</w:t>
            </w:r>
          </w:p>
        </w:tc>
        <w:tc>
          <w:tcPr>
            <w:tcW w:w="1350" w:type="dxa"/>
          </w:tcPr>
          <w:p w14:paraId="05CB8B2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83C7CAA" w14:textId="77777777" w:rsidTr="001B0C83">
        <w:trPr>
          <w:cantSplit/>
          <w:jc w:val="center"/>
        </w:trPr>
        <w:tc>
          <w:tcPr>
            <w:tcW w:w="1413" w:type="dxa"/>
          </w:tcPr>
          <w:p w14:paraId="42B51D3B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392F2C7D" w14:textId="5786B4C6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2 100 00</w:t>
            </w:r>
          </w:p>
        </w:tc>
        <w:tc>
          <w:tcPr>
            <w:tcW w:w="1134" w:type="dxa"/>
          </w:tcPr>
          <w:p w14:paraId="61CA78E5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2F8CDFF4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21</w:t>
            </w:r>
          </w:p>
        </w:tc>
        <w:tc>
          <w:tcPr>
            <w:tcW w:w="4039" w:type="dxa"/>
          </w:tcPr>
          <w:p w14:paraId="4A7869A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Telia Norge AS</w:t>
            </w:r>
          </w:p>
        </w:tc>
        <w:tc>
          <w:tcPr>
            <w:tcW w:w="1620" w:type="dxa"/>
          </w:tcPr>
          <w:p w14:paraId="087A3FF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Noruega</w:t>
            </w:r>
          </w:p>
        </w:tc>
        <w:tc>
          <w:tcPr>
            <w:tcW w:w="1350" w:type="dxa"/>
          </w:tcPr>
          <w:p w14:paraId="54F4390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5AD1B2A1" w14:textId="77777777" w:rsidTr="001B0C83">
        <w:trPr>
          <w:cantSplit/>
          <w:jc w:val="center"/>
        </w:trPr>
        <w:tc>
          <w:tcPr>
            <w:tcW w:w="1413" w:type="dxa"/>
          </w:tcPr>
          <w:p w14:paraId="0387454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777A4FA5" w14:textId="41891629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2 100 00</w:t>
            </w:r>
          </w:p>
        </w:tc>
        <w:tc>
          <w:tcPr>
            <w:tcW w:w="1134" w:type="dxa"/>
          </w:tcPr>
          <w:p w14:paraId="2A4E6162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1BFAAA9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21</w:t>
            </w:r>
          </w:p>
        </w:tc>
        <w:tc>
          <w:tcPr>
            <w:tcW w:w="4039" w:type="dxa"/>
          </w:tcPr>
          <w:p w14:paraId="7A6E5ED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Telia Norge AS</w:t>
            </w:r>
          </w:p>
        </w:tc>
        <w:tc>
          <w:tcPr>
            <w:tcW w:w="1620" w:type="dxa"/>
          </w:tcPr>
          <w:p w14:paraId="7738E94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Noruega</w:t>
            </w:r>
          </w:p>
        </w:tc>
        <w:tc>
          <w:tcPr>
            <w:tcW w:w="1350" w:type="dxa"/>
          </w:tcPr>
          <w:p w14:paraId="5D59D87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C8394EB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9BEB82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4ACB9EA" w14:textId="1F5958B6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4 200 00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16533D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28316FA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A15340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Noruega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A7B08FA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Noruega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D143D6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0E12BFF7" w14:textId="77777777" w:rsidTr="001B0C83">
        <w:trPr>
          <w:cantSplit/>
          <w:jc w:val="center"/>
        </w:trPr>
        <w:tc>
          <w:tcPr>
            <w:tcW w:w="1413" w:type="dxa"/>
          </w:tcPr>
          <w:p w14:paraId="1EF4DDC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32EBFB8C" w14:textId="7C0A54FC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3 000 00</w:t>
            </w:r>
          </w:p>
        </w:tc>
        <w:tc>
          <w:tcPr>
            <w:tcW w:w="1134" w:type="dxa"/>
          </w:tcPr>
          <w:p w14:paraId="221DF9CF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73054CC4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2D5F01D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 xml:space="preserve">Telefónica S.A. </w:t>
            </w:r>
            <w:r w:rsidRPr="00B32B55">
              <w:rPr>
                <w:sz w:val="20"/>
                <w:lang w:val="es-ES"/>
              </w:rPr>
              <w:br/>
              <w:t>(antes Colombia Telecomunicaciones S.A. ESP - Telecom Colombia)</w:t>
            </w:r>
          </w:p>
        </w:tc>
        <w:tc>
          <w:tcPr>
            <w:tcW w:w="1620" w:type="dxa"/>
          </w:tcPr>
          <w:p w14:paraId="30D6CB6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Colombia</w:t>
            </w:r>
          </w:p>
        </w:tc>
        <w:tc>
          <w:tcPr>
            <w:tcW w:w="1350" w:type="dxa"/>
          </w:tcPr>
          <w:p w14:paraId="3B462C0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1847E64E" w14:textId="77777777" w:rsidTr="001B0C83">
        <w:trPr>
          <w:cantSplit/>
          <w:jc w:val="center"/>
        </w:trPr>
        <w:tc>
          <w:tcPr>
            <w:tcW w:w="1413" w:type="dxa"/>
          </w:tcPr>
          <w:p w14:paraId="005B108B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4096659C" w14:textId="5DAAE963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300 00</w:t>
            </w:r>
          </w:p>
        </w:tc>
        <w:tc>
          <w:tcPr>
            <w:tcW w:w="1134" w:type="dxa"/>
          </w:tcPr>
          <w:p w14:paraId="64C4E597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70A8CAD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5</w:t>
            </w:r>
          </w:p>
        </w:tc>
        <w:tc>
          <w:tcPr>
            <w:tcW w:w="4039" w:type="dxa"/>
          </w:tcPr>
          <w:p w14:paraId="167B678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 xml:space="preserve">Telefónica S.A. </w:t>
            </w:r>
            <w:r w:rsidRPr="00B32B55">
              <w:rPr>
                <w:sz w:val="20"/>
                <w:lang w:val="es-ES"/>
              </w:rPr>
              <w:br/>
              <w:t>(antes Colombia Telecomunicaciones S.A. ESP - Telecom Colombia)</w:t>
            </w:r>
          </w:p>
        </w:tc>
        <w:tc>
          <w:tcPr>
            <w:tcW w:w="1620" w:type="dxa"/>
          </w:tcPr>
          <w:p w14:paraId="173FD84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Colombia</w:t>
            </w:r>
          </w:p>
        </w:tc>
        <w:tc>
          <w:tcPr>
            <w:tcW w:w="1350" w:type="dxa"/>
          </w:tcPr>
          <w:p w14:paraId="0759BA2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58F367A6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95AFA48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2405B9F" w14:textId="25A2C48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3 </w:t>
            </w:r>
            <w:r w:rsidRPr="00B32B55">
              <w:rPr>
                <w:b/>
                <w:bCs/>
                <w:sz w:val="20"/>
                <w:lang w:val="es-ES"/>
              </w:rPr>
              <w:t>300</w:t>
            </w:r>
            <w:r w:rsidRPr="00B32B55">
              <w:rPr>
                <w:b/>
                <w:sz w:val="20"/>
                <w:lang w:val="es-ES"/>
              </w:rPr>
              <w:t>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07B6D6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4FDDB93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9DD7A3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Colombia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0A61AF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Colombia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F66771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0F461A6" w14:textId="77777777" w:rsidTr="001B0C83">
        <w:trPr>
          <w:cantSplit/>
          <w:jc w:val="center"/>
        </w:trPr>
        <w:tc>
          <w:tcPr>
            <w:tcW w:w="1413" w:type="dxa"/>
          </w:tcPr>
          <w:p w14:paraId="0CDC3149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765B7929" w14:textId="3AD82095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3 000 00</w:t>
            </w:r>
          </w:p>
        </w:tc>
        <w:tc>
          <w:tcPr>
            <w:tcW w:w="1134" w:type="dxa"/>
          </w:tcPr>
          <w:p w14:paraId="2E440A37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3489E40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30</w:t>
            </w:r>
          </w:p>
        </w:tc>
        <w:tc>
          <w:tcPr>
            <w:tcW w:w="4039" w:type="dxa"/>
          </w:tcPr>
          <w:p w14:paraId="13EBAE8E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Chungwa Telecom Co., Ltd.</w:t>
            </w:r>
          </w:p>
        </w:tc>
        <w:tc>
          <w:tcPr>
            <w:tcW w:w="1620" w:type="dxa"/>
          </w:tcPr>
          <w:p w14:paraId="539444FE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Taiwán, Provincia de China</w:t>
            </w:r>
          </w:p>
        </w:tc>
        <w:tc>
          <w:tcPr>
            <w:tcW w:w="1350" w:type="dxa"/>
          </w:tcPr>
          <w:p w14:paraId="7A27B915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</w:p>
        </w:tc>
      </w:tr>
      <w:tr w:rsidR="00632D1C" w:rsidRPr="00B32B55" w14:paraId="392E7D33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A53036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DB782E6" w14:textId="4E7D87E2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3 000 00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425BFFF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74358A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2DACCF4B" w14:textId="77777777" w:rsidR="00632D1C" w:rsidRPr="00B32B55" w:rsidRDefault="00632D1C" w:rsidP="00632D1C">
            <w:pPr>
              <w:pStyle w:val="Tabletext"/>
              <w:rPr>
                <w:b/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Taiwán, China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99934C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Taiwán, Provincia de</w:t>
            </w:r>
            <w:r w:rsidRPr="00B32B55">
              <w:rPr>
                <w:sz w:val="20"/>
                <w:lang w:val="es-ES"/>
              </w:rPr>
              <w:t xml:space="preserve"> </w:t>
            </w:r>
            <w:r w:rsidRPr="00B32B55">
              <w:rPr>
                <w:b/>
                <w:sz w:val="20"/>
                <w:lang w:val="es-ES"/>
              </w:rPr>
              <w:t>China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58BA46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11E7E72E" w14:textId="77777777" w:rsidTr="001B0C83">
        <w:trPr>
          <w:cantSplit/>
          <w:jc w:val="center"/>
        </w:trPr>
        <w:tc>
          <w:tcPr>
            <w:tcW w:w="1413" w:type="dxa"/>
          </w:tcPr>
          <w:p w14:paraId="4785E47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7699B7DC" w14:textId="270CAC79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1 400 00</w:t>
            </w:r>
          </w:p>
        </w:tc>
        <w:tc>
          <w:tcPr>
            <w:tcW w:w="1134" w:type="dxa"/>
          </w:tcPr>
          <w:p w14:paraId="022F79F2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7265F8A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-</w:t>
            </w:r>
          </w:p>
        </w:tc>
        <w:tc>
          <w:tcPr>
            <w:tcW w:w="4039" w:type="dxa"/>
          </w:tcPr>
          <w:p w14:paraId="4D01F4C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PLANinterNET VoIP-GmbH</w:t>
            </w:r>
          </w:p>
        </w:tc>
        <w:tc>
          <w:tcPr>
            <w:tcW w:w="1620" w:type="dxa"/>
          </w:tcPr>
          <w:p w14:paraId="5F18E88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Alemania</w:t>
            </w:r>
          </w:p>
        </w:tc>
        <w:tc>
          <w:tcPr>
            <w:tcW w:w="1350" w:type="dxa"/>
          </w:tcPr>
          <w:p w14:paraId="599DB2F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49D59D46" w14:textId="77777777" w:rsidTr="001B0C83">
        <w:trPr>
          <w:cantSplit/>
          <w:jc w:val="center"/>
        </w:trPr>
        <w:tc>
          <w:tcPr>
            <w:tcW w:w="1413" w:type="dxa"/>
          </w:tcPr>
          <w:p w14:paraId="089C98B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2022</w:t>
            </w:r>
          </w:p>
        </w:tc>
        <w:tc>
          <w:tcPr>
            <w:tcW w:w="2551" w:type="dxa"/>
          </w:tcPr>
          <w:p w14:paraId="7A9A94FD" w14:textId="624DD071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1752B42F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5AD735BB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</w:t>
            </w:r>
          </w:p>
        </w:tc>
        <w:tc>
          <w:tcPr>
            <w:tcW w:w="4039" w:type="dxa"/>
          </w:tcPr>
          <w:p w14:paraId="0D352BC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PLANinterNET VoIP-GmbH</w:t>
            </w:r>
          </w:p>
        </w:tc>
        <w:tc>
          <w:tcPr>
            <w:tcW w:w="1620" w:type="dxa"/>
          </w:tcPr>
          <w:p w14:paraId="4BDDAA9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Alemania</w:t>
            </w:r>
          </w:p>
        </w:tc>
        <w:tc>
          <w:tcPr>
            <w:tcW w:w="1350" w:type="dxa"/>
          </w:tcPr>
          <w:p w14:paraId="11E6444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0874337B" w14:textId="77777777" w:rsidTr="001B0C83">
        <w:trPr>
          <w:cantSplit/>
          <w:jc w:val="center"/>
        </w:trPr>
        <w:tc>
          <w:tcPr>
            <w:tcW w:w="1413" w:type="dxa"/>
          </w:tcPr>
          <w:p w14:paraId="22FF659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3AE91F8F" w14:textId="33B7A4B9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200 00</w:t>
            </w:r>
          </w:p>
        </w:tc>
        <w:tc>
          <w:tcPr>
            <w:tcW w:w="1134" w:type="dxa"/>
          </w:tcPr>
          <w:p w14:paraId="1C6C724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769435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</w:t>
            </w:r>
          </w:p>
        </w:tc>
        <w:tc>
          <w:tcPr>
            <w:tcW w:w="4039" w:type="dxa"/>
          </w:tcPr>
          <w:p w14:paraId="6C49653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EMTEX GmbH</w:t>
            </w:r>
          </w:p>
        </w:tc>
        <w:tc>
          <w:tcPr>
            <w:tcW w:w="1620" w:type="dxa"/>
          </w:tcPr>
          <w:p w14:paraId="56BD4F3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Alemania</w:t>
            </w:r>
          </w:p>
        </w:tc>
        <w:tc>
          <w:tcPr>
            <w:tcW w:w="1350" w:type="dxa"/>
          </w:tcPr>
          <w:p w14:paraId="3795CA0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00329BE7" w14:textId="77777777" w:rsidTr="001B0C83">
        <w:trPr>
          <w:cantSplit/>
          <w:jc w:val="center"/>
        </w:trPr>
        <w:tc>
          <w:tcPr>
            <w:tcW w:w="1413" w:type="dxa"/>
          </w:tcPr>
          <w:p w14:paraId="6CE7AD5A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0EF25454" w14:textId="093550CB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200 00</w:t>
            </w:r>
          </w:p>
        </w:tc>
        <w:tc>
          <w:tcPr>
            <w:tcW w:w="1134" w:type="dxa"/>
          </w:tcPr>
          <w:p w14:paraId="0199CD19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45DDC8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</w:t>
            </w:r>
          </w:p>
        </w:tc>
        <w:tc>
          <w:tcPr>
            <w:tcW w:w="4039" w:type="dxa"/>
          </w:tcPr>
          <w:p w14:paraId="1FE0D89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EMTEX GmbH</w:t>
            </w:r>
          </w:p>
        </w:tc>
        <w:tc>
          <w:tcPr>
            <w:tcW w:w="1620" w:type="dxa"/>
          </w:tcPr>
          <w:p w14:paraId="0FE2FAA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Alemania</w:t>
            </w:r>
          </w:p>
        </w:tc>
        <w:tc>
          <w:tcPr>
            <w:tcW w:w="1350" w:type="dxa"/>
          </w:tcPr>
          <w:p w14:paraId="11B5A2C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2292EA37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093A27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ACC20CF" w14:textId="33F5CA3D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2 400 00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4137B8D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A77CA5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09971D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Alemania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9B1654E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Alemania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588222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4E7CB0AC" w14:textId="77777777" w:rsidTr="001B0C83">
        <w:trPr>
          <w:cantSplit/>
          <w:jc w:val="center"/>
        </w:trPr>
        <w:tc>
          <w:tcPr>
            <w:tcW w:w="1413" w:type="dxa"/>
          </w:tcPr>
          <w:p w14:paraId="793014B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4497E7C1" w14:textId="4A483CB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12A2BC5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8203EA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</w:t>
            </w:r>
          </w:p>
        </w:tc>
        <w:tc>
          <w:tcPr>
            <w:tcW w:w="4039" w:type="dxa"/>
          </w:tcPr>
          <w:p w14:paraId="58107FD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Hellenic Telecommunications Org. S.A.</w:t>
            </w:r>
          </w:p>
        </w:tc>
        <w:tc>
          <w:tcPr>
            <w:tcW w:w="1620" w:type="dxa"/>
          </w:tcPr>
          <w:p w14:paraId="0C04EF3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Grecia</w:t>
            </w:r>
          </w:p>
        </w:tc>
        <w:tc>
          <w:tcPr>
            <w:tcW w:w="1350" w:type="dxa"/>
          </w:tcPr>
          <w:p w14:paraId="3458D1F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2093A7DC" w14:textId="77777777" w:rsidTr="001B0C83">
        <w:trPr>
          <w:cantSplit/>
          <w:jc w:val="center"/>
        </w:trPr>
        <w:tc>
          <w:tcPr>
            <w:tcW w:w="1413" w:type="dxa"/>
          </w:tcPr>
          <w:p w14:paraId="2092A78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3532A9BC" w14:textId="70D68E00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73A65F25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509D0414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</w:t>
            </w:r>
          </w:p>
        </w:tc>
        <w:tc>
          <w:tcPr>
            <w:tcW w:w="4039" w:type="dxa"/>
          </w:tcPr>
          <w:p w14:paraId="32B2540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Hellenic Telecommunications Org. S.A.</w:t>
            </w:r>
          </w:p>
        </w:tc>
        <w:tc>
          <w:tcPr>
            <w:tcW w:w="1620" w:type="dxa"/>
          </w:tcPr>
          <w:p w14:paraId="7E4D4A9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Grecia</w:t>
            </w:r>
          </w:p>
        </w:tc>
        <w:tc>
          <w:tcPr>
            <w:tcW w:w="1350" w:type="dxa"/>
          </w:tcPr>
          <w:p w14:paraId="7633140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F27C04F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B9B64A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3708027" w14:textId="7F804F03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1 200 00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F14830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C6B223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50B99F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Grecia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91DEBB4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Grecia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BE8057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F47482E" w14:textId="77777777" w:rsidTr="001B0C83">
        <w:trPr>
          <w:cantSplit/>
          <w:jc w:val="center"/>
        </w:trPr>
        <w:tc>
          <w:tcPr>
            <w:tcW w:w="1413" w:type="dxa"/>
          </w:tcPr>
          <w:p w14:paraId="63099B78" w14:textId="77777777" w:rsidR="00632D1C" w:rsidRPr="00B32B55" w:rsidRDefault="00632D1C" w:rsidP="00B32B55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lastRenderedPageBreak/>
              <w:t>2024</w:t>
            </w:r>
          </w:p>
        </w:tc>
        <w:tc>
          <w:tcPr>
            <w:tcW w:w="2551" w:type="dxa"/>
          </w:tcPr>
          <w:p w14:paraId="029E45B4" w14:textId="689BD6CF" w:rsidR="00632D1C" w:rsidRPr="00B32B55" w:rsidRDefault="00632D1C" w:rsidP="00B32B55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800 00</w:t>
            </w:r>
          </w:p>
        </w:tc>
        <w:tc>
          <w:tcPr>
            <w:tcW w:w="1134" w:type="dxa"/>
          </w:tcPr>
          <w:p w14:paraId="0CE4CE94" w14:textId="77777777" w:rsidR="00632D1C" w:rsidRPr="00B32B55" w:rsidRDefault="00632D1C" w:rsidP="00B32B55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0D5C27C" w14:textId="77777777" w:rsidR="00632D1C" w:rsidRPr="00B32B55" w:rsidRDefault="00632D1C" w:rsidP="00B32B55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6392DACA" w14:textId="77777777" w:rsidR="00632D1C" w:rsidRPr="00B32B55" w:rsidRDefault="00632D1C" w:rsidP="00B32B55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Telefónica de Argentina S.A.</w:t>
            </w:r>
          </w:p>
        </w:tc>
        <w:tc>
          <w:tcPr>
            <w:tcW w:w="1620" w:type="dxa"/>
          </w:tcPr>
          <w:p w14:paraId="13E05A71" w14:textId="77777777" w:rsidR="00632D1C" w:rsidRPr="00B32B55" w:rsidRDefault="00632D1C" w:rsidP="00B32B55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Argentina</w:t>
            </w:r>
          </w:p>
        </w:tc>
        <w:tc>
          <w:tcPr>
            <w:tcW w:w="1350" w:type="dxa"/>
          </w:tcPr>
          <w:p w14:paraId="20FA5979" w14:textId="77777777" w:rsidR="00632D1C" w:rsidRPr="00B32B55" w:rsidRDefault="00632D1C" w:rsidP="00B32B55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3F4190F7" w14:textId="77777777" w:rsidTr="001B0C83">
        <w:trPr>
          <w:cantSplit/>
          <w:jc w:val="center"/>
        </w:trPr>
        <w:tc>
          <w:tcPr>
            <w:tcW w:w="1413" w:type="dxa"/>
          </w:tcPr>
          <w:p w14:paraId="2CA8E2A8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2020</w:t>
            </w:r>
          </w:p>
        </w:tc>
        <w:tc>
          <w:tcPr>
            <w:tcW w:w="2551" w:type="dxa"/>
          </w:tcPr>
          <w:p w14:paraId="660C079E" w14:textId="58EF7D98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200 00</w:t>
            </w:r>
          </w:p>
        </w:tc>
        <w:tc>
          <w:tcPr>
            <w:tcW w:w="1134" w:type="dxa"/>
          </w:tcPr>
          <w:p w14:paraId="768D2843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204E99D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</w:t>
            </w:r>
          </w:p>
        </w:tc>
        <w:tc>
          <w:tcPr>
            <w:tcW w:w="4039" w:type="dxa"/>
          </w:tcPr>
          <w:p w14:paraId="026F83A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Telefónica de Argentina S.A.</w:t>
            </w:r>
          </w:p>
        </w:tc>
        <w:tc>
          <w:tcPr>
            <w:tcW w:w="1620" w:type="dxa"/>
          </w:tcPr>
          <w:p w14:paraId="0B195A6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Argentina</w:t>
            </w:r>
          </w:p>
        </w:tc>
        <w:tc>
          <w:tcPr>
            <w:tcW w:w="1350" w:type="dxa"/>
          </w:tcPr>
          <w:p w14:paraId="66AE13F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F22DF26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16329E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44B320C" w14:textId="3108AF08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1 000 00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CBD9DD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E71D584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01907D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Argentina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B4D8EC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Argentina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6A53F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45700421" w14:textId="77777777" w:rsidTr="001B0C83">
        <w:trPr>
          <w:cantSplit/>
          <w:jc w:val="center"/>
        </w:trPr>
        <w:tc>
          <w:tcPr>
            <w:tcW w:w="1413" w:type="dxa"/>
          </w:tcPr>
          <w:p w14:paraId="27D7A12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164E21D3" w14:textId="2B5C743C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4E744829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5E0122B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6C9C92F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Vodafone New Zealand</w:t>
            </w:r>
          </w:p>
        </w:tc>
        <w:tc>
          <w:tcPr>
            <w:tcW w:w="1620" w:type="dxa"/>
          </w:tcPr>
          <w:p w14:paraId="4DBE6C6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Nueva Zelandia</w:t>
            </w:r>
          </w:p>
        </w:tc>
        <w:tc>
          <w:tcPr>
            <w:tcW w:w="1350" w:type="dxa"/>
          </w:tcPr>
          <w:p w14:paraId="1D50F26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388C122C" w14:textId="77777777" w:rsidTr="001B0C83">
        <w:trPr>
          <w:cantSplit/>
          <w:jc w:val="center"/>
        </w:trPr>
        <w:tc>
          <w:tcPr>
            <w:tcW w:w="1413" w:type="dxa"/>
          </w:tcPr>
          <w:p w14:paraId="755B2DF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46005878" w14:textId="081FBA90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164EBC5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59C8A7B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41797CF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Vodafone New Zealand</w:t>
            </w:r>
          </w:p>
        </w:tc>
        <w:tc>
          <w:tcPr>
            <w:tcW w:w="1620" w:type="dxa"/>
          </w:tcPr>
          <w:p w14:paraId="6CBB888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Nueva Zelandia</w:t>
            </w:r>
          </w:p>
        </w:tc>
        <w:tc>
          <w:tcPr>
            <w:tcW w:w="1350" w:type="dxa"/>
          </w:tcPr>
          <w:p w14:paraId="7171DF2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0895874E" w14:textId="77777777" w:rsidTr="001B0C83">
        <w:trPr>
          <w:cantSplit/>
          <w:jc w:val="center"/>
        </w:trPr>
        <w:tc>
          <w:tcPr>
            <w:tcW w:w="1413" w:type="dxa"/>
          </w:tcPr>
          <w:p w14:paraId="70A204D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129F8FCF" w14:textId="235AC9E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0E5CAF93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14C856CC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64B69305" w14:textId="77777777" w:rsidR="00632D1C" w:rsidRPr="00B32B55" w:rsidRDefault="00632D1C" w:rsidP="00632D1C">
            <w:pPr>
              <w:pStyle w:val="Tabletext"/>
              <w:rPr>
                <w:sz w:val="20"/>
                <w:lang w:val="en-US"/>
              </w:rPr>
            </w:pPr>
            <w:r w:rsidRPr="00B32B55">
              <w:rPr>
                <w:sz w:val="20"/>
                <w:lang w:val="en-US"/>
              </w:rPr>
              <w:t>Symbio Networks New Zealand Ltd.</w:t>
            </w:r>
          </w:p>
        </w:tc>
        <w:tc>
          <w:tcPr>
            <w:tcW w:w="1620" w:type="dxa"/>
          </w:tcPr>
          <w:p w14:paraId="4B33088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Nueva Zelandia</w:t>
            </w:r>
          </w:p>
        </w:tc>
        <w:tc>
          <w:tcPr>
            <w:tcW w:w="1350" w:type="dxa"/>
          </w:tcPr>
          <w:p w14:paraId="7FDAD11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5B8A406A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B74645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B398556" w14:textId="55DC0213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800 00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8BD35A5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DBFC918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192628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Nueva Zelandia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D9BEF6" w14:textId="77777777" w:rsidR="00632D1C" w:rsidRPr="00B32B55" w:rsidRDefault="00632D1C" w:rsidP="00632D1C">
            <w:pPr>
              <w:pStyle w:val="Tabletext"/>
              <w:rPr>
                <w:b/>
                <w:bCs/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Nueva Zelandia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77FC3E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10929612" w14:textId="77777777" w:rsidTr="001B0C83">
        <w:trPr>
          <w:cantSplit/>
          <w:jc w:val="center"/>
        </w:trPr>
        <w:tc>
          <w:tcPr>
            <w:tcW w:w="1413" w:type="dxa"/>
          </w:tcPr>
          <w:p w14:paraId="61D60CC1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6BB437AE" w14:textId="1BCAEC51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7BC8F9CE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68244DBE" w14:textId="77777777" w:rsidR="00632D1C" w:rsidRPr="00B32B55" w:rsidRDefault="00632D1C" w:rsidP="00D1176A">
            <w:pPr>
              <w:pStyle w:val="Tabletext"/>
              <w:keepNext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53C7603E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Empresa Hondureña de Telecomunicaciones (HONDUTEL)</w:t>
            </w:r>
          </w:p>
        </w:tc>
        <w:tc>
          <w:tcPr>
            <w:tcW w:w="1620" w:type="dxa"/>
          </w:tcPr>
          <w:p w14:paraId="22C40BC8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Honduras</w:t>
            </w:r>
          </w:p>
        </w:tc>
        <w:tc>
          <w:tcPr>
            <w:tcW w:w="1350" w:type="dxa"/>
          </w:tcPr>
          <w:p w14:paraId="5604C8A7" w14:textId="77777777" w:rsidR="00632D1C" w:rsidRPr="00B32B55" w:rsidRDefault="00632D1C" w:rsidP="00D1176A">
            <w:pPr>
              <w:pStyle w:val="Tabletext"/>
              <w:keepNext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6A40C796" w14:textId="77777777" w:rsidTr="001B0C83">
        <w:trPr>
          <w:cantSplit/>
          <w:jc w:val="center"/>
        </w:trPr>
        <w:tc>
          <w:tcPr>
            <w:tcW w:w="1413" w:type="dxa"/>
          </w:tcPr>
          <w:p w14:paraId="6293FD7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62709327" w14:textId="59FB746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13CA2AD8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DDA549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4BED1B6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Empresa Hondureña de Telecomunicaciones (HONDUTEL)</w:t>
            </w:r>
          </w:p>
        </w:tc>
        <w:tc>
          <w:tcPr>
            <w:tcW w:w="1620" w:type="dxa"/>
          </w:tcPr>
          <w:p w14:paraId="6241D8E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Honduras</w:t>
            </w:r>
          </w:p>
        </w:tc>
        <w:tc>
          <w:tcPr>
            <w:tcW w:w="1350" w:type="dxa"/>
          </w:tcPr>
          <w:p w14:paraId="132AC12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16F5829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235BE33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2CE9C44" w14:textId="137E1A3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700 00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4DD290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7393D3D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934121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Honduras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A5D9F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Honduras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EA8812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3810AC3" w14:textId="77777777" w:rsidTr="001B0C83">
        <w:trPr>
          <w:cantSplit/>
          <w:jc w:val="center"/>
        </w:trPr>
        <w:tc>
          <w:tcPr>
            <w:tcW w:w="1413" w:type="dxa"/>
          </w:tcPr>
          <w:p w14:paraId="1795F01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6E27877A" w14:textId="6BBA0D1E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7D854236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7C4A0B3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3F9D826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 xml:space="preserve">Telecom Itália Móbile S.p.A. (TIM) </w:t>
            </w:r>
            <w:r w:rsidRPr="00B32B55">
              <w:rPr>
                <w:sz w:val="20"/>
                <w:lang w:val="es-ES"/>
              </w:rPr>
              <w:br/>
              <w:t>(antes INTELIG Telecomunicações Ltda.)</w:t>
            </w:r>
          </w:p>
        </w:tc>
        <w:tc>
          <w:tcPr>
            <w:tcW w:w="1620" w:type="dxa"/>
          </w:tcPr>
          <w:p w14:paraId="18A10E5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Brasil</w:t>
            </w:r>
          </w:p>
        </w:tc>
        <w:tc>
          <w:tcPr>
            <w:tcW w:w="1350" w:type="dxa"/>
          </w:tcPr>
          <w:p w14:paraId="75AF5C9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6F95BF3A" w14:textId="77777777" w:rsidTr="001B0C83">
        <w:trPr>
          <w:cantSplit/>
          <w:jc w:val="center"/>
        </w:trPr>
        <w:tc>
          <w:tcPr>
            <w:tcW w:w="1413" w:type="dxa"/>
          </w:tcPr>
          <w:p w14:paraId="6886D44C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178B524F" w14:textId="27FC885B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56E16D5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212CE89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52E2D87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 xml:space="preserve">Telecom Itália Móbile S.p.A. (TIM) </w:t>
            </w:r>
            <w:r w:rsidRPr="00B32B55">
              <w:rPr>
                <w:sz w:val="20"/>
                <w:lang w:val="es-ES"/>
              </w:rPr>
              <w:br/>
              <w:t>(antes INTELIG Telecomunicações Ltda.)</w:t>
            </w:r>
          </w:p>
        </w:tc>
        <w:tc>
          <w:tcPr>
            <w:tcW w:w="1620" w:type="dxa"/>
          </w:tcPr>
          <w:p w14:paraId="63974C9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Brasil</w:t>
            </w:r>
          </w:p>
        </w:tc>
        <w:tc>
          <w:tcPr>
            <w:tcW w:w="1350" w:type="dxa"/>
          </w:tcPr>
          <w:p w14:paraId="3E62CE6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72FD3752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ED6048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378EE56" w14:textId="2DE29461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700 00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5C28A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790F04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E5EAA8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Brasil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0C216D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Brasil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0F285A2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ECDCA73" w14:textId="77777777" w:rsidTr="001B0C83">
        <w:trPr>
          <w:cantSplit/>
          <w:jc w:val="center"/>
        </w:trPr>
        <w:tc>
          <w:tcPr>
            <w:tcW w:w="1413" w:type="dxa"/>
          </w:tcPr>
          <w:p w14:paraId="774029B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738D50A2" w14:textId="3A5E4FCC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700 00</w:t>
            </w:r>
          </w:p>
        </w:tc>
        <w:tc>
          <w:tcPr>
            <w:tcW w:w="1134" w:type="dxa"/>
          </w:tcPr>
          <w:p w14:paraId="0F5B3A23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39D1F7C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7</w:t>
            </w:r>
          </w:p>
        </w:tc>
        <w:tc>
          <w:tcPr>
            <w:tcW w:w="4039" w:type="dxa"/>
          </w:tcPr>
          <w:p w14:paraId="471A72F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Cable &amp; Wireless Panamá S.A.</w:t>
            </w:r>
          </w:p>
        </w:tc>
        <w:tc>
          <w:tcPr>
            <w:tcW w:w="1620" w:type="dxa"/>
          </w:tcPr>
          <w:p w14:paraId="5CB85A7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Panamá</w:t>
            </w:r>
          </w:p>
        </w:tc>
        <w:tc>
          <w:tcPr>
            <w:tcW w:w="1350" w:type="dxa"/>
          </w:tcPr>
          <w:p w14:paraId="277496E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A076F31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77DC6FE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EBDA764" w14:textId="5196FDAE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700 00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CB8344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6779CA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5C24B9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Panamá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9DA1F1F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Panamá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FE89E2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13075594" w14:textId="77777777" w:rsidTr="001B0C83">
        <w:trPr>
          <w:cantSplit/>
          <w:jc w:val="center"/>
        </w:trPr>
        <w:tc>
          <w:tcPr>
            <w:tcW w:w="1413" w:type="dxa"/>
          </w:tcPr>
          <w:p w14:paraId="3A4199C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01B4F4C9" w14:textId="0D43050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300 00</w:t>
            </w:r>
          </w:p>
        </w:tc>
        <w:tc>
          <w:tcPr>
            <w:tcW w:w="1134" w:type="dxa"/>
          </w:tcPr>
          <w:p w14:paraId="161F6ACF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4E514BFC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</w:t>
            </w:r>
          </w:p>
        </w:tc>
        <w:tc>
          <w:tcPr>
            <w:tcW w:w="4039" w:type="dxa"/>
          </w:tcPr>
          <w:p w14:paraId="1FDCE9A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Mass Response Service GmbH</w:t>
            </w:r>
          </w:p>
        </w:tc>
        <w:tc>
          <w:tcPr>
            <w:tcW w:w="1620" w:type="dxa"/>
          </w:tcPr>
          <w:p w14:paraId="78FC5CB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Austria</w:t>
            </w:r>
          </w:p>
        </w:tc>
        <w:tc>
          <w:tcPr>
            <w:tcW w:w="1350" w:type="dxa"/>
          </w:tcPr>
          <w:p w14:paraId="047EE44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45BD1B69" w14:textId="77777777" w:rsidTr="001B0C83">
        <w:trPr>
          <w:cantSplit/>
          <w:jc w:val="center"/>
        </w:trPr>
        <w:tc>
          <w:tcPr>
            <w:tcW w:w="1413" w:type="dxa"/>
          </w:tcPr>
          <w:p w14:paraId="1B6AB894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6837C6E0" w14:textId="2D93AFE2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300 00</w:t>
            </w:r>
          </w:p>
        </w:tc>
        <w:tc>
          <w:tcPr>
            <w:tcW w:w="1134" w:type="dxa"/>
          </w:tcPr>
          <w:p w14:paraId="3ED579A9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1EA90CA8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</w:t>
            </w:r>
          </w:p>
        </w:tc>
        <w:tc>
          <w:tcPr>
            <w:tcW w:w="4039" w:type="dxa"/>
          </w:tcPr>
          <w:p w14:paraId="56574EB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Mass Response Service GmbH</w:t>
            </w:r>
          </w:p>
        </w:tc>
        <w:tc>
          <w:tcPr>
            <w:tcW w:w="1620" w:type="dxa"/>
          </w:tcPr>
          <w:p w14:paraId="6E739978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Austria</w:t>
            </w:r>
          </w:p>
        </w:tc>
        <w:tc>
          <w:tcPr>
            <w:tcW w:w="1350" w:type="dxa"/>
          </w:tcPr>
          <w:p w14:paraId="63D38C6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77634E84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2D1718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7FBF39F" w14:textId="4B4CFECD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600 00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7BDF67A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DA57D63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0C81B5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Austria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CE241C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Austria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A4C2CE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5BBB3058" w14:textId="77777777" w:rsidTr="001B0C83">
        <w:trPr>
          <w:cantSplit/>
          <w:jc w:val="center"/>
        </w:trPr>
        <w:tc>
          <w:tcPr>
            <w:tcW w:w="1413" w:type="dxa"/>
          </w:tcPr>
          <w:p w14:paraId="37C80B6D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2024</w:t>
            </w:r>
          </w:p>
        </w:tc>
        <w:tc>
          <w:tcPr>
            <w:tcW w:w="2551" w:type="dxa"/>
          </w:tcPr>
          <w:p w14:paraId="106B169D" w14:textId="6C1C1504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600 00</w:t>
            </w:r>
          </w:p>
        </w:tc>
        <w:tc>
          <w:tcPr>
            <w:tcW w:w="1134" w:type="dxa"/>
          </w:tcPr>
          <w:p w14:paraId="774F397B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355D299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–</w:t>
            </w:r>
          </w:p>
        </w:tc>
        <w:tc>
          <w:tcPr>
            <w:tcW w:w="4039" w:type="dxa"/>
          </w:tcPr>
          <w:p w14:paraId="52110362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Telecable de Asturias S.A.</w:t>
            </w:r>
          </w:p>
        </w:tc>
        <w:tc>
          <w:tcPr>
            <w:tcW w:w="1620" w:type="dxa"/>
          </w:tcPr>
          <w:p w14:paraId="71BBA0A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España</w:t>
            </w:r>
          </w:p>
        </w:tc>
        <w:tc>
          <w:tcPr>
            <w:tcW w:w="1350" w:type="dxa"/>
          </w:tcPr>
          <w:p w14:paraId="460F805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ATRASOS*</w:t>
            </w:r>
          </w:p>
        </w:tc>
      </w:tr>
      <w:tr w:rsidR="00632D1C" w:rsidRPr="00B32B55" w14:paraId="33F24D27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73A764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8D8B1F3" w14:textId="3829E118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600 00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2F928B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8159B1E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FEC7F5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España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EDE750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España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73CD63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74AF6129" w14:textId="77777777" w:rsidTr="001B0C83">
        <w:trPr>
          <w:cantSplit/>
          <w:jc w:val="center"/>
        </w:trPr>
        <w:tc>
          <w:tcPr>
            <w:tcW w:w="1413" w:type="dxa"/>
          </w:tcPr>
          <w:p w14:paraId="718696D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2018</w:t>
            </w:r>
          </w:p>
        </w:tc>
        <w:tc>
          <w:tcPr>
            <w:tcW w:w="2551" w:type="dxa"/>
          </w:tcPr>
          <w:p w14:paraId="53560030" w14:textId="49FD7EC0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255206EF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56E0BBF7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3</w:t>
            </w:r>
          </w:p>
        </w:tc>
        <w:tc>
          <w:tcPr>
            <w:tcW w:w="4039" w:type="dxa"/>
          </w:tcPr>
          <w:p w14:paraId="0697D4F7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Telefónica del Perú</w:t>
            </w:r>
          </w:p>
        </w:tc>
        <w:tc>
          <w:tcPr>
            <w:tcW w:w="1620" w:type="dxa"/>
          </w:tcPr>
          <w:p w14:paraId="09D1C03B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Perú</w:t>
            </w:r>
          </w:p>
        </w:tc>
        <w:tc>
          <w:tcPr>
            <w:tcW w:w="1350" w:type="dxa"/>
          </w:tcPr>
          <w:p w14:paraId="4EC8494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40596E4A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72F4939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C18D5C4" w14:textId="570AD52C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100</w:t>
            </w:r>
            <w:r w:rsidRPr="00B32B55">
              <w:rPr>
                <w:b/>
                <w:sz w:val="20"/>
                <w:lang w:val="es-ES"/>
              </w:rPr>
              <w:t>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CD93AD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CA714AA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20D075CE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Perú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8443494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Perú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BA1FC5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6F41BDA2" w14:textId="77777777" w:rsidTr="001B0C83">
        <w:trPr>
          <w:cantSplit/>
          <w:jc w:val="center"/>
        </w:trPr>
        <w:tc>
          <w:tcPr>
            <w:tcW w:w="1413" w:type="dxa"/>
          </w:tcPr>
          <w:p w14:paraId="41E8F602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lastRenderedPageBreak/>
              <w:t>2024</w:t>
            </w:r>
          </w:p>
        </w:tc>
        <w:tc>
          <w:tcPr>
            <w:tcW w:w="2551" w:type="dxa"/>
          </w:tcPr>
          <w:p w14:paraId="21327E80" w14:textId="152C612E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292BAAD3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B452E9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7818BA0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Elisa Eesti AS</w:t>
            </w:r>
          </w:p>
        </w:tc>
        <w:tc>
          <w:tcPr>
            <w:tcW w:w="1620" w:type="dxa"/>
          </w:tcPr>
          <w:p w14:paraId="67A4BB3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Estonia</w:t>
            </w:r>
          </w:p>
        </w:tc>
        <w:tc>
          <w:tcPr>
            <w:tcW w:w="1350" w:type="dxa"/>
          </w:tcPr>
          <w:p w14:paraId="35ADFFF9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19A03594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4814E94F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5476678" w14:textId="202296FA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100 00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330393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31D1383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D828531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Estonia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33CABA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Estonia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990F8A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845536A" w14:textId="77777777" w:rsidTr="001B0C83">
        <w:trPr>
          <w:cantSplit/>
          <w:jc w:val="center"/>
        </w:trPr>
        <w:tc>
          <w:tcPr>
            <w:tcW w:w="1413" w:type="dxa"/>
          </w:tcPr>
          <w:p w14:paraId="32341B80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2025</w:t>
            </w:r>
          </w:p>
        </w:tc>
        <w:tc>
          <w:tcPr>
            <w:tcW w:w="2551" w:type="dxa"/>
          </w:tcPr>
          <w:p w14:paraId="140FC1D6" w14:textId="1F503C4E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100 00</w:t>
            </w:r>
          </w:p>
        </w:tc>
        <w:tc>
          <w:tcPr>
            <w:tcW w:w="1134" w:type="dxa"/>
          </w:tcPr>
          <w:p w14:paraId="3B8BFB65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CHF</w:t>
            </w:r>
          </w:p>
        </w:tc>
        <w:tc>
          <w:tcPr>
            <w:tcW w:w="1748" w:type="dxa"/>
          </w:tcPr>
          <w:p w14:paraId="04382491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1</w:t>
            </w:r>
          </w:p>
        </w:tc>
        <w:tc>
          <w:tcPr>
            <w:tcW w:w="4039" w:type="dxa"/>
          </w:tcPr>
          <w:p w14:paraId="78DF7E1A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JSC Kazakhtelecom</w:t>
            </w:r>
          </w:p>
        </w:tc>
        <w:tc>
          <w:tcPr>
            <w:tcW w:w="1620" w:type="dxa"/>
          </w:tcPr>
          <w:p w14:paraId="30F5AAD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sz w:val="20"/>
                <w:lang w:val="es-ES"/>
              </w:rPr>
              <w:t>Kazajstán</w:t>
            </w:r>
          </w:p>
        </w:tc>
        <w:tc>
          <w:tcPr>
            <w:tcW w:w="1350" w:type="dxa"/>
          </w:tcPr>
          <w:p w14:paraId="5BA73266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0F51483A" w14:textId="77777777" w:rsidTr="001B0C83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69DD39C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FCBFA29" w14:textId="2B71C8CB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100 00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48E5B6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AA169D5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D65EDBD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Subtotal — Kazajstán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A5E51F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Kazajstán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F7A3BB3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  <w:tr w:rsidR="00632D1C" w:rsidRPr="00B32B55" w14:paraId="33A1B048" w14:textId="77777777" w:rsidTr="001B0C83">
        <w:trPr>
          <w:cantSplit/>
          <w:jc w:val="center"/>
        </w:trPr>
        <w:tc>
          <w:tcPr>
            <w:tcW w:w="1413" w:type="dxa"/>
            <w:shd w:val="clear" w:color="auto" w:fill="BDD7EE"/>
          </w:tcPr>
          <w:p w14:paraId="3C4C98D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2551" w:type="dxa"/>
            <w:shd w:val="clear" w:color="auto" w:fill="BDD7EE"/>
          </w:tcPr>
          <w:p w14:paraId="61901352" w14:textId="2E2C2E0D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bCs/>
                <w:sz w:val="20"/>
                <w:lang w:val="es-ES"/>
              </w:rPr>
              <w:t>163 800 00</w:t>
            </w:r>
          </w:p>
        </w:tc>
        <w:tc>
          <w:tcPr>
            <w:tcW w:w="1134" w:type="dxa"/>
            <w:shd w:val="clear" w:color="auto" w:fill="BDD7EE"/>
          </w:tcPr>
          <w:p w14:paraId="6F4218DD" w14:textId="77777777" w:rsidR="00632D1C" w:rsidRPr="00B32B55" w:rsidRDefault="00632D1C" w:rsidP="005C35FE">
            <w:pPr>
              <w:pStyle w:val="Tabletext"/>
              <w:jc w:val="center"/>
              <w:rPr>
                <w:sz w:val="20"/>
                <w:lang w:val="es-ES"/>
              </w:rPr>
            </w:pPr>
            <w:r w:rsidRPr="00B32B55">
              <w:rPr>
                <w:b/>
                <w:sz w:val="20"/>
                <w:lang w:val="es-ES"/>
              </w:rPr>
              <w:t>CHF</w:t>
            </w:r>
          </w:p>
        </w:tc>
        <w:tc>
          <w:tcPr>
            <w:tcW w:w="1748" w:type="dxa"/>
            <w:shd w:val="clear" w:color="auto" w:fill="BDD7EE"/>
          </w:tcPr>
          <w:p w14:paraId="55C0BB96" w14:textId="77777777" w:rsidR="00632D1C" w:rsidRPr="00B32B55" w:rsidRDefault="00632D1C" w:rsidP="00632D1C">
            <w:pPr>
              <w:pStyle w:val="Tabletext"/>
              <w:jc w:val="center"/>
              <w:rPr>
                <w:sz w:val="20"/>
                <w:lang w:val="es-ES"/>
              </w:rPr>
            </w:pPr>
          </w:p>
        </w:tc>
        <w:tc>
          <w:tcPr>
            <w:tcW w:w="4039" w:type="dxa"/>
            <w:shd w:val="clear" w:color="auto" w:fill="BDD7EE"/>
          </w:tcPr>
          <w:p w14:paraId="5DE95982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  <w:proofErr w:type="gramStart"/>
            <w:r w:rsidRPr="00B32B55">
              <w:rPr>
                <w:b/>
                <w:sz w:val="20"/>
                <w:lang w:val="es-ES"/>
              </w:rPr>
              <w:t>Total</w:t>
            </w:r>
            <w:proofErr w:type="gramEnd"/>
            <w:r w:rsidRPr="00B32B55">
              <w:rPr>
                <w:b/>
                <w:sz w:val="20"/>
                <w:lang w:val="es-ES"/>
              </w:rPr>
              <w:t xml:space="preserve"> general</w:t>
            </w:r>
          </w:p>
        </w:tc>
        <w:tc>
          <w:tcPr>
            <w:tcW w:w="1620" w:type="dxa"/>
            <w:shd w:val="clear" w:color="auto" w:fill="BDD7EE"/>
          </w:tcPr>
          <w:p w14:paraId="5C1BBF45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  <w:tc>
          <w:tcPr>
            <w:tcW w:w="1350" w:type="dxa"/>
            <w:shd w:val="clear" w:color="auto" w:fill="BDD7EE"/>
          </w:tcPr>
          <w:p w14:paraId="2F859B40" w14:textId="77777777" w:rsidR="00632D1C" w:rsidRPr="00B32B55" w:rsidRDefault="00632D1C" w:rsidP="00632D1C">
            <w:pPr>
              <w:pStyle w:val="Tabletext"/>
              <w:rPr>
                <w:sz w:val="20"/>
                <w:lang w:val="es-ES"/>
              </w:rPr>
            </w:pPr>
          </w:p>
        </w:tc>
      </w:tr>
    </w:tbl>
    <w:p w14:paraId="4D7A64AD" w14:textId="7121D911" w:rsidR="004C0BCA" w:rsidRPr="00EB733F" w:rsidRDefault="00632D1C" w:rsidP="00632D1C">
      <w:pPr>
        <w:pStyle w:val="Tablelegend"/>
        <w:rPr>
          <w:lang w:val="es-ES"/>
        </w:rPr>
      </w:pPr>
      <w:r w:rsidRPr="00EB733F">
        <w:rPr>
          <w:lang w:val="es-ES"/>
        </w:rPr>
        <w:t>*</w:t>
      </w:r>
      <w:r w:rsidR="00D1176A">
        <w:rPr>
          <w:lang w:val="es-ES"/>
        </w:rPr>
        <w:tab/>
      </w:r>
      <w:r w:rsidRPr="00EB733F">
        <w:rPr>
          <w:lang w:val="es-ES"/>
        </w:rPr>
        <w:t>ATRASOS: Refleja las facturas emitidas a finales de 2024 a entidades que no han pagado en años anteriores.</w:t>
      </w:r>
    </w:p>
    <w:p w14:paraId="275F6A35" w14:textId="77777777" w:rsidR="00F92BED" w:rsidRPr="00EB733F" w:rsidRDefault="00F92BED" w:rsidP="0032202E">
      <w:pPr>
        <w:pStyle w:val="Reasons"/>
        <w:rPr>
          <w:lang w:val="es-ES"/>
        </w:rPr>
      </w:pPr>
    </w:p>
    <w:p w14:paraId="127A3964" w14:textId="77777777" w:rsidR="00F92BED" w:rsidRPr="00EB733F" w:rsidRDefault="00F92BED" w:rsidP="00F92BED">
      <w:pPr>
        <w:jc w:val="center"/>
        <w:rPr>
          <w:lang w:val="es-ES"/>
        </w:rPr>
      </w:pPr>
      <w:r w:rsidRPr="00EB733F">
        <w:rPr>
          <w:lang w:val="es-ES"/>
        </w:rPr>
        <w:t>______________</w:t>
      </w:r>
    </w:p>
    <w:sectPr w:rsidR="00F92BED" w:rsidRPr="00EB733F" w:rsidSect="000404E2">
      <w:headerReference w:type="first" r:id="rId36"/>
      <w:footerReference w:type="first" r:id="rId37"/>
      <w:pgSz w:w="16834" w:h="11907" w:orient="landscape"/>
      <w:pgMar w:top="1418" w:right="1418" w:bottom="1418" w:left="1418" w:header="720" w:footer="720" w:gutter="0"/>
      <w:paperSrc w:first="286" w:other="28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0B9C" w14:textId="77777777" w:rsidR="00E87246" w:rsidRDefault="00E87246">
      <w:r>
        <w:separator/>
      </w:r>
    </w:p>
  </w:endnote>
  <w:endnote w:type="continuationSeparator" w:id="0">
    <w:p w14:paraId="6FE9F055" w14:textId="77777777" w:rsidR="00E87246" w:rsidRDefault="00E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6A6874B3" w14:textId="77777777" w:rsidTr="00E31DCE">
      <w:trPr>
        <w:jc w:val="center"/>
      </w:trPr>
      <w:tc>
        <w:tcPr>
          <w:tcW w:w="1803" w:type="dxa"/>
          <w:vAlign w:val="center"/>
        </w:tcPr>
        <w:p w14:paraId="6AFEA8D1" w14:textId="77777777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469F5ABA" w14:textId="5158D100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881087">
            <w:rPr>
              <w:bCs/>
            </w:rPr>
            <w:t>38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51DCC8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2EBE267C" w14:textId="77777777" w:rsidTr="00E31DCE">
      <w:trPr>
        <w:jc w:val="center"/>
      </w:trPr>
      <w:tc>
        <w:tcPr>
          <w:tcW w:w="1803" w:type="dxa"/>
          <w:vAlign w:val="center"/>
        </w:tcPr>
        <w:p w14:paraId="4ACEE99C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7EE4E8A6" w14:textId="259588D6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881087">
            <w:rPr>
              <w:bCs/>
            </w:rPr>
            <w:t>38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FD73864" w14:textId="77777777" w:rsidR="00760F1C" w:rsidRPr="00F24B71" w:rsidRDefault="00760F1C" w:rsidP="00F24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C0BCA" w:rsidRPr="00784011" w14:paraId="6F40D0D9" w14:textId="77777777" w:rsidTr="00E31DCE">
      <w:trPr>
        <w:jc w:val="center"/>
      </w:trPr>
      <w:tc>
        <w:tcPr>
          <w:tcW w:w="1803" w:type="dxa"/>
          <w:vAlign w:val="center"/>
        </w:tcPr>
        <w:p w14:paraId="171DDB5A" w14:textId="77777777" w:rsidR="004C0BCA" w:rsidRPr="002946E2" w:rsidRDefault="004C0BCA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F74CF47" w14:textId="77777777" w:rsidR="004C0BCA" w:rsidRPr="00E06FD5" w:rsidRDefault="004C0BCA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38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49910FD" w14:textId="77777777" w:rsidR="004C0BCA" w:rsidRPr="00F24B71" w:rsidRDefault="004C0BCA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6566" w14:textId="77777777" w:rsidR="00E87246" w:rsidRDefault="00E87246">
      <w:r>
        <w:t>____________________</w:t>
      </w:r>
    </w:p>
  </w:footnote>
  <w:footnote w:type="continuationSeparator" w:id="0">
    <w:p w14:paraId="062D17E5" w14:textId="77777777" w:rsidR="00E87246" w:rsidRDefault="00E8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35CC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1A28F7DF" wp14:editId="30B9DEE2">
          <wp:extent cx="5760085" cy="84074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11E0" w14:textId="1F2D9301" w:rsidR="004C0BCA" w:rsidRPr="00B1560D" w:rsidRDefault="004C0BCA" w:rsidP="00B15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46"/>
    <w:rsid w:val="000007D1"/>
    <w:rsid w:val="000404E2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736D8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C0BCA"/>
    <w:rsid w:val="004D3A3C"/>
    <w:rsid w:val="00513630"/>
    <w:rsid w:val="00525D4D"/>
    <w:rsid w:val="00560125"/>
    <w:rsid w:val="00585553"/>
    <w:rsid w:val="005B34D9"/>
    <w:rsid w:val="005C35FE"/>
    <w:rsid w:val="005D0CCF"/>
    <w:rsid w:val="005E627B"/>
    <w:rsid w:val="005F0915"/>
    <w:rsid w:val="005F3BCB"/>
    <w:rsid w:val="005F410F"/>
    <w:rsid w:val="0060149A"/>
    <w:rsid w:val="00601924"/>
    <w:rsid w:val="00632D1C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96E9D"/>
    <w:rsid w:val="007E5DD3"/>
    <w:rsid w:val="007F350B"/>
    <w:rsid w:val="00820BE4"/>
    <w:rsid w:val="008451E8"/>
    <w:rsid w:val="0084546D"/>
    <w:rsid w:val="00881087"/>
    <w:rsid w:val="008A0089"/>
    <w:rsid w:val="008F6ABC"/>
    <w:rsid w:val="00913B9C"/>
    <w:rsid w:val="00927F93"/>
    <w:rsid w:val="00942F92"/>
    <w:rsid w:val="00956E77"/>
    <w:rsid w:val="009A338E"/>
    <w:rsid w:val="009A76A8"/>
    <w:rsid w:val="009F4811"/>
    <w:rsid w:val="00A01F4F"/>
    <w:rsid w:val="00A109AF"/>
    <w:rsid w:val="00A431CD"/>
    <w:rsid w:val="00A94438"/>
    <w:rsid w:val="00AA390C"/>
    <w:rsid w:val="00AD5A4D"/>
    <w:rsid w:val="00AF0EAC"/>
    <w:rsid w:val="00B0200A"/>
    <w:rsid w:val="00B060DF"/>
    <w:rsid w:val="00B1560D"/>
    <w:rsid w:val="00B32B55"/>
    <w:rsid w:val="00B574DB"/>
    <w:rsid w:val="00B6750C"/>
    <w:rsid w:val="00B826C2"/>
    <w:rsid w:val="00B8298E"/>
    <w:rsid w:val="00BB6FD8"/>
    <w:rsid w:val="00BD0723"/>
    <w:rsid w:val="00BD2518"/>
    <w:rsid w:val="00BD2639"/>
    <w:rsid w:val="00BF1D1C"/>
    <w:rsid w:val="00C20C59"/>
    <w:rsid w:val="00C2727F"/>
    <w:rsid w:val="00C4421B"/>
    <w:rsid w:val="00C538FC"/>
    <w:rsid w:val="00C55B1F"/>
    <w:rsid w:val="00CF1A67"/>
    <w:rsid w:val="00D1176A"/>
    <w:rsid w:val="00D2750E"/>
    <w:rsid w:val="00D375E0"/>
    <w:rsid w:val="00D50A36"/>
    <w:rsid w:val="00D62446"/>
    <w:rsid w:val="00D71516"/>
    <w:rsid w:val="00D8143C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87246"/>
    <w:rsid w:val="00E92DE8"/>
    <w:rsid w:val="00EB1212"/>
    <w:rsid w:val="00EB733F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3004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626126"/>
  <w15:docId w15:val="{957C55E5-11B1-4C50-A1BF-1E6326C0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942F92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2"/>
      <w:lang w:val="es-ES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19-CL-C-0047/es" TargetMode="External"/><Relationship Id="rId18" Type="http://schemas.openxmlformats.org/officeDocument/2006/relationships/hyperlink" Target="https://www.itu.int/md/S21-CWGFHR14-C-0006/es" TargetMode="External"/><Relationship Id="rId26" Type="http://schemas.openxmlformats.org/officeDocument/2006/relationships/hyperlink" Target="https://www.itu.int/md/S25-CL-C-0114/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tu.int/md/S24-CL-C-0038/es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itu.int/md/S17-CL-C-0134/es" TargetMode="External"/><Relationship Id="rId12" Type="http://schemas.openxmlformats.org/officeDocument/2006/relationships/hyperlink" Target="https://www.itu.int/md/S19-CLCWGFHR09-C-0015/es" TargetMode="External"/><Relationship Id="rId17" Type="http://schemas.openxmlformats.org/officeDocument/2006/relationships/hyperlink" Target="https://view.officeapps.live.com/op/view.aspx?src=https%3A%2F%2Fwww.itu.int%2Fdms_pub%2Fitu-s%2Fmd%2F21%2Fcl%2Fc%2FS21-CL-C-0092!!MSW-s.docx&amp;wdOrigin=BROWSELINK" TargetMode="External"/><Relationship Id="rId25" Type="http://schemas.openxmlformats.org/officeDocument/2006/relationships/hyperlink" Target="https://www.itu.int/md/S25-CL-C-0038/es" TargetMode="External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tu.int/md/S21-CL-C-0047/es" TargetMode="External"/><Relationship Id="rId20" Type="http://schemas.openxmlformats.org/officeDocument/2006/relationships/hyperlink" Target="https://www.itu.int/md/S22-CL-C-0050/es" TargetMode="External"/><Relationship Id="rId29" Type="http://schemas.openxmlformats.org/officeDocument/2006/relationships/hyperlink" Target="https://www.itu.int/md/S17-CL-C-0133/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tu.int/md/S17-CL-C-0133/es" TargetMode="External"/><Relationship Id="rId11" Type="http://schemas.openxmlformats.org/officeDocument/2006/relationships/hyperlink" Target="https://www.itu.int/md/S19-CLCWGFHR09-C-0014/es" TargetMode="External"/><Relationship Id="rId24" Type="http://schemas.openxmlformats.org/officeDocument/2006/relationships/hyperlink" Target="https://www.itu.int/md/S25-CWGFHR20-C-0032/es" TargetMode="External"/><Relationship Id="rId32" Type="http://schemas.openxmlformats.org/officeDocument/2006/relationships/image" Target="media/image1.emf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itu.int/md/S20-CL-C-0047/es" TargetMode="External"/><Relationship Id="rId23" Type="http://schemas.openxmlformats.org/officeDocument/2006/relationships/hyperlink" Target="https://www.itu.int/md/S25-CWGFHR20-C-0013/es" TargetMode="External"/><Relationship Id="rId28" Type="http://schemas.openxmlformats.org/officeDocument/2006/relationships/hyperlink" Target="https://www.itu.int/md/S26-CL-C-0050/es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itu.int/md/S18-CLCWGFHRM8-C-0018/es" TargetMode="External"/><Relationship Id="rId19" Type="http://schemas.openxmlformats.org/officeDocument/2006/relationships/hyperlink" Target="https://www.itu.int/md/S21-CWGFHR14-C-0012/es" TargetMode="External"/><Relationship Id="rId31" Type="http://schemas.openxmlformats.org/officeDocument/2006/relationships/hyperlink" Target="https://www.itu.int/md/S26-CWGFHR22-C-0003/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ew.officeapps.live.com/op/view.aspx?src=https%3A%2F%2Fwww.itu.int%2Fdms_pub%2Fitu-s%2Fmd%2F18%2Fcl%2Fc%2FS18-CL-C-0121!!MSW-S.docx&amp;wdOrigin=BROWSELINK" TargetMode="External"/><Relationship Id="rId14" Type="http://schemas.openxmlformats.org/officeDocument/2006/relationships/hyperlink" Target="https://www.itu.int/md/S19-CL-C-0120/es" TargetMode="External"/><Relationship Id="rId22" Type="http://schemas.openxmlformats.org/officeDocument/2006/relationships/hyperlink" Target="https://www.itu.int/md/S24-CL-C-0120/es" TargetMode="External"/><Relationship Id="rId27" Type="http://schemas.openxmlformats.org/officeDocument/2006/relationships/hyperlink" Target="https://www.itu.int/md/S26-CWGFHR22-C-0003/es" TargetMode="External"/><Relationship Id="rId30" Type="http://schemas.openxmlformats.org/officeDocument/2006/relationships/hyperlink" Target="https://www.itu.int/md/S17-CL-C-0134/es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itu.int/md/S18-CL-C-0100/es" TargetMode="External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8</TotalTime>
  <Pages>7</Pages>
  <Words>1425</Words>
  <Characters>9234</Characters>
  <Application>Microsoft Office Word</Application>
  <DocSecurity>0</DocSecurity>
  <Lines>1319</Lines>
  <Paragraphs>968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Informe de situación sobre la aplicación de los Acuerdos 600 y 601 del Consejo (UIFN, IIN)</vt:lpstr>
    </vt:vector>
  </TitlesOfParts>
  <Manager>Secretaría General - Pool</Manager>
  <Company>International Telecommunication Union</Company>
  <LinksUpToDate>false</LinksUpToDate>
  <CharactersWithSpaces>9691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situación sobre la aplicación de los Acuerdos 600 y 601 del Consejo (UIFN, IIN)</dc:title>
  <dc:subject>Consejo 2026 de la UIT</dc:subject>
  <cp:keywords>C26; C2026; Council 2026; PP26</cp:keywords>
  <dc:description/>
  <cp:lastPrinted>2006-03-24T09:51:00Z</cp:lastPrinted>
  <dcterms:created xsi:type="dcterms:W3CDTF">2026-04-02T10:51:00Z</dcterms:created>
  <dcterms:modified xsi:type="dcterms:W3CDTF">2026-04-02T10:59:00Z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