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567BB6" w14:paraId="07F552B7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3CFDA5AF" w14:textId="1207A097" w:rsidR="00796BD3" w:rsidRPr="00567BB6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567BB6">
              <w:rPr>
                <w:b/>
                <w:lang w:val="ru-RU"/>
              </w:rPr>
              <w:t>Пункт повестки дня:</w:t>
            </w:r>
            <w:r w:rsidR="00943444" w:rsidRPr="00567BB6">
              <w:rPr>
                <w:b/>
                <w:lang w:val="ru-RU"/>
              </w:rPr>
              <w:t xml:space="preserve"> ADM 1</w:t>
            </w:r>
          </w:p>
        </w:tc>
        <w:tc>
          <w:tcPr>
            <w:tcW w:w="5245" w:type="dxa"/>
          </w:tcPr>
          <w:p w14:paraId="69CA10D9" w14:textId="2AA85ED0" w:rsidR="00796BD3" w:rsidRPr="00567BB6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567BB6">
              <w:rPr>
                <w:b/>
                <w:lang w:val="ru-RU"/>
              </w:rPr>
              <w:t xml:space="preserve">Документ </w:t>
            </w:r>
            <w:r w:rsidR="00796BD3" w:rsidRPr="00567BB6">
              <w:rPr>
                <w:b/>
                <w:lang w:val="ru-RU"/>
              </w:rPr>
              <w:t>C2</w:t>
            </w:r>
            <w:r w:rsidR="00BE00DD" w:rsidRPr="00567BB6">
              <w:rPr>
                <w:b/>
                <w:lang w:val="ru-RU"/>
              </w:rPr>
              <w:t>6</w:t>
            </w:r>
            <w:r w:rsidR="00796BD3" w:rsidRPr="00567BB6">
              <w:rPr>
                <w:b/>
                <w:lang w:val="ru-RU"/>
              </w:rPr>
              <w:t>/</w:t>
            </w:r>
            <w:r w:rsidR="00943444" w:rsidRPr="00567BB6">
              <w:rPr>
                <w:b/>
                <w:lang w:val="ru-RU"/>
              </w:rPr>
              <w:t>38</w:t>
            </w:r>
            <w:r w:rsidR="00796BD3" w:rsidRPr="00567BB6">
              <w:rPr>
                <w:b/>
                <w:lang w:val="ru-RU"/>
              </w:rPr>
              <w:t>-R</w:t>
            </w:r>
          </w:p>
        </w:tc>
      </w:tr>
      <w:tr w:rsidR="00796BD3" w:rsidRPr="00567BB6" w14:paraId="4494367D" w14:textId="77777777" w:rsidTr="00D17718">
        <w:trPr>
          <w:cantSplit/>
        </w:trPr>
        <w:tc>
          <w:tcPr>
            <w:tcW w:w="3969" w:type="dxa"/>
            <w:vMerge/>
          </w:tcPr>
          <w:p w14:paraId="6972EFF3" w14:textId="77777777" w:rsidR="00796BD3" w:rsidRPr="00567BB6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796C2354" w14:textId="57E3ACC7" w:rsidR="00796BD3" w:rsidRPr="00567BB6" w:rsidRDefault="00943444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567BB6">
              <w:rPr>
                <w:b/>
                <w:lang w:val="ru-RU"/>
              </w:rPr>
              <w:t>26 марта 2026 г</w:t>
            </w:r>
            <w:r w:rsidR="00DD5136" w:rsidRPr="00567BB6">
              <w:rPr>
                <w:b/>
                <w:lang w:val="ru-RU"/>
              </w:rPr>
              <w:t>ода</w:t>
            </w:r>
          </w:p>
        </w:tc>
      </w:tr>
      <w:tr w:rsidR="00796BD3" w:rsidRPr="00567BB6" w14:paraId="284FCB3B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04FB45AF" w14:textId="77777777" w:rsidR="00796BD3" w:rsidRPr="00567BB6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36AD101C" w14:textId="77777777" w:rsidR="00796BD3" w:rsidRPr="00567BB6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567BB6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567BB6" w14:paraId="1B51B23E" w14:textId="77777777" w:rsidTr="00D17718">
        <w:trPr>
          <w:cantSplit/>
          <w:trHeight w:val="23"/>
        </w:trPr>
        <w:tc>
          <w:tcPr>
            <w:tcW w:w="3969" w:type="dxa"/>
          </w:tcPr>
          <w:p w14:paraId="18344DBC" w14:textId="77777777" w:rsidR="00796BD3" w:rsidRPr="00567BB6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2996DAB9" w14:textId="77777777" w:rsidR="00796BD3" w:rsidRPr="00567BB6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567BB6" w14:paraId="486C4CBD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82FAF7E" w14:textId="77777777" w:rsidR="00796BD3" w:rsidRPr="00567BB6" w:rsidRDefault="0033025A" w:rsidP="00A405F9">
            <w:pPr>
              <w:pStyle w:val="Source"/>
              <w:framePr w:hSpace="0" w:wrap="auto" w:vAnchor="margin" w:hAnchor="text" w:xAlign="left" w:yAlign="inline"/>
              <w:suppressOverlap w:val="0"/>
            </w:pPr>
            <w:bookmarkStart w:id="5" w:name="dsource" w:colFirst="0" w:colLast="0"/>
            <w:bookmarkEnd w:id="4"/>
            <w:r w:rsidRPr="00567BB6">
              <w:t>Отчет Генерального секретаря</w:t>
            </w:r>
          </w:p>
        </w:tc>
      </w:tr>
      <w:tr w:rsidR="00796BD3" w:rsidRPr="00940143" w14:paraId="1C2AD7E1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7DC8D1F0" w14:textId="33D3645B" w:rsidR="00796BD3" w:rsidRPr="00567BB6" w:rsidRDefault="00943444" w:rsidP="00A405F9">
            <w:pPr>
              <w:pStyle w:val="Subtitle"/>
              <w:framePr w:hSpace="0" w:wrap="auto" w:xAlign="left" w:yAlign="inline"/>
              <w:suppressOverlap w:val="0"/>
              <w:rPr>
                <w:sz w:val="32"/>
              </w:rPr>
            </w:pPr>
            <w:bookmarkStart w:id="6" w:name="dtitle1" w:colFirst="0" w:colLast="0"/>
            <w:bookmarkEnd w:id="5"/>
            <w:r w:rsidRPr="00567BB6">
              <w:rPr>
                <w:color w:val="000000"/>
                <w:sz w:val="32"/>
              </w:rPr>
              <w:t>ОТЧЕТ О ХОДЕ ВЫПОЛНЕНИЯ РЕШЕНИЙ 600 И 601 СОВЕТА (UIFN,</w:t>
            </w:r>
            <w:r w:rsidR="00D43834" w:rsidRPr="00567BB6">
              <w:rPr>
                <w:color w:val="000000"/>
                <w:sz w:val="32"/>
              </w:rPr>
              <w:t> </w:t>
            </w:r>
            <w:r w:rsidRPr="00567BB6">
              <w:rPr>
                <w:color w:val="000000"/>
                <w:sz w:val="32"/>
              </w:rPr>
              <w:t>IIN)</w:t>
            </w:r>
          </w:p>
        </w:tc>
      </w:tr>
      <w:tr w:rsidR="00796BD3" w:rsidRPr="00940143" w14:paraId="1EB8F9CD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32A89799" w14:textId="77777777" w:rsidR="00796BD3" w:rsidRPr="00567BB6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567BB6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23D3CF69" w14:textId="51854D94" w:rsidR="00943444" w:rsidRPr="00567BB6" w:rsidRDefault="00943444" w:rsidP="000B0155">
            <w:pPr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В настоящем отчете представлены: i) обновленная информация о сборе доходов благодаря выполнению Решения 600 Совета об универсальном номере международной услуги бесплатного вызова (UIFN); и ii) рекомендаци</w:t>
            </w:r>
            <w:r w:rsidR="00C602AB" w:rsidRPr="00567BB6">
              <w:rPr>
                <w:color w:val="000000"/>
                <w:lang w:val="ru-RU"/>
              </w:rPr>
              <w:t>я</w:t>
            </w:r>
            <w:r w:rsidRPr="00567BB6">
              <w:rPr>
                <w:color w:val="000000"/>
                <w:lang w:val="ru-RU"/>
              </w:rPr>
              <w:t xml:space="preserve"> об </w:t>
            </w:r>
            <w:r w:rsidR="00DD5136" w:rsidRPr="00567BB6">
              <w:rPr>
                <w:color w:val="000000"/>
                <w:lang w:val="ru-RU"/>
              </w:rPr>
              <w:t>аннулировании</w:t>
            </w:r>
            <w:r w:rsidRPr="00567BB6">
              <w:rPr>
                <w:color w:val="000000"/>
                <w:lang w:val="ru-RU"/>
              </w:rPr>
              <w:t xml:space="preserve"> Решения 601 Совета об</w:t>
            </w:r>
            <w:r w:rsidR="00951292" w:rsidRPr="00567BB6">
              <w:rPr>
                <w:color w:val="000000"/>
                <w:lang w:val="ru-RU"/>
              </w:rPr>
              <w:t> </w:t>
            </w:r>
            <w:r w:rsidRPr="00567BB6">
              <w:rPr>
                <w:color w:val="000000"/>
                <w:lang w:val="ru-RU"/>
              </w:rPr>
              <w:t>идентификационных номерах эмитентов (IIN).</w:t>
            </w:r>
          </w:p>
          <w:p w14:paraId="0FC8B2BC" w14:textId="2B786372" w:rsidR="00943444" w:rsidRPr="00567BB6" w:rsidRDefault="00943444" w:rsidP="000B0155">
            <w:pPr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 xml:space="preserve">Начиная с 2018 года доходы от выполнения Решения </w:t>
            </w:r>
            <w:r w:rsidRPr="00567BB6">
              <w:rPr>
                <w:b/>
                <w:bCs/>
                <w:color w:val="000000"/>
                <w:lang w:val="ru-RU"/>
              </w:rPr>
              <w:t>600</w:t>
            </w:r>
            <w:r w:rsidRPr="00567BB6">
              <w:rPr>
                <w:color w:val="000000"/>
                <w:lang w:val="ru-RU"/>
              </w:rPr>
              <w:t xml:space="preserve"> Совета составляют в среднем порядка </w:t>
            </w:r>
            <w:r w:rsidRPr="00567BB6">
              <w:rPr>
                <w:b/>
                <w:bCs/>
                <w:color w:val="000000"/>
                <w:lang w:val="ru-RU"/>
              </w:rPr>
              <w:t>235</w:t>
            </w:r>
            <w:r w:rsidR="00D43834" w:rsidRPr="00567BB6">
              <w:rPr>
                <w:b/>
                <w:bCs/>
                <w:color w:val="000000"/>
                <w:lang w:val="ru-RU"/>
              </w:rPr>
              <w:t> </w:t>
            </w:r>
            <w:r w:rsidRPr="00567BB6">
              <w:rPr>
                <w:b/>
                <w:bCs/>
                <w:color w:val="000000"/>
                <w:lang w:val="ru-RU"/>
              </w:rPr>
              <w:t>000</w:t>
            </w:r>
            <w:r w:rsidR="00D43834" w:rsidRPr="00567BB6">
              <w:rPr>
                <w:b/>
                <w:bCs/>
                <w:color w:val="000000"/>
                <w:lang w:val="ru-RU"/>
              </w:rPr>
              <w:t> </w:t>
            </w:r>
            <w:r w:rsidRPr="00567BB6">
              <w:rPr>
                <w:b/>
                <w:bCs/>
                <w:color w:val="000000"/>
                <w:lang w:val="ru-RU"/>
              </w:rPr>
              <w:t>швейцарских франков в год</w:t>
            </w:r>
            <w:r w:rsidRPr="00567BB6">
              <w:rPr>
                <w:color w:val="000000"/>
                <w:lang w:val="ru-RU"/>
              </w:rPr>
              <w:t>.</w:t>
            </w:r>
          </w:p>
          <w:p w14:paraId="08CC9FA7" w14:textId="5BCF63F8" w:rsidR="00796BD3" w:rsidRPr="00567BB6" w:rsidRDefault="00C602AB" w:rsidP="000B0155">
            <w:pPr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Вместе с тем</w:t>
            </w:r>
            <w:r w:rsidR="00943444" w:rsidRPr="00567BB6">
              <w:rPr>
                <w:color w:val="000000"/>
                <w:lang w:val="ru-RU"/>
              </w:rPr>
              <w:t xml:space="preserve"> доходы от выполнения Решения </w:t>
            </w:r>
            <w:r w:rsidR="00943444" w:rsidRPr="00567BB6">
              <w:rPr>
                <w:b/>
                <w:bCs/>
                <w:color w:val="000000"/>
                <w:lang w:val="ru-RU"/>
              </w:rPr>
              <w:t>601</w:t>
            </w:r>
            <w:r w:rsidR="00943444" w:rsidRPr="00567BB6">
              <w:rPr>
                <w:color w:val="000000"/>
                <w:lang w:val="ru-RU"/>
              </w:rPr>
              <w:t xml:space="preserve"> Совета с 2018 года составляют в среднем порядка </w:t>
            </w:r>
            <w:r w:rsidR="00943444" w:rsidRPr="00567BB6">
              <w:rPr>
                <w:b/>
                <w:bCs/>
                <w:color w:val="000000"/>
                <w:lang w:val="ru-RU"/>
              </w:rPr>
              <w:t>4700 швейцарских франков</w:t>
            </w:r>
            <w:r w:rsidR="00943444" w:rsidRPr="00567BB6">
              <w:rPr>
                <w:color w:val="000000"/>
                <w:lang w:val="ru-RU"/>
              </w:rPr>
              <w:t xml:space="preserve"> в год. Кроме того, </w:t>
            </w:r>
            <w:r w:rsidR="00943444" w:rsidRPr="00567BB6">
              <w:rPr>
                <w:b/>
                <w:bCs/>
                <w:color w:val="000000"/>
                <w:lang w:val="ru-RU"/>
              </w:rPr>
              <w:t>2-я Исследовательская комиссия МСЭ</w:t>
            </w:r>
            <w:r w:rsidR="00D43834" w:rsidRPr="00567BB6">
              <w:rPr>
                <w:rFonts w:ascii="Cambria Math" w:hAnsi="Cambria Math"/>
                <w:b/>
                <w:bCs/>
                <w:color w:val="000000"/>
                <w:lang w:val="ru-RU"/>
              </w:rPr>
              <w:t>‑</w:t>
            </w:r>
            <w:r w:rsidR="00943444" w:rsidRPr="00567BB6">
              <w:rPr>
                <w:b/>
                <w:bCs/>
                <w:color w:val="000000"/>
                <w:lang w:val="ru-RU"/>
              </w:rPr>
              <w:t>Т</w:t>
            </w:r>
            <w:r w:rsidR="00943444" w:rsidRPr="00567BB6">
              <w:rPr>
                <w:color w:val="000000"/>
                <w:lang w:val="ru-RU"/>
              </w:rPr>
              <w:t xml:space="preserve"> утвердила </w:t>
            </w:r>
            <w:r w:rsidR="00943444" w:rsidRPr="00567BB6">
              <w:rPr>
                <w:b/>
                <w:bCs/>
                <w:color w:val="000000"/>
                <w:lang w:val="ru-RU"/>
              </w:rPr>
              <w:t>пересмотр</w:t>
            </w:r>
            <w:r w:rsidR="00943444" w:rsidRPr="00567BB6">
              <w:rPr>
                <w:color w:val="000000"/>
                <w:lang w:val="ru-RU"/>
              </w:rPr>
              <w:t xml:space="preserve"> </w:t>
            </w:r>
            <w:r w:rsidR="00943444" w:rsidRPr="00567BB6">
              <w:rPr>
                <w:b/>
                <w:bCs/>
                <w:color w:val="000000"/>
                <w:lang w:val="ru-RU"/>
              </w:rPr>
              <w:t>Рекомендации МСЭ-Т E.118</w:t>
            </w:r>
            <w:r w:rsidR="00943444" w:rsidRPr="00567BB6">
              <w:rPr>
                <w:color w:val="000000"/>
                <w:lang w:val="ru-RU"/>
              </w:rPr>
              <w:t>, регулирующей административное управление IIN, упразднив функци</w:t>
            </w:r>
            <w:r w:rsidR="008B19C9" w:rsidRPr="00567BB6">
              <w:rPr>
                <w:color w:val="000000"/>
                <w:lang w:val="ru-RU"/>
              </w:rPr>
              <w:t>и</w:t>
            </w:r>
            <w:r w:rsidR="00943444" w:rsidRPr="00567BB6">
              <w:rPr>
                <w:color w:val="000000"/>
                <w:lang w:val="ru-RU"/>
              </w:rPr>
              <w:t xml:space="preserve"> регистратора и связанную с </w:t>
            </w:r>
            <w:r w:rsidR="008B19C9" w:rsidRPr="00567BB6">
              <w:rPr>
                <w:color w:val="000000"/>
                <w:lang w:val="ru-RU"/>
              </w:rPr>
              <w:t>ними</w:t>
            </w:r>
            <w:r w:rsidR="00943444" w:rsidRPr="00567BB6">
              <w:rPr>
                <w:color w:val="000000"/>
                <w:lang w:val="ru-RU"/>
              </w:rPr>
              <w:t xml:space="preserve"> систему сбора платежей. С учетом этих факторов в отчете предлагается </w:t>
            </w:r>
            <w:r w:rsidR="00DD5136" w:rsidRPr="00567BB6">
              <w:rPr>
                <w:b/>
                <w:bCs/>
                <w:color w:val="000000"/>
                <w:lang w:val="ru-RU"/>
              </w:rPr>
              <w:t>аннулировать</w:t>
            </w:r>
            <w:r w:rsidR="00943444" w:rsidRPr="00567BB6">
              <w:rPr>
                <w:color w:val="000000"/>
                <w:lang w:val="ru-RU"/>
              </w:rPr>
              <w:t xml:space="preserve"> Решение 601 Совета</w:t>
            </w:r>
            <w:r w:rsidR="00DB0F91" w:rsidRPr="00567BB6">
              <w:rPr>
                <w:color w:val="000000"/>
                <w:lang w:val="ru-RU"/>
              </w:rPr>
              <w:t>.</w:t>
            </w:r>
          </w:p>
          <w:p w14:paraId="2D157FB1" w14:textId="77777777" w:rsidR="00796BD3" w:rsidRPr="00567BB6" w:rsidRDefault="0033025A" w:rsidP="000B0155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567BB6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2CD081B8" w14:textId="7785B6D2" w:rsidR="00796BD3" w:rsidRPr="00567BB6" w:rsidRDefault="00943444" w:rsidP="000B0155">
            <w:pPr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Совету предлагается принять к сведению выполнение Решения</w:t>
            </w:r>
            <w:r w:rsidR="00D43834" w:rsidRPr="00567BB6">
              <w:rPr>
                <w:color w:val="000000"/>
                <w:lang w:val="ru-RU"/>
              </w:rPr>
              <w:t> </w:t>
            </w:r>
            <w:r w:rsidRPr="00567BB6">
              <w:rPr>
                <w:b/>
                <w:bCs/>
                <w:color w:val="000000"/>
                <w:lang w:val="ru-RU"/>
              </w:rPr>
              <w:t>600</w:t>
            </w:r>
            <w:r w:rsidRPr="00567BB6">
              <w:rPr>
                <w:color w:val="000000"/>
                <w:lang w:val="ru-RU"/>
              </w:rPr>
              <w:t xml:space="preserve"> Совета и утвердить </w:t>
            </w:r>
            <w:r w:rsidR="00DD5136" w:rsidRPr="00567BB6">
              <w:rPr>
                <w:b/>
                <w:bCs/>
                <w:color w:val="000000"/>
                <w:lang w:val="ru-RU"/>
              </w:rPr>
              <w:t>аннулирование</w:t>
            </w:r>
            <w:r w:rsidRPr="00567BB6">
              <w:rPr>
                <w:color w:val="000000"/>
                <w:lang w:val="ru-RU"/>
              </w:rPr>
              <w:t xml:space="preserve"> Решения </w:t>
            </w:r>
            <w:r w:rsidRPr="00567BB6">
              <w:rPr>
                <w:b/>
                <w:bCs/>
                <w:color w:val="000000"/>
                <w:lang w:val="ru-RU"/>
              </w:rPr>
              <w:t>601</w:t>
            </w:r>
            <w:r w:rsidRPr="00567BB6">
              <w:rPr>
                <w:color w:val="000000"/>
                <w:lang w:val="ru-RU"/>
              </w:rPr>
              <w:t>.</w:t>
            </w:r>
          </w:p>
          <w:p w14:paraId="560D3035" w14:textId="77777777" w:rsidR="00796BD3" w:rsidRPr="00567BB6" w:rsidRDefault="0033025A" w:rsidP="000B0155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567BB6">
              <w:rPr>
                <w:b/>
                <w:bCs/>
                <w:sz w:val="24"/>
                <w:szCs w:val="24"/>
                <w:lang w:val="ru-RU"/>
              </w:rPr>
              <w:t>Соответствующая увязка со Стратегическим планом</w:t>
            </w:r>
          </w:p>
          <w:p w14:paraId="52FF3C37" w14:textId="01B2F6C9" w:rsidR="00796BD3" w:rsidRPr="00567BB6" w:rsidRDefault="006E67CB" w:rsidP="000B0155">
            <w:pPr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Ресурсы нумерации международной электросвязи</w:t>
            </w:r>
            <w:r w:rsidR="000F6A02" w:rsidRPr="00567BB6">
              <w:rPr>
                <w:color w:val="000000"/>
                <w:lang w:val="ru-RU"/>
              </w:rPr>
              <w:t>.</w:t>
            </w:r>
          </w:p>
          <w:p w14:paraId="24B5F774" w14:textId="77777777" w:rsidR="00796BD3" w:rsidRPr="00567BB6" w:rsidRDefault="0033025A" w:rsidP="000B0155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567BB6">
              <w:rPr>
                <w:b/>
                <w:bCs/>
                <w:sz w:val="24"/>
                <w:szCs w:val="24"/>
                <w:lang w:val="ru-RU"/>
              </w:rPr>
              <w:t>Финансовые последствия</w:t>
            </w:r>
          </w:p>
          <w:p w14:paraId="73E2DF13" w14:textId="23AE610A" w:rsidR="00345D2A" w:rsidRPr="00567BB6" w:rsidRDefault="000F6A02" w:rsidP="000B0155">
            <w:pPr>
              <w:spacing w:before="160"/>
              <w:rPr>
                <w:szCs w:val="22"/>
                <w:lang w:val="ru-RU"/>
              </w:rPr>
            </w:pPr>
            <w:r w:rsidRPr="00567BB6">
              <w:rPr>
                <w:color w:val="000000"/>
                <w:lang w:val="ru-RU"/>
              </w:rPr>
              <w:t>Доходы от выполнения Решений 600 и 601 Совета включены в бюджет на 2026</w:t>
            </w:r>
            <w:r w:rsidR="00567BB6" w:rsidRPr="00567BB6">
              <w:rPr>
                <w:color w:val="000000"/>
                <w:lang w:val="ru-RU"/>
              </w:rPr>
              <w:t>−</w:t>
            </w:r>
            <w:r w:rsidRPr="00567BB6">
              <w:rPr>
                <w:color w:val="000000"/>
                <w:lang w:val="ru-RU"/>
              </w:rPr>
              <w:t>2027 годы.</w:t>
            </w:r>
          </w:p>
          <w:p w14:paraId="6194D61C" w14:textId="77777777" w:rsidR="00796BD3" w:rsidRPr="00567BB6" w:rsidRDefault="00796BD3" w:rsidP="000B0155">
            <w:pPr>
              <w:spacing w:before="160"/>
              <w:rPr>
                <w:caps/>
                <w:sz w:val="20"/>
                <w:szCs w:val="18"/>
                <w:lang w:val="ru-RU"/>
              </w:rPr>
            </w:pPr>
            <w:r w:rsidRPr="00567BB6">
              <w:rPr>
                <w:sz w:val="20"/>
                <w:szCs w:val="18"/>
                <w:lang w:val="ru-RU"/>
              </w:rPr>
              <w:t>__________________</w:t>
            </w:r>
          </w:p>
          <w:p w14:paraId="25E6D3E7" w14:textId="77777777" w:rsidR="00796BD3" w:rsidRPr="00567BB6" w:rsidRDefault="0033025A" w:rsidP="000B0155">
            <w:pPr>
              <w:spacing w:before="160"/>
              <w:rPr>
                <w:b/>
                <w:bCs/>
                <w:sz w:val="26"/>
                <w:szCs w:val="26"/>
                <w:lang w:val="ru-RU"/>
              </w:rPr>
            </w:pPr>
            <w:r w:rsidRPr="00567BB6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235C15B1" w14:textId="59D28A59" w:rsidR="00796BD3" w:rsidRPr="00567BB6" w:rsidRDefault="000F6A02" w:rsidP="000B0155">
            <w:pPr>
              <w:spacing w:after="160"/>
              <w:rPr>
                <w:i/>
                <w:iCs/>
                <w:lang w:val="ru-RU"/>
              </w:rPr>
            </w:pPr>
            <w:r w:rsidRPr="00567BB6">
              <w:rPr>
                <w:i/>
                <w:iCs/>
                <w:color w:val="000000"/>
                <w:lang w:val="ru-RU"/>
              </w:rPr>
              <w:t xml:space="preserve">Документы </w:t>
            </w:r>
            <w:hyperlink r:id="rId8" w:history="1">
              <w:r w:rsidR="00FA5AA3" w:rsidRPr="00567BB6">
                <w:rPr>
                  <w:rStyle w:val="Hyperlink"/>
                  <w:i/>
                  <w:iCs/>
                  <w:spacing w:val="-2"/>
                  <w:szCs w:val="22"/>
                  <w:lang w:val="ru-RU"/>
                </w:rPr>
                <w:t>C17/133</w:t>
              </w:r>
            </w:hyperlink>
            <w:r w:rsidR="00FA5AA3" w:rsidRPr="00567BB6">
              <w:rPr>
                <w:i/>
                <w:iCs/>
                <w:spacing w:val="-2"/>
                <w:szCs w:val="22"/>
                <w:lang w:val="ru-RU"/>
              </w:rPr>
              <w:t xml:space="preserve">; </w:t>
            </w:r>
            <w:hyperlink r:id="rId9" w:history="1">
              <w:r w:rsidR="00FA5AA3" w:rsidRPr="00567BB6">
                <w:rPr>
                  <w:rStyle w:val="Hyperlink"/>
                  <w:i/>
                  <w:iCs/>
                  <w:spacing w:val="-2"/>
                  <w:szCs w:val="22"/>
                  <w:lang w:val="ru-RU"/>
                </w:rPr>
                <w:t>C17/134</w:t>
              </w:r>
            </w:hyperlink>
            <w:r w:rsidR="00FA5AA3" w:rsidRPr="00567BB6">
              <w:rPr>
                <w:i/>
                <w:iCs/>
                <w:spacing w:val="-2"/>
                <w:szCs w:val="22"/>
                <w:lang w:val="ru-RU"/>
              </w:rPr>
              <w:t xml:space="preserve">; </w:t>
            </w:r>
            <w:hyperlink r:id="rId10" w:history="1">
              <w:r w:rsidR="00FA5AA3" w:rsidRPr="00567BB6">
                <w:rPr>
                  <w:rStyle w:val="Hyperlink"/>
                  <w:i/>
                  <w:iCs/>
                  <w:spacing w:val="-2"/>
                  <w:szCs w:val="22"/>
                  <w:lang w:val="ru-RU"/>
                </w:rPr>
                <w:t>C18/100</w:t>
              </w:r>
            </w:hyperlink>
            <w:r w:rsidR="00FA5AA3" w:rsidRPr="00567BB6">
              <w:rPr>
                <w:i/>
                <w:iCs/>
                <w:spacing w:val="-2"/>
                <w:szCs w:val="22"/>
                <w:lang w:val="ru-RU"/>
              </w:rPr>
              <w:t xml:space="preserve">; </w:t>
            </w:r>
            <w:hyperlink r:id="rId11" w:history="1">
              <w:r w:rsidR="00FA5AA3" w:rsidRPr="00567BB6">
                <w:rPr>
                  <w:rStyle w:val="Hyperlink"/>
                  <w:rFonts w:asciiTheme="minorHAnsi" w:eastAsiaTheme="minorEastAsia" w:hAnsiTheme="minorHAnsi" w:cstheme="minorHAnsi"/>
                  <w:i/>
                  <w:iCs/>
                  <w:spacing w:val="-2"/>
                  <w:szCs w:val="22"/>
                  <w:lang w:val="ru-RU" w:eastAsia="zh-CN"/>
                </w:rPr>
                <w:t>C18/121</w:t>
              </w:r>
            </w:hyperlink>
            <w:r w:rsidR="00FA5AA3" w:rsidRPr="00567BB6">
              <w:rPr>
                <w:rFonts w:asciiTheme="minorHAnsi" w:eastAsiaTheme="minorEastAsia" w:hAnsiTheme="minorHAnsi" w:cstheme="minorHAnsi"/>
                <w:i/>
                <w:iCs/>
                <w:spacing w:val="-2"/>
                <w:szCs w:val="22"/>
                <w:lang w:val="ru-RU" w:eastAsia="zh-CN"/>
              </w:rPr>
              <w:t>;</w:t>
            </w:r>
            <w:r w:rsidR="00FA5AA3" w:rsidRPr="00567BB6">
              <w:rPr>
                <w:i/>
                <w:iCs/>
                <w:spacing w:val="-2"/>
                <w:szCs w:val="22"/>
                <w:lang w:val="ru-RU"/>
              </w:rPr>
              <w:t xml:space="preserve"> </w:t>
            </w:r>
            <w:hyperlink r:id="rId12" w:history="1">
              <w:r w:rsidR="00FA5AA3" w:rsidRPr="00567BB6">
                <w:rPr>
                  <w:rStyle w:val="Hyperlink"/>
                  <w:rFonts w:asciiTheme="minorHAnsi" w:eastAsiaTheme="minorEastAsia" w:hAnsiTheme="minorHAnsi" w:cstheme="minorHAnsi"/>
                  <w:i/>
                  <w:iCs/>
                  <w:spacing w:val="-2"/>
                  <w:szCs w:val="22"/>
                  <w:lang w:val="ru-RU"/>
                </w:rPr>
                <w:t>CWG-FHR 8/18</w:t>
              </w:r>
            </w:hyperlink>
            <w:r w:rsidR="00FA5AA3" w:rsidRPr="00567BB6">
              <w:rPr>
                <w:rFonts w:asciiTheme="minorHAnsi" w:eastAsiaTheme="minorEastAsia" w:hAnsiTheme="minorHAnsi" w:cstheme="minorHAnsi"/>
                <w:i/>
                <w:iCs/>
                <w:spacing w:val="-2"/>
                <w:szCs w:val="22"/>
                <w:lang w:val="ru-RU"/>
              </w:rPr>
              <w:t xml:space="preserve">; </w:t>
            </w:r>
            <w:hyperlink r:id="rId13" w:history="1">
              <w:r w:rsidR="00FA5AA3" w:rsidRPr="00567BB6">
                <w:rPr>
                  <w:rStyle w:val="Hyperlink"/>
                  <w:i/>
                  <w:iCs/>
                  <w:spacing w:val="-2"/>
                  <w:szCs w:val="22"/>
                  <w:lang w:val="ru-RU"/>
                </w:rPr>
                <w:t>CWG-FHR-9/1</w:t>
              </w:r>
            </w:hyperlink>
            <w:r w:rsidR="00FA5AA3" w:rsidRPr="00567BB6">
              <w:rPr>
                <w:rStyle w:val="Hyperlink"/>
                <w:i/>
                <w:iCs/>
                <w:spacing w:val="-2"/>
                <w:szCs w:val="22"/>
                <w:lang w:val="ru-RU"/>
              </w:rPr>
              <w:t>4</w:t>
            </w:r>
            <w:r w:rsidR="00FA5AA3" w:rsidRPr="00567BB6">
              <w:rPr>
                <w:i/>
                <w:iCs/>
                <w:spacing w:val="-2"/>
                <w:szCs w:val="22"/>
                <w:lang w:val="ru-RU"/>
              </w:rPr>
              <w:t xml:space="preserve">; </w:t>
            </w:r>
            <w:hyperlink r:id="rId14" w:history="1">
              <w:r w:rsidR="00FA5AA3" w:rsidRPr="00567BB6">
                <w:rPr>
                  <w:rStyle w:val="Hyperlink"/>
                  <w:i/>
                  <w:iCs/>
                  <w:spacing w:val="-2"/>
                  <w:szCs w:val="22"/>
                  <w:lang w:val="ru-RU"/>
                </w:rPr>
                <w:t>CWG-FHR-9/15</w:t>
              </w:r>
            </w:hyperlink>
            <w:r w:rsidR="00FA5AA3" w:rsidRPr="00567BB6">
              <w:rPr>
                <w:i/>
                <w:iCs/>
                <w:spacing w:val="-2"/>
                <w:szCs w:val="22"/>
                <w:lang w:val="ru-RU"/>
              </w:rPr>
              <w:t xml:space="preserve">; </w:t>
            </w:r>
            <w:hyperlink r:id="rId15" w:history="1">
              <w:r w:rsidR="00FA5AA3" w:rsidRPr="00567BB6">
                <w:rPr>
                  <w:rStyle w:val="Hyperlink"/>
                  <w:i/>
                  <w:iCs/>
                  <w:spacing w:val="-2"/>
                  <w:szCs w:val="22"/>
                  <w:lang w:val="ru-RU"/>
                </w:rPr>
                <w:t>C19/47</w:t>
              </w:r>
            </w:hyperlink>
            <w:r w:rsidR="00FA5AA3" w:rsidRPr="00567BB6">
              <w:rPr>
                <w:i/>
                <w:iCs/>
                <w:spacing w:val="-2"/>
                <w:szCs w:val="22"/>
                <w:lang w:val="ru-RU"/>
              </w:rPr>
              <w:t xml:space="preserve">; </w:t>
            </w:r>
            <w:hyperlink r:id="rId16" w:history="1">
              <w:r w:rsidR="00FA5AA3" w:rsidRPr="00567BB6">
                <w:rPr>
                  <w:rStyle w:val="Hyperlink"/>
                  <w:bCs/>
                  <w:i/>
                  <w:iCs/>
                  <w:spacing w:val="-2"/>
                  <w:szCs w:val="22"/>
                  <w:lang w:val="ru-RU"/>
                </w:rPr>
                <w:t>C19/120</w:t>
              </w:r>
            </w:hyperlink>
            <w:r w:rsidR="00FA5AA3" w:rsidRPr="00567BB6">
              <w:rPr>
                <w:i/>
                <w:iCs/>
                <w:spacing w:val="-2"/>
                <w:szCs w:val="22"/>
                <w:lang w:val="ru-RU"/>
              </w:rPr>
              <w:t xml:space="preserve">; </w:t>
            </w:r>
            <w:hyperlink r:id="rId17" w:history="1">
              <w:r w:rsidR="00FA5AA3" w:rsidRPr="00567BB6">
                <w:rPr>
                  <w:rStyle w:val="Hyperlink"/>
                  <w:i/>
                  <w:iCs/>
                  <w:spacing w:val="-2"/>
                  <w:szCs w:val="22"/>
                  <w:lang w:val="ru-RU"/>
                </w:rPr>
                <w:t>C20/47</w:t>
              </w:r>
            </w:hyperlink>
            <w:r w:rsidR="00FA5AA3" w:rsidRPr="00567BB6">
              <w:rPr>
                <w:i/>
                <w:iCs/>
                <w:spacing w:val="-2"/>
                <w:szCs w:val="22"/>
                <w:lang w:val="ru-RU"/>
              </w:rPr>
              <w:t xml:space="preserve">; </w:t>
            </w:r>
            <w:bookmarkStart w:id="7" w:name="_Hlk132728228"/>
            <w:r w:rsidR="00FA5AA3" w:rsidRPr="00567BB6">
              <w:rPr>
                <w:i/>
                <w:iCs/>
                <w:spacing w:val="-2"/>
                <w:szCs w:val="22"/>
                <w:lang w:val="ru-RU"/>
              </w:rPr>
              <w:fldChar w:fldCharType="begin"/>
            </w:r>
            <w:r w:rsidR="00FA5AA3" w:rsidRPr="00567BB6">
              <w:rPr>
                <w:i/>
                <w:iCs/>
                <w:spacing w:val="-2"/>
                <w:szCs w:val="22"/>
                <w:lang w:val="ru-RU"/>
              </w:rPr>
              <w:instrText xml:space="preserve"> HYPERLINK "https://www.itu.int/md/S21-CL-C-0047/en" </w:instrText>
            </w:r>
            <w:r w:rsidR="00FA5AA3" w:rsidRPr="00567BB6">
              <w:rPr>
                <w:i/>
                <w:iCs/>
                <w:spacing w:val="-2"/>
                <w:szCs w:val="22"/>
                <w:lang w:val="ru-RU"/>
              </w:rPr>
            </w:r>
            <w:r w:rsidR="00FA5AA3" w:rsidRPr="00567BB6">
              <w:rPr>
                <w:i/>
                <w:iCs/>
                <w:spacing w:val="-2"/>
                <w:szCs w:val="22"/>
                <w:lang w:val="ru-RU"/>
              </w:rPr>
              <w:fldChar w:fldCharType="separate"/>
            </w:r>
            <w:r w:rsidR="00FA5AA3" w:rsidRPr="00567BB6">
              <w:rPr>
                <w:rStyle w:val="Hyperlink"/>
                <w:i/>
                <w:iCs/>
                <w:spacing w:val="-2"/>
                <w:szCs w:val="22"/>
                <w:lang w:val="ru-RU"/>
              </w:rPr>
              <w:t>C21/47</w:t>
            </w:r>
            <w:r w:rsidR="00FA5AA3" w:rsidRPr="00567BB6">
              <w:rPr>
                <w:i/>
                <w:iCs/>
                <w:spacing w:val="-2"/>
                <w:szCs w:val="22"/>
                <w:lang w:val="ru-RU"/>
              </w:rPr>
              <w:fldChar w:fldCharType="end"/>
            </w:r>
            <w:bookmarkEnd w:id="7"/>
            <w:r w:rsidR="00FA5AA3" w:rsidRPr="00567BB6">
              <w:rPr>
                <w:i/>
                <w:iCs/>
                <w:spacing w:val="-2"/>
                <w:szCs w:val="22"/>
                <w:lang w:val="ru-RU"/>
              </w:rPr>
              <w:t xml:space="preserve">; </w:t>
            </w:r>
            <w:hyperlink r:id="rId18" w:history="1">
              <w:r w:rsidR="00FA5AA3" w:rsidRPr="00567BB6">
                <w:rPr>
                  <w:rStyle w:val="Hyperlink"/>
                  <w:rFonts w:asciiTheme="minorHAnsi" w:eastAsiaTheme="minorEastAsia" w:hAnsiTheme="minorHAnsi" w:cstheme="minorHAnsi"/>
                  <w:i/>
                  <w:iCs/>
                  <w:spacing w:val="-2"/>
                  <w:szCs w:val="22"/>
                  <w:lang w:val="ru-RU"/>
                </w:rPr>
                <w:t>C21/92</w:t>
              </w:r>
            </w:hyperlink>
            <w:r w:rsidR="00FA5AA3" w:rsidRPr="00567BB6">
              <w:rPr>
                <w:rFonts w:asciiTheme="minorHAnsi" w:eastAsiaTheme="minorEastAsia" w:hAnsiTheme="minorHAnsi" w:cstheme="minorHAnsi"/>
                <w:i/>
                <w:iCs/>
                <w:spacing w:val="-2"/>
                <w:szCs w:val="22"/>
                <w:lang w:val="ru-RU"/>
              </w:rPr>
              <w:t>;</w:t>
            </w:r>
            <w:r w:rsidR="00FA5AA3" w:rsidRPr="00567BB6">
              <w:rPr>
                <w:i/>
                <w:iCs/>
                <w:spacing w:val="-2"/>
                <w:szCs w:val="22"/>
                <w:lang w:val="ru-RU"/>
              </w:rPr>
              <w:t xml:space="preserve"> </w:t>
            </w:r>
            <w:hyperlink r:id="rId19" w:history="1">
              <w:r w:rsidR="00FA5AA3" w:rsidRPr="00567BB6">
                <w:rPr>
                  <w:rStyle w:val="Hyperlink"/>
                  <w:i/>
                  <w:iCs/>
                  <w:spacing w:val="-2"/>
                  <w:szCs w:val="22"/>
                  <w:lang w:val="ru-RU"/>
                </w:rPr>
                <w:t>CWG-FHR-14/6</w:t>
              </w:r>
            </w:hyperlink>
            <w:r w:rsidR="00FA5AA3" w:rsidRPr="00567BB6">
              <w:rPr>
                <w:i/>
                <w:iCs/>
                <w:spacing w:val="-2"/>
                <w:szCs w:val="22"/>
                <w:lang w:val="ru-RU"/>
              </w:rPr>
              <w:t xml:space="preserve">; </w:t>
            </w:r>
            <w:hyperlink r:id="rId20" w:history="1">
              <w:r w:rsidR="00FA5AA3" w:rsidRPr="00567BB6">
                <w:rPr>
                  <w:rStyle w:val="Hyperlink"/>
                  <w:i/>
                  <w:iCs/>
                  <w:spacing w:val="-2"/>
                  <w:szCs w:val="22"/>
                  <w:lang w:val="ru-RU"/>
                </w:rPr>
                <w:t>CWG-FHR-14/12</w:t>
              </w:r>
            </w:hyperlink>
            <w:r w:rsidR="00FA5AA3" w:rsidRPr="00567BB6">
              <w:rPr>
                <w:i/>
                <w:iCs/>
                <w:spacing w:val="-2"/>
                <w:szCs w:val="22"/>
                <w:lang w:val="ru-RU"/>
              </w:rPr>
              <w:t xml:space="preserve">; </w:t>
            </w:r>
            <w:hyperlink r:id="rId21" w:history="1">
              <w:r w:rsidR="00FA5AA3" w:rsidRPr="00567BB6">
                <w:rPr>
                  <w:rStyle w:val="Hyperlink"/>
                  <w:i/>
                  <w:iCs/>
                  <w:spacing w:val="-2"/>
                  <w:szCs w:val="22"/>
                  <w:lang w:val="ru-RU"/>
                </w:rPr>
                <w:t>C22/50</w:t>
              </w:r>
            </w:hyperlink>
            <w:r w:rsidR="00FA5AA3" w:rsidRPr="00567BB6">
              <w:rPr>
                <w:i/>
                <w:iCs/>
                <w:spacing w:val="-2"/>
                <w:szCs w:val="22"/>
                <w:lang w:val="ru-RU"/>
              </w:rPr>
              <w:t xml:space="preserve">; </w:t>
            </w:r>
            <w:hyperlink r:id="rId22" w:history="1">
              <w:r w:rsidR="00FA5AA3" w:rsidRPr="00567BB6">
                <w:rPr>
                  <w:rStyle w:val="Hyperlink"/>
                  <w:i/>
                  <w:iCs/>
                  <w:spacing w:val="-2"/>
                  <w:szCs w:val="22"/>
                  <w:lang w:val="ru-RU"/>
                </w:rPr>
                <w:t>CWG-FHR-17/</w:t>
              </w:r>
            </w:hyperlink>
            <w:r w:rsidR="00FA5AA3" w:rsidRPr="00567BB6">
              <w:rPr>
                <w:rStyle w:val="Hyperlink"/>
                <w:i/>
                <w:iCs/>
                <w:spacing w:val="-2"/>
                <w:szCs w:val="22"/>
                <w:lang w:val="ru-RU"/>
              </w:rPr>
              <w:t xml:space="preserve">8; </w:t>
            </w:r>
            <w:hyperlink r:id="rId23" w:history="1">
              <w:r w:rsidR="00FA5AA3" w:rsidRPr="00567BB6">
                <w:rPr>
                  <w:rStyle w:val="Hyperlink"/>
                  <w:i/>
                  <w:iCs/>
                  <w:spacing w:val="-2"/>
                  <w:szCs w:val="22"/>
                  <w:lang w:val="ru-RU"/>
                </w:rPr>
                <w:t>C24/38</w:t>
              </w:r>
            </w:hyperlink>
            <w:r w:rsidR="00FA5AA3" w:rsidRPr="00567BB6">
              <w:rPr>
                <w:rStyle w:val="Hyperlink"/>
                <w:i/>
                <w:iCs/>
                <w:spacing w:val="-2"/>
                <w:szCs w:val="22"/>
                <w:lang w:val="ru-RU"/>
              </w:rPr>
              <w:t xml:space="preserve">; </w:t>
            </w:r>
            <w:hyperlink r:id="rId24" w:history="1">
              <w:r w:rsidR="00FA5AA3" w:rsidRPr="00567BB6">
                <w:rPr>
                  <w:rStyle w:val="Hyperlink"/>
                  <w:rFonts w:asciiTheme="minorHAnsi" w:eastAsiaTheme="minorEastAsia" w:hAnsiTheme="minorHAnsi" w:cstheme="minorHAnsi"/>
                  <w:i/>
                  <w:iCs/>
                  <w:spacing w:val="-2"/>
                  <w:szCs w:val="22"/>
                  <w:lang w:val="ru-RU"/>
                </w:rPr>
                <w:t>C24/120</w:t>
              </w:r>
            </w:hyperlink>
            <w:r w:rsidR="00FA5AA3" w:rsidRPr="00567BB6">
              <w:rPr>
                <w:rFonts w:asciiTheme="minorHAnsi" w:eastAsiaTheme="minorEastAsia" w:hAnsiTheme="minorHAnsi" w:cstheme="minorHAnsi"/>
                <w:i/>
                <w:iCs/>
                <w:spacing w:val="-2"/>
                <w:szCs w:val="22"/>
                <w:lang w:val="ru-RU"/>
              </w:rPr>
              <w:t xml:space="preserve">; </w:t>
            </w:r>
            <w:hyperlink r:id="rId25" w:history="1">
              <w:r w:rsidR="00FA5AA3" w:rsidRPr="00567BB6">
                <w:rPr>
                  <w:rStyle w:val="Hyperlink"/>
                  <w:i/>
                  <w:iCs/>
                  <w:spacing w:val="-2"/>
                  <w:szCs w:val="22"/>
                  <w:lang w:val="ru-RU"/>
                </w:rPr>
                <w:t>CWG-FHR-20/13</w:t>
              </w:r>
            </w:hyperlink>
            <w:r w:rsidR="00FA5AA3" w:rsidRPr="00567BB6">
              <w:rPr>
                <w:i/>
                <w:iCs/>
                <w:spacing w:val="-2"/>
                <w:szCs w:val="22"/>
                <w:lang w:val="ru-RU"/>
              </w:rPr>
              <w:t xml:space="preserve">; </w:t>
            </w:r>
            <w:hyperlink r:id="rId26" w:history="1">
              <w:r w:rsidR="00FA5AA3" w:rsidRPr="00567BB6">
                <w:rPr>
                  <w:rStyle w:val="Hyperlink"/>
                  <w:bCs/>
                  <w:i/>
                  <w:iCs/>
                  <w:spacing w:val="-2"/>
                  <w:szCs w:val="22"/>
                  <w:lang w:val="ru-RU"/>
                </w:rPr>
                <w:t>CWG-FHR-20/32</w:t>
              </w:r>
            </w:hyperlink>
            <w:r w:rsidR="00FA5AA3" w:rsidRPr="00567BB6">
              <w:rPr>
                <w:i/>
                <w:iCs/>
                <w:spacing w:val="-2"/>
                <w:szCs w:val="22"/>
                <w:lang w:val="ru-RU"/>
              </w:rPr>
              <w:t xml:space="preserve">; </w:t>
            </w:r>
            <w:hyperlink r:id="rId27" w:history="1">
              <w:r w:rsidR="00FA5AA3" w:rsidRPr="00567BB6">
                <w:rPr>
                  <w:rStyle w:val="Hyperlink"/>
                  <w:i/>
                  <w:iCs/>
                  <w:spacing w:val="-2"/>
                  <w:szCs w:val="22"/>
                  <w:lang w:val="ru-RU"/>
                </w:rPr>
                <w:t>C25/38</w:t>
              </w:r>
            </w:hyperlink>
            <w:r w:rsidR="00FA5AA3" w:rsidRPr="00567BB6">
              <w:rPr>
                <w:i/>
                <w:iCs/>
                <w:spacing w:val="-2"/>
                <w:szCs w:val="22"/>
                <w:lang w:val="ru-RU"/>
              </w:rPr>
              <w:t xml:space="preserve">; </w:t>
            </w:r>
            <w:hyperlink r:id="rId28" w:history="1">
              <w:r w:rsidR="00FA5AA3" w:rsidRPr="00567BB6">
                <w:rPr>
                  <w:rStyle w:val="Hyperlink"/>
                  <w:rFonts w:eastAsiaTheme="minorEastAsia"/>
                  <w:i/>
                  <w:iCs/>
                  <w:spacing w:val="-2"/>
                  <w:szCs w:val="22"/>
                  <w:lang w:val="ru-RU"/>
                </w:rPr>
                <w:t>C25/114</w:t>
              </w:r>
            </w:hyperlink>
            <w:r w:rsidR="00FA5AA3" w:rsidRPr="00567BB6">
              <w:rPr>
                <w:rFonts w:eastAsiaTheme="minorEastAsia"/>
                <w:i/>
                <w:iCs/>
                <w:spacing w:val="-2"/>
                <w:szCs w:val="22"/>
                <w:lang w:val="ru-RU"/>
              </w:rPr>
              <w:t>;</w:t>
            </w:r>
            <w:r w:rsidR="00FA5AA3" w:rsidRPr="00567BB6">
              <w:rPr>
                <w:i/>
                <w:iCs/>
                <w:spacing w:val="-2"/>
                <w:szCs w:val="22"/>
                <w:lang w:val="ru-RU"/>
              </w:rPr>
              <w:t xml:space="preserve"> </w:t>
            </w:r>
            <w:hyperlink r:id="rId29" w:history="1">
              <w:r w:rsidR="00FA5AA3" w:rsidRPr="00567BB6">
                <w:rPr>
                  <w:rStyle w:val="Hyperlink"/>
                  <w:i/>
                  <w:iCs/>
                  <w:spacing w:val="-2"/>
                  <w:szCs w:val="22"/>
                  <w:lang w:val="ru-RU"/>
                </w:rPr>
                <w:t>CWG-FHR-22/03</w:t>
              </w:r>
            </w:hyperlink>
            <w:r w:rsidR="00FA5AA3" w:rsidRPr="00567BB6">
              <w:rPr>
                <w:i/>
                <w:iCs/>
                <w:spacing w:val="-2"/>
                <w:szCs w:val="22"/>
                <w:lang w:val="ru-RU"/>
              </w:rPr>
              <w:t xml:space="preserve">; </w:t>
            </w:r>
            <w:hyperlink r:id="rId30" w:history="1">
              <w:r w:rsidR="00FA5AA3" w:rsidRPr="00567BB6">
                <w:rPr>
                  <w:rStyle w:val="Hyperlink"/>
                  <w:i/>
                  <w:iCs/>
                  <w:spacing w:val="-2"/>
                  <w:szCs w:val="22"/>
                  <w:lang w:val="ru-RU"/>
                </w:rPr>
                <w:t>C26/50</w:t>
              </w:r>
            </w:hyperlink>
          </w:p>
        </w:tc>
      </w:tr>
      <w:bookmarkEnd w:id="2"/>
      <w:bookmarkEnd w:id="6"/>
    </w:tbl>
    <w:p w14:paraId="3953E06D" w14:textId="77777777" w:rsidR="00796BD3" w:rsidRPr="00567BB6" w:rsidRDefault="00796BD3" w:rsidP="00796BD3">
      <w:pPr>
        <w:rPr>
          <w:lang w:val="ru-RU"/>
        </w:rPr>
      </w:pPr>
    </w:p>
    <w:p w14:paraId="61D57CDA" w14:textId="77777777" w:rsidR="00D17718" w:rsidRPr="00567BB6" w:rsidRDefault="00D1771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</w:p>
    <w:p w14:paraId="5623AD6E" w14:textId="77777777" w:rsidR="00165D06" w:rsidRPr="00567BB6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567BB6">
        <w:rPr>
          <w:lang w:val="ru-RU"/>
        </w:rPr>
        <w:br w:type="page"/>
      </w:r>
    </w:p>
    <w:p w14:paraId="12F6ACCD" w14:textId="77777777" w:rsidR="000F6A02" w:rsidRPr="00567BB6" w:rsidRDefault="000F6A02" w:rsidP="000F6A02">
      <w:pPr>
        <w:pStyle w:val="Headingb"/>
        <w:rPr>
          <w:rFonts w:eastAsia="SimSun"/>
          <w:lang w:val="ru-RU"/>
        </w:rPr>
      </w:pPr>
      <w:r w:rsidRPr="00567BB6">
        <w:rPr>
          <w:bCs/>
          <w:lang w:val="ru-RU"/>
        </w:rPr>
        <w:lastRenderedPageBreak/>
        <w:t>Базовая информация</w:t>
      </w:r>
    </w:p>
    <w:p w14:paraId="1C4FE567" w14:textId="1BD5E792" w:rsidR="000F6A02" w:rsidRPr="00567BB6" w:rsidRDefault="000F6A02" w:rsidP="00940143">
      <w:pPr>
        <w:jc w:val="both"/>
        <w:rPr>
          <w:rFonts w:eastAsia="SimSun"/>
          <w:szCs w:val="24"/>
          <w:lang w:val="ru-RU"/>
        </w:rPr>
      </w:pPr>
      <w:r w:rsidRPr="00567BB6">
        <w:rPr>
          <w:lang w:val="ru-RU"/>
        </w:rPr>
        <w:t>1</w:t>
      </w:r>
      <w:r w:rsidRPr="00567BB6">
        <w:rPr>
          <w:lang w:val="ru-RU"/>
        </w:rPr>
        <w:tab/>
        <w:t xml:space="preserve">После утверждения на сессии Совета 2017 года Решений 600 (Документ </w:t>
      </w:r>
      <w:hyperlink r:id="rId31" w:history="1">
        <w:r w:rsidR="00523A04" w:rsidRPr="00567BB6">
          <w:rPr>
            <w:rFonts w:eastAsia="SimSun" w:cstheme="majorBidi"/>
            <w:color w:val="0563C1"/>
            <w:spacing w:val="-2"/>
            <w:u w:val="single"/>
            <w:lang w:val="ru-RU"/>
          </w:rPr>
          <w:t>C17/133</w:t>
        </w:r>
      </w:hyperlink>
      <w:r w:rsidRPr="00567BB6">
        <w:rPr>
          <w:lang w:val="ru-RU"/>
        </w:rPr>
        <w:t xml:space="preserve">) и 601 (Документ </w:t>
      </w:r>
      <w:hyperlink r:id="rId32" w:history="1">
        <w:r w:rsidR="00523A04" w:rsidRPr="00567BB6">
          <w:rPr>
            <w:rFonts w:eastAsia="SimSun" w:cstheme="majorBidi"/>
            <w:color w:val="0563C1"/>
            <w:spacing w:val="-2"/>
            <w:u w:val="single"/>
            <w:lang w:val="ru-RU"/>
          </w:rPr>
          <w:t>C17/134</w:t>
        </w:r>
      </w:hyperlink>
      <w:r w:rsidRPr="00567BB6">
        <w:rPr>
          <w:lang w:val="ru-RU"/>
        </w:rPr>
        <w:t xml:space="preserve">) Секретариат МСЭ ведет работу по выполнению этих Решений. </w:t>
      </w:r>
      <w:hyperlink r:id="rId33" w:history="1"/>
      <w:hyperlink r:id="rId34" w:history="1"/>
    </w:p>
    <w:p w14:paraId="40206B59" w14:textId="271492FD" w:rsidR="000F6A02" w:rsidRPr="00567BB6" w:rsidRDefault="000F6A02" w:rsidP="00940143">
      <w:pPr>
        <w:jc w:val="both"/>
        <w:rPr>
          <w:rFonts w:eastAsia="SimSun"/>
          <w:lang w:val="ru-RU"/>
        </w:rPr>
      </w:pPr>
      <w:r w:rsidRPr="00567BB6">
        <w:rPr>
          <w:lang w:val="ru-RU"/>
        </w:rPr>
        <w:t>2</w:t>
      </w:r>
      <w:r w:rsidRPr="00567BB6">
        <w:rPr>
          <w:lang w:val="ru-RU"/>
        </w:rPr>
        <w:tab/>
        <w:t xml:space="preserve">Бюро стандартизации электросвязи (БСЭ) представило на сессии Совета 2025 года Документ </w:t>
      </w:r>
      <w:hyperlink r:id="rId35" w:history="1">
        <w:r w:rsidR="009D425E" w:rsidRPr="00567BB6">
          <w:rPr>
            <w:rFonts w:eastAsia="SimSun" w:cstheme="majorBidi"/>
            <w:color w:val="0563C1"/>
            <w:spacing w:val="-2"/>
            <w:u w:val="single"/>
            <w:lang w:val="ru-RU"/>
          </w:rPr>
          <w:t>C25/38</w:t>
        </w:r>
      </w:hyperlink>
      <w:r w:rsidRPr="00567BB6">
        <w:rPr>
          <w:lang w:val="ru-RU"/>
        </w:rPr>
        <w:t>, в котором содержится обновленная информация по финансированию UIFN (Решение 600) и IIN (Решение 601).</w:t>
      </w:r>
      <w:hyperlink r:id="rId36" w:history="1"/>
    </w:p>
    <w:p w14:paraId="36C30163" w14:textId="367842D7" w:rsidR="000F6A02" w:rsidRPr="00567BB6" w:rsidRDefault="000F6A02" w:rsidP="00940143">
      <w:pPr>
        <w:jc w:val="both"/>
        <w:rPr>
          <w:rFonts w:eastAsia="SimSun"/>
          <w:lang w:val="ru-RU"/>
        </w:rPr>
      </w:pPr>
      <w:r w:rsidRPr="00567BB6">
        <w:rPr>
          <w:lang w:val="ru-RU"/>
        </w:rPr>
        <w:t>3</w:t>
      </w:r>
      <w:r w:rsidRPr="00567BB6">
        <w:rPr>
          <w:lang w:val="ru-RU"/>
        </w:rPr>
        <w:tab/>
        <w:t xml:space="preserve">В рамках последующих действий в связи с Документом </w:t>
      </w:r>
      <w:hyperlink r:id="rId37" w:history="1">
        <w:r w:rsidR="00523A04" w:rsidRPr="00567BB6">
          <w:rPr>
            <w:rFonts w:eastAsia="SimSun" w:cstheme="majorBidi"/>
            <w:color w:val="0563C1"/>
            <w:spacing w:val="-2"/>
            <w:u w:val="single"/>
            <w:lang w:val="ru-RU"/>
          </w:rPr>
          <w:t>C25/38</w:t>
        </w:r>
      </w:hyperlink>
      <w:r w:rsidR="00523A04" w:rsidRPr="00567BB6">
        <w:rPr>
          <w:rFonts w:eastAsia="SimSun" w:cstheme="majorBidi"/>
          <w:color w:val="0563C1"/>
          <w:spacing w:val="-2"/>
          <w:u w:val="single"/>
          <w:lang w:val="ru-RU"/>
        </w:rPr>
        <w:t xml:space="preserve"> </w:t>
      </w:r>
      <w:r w:rsidRPr="00567BB6">
        <w:rPr>
          <w:lang w:val="ru-RU"/>
        </w:rPr>
        <w:t xml:space="preserve">Совета Секретариат представил Рабочей группе Совета по финансовым и людским ресурсам (РГС-ФЛР) на ее сессии в январе 2026 года в Документе </w:t>
      </w:r>
      <w:hyperlink r:id="rId38" w:history="1">
        <w:r w:rsidR="00523A04" w:rsidRPr="00567BB6">
          <w:rPr>
            <w:rStyle w:val="Hyperlink"/>
            <w:color w:val="0563C1"/>
            <w:lang w:val="ru-RU"/>
          </w:rPr>
          <w:t>CWG-FHR-22/3</w:t>
        </w:r>
      </w:hyperlink>
      <w:r w:rsidRPr="00567BB6">
        <w:rPr>
          <w:lang w:val="ru-RU"/>
        </w:rPr>
        <w:t xml:space="preserve"> отчет об утверждении пересмотренной Рекомендации МСЭ-Т E.118, регулирующей администрирование IIN, в которой исключены функции регистратора и связанная с ними система взимания платы.</w:t>
      </w:r>
      <w:hyperlink r:id="rId39" w:history="1"/>
    </w:p>
    <w:p w14:paraId="7218F473" w14:textId="5E3E5596" w:rsidR="000F6A02" w:rsidRPr="00567BB6" w:rsidRDefault="000F6A02" w:rsidP="00940143">
      <w:pPr>
        <w:jc w:val="both"/>
        <w:rPr>
          <w:rFonts w:eastAsia="SimSun"/>
          <w:lang w:val="ru-RU"/>
        </w:rPr>
      </w:pPr>
      <w:r w:rsidRPr="00567BB6">
        <w:rPr>
          <w:lang w:val="ru-RU"/>
        </w:rPr>
        <w:t>4</w:t>
      </w:r>
      <w:r w:rsidRPr="00567BB6">
        <w:rPr>
          <w:lang w:val="ru-RU"/>
        </w:rPr>
        <w:tab/>
        <w:t xml:space="preserve">В настоящем документе представлена обновленная информация о сборе доходов по линии UIFN в соответствии с Решением 600 и изложены доводы в пользу </w:t>
      </w:r>
      <w:r w:rsidR="006E67CB" w:rsidRPr="00567BB6">
        <w:rPr>
          <w:lang w:val="ru-RU"/>
        </w:rPr>
        <w:t>аннулирования</w:t>
      </w:r>
      <w:r w:rsidRPr="00567BB6">
        <w:rPr>
          <w:lang w:val="ru-RU"/>
        </w:rPr>
        <w:t xml:space="preserve"> Решения 601.</w:t>
      </w:r>
    </w:p>
    <w:p w14:paraId="4266D68A" w14:textId="77777777" w:rsidR="000F6A02" w:rsidRPr="00567BB6" w:rsidRDefault="000F6A02" w:rsidP="000B0155">
      <w:pPr>
        <w:pStyle w:val="Figuretitle"/>
        <w:spacing w:before="360"/>
        <w:rPr>
          <w:rFonts w:eastAsia="SimSun"/>
          <w:lang w:val="ru-RU"/>
        </w:rPr>
      </w:pPr>
      <w:r w:rsidRPr="00567BB6">
        <w:rPr>
          <w:lang w:val="ru-RU"/>
        </w:rPr>
        <w:t>Обновленная информация по финансированию UIFN (Решение 600 Совета)</w:t>
      </w:r>
      <w:bookmarkStart w:id="8" w:name="_Hlk158995552"/>
      <w:bookmarkStart w:id="9" w:name="_Hlk220762571"/>
      <w:bookmarkEnd w:id="8"/>
    </w:p>
    <w:bookmarkEnd w:id="9"/>
    <w:p w14:paraId="0EF8C13F" w14:textId="01FB4977" w:rsidR="00951292" w:rsidRPr="00567BB6" w:rsidRDefault="00951292" w:rsidP="00940143">
      <w:pPr>
        <w:pStyle w:val="Figure"/>
        <w:rPr>
          <w:lang w:val="ru-RU" w:eastAsia="zh-CN"/>
        </w:rPr>
      </w:pPr>
      <w:r w:rsidRPr="00567BB6">
        <w:rPr>
          <w:noProof/>
          <w:lang w:val="ru-RU" w:eastAsia="zh-CN"/>
        </w:rPr>
        <w:drawing>
          <wp:inline distT="0" distB="0" distL="0" distR="0" wp14:anchorId="203E08C3" wp14:editId="4CFF1D8C">
            <wp:extent cx="4572000" cy="2846388"/>
            <wp:effectExtent l="0" t="0" r="0" b="11430"/>
            <wp:docPr id="141878898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E5113F1-EB17-A0BD-57F8-DF4B0219175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14:paraId="28967999" w14:textId="523999FD" w:rsidR="000F6A02" w:rsidRPr="00567BB6" w:rsidRDefault="000F6A02" w:rsidP="00940143">
      <w:pPr>
        <w:spacing w:before="240"/>
        <w:jc w:val="both"/>
        <w:rPr>
          <w:rFonts w:eastAsia="SimSun"/>
          <w:lang w:val="ru-RU"/>
        </w:rPr>
      </w:pPr>
      <w:r w:rsidRPr="00567BB6">
        <w:rPr>
          <w:lang w:val="ru-RU"/>
        </w:rPr>
        <w:t>На приведенном выше графике показано, что связанные с Решением 600 счета, выставленные с</w:t>
      </w:r>
      <w:r w:rsidR="0099324C" w:rsidRPr="00567BB6">
        <w:rPr>
          <w:lang w:val="ru-RU"/>
        </w:rPr>
        <w:t> </w:t>
      </w:r>
      <w:r w:rsidRPr="00567BB6">
        <w:rPr>
          <w:lang w:val="ru-RU"/>
        </w:rPr>
        <w:t>2018</w:t>
      </w:r>
      <w:r w:rsidR="0099324C" w:rsidRPr="00567BB6">
        <w:rPr>
          <w:lang w:val="ru-RU"/>
        </w:rPr>
        <w:t> </w:t>
      </w:r>
      <w:r w:rsidRPr="00567BB6">
        <w:rPr>
          <w:lang w:val="ru-RU"/>
        </w:rPr>
        <w:t>года, в среднем на сумму 235</w:t>
      </w:r>
      <w:r w:rsidR="0099324C" w:rsidRPr="00567BB6">
        <w:rPr>
          <w:lang w:val="ru-RU"/>
        </w:rPr>
        <w:t> </w:t>
      </w:r>
      <w:r w:rsidRPr="00567BB6">
        <w:rPr>
          <w:lang w:val="ru-RU"/>
        </w:rPr>
        <w:t>000</w:t>
      </w:r>
      <w:r w:rsidR="0099324C" w:rsidRPr="00567BB6">
        <w:rPr>
          <w:lang w:val="ru-RU"/>
        </w:rPr>
        <w:t> </w:t>
      </w:r>
      <w:r w:rsidRPr="00567BB6">
        <w:rPr>
          <w:lang w:val="ru-RU"/>
        </w:rPr>
        <w:t xml:space="preserve">швейцарских франков в год, в основном были оплачены. </w:t>
      </w:r>
    </w:p>
    <w:p w14:paraId="2FC3A3D9" w14:textId="77777777" w:rsidR="000F6A02" w:rsidRPr="00567BB6" w:rsidRDefault="000F6A02" w:rsidP="00940143">
      <w:pPr>
        <w:jc w:val="both"/>
        <w:rPr>
          <w:rFonts w:eastAsia="SimSun"/>
          <w:lang w:val="ru-RU"/>
        </w:rPr>
      </w:pPr>
      <w:r w:rsidRPr="00567BB6">
        <w:rPr>
          <w:lang w:val="ru-RU"/>
        </w:rPr>
        <w:t xml:space="preserve">Однако по состоянию на 28 января 2026 года следующие суммы остаются </w:t>
      </w:r>
      <w:r w:rsidRPr="00567BB6">
        <w:rPr>
          <w:b/>
          <w:bCs/>
          <w:lang w:val="ru-RU"/>
        </w:rPr>
        <w:t>невыплаченными</w:t>
      </w:r>
      <w:r w:rsidRPr="00567BB6">
        <w:rPr>
          <w:lang w:val="ru-RU"/>
        </w:rPr>
        <w:t xml:space="preserve"> и подлежат возмещению:</w:t>
      </w:r>
    </w:p>
    <w:p w14:paraId="7F717752" w14:textId="77029659" w:rsidR="000F6A02" w:rsidRPr="00567BB6" w:rsidRDefault="000F6A02" w:rsidP="00940143">
      <w:pPr>
        <w:pStyle w:val="enumlev1"/>
        <w:jc w:val="both"/>
        <w:rPr>
          <w:rFonts w:eastAsia="SimSun"/>
          <w:lang w:val="ru-RU"/>
        </w:rPr>
      </w:pPr>
      <w:r w:rsidRPr="00567BB6">
        <w:rPr>
          <w:lang w:val="ru-RU"/>
        </w:rPr>
        <w:t>–</w:t>
      </w:r>
      <w:r w:rsidRPr="00567BB6">
        <w:rPr>
          <w:lang w:val="ru-RU"/>
        </w:rPr>
        <w:tab/>
        <w:t>2018 год</w:t>
      </w:r>
      <w:r w:rsidR="00C80469" w:rsidRPr="00567BB6">
        <w:rPr>
          <w:lang w:val="ru-RU"/>
        </w:rPr>
        <w:t xml:space="preserve">: </w:t>
      </w:r>
      <w:r w:rsidRPr="00567BB6">
        <w:rPr>
          <w:lang w:val="ru-RU"/>
        </w:rPr>
        <w:t>14</w:t>
      </w:r>
      <w:r w:rsidR="0099324C" w:rsidRPr="00567BB6">
        <w:rPr>
          <w:lang w:val="ru-RU"/>
        </w:rPr>
        <w:t> </w:t>
      </w:r>
      <w:r w:rsidRPr="00567BB6">
        <w:rPr>
          <w:lang w:val="ru-RU"/>
        </w:rPr>
        <w:t>300 швейцарских франков</w:t>
      </w:r>
      <w:r w:rsidR="00C80469" w:rsidRPr="00567BB6">
        <w:rPr>
          <w:lang w:val="ru-RU"/>
        </w:rPr>
        <w:t>;</w:t>
      </w:r>
    </w:p>
    <w:p w14:paraId="3EFB8D89" w14:textId="1325F14E" w:rsidR="000F6A02" w:rsidRPr="00567BB6" w:rsidRDefault="000F6A02" w:rsidP="00940143">
      <w:pPr>
        <w:pStyle w:val="enumlev1"/>
        <w:jc w:val="both"/>
        <w:rPr>
          <w:rFonts w:eastAsia="SimSun"/>
          <w:lang w:val="ru-RU"/>
        </w:rPr>
      </w:pPr>
      <w:r w:rsidRPr="00567BB6">
        <w:rPr>
          <w:lang w:val="ru-RU"/>
        </w:rPr>
        <w:t>–</w:t>
      </w:r>
      <w:r w:rsidRPr="00567BB6">
        <w:rPr>
          <w:lang w:val="ru-RU"/>
        </w:rPr>
        <w:tab/>
        <w:t>2023 год: 100 швейцарских франков</w:t>
      </w:r>
      <w:r w:rsidR="00C80469" w:rsidRPr="00567BB6">
        <w:rPr>
          <w:lang w:val="ru-RU"/>
        </w:rPr>
        <w:t>;</w:t>
      </w:r>
    </w:p>
    <w:p w14:paraId="53718747" w14:textId="21087469" w:rsidR="000F6A02" w:rsidRPr="00567BB6" w:rsidRDefault="000F6A02" w:rsidP="00940143">
      <w:pPr>
        <w:pStyle w:val="enumlev1"/>
        <w:jc w:val="both"/>
        <w:rPr>
          <w:rFonts w:eastAsia="SimSun"/>
          <w:lang w:val="ru-RU"/>
        </w:rPr>
      </w:pPr>
      <w:r w:rsidRPr="00567BB6">
        <w:rPr>
          <w:lang w:val="ru-RU"/>
        </w:rPr>
        <w:t>–</w:t>
      </w:r>
      <w:r w:rsidRPr="00567BB6">
        <w:rPr>
          <w:lang w:val="ru-RU"/>
        </w:rPr>
        <w:tab/>
        <w:t>2024 год: 77</w:t>
      </w:r>
      <w:r w:rsidR="0099324C" w:rsidRPr="00567BB6">
        <w:rPr>
          <w:lang w:val="ru-RU"/>
        </w:rPr>
        <w:t> </w:t>
      </w:r>
      <w:r w:rsidRPr="00567BB6">
        <w:rPr>
          <w:lang w:val="ru-RU"/>
        </w:rPr>
        <w:t>400 швейцарских франков</w:t>
      </w:r>
      <w:r w:rsidR="00C80469" w:rsidRPr="00567BB6">
        <w:rPr>
          <w:lang w:val="ru-RU"/>
        </w:rPr>
        <w:t>;</w:t>
      </w:r>
    </w:p>
    <w:p w14:paraId="455F85B6" w14:textId="6A647C74" w:rsidR="000F6A02" w:rsidRPr="00567BB6" w:rsidRDefault="000F6A02" w:rsidP="00940143">
      <w:pPr>
        <w:pStyle w:val="enumlev1"/>
        <w:jc w:val="both"/>
        <w:rPr>
          <w:rFonts w:eastAsia="SimSun"/>
          <w:lang w:val="ru-RU"/>
        </w:rPr>
      </w:pPr>
      <w:r w:rsidRPr="00567BB6">
        <w:rPr>
          <w:lang w:val="ru-RU"/>
        </w:rPr>
        <w:t>–</w:t>
      </w:r>
      <w:r w:rsidRPr="00567BB6">
        <w:rPr>
          <w:lang w:val="ru-RU"/>
        </w:rPr>
        <w:tab/>
        <w:t>2025 год</w:t>
      </w:r>
      <w:r w:rsidR="00C80469" w:rsidRPr="00567BB6">
        <w:rPr>
          <w:lang w:val="ru-RU"/>
        </w:rPr>
        <w:t>:</w:t>
      </w:r>
      <w:r w:rsidRPr="00567BB6">
        <w:rPr>
          <w:lang w:val="ru-RU"/>
        </w:rPr>
        <w:t xml:space="preserve"> 61</w:t>
      </w:r>
      <w:r w:rsidR="0099324C" w:rsidRPr="00567BB6">
        <w:rPr>
          <w:lang w:val="ru-RU"/>
        </w:rPr>
        <w:t> </w:t>
      </w:r>
      <w:r w:rsidRPr="00567BB6">
        <w:rPr>
          <w:lang w:val="ru-RU"/>
        </w:rPr>
        <w:t>200 швейцарских франков.</w:t>
      </w:r>
    </w:p>
    <w:p w14:paraId="7C996590" w14:textId="520A018D" w:rsidR="000F6A02" w:rsidRPr="00567BB6" w:rsidRDefault="000F6A02" w:rsidP="00940143">
      <w:pPr>
        <w:jc w:val="both"/>
        <w:rPr>
          <w:rFonts w:eastAsia="SimSun"/>
          <w:lang w:val="ru-RU"/>
        </w:rPr>
      </w:pPr>
      <w:bookmarkStart w:id="10" w:name="_Hlk158995641"/>
      <w:r w:rsidRPr="00567BB6">
        <w:rPr>
          <w:lang w:val="ru-RU"/>
        </w:rPr>
        <w:t xml:space="preserve">В </w:t>
      </w:r>
      <w:hyperlink w:anchor="dtitle12" w:history="1">
        <w:r w:rsidRPr="00567BB6">
          <w:rPr>
            <w:rStyle w:val="Hyperlink"/>
            <w:lang w:val="ru-RU"/>
          </w:rPr>
          <w:t>Приложении 1</w:t>
        </w:r>
      </w:hyperlink>
      <w:r w:rsidRPr="00567BB6">
        <w:rPr>
          <w:lang w:val="ru-RU"/>
        </w:rPr>
        <w:t xml:space="preserve"> перечислены организации, которым были выставлены счета за 2018</w:t>
      </w:r>
      <w:r w:rsidR="000B0155" w:rsidRPr="00567BB6">
        <w:rPr>
          <w:lang w:val="ru-RU"/>
        </w:rPr>
        <w:t>−</w:t>
      </w:r>
      <w:r w:rsidRPr="00567BB6">
        <w:rPr>
          <w:lang w:val="ru-RU"/>
        </w:rPr>
        <w:t>2025</w:t>
      </w:r>
      <w:r w:rsidR="000B0155" w:rsidRPr="00567BB6">
        <w:rPr>
          <w:lang w:val="ru-RU"/>
        </w:rPr>
        <w:t> </w:t>
      </w:r>
      <w:r w:rsidRPr="00567BB6">
        <w:rPr>
          <w:lang w:val="ru-RU"/>
        </w:rPr>
        <w:t>годы и которые не оплатили свои счета по состоянию на 28 января 2026 года.</w:t>
      </w:r>
    </w:p>
    <w:p w14:paraId="23DA4C56" w14:textId="77777777" w:rsidR="000F6A02" w:rsidRPr="00567BB6" w:rsidRDefault="000F6A02" w:rsidP="00940143">
      <w:pPr>
        <w:jc w:val="both"/>
        <w:rPr>
          <w:rFonts w:eastAsia="SimSun"/>
          <w:lang w:val="ru-RU"/>
        </w:rPr>
      </w:pPr>
      <w:r w:rsidRPr="00567BB6">
        <w:rPr>
          <w:lang w:val="ru-RU"/>
        </w:rPr>
        <w:lastRenderedPageBreak/>
        <w:t xml:space="preserve">Секретариат убедительно просит Государства-Члены, у которых есть организации, имеющие неоплаченные счета, </w:t>
      </w:r>
      <w:r w:rsidRPr="00567BB6">
        <w:rPr>
          <w:b/>
          <w:bCs/>
          <w:lang w:val="ru-RU"/>
        </w:rPr>
        <w:t>оказать содействие</w:t>
      </w:r>
      <w:r w:rsidRPr="00567BB6">
        <w:rPr>
          <w:lang w:val="ru-RU"/>
        </w:rPr>
        <w:t xml:space="preserve"> в том, чтобы они выполнили Решение 600 Совета и оплатили свои счета.</w:t>
      </w:r>
    </w:p>
    <w:bookmarkEnd w:id="10"/>
    <w:p w14:paraId="08AF3EDC" w14:textId="675EC582" w:rsidR="000F6A02" w:rsidRPr="00567BB6" w:rsidRDefault="000F6A02" w:rsidP="000F6A02">
      <w:pPr>
        <w:pStyle w:val="Headingb"/>
        <w:rPr>
          <w:rFonts w:eastAsia="SimSun"/>
          <w:lang w:val="ru-RU"/>
        </w:rPr>
      </w:pPr>
      <w:r w:rsidRPr="00567BB6">
        <w:rPr>
          <w:bCs/>
          <w:lang w:val="ru-RU"/>
        </w:rPr>
        <w:t xml:space="preserve">Решение 601 Совета (IIN): обоснование </w:t>
      </w:r>
      <w:r w:rsidR="006E67CB" w:rsidRPr="00567BB6">
        <w:rPr>
          <w:bCs/>
          <w:lang w:val="ru-RU"/>
        </w:rPr>
        <w:t>аннулирования</w:t>
      </w:r>
    </w:p>
    <w:p w14:paraId="460B3991" w14:textId="06D56933" w:rsidR="000F6A02" w:rsidRPr="00567BB6" w:rsidRDefault="000F6A02" w:rsidP="00940143">
      <w:pPr>
        <w:jc w:val="both"/>
        <w:rPr>
          <w:rFonts w:eastAsia="SimSun"/>
          <w:lang w:val="ru-RU"/>
        </w:rPr>
      </w:pPr>
      <w:r w:rsidRPr="00567BB6">
        <w:rPr>
          <w:lang w:val="ru-RU"/>
        </w:rPr>
        <w:t xml:space="preserve">Из приведенного ниже списка видно, что связанные с Решением 601 доходы составляют в среднем лишь </w:t>
      </w:r>
      <w:r w:rsidRPr="00567BB6">
        <w:rPr>
          <w:b/>
          <w:bCs/>
          <w:lang w:val="ru-RU"/>
        </w:rPr>
        <w:t>4700 швейцарских франков</w:t>
      </w:r>
      <w:r w:rsidRPr="00567BB6">
        <w:rPr>
          <w:lang w:val="ru-RU"/>
        </w:rPr>
        <w:t xml:space="preserve"> в год, что не покрывает затраты на сбор таких доходов:</w:t>
      </w:r>
    </w:p>
    <w:p w14:paraId="37AC39A1" w14:textId="44318313" w:rsidR="000F6A02" w:rsidRPr="00567BB6" w:rsidRDefault="000B0155" w:rsidP="00940143">
      <w:pPr>
        <w:pStyle w:val="enumlev1"/>
        <w:jc w:val="both"/>
        <w:rPr>
          <w:lang w:val="ru-RU"/>
        </w:rPr>
      </w:pPr>
      <w:r w:rsidRPr="00567BB6">
        <w:rPr>
          <w:lang w:val="ru-RU"/>
        </w:rPr>
        <w:t>–</w:t>
      </w:r>
      <w:r w:rsidRPr="00567BB6">
        <w:rPr>
          <w:lang w:val="ru-RU"/>
        </w:rPr>
        <w:tab/>
      </w:r>
      <w:r w:rsidR="000F6A02" w:rsidRPr="00567BB6">
        <w:rPr>
          <w:lang w:val="ru-RU"/>
        </w:rPr>
        <w:t>2021 год: 6900 швейцарских франков;</w:t>
      </w:r>
    </w:p>
    <w:p w14:paraId="652BBA0A" w14:textId="3A7E368F" w:rsidR="000F6A02" w:rsidRPr="00567BB6" w:rsidRDefault="000B0155" w:rsidP="00940143">
      <w:pPr>
        <w:pStyle w:val="enumlev1"/>
        <w:jc w:val="both"/>
        <w:rPr>
          <w:lang w:val="ru-RU"/>
        </w:rPr>
      </w:pPr>
      <w:r w:rsidRPr="00567BB6">
        <w:rPr>
          <w:lang w:val="ru-RU"/>
        </w:rPr>
        <w:t>–</w:t>
      </w:r>
      <w:r w:rsidRPr="00567BB6">
        <w:rPr>
          <w:lang w:val="ru-RU"/>
        </w:rPr>
        <w:tab/>
      </w:r>
      <w:r w:rsidR="000F6A02" w:rsidRPr="00567BB6">
        <w:rPr>
          <w:lang w:val="ru-RU"/>
        </w:rPr>
        <w:t>2022 год: 5200 швейцарских франков;</w:t>
      </w:r>
    </w:p>
    <w:p w14:paraId="598D08B1" w14:textId="16FFF0CE" w:rsidR="000F6A02" w:rsidRPr="00567BB6" w:rsidRDefault="000B0155" w:rsidP="00940143">
      <w:pPr>
        <w:pStyle w:val="enumlev1"/>
        <w:jc w:val="both"/>
        <w:rPr>
          <w:lang w:val="ru-RU"/>
        </w:rPr>
      </w:pPr>
      <w:r w:rsidRPr="00567BB6">
        <w:rPr>
          <w:lang w:val="ru-RU"/>
        </w:rPr>
        <w:t>–</w:t>
      </w:r>
      <w:r w:rsidRPr="00567BB6">
        <w:rPr>
          <w:lang w:val="ru-RU"/>
        </w:rPr>
        <w:tab/>
      </w:r>
      <w:r w:rsidR="000F6A02" w:rsidRPr="00567BB6">
        <w:rPr>
          <w:lang w:val="ru-RU"/>
        </w:rPr>
        <w:t>2023 год: 3150 швейцарских франков;</w:t>
      </w:r>
    </w:p>
    <w:p w14:paraId="12936032" w14:textId="73C5D50A" w:rsidR="000F6A02" w:rsidRPr="00567BB6" w:rsidRDefault="000B0155" w:rsidP="00940143">
      <w:pPr>
        <w:pStyle w:val="enumlev1"/>
        <w:jc w:val="both"/>
        <w:rPr>
          <w:lang w:val="ru-RU"/>
        </w:rPr>
      </w:pPr>
      <w:r w:rsidRPr="00567BB6">
        <w:rPr>
          <w:lang w:val="ru-RU"/>
        </w:rPr>
        <w:t>–</w:t>
      </w:r>
      <w:r w:rsidRPr="00567BB6">
        <w:rPr>
          <w:lang w:val="ru-RU"/>
        </w:rPr>
        <w:tab/>
      </w:r>
      <w:r w:rsidR="000F6A02" w:rsidRPr="00567BB6">
        <w:rPr>
          <w:lang w:val="ru-RU"/>
        </w:rPr>
        <w:t>2024 год: 4450 швейцарских франков</w:t>
      </w:r>
      <w:r w:rsidR="006A4925" w:rsidRPr="00567BB6">
        <w:rPr>
          <w:lang w:val="ru-RU"/>
        </w:rPr>
        <w:t>.</w:t>
      </w:r>
    </w:p>
    <w:p w14:paraId="3ADE153D" w14:textId="0E849530" w:rsidR="000F6A02" w:rsidRPr="00567BB6" w:rsidRDefault="000F6A02" w:rsidP="00940143">
      <w:pPr>
        <w:jc w:val="both"/>
        <w:rPr>
          <w:lang w:val="ru-RU"/>
        </w:rPr>
      </w:pPr>
      <w:r w:rsidRPr="00567BB6">
        <w:rPr>
          <w:lang w:val="ru-RU"/>
        </w:rPr>
        <w:t>Кроме того, 5 сентября 2025 года 2-я Исследовательская комиссия МСЭ-Т утвердила пересмотр Рекомендации МСЭ-Т E.118, регулирующей административное управление IIN,</w:t>
      </w:r>
      <w:r w:rsidR="00CC5DCB" w:rsidRPr="00567BB6">
        <w:rPr>
          <w:lang w:val="ru-RU"/>
        </w:rPr>
        <w:t xml:space="preserve"> в которой исключены</w:t>
      </w:r>
      <w:r w:rsidRPr="00567BB6">
        <w:rPr>
          <w:lang w:val="ru-RU"/>
        </w:rPr>
        <w:t xml:space="preserve"> функци</w:t>
      </w:r>
      <w:r w:rsidR="00CC5DCB" w:rsidRPr="00567BB6">
        <w:rPr>
          <w:lang w:val="ru-RU"/>
        </w:rPr>
        <w:t>и</w:t>
      </w:r>
      <w:r w:rsidRPr="00567BB6">
        <w:rPr>
          <w:lang w:val="ru-RU"/>
        </w:rPr>
        <w:t xml:space="preserve"> регистратора и связанн</w:t>
      </w:r>
      <w:r w:rsidR="00CC5DCB" w:rsidRPr="00567BB6">
        <w:rPr>
          <w:lang w:val="ru-RU"/>
        </w:rPr>
        <w:t>ая</w:t>
      </w:r>
      <w:r w:rsidRPr="00567BB6">
        <w:rPr>
          <w:lang w:val="ru-RU"/>
        </w:rPr>
        <w:t xml:space="preserve"> с </w:t>
      </w:r>
      <w:r w:rsidR="00CC5DCB" w:rsidRPr="00567BB6">
        <w:rPr>
          <w:lang w:val="ru-RU"/>
        </w:rPr>
        <w:t>ними</w:t>
      </w:r>
      <w:r w:rsidRPr="00567BB6">
        <w:rPr>
          <w:lang w:val="ru-RU"/>
        </w:rPr>
        <w:t xml:space="preserve"> систем</w:t>
      </w:r>
      <w:r w:rsidR="00CC5DCB" w:rsidRPr="00567BB6">
        <w:rPr>
          <w:lang w:val="ru-RU"/>
        </w:rPr>
        <w:t>а</w:t>
      </w:r>
      <w:r w:rsidRPr="00567BB6">
        <w:rPr>
          <w:lang w:val="ru-RU"/>
        </w:rPr>
        <w:t xml:space="preserve"> сбора платежей. </w:t>
      </w:r>
    </w:p>
    <w:p w14:paraId="74E18C0A" w14:textId="2D544601" w:rsidR="000F6A02" w:rsidRPr="00567BB6" w:rsidRDefault="000F6A02" w:rsidP="000B0155">
      <w:pPr>
        <w:rPr>
          <w:lang w:val="ru-RU"/>
        </w:rPr>
      </w:pPr>
      <w:r w:rsidRPr="00567BB6">
        <w:rPr>
          <w:lang w:val="ru-RU"/>
        </w:rPr>
        <w:t xml:space="preserve">С учетом этих факторов в отчете предлагается </w:t>
      </w:r>
      <w:r w:rsidR="006E67CB" w:rsidRPr="00567BB6">
        <w:rPr>
          <w:b/>
          <w:bCs/>
          <w:lang w:val="ru-RU"/>
        </w:rPr>
        <w:t>аннулировать</w:t>
      </w:r>
      <w:r w:rsidRPr="00567BB6">
        <w:rPr>
          <w:lang w:val="ru-RU"/>
        </w:rPr>
        <w:t xml:space="preserve"> Решение </w:t>
      </w:r>
      <w:r w:rsidRPr="00567BB6">
        <w:rPr>
          <w:b/>
          <w:bCs/>
          <w:lang w:val="ru-RU"/>
        </w:rPr>
        <w:t>601</w:t>
      </w:r>
      <w:r w:rsidRPr="00567BB6">
        <w:rPr>
          <w:lang w:val="ru-RU"/>
        </w:rPr>
        <w:t xml:space="preserve"> Совета.</w:t>
      </w:r>
    </w:p>
    <w:p w14:paraId="0BC65565" w14:textId="38170980" w:rsidR="000F6A02" w:rsidRPr="00567BB6" w:rsidRDefault="000F6A02" w:rsidP="000B0155">
      <w:pPr>
        <w:pStyle w:val="Headingb"/>
        <w:rPr>
          <w:rFonts w:eastAsia="SimSun"/>
          <w:lang w:val="ru-RU"/>
        </w:rPr>
      </w:pPr>
      <w:r w:rsidRPr="00567BB6">
        <w:rPr>
          <w:lang w:val="ru-RU"/>
        </w:rPr>
        <w:t>Рекомендация</w:t>
      </w:r>
    </w:p>
    <w:p w14:paraId="52C6BD9C" w14:textId="556C9EF3" w:rsidR="000F6A02" w:rsidRPr="00567BB6" w:rsidRDefault="000F6A02" w:rsidP="000B0155">
      <w:pPr>
        <w:rPr>
          <w:rFonts w:eastAsia="SimSun"/>
          <w:lang w:val="ru-RU"/>
        </w:rPr>
      </w:pPr>
      <w:r w:rsidRPr="00567BB6">
        <w:rPr>
          <w:lang w:val="ru-RU"/>
        </w:rPr>
        <w:t>Секретариат продолжит работу по выполнению Решения 600 Совета (UIFN).</w:t>
      </w:r>
    </w:p>
    <w:p w14:paraId="2D64F32C" w14:textId="356155DB" w:rsidR="000F6A02" w:rsidRPr="00567BB6" w:rsidRDefault="000F6A02" w:rsidP="000B0155">
      <w:pPr>
        <w:rPr>
          <w:rFonts w:eastAsia="SimSun"/>
          <w:lang w:val="ru-RU"/>
        </w:rPr>
      </w:pPr>
      <w:r w:rsidRPr="00567BB6">
        <w:rPr>
          <w:lang w:val="ru-RU"/>
        </w:rPr>
        <w:t xml:space="preserve">Совету предлагается </w:t>
      </w:r>
      <w:r w:rsidR="006E67CB" w:rsidRPr="00567BB6">
        <w:rPr>
          <w:lang w:val="ru-RU"/>
        </w:rPr>
        <w:t>аннулировать</w:t>
      </w:r>
      <w:r w:rsidRPr="00567BB6">
        <w:rPr>
          <w:lang w:val="ru-RU"/>
        </w:rPr>
        <w:t xml:space="preserve"> Решение 601 Совета (IIN).</w:t>
      </w:r>
    </w:p>
    <w:p w14:paraId="14D1AF3C" w14:textId="77777777" w:rsidR="000F6A02" w:rsidRPr="00567BB6" w:rsidRDefault="000F6A02" w:rsidP="000B0155">
      <w:pPr>
        <w:spacing w:before="720"/>
        <w:rPr>
          <w:rFonts w:eastAsia="SimSun"/>
          <w:lang w:val="ru-RU"/>
        </w:rPr>
      </w:pPr>
      <w:r w:rsidRPr="00567BB6">
        <w:rPr>
          <w:b/>
          <w:bCs/>
          <w:lang w:val="ru-RU"/>
        </w:rPr>
        <w:t>Приложение</w:t>
      </w:r>
      <w:r w:rsidRPr="00567BB6">
        <w:rPr>
          <w:lang w:val="ru-RU"/>
        </w:rPr>
        <w:t>: 1</w:t>
      </w:r>
    </w:p>
    <w:p w14:paraId="5CA06B52" w14:textId="77777777" w:rsidR="000F6A02" w:rsidRPr="00567BB6" w:rsidRDefault="000F6A02" w:rsidP="00C462C5">
      <w:pPr>
        <w:pStyle w:val="Reasons"/>
        <w:rPr>
          <w:lang w:val="ru-RU"/>
        </w:rPr>
      </w:pPr>
    </w:p>
    <w:p w14:paraId="41E2D9EE" w14:textId="77777777" w:rsidR="000B0155" w:rsidRPr="00567BB6" w:rsidRDefault="000B0155" w:rsidP="00C462C5">
      <w:pPr>
        <w:pStyle w:val="Reasons"/>
        <w:rPr>
          <w:lang w:val="ru-RU"/>
        </w:rPr>
        <w:sectPr w:rsidR="000B0155" w:rsidRPr="00567BB6" w:rsidSect="00796BD3">
          <w:footerReference w:type="default" r:id="rId41"/>
          <w:headerReference w:type="first" r:id="rId42"/>
          <w:footerReference w:type="first" r:id="rId43"/>
          <w:pgSz w:w="11907" w:h="16834"/>
          <w:pgMar w:top="1418" w:right="1418" w:bottom="1418" w:left="1418" w:header="720" w:footer="720" w:gutter="0"/>
          <w:paperSrc w:first="286" w:other="286"/>
          <w:cols w:space="720"/>
          <w:titlePg/>
        </w:sectPr>
      </w:pPr>
    </w:p>
    <w:p w14:paraId="61BCCCC8" w14:textId="77777777" w:rsidR="000F6A02" w:rsidRPr="00567BB6" w:rsidRDefault="000F6A02" w:rsidP="000B0155">
      <w:pPr>
        <w:pStyle w:val="AnnexNo"/>
        <w:spacing w:before="0"/>
        <w:rPr>
          <w:rFonts w:eastAsia="SimSun"/>
          <w:lang w:val="ru-RU"/>
        </w:rPr>
      </w:pPr>
      <w:bookmarkStart w:id="11" w:name="dtitle12"/>
      <w:bookmarkEnd w:id="11"/>
      <w:r w:rsidRPr="00567BB6">
        <w:rPr>
          <w:lang w:val="ru-RU"/>
        </w:rPr>
        <w:lastRenderedPageBreak/>
        <w:t>Приложение</w:t>
      </w:r>
    </w:p>
    <w:p w14:paraId="230911CA" w14:textId="3026BC3C" w:rsidR="000F6A02" w:rsidRPr="00567BB6" w:rsidRDefault="000F6A02" w:rsidP="000F6A02">
      <w:pPr>
        <w:pStyle w:val="Annextitle"/>
        <w:rPr>
          <w:rFonts w:eastAsia="SimSun"/>
          <w:lang w:val="ru-RU"/>
        </w:rPr>
      </w:pPr>
      <w:r w:rsidRPr="00567BB6">
        <w:rPr>
          <w:bCs/>
          <w:lang w:val="ru-RU"/>
        </w:rPr>
        <w:t xml:space="preserve">Обновленный список поставщиков услуг UIFN, не осуществивших платеж </w:t>
      </w:r>
      <w:r w:rsidR="00567BB6" w:rsidRPr="00567BB6">
        <w:rPr>
          <w:bCs/>
          <w:lang w:val="ru-RU"/>
        </w:rPr>
        <w:br/>
      </w:r>
      <w:r w:rsidRPr="00567BB6">
        <w:rPr>
          <w:bCs/>
          <w:lang w:val="ru-RU"/>
        </w:rPr>
        <w:t>(за 2018, 2019, 2020, 2021, 2022, 2023, 2024 и 2025 годы по состоянию на 28 января 2026 г</w:t>
      </w:r>
      <w:r w:rsidR="0099324C" w:rsidRPr="00567BB6">
        <w:rPr>
          <w:bCs/>
          <w:lang w:val="ru-RU"/>
        </w:rPr>
        <w:t>.</w:t>
      </w:r>
      <w:r w:rsidRPr="00567BB6">
        <w:rPr>
          <w:bCs/>
          <w:lang w:val="ru-RU"/>
        </w:rPr>
        <w:t>)</w:t>
      </w:r>
    </w:p>
    <w:tbl>
      <w:tblPr>
        <w:tblW w:w="14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129"/>
        <w:gridCol w:w="1560"/>
        <w:gridCol w:w="1275"/>
        <w:gridCol w:w="1435"/>
        <w:gridCol w:w="3668"/>
        <w:gridCol w:w="3036"/>
        <w:gridCol w:w="1904"/>
      </w:tblGrid>
      <w:tr w:rsidR="0099324C" w:rsidRPr="00567BB6" w14:paraId="0C3C1EF8" w14:textId="77777777" w:rsidTr="0099324C">
        <w:trPr>
          <w:cantSplit/>
          <w:tblHeader/>
        </w:trPr>
        <w:tc>
          <w:tcPr>
            <w:tcW w:w="1129" w:type="dxa"/>
            <w:shd w:val="clear" w:color="auto" w:fill="DDDDDD"/>
            <w:vAlign w:val="center"/>
          </w:tcPr>
          <w:p w14:paraId="2DFC32E6" w14:textId="77777777" w:rsidR="000F6A02" w:rsidRPr="00567BB6" w:rsidRDefault="000F6A02" w:rsidP="000B0155">
            <w:pPr>
              <w:pStyle w:val="Tablehead"/>
              <w:rPr>
                <w:rFonts w:eastAsia="DengXian"/>
                <w:lang w:val="ru-RU"/>
              </w:rPr>
            </w:pPr>
            <w:r w:rsidRPr="00567BB6">
              <w:rPr>
                <w:bCs/>
                <w:color w:val="000000"/>
                <w:lang w:val="ru-RU"/>
              </w:rPr>
              <w:t>Год</w:t>
            </w:r>
          </w:p>
        </w:tc>
        <w:tc>
          <w:tcPr>
            <w:tcW w:w="1560" w:type="dxa"/>
            <w:shd w:val="clear" w:color="auto" w:fill="DDDDDD"/>
            <w:noWrap/>
            <w:vAlign w:val="center"/>
          </w:tcPr>
          <w:p w14:paraId="3F396417" w14:textId="77777777" w:rsidR="000F6A02" w:rsidRPr="00567BB6" w:rsidRDefault="000F6A02" w:rsidP="000B0155">
            <w:pPr>
              <w:pStyle w:val="Tablehead"/>
              <w:rPr>
                <w:rFonts w:eastAsia="DengXian"/>
                <w:lang w:val="ru-RU"/>
              </w:rPr>
            </w:pPr>
            <w:r w:rsidRPr="00567BB6">
              <w:rPr>
                <w:bCs/>
                <w:color w:val="000000"/>
                <w:lang w:val="ru-RU"/>
              </w:rPr>
              <w:t>Сумма</w:t>
            </w:r>
          </w:p>
        </w:tc>
        <w:tc>
          <w:tcPr>
            <w:tcW w:w="1275" w:type="dxa"/>
            <w:shd w:val="clear" w:color="auto" w:fill="DDDDDD"/>
            <w:noWrap/>
            <w:vAlign w:val="center"/>
          </w:tcPr>
          <w:p w14:paraId="17C1AB96" w14:textId="77777777" w:rsidR="000F6A02" w:rsidRPr="00567BB6" w:rsidRDefault="000F6A02" w:rsidP="000B0155">
            <w:pPr>
              <w:pStyle w:val="Tablehead"/>
              <w:rPr>
                <w:rFonts w:eastAsia="DengXian"/>
                <w:lang w:val="ru-RU"/>
              </w:rPr>
            </w:pPr>
            <w:r w:rsidRPr="00567BB6">
              <w:rPr>
                <w:bCs/>
                <w:color w:val="000000"/>
                <w:lang w:val="ru-RU"/>
              </w:rPr>
              <w:t>Валюта</w:t>
            </w:r>
          </w:p>
        </w:tc>
        <w:tc>
          <w:tcPr>
            <w:tcW w:w="1435" w:type="dxa"/>
            <w:shd w:val="clear" w:color="auto" w:fill="DDDDDD"/>
            <w:vAlign w:val="center"/>
          </w:tcPr>
          <w:p w14:paraId="7BE05C2D" w14:textId="77777777" w:rsidR="000F6A02" w:rsidRPr="00567BB6" w:rsidRDefault="000F6A02" w:rsidP="000B0155">
            <w:pPr>
              <w:pStyle w:val="Tablehead"/>
              <w:rPr>
                <w:rFonts w:eastAsia="DengXian"/>
                <w:lang w:val="ru-RU"/>
              </w:rPr>
            </w:pPr>
            <w:r w:rsidRPr="00567BB6">
              <w:rPr>
                <w:bCs/>
                <w:color w:val="000000"/>
                <w:lang w:val="ru-RU"/>
              </w:rPr>
              <w:t>Кол-во UIFN</w:t>
            </w:r>
          </w:p>
        </w:tc>
        <w:tc>
          <w:tcPr>
            <w:tcW w:w="3668" w:type="dxa"/>
            <w:shd w:val="clear" w:color="auto" w:fill="DDDDDD"/>
            <w:noWrap/>
            <w:vAlign w:val="center"/>
          </w:tcPr>
          <w:p w14:paraId="693D1D83" w14:textId="77777777" w:rsidR="000F6A02" w:rsidRPr="00567BB6" w:rsidRDefault="000F6A02" w:rsidP="000B0155">
            <w:pPr>
              <w:pStyle w:val="Tablehead"/>
              <w:rPr>
                <w:rFonts w:eastAsia="DengXian"/>
                <w:lang w:val="ru-RU"/>
              </w:rPr>
            </w:pPr>
            <w:r w:rsidRPr="00567BB6">
              <w:rPr>
                <w:bCs/>
                <w:color w:val="000000"/>
                <w:lang w:val="ru-RU"/>
              </w:rPr>
              <w:t>Название компании</w:t>
            </w:r>
          </w:p>
        </w:tc>
        <w:tc>
          <w:tcPr>
            <w:tcW w:w="3036" w:type="dxa"/>
            <w:shd w:val="clear" w:color="auto" w:fill="DDDDDD"/>
            <w:noWrap/>
            <w:vAlign w:val="center"/>
          </w:tcPr>
          <w:p w14:paraId="68A20B78" w14:textId="44373896" w:rsidR="000F6A02" w:rsidRPr="00567BB6" w:rsidRDefault="000F6A02" w:rsidP="000B0155">
            <w:pPr>
              <w:pStyle w:val="Tablehead"/>
              <w:rPr>
                <w:rFonts w:eastAsia="DengXian"/>
                <w:lang w:val="ru-RU"/>
              </w:rPr>
            </w:pPr>
            <w:r w:rsidRPr="00567BB6">
              <w:rPr>
                <w:bCs/>
                <w:color w:val="000000"/>
                <w:lang w:val="ru-RU"/>
              </w:rPr>
              <w:t>Страна/географическая зона</w:t>
            </w:r>
          </w:p>
        </w:tc>
        <w:tc>
          <w:tcPr>
            <w:tcW w:w="1904" w:type="dxa"/>
            <w:shd w:val="clear" w:color="auto" w:fill="DDDDDD"/>
            <w:vAlign w:val="center"/>
          </w:tcPr>
          <w:p w14:paraId="2B9EF57A" w14:textId="77777777" w:rsidR="000F6A02" w:rsidRPr="00567BB6" w:rsidRDefault="000F6A02" w:rsidP="000B0155">
            <w:pPr>
              <w:pStyle w:val="Tablehead"/>
              <w:rPr>
                <w:rFonts w:eastAsia="DengXian"/>
                <w:lang w:val="ru-RU"/>
              </w:rPr>
            </w:pPr>
            <w:r w:rsidRPr="00567BB6">
              <w:rPr>
                <w:bCs/>
                <w:color w:val="000000"/>
                <w:lang w:val="ru-RU"/>
              </w:rPr>
              <w:t>Примечание</w:t>
            </w:r>
          </w:p>
        </w:tc>
      </w:tr>
      <w:tr w:rsidR="0099324C" w:rsidRPr="00567BB6" w14:paraId="01DC7771" w14:textId="77777777" w:rsidTr="0099324C">
        <w:trPr>
          <w:cantSplit/>
        </w:trPr>
        <w:tc>
          <w:tcPr>
            <w:tcW w:w="1129" w:type="dxa"/>
          </w:tcPr>
          <w:p w14:paraId="797CB4CE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2024</w:t>
            </w:r>
          </w:p>
        </w:tc>
        <w:tc>
          <w:tcPr>
            <w:tcW w:w="1560" w:type="dxa"/>
          </w:tcPr>
          <w:p w14:paraId="40314330" w14:textId="77777777" w:rsidR="000F6A02" w:rsidRPr="00567BB6" w:rsidRDefault="000F6A02" w:rsidP="000B0155">
            <w:pPr>
              <w:pStyle w:val="Tabletext"/>
              <w:ind w:right="170"/>
              <w:jc w:val="righ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28 100,00</w:t>
            </w:r>
          </w:p>
        </w:tc>
        <w:tc>
          <w:tcPr>
            <w:tcW w:w="1275" w:type="dxa"/>
          </w:tcPr>
          <w:p w14:paraId="3CEB681F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</w:tcPr>
          <w:p w14:paraId="2E064561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281</w:t>
            </w:r>
          </w:p>
        </w:tc>
        <w:tc>
          <w:tcPr>
            <w:tcW w:w="3668" w:type="dxa"/>
          </w:tcPr>
          <w:p w14:paraId="41A06518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TDC A/S</w:t>
            </w:r>
          </w:p>
        </w:tc>
        <w:tc>
          <w:tcPr>
            <w:tcW w:w="3036" w:type="dxa"/>
          </w:tcPr>
          <w:p w14:paraId="41530ECE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Дания</w:t>
            </w:r>
          </w:p>
        </w:tc>
        <w:tc>
          <w:tcPr>
            <w:tcW w:w="1904" w:type="dxa"/>
          </w:tcPr>
          <w:p w14:paraId="2A6BBA72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</w:p>
        </w:tc>
      </w:tr>
      <w:tr w:rsidR="0099324C" w:rsidRPr="00567BB6" w14:paraId="6AB3FE80" w14:textId="77777777" w:rsidTr="0099324C">
        <w:trPr>
          <w:cantSplit/>
        </w:trPr>
        <w:tc>
          <w:tcPr>
            <w:tcW w:w="1129" w:type="dxa"/>
          </w:tcPr>
          <w:p w14:paraId="01DEDD3B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2025</w:t>
            </w:r>
          </w:p>
        </w:tc>
        <w:tc>
          <w:tcPr>
            <w:tcW w:w="1560" w:type="dxa"/>
          </w:tcPr>
          <w:p w14:paraId="5DD9D63C" w14:textId="77777777" w:rsidR="000F6A02" w:rsidRPr="00567BB6" w:rsidRDefault="000F6A02" w:rsidP="000B0155">
            <w:pPr>
              <w:pStyle w:val="Tabletext"/>
              <w:ind w:right="170"/>
              <w:jc w:val="righ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28 100,00</w:t>
            </w:r>
          </w:p>
        </w:tc>
        <w:tc>
          <w:tcPr>
            <w:tcW w:w="1275" w:type="dxa"/>
          </w:tcPr>
          <w:p w14:paraId="08FC964F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</w:tcPr>
          <w:p w14:paraId="5D1F10B7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281</w:t>
            </w:r>
          </w:p>
        </w:tc>
        <w:tc>
          <w:tcPr>
            <w:tcW w:w="3668" w:type="dxa"/>
          </w:tcPr>
          <w:p w14:paraId="0BD12948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TDC A/S</w:t>
            </w:r>
          </w:p>
        </w:tc>
        <w:tc>
          <w:tcPr>
            <w:tcW w:w="3036" w:type="dxa"/>
          </w:tcPr>
          <w:p w14:paraId="722958BD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Дания</w:t>
            </w:r>
          </w:p>
        </w:tc>
        <w:tc>
          <w:tcPr>
            <w:tcW w:w="1904" w:type="dxa"/>
          </w:tcPr>
          <w:p w14:paraId="373E4398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</w:p>
        </w:tc>
      </w:tr>
      <w:tr w:rsidR="0099324C" w:rsidRPr="00567BB6" w14:paraId="1FF2A079" w14:textId="77777777" w:rsidTr="0099324C">
        <w:trPr>
          <w:cantSplit/>
        </w:trPr>
        <w:tc>
          <w:tcPr>
            <w:tcW w:w="1129" w:type="dxa"/>
            <w:shd w:val="clear" w:color="auto" w:fill="F2F2F2" w:themeFill="background1" w:themeFillShade="F2"/>
          </w:tcPr>
          <w:p w14:paraId="16375E00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651DF63F" w14:textId="77777777" w:rsidR="000F6A02" w:rsidRPr="00567BB6" w:rsidRDefault="000F6A02" w:rsidP="000B0155">
            <w:pPr>
              <w:pStyle w:val="Tabletext"/>
              <w:ind w:right="170"/>
              <w:jc w:val="right"/>
              <w:rPr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>56 200,00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497CBD55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14:paraId="517835AD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3668" w:type="dxa"/>
            <w:shd w:val="clear" w:color="auto" w:fill="F2F2F2" w:themeFill="background1" w:themeFillShade="F2"/>
          </w:tcPr>
          <w:p w14:paraId="0BB018D9" w14:textId="4B85EBF9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 xml:space="preserve">Промежуточный итог </w:t>
            </w:r>
            <w:r w:rsidR="006A4925" w:rsidRPr="00567BB6">
              <w:rPr>
                <w:b/>
                <w:bCs/>
                <w:color w:val="000000"/>
                <w:lang w:val="ru-RU"/>
              </w:rPr>
              <w:t>−</w:t>
            </w:r>
            <w:r w:rsidRPr="00567BB6">
              <w:rPr>
                <w:b/>
                <w:bCs/>
                <w:color w:val="000000"/>
                <w:lang w:val="ru-RU"/>
              </w:rPr>
              <w:t xml:space="preserve"> Дания</w:t>
            </w:r>
          </w:p>
        </w:tc>
        <w:tc>
          <w:tcPr>
            <w:tcW w:w="3036" w:type="dxa"/>
            <w:shd w:val="clear" w:color="auto" w:fill="F2F2F2" w:themeFill="background1" w:themeFillShade="F2"/>
          </w:tcPr>
          <w:p w14:paraId="7DB5FEFE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>Дания</w:t>
            </w:r>
          </w:p>
        </w:tc>
        <w:tc>
          <w:tcPr>
            <w:tcW w:w="1904" w:type="dxa"/>
            <w:shd w:val="clear" w:color="auto" w:fill="F2F2F2" w:themeFill="background1" w:themeFillShade="F2"/>
          </w:tcPr>
          <w:p w14:paraId="4A043F06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</w:p>
        </w:tc>
      </w:tr>
      <w:tr w:rsidR="0099324C" w:rsidRPr="00567BB6" w14:paraId="4A95FD71" w14:textId="77777777" w:rsidTr="0099324C">
        <w:trPr>
          <w:cantSplit/>
        </w:trPr>
        <w:tc>
          <w:tcPr>
            <w:tcW w:w="1129" w:type="dxa"/>
          </w:tcPr>
          <w:p w14:paraId="3A030CE3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2024</w:t>
            </w:r>
          </w:p>
        </w:tc>
        <w:tc>
          <w:tcPr>
            <w:tcW w:w="1560" w:type="dxa"/>
          </w:tcPr>
          <w:p w14:paraId="22122C85" w14:textId="77777777" w:rsidR="000F6A02" w:rsidRPr="00567BB6" w:rsidRDefault="000F6A02" w:rsidP="000B0155">
            <w:pPr>
              <w:pStyle w:val="Tabletext"/>
              <w:ind w:right="170"/>
              <w:jc w:val="righ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33 600,00</w:t>
            </w:r>
          </w:p>
        </w:tc>
        <w:tc>
          <w:tcPr>
            <w:tcW w:w="1275" w:type="dxa"/>
          </w:tcPr>
          <w:p w14:paraId="2E42ABCE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</w:tcPr>
          <w:p w14:paraId="4EC5CE3C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–</w:t>
            </w:r>
          </w:p>
        </w:tc>
        <w:tc>
          <w:tcPr>
            <w:tcW w:w="3668" w:type="dxa"/>
          </w:tcPr>
          <w:p w14:paraId="1585A9D1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International Telcom Ltd.</w:t>
            </w:r>
          </w:p>
        </w:tc>
        <w:tc>
          <w:tcPr>
            <w:tcW w:w="3036" w:type="dxa"/>
          </w:tcPr>
          <w:p w14:paraId="43D07E7B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Соединенные Штаты Америки</w:t>
            </w:r>
          </w:p>
        </w:tc>
        <w:tc>
          <w:tcPr>
            <w:tcW w:w="1904" w:type="dxa"/>
          </w:tcPr>
          <w:p w14:paraId="3091206F" w14:textId="28DC620D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ЗАДОЛЖЕННОСТ</w:t>
            </w:r>
            <w:r w:rsidR="0043362A" w:rsidRPr="00567BB6">
              <w:rPr>
                <w:color w:val="000000"/>
                <w:lang w:val="ru-RU"/>
              </w:rPr>
              <w:t>Ь</w:t>
            </w:r>
            <w:r w:rsidRPr="00567BB6">
              <w:rPr>
                <w:color w:val="000000"/>
                <w:lang w:val="ru-RU"/>
              </w:rPr>
              <w:t>*</w:t>
            </w:r>
          </w:p>
        </w:tc>
      </w:tr>
      <w:tr w:rsidR="0099324C" w:rsidRPr="00567BB6" w14:paraId="2C5B4C35" w14:textId="77777777" w:rsidTr="0099324C">
        <w:trPr>
          <w:cantSplit/>
        </w:trPr>
        <w:tc>
          <w:tcPr>
            <w:tcW w:w="1129" w:type="dxa"/>
          </w:tcPr>
          <w:p w14:paraId="7728BDF3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2018</w:t>
            </w:r>
          </w:p>
        </w:tc>
        <w:tc>
          <w:tcPr>
            <w:tcW w:w="1560" w:type="dxa"/>
          </w:tcPr>
          <w:p w14:paraId="710C14AD" w14:textId="1B52394B" w:rsidR="000F6A02" w:rsidRPr="00567BB6" w:rsidRDefault="000F6A02" w:rsidP="000B0155">
            <w:pPr>
              <w:pStyle w:val="Tabletext"/>
              <w:ind w:right="170"/>
              <w:jc w:val="righ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1</w:t>
            </w:r>
            <w:r w:rsidR="00E10947" w:rsidRPr="00567BB6">
              <w:rPr>
                <w:color w:val="000000"/>
                <w:lang w:val="ru-RU"/>
              </w:rPr>
              <w:t> </w:t>
            </w:r>
            <w:r w:rsidRPr="00567BB6">
              <w:rPr>
                <w:color w:val="000000"/>
                <w:lang w:val="ru-RU"/>
              </w:rPr>
              <w:t xml:space="preserve">600,00 </w:t>
            </w:r>
          </w:p>
        </w:tc>
        <w:tc>
          <w:tcPr>
            <w:tcW w:w="1275" w:type="dxa"/>
          </w:tcPr>
          <w:p w14:paraId="7782255C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</w:tcPr>
          <w:p w14:paraId="56E025A5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56</w:t>
            </w:r>
          </w:p>
        </w:tc>
        <w:tc>
          <w:tcPr>
            <w:tcW w:w="3668" w:type="dxa"/>
          </w:tcPr>
          <w:p w14:paraId="70110215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International Telcom Ltd.</w:t>
            </w:r>
          </w:p>
        </w:tc>
        <w:tc>
          <w:tcPr>
            <w:tcW w:w="3036" w:type="dxa"/>
          </w:tcPr>
          <w:p w14:paraId="5789C2FC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Соединенные Штаты Америки</w:t>
            </w:r>
          </w:p>
        </w:tc>
        <w:tc>
          <w:tcPr>
            <w:tcW w:w="1904" w:type="dxa"/>
          </w:tcPr>
          <w:p w14:paraId="5B0A11D7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</w:p>
        </w:tc>
      </w:tr>
      <w:tr w:rsidR="0099324C" w:rsidRPr="00567BB6" w14:paraId="62D39468" w14:textId="77777777" w:rsidTr="0099324C">
        <w:trPr>
          <w:cantSplit/>
        </w:trPr>
        <w:tc>
          <w:tcPr>
            <w:tcW w:w="1129" w:type="dxa"/>
            <w:shd w:val="clear" w:color="auto" w:fill="F2F2F2" w:themeFill="background1" w:themeFillShade="F2"/>
          </w:tcPr>
          <w:p w14:paraId="458764B2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762ED987" w14:textId="77777777" w:rsidR="000F6A02" w:rsidRPr="00567BB6" w:rsidRDefault="000F6A02" w:rsidP="000B0155">
            <w:pPr>
              <w:pStyle w:val="Tabletext"/>
              <w:spacing w:line="259" w:lineRule="auto"/>
              <w:ind w:right="170"/>
              <w:jc w:val="right"/>
              <w:rPr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>35 200,00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7E5BFA36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14:paraId="299AF8A8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3668" w:type="dxa"/>
            <w:shd w:val="clear" w:color="auto" w:fill="F2F2F2" w:themeFill="background1" w:themeFillShade="F2"/>
          </w:tcPr>
          <w:p w14:paraId="3942156E" w14:textId="7048A239" w:rsidR="000F6A02" w:rsidRPr="00567BB6" w:rsidRDefault="000F6A02" w:rsidP="00991638">
            <w:pPr>
              <w:pStyle w:val="Tabletext"/>
              <w:rPr>
                <w:b/>
                <w:bCs/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 xml:space="preserve">Промежуточный итог </w:t>
            </w:r>
            <w:r w:rsidR="006A4925" w:rsidRPr="00567BB6">
              <w:rPr>
                <w:b/>
                <w:bCs/>
                <w:color w:val="000000"/>
                <w:lang w:val="ru-RU"/>
              </w:rPr>
              <w:t>−</w:t>
            </w:r>
            <w:r w:rsidRPr="00567BB6">
              <w:rPr>
                <w:b/>
                <w:bCs/>
                <w:color w:val="000000"/>
                <w:lang w:val="ru-RU"/>
              </w:rPr>
              <w:t xml:space="preserve"> Соединенные Штаты Америки</w:t>
            </w:r>
          </w:p>
        </w:tc>
        <w:tc>
          <w:tcPr>
            <w:tcW w:w="3036" w:type="dxa"/>
            <w:shd w:val="clear" w:color="auto" w:fill="F2F2F2" w:themeFill="background1" w:themeFillShade="F2"/>
          </w:tcPr>
          <w:p w14:paraId="373CF2FB" w14:textId="77777777" w:rsidR="000F6A02" w:rsidRPr="00567BB6" w:rsidRDefault="000F6A02" w:rsidP="00991638">
            <w:pPr>
              <w:pStyle w:val="Tabletext"/>
              <w:rPr>
                <w:b/>
                <w:bCs/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>Соединенные Штаты Америки</w:t>
            </w:r>
          </w:p>
        </w:tc>
        <w:tc>
          <w:tcPr>
            <w:tcW w:w="1904" w:type="dxa"/>
            <w:shd w:val="clear" w:color="auto" w:fill="F2F2F2" w:themeFill="background1" w:themeFillShade="F2"/>
          </w:tcPr>
          <w:p w14:paraId="38424EBE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</w:p>
        </w:tc>
      </w:tr>
      <w:tr w:rsidR="0099324C" w:rsidRPr="00567BB6" w14:paraId="2866609B" w14:textId="77777777" w:rsidTr="0099324C">
        <w:trPr>
          <w:cantSplit/>
        </w:trPr>
        <w:tc>
          <w:tcPr>
            <w:tcW w:w="1129" w:type="dxa"/>
          </w:tcPr>
          <w:p w14:paraId="69F13B43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2018</w:t>
            </w:r>
          </w:p>
        </w:tc>
        <w:tc>
          <w:tcPr>
            <w:tcW w:w="1560" w:type="dxa"/>
          </w:tcPr>
          <w:p w14:paraId="667B5F3E" w14:textId="77777777" w:rsidR="000F6A02" w:rsidRPr="00567BB6" w:rsidRDefault="000F6A02" w:rsidP="000B0155">
            <w:pPr>
              <w:pStyle w:val="Tabletext"/>
              <w:ind w:right="170"/>
              <w:jc w:val="righ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 xml:space="preserve">11 200,00 </w:t>
            </w:r>
          </w:p>
        </w:tc>
        <w:tc>
          <w:tcPr>
            <w:tcW w:w="1275" w:type="dxa"/>
          </w:tcPr>
          <w:p w14:paraId="2601A890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</w:tcPr>
          <w:p w14:paraId="28AC6A64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140</w:t>
            </w:r>
          </w:p>
        </w:tc>
        <w:tc>
          <w:tcPr>
            <w:tcW w:w="3668" w:type="dxa"/>
          </w:tcPr>
          <w:p w14:paraId="797A3C24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Bezeq International</w:t>
            </w:r>
          </w:p>
        </w:tc>
        <w:tc>
          <w:tcPr>
            <w:tcW w:w="3036" w:type="dxa"/>
          </w:tcPr>
          <w:p w14:paraId="61622BA9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Израиль</w:t>
            </w:r>
          </w:p>
        </w:tc>
        <w:tc>
          <w:tcPr>
            <w:tcW w:w="1904" w:type="dxa"/>
          </w:tcPr>
          <w:p w14:paraId="0E31D288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</w:p>
        </w:tc>
      </w:tr>
      <w:tr w:rsidR="0099324C" w:rsidRPr="00567BB6" w14:paraId="4165C5E8" w14:textId="77777777" w:rsidTr="0099324C">
        <w:trPr>
          <w:cantSplit/>
        </w:trPr>
        <w:tc>
          <w:tcPr>
            <w:tcW w:w="1129" w:type="dxa"/>
          </w:tcPr>
          <w:p w14:paraId="7A94F2CC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2025</w:t>
            </w:r>
          </w:p>
        </w:tc>
        <w:tc>
          <w:tcPr>
            <w:tcW w:w="1560" w:type="dxa"/>
          </w:tcPr>
          <w:p w14:paraId="3F3369CE" w14:textId="77777777" w:rsidR="000F6A02" w:rsidRPr="00567BB6" w:rsidRDefault="000F6A02" w:rsidP="000B0155">
            <w:pPr>
              <w:pStyle w:val="Tabletext"/>
              <w:ind w:right="170"/>
              <w:jc w:val="righ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6 800,00</w:t>
            </w:r>
          </w:p>
        </w:tc>
        <w:tc>
          <w:tcPr>
            <w:tcW w:w="1275" w:type="dxa"/>
          </w:tcPr>
          <w:p w14:paraId="326EDAAE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</w:tcPr>
          <w:p w14:paraId="61C80CB1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68</w:t>
            </w:r>
          </w:p>
        </w:tc>
        <w:tc>
          <w:tcPr>
            <w:tcW w:w="3668" w:type="dxa"/>
          </w:tcPr>
          <w:p w14:paraId="529BC714" w14:textId="77777777" w:rsidR="000F6A02" w:rsidRPr="00D509C8" w:rsidRDefault="000F6A02" w:rsidP="00991638">
            <w:pPr>
              <w:pStyle w:val="Tabletext"/>
            </w:pPr>
            <w:r w:rsidRPr="00D509C8">
              <w:rPr>
                <w:color w:val="000000"/>
              </w:rPr>
              <w:t>Partner Land-Line Communications Solutions LP</w:t>
            </w:r>
          </w:p>
        </w:tc>
        <w:tc>
          <w:tcPr>
            <w:tcW w:w="3036" w:type="dxa"/>
          </w:tcPr>
          <w:p w14:paraId="3D312FDE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Израиль</w:t>
            </w:r>
          </w:p>
        </w:tc>
        <w:tc>
          <w:tcPr>
            <w:tcW w:w="1904" w:type="dxa"/>
          </w:tcPr>
          <w:p w14:paraId="23063D2E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</w:p>
        </w:tc>
      </w:tr>
      <w:tr w:rsidR="0099324C" w:rsidRPr="00567BB6" w14:paraId="629650E0" w14:textId="77777777" w:rsidTr="0099324C">
        <w:trPr>
          <w:cantSplit/>
        </w:trPr>
        <w:tc>
          <w:tcPr>
            <w:tcW w:w="1129" w:type="dxa"/>
            <w:shd w:val="clear" w:color="auto" w:fill="F2F2F2" w:themeFill="background1" w:themeFillShade="F2"/>
          </w:tcPr>
          <w:p w14:paraId="786637F5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047DBAAD" w14:textId="77777777" w:rsidR="000F6A02" w:rsidRPr="00567BB6" w:rsidRDefault="000F6A02" w:rsidP="000B0155">
            <w:pPr>
              <w:pStyle w:val="Tabletext"/>
              <w:ind w:right="170"/>
              <w:jc w:val="right"/>
              <w:rPr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>18 000,00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666F3E4F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14:paraId="54B65722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3668" w:type="dxa"/>
            <w:shd w:val="clear" w:color="auto" w:fill="F2F2F2" w:themeFill="background1" w:themeFillShade="F2"/>
          </w:tcPr>
          <w:p w14:paraId="7239858C" w14:textId="4B2B8FE0" w:rsidR="000F6A02" w:rsidRPr="00567BB6" w:rsidRDefault="000F6A02" w:rsidP="00991638">
            <w:pPr>
              <w:pStyle w:val="Tabletext"/>
              <w:rPr>
                <w:b/>
                <w:bCs/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 xml:space="preserve">Промежуточный итог </w:t>
            </w:r>
            <w:r w:rsidR="006A4925" w:rsidRPr="00567BB6">
              <w:rPr>
                <w:b/>
                <w:bCs/>
                <w:color w:val="000000"/>
                <w:lang w:val="ru-RU"/>
              </w:rPr>
              <w:t>−</w:t>
            </w:r>
            <w:r w:rsidRPr="00567BB6">
              <w:rPr>
                <w:b/>
                <w:bCs/>
                <w:color w:val="000000"/>
                <w:lang w:val="ru-RU"/>
              </w:rPr>
              <w:t xml:space="preserve"> Израиль</w:t>
            </w:r>
          </w:p>
        </w:tc>
        <w:tc>
          <w:tcPr>
            <w:tcW w:w="3036" w:type="dxa"/>
            <w:shd w:val="clear" w:color="auto" w:fill="F2F2F2" w:themeFill="background1" w:themeFillShade="F2"/>
          </w:tcPr>
          <w:p w14:paraId="23C52FAA" w14:textId="77777777" w:rsidR="000F6A02" w:rsidRPr="00567BB6" w:rsidRDefault="000F6A02" w:rsidP="00991638">
            <w:pPr>
              <w:pStyle w:val="Tabletext"/>
              <w:rPr>
                <w:b/>
                <w:bCs/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>Израиль</w:t>
            </w:r>
          </w:p>
        </w:tc>
        <w:tc>
          <w:tcPr>
            <w:tcW w:w="1904" w:type="dxa"/>
            <w:shd w:val="clear" w:color="auto" w:fill="F2F2F2" w:themeFill="background1" w:themeFillShade="F2"/>
          </w:tcPr>
          <w:p w14:paraId="5EC2647F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</w:p>
        </w:tc>
      </w:tr>
      <w:tr w:rsidR="0099324C" w:rsidRPr="00567BB6" w14:paraId="6A2B0FA4" w14:textId="77777777" w:rsidTr="0099324C">
        <w:trPr>
          <w:cantSplit/>
        </w:trPr>
        <w:tc>
          <w:tcPr>
            <w:tcW w:w="1129" w:type="dxa"/>
          </w:tcPr>
          <w:p w14:paraId="3BA97B11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2025</w:t>
            </w:r>
          </w:p>
        </w:tc>
        <w:tc>
          <w:tcPr>
            <w:tcW w:w="1560" w:type="dxa"/>
          </w:tcPr>
          <w:p w14:paraId="6FE2FEE9" w14:textId="77777777" w:rsidR="000F6A02" w:rsidRPr="00567BB6" w:rsidRDefault="000F6A02" w:rsidP="000B0155">
            <w:pPr>
              <w:pStyle w:val="Tabletext"/>
              <w:ind w:right="170"/>
              <w:jc w:val="righ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13 900,00</w:t>
            </w:r>
          </w:p>
        </w:tc>
        <w:tc>
          <w:tcPr>
            <w:tcW w:w="1275" w:type="dxa"/>
          </w:tcPr>
          <w:p w14:paraId="725A1246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</w:tcPr>
          <w:p w14:paraId="047BFB59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139</w:t>
            </w:r>
          </w:p>
        </w:tc>
        <w:tc>
          <w:tcPr>
            <w:tcW w:w="3668" w:type="dxa"/>
          </w:tcPr>
          <w:p w14:paraId="236638CF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Hong Kong Telecommunications (HKT) Limited</w:t>
            </w:r>
          </w:p>
        </w:tc>
        <w:tc>
          <w:tcPr>
            <w:tcW w:w="3036" w:type="dxa"/>
          </w:tcPr>
          <w:p w14:paraId="239E2EE0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Гонконг, Китай</w:t>
            </w:r>
          </w:p>
        </w:tc>
        <w:tc>
          <w:tcPr>
            <w:tcW w:w="1904" w:type="dxa"/>
          </w:tcPr>
          <w:p w14:paraId="0678FA68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</w:p>
        </w:tc>
      </w:tr>
      <w:tr w:rsidR="0099324C" w:rsidRPr="00567BB6" w14:paraId="49D97645" w14:textId="77777777" w:rsidTr="0099324C">
        <w:trPr>
          <w:cantSplit/>
        </w:trPr>
        <w:tc>
          <w:tcPr>
            <w:tcW w:w="1129" w:type="dxa"/>
          </w:tcPr>
          <w:p w14:paraId="1103F8B2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2018</w:t>
            </w:r>
          </w:p>
        </w:tc>
        <w:tc>
          <w:tcPr>
            <w:tcW w:w="1560" w:type="dxa"/>
          </w:tcPr>
          <w:p w14:paraId="606890A4" w14:textId="77777777" w:rsidR="000F6A02" w:rsidRPr="00567BB6" w:rsidRDefault="000F6A02" w:rsidP="000B0155">
            <w:pPr>
              <w:pStyle w:val="Tabletext"/>
              <w:ind w:right="170"/>
              <w:jc w:val="righ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400,00</w:t>
            </w:r>
          </w:p>
        </w:tc>
        <w:tc>
          <w:tcPr>
            <w:tcW w:w="1275" w:type="dxa"/>
          </w:tcPr>
          <w:p w14:paraId="2681C476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</w:tcPr>
          <w:p w14:paraId="5B5AB763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4</w:t>
            </w:r>
          </w:p>
        </w:tc>
        <w:tc>
          <w:tcPr>
            <w:tcW w:w="3668" w:type="dxa"/>
          </w:tcPr>
          <w:p w14:paraId="423A269C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HKBN Enterprise Solutions HK Limited (ранее – WTT HK Limited)</w:t>
            </w:r>
          </w:p>
        </w:tc>
        <w:tc>
          <w:tcPr>
            <w:tcW w:w="3036" w:type="dxa"/>
          </w:tcPr>
          <w:p w14:paraId="4BE7F9C0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Гонконг, Китай</w:t>
            </w:r>
          </w:p>
        </w:tc>
        <w:tc>
          <w:tcPr>
            <w:tcW w:w="1904" w:type="dxa"/>
          </w:tcPr>
          <w:p w14:paraId="1D6514BE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</w:p>
        </w:tc>
      </w:tr>
      <w:tr w:rsidR="0099324C" w:rsidRPr="00567BB6" w14:paraId="4DC87ABA" w14:textId="77777777" w:rsidTr="0099324C">
        <w:trPr>
          <w:cantSplit/>
        </w:trPr>
        <w:tc>
          <w:tcPr>
            <w:tcW w:w="1129" w:type="dxa"/>
          </w:tcPr>
          <w:p w14:paraId="369B0637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2023</w:t>
            </w:r>
          </w:p>
        </w:tc>
        <w:tc>
          <w:tcPr>
            <w:tcW w:w="1560" w:type="dxa"/>
          </w:tcPr>
          <w:p w14:paraId="744A3AF4" w14:textId="77777777" w:rsidR="000F6A02" w:rsidRPr="00567BB6" w:rsidRDefault="000F6A02" w:rsidP="000B0155">
            <w:pPr>
              <w:pStyle w:val="Tabletext"/>
              <w:ind w:right="170"/>
              <w:jc w:val="righ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100,00</w:t>
            </w:r>
          </w:p>
        </w:tc>
        <w:tc>
          <w:tcPr>
            <w:tcW w:w="1275" w:type="dxa"/>
          </w:tcPr>
          <w:p w14:paraId="5EC48DB6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</w:tcPr>
          <w:p w14:paraId="357D6EB0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1</w:t>
            </w:r>
          </w:p>
        </w:tc>
        <w:tc>
          <w:tcPr>
            <w:tcW w:w="3668" w:type="dxa"/>
          </w:tcPr>
          <w:p w14:paraId="280C1B2C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HGC Global Communications Limited</w:t>
            </w:r>
          </w:p>
        </w:tc>
        <w:tc>
          <w:tcPr>
            <w:tcW w:w="3036" w:type="dxa"/>
          </w:tcPr>
          <w:p w14:paraId="737B3A87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Гонконг, Китай</w:t>
            </w:r>
          </w:p>
        </w:tc>
        <w:tc>
          <w:tcPr>
            <w:tcW w:w="1904" w:type="dxa"/>
          </w:tcPr>
          <w:p w14:paraId="59813B30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</w:p>
        </w:tc>
      </w:tr>
      <w:tr w:rsidR="0099324C" w:rsidRPr="00567BB6" w14:paraId="2E2AD5BC" w14:textId="77777777" w:rsidTr="0099324C">
        <w:trPr>
          <w:cantSplit/>
        </w:trPr>
        <w:tc>
          <w:tcPr>
            <w:tcW w:w="1129" w:type="dxa"/>
            <w:shd w:val="clear" w:color="auto" w:fill="F2F2F2" w:themeFill="background1" w:themeFillShade="F2"/>
          </w:tcPr>
          <w:p w14:paraId="1F1906B1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1E2274F7" w14:textId="77777777" w:rsidR="000F6A02" w:rsidRPr="00567BB6" w:rsidRDefault="000F6A02" w:rsidP="000B0155">
            <w:pPr>
              <w:pStyle w:val="Tabletext"/>
              <w:ind w:right="170"/>
              <w:jc w:val="right"/>
              <w:rPr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>14 400,00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2AEDF834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14:paraId="0657BFE1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3668" w:type="dxa"/>
            <w:shd w:val="clear" w:color="auto" w:fill="F2F2F2" w:themeFill="background1" w:themeFillShade="F2"/>
          </w:tcPr>
          <w:p w14:paraId="6F68DE2C" w14:textId="3C1BE6DA" w:rsidR="000F6A02" w:rsidRPr="00567BB6" w:rsidRDefault="000F6A02" w:rsidP="00991638">
            <w:pPr>
              <w:pStyle w:val="Tabletext"/>
              <w:rPr>
                <w:b/>
                <w:bCs/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 xml:space="preserve">Промежуточный итог </w:t>
            </w:r>
            <w:r w:rsidR="006A4925" w:rsidRPr="00567BB6">
              <w:rPr>
                <w:b/>
                <w:bCs/>
                <w:color w:val="000000"/>
                <w:lang w:val="ru-RU"/>
              </w:rPr>
              <w:t>−</w:t>
            </w:r>
            <w:r w:rsidRPr="00567BB6">
              <w:rPr>
                <w:b/>
                <w:bCs/>
                <w:color w:val="000000"/>
                <w:lang w:val="ru-RU"/>
              </w:rPr>
              <w:t xml:space="preserve"> Гонконг, Китай</w:t>
            </w:r>
          </w:p>
        </w:tc>
        <w:tc>
          <w:tcPr>
            <w:tcW w:w="3036" w:type="dxa"/>
            <w:shd w:val="clear" w:color="auto" w:fill="F2F2F2" w:themeFill="background1" w:themeFillShade="F2"/>
          </w:tcPr>
          <w:p w14:paraId="25202A1C" w14:textId="77777777" w:rsidR="000F6A02" w:rsidRPr="00567BB6" w:rsidRDefault="000F6A02" w:rsidP="00991638">
            <w:pPr>
              <w:pStyle w:val="Tabletext"/>
              <w:rPr>
                <w:b/>
                <w:bCs/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>Гонконг, Китай</w:t>
            </w:r>
          </w:p>
        </w:tc>
        <w:tc>
          <w:tcPr>
            <w:tcW w:w="1904" w:type="dxa"/>
            <w:shd w:val="clear" w:color="auto" w:fill="F2F2F2" w:themeFill="background1" w:themeFillShade="F2"/>
          </w:tcPr>
          <w:p w14:paraId="5DFC2BD8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</w:p>
        </w:tc>
      </w:tr>
      <w:tr w:rsidR="0099324C" w:rsidRPr="00567BB6" w14:paraId="76C5653E" w14:textId="77777777" w:rsidTr="0099324C">
        <w:trPr>
          <w:cantSplit/>
        </w:trPr>
        <w:tc>
          <w:tcPr>
            <w:tcW w:w="1129" w:type="dxa"/>
          </w:tcPr>
          <w:p w14:paraId="3C566616" w14:textId="77777777" w:rsidR="000F6A02" w:rsidRPr="00567BB6" w:rsidRDefault="000F6A02" w:rsidP="00991638">
            <w:pPr>
              <w:pStyle w:val="Tabletext"/>
              <w:keepNext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2024</w:t>
            </w:r>
          </w:p>
        </w:tc>
        <w:tc>
          <w:tcPr>
            <w:tcW w:w="1560" w:type="dxa"/>
          </w:tcPr>
          <w:p w14:paraId="59973D32" w14:textId="77777777" w:rsidR="000F6A02" w:rsidRPr="00567BB6" w:rsidRDefault="000F6A02" w:rsidP="000B0155">
            <w:pPr>
              <w:pStyle w:val="Tabletext"/>
              <w:keepNext/>
              <w:ind w:right="170"/>
              <w:jc w:val="righ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3 000,00</w:t>
            </w:r>
          </w:p>
        </w:tc>
        <w:tc>
          <w:tcPr>
            <w:tcW w:w="1275" w:type="dxa"/>
          </w:tcPr>
          <w:p w14:paraId="1A1393E3" w14:textId="77777777" w:rsidR="000F6A02" w:rsidRPr="00567BB6" w:rsidRDefault="000F6A02" w:rsidP="00991638">
            <w:pPr>
              <w:pStyle w:val="Tabletext"/>
              <w:keepNext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</w:tcPr>
          <w:p w14:paraId="7C1D3471" w14:textId="77777777" w:rsidR="000F6A02" w:rsidRPr="00567BB6" w:rsidRDefault="000F6A02" w:rsidP="00991638">
            <w:pPr>
              <w:pStyle w:val="Tabletext"/>
              <w:keepNext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–</w:t>
            </w:r>
          </w:p>
        </w:tc>
        <w:tc>
          <w:tcPr>
            <w:tcW w:w="3668" w:type="dxa"/>
          </w:tcPr>
          <w:p w14:paraId="0771D01C" w14:textId="77777777" w:rsidR="000F6A02" w:rsidRPr="00567BB6" w:rsidRDefault="000F6A02" w:rsidP="00991638">
            <w:pPr>
              <w:pStyle w:val="Tabletext"/>
              <w:keepNext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Kingston communications/Affiniti</w:t>
            </w:r>
          </w:p>
        </w:tc>
        <w:tc>
          <w:tcPr>
            <w:tcW w:w="3036" w:type="dxa"/>
          </w:tcPr>
          <w:p w14:paraId="34497BCB" w14:textId="77777777" w:rsidR="000F6A02" w:rsidRPr="00567BB6" w:rsidRDefault="000F6A02" w:rsidP="00991638">
            <w:pPr>
              <w:pStyle w:val="Tabletext"/>
              <w:keepNext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Соединенное Королевство</w:t>
            </w:r>
          </w:p>
        </w:tc>
        <w:tc>
          <w:tcPr>
            <w:tcW w:w="1904" w:type="dxa"/>
          </w:tcPr>
          <w:p w14:paraId="021EE860" w14:textId="3F4F0E22" w:rsidR="000F6A02" w:rsidRPr="00567BB6" w:rsidRDefault="000F6A02" w:rsidP="00991638">
            <w:pPr>
              <w:pStyle w:val="Tabletext"/>
              <w:keepNext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ЗАДОЛЖЕННОСТ</w:t>
            </w:r>
            <w:r w:rsidR="00716D5F" w:rsidRPr="00567BB6">
              <w:rPr>
                <w:color w:val="000000"/>
                <w:lang w:val="ru-RU"/>
              </w:rPr>
              <w:t>Ь</w:t>
            </w:r>
            <w:r w:rsidRPr="00567BB6">
              <w:rPr>
                <w:color w:val="000000"/>
                <w:lang w:val="ru-RU"/>
              </w:rPr>
              <w:t>*</w:t>
            </w:r>
          </w:p>
        </w:tc>
      </w:tr>
      <w:tr w:rsidR="0099324C" w:rsidRPr="00567BB6" w14:paraId="3B414FB1" w14:textId="77777777" w:rsidTr="0099324C">
        <w:trPr>
          <w:cantSplit/>
        </w:trPr>
        <w:tc>
          <w:tcPr>
            <w:tcW w:w="1129" w:type="dxa"/>
          </w:tcPr>
          <w:p w14:paraId="0DC9E87A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2024</w:t>
            </w:r>
          </w:p>
        </w:tc>
        <w:tc>
          <w:tcPr>
            <w:tcW w:w="1560" w:type="dxa"/>
          </w:tcPr>
          <w:p w14:paraId="15E83869" w14:textId="77777777" w:rsidR="000F6A02" w:rsidRPr="00567BB6" w:rsidRDefault="000F6A02" w:rsidP="000B0155">
            <w:pPr>
              <w:pStyle w:val="Tabletext"/>
              <w:ind w:right="170"/>
              <w:jc w:val="righ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1 800,00</w:t>
            </w:r>
          </w:p>
        </w:tc>
        <w:tc>
          <w:tcPr>
            <w:tcW w:w="1275" w:type="dxa"/>
          </w:tcPr>
          <w:p w14:paraId="08C8CE71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</w:tcPr>
          <w:p w14:paraId="1AA484AB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–</w:t>
            </w:r>
          </w:p>
        </w:tc>
        <w:tc>
          <w:tcPr>
            <w:tcW w:w="3668" w:type="dxa"/>
          </w:tcPr>
          <w:p w14:paraId="34824FC4" w14:textId="53AB4EF1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PTGI INTERNATIONAL CARRIER</w:t>
            </w:r>
            <w:r w:rsidR="006A4925" w:rsidRPr="00567BB6">
              <w:rPr>
                <w:color w:val="000000"/>
                <w:lang w:val="ru-RU"/>
              </w:rPr>
              <w:t xml:space="preserve"> </w:t>
            </w:r>
            <w:r w:rsidRPr="00567BB6">
              <w:rPr>
                <w:color w:val="000000"/>
                <w:lang w:val="ru-RU"/>
              </w:rPr>
              <w:t>(ранее – PRIMUS Telecommunications Ltd.)</w:t>
            </w:r>
          </w:p>
        </w:tc>
        <w:tc>
          <w:tcPr>
            <w:tcW w:w="3036" w:type="dxa"/>
          </w:tcPr>
          <w:p w14:paraId="063ADC29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Соединенное Королевство</w:t>
            </w:r>
          </w:p>
        </w:tc>
        <w:tc>
          <w:tcPr>
            <w:tcW w:w="1904" w:type="dxa"/>
          </w:tcPr>
          <w:p w14:paraId="1B1CCF16" w14:textId="20A4DDB0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ЗАДОЛЖЕННОСТ</w:t>
            </w:r>
            <w:r w:rsidR="00716D5F" w:rsidRPr="00567BB6">
              <w:rPr>
                <w:color w:val="000000"/>
                <w:lang w:val="ru-RU"/>
              </w:rPr>
              <w:t>Ь</w:t>
            </w:r>
            <w:r w:rsidRPr="00567BB6">
              <w:rPr>
                <w:color w:val="000000"/>
                <w:lang w:val="ru-RU"/>
              </w:rPr>
              <w:t>*</w:t>
            </w:r>
          </w:p>
        </w:tc>
      </w:tr>
      <w:tr w:rsidR="0099324C" w:rsidRPr="00567BB6" w14:paraId="65DED70B" w14:textId="77777777" w:rsidTr="0099324C">
        <w:trPr>
          <w:cantSplit/>
        </w:trPr>
        <w:tc>
          <w:tcPr>
            <w:tcW w:w="1129" w:type="dxa"/>
          </w:tcPr>
          <w:p w14:paraId="539B04D4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2018</w:t>
            </w:r>
          </w:p>
        </w:tc>
        <w:tc>
          <w:tcPr>
            <w:tcW w:w="1560" w:type="dxa"/>
          </w:tcPr>
          <w:p w14:paraId="7D151673" w14:textId="528F86F3" w:rsidR="000F6A02" w:rsidRPr="00567BB6" w:rsidRDefault="000F6A02" w:rsidP="000B0155">
            <w:pPr>
              <w:pStyle w:val="Tabletext"/>
              <w:ind w:right="170"/>
              <w:jc w:val="righ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100</w:t>
            </w:r>
            <w:r w:rsidR="008A4E04" w:rsidRPr="00567BB6">
              <w:rPr>
                <w:color w:val="000000"/>
                <w:lang w:val="ru-RU"/>
              </w:rPr>
              <w:t>,</w:t>
            </w:r>
            <w:r w:rsidR="00015E59" w:rsidRPr="00567BB6">
              <w:rPr>
                <w:color w:val="000000"/>
                <w:lang w:val="ru-RU"/>
              </w:rPr>
              <w:t>0</w:t>
            </w:r>
            <w:r w:rsidRPr="00567BB6">
              <w:rPr>
                <w:color w:val="000000"/>
                <w:lang w:val="ru-RU"/>
              </w:rPr>
              <w:t>0</w:t>
            </w:r>
          </w:p>
        </w:tc>
        <w:tc>
          <w:tcPr>
            <w:tcW w:w="1275" w:type="dxa"/>
          </w:tcPr>
          <w:p w14:paraId="2D0B2706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</w:tcPr>
          <w:p w14:paraId="1FE4E494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5</w:t>
            </w:r>
          </w:p>
        </w:tc>
        <w:tc>
          <w:tcPr>
            <w:tcW w:w="3668" w:type="dxa"/>
          </w:tcPr>
          <w:p w14:paraId="2B21BB9D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Kingston communications/Affiniti</w:t>
            </w:r>
          </w:p>
        </w:tc>
        <w:tc>
          <w:tcPr>
            <w:tcW w:w="3036" w:type="dxa"/>
          </w:tcPr>
          <w:p w14:paraId="48273234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Соединенное Королевство</w:t>
            </w:r>
          </w:p>
        </w:tc>
        <w:tc>
          <w:tcPr>
            <w:tcW w:w="1904" w:type="dxa"/>
          </w:tcPr>
          <w:p w14:paraId="22BDC943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</w:p>
        </w:tc>
      </w:tr>
      <w:tr w:rsidR="0099324C" w:rsidRPr="00567BB6" w14:paraId="2F26FF48" w14:textId="77777777" w:rsidTr="0099324C">
        <w:trPr>
          <w:cantSplit/>
        </w:trPr>
        <w:tc>
          <w:tcPr>
            <w:tcW w:w="1129" w:type="dxa"/>
          </w:tcPr>
          <w:p w14:paraId="30ECBAAE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2018</w:t>
            </w:r>
          </w:p>
        </w:tc>
        <w:tc>
          <w:tcPr>
            <w:tcW w:w="1560" w:type="dxa"/>
          </w:tcPr>
          <w:p w14:paraId="04C27E74" w14:textId="77777777" w:rsidR="000F6A02" w:rsidRPr="00567BB6" w:rsidRDefault="000F6A02" w:rsidP="000B0155">
            <w:pPr>
              <w:pStyle w:val="Tabletext"/>
              <w:ind w:right="170"/>
              <w:jc w:val="righ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300,00</w:t>
            </w:r>
          </w:p>
        </w:tc>
        <w:tc>
          <w:tcPr>
            <w:tcW w:w="1275" w:type="dxa"/>
          </w:tcPr>
          <w:p w14:paraId="3479E86E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</w:tcPr>
          <w:p w14:paraId="43D697F5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3</w:t>
            </w:r>
          </w:p>
        </w:tc>
        <w:tc>
          <w:tcPr>
            <w:tcW w:w="3668" w:type="dxa"/>
          </w:tcPr>
          <w:p w14:paraId="1A905D3C" w14:textId="51082402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PTGI INTERNATIONAL CARRIER (ранее – PRIMUS Telecommunications Ltd.)</w:t>
            </w:r>
          </w:p>
        </w:tc>
        <w:tc>
          <w:tcPr>
            <w:tcW w:w="3036" w:type="dxa"/>
          </w:tcPr>
          <w:p w14:paraId="2F55885C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Соединенное Королевство</w:t>
            </w:r>
          </w:p>
        </w:tc>
        <w:tc>
          <w:tcPr>
            <w:tcW w:w="1904" w:type="dxa"/>
          </w:tcPr>
          <w:p w14:paraId="7F5D08C9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</w:p>
        </w:tc>
      </w:tr>
      <w:tr w:rsidR="0099324C" w:rsidRPr="00567BB6" w14:paraId="01963591" w14:textId="77777777" w:rsidTr="0099324C">
        <w:trPr>
          <w:cantSplit/>
        </w:trPr>
        <w:tc>
          <w:tcPr>
            <w:tcW w:w="1129" w:type="dxa"/>
            <w:shd w:val="clear" w:color="auto" w:fill="F2F2F2" w:themeFill="background1" w:themeFillShade="F2"/>
          </w:tcPr>
          <w:p w14:paraId="061C352B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03305518" w14:textId="77777777" w:rsidR="000F6A02" w:rsidRPr="00567BB6" w:rsidRDefault="000F6A02" w:rsidP="000B0155">
            <w:pPr>
              <w:pStyle w:val="Tabletext"/>
              <w:ind w:right="170"/>
              <w:jc w:val="right"/>
              <w:rPr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>5 200,00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703D1C1C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14:paraId="736C4652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>8</w:t>
            </w:r>
          </w:p>
        </w:tc>
        <w:tc>
          <w:tcPr>
            <w:tcW w:w="3668" w:type="dxa"/>
            <w:shd w:val="clear" w:color="auto" w:fill="F2F2F2" w:themeFill="background1" w:themeFillShade="F2"/>
          </w:tcPr>
          <w:p w14:paraId="1BD2BAFE" w14:textId="22A05FB5" w:rsidR="000F6A02" w:rsidRPr="00567BB6" w:rsidRDefault="000F6A02" w:rsidP="00991638">
            <w:pPr>
              <w:pStyle w:val="Tabletext"/>
              <w:rPr>
                <w:b/>
                <w:bCs/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 xml:space="preserve">Промежуточный итог </w:t>
            </w:r>
            <w:r w:rsidR="006A4925" w:rsidRPr="00567BB6">
              <w:rPr>
                <w:b/>
                <w:bCs/>
                <w:color w:val="000000"/>
                <w:lang w:val="ru-RU"/>
              </w:rPr>
              <w:t>−</w:t>
            </w:r>
            <w:r w:rsidRPr="00567BB6">
              <w:rPr>
                <w:b/>
                <w:bCs/>
                <w:color w:val="000000"/>
                <w:lang w:val="ru-RU"/>
              </w:rPr>
              <w:t xml:space="preserve"> Соединенное Королевство</w:t>
            </w:r>
          </w:p>
        </w:tc>
        <w:tc>
          <w:tcPr>
            <w:tcW w:w="3036" w:type="dxa"/>
            <w:shd w:val="clear" w:color="auto" w:fill="F2F2F2" w:themeFill="background1" w:themeFillShade="F2"/>
          </w:tcPr>
          <w:p w14:paraId="7E5C57D8" w14:textId="77777777" w:rsidR="000F6A02" w:rsidRPr="00567BB6" w:rsidRDefault="000F6A02" w:rsidP="00991638">
            <w:pPr>
              <w:pStyle w:val="Tabletext"/>
              <w:rPr>
                <w:b/>
                <w:bCs/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>Соединенное Королевство</w:t>
            </w:r>
          </w:p>
        </w:tc>
        <w:tc>
          <w:tcPr>
            <w:tcW w:w="1904" w:type="dxa"/>
            <w:shd w:val="clear" w:color="auto" w:fill="F2F2F2" w:themeFill="background1" w:themeFillShade="F2"/>
          </w:tcPr>
          <w:p w14:paraId="37A2F4CD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</w:p>
        </w:tc>
      </w:tr>
      <w:tr w:rsidR="0099324C" w:rsidRPr="00567BB6" w14:paraId="0EA36F73" w14:textId="77777777" w:rsidTr="0099324C">
        <w:trPr>
          <w:cantSplit/>
        </w:trPr>
        <w:tc>
          <w:tcPr>
            <w:tcW w:w="1129" w:type="dxa"/>
          </w:tcPr>
          <w:p w14:paraId="7A91AE06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2025</w:t>
            </w:r>
          </w:p>
        </w:tc>
        <w:tc>
          <w:tcPr>
            <w:tcW w:w="1560" w:type="dxa"/>
          </w:tcPr>
          <w:p w14:paraId="41CE1EC8" w14:textId="77777777" w:rsidR="000F6A02" w:rsidRPr="00567BB6" w:rsidRDefault="000F6A02" w:rsidP="000B0155">
            <w:pPr>
              <w:pStyle w:val="Tabletext"/>
              <w:ind w:right="170"/>
              <w:jc w:val="righ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4 500,00</w:t>
            </w:r>
          </w:p>
        </w:tc>
        <w:tc>
          <w:tcPr>
            <w:tcW w:w="1275" w:type="dxa"/>
          </w:tcPr>
          <w:p w14:paraId="1B7FB49A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</w:tcPr>
          <w:p w14:paraId="0D403889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45</w:t>
            </w:r>
          </w:p>
        </w:tc>
        <w:tc>
          <w:tcPr>
            <w:tcW w:w="3668" w:type="dxa"/>
          </w:tcPr>
          <w:p w14:paraId="73C5A945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MessageBird B.V.</w:t>
            </w:r>
          </w:p>
        </w:tc>
        <w:tc>
          <w:tcPr>
            <w:tcW w:w="3036" w:type="dxa"/>
          </w:tcPr>
          <w:p w14:paraId="00FBC38A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Нидерланды</w:t>
            </w:r>
          </w:p>
        </w:tc>
        <w:tc>
          <w:tcPr>
            <w:tcW w:w="1904" w:type="dxa"/>
          </w:tcPr>
          <w:p w14:paraId="55894831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</w:p>
        </w:tc>
      </w:tr>
      <w:tr w:rsidR="0099324C" w:rsidRPr="00567BB6" w14:paraId="0DB0652D" w14:textId="77777777" w:rsidTr="0099324C">
        <w:trPr>
          <w:cantSplit/>
        </w:trPr>
        <w:tc>
          <w:tcPr>
            <w:tcW w:w="1129" w:type="dxa"/>
          </w:tcPr>
          <w:p w14:paraId="2EF74015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2025</w:t>
            </w:r>
          </w:p>
        </w:tc>
        <w:tc>
          <w:tcPr>
            <w:tcW w:w="1560" w:type="dxa"/>
          </w:tcPr>
          <w:p w14:paraId="5E622D09" w14:textId="77777777" w:rsidR="000F6A02" w:rsidRPr="00567BB6" w:rsidRDefault="000F6A02" w:rsidP="000B0155">
            <w:pPr>
              <w:pStyle w:val="Tabletext"/>
              <w:ind w:right="170"/>
              <w:jc w:val="righ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800,00</w:t>
            </w:r>
          </w:p>
        </w:tc>
        <w:tc>
          <w:tcPr>
            <w:tcW w:w="1275" w:type="dxa"/>
          </w:tcPr>
          <w:p w14:paraId="77669014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</w:tcPr>
          <w:p w14:paraId="34B238FE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8</w:t>
            </w:r>
          </w:p>
        </w:tc>
        <w:tc>
          <w:tcPr>
            <w:tcW w:w="3668" w:type="dxa"/>
          </w:tcPr>
          <w:p w14:paraId="34412724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TeleForwarding International B.V.</w:t>
            </w:r>
          </w:p>
        </w:tc>
        <w:tc>
          <w:tcPr>
            <w:tcW w:w="3036" w:type="dxa"/>
          </w:tcPr>
          <w:p w14:paraId="428752C4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Нидерланды</w:t>
            </w:r>
          </w:p>
        </w:tc>
        <w:tc>
          <w:tcPr>
            <w:tcW w:w="1904" w:type="dxa"/>
          </w:tcPr>
          <w:p w14:paraId="5C7EF601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</w:p>
        </w:tc>
      </w:tr>
      <w:tr w:rsidR="0099324C" w:rsidRPr="00567BB6" w14:paraId="2D8BC838" w14:textId="77777777" w:rsidTr="0099324C">
        <w:trPr>
          <w:cantSplit/>
        </w:trPr>
        <w:tc>
          <w:tcPr>
            <w:tcW w:w="1129" w:type="dxa"/>
          </w:tcPr>
          <w:p w14:paraId="43261689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273B5F89" w14:textId="77777777" w:rsidR="000F6A02" w:rsidRPr="00567BB6" w:rsidRDefault="000F6A02" w:rsidP="000B0155">
            <w:pPr>
              <w:pStyle w:val="Tabletext"/>
              <w:ind w:right="170"/>
              <w:jc w:val="right"/>
              <w:rPr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>5 300,00</w:t>
            </w:r>
          </w:p>
        </w:tc>
        <w:tc>
          <w:tcPr>
            <w:tcW w:w="1275" w:type="dxa"/>
          </w:tcPr>
          <w:p w14:paraId="2BCCD579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</w:tcPr>
          <w:p w14:paraId="6C266077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3668" w:type="dxa"/>
          </w:tcPr>
          <w:p w14:paraId="174FA972" w14:textId="5DC3CF5D" w:rsidR="000F6A02" w:rsidRPr="00567BB6" w:rsidRDefault="000F6A02" w:rsidP="00991638">
            <w:pPr>
              <w:pStyle w:val="Tabletext"/>
              <w:rPr>
                <w:b/>
                <w:bCs/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 xml:space="preserve">Промежуточный итог </w:t>
            </w:r>
            <w:r w:rsidR="006A4925" w:rsidRPr="00567BB6">
              <w:rPr>
                <w:b/>
                <w:bCs/>
                <w:color w:val="000000"/>
                <w:lang w:val="ru-RU"/>
              </w:rPr>
              <w:t>−</w:t>
            </w:r>
            <w:r w:rsidRPr="00567BB6">
              <w:rPr>
                <w:b/>
                <w:bCs/>
                <w:color w:val="000000"/>
                <w:lang w:val="ru-RU"/>
              </w:rPr>
              <w:t xml:space="preserve"> Нидерланды</w:t>
            </w:r>
          </w:p>
        </w:tc>
        <w:tc>
          <w:tcPr>
            <w:tcW w:w="3036" w:type="dxa"/>
          </w:tcPr>
          <w:p w14:paraId="662449C3" w14:textId="77777777" w:rsidR="000F6A02" w:rsidRPr="00567BB6" w:rsidRDefault="000F6A02" w:rsidP="00991638">
            <w:pPr>
              <w:pStyle w:val="Tabletext"/>
              <w:rPr>
                <w:b/>
                <w:bCs/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>Нидерланды</w:t>
            </w:r>
          </w:p>
        </w:tc>
        <w:tc>
          <w:tcPr>
            <w:tcW w:w="1904" w:type="dxa"/>
          </w:tcPr>
          <w:p w14:paraId="192EA565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</w:p>
        </w:tc>
      </w:tr>
      <w:tr w:rsidR="0099324C" w:rsidRPr="00567BB6" w14:paraId="4B09BF82" w14:textId="77777777" w:rsidTr="0099324C">
        <w:trPr>
          <w:cantSplit/>
        </w:trPr>
        <w:tc>
          <w:tcPr>
            <w:tcW w:w="1129" w:type="dxa"/>
          </w:tcPr>
          <w:p w14:paraId="668CCC7B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2024</w:t>
            </w:r>
          </w:p>
        </w:tc>
        <w:tc>
          <w:tcPr>
            <w:tcW w:w="1560" w:type="dxa"/>
          </w:tcPr>
          <w:p w14:paraId="428D771B" w14:textId="77777777" w:rsidR="000F6A02" w:rsidRPr="00567BB6" w:rsidRDefault="000F6A02" w:rsidP="000B0155">
            <w:pPr>
              <w:pStyle w:val="Tabletext"/>
              <w:ind w:right="170"/>
              <w:jc w:val="righ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2 100,00</w:t>
            </w:r>
          </w:p>
        </w:tc>
        <w:tc>
          <w:tcPr>
            <w:tcW w:w="1275" w:type="dxa"/>
          </w:tcPr>
          <w:p w14:paraId="481F1A47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</w:tcPr>
          <w:p w14:paraId="6C3FFCF8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21</w:t>
            </w:r>
          </w:p>
        </w:tc>
        <w:tc>
          <w:tcPr>
            <w:tcW w:w="3668" w:type="dxa"/>
          </w:tcPr>
          <w:p w14:paraId="6DD89480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Telia Norge AS</w:t>
            </w:r>
          </w:p>
        </w:tc>
        <w:tc>
          <w:tcPr>
            <w:tcW w:w="3036" w:type="dxa"/>
          </w:tcPr>
          <w:p w14:paraId="28C5ED9C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Норвегия</w:t>
            </w:r>
          </w:p>
        </w:tc>
        <w:tc>
          <w:tcPr>
            <w:tcW w:w="1904" w:type="dxa"/>
          </w:tcPr>
          <w:p w14:paraId="4C393DEE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</w:p>
        </w:tc>
      </w:tr>
      <w:tr w:rsidR="0099324C" w:rsidRPr="00567BB6" w14:paraId="7C4CE638" w14:textId="77777777" w:rsidTr="0099324C">
        <w:trPr>
          <w:cantSplit/>
        </w:trPr>
        <w:tc>
          <w:tcPr>
            <w:tcW w:w="1129" w:type="dxa"/>
          </w:tcPr>
          <w:p w14:paraId="5004B538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2025</w:t>
            </w:r>
          </w:p>
        </w:tc>
        <w:tc>
          <w:tcPr>
            <w:tcW w:w="1560" w:type="dxa"/>
          </w:tcPr>
          <w:p w14:paraId="5FA8FAC3" w14:textId="77777777" w:rsidR="000F6A02" w:rsidRPr="00567BB6" w:rsidRDefault="000F6A02" w:rsidP="000B0155">
            <w:pPr>
              <w:pStyle w:val="Tabletext"/>
              <w:ind w:right="170"/>
              <w:jc w:val="righ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2 100,00</w:t>
            </w:r>
          </w:p>
        </w:tc>
        <w:tc>
          <w:tcPr>
            <w:tcW w:w="1275" w:type="dxa"/>
          </w:tcPr>
          <w:p w14:paraId="70A8E760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</w:tcPr>
          <w:p w14:paraId="1AC1343B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21</w:t>
            </w:r>
          </w:p>
        </w:tc>
        <w:tc>
          <w:tcPr>
            <w:tcW w:w="3668" w:type="dxa"/>
          </w:tcPr>
          <w:p w14:paraId="00FD738F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Telia Norge AS</w:t>
            </w:r>
          </w:p>
        </w:tc>
        <w:tc>
          <w:tcPr>
            <w:tcW w:w="3036" w:type="dxa"/>
          </w:tcPr>
          <w:p w14:paraId="1646EA4D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Норвегия</w:t>
            </w:r>
          </w:p>
        </w:tc>
        <w:tc>
          <w:tcPr>
            <w:tcW w:w="1904" w:type="dxa"/>
          </w:tcPr>
          <w:p w14:paraId="39974C0A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</w:p>
        </w:tc>
      </w:tr>
      <w:tr w:rsidR="0099324C" w:rsidRPr="00567BB6" w14:paraId="0A670827" w14:textId="77777777" w:rsidTr="0099324C">
        <w:trPr>
          <w:cantSplit/>
        </w:trPr>
        <w:tc>
          <w:tcPr>
            <w:tcW w:w="1129" w:type="dxa"/>
            <w:shd w:val="clear" w:color="auto" w:fill="F2F2F2" w:themeFill="background1" w:themeFillShade="F2"/>
          </w:tcPr>
          <w:p w14:paraId="2D28FEFC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18CAE124" w14:textId="77777777" w:rsidR="000F6A02" w:rsidRPr="00567BB6" w:rsidRDefault="000F6A02" w:rsidP="000B0155">
            <w:pPr>
              <w:pStyle w:val="Tabletext"/>
              <w:ind w:right="170"/>
              <w:jc w:val="right"/>
              <w:rPr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>4 200,00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3A2BE284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14:paraId="409DC3E2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3668" w:type="dxa"/>
            <w:shd w:val="clear" w:color="auto" w:fill="F2F2F2" w:themeFill="background1" w:themeFillShade="F2"/>
          </w:tcPr>
          <w:p w14:paraId="7F709E72" w14:textId="113FEA05" w:rsidR="000F6A02" w:rsidRPr="00567BB6" w:rsidRDefault="000F6A02" w:rsidP="00991638">
            <w:pPr>
              <w:pStyle w:val="Tabletext"/>
              <w:rPr>
                <w:b/>
                <w:bCs/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 xml:space="preserve">Промежуточный итог </w:t>
            </w:r>
            <w:r w:rsidR="006A4925" w:rsidRPr="00567BB6">
              <w:rPr>
                <w:b/>
                <w:bCs/>
                <w:color w:val="000000"/>
                <w:lang w:val="ru-RU"/>
              </w:rPr>
              <w:t>−</w:t>
            </w:r>
            <w:r w:rsidRPr="00567BB6">
              <w:rPr>
                <w:b/>
                <w:bCs/>
                <w:color w:val="000000"/>
                <w:lang w:val="ru-RU"/>
              </w:rPr>
              <w:t xml:space="preserve"> Норвегия</w:t>
            </w:r>
          </w:p>
        </w:tc>
        <w:tc>
          <w:tcPr>
            <w:tcW w:w="3036" w:type="dxa"/>
            <w:shd w:val="clear" w:color="auto" w:fill="F2F2F2" w:themeFill="background1" w:themeFillShade="F2"/>
          </w:tcPr>
          <w:p w14:paraId="1E7B8A74" w14:textId="77777777" w:rsidR="000F6A02" w:rsidRPr="00567BB6" w:rsidRDefault="000F6A02" w:rsidP="00991638">
            <w:pPr>
              <w:pStyle w:val="Tabletext"/>
              <w:rPr>
                <w:b/>
                <w:bCs/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>Норвегия</w:t>
            </w:r>
          </w:p>
        </w:tc>
        <w:tc>
          <w:tcPr>
            <w:tcW w:w="1904" w:type="dxa"/>
            <w:shd w:val="clear" w:color="auto" w:fill="F2F2F2" w:themeFill="background1" w:themeFillShade="F2"/>
          </w:tcPr>
          <w:p w14:paraId="047B548B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</w:p>
        </w:tc>
      </w:tr>
      <w:tr w:rsidR="0099324C" w:rsidRPr="00567BB6" w14:paraId="61029C55" w14:textId="77777777" w:rsidTr="0099324C">
        <w:trPr>
          <w:cantSplit/>
        </w:trPr>
        <w:tc>
          <w:tcPr>
            <w:tcW w:w="1129" w:type="dxa"/>
          </w:tcPr>
          <w:p w14:paraId="2DB087BA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2024</w:t>
            </w:r>
          </w:p>
        </w:tc>
        <w:tc>
          <w:tcPr>
            <w:tcW w:w="1560" w:type="dxa"/>
          </w:tcPr>
          <w:p w14:paraId="6853AFF4" w14:textId="77777777" w:rsidR="000F6A02" w:rsidRPr="00567BB6" w:rsidRDefault="000F6A02" w:rsidP="000B0155">
            <w:pPr>
              <w:pStyle w:val="Tabletext"/>
              <w:ind w:right="170"/>
              <w:jc w:val="righ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3 000,00</w:t>
            </w:r>
          </w:p>
        </w:tc>
        <w:tc>
          <w:tcPr>
            <w:tcW w:w="1275" w:type="dxa"/>
          </w:tcPr>
          <w:p w14:paraId="6D92051F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</w:tcPr>
          <w:p w14:paraId="15DB5C2B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–</w:t>
            </w:r>
          </w:p>
        </w:tc>
        <w:tc>
          <w:tcPr>
            <w:tcW w:w="3668" w:type="dxa"/>
          </w:tcPr>
          <w:p w14:paraId="1B6B924C" w14:textId="1225AD83" w:rsidR="000F6A02" w:rsidRPr="00D509C8" w:rsidRDefault="000F6A02" w:rsidP="00991638">
            <w:pPr>
              <w:pStyle w:val="Tabletext"/>
              <w:rPr>
                <w:lang w:val="es-ES"/>
              </w:rPr>
            </w:pPr>
            <w:r w:rsidRPr="00D509C8">
              <w:rPr>
                <w:color w:val="000000"/>
                <w:lang w:val="es-ES"/>
              </w:rPr>
              <w:t>Telefónica S.A.</w:t>
            </w:r>
            <w:r w:rsidR="005C0814" w:rsidRPr="00D509C8">
              <w:rPr>
                <w:color w:val="000000"/>
                <w:lang w:val="es-ES"/>
              </w:rPr>
              <w:br/>
            </w:r>
            <w:r w:rsidRPr="00D509C8">
              <w:rPr>
                <w:color w:val="000000"/>
                <w:lang w:val="es-ES"/>
              </w:rPr>
              <w:t>(</w:t>
            </w:r>
            <w:r w:rsidRPr="00567BB6">
              <w:rPr>
                <w:color w:val="000000"/>
                <w:lang w:val="ru-RU"/>
              </w:rPr>
              <w:t>ранее</w:t>
            </w:r>
            <w:r w:rsidRPr="00D509C8">
              <w:rPr>
                <w:color w:val="000000"/>
                <w:lang w:val="es-ES"/>
              </w:rPr>
              <w:t xml:space="preserve"> – Colombia Telecomunicaciones S.A. ESP − Telecom Colombia)</w:t>
            </w:r>
          </w:p>
        </w:tc>
        <w:tc>
          <w:tcPr>
            <w:tcW w:w="3036" w:type="dxa"/>
          </w:tcPr>
          <w:p w14:paraId="08D83BB0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Колумбия</w:t>
            </w:r>
          </w:p>
        </w:tc>
        <w:tc>
          <w:tcPr>
            <w:tcW w:w="1904" w:type="dxa"/>
          </w:tcPr>
          <w:p w14:paraId="6A768CC0" w14:textId="03E89B96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ЗАДОЛЖЕННОСТ</w:t>
            </w:r>
            <w:r w:rsidR="00716D5F" w:rsidRPr="00567BB6">
              <w:rPr>
                <w:color w:val="000000"/>
                <w:lang w:val="ru-RU"/>
              </w:rPr>
              <w:t>Ь</w:t>
            </w:r>
            <w:r w:rsidRPr="00567BB6">
              <w:rPr>
                <w:color w:val="000000"/>
                <w:lang w:val="ru-RU"/>
              </w:rPr>
              <w:t>*</w:t>
            </w:r>
          </w:p>
        </w:tc>
      </w:tr>
      <w:tr w:rsidR="0099324C" w:rsidRPr="00567BB6" w14:paraId="5FF52C0A" w14:textId="77777777" w:rsidTr="0099324C">
        <w:trPr>
          <w:cantSplit/>
        </w:trPr>
        <w:tc>
          <w:tcPr>
            <w:tcW w:w="1129" w:type="dxa"/>
          </w:tcPr>
          <w:p w14:paraId="3C344903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2018</w:t>
            </w:r>
          </w:p>
        </w:tc>
        <w:tc>
          <w:tcPr>
            <w:tcW w:w="1560" w:type="dxa"/>
          </w:tcPr>
          <w:p w14:paraId="3CE1D3A7" w14:textId="77777777" w:rsidR="000F6A02" w:rsidRPr="00567BB6" w:rsidRDefault="000F6A02" w:rsidP="000B0155">
            <w:pPr>
              <w:pStyle w:val="Tabletext"/>
              <w:ind w:right="170"/>
              <w:jc w:val="righ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300,00</w:t>
            </w:r>
          </w:p>
        </w:tc>
        <w:tc>
          <w:tcPr>
            <w:tcW w:w="1275" w:type="dxa"/>
          </w:tcPr>
          <w:p w14:paraId="3E818629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</w:tcPr>
          <w:p w14:paraId="0A049A3B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5</w:t>
            </w:r>
          </w:p>
        </w:tc>
        <w:tc>
          <w:tcPr>
            <w:tcW w:w="3668" w:type="dxa"/>
          </w:tcPr>
          <w:p w14:paraId="6D9D79E9" w14:textId="520B7170" w:rsidR="000F6A02" w:rsidRPr="00D509C8" w:rsidRDefault="000F6A02" w:rsidP="00991638">
            <w:pPr>
              <w:pStyle w:val="Tabletext"/>
              <w:rPr>
                <w:lang w:val="es-ES"/>
              </w:rPr>
            </w:pPr>
            <w:r w:rsidRPr="00D509C8">
              <w:rPr>
                <w:color w:val="000000"/>
                <w:lang w:val="es-ES"/>
              </w:rPr>
              <w:t>Telefónica S.A.</w:t>
            </w:r>
            <w:r w:rsidR="005C0814" w:rsidRPr="00D509C8">
              <w:rPr>
                <w:color w:val="000000"/>
                <w:lang w:val="es-ES"/>
              </w:rPr>
              <w:br/>
            </w:r>
            <w:r w:rsidRPr="00D509C8">
              <w:rPr>
                <w:color w:val="000000"/>
                <w:lang w:val="es-ES"/>
              </w:rPr>
              <w:t>(</w:t>
            </w:r>
            <w:r w:rsidRPr="00567BB6">
              <w:rPr>
                <w:color w:val="000000"/>
                <w:lang w:val="ru-RU"/>
              </w:rPr>
              <w:t>ранее</w:t>
            </w:r>
            <w:r w:rsidRPr="00D509C8">
              <w:rPr>
                <w:color w:val="000000"/>
                <w:lang w:val="es-ES"/>
              </w:rPr>
              <w:t xml:space="preserve"> – Colombia Telecomunicaciones S.A. ESP − Telecom Colombia)</w:t>
            </w:r>
          </w:p>
        </w:tc>
        <w:tc>
          <w:tcPr>
            <w:tcW w:w="3036" w:type="dxa"/>
          </w:tcPr>
          <w:p w14:paraId="4D5ACD7D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Колумбия</w:t>
            </w:r>
          </w:p>
        </w:tc>
        <w:tc>
          <w:tcPr>
            <w:tcW w:w="1904" w:type="dxa"/>
          </w:tcPr>
          <w:p w14:paraId="2F8A1931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</w:p>
        </w:tc>
      </w:tr>
      <w:tr w:rsidR="0099324C" w:rsidRPr="00567BB6" w14:paraId="4B5E513A" w14:textId="77777777" w:rsidTr="0099324C">
        <w:trPr>
          <w:cantSplit/>
        </w:trPr>
        <w:tc>
          <w:tcPr>
            <w:tcW w:w="1129" w:type="dxa"/>
            <w:shd w:val="clear" w:color="auto" w:fill="F2F2F2" w:themeFill="background1" w:themeFillShade="F2"/>
          </w:tcPr>
          <w:p w14:paraId="5BA76129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3F474074" w14:textId="77777777" w:rsidR="000F6A02" w:rsidRPr="00567BB6" w:rsidRDefault="000F6A02" w:rsidP="000B0155">
            <w:pPr>
              <w:pStyle w:val="Tabletext"/>
              <w:ind w:right="170"/>
              <w:jc w:val="right"/>
              <w:rPr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>3 300,00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2B8084D3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14:paraId="7C744E97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3668" w:type="dxa"/>
            <w:shd w:val="clear" w:color="auto" w:fill="F2F2F2" w:themeFill="background1" w:themeFillShade="F2"/>
          </w:tcPr>
          <w:p w14:paraId="14F8030D" w14:textId="3EC41281" w:rsidR="000F6A02" w:rsidRPr="00567BB6" w:rsidRDefault="000F6A02" w:rsidP="00991638">
            <w:pPr>
              <w:pStyle w:val="Tabletext"/>
              <w:rPr>
                <w:b/>
                <w:bCs/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 xml:space="preserve">Промежуточный итог </w:t>
            </w:r>
            <w:r w:rsidR="006A4925" w:rsidRPr="00567BB6">
              <w:rPr>
                <w:b/>
                <w:bCs/>
                <w:color w:val="000000"/>
                <w:lang w:val="ru-RU"/>
              </w:rPr>
              <w:t>−</w:t>
            </w:r>
            <w:r w:rsidRPr="00567BB6">
              <w:rPr>
                <w:b/>
                <w:bCs/>
                <w:color w:val="000000"/>
                <w:lang w:val="ru-RU"/>
              </w:rPr>
              <w:t xml:space="preserve"> Колумбия</w:t>
            </w:r>
          </w:p>
        </w:tc>
        <w:tc>
          <w:tcPr>
            <w:tcW w:w="3036" w:type="dxa"/>
            <w:shd w:val="clear" w:color="auto" w:fill="F2F2F2" w:themeFill="background1" w:themeFillShade="F2"/>
          </w:tcPr>
          <w:p w14:paraId="0999B782" w14:textId="77777777" w:rsidR="000F6A02" w:rsidRPr="00567BB6" w:rsidRDefault="000F6A02" w:rsidP="00991638">
            <w:pPr>
              <w:pStyle w:val="Tabletext"/>
              <w:rPr>
                <w:b/>
                <w:bCs/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>Колумбия</w:t>
            </w:r>
          </w:p>
        </w:tc>
        <w:tc>
          <w:tcPr>
            <w:tcW w:w="1904" w:type="dxa"/>
            <w:shd w:val="clear" w:color="auto" w:fill="F2F2F2" w:themeFill="background1" w:themeFillShade="F2"/>
          </w:tcPr>
          <w:p w14:paraId="6921A907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</w:p>
        </w:tc>
      </w:tr>
      <w:tr w:rsidR="0099324C" w:rsidRPr="00567BB6" w14:paraId="1A026E08" w14:textId="77777777" w:rsidTr="0099324C">
        <w:trPr>
          <w:cantSplit/>
        </w:trPr>
        <w:tc>
          <w:tcPr>
            <w:tcW w:w="1129" w:type="dxa"/>
          </w:tcPr>
          <w:p w14:paraId="7C5EF62F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2025</w:t>
            </w:r>
          </w:p>
        </w:tc>
        <w:tc>
          <w:tcPr>
            <w:tcW w:w="1560" w:type="dxa"/>
          </w:tcPr>
          <w:p w14:paraId="62175A4A" w14:textId="77777777" w:rsidR="000F6A02" w:rsidRPr="00567BB6" w:rsidRDefault="000F6A02" w:rsidP="000B0155">
            <w:pPr>
              <w:pStyle w:val="Tabletext"/>
              <w:ind w:right="170"/>
              <w:jc w:val="righ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3 000,00</w:t>
            </w:r>
          </w:p>
        </w:tc>
        <w:tc>
          <w:tcPr>
            <w:tcW w:w="1275" w:type="dxa"/>
          </w:tcPr>
          <w:p w14:paraId="34EFB468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</w:tcPr>
          <w:p w14:paraId="6AE8C65B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30</w:t>
            </w:r>
          </w:p>
        </w:tc>
        <w:tc>
          <w:tcPr>
            <w:tcW w:w="3668" w:type="dxa"/>
          </w:tcPr>
          <w:p w14:paraId="7F0E8352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Chungwa Telecom Co., Ltd.</w:t>
            </w:r>
          </w:p>
        </w:tc>
        <w:tc>
          <w:tcPr>
            <w:tcW w:w="3036" w:type="dxa"/>
          </w:tcPr>
          <w:p w14:paraId="6AD0E124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Китайская провинция Тайвань</w:t>
            </w:r>
          </w:p>
        </w:tc>
        <w:tc>
          <w:tcPr>
            <w:tcW w:w="1904" w:type="dxa"/>
          </w:tcPr>
          <w:p w14:paraId="6A5A01C2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</w:p>
        </w:tc>
      </w:tr>
      <w:tr w:rsidR="0099324C" w:rsidRPr="00567BB6" w14:paraId="2550114E" w14:textId="77777777" w:rsidTr="0099324C">
        <w:trPr>
          <w:cantSplit/>
        </w:trPr>
        <w:tc>
          <w:tcPr>
            <w:tcW w:w="1129" w:type="dxa"/>
            <w:shd w:val="clear" w:color="auto" w:fill="F2F2F2" w:themeFill="background1" w:themeFillShade="F2"/>
          </w:tcPr>
          <w:p w14:paraId="6A43FABA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4CF698E5" w14:textId="77777777" w:rsidR="000F6A02" w:rsidRPr="00567BB6" w:rsidRDefault="000F6A02" w:rsidP="000B0155">
            <w:pPr>
              <w:pStyle w:val="Tabletext"/>
              <w:ind w:right="170"/>
              <w:jc w:val="right"/>
              <w:rPr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>3 000,00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2B54758A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14:paraId="622DFBA2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3668" w:type="dxa"/>
            <w:shd w:val="clear" w:color="auto" w:fill="F2F2F2" w:themeFill="background1" w:themeFillShade="F2"/>
          </w:tcPr>
          <w:p w14:paraId="191B6127" w14:textId="34B1DA03" w:rsidR="000F6A02" w:rsidRPr="00567BB6" w:rsidRDefault="000F6A02" w:rsidP="00991638">
            <w:pPr>
              <w:pStyle w:val="Tabletext"/>
              <w:rPr>
                <w:b/>
                <w:bCs/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 xml:space="preserve">Промежуточный итог </w:t>
            </w:r>
            <w:r w:rsidR="006A4925" w:rsidRPr="00567BB6">
              <w:rPr>
                <w:b/>
                <w:bCs/>
                <w:color w:val="000000"/>
                <w:lang w:val="ru-RU"/>
              </w:rPr>
              <w:t>−</w:t>
            </w:r>
            <w:r w:rsidRPr="00567BB6">
              <w:rPr>
                <w:b/>
                <w:bCs/>
                <w:color w:val="000000"/>
                <w:lang w:val="ru-RU"/>
              </w:rPr>
              <w:t xml:space="preserve"> Тайвань, Китай</w:t>
            </w:r>
          </w:p>
        </w:tc>
        <w:tc>
          <w:tcPr>
            <w:tcW w:w="3036" w:type="dxa"/>
            <w:shd w:val="clear" w:color="auto" w:fill="F2F2F2" w:themeFill="background1" w:themeFillShade="F2"/>
          </w:tcPr>
          <w:p w14:paraId="4A6ACCD7" w14:textId="77777777" w:rsidR="000F6A02" w:rsidRPr="00567BB6" w:rsidRDefault="000F6A02" w:rsidP="00991638">
            <w:pPr>
              <w:pStyle w:val="Tabletext"/>
              <w:rPr>
                <w:b/>
                <w:bCs/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>Китайская провинция Тайвань</w:t>
            </w:r>
          </w:p>
        </w:tc>
        <w:tc>
          <w:tcPr>
            <w:tcW w:w="1904" w:type="dxa"/>
            <w:shd w:val="clear" w:color="auto" w:fill="F2F2F2" w:themeFill="background1" w:themeFillShade="F2"/>
          </w:tcPr>
          <w:p w14:paraId="7E412C5E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</w:p>
        </w:tc>
      </w:tr>
      <w:tr w:rsidR="0099324C" w:rsidRPr="00567BB6" w14:paraId="32275AC8" w14:textId="77777777" w:rsidTr="0099324C">
        <w:trPr>
          <w:cantSplit/>
        </w:trPr>
        <w:tc>
          <w:tcPr>
            <w:tcW w:w="1129" w:type="dxa"/>
          </w:tcPr>
          <w:p w14:paraId="0BB49A42" w14:textId="77777777" w:rsidR="000F6A02" w:rsidRPr="00567BB6" w:rsidRDefault="000F6A02" w:rsidP="00991638">
            <w:pPr>
              <w:pStyle w:val="Tabletext"/>
              <w:keepNext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2024</w:t>
            </w:r>
          </w:p>
        </w:tc>
        <w:tc>
          <w:tcPr>
            <w:tcW w:w="1560" w:type="dxa"/>
          </w:tcPr>
          <w:p w14:paraId="2A8E7CF1" w14:textId="77777777" w:rsidR="000F6A02" w:rsidRPr="00567BB6" w:rsidRDefault="000F6A02" w:rsidP="000B0155">
            <w:pPr>
              <w:pStyle w:val="Tabletext"/>
              <w:keepNext/>
              <w:ind w:right="170"/>
              <w:jc w:val="righ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1 400,00</w:t>
            </w:r>
          </w:p>
        </w:tc>
        <w:tc>
          <w:tcPr>
            <w:tcW w:w="1275" w:type="dxa"/>
          </w:tcPr>
          <w:p w14:paraId="375BEE69" w14:textId="77777777" w:rsidR="000F6A02" w:rsidRPr="00567BB6" w:rsidRDefault="000F6A02" w:rsidP="00991638">
            <w:pPr>
              <w:pStyle w:val="Tabletext"/>
              <w:keepNext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</w:tcPr>
          <w:p w14:paraId="5CD60936" w14:textId="77777777" w:rsidR="000F6A02" w:rsidRPr="00567BB6" w:rsidRDefault="000F6A02" w:rsidP="00991638">
            <w:pPr>
              <w:pStyle w:val="Tabletext"/>
              <w:keepNext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-</w:t>
            </w:r>
          </w:p>
        </w:tc>
        <w:tc>
          <w:tcPr>
            <w:tcW w:w="3668" w:type="dxa"/>
          </w:tcPr>
          <w:p w14:paraId="1A2C3902" w14:textId="77777777" w:rsidR="000F6A02" w:rsidRPr="00567BB6" w:rsidRDefault="000F6A02" w:rsidP="00991638">
            <w:pPr>
              <w:pStyle w:val="Tabletext"/>
              <w:keepNext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PLANinterNET VoIP-GmbH</w:t>
            </w:r>
          </w:p>
        </w:tc>
        <w:tc>
          <w:tcPr>
            <w:tcW w:w="3036" w:type="dxa"/>
          </w:tcPr>
          <w:p w14:paraId="2D93B3C8" w14:textId="77777777" w:rsidR="000F6A02" w:rsidRPr="00567BB6" w:rsidRDefault="000F6A02" w:rsidP="00991638">
            <w:pPr>
              <w:pStyle w:val="Tabletext"/>
              <w:keepNext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Германия</w:t>
            </w:r>
          </w:p>
        </w:tc>
        <w:tc>
          <w:tcPr>
            <w:tcW w:w="1904" w:type="dxa"/>
          </w:tcPr>
          <w:p w14:paraId="1664C006" w14:textId="1E5C62ED" w:rsidR="000F6A02" w:rsidRPr="00567BB6" w:rsidRDefault="000F6A02" w:rsidP="00991638">
            <w:pPr>
              <w:pStyle w:val="Tabletext"/>
              <w:keepNext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ЗАДОЛЖЕННОСТ</w:t>
            </w:r>
            <w:r w:rsidR="00716D5F" w:rsidRPr="00567BB6">
              <w:rPr>
                <w:color w:val="000000"/>
                <w:lang w:val="ru-RU"/>
              </w:rPr>
              <w:t>Ь</w:t>
            </w:r>
            <w:r w:rsidRPr="00567BB6">
              <w:rPr>
                <w:color w:val="000000"/>
                <w:lang w:val="ru-RU"/>
              </w:rPr>
              <w:t>*</w:t>
            </w:r>
          </w:p>
        </w:tc>
      </w:tr>
      <w:tr w:rsidR="0099324C" w:rsidRPr="00567BB6" w14:paraId="1D495E0D" w14:textId="77777777" w:rsidTr="0099324C">
        <w:trPr>
          <w:cantSplit/>
        </w:trPr>
        <w:tc>
          <w:tcPr>
            <w:tcW w:w="1129" w:type="dxa"/>
          </w:tcPr>
          <w:p w14:paraId="2AD271C4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2022</w:t>
            </w:r>
          </w:p>
        </w:tc>
        <w:tc>
          <w:tcPr>
            <w:tcW w:w="1560" w:type="dxa"/>
          </w:tcPr>
          <w:p w14:paraId="66632E23" w14:textId="77777777" w:rsidR="000F6A02" w:rsidRPr="00567BB6" w:rsidRDefault="000F6A02" w:rsidP="000B0155">
            <w:pPr>
              <w:pStyle w:val="Tabletext"/>
              <w:ind w:right="170"/>
              <w:jc w:val="righ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600,00</w:t>
            </w:r>
          </w:p>
        </w:tc>
        <w:tc>
          <w:tcPr>
            <w:tcW w:w="1275" w:type="dxa"/>
          </w:tcPr>
          <w:p w14:paraId="05EDEEED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</w:tcPr>
          <w:p w14:paraId="13F3B764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6</w:t>
            </w:r>
          </w:p>
        </w:tc>
        <w:tc>
          <w:tcPr>
            <w:tcW w:w="3668" w:type="dxa"/>
          </w:tcPr>
          <w:p w14:paraId="07CF4123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PLANinterNET VoIP-GmbH</w:t>
            </w:r>
          </w:p>
        </w:tc>
        <w:tc>
          <w:tcPr>
            <w:tcW w:w="3036" w:type="dxa"/>
          </w:tcPr>
          <w:p w14:paraId="35028BF8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Германия</w:t>
            </w:r>
          </w:p>
        </w:tc>
        <w:tc>
          <w:tcPr>
            <w:tcW w:w="1904" w:type="dxa"/>
          </w:tcPr>
          <w:p w14:paraId="3DC08209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</w:p>
        </w:tc>
      </w:tr>
      <w:tr w:rsidR="0099324C" w:rsidRPr="00567BB6" w14:paraId="7F1395AB" w14:textId="77777777" w:rsidTr="0099324C">
        <w:trPr>
          <w:cantSplit/>
        </w:trPr>
        <w:tc>
          <w:tcPr>
            <w:tcW w:w="1129" w:type="dxa"/>
          </w:tcPr>
          <w:p w14:paraId="22A9D6D7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2024</w:t>
            </w:r>
          </w:p>
        </w:tc>
        <w:tc>
          <w:tcPr>
            <w:tcW w:w="1560" w:type="dxa"/>
          </w:tcPr>
          <w:p w14:paraId="68A3BFD5" w14:textId="77777777" w:rsidR="000F6A02" w:rsidRPr="00567BB6" w:rsidRDefault="000F6A02" w:rsidP="000B0155">
            <w:pPr>
              <w:pStyle w:val="Tabletext"/>
              <w:ind w:right="170"/>
              <w:jc w:val="righ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200,00</w:t>
            </w:r>
          </w:p>
        </w:tc>
        <w:tc>
          <w:tcPr>
            <w:tcW w:w="1275" w:type="dxa"/>
          </w:tcPr>
          <w:p w14:paraId="6D034463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</w:tcPr>
          <w:p w14:paraId="31638D64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2</w:t>
            </w:r>
          </w:p>
        </w:tc>
        <w:tc>
          <w:tcPr>
            <w:tcW w:w="3668" w:type="dxa"/>
          </w:tcPr>
          <w:p w14:paraId="5333FFBB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EMTEX GmbH</w:t>
            </w:r>
          </w:p>
        </w:tc>
        <w:tc>
          <w:tcPr>
            <w:tcW w:w="3036" w:type="dxa"/>
          </w:tcPr>
          <w:p w14:paraId="0CE690F0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Германия</w:t>
            </w:r>
          </w:p>
        </w:tc>
        <w:tc>
          <w:tcPr>
            <w:tcW w:w="1904" w:type="dxa"/>
          </w:tcPr>
          <w:p w14:paraId="0452FF2A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</w:p>
        </w:tc>
      </w:tr>
      <w:tr w:rsidR="0099324C" w:rsidRPr="00567BB6" w14:paraId="10DE565E" w14:textId="77777777" w:rsidTr="0099324C">
        <w:trPr>
          <w:cantSplit/>
        </w:trPr>
        <w:tc>
          <w:tcPr>
            <w:tcW w:w="1129" w:type="dxa"/>
          </w:tcPr>
          <w:p w14:paraId="2D61AFCB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2025</w:t>
            </w:r>
          </w:p>
        </w:tc>
        <w:tc>
          <w:tcPr>
            <w:tcW w:w="1560" w:type="dxa"/>
          </w:tcPr>
          <w:p w14:paraId="17A1BD2A" w14:textId="77777777" w:rsidR="000F6A02" w:rsidRPr="00567BB6" w:rsidRDefault="000F6A02" w:rsidP="000B0155">
            <w:pPr>
              <w:pStyle w:val="Tabletext"/>
              <w:ind w:right="170"/>
              <w:jc w:val="righ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200,00</w:t>
            </w:r>
          </w:p>
        </w:tc>
        <w:tc>
          <w:tcPr>
            <w:tcW w:w="1275" w:type="dxa"/>
          </w:tcPr>
          <w:p w14:paraId="32E2B380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</w:tcPr>
          <w:p w14:paraId="3E0CF4AA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2</w:t>
            </w:r>
          </w:p>
        </w:tc>
        <w:tc>
          <w:tcPr>
            <w:tcW w:w="3668" w:type="dxa"/>
          </w:tcPr>
          <w:p w14:paraId="1212FC52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EMTEX GmbH</w:t>
            </w:r>
          </w:p>
        </w:tc>
        <w:tc>
          <w:tcPr>
            <w:tcW w:w="3036" w:type="dxa"/>
          </w:tcPr>
          <w:p w14:paraId="7D66921A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Германия</w:t>
            </w:r>
          </w:p>
        </w:tc>
        <w:tc>
          <w:tcPr>
            <w:tcW w:w="1904" w:type="dxa"/>
          </w:tcPr>
          <w:p w14:paraId="62FFF81D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</w:p>
        </w:tc>
      </w:tr>
      <w:tr w:rsidR="0099324C" w:rsidRPr="00567BB6" w14:paraId="4E082A74" w14:textId="77777777" w:rsidTr="0099324C">
        <w:trPr>
          <w:cantSplit/>
        </w:trPr>
        <w:tc>
          <w:tcPr>
            <w:tcW w:w="1129" w:type="dxa"/>
            <w:shd w:val="clear" w:color="auto" w:fill="F2F2F2" w:themeFill="background1" w:themeFillShade="F2"/>
          </w:tcPr>
          <w:p w14:paraId="3CA401DB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7AE800C0" w14:textId="77777777" w:rsidR="000F6A02" w:rsidRPr="00567BB6" w:rsidRDefault="000F6A02" w:rsidP="000B0155">
            <w:pPr>
              <w:pStyle w:val="Tabletext"/>
              <w:ind w:right="170"/>
              <w:jc w:val="right"/>
              <w:rPr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>2 400,00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3171CFEB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14:paraId="7642421C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3668" w:type="dxa"/>
            <w:shd w:val="clear" w:color="auto" w:fill="F2F2F2" w:themeFill="background1" w:themeFillShade="F2"/>
          </w:tcPr>
          <w:p w14:paraId="66EF20E8" w14:textId="38D57C50" w:rsidR="000F6A02" w:rsidRPr="00567BB6" w:rsidRDefault="000F6A02" w:rsidP="00991638">
            <w:pPr>
              <w:pStyle w:val="Tabletext"/>
              <w:rPr>
                <w:b/>
                <w:bCs/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 xml:space="preserve">Промежуточный итог </w:t>
            </w:r>
            <w:r w:rsidR="006A4925" w:rsidRPr="00567BB6">
              <w:rPr>
                <w:b/>
                <w:bCs/>
                <w:color w:val="000000"/>
                <w:lang w:val="ru-RU"/>
              </w:rPr>
              <w:t>−</w:t>
            </w:r>
            <w:r w:rsidRPr="00567BB6">
              <w:rPr>
                <w:b/>
                <w:bCs/>
                <w:color w:val="000000"/>
                <w:lang w:val="ru-RU"/>
              </w:rPr>
              <w:t xml:space="preserve"> Германия</w:t>
            </w:r>
          </w:p>
        </w:tc>
        <w:tc>
          <w:tcPr>
            <w:tcW w:w="3036" w:type="dxa"/>
            <w:shd w:val="clear" w:color="auto" w:fill="F2F2F2" w:themeFill="background1" w:themeFillShade="F2"/>
          </w:tcPr>
          <w:p w14:paraId="7ECE6455" w14:textId="77777777" w:rsidR="000F6A02" w:rsidRPr="00567BB6" w:rsidRDefault="000F6A02" w:rsidP="00991638">
            <w:pPr>
              <w:pStyle w:val="Tabletext"/>
              <w:rPr>
                <w:b/>
                <w:bCs/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>Германия</w:t>
            </w:r>
          </w:p>
        </w:tc>
        <w:tc>
          <w:tcPr>
            <w:tcW w:w="1904" w:type="dxa"/>
            <w:shd w:val="clear" w:color="auto" w:fill="F2F2F2" w:themeFill="background1" w:themeFillShade="F2"/>
          </w:tcPr>
          <w:p w14:paraId="4EEBFAFA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</w:p>
        </w:tc>
      </w:tr>
      <w:tr w:rsidR="0099324C" w:rsidRPr="00567BB6" w14:paraId="47E8638E" w14:textId="77777777" w:rsidTr="0099324C">
        <w:trPr>
          <w:cantSplit/>
        </w:trPr>
        <w:tc>
          <w:tcPr>
            <w:tcW w:w="1129" w:type="dxa"/>
          </w:tcPr>
          <w:p w14:paraId="2A51719E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2024</w:t>
            </w:r>
          </w:p>
        </w:tc>
        <w:tc>
          <w:tcPr>
            <w:tcW w:w="1560" w:type="dxa"/>
          </w:tcPr>
          <w:p w14:paraId="11808D33" w14:textId="77777777" w:rsidR="000F6A02" w:rsidRPr="00567BB6" w:rsidRDefault="000F6A02" w:rsidP="000B0155">
            <w:pPr>
              <w:pStyle w:val="Tabletext"/>
              <w:ind w:right="170"/>
              <w:jc w:val="righ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600,00</w:t>
            </w:r>
          </w:p>
        </w:tc>
        <w:tc>
          <w:tcPr>
            <w:tcW w:w="1275" w:type="dxa"/>
          </w:tcPr>
          <w:p w14:paraId="0BB585FE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</w:tcPr>
          <w:p w14:paraId="4DE2180C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6</w:t>
            </w:r>
          </w:p>
        </w:tc>
        <w:tc>
          <w:tcPr>
            <w:tcW w:w="3668" w:type="dxa"/>
          </w:tcPr>
          <w:p w14:paraId="75C155BB" w14:textId="10590DA0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Hellenic Telecommunications Org. S.A.</w:t>
            </w:r>
          </w:p>
        </w:tc>
        <w:tc>
          <w:tcPr>
            <w:tcW w:w="3036" w:type="dxa"/>
          </w:tcPr>
          <w:p w14:paraId="1502CAD1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Греция</w:t>
            </w:r>
          </w:p>
        </w:tc>
        <w:tc>
          <w:tcPr>
            <w:tcW w:w="1904" w:type="dxa"/>
          </w:tcPr>
          <w:p w14:paraId="272B6C59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</w:p>
        </w:tc>
      </w:tr>
      <w:tr w:rsidR="0099324C" w:rsidRPr="00567BB6" w14:paraId="400CB159" w14:textId="77777777" w:rsidTr="0099324C">
        <w:trPr>
          <w:cantSplit/>
        </w:trPr>
        <w:tc>
          <w:tcPr>
            <w:tcW w:w="1129" w:type="dxa"/>
          </w:tcPr>
          <w:p w14:paraId="39401488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2025</w:t>
            </w:r>
          </w:p>
        </w:tc>
        <w:tc>
          <w:tcPr>
            <w:tcW w:w="1560" w:type="dxa"/>
          </w:tcPr>
          <w:p w14:paraId="6A6065FE" w14:textId="77777777" w:rsidR="000F6A02" w:rsidRPr="00567BB6" w:rsidRDefault="000F6A02" w:rsidP="000B0155">
            <w:pPr>
              <w:pStyle w:val="Tabletext"/>
              <w:ind w:right="170"/>
              <w:jc w:val="righ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600,00</w:t>
            </w:r>
          </w:p>
        </w:tc>
        <w:tc>
          <w:tcPr>
            <w:tcW w:w="1275" w:type="dxa"/>
          </w:tcPr>
          <w:p w14:paraId="0F35B125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</w:tcPr>
          <w:p w14:paraId="19D99330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6</w:t>
            </w:r>
          </w:p>
        </w:tc>
        <w:tc>
          <w:tcPr>
            <w:tcW w:w="3668" w:type="dxa"/>
          </w:tcPr>
          <w:p w14:paraId="4AF05B7F" w14:textId="338BB262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Hellenic Telecommunications Org. S.A.</w:t>
            </w:r>
          </w:p>
        </w:tc>
        <w:tc>
          <w:tcPr>
            <w:tcW w:w="3036" w:type="dxa"/>
          </w:tcPr>
          <w:p w14:paraId="01F306C9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Греция</w:t>
            </w:r>
          </w:p>
        </w:tc>
        <w:tc>
          <w:tcPr>
            <w:tcW w:w="1904" w:type="dxa"/>
          </w:tcPr>
          <w:p w14:paraId="6357F2DB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</w:p>
        </w:tc>
      </w:tr>
      <w:tr w:rsidR="0099324C" w:rsidRPr="00567BB6" w14:paraId="219FFB8F" w14:textId="77777777" w:rsidTr="0099324C">
        <w:trPr>
          <w:cantSplit/>
        </w:trPr>
        <w:tc>
          <w:tcPr>
            <w:tcW w:w="1129" w:type="dxa"/>
            <w:shd w:val="clear" w:color="auto" w:fill="F2F2F2" w:themeFill="background1" w:themeFillShade="F2"/>
          </w:tcPr>
          <w:p w14:paraId="41FC827E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0F26E97A" w14:textId="77777777" w:rsidR="000F6A02" w:rsidRPr="00567BB6" w:rsidRDefault="000F6A02" w:rsidP="000B0155">
            <w:pPr>
              <w:pStyle w:val="Tabletext"/>
              <w:ind w:right="170"/>
              <w:jc w:val="right"/>
              <w:rPr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>1 200,00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62D7AEA8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14:paraId="07544BDC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3668" w:type="dxa"/>
            <w:shd w:val="clear" w:color="auto" w:fill="F2F2F2" w:themeFill="background1" w:themeFillShade="F2"/>
          </w:tcPr>
          <w:p w14:paraId="47EEEED1" w14:textId="62F86B87" w:rsidR="000F6A02" w:rsidRPr="00567BB6" w:rsidRDefault="000F6A02" w:rsidP="00991638">
            <w:pPr>
              <w:pStyle w:val="Tabletext"/>
              <w:rPr>
                <w:b/>
                <w:bCs/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 xml:space="preserve">Промежуточный итог </w:t>
            </w:r>
            <w:r w:rsidR="006A4925" w:rsidRPr="00567BB6">
              <w:rPr>
                <w:b/>
                <w:bCs/>
                <w:color w:val="000000"/>
                <w:lang w:val="ru-RU"/>
              </w:rPr>
              <w:t>−</w:t>
            </w:r>
            <w:r w:rsidRPr="00567BB6">
              <w:rPr>
                <w:b/>
                <w:bCs/>
                <w:color w:val="000000"/>
                <w:lang w:val="ru-RU"/>
              </w:rPr>
              <w:t xml:space="preserve"> Греция</w:t>
            </w:r>
          </w:p>
        </w:tc>
        <w:tc>
          <w:tcPr>
            <w:tcW w:w="3036" w:type="dxa"/>
            <w:shd w:val="clear" w:color="auto" w:fill="F2F2F2" w:themeFill="background1" w:themeFillShade="F2"/>
          </w:tcPr>
          <w:p w14:paraId="344CB519" w14:textId="77777777" w:rsidR="000F6A02" w:rsidRPr="00567BB6" w:rsidRDefault="000F6A02" w:rsidP="00991638">
            <w:pPr>
              <w:pStyle w:val="Tabletext"/>
              <w:rPr>
                <w:b/>
                <w:bCs/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>Греция</w:t>
            </w:r>
          </w:p>
        </w:tc>
        <w:tc>
          <w:tcPr>
            <w:tcW w:w="1904" w:type="dxa"/>
            <w:shd w:val="clear" w:color="auto" w:fill="F2F2F2" w:themeFill="background1" w:themeFillShade="F2"/>
          </w:tcPr>
          <w:p w14:paraId="7DCC4C81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</w:p>
        </w:tc>
      </w:tr>
      <w:tr w:rsidR="0099324C" w:rsidRPr="00567BB6" w14:paraId="02CE10BD" w14:textId="77777777" w:rsidTr="0099324C">
        <w:trPr>
          <w:cantSplit/>
        </w:trPr>
        <w:tc>
          <w:tcPr>
            <w:tcW w:w="1129" w:type="dxa"/>
          </w:tcPr>
          <w:p w14:paraId="118258D2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2024</w:t>
            </w:r>
          </w:p>
        </w:tc>
        <w:tc>
          <w:tcPr>
            <w:tcW w:w="1560" w:type="dxa"/>
          </w:tcPr>
          <w:p w14:paraId="509628C9" w14:textId="77777777" w:rsidR="000F6A02" w:rsidRPr="00567BB6" w:rsidRDefault="000F6A02" w:rsidP="000B0155">
            <w:pPr>
              <w:pStyle w:val="Tabletext"/>
              <w:ind w:right="170"/>
              <w:jc w:val="righ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800,00</w:t>
            </w:r>
          </w:p>
        </w:tc>
        <w:tc>
          <w:tcPr>
            <w:tcW w:w="1275" w:type="dxa"/>
          </w:tcPr>
          <w:p w14:paraId="2BA77F36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</w:tcPr>
          <w:p w14:paraId="53C80C70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–</w:t>
            </w:r>
          </w:p>
        </w:tc>
        <w:tc>
          <w:tcPr>
            <w:tcW w:w="3668" w:type="dxa"/>
          </w:tcPr>
          <w:p w14:paraId="3C920C04" w14:textId="77777777" w:rsidR="000F6A02" w:rsidRPr="00D509C8" w:rsidRDefault="000F6A02" w:rsidP="00991638">
            <w:pPr>
              <w:pStyle w:val="Tabletext"/>
              <w:rPr>
                <w:lang w:val="es-ES"/>
              </w:rPr>
            </w:pPr>
            <w:r w:rsidRPr="00D509C8">
              <w:rPr>
                <w:color w:val="000000"/>
                <w:lang w:val="es-ES"/>
              </w:rPr>
              <w:t>Telefónica de Argentina S.A.</w:t>
            </w:r>
          </w:p>
        </w:tc>
        <w:tc>
          <w:tcPr>
            <w:tcW w:w="3036" w:type="dxa"/>
          </w:tcPr>
          <w:p w14:paraId="49E3BB70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Аргентина</w:t>
            </w:r>
          </w:p>
        </w:tc>
        <w:tc>
          <w:tcPr>
            <w:tcW w:w="1904" w:type="dxa"/>
          </w:tcPr>
          <w:p w14:paraId="409A8431" w14:textId="4FD8A1DD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ЗАДОЛЖЕННОСТ</w:t>
            </w:r>
            <w:r w:rsidR="00716D5F" w:rsidRPr="00567BB6">
              <w:rPr>
                <w:color w:val="000000"/>
                <w:lang w:val="ru-RU"/>
              </w:rPr>
              <w:t>Ь</w:t>
            </w:r>
            <w:r w:rsidRPr="00567BB6">
              <w:rPr>
                <w:color w:val="000000"/>
                <w:lang w:val="ru-RU"/>
              </w:rPr>
              <w:t>*</w:t>
            </w:r>
          </w:p>
        </w:tc>
      </w:tr>
      <w:tr w:rsidR="0099324C" w:rsidRPr="00567BB6" w14:paraId="58DA9B3F" w14:textId="77777777" w:rsidTr="0099324C">
        <w:trPr>
          <w:cantSplit/>
        </w:trPr>
        <w:tc>
          <w:tcPr>
            <w:tcW w:w="1129" w:type="dxa"/>
          </w:tcPr>
          <w:p w14:paraId="3664DA55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2020</w:t>
            </w:r>
          </w:p>
        </w:tc>
        <w:tc>
          <w:tcPr>
            <w:tcW w:w="1560" w:type="dxa"/>
          </w:tcPr>
          <w:p w14:paraId="5618C725" w14:textId="77777777" w:rsidR="000F6A02" w:rsidRPr="00567BB6" w:rsidRDefault="000F6A02" w:rsidP="000B0155">
            <w:pPr>
              <w:pStyle w:val="Tabletext"/>
              <w:ind w:right="170"/>
              <w:jc w:val="righ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200,00</w:t>
            </w:r>
          </w:p>
        </w:tc>
        <w:tc>
          <w:tcPr>
            <w:tcW w:w="1275" w:type="dxa"/>
          </w:tcPr>
          <w:p w14:paraId="0F9CC63D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</w:tcPr>
          <w:p w14:paraId="0C6DC5F0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2</w:t>
            </w:r>
          </w:p>
        </w:tc>
        <w:tc>
          <w:tcPr>
            <w:tcW w:w="3668" w:type="dxa"/>
          </w:tcPr>
          <w:p w14:paraId="6A4F4F5E" w14:textId="77777777" w:rsidR="000F6A02" w:rsidRPr="00D509C8" w:rsidRDefault="000F6A02" w:rsidP="00991638">
            <w:pPr>
              <w:pStyle w:val="Tabletext"/>
              <w:rPr>
                <w:lang w:val="es-ES"/>
              </w:rPr>
            </w:pPr>
            <w:r w:rsidRPr="00D509C8">
              <w:rPr>
                <w:color w:val="000000"/>
                <w:lang w:val="es-ES"/>
              </w:rPr>
              <w:t>Telefónica de Argentina S.A.</w:t>
            </w:r>
          </w:p>
        </w:tc>
        <w:tc>
          <w:tcPr>
            <w:tcW w:w="3036" w:type="dxa"/>
          </w:tcPr>
          <w:p w14:paraId="7FA4B86A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Аргентина</w:t>
            </w:r>
          </w:p>
        </w:tc>
        <w:tc>
          <w:tcPr>
            <w:tcW w:w="1904" w:type="dxa"/>
          </w:tcPr>
          <w:p w14:paraId="6D43B098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</w:p>
        </w:tc>
      </w:tr>
      <w:tr w:rsidR="0099324C" w:rsidRPr="00567BB6" w14:paraId="3585685D" w14:textId="77777777" w:rsidTr="0099324C">
        <w:trPr>
          <w:cantSplit/>
        </w:trPr>
        <w:tc>
          <w:tcPr>
            <w:tcW w:w="1129" w:type="dxa"/>
            <w:shd w:val="clear" w:color="auto" w:fill="F2F2F2" w:themeFill="background1" w:themeFillShade="F2"/>
          </w:tcPr>
          <w:p w14:paraId="5582AC9B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1124A5A8" w14:textId="77777777" w:rsidR="000F6A02" w:rsidRPr="00567BB6" w:rsidRDefault="000F6A02" w:rsidP="000B0155">
            <w:pPr>
              <w:pStyle w:val="Tabletext"/>
              <w:ind w:right="170"/>
              <w:jc w:val="right"/>
              <w:rPr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>1 000,00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45F3CE5C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14:paraId="35407F55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3668" w:type="dxa"/>
            <w:shd w:val="clear" w:color="auto" w:fill="F2F2F2" w:themeFill="background1" w:themeFillShade="F2"/>
          </w:tcPr>
          <w:p w14:paraId="0661A68A" w14:textId="65F2CF73" w:rsidR="000F6A02" w:rsidRPr="00567BB6" w:rsidRDefault="000F6A02" w:rsidP="00991638">
            <w:pPr>
              <w:pStyle w:val="Tabletext"/>
              <w:rPr>
                <w:b/>
                <w:bCs/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 xml:space="preserve">Промежуточный итог </w:t>
            </w:r>
            <w:r w:rsidR="006A4925" w:rsidRPr="00567BB6">
              <w:rPr>
                <w:b/>
                <w:bCs/>
                <w:color w:val="000000"/>
                <w:lang w:val="ru-RU"/>
              </w:rPr>
              <w:t>−</w:t>
            </w:r>
            <w:r w:rsidRPr="00567BB6">
              <w:rPr>
                <w:b/>
                <w:bCs/>
                <w:color w:val="000000"/>
                <w:lang w:val="ru-RU"/>
              </w:rPr>
              <w:t xml:space="preserve"> Аргентина</w:t>
            </w:r>
          </w:p>
        </w:tc>
        <w:tc>
          <w:tcPr>
            <w:tcW w:w="3036" w:type="dxa"/>
            <w:shd w:val="clear" w:color="auto" w:fill="F2F2F2" w:themeFill="background1" w:themeFillShade="F2"/>
          </w:tcPr>
          <w:p w14:paraId="6B3EBA9F" w14:textId="77777777" w:rsidR="000F6A02" w:rsidRPr="00567BB6" w:rsidRDefault="000F6A02" w:rsidP="00991638">
            <w:pPr>
              <w:pStyle w:val="Tabletext"/>
              <w:rPr>
                <w:b/>
                <w:bCs/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>Аргентина</w:t>
            </w:r>
          </w:p>
        </w:tc>
        <w:tc>
          <w:tcPr>
            <w:tcW w:w="1904" w:type="dxa"/>
            <w:shd w:val="clear" w:color="auto" w:fill="F2F2F2" w:themeFill="background1" w:themeFillShade="F2"/>
          </w:tcPr>
          <w:p w14:paraId="608A5255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</w:p>
        </w:tc>
      </w:tr>
      <w:tr w:rsidR="0099324C" w:rsidRPr="00567BB6" w14:paraId="3D836786" w14:textId="77777777" w:rsidTr="0099324C">
        <w:trPr>
          <w:cantSplit/>
        </w:trPr>
        <w:tc>
          <w:tcPr>
            <w:tcW w:w="1129" w:type="dxa"/>
          </w:tcPr>
          <w:p w14:paraId="5A017753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2024</w:t>
            </w:r>
          </w:p>
        </w:tc>
        <w:tc>
          <w:tcPr>
            <w:tcW w:w="1560" w:type="dxa"/>
          </w:tcPr>
          <w:p w14:paraId="054B8632" w14:textId="77777777" w:rsidR="000F6A02" w:rsidRPr="00567BB6" w:rsidRDefault="000F6A02" w:rsidP="000B0155">
            <w:pPr>
              <w:pStyle w:val="Tabletext"/>
              <w:ind w:right="170"/>
              <w:jc w:val="righ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600,00</w:t>
            </w:r>
          </w:p>
        </w:tc>
        <w:tc>
          <w:tcPr>
            <w:tcW w:w="1275" w:type="dxa"/>
          </w:tcPr>
          <w:p w14:paraId="3D67D3E0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</w:tcPr>
          <w:p w14:paraId="53381C8E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–</w:t>
            </w:r>
          </w:p>
        </w:tc>
        <w:tc>
          <w:tcPr>
            <w:tcW w:w="3668" w:type="dxa"/>
          </w:tcPr>
          <w:p w14:paraId="2AAC47CF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Vodafone New Zealand</w:t>
            </w:r>
          </w:p>
        </w:tc>
        <w:tc>
          <w:tcPr>
            <w:tcW w:w="3036" w:type="dxa"/>
          </w:tcPr>
          <w:p w14:paraId="2E4B89F8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Новая Зеландия</w:t>
            </w:r>
          </w:p>
        </w:tc>
        <w:tc>
          <w:tcPr>
            <w:tcW w:w="1904" w:type="dxa"/>
          </w:tcPr>
          <w:p w14:paraId="22F8CAA9" w14:textId="0C03E440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ЗАДОЛЖЕННОСТ</w:t>
            </w:r>
            <w:r w:rsidR="00716D5F" w:rsidRPr="00567BB6">
              <w:rPr>
                <w:color w:val="000000"/>
                <w:lang w:val="ru-RU"/>
              </w:rPr>
              <w:t>Ь</w:t>
            </w:r>
            <w:r w:rsidRPr="00567BB6">
              <w:rPr>
                <w:color w:val="000000"/>
                <w:lang w:val="ru-RU"/>
              </w:rPr>
              <w:t>*</w:t>
            </w:r>
          </w:p>
        </w:tc>
      </w:tr>
      <w:tr w:rsidR="0099324C" w:rsidRPr="00567BB6" w14:paraId="0D31D297" w14:textId="77777777" w:rsidTr="0099324C">
        <w:trPr>
          <w:cantSplit/>
        </w:trPr>
        <w:tc>
          <w:tcPr>
            <w:tcW w:w="1129" w:type="dxa"/>
          </w:tcPr>
          <w:p w14:paraId="75274702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2018</w:t>
            </w:r>
          </w:p>
        </w:tc>
        <w:tc>
          <w:tcPr>
            <w:tcW w:w="1560" w:type="dxa"/>
          </w:tcPr>
          <w:p w14:paraId="7EDC14EE" w14:textId="77777777" w:rsidR="000F6A02" w:rsidRPr="00567BB6" w:rsidRDefault="000F6A02" w:rsidP="000B0155">
            <w:pPr>
              <w:pStyle w:val="Tabletext"/>
              <w:ind w:right="170"/>
              <w:jc w:val="righ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100,00</w:t>
            </w:r>
          </w:p>
        </w:tc>
        <w:tc>
          <w:tcPr>
            <w:tcW w:w="1275" w:type="dxa"/>
          </w:tcPr>
          <w:p w14:paraId="5C1BDC61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</w:tcPr>
          <w:p w14:paraId="33E26110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1</w:t>
            </w:r>
          </w:p>
        </w:tc>
        <w:tc>
          <w:tcPr>
            <w:tcW w:w="3668" w:type="dxa"/>
          </w:tcPr>
          <w:p w14:paraId="0EB264E7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Vodafone New Zealand</w:t>
            </w:r>
          </w:p>
        </w:tc>
        <w:tc>
          <w:tcPr>
            <w:tcW w:w="3036" w:type="dxa"/>
          </w:tcPr>
          <w:p w14:paraId="6CD5AD55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Новая Зеландия</w:t>
            </w:r>
          </w:p>
        </w:tc>
        <w:tc>
          <w:tcPr>
            <w:tcW w:w="1904" w:type="dxa"/>
          </w:tcPr>
          <w:p w14:paraId="5C6797A7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</w:p>
        </w:tc>
      </w:tr>
      <w:tr w:rsidR="0099324C" w:rsidRPr="00567BB6" w14:paraId="6E7DDAE9" w14:textId="77777777" w:rsidTr="0099324C">
        <w:trPr>
          <w:cantSplit/>
        </w:trPr>
        <w:tc>
          <w:tcPr>
            <w:tcW w:w="1129" w:type="dxa"/>
          </w:tcPr>
          <w:p w14:paraId="4B689411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2025</w:t>
            </w:r>
          </w:p>
        </w:tc>
        <w:tc>
          <w:tcPr>
            <w:tcW w:w="1560" w:type="dxa"/>
          </w:tcPr>
          <w:p w14:paraId="06052646" w14:textId="77777777" w:rsidR="000F6A02" w:rsidRPr="00567BB6" w:rsidRDefault="000F6A02" w:rsidP="000B0155">
            <w:pPr>
              <w:pStyle w:val="Tabletext"/>
              <w:ind w:right="170"/>
              <w:jc w:val="righ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100,00</w:t>
            </w:r>
          </w:p>
        </w:tc>
        <w:tc>
          <w:tcPr>
            <w:tcW w:w="1275" w:type="dxa"/>
          </w:tcPr>
          <w:p w14:paraId="0E99F398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</w:tcPr>
          <w:p w14:paraId="4322CF7B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1</w:t>
            </w:r>
          </w:p>
        </w:tc>
        <w:tc>
          <w:tcPr>
            <w:tcW w:w="3668" w:type="dxa"/>
          </w:tcPr>
          <w:p w14:paraId="297E838B" w14:textId="77777777" w:rsidR="000F6A02" w:rsidRPr="00D509C8" w:rsidRDefault="000F6A02" w:rsidP="00991638">
            <w:pPr>
              <w:pStyle w:val="Tabletext"/>
            </w:pPr>
            <w:r w:rsidRPr="00D509C8">
              <w:rPr>
                <w:color w:val="000000"/>
              </w:rPr>
              <w:t>Symbio Networks New Zealand Ltd.</w:t>
            </w:r>
          </w:p>
        </w:tc>
        <w:tc>
          <w:tcPr>
            <w:tcW w:w="3036" w:type="dxa"/>
          </w:tcPr>
          <w:p w14:paraId="75892783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Новая Зеландия</w:t>
            </w:r>
          </w:p>
        </w:tc>
        <w:tc>
          <w:tcPr>
            <w:tcW w:w="1904" w:type="dxa"/>
          </w:tcPr>
          <w:p w14:paraId="29BDB963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</w:p>
        </w:tc>
      </w:tr>
      <w:tr w:rsidR="0099324C" w:rsidRPr="00567BB6" w14:paraId="5A633F92" w14:textId="77777777" w:rsidTr="0099324C">
        <w:trPr>
          <w:cantSplit/>
        </w:trPr>
        <w:tc>
          <w:tcPr>
            <w:tcW w:w="1129" w:type="dxa"/>
            <w:shd w:val="clear" w:color="auto" w:fill="F2F2F2" w:themeFill="background1" w:themeFillShade="F2"/>
          </w:tcPr>
          <w:p w14:paraId="6D441594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67FCAF0C" w14:textId="77777777" w:rsidR="000F6A02" w:rsidRPr="00567BB6" w:rsidRDefault="000F6A02" w:rsidP="000B0155">
            <w:pPr>
              <w:pStyle w:val="Tabletext"/>
              <w:ind w:right="170"/>
              <w:jc w:val="right"/>
              <w:rPr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>800,00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63D448EE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14:paraId="61FED00A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3668" w:type="dxa"/>
            <w:shd w:val="clear" w:color="auto" w:fill="F2F2F2" w:themeFill="background1" w:themeFillShade="F2"/>
          </w:tcPr>
          <w:p w14:paraId="077FF9F6" w14:textId="3047F1CA" w:rsidR="000F6A02" w:rsidRPr="00567BB6" w:rsidRDefault="000F6A02" w:rsidP="00991638">
            <w:pPr>
              <w:pStyle w:val="Tabletext"/>
              <w:rPr>
                <w:b/>
                <w:bCs/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 xml:space="preserve">Промежуточный итог </w:t>
            </w:r>
            <w:r w:rsidR="006A4925" w:rsidRPr="00567BB6">
              <w:rPr>
                <w:b/>
                <w:bCs/>
                <w:color w:val="000000"/>
                <w:lang w:val="ru-RU"/>
              </w:rPr>
              <w:t>−</w:t>
            </w:r>
            <w:r w:rsidRPr="00567BB6">
              <w:rPr>
                <w:b/>
                <w:bCs/>
                <w:color w:val="000000"/>
                <w:lang w:val="ru-RU"/>
              </w:rPr>
              <w:t xml:space="preserve"> Новая Зеландия</w:t>
            </w:r>
          </w:p>
        </w:tc>
        <w:tc>
          <w:tcPr>
            <w:tcW w:w="3036" w:type="dxa"/>
            <w:shd w:val="clear" w:color="auto" w:fill="F2F2F2" w:themeFill="background1" w:themeFillShade="F2"/>
          </w:tcPr>
          <w:p w14:paraId="53A4FC2D" w14:textId="77777777" w:rsidR="000F6A02" w:rsidRPr="00567BB6" w:rsidRDefault="000F6A02" w:rsidP="00991638">
            <w:pPr>
              <w:pStyle w:val="Tabletext"/>
              <w:rPr>
                <w:b/>
                <w:bCs/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>Новая Зеландия</w:t>
            </w:r>
          </w:p>
        </w:tc>
        <w:tc>
          <w:tcPr>
            <w:tcW w:w="1904" w:type="dxa"/>
            <w:shd w:val="clear" w:color="auto" w:fill="F2F2F2" w:themeFill="background1" w:themeFillShade="F2"/>
          </w:tcPr>
          <w:p w14:paraId="7B6B31D2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</w:p>
        </w:tc>
      </w:tr>
      <w:tr w:rsidR="0099324C" w:rsidRPr="00567BB6" w14:paraId="6F3EDEA3" w14:textId="77777777" w:rsidTr="0099324C">
        <w:trPr>
          <w:cantSplit/>
        </w:trPr>
        <w:tc>
          <w:tcPr>
            <w:tcW w:w="1129" w:type="dxa"/>
          </w:tcPr>
          <w:p w14:paraId="2C8AAEAA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2024</w:t>
            </w:r>
          </w:p>
        </w:tc>
        <w:tc>
          <w:tcPr>
            <w:tcW w:w="1560" w:type="dxa"/>
          </w:tcPr>
          <w:p w14:paraId="5F5B7571" w14:textId="77777777" w:rsidR="000F6A02" w:rsidRPr="00567BB6" w:rsidRDefault="000F6A02" w:rsidP="000B0155">
            <w:pPr>
              <w:pStyle w:val="Tabletext"/>
              <w:ind w:right="170"/>
              <w:jc w:val="righ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600,00</w:t>
            </w:r>
          </w:p>
        </w:tc>
        <w:tc>
          <w:tcPr>
            <w:tcW w:w="1275" w:type="dxa"/>
          </w:tcPr>
          <w:p w14:paraId="52B5470B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</w:tcPr>
          <w:p w14:paraId="0F73466B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–</w:t>
            </w:r>
          </w:p>
        </w:tc>
        <w:tc>
          <w:tcPr>
            <w:tcW w:w="3668" w:type="dxa"/>
          </w:tcPr>
          <w:p w14:paraId="54612D0B" w14:textId="77777777" w:rsidR="000F6A02" w:rsidRPr="00D509C8" w:rsidRDefault="000F6A02" w:rsidP="00991638">
            <w:pPr>
              <w:pStyle w:val="Tabletext"/>
              <w:rPr>
                <w:lang w:val="es-ES"/>
              </w:rPr>
            </w:pPr>
            <w:r w:rsidRPr="00D509C8">
              <w:rPr>
                <w:color w:val="000000"/>
                <w:lang w:val="es-ES"/>
              </w:rPr>
              <w:t>Empresa Hondureña de Telecommunicaciones (HONDUTEL)</w:t>
            </w:r>
          </w:p>
        </w:tc>
        <w:tc>
          <w:tcPr>
            <w:tcW w:w="3036" w:type="dxa"/>
          </w:tcPr>
          <w:p w14:paraId="2F09E559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Гондурас</w:t>
            </w:r>
          </w:p>
        </w:tc>
        <w:tc>
          <w:tcPr>
            <w:tcW w:w="1904" w:type="dxa"/>
          </w:tcPr>
          <w:p w14:paraId="29B065D1" w14:textId="2B381BE6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ЗАДОЛЖЕННОСТ</w:t>
            </w:r>
            <w:r w:rsidR="00716D5F" w:rsidRPr="00567BB6">
              <w:rPr>
                <w:color w:val="000000"/>
                <w:lang w:val="ru-RU"/>
              </w:rPr>
              <w:t>Ь</w:t>
            </w:r>
            <w:r w:rsidRPr="00567BB6">
              <w:rPr>
                <w:color w:val="000000"/>
                <w:lang w:val="ru-RU"/>
              </w:rPr>
              <w:t>*</w:t>
            </w:r>
          </w:p>
        </w:tc>
      </w:tr>
      <w:tr w:rsidR="0099324C" w:rsidRPr="00567BB6" w14:paraId="47270CA9" w14:textId="77777777" w:rsidTr="0099324C">
        <w:trPr>
          <w:cantSplit/>
        </w:trPr>
        <w:tc>
          <w:tcPr>
            <w:tcW w:w="1129" w:type="dxa"/>
          </w:tcPr>
          <w:p w14:paraId="59EFF9A4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2018</w:t>
            </w:r>
          </w:p>
        </w:tc>
        <w:tc>
          <w:tcPr>
            <w:tcW w:w="1560" w:type="dxa"/>
          </w:tcPr>
          <w:p w14:paraId="6648EE1B" w14:textId="77777777" w:rsidR="000F6A02" w:rsidRPr="00567BB6" w:rsidRDefault="000F6A02" w:rsidP="000B0155">
            <w:pPr>
              <w:pStyle w:val="Tabletext"/>
              <w:ind w:right="170"/>
              <w:jc w:val="righ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100,00</w:t>
            </w:r>
          </w:p>
        </w:tc>
        <w:tc>
          <w:tcPr>
            <w:tcW w:w="1275" w:type="dxa"/>
          </w:tcPr>
          <w:p w14:paraId="16E3605F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</w:tcPr>
          <w:p w14:paraId="2BF4D8D5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1</w:t>
            </w:r>
          </w:p>
        </w:tc>
        <w:tc>
          <w:tcPr>
            <w:tcW w:w="3668" w:type="dxa"/>
          </w:tcPr>
          <w:p w14:paraId="6B2F1F52" w14:textId="77777777" w:rsidR="000F6A02" w:rsidRPr="00D509C8" w:rsidRDefault="000F6A02" w:rsidP="00991638">
            <w:pPr>
              <w:pStyle w:val="Tabletext"/>
              <w:rPr>
                <w:lang w:val="es-ES"/>
              </w:rPr>
            </w:pPr>
            <w:r w:rsidRPr="00D509C8">
              <w:rPr>
                <w:color w:val="000000"/>
                <w:lang w:val="es-ES"/>
              </w:rPr>
              <w:t>Empresa Hondureña de Telecommunicaciones (HONDUTEL)</w:t>
            </w:r>
          </w:p>
        </w:tc>
        <w:tc>
          <w:tcPr>
            <w:tcW w:w="3036" w:type="dxa"/>
          </w:tcPr>
          <w:p w14:paraId="09D1729F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Гондурас</w:t>
            </w:r>
          </w:p>
        </w:tc>
        <w:tc>
          <w:tcPr>
            <w:tcW w:w="1904" w:type="dxa"/>
          </w:tcPr>
          <w:p w14:paraId="4326EB8B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</w:p>
        </w:tc>
      </w:tr>
      <w:tr w:rsidR="0099324C" w:rsidRPr="00567BB6" w14:paraId="527CA367" w14:textId="77777777" w:rsidTr="0099324C">
        <w:trPr>
          <w:cantSplit/>
        </w:trPr>
        <w:tc>
          <w:tcPr>
            <w:tcW w:w="1129" w:type="dxa"/>
            <w:shd w:val="clear" w:color="auto" w:fill="F2F2F2" w:themeFill="background1" w:themeFillShade="F2"/>
          </w:tcPr>
          <w:p w14:paraId="401D8F14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4906CA62" w14:textId="77777777" w:rsidR="000F6A02" w:rsidRPr="00567BB6" w:rsidRDefault="000F6A02" w:rsidP="000B0155">
            <w:pPr>
              <w:pStyle w:val="Tabletext"/>
              <w:ind w:right="170"/>
              <w:jc w:val="right"/>
              <w:rPr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>700,00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248EDC75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14:paraId="17AC3997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3668" w:type="dxa"/>
            <w:shd w:val="clear" w:color="auto" w:fill="F2F2F2" w:themeFill="background1" w:themeFillShade="F2"/>
          </w:tcPr>
          <w:p w14:paraId="452A1B77" w14:textId="33362A3A" w:rsidR="000F6A02" w:rsidRPr="00567BB6" w:rsidRDefault="000F6A02" w:rsidP="00991638">
            <w:pPr>
              <w:pStyle w:val="Tabletext"/>
              <w:rPr>
                <w:b/>
                <w:bCs/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 xml:space="preserve">Промежуточный итог </w:t>
            </w:r>
            <w:r w:rsidR="006A4925" w:rsidRPr="00567BB6">
              <w:rPr>
                <w:b/>
                <w:bCs/>
                <w:color w:val="000000"/>
                <w:lang w:val="ru-RU"/>
              </w:rPr>
              <w:t>−</w:t>
            </w:r>
            <w:r w:rsidRPr="00567BB6">
              <w:rPr>
                <w:b/>
                <w:bCs/>
                <w:color w:val="000000"/>
                <w:lang w:val="ru-RU"/>
              </w:rPr>
              <w:t xml:space="preserve"> Гондурас</w:t>
            </w:r>
          </w:p>
        </w:tc>
        <w:tc>
          <w:tcPr>
            <w:tcW w:w="3036" w:type="dxa"/>
            <w:shd w:val="clear" w:color="auto" w:fill="F2F2F2" w:themeFill="background1" w:themeFillShade="F2"/>
          </w:tcPr>
          <w:p w14:paraId="7B6C7440" w14:textId="77777777" w:rsidR="000F6A02" w:rsidRPr="00567BB6" w:rsidRDefault="000F6A02" w:rsidP="00991638">
            <w:pPr>
              <w:pStyle w:val="Tabletext"/>
              <w:rPr>
                <w:b/>
                <w:bCs/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>Гондурас</w:t>
            </w:r>
          </w:p>
        </w:tc>
        <w:tc>
          <w:tcPr>
            <w:tcW w:w="1904" w:type="dxa"/>
            <w:shd w:val="clear" w:color="auto" w:fill="F2F2F2" w:themeFill="background1" w:themeFillShade="F2"/>
          </w:tcPr>
          <w:p w14:paraId="0AB4BB28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</w:p>
        </w:tc>
      </w:tr>
      <w:tr w:rsidR="0099324C" w:rsidRPr="00567BB6" w14:paraId="39947037" w14:textId="77777777" w:rsidTr="0099324C">
        <w:trPr>
          <w:cantSplit/>
        </w:trPr>
        <w:tc>
          <w:tcPr>
            <w:tcW w:w="1129" w:type="dxa"/>
          </w:tcPr>
          <w:p w14:paraId="12959743" w14:textId="77777777" w:rsidR="000F6A02" w:rsidRPr="00567BB6" w:rsidRDefault="000F6A02" w:rsidP="00991638">
            <w:pPr>
              <w:pStyle w:val="Tabletext"/>
              <w:keepNext/>
              <w:keepLines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2024</w:t>
            </w:r>
          </w:p>
        </w:tc>
        <w:tc>
          <w:tcPr>
            <w:tcW w:w="1560" w:type="dxa"/>
          </w:tcPr>
          <w:p w14:paraId="0FD8ADF3" w14:textId="77777777" w:rsidR="000F6A02" w:rsidRPr="00567BB6" w:rsidRDefault="000F6A02" w:rsidP="000B0155">
            <w:pPr>
              <w:pStyle w:val="Tabletext"/>
              <w:keepNext/>
              <w:keepLines/>
              <w:ind w:right="170"/>
              <w:jc w:val="righ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600,00</w:t>
            </w:r>
          </w:p>
        </w:tc>
        <w:tc>
          <w:tcPr>
            <w:tcW w:w="1275" w:type="dxa"/>
          </w:tcPr>
          <w:p w14:paraId="0695F722" w14:textId="77777777" w:rsidR="000F6A02" w:rsidRPr="00567BB6" w:rsidRDefault="000F6A02" w:rsidP="00991638">
            <w:pPr>
              <w:pStyle w:val="Tabletext"/>
              <w:keepNext/>
              <w:keepLines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</w:tcPr>
          <w:p w14:paraId="42367B24" w14:textId="77777777" w:rsidR="000F6A02" w:rsidRPr="00567BB6" w:rsidRDefault="000F6A02" w:rsidP="00991638">
            <w:pPr>
              <w:pStyle w:val="Tabletext"/>
              <w:keepNext/>
              <w:keepLines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–</w:t>
            </w:r>
          </w:p>
        </w:tc>
        <w:tc>
          <w:tcPr>
            <w:tcW w:w="3668" w:type="dxa"/>
          </w:tcPr>
          <w:p w14:paraId="3F1ED8DD" w14:textId="10BCFA1F" w:rsidR="000F6A02" w:rsidRPr="00567BB6" w:rsidRDefault="000F6A02" w:rsidP="00991638">
            <w:pPr>
              <w:pStyle w:val="Tabletext"/>
              <w:keepNext/>
              <w:keepLines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Telecom Itália Móbile S.p.A. (TIM)</w:t>
            </w:r>
            <w:r w:rsidR="0043362A" w:rsidRPr="00567BB6">
              <w:rPr>
                <w:color w:val="000000"/>
                <w:lang w:val="ru-RU"/>
              </w:rPr>
              <w:br/>
            </w:r>
            <w:r w:rsidRPr="00567BB6">
              <w:rPr>
                <w:color w:val="000000"/>
                <w:lang w:val="ru-RU"/>
              </w:rPr>
              <w:t>(ранее – INTELIG Telecomunicações Ltda.)</w:t>
            </w:r>
          </w:p>
        </w:tc>
        <w:tc>
          <w:tcPr>
            <w:tcW w:w="3036" w:type="dxa"/>
          </w:tcPr>
          <w:p w14:paraId="1D726663" w14:textId="77777777" w:rsidR="000F6A02" w:rsidRPr="00567BB6" w:rsidRDefault="000F6A02" w:rsidP="00991638">
            <w:pPr>
              <w:pStyle w:val="Tabletext"/>
              <w:keepNext/>
              <w:keepLines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Бразилия</w:t>
            </w:r>
          </w:p>
        </w:tc>
        <w:tc>
          <w:tcPr>
            <w:tcW w:w="1904" w:type="dxa"/>
          </w:tcPr>
          <w:p w14:paraId="48CE9E1C" w14:textId="0079DDF0" w:rsidR="000F6A02" w:rsidRPr="00567BB6" w:rsidRDefault="000F6A02" w:rsidP="00991638">
            <w:pPr>
              <w:pStyle w:val="Tabletext"/>
              <w:keepNext/>
              <w:keepLines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ЗАДОЛЖЕННОСТ</w:t>
            </w:r>
            <w:r w:rsidR="00716D5F" w:rsidRPr="00567BB6">
              <w:rPr>
                <w:color w:val="000000"/>
                <w:lang w:val="ru-RU"/>
              </w:rPr>
              <w:t>Ь</w:t>
            </w:r>
            <w:r w:rsidRPr="00567BB6">
              <w:rPr>
                <w:color w:val="000000"/>
                <w:lang w:val="ru-RU"/>
              </w:rPr>
              <w:t>*</w:t>
            </w:r>
          </w:p>
        </w:tc>
      </w:tr>
      <w:tr w:rsidR="0099324C" w:rsidRPr="00567BB6" w14:paraId="1BEE752A" w14:textId="77777777" w:rsidTr="0099324C">
        <w:trPr>
          <w:cantSplit/>
        </w:trPr>
        <w:tc>
          <w:tcPr>
            <w:tcW w:w="1129" w:type="dxa"/>
          </w:tcPr>
          <w:p w14:paraId="0EA1B1DE" w14:textId="77777777" w:rsidR="000F6A02" w:rsidRPr="00567BB6" w:rsidRDefault="000F6A02" w:rsidP="00991638">
            <w:pPr>
              <w:pStyle w:val="Tabletext"/>
              <w:keepNext/>
              <w:keepLines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2018</w:t>
            </w:r>
          </w:p>
        </w:tc>
        <w:tc>
          <w:tcPr>
            <w:tcW w:w="1560" w:type="dxa"/>
          </w:tcPr>
          <w:p w14:paraId="6C315ADA" w14:textId="77777777" w:rsidR="000F6A02" w:rsidRPr="00567BB6" w:rsidRDefault="000F6A02" w:rsidP="000B0155">
            <w:pPr>
              <w:pStyle w:val="Tabletext"/>
              <w:keepNext/>
              <w:keepLines/>
              <w:ind w:right="170"/>
              <w:jc w:val="righ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100,00</w:t>
            </w:r>
          </w:p>
        </w:tc>
        <w:tc>
          <w:tcPr>
            <w:tcW w:w="1275" w:type="dxa"/>
          </w:tcPr>
          <w:p w14:paraId="3C7748CB" w14:textId="77777777" w:rsidR="000F6A02" w:rsidRPr="00567BB6" w:rsidRDefault="000F6A02" w:rsidP="00991638">
            <w:pPr>
              <w:pStyle w:val="Tabletext"/>
              <w:keepNext/>
              <w:keepLines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</w:tcPr>
          <w:p w14:paraId="4730674B" w14:textId="77777777" w:rsidR="000F6A02" w:rsidRPr="00567BB6" w:rsidRDefault="000F6A02" w:rsidP="00991638">
            <w:pPr>
              <w:pStyle w:val="Tabletext"/>
              <w:keepNext/>
              <w:keepLines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1</w:t>
            </w:r>
          </w:p>
        </w:tc>
        <w:tc>
          <w:tcPr>
            <w:tcW w:w="3668" w:type="dxa"/>
          </w:tcPr>
          <w:p w14:paraId="26F77007" w14:textId="283D3B7F" w:rsidR="000F6A02" w:rsidRPr="00567BB6" w:rsidRDefault="000F6A02" w:rsidP="00991638">
            <w:pPr>
              <w:pStyle w:val="Tabletext"/>
              <w:keepNext/>
              <w:keepLines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Telecom Itália Móbile S.p.A. (TIM)</w:t>
            </w:r>
            <w:r w:rsidR="0043362A" w:rsidRPr="00567BB6">
              <w:rPr>
                <w:color w:val="000000"/>
                <w:lang w:val="ru-RU"/>
              </w:rPr>
              <w:br/>
            </w:r>
            <w:r w:rsidRPr="00567BB6">
              <w:rPr>
                <w:color w:val="000000"/>
                <w:lang w:val="ru-RU"/>
              </w:rPr>
              <w:t>(ранее – INTELIG Telecomunicações Ltda.)</w:t>
            </w:r>
          </w:p>
        </w:tc>
        <w:tc>
          <w:tcPr>
            <w:tcW w:w="3036" w:type="dxa"/>
          </w:tcPr>
          <w:p w14:paraId="7D9196D4" w14:textId="77777777" w:rsidR="000F6A02" w:rsidRPr="00567BB6" w:rsidRDefault="000F6A02" w:rsidP="00991638">
            <w:pPr>
              <w:pStyle w:val="Tabletext"/>
              <w:keepNext/>
              <w:keepLines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Бразилия</w:t>
            </w:r>
          </w:p>
        </w:tc>
        <w:tc>
          <w:tcPr>
            <w:tcW w:w="1904" w:type="dxa"/>
          </w:tcPr>
          <w:p w14:paraId="55543E7F" w14:textId="77777777" w:rsidR="000F6A02" w:rsidRPr="00567BB6" w:rsidRDefault="000F6A02" w:rsidP="00991638">
            <w:pPr>
              <w:pStyle w:val="Tabletext"/>
              <w:keepNext/>
              <w:keepLines/>
              <w:rPr>
                <w:lang w:val="ru-RU"/>
              </w:rPr>
            </w:pPr>
          </w:p>
        </w:tc>
      </w:tr>
      <w:tr w:rsidR="0099324C" w:rsidRPr="00567BB6" w14:paraId="527D1511" w14:textId="77777777" w:rsidTr="0099324C">
        <w:trPr>
          <w:cantSplit/>
        </w:trPr>
        <w:tc>
          <w:tcPr>
            <w:tcW w:w="1129" w:type="dxa"/>
            <w:shd w:val="clear" w:color="auto" w:fill="F2F2F2" w:themeFill="background1" w:themeFillShade="F2"/>
          </w:tcPr>
          <w:p w14:paraId="26119CBC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0CB68EEC" w14:textId="77777777" w:rsidR="000F6A02" w:rsidRPr="00567BB6" w:rsidRDefault="000F6A02" w:rsidP="000B0155">
            <w:pPr>
              <w:pStyle w:val="Tabletext"/>
              <w:ind w:right="170"/>
              <w:jc w:val="right"/>
              <w:rPr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>700,00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5295B72B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14:paraId="54A0D8BE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3668" w:type="dxa"/>
            <w:shd w:val="clear" w:color="auto" w:fill="F2F2F2" w:themeFill="background1" w:themeFillShade="F2"/>
          </w:tcPr>
          <w:p w14:paraId="39A7CEFC" w14:textId="2BF3E4BC" w:rsidR="000F6A02" w:rsidRPr="00567BB6" w:rsidRDefault="000F6A02" w:rsidP="00991638">
            <w:pPr>
              <w:pStyle w:val="Tabletext"/>
              <w:rPr>
                <w:b/>
                <w:bCs/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 xml:space="preserve">Промежуточный итог </w:t>
            </w:r>
            <w:r w:rsidR="006A4925" w:rsidRPr="00567BB6">
              <w:rPr>
                <w:b/>
                <w:bCs/>
                <w:color w:val="000000"/>
                <w:lang w:val="ru-RU"/>
              </w:rPr>
              <w:t>−</w:t>
            </w:r>
            <w:r w:rsidRPr="00567BB6">
              <w:rPr>
                <w:b/>
                <w:bCs/>
                <w:color w:val="000000"/>
                <w:lang w:val="ru-RU"/>
              </w:rPr>
              <w:t xml:space="preserve"> Бразилия</w:t>
            </w:r>
          </w:p>
        </w:tc>
        <w:tc>
          <w:tcPr>
            <w:tcW w:w="3036" w:type="dxa"/>
            <w:shd w:val="clear" w:color="auto" w:fill="F2F2F2" w:themeFill="background1" w:themeFillShade="F2"/>
          </w:tcPr>
          <w:p w14:paraId="75BC6AD7" w14:textId="77777777" w:rsidR="000F6A02" w:rsidRPr="00567BB6" w:rsidRDefault="000F6A02" w:rsidP="00991638">
            <w:pPr>
              <w:pStyle w:val="Tabletext"/>
              <w:rPr>
                <w:b/>
                <w:bCs/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>Бразилия</w:t>
            </w:r>
          </w:p>
        </w:tc>
        <w:tc>
          <w:tcPr>
            <w:tcW w:w="1904" w:type="dxa"/>
            <w:shd w:val="clear" w:color="auto" w:fill="F2F2F2" w:themeFill="background1" w:themeFillShade="F2"/>
          </w:tcPr>
          <w:p w14:paraId="585BBD61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</w:p>
        </w:tc>
      </w:tr>
      <w:tr w:rsidR="0099324C" w:rsidRPr="00567BB6" w14:paraId="5B5FF4BE" w14:textId="77777777" w:rsidTr="0099324C">
        <w:trPr>
          <w:cantSplit/>
        </w:trPr>
        <w:tc>
          <w:tcPr>
            <w:tcW w:w="1129" w:type="dxa"/>
          </w:tcPr>
          <w:p w14:paraId="239E1D6C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2025</w:t>
            </w:r>
          </w:p>
        </w:tc>
        <w:tc>
          <w:tcPr>
            <w:tcW w:w="1560" w:type="dxa"/>
          </w:tcPr>
          <w:p w14:paraId="03DB6F76" w14:textId="77777777" w:rsidR="000F6A02" w:rsidRPr="00567BB6" w:rsidRDefault="000F6A02" w:rsidP="000B0155">
            <w:pPr>
              <w:pStyle w:val="Tabletext"/>
              <w:ind w:right="170"/>
              <w:jc w:val="righ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700,00</w:t>
            </w:r>
          </w:p>
        </w:tc>
        <w:tc>
          <w:tcPr>
            <w:tcW w:w="1275" w:type="dxa"/>
          </w:tcPr>
          <w:p w14:paraId="144FB053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</w:tcPr>
          <w:p w14:paraId="502C2B4E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7</w:t>
            </w:r>
          </w:p>
        </w:tc>
        <w:tc>
          <w:tcPr>
            <w:tcW w:w="3668" w:type="dxa"/>
          </w:tcPr>
          <w:p w14:paraId="4986304B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Cable &amp; Wireless Panamá S.A.</w:t>
            </w:r>
          </w:p>
        </w:tc>
        <w:tc>
          <w:tcPr>
            <w:tcW w:w="3036" w:type="dxa"/>
          </w:tcPr>
          <w:p w14:paraId="3BF788BC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Панама</w:t>
            </w:r>
          </w:p>
        </w:tc>
        <w:tc>
          <w:tcPr>
            <w:tcW w:w="1904" w:type="dxa"/>
          </w:tcPr>
          <w:p w14:paraId="224565D2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</w:p>
        </w:tc>
      </w:tr>
      <w:tr w:rsidR="0099324C" w:rsidRPr="00567BB6" w14:paraId="37DD3AFF" w14:textId="77777777" w:rsidTr="0099324C">
        <w:trPr>
          <w:cantSplit/>
        </w:trPr>
        <w:tc>
          <w:tcPr>
            <w:tcW w:w="1129" w:type="dxa"/>
            <w:shd w:val="clear" w:color="auto" w:fill="F2F2F2" w:themeFill="background1" w:themeFillShade="F2"/>
          </w:tcPr>
          <w:p w14:paraId="0B3CF37F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3C55F3C7" w14:textId="77777777" w:rsidR="000F6A02" w:rsidRPr="00567BB6" w:rsidRDefault="000F6A02" w:rsidP="000B0155">
            <w:pPr>
              <w:pStyle w:val="Tabletext"/>
              <w:ind w:right="170"/>
              <w:jc w:val="right"/>
              <w:rPr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>700,00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4875EC50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14:paraId="6EF79CCA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3668" w:type="dxa"/>
            <w:shd w:val="clear" w:color="auto" w:fill="F2F2F2" w:themeFill="background1" w:themeFillShade="F2"/>
          </w:tcPr>
          <w:p w14:paraId="2C46E885" w14:textId="39AA30B0" w:rsidR="000F6A02" w:rsidRPr="00567BB6" w:rsidRDefault="000F6A02" w:rsidP="00991638">
            <w:pPr>
              <w:pStyle w:val="Tabletext"/>
              <w:rPr>
                <w:b/>
                <w:bCs/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 xml:space="preserve">Промежуточный итог </w:t>
            </w:r>
            <w:r w:rsidR="006A4925" w:rsidRPr="00567BB6">
              <w:rPr>
                <w:b/>
                <w:bCs/>
                <w:color w:val="000000"/>
                <w:lang w:val="ru-RU"/>
              </w:rPr>
              <w:t>−</w:t>
            </w:r>
            <w:r w:rsidRPr="00567BB6">
              <w:rPr>
                <w:b/>
                <w:bCs/>
                <w:color w:val="000000"/>
                <w:lang w:val="ru-RU"/>
              </w:rPr>
              <w:t xml:space="preserve"> Панама</w:t>
            </w:r>
          </w:p>
        </w:tc>
        <w:tc>
          <w:tcPr>
            <w:tcW w:w="3036" w:type="dxa"/>
            <w:shd w:val="clear" w:color="auto" w:fill="F2F2F2" w:themeFill="background1" w:themeFillShade="F2"/>
          </w:tcPr>
          <w:p w14:paraId="375308D0" w14:textId="77777777" w:rsidR="000F6A02" w:rsidRPr="00567BB6" w:rsidRDefault="000F6A02" w:rsidP="00991638">
            <w:pPr>
              <w:pStyle w:val="Tabletext"/>
              <w:rPr>
                <w:b/>
                <w:bCs/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>Панама</w:t>
            </w:r>
          </w:p>
        </w:tc>
        <w:tc>
          <w:tcPr>
            <w:tcW w:w="1904" w:type="dxa"/>
            <w:shd w:val="clear" w:color="auto" w:fill="F2F2F2" w:themeFill="background1" w:themeFillShade="F2"/>
          </w:tcPr>
          <w:p w14:paraId="0785ECE1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</w:p>
        </w:tc>
      </w:tr>
      <w:tr w:rsidR="0099324C" w:rsidRPr="00567BB6" w14:paraId="7C3819FC" w14:textId="77777777" w:rsidTr="0099324C">
        <w:trPr>
          <w:cantSplit/>
        </w:trPr>
        <w:tc>
          <w:tcPr>
            <w:tcW w:w="1129" w:type="dxa"/>
          </w:tcPr>
          <w:p w14:paraId="3D2D1883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2024</w:t>
            </w:r>
          </w:p>
        </w:tc>
        <w:tc>
          <w:tcPr>
            <w:tcW w:w="1560" w:type="dxa"/>
          </w:tcPr>
          <w:p w14:paraId="06122532" w14:textId="77777777" w:rsidR="000F6A02" w:rsidRPr="00567BB6" w:rsidRDefault="000F6A02" w:rsidP="000B0155">
            <w:pPr>
              <w:pStyle w:val="Tabletext"/>
              <w:ind w:right="170"/>
              <w:jc w:val="righ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300,00</w:t>
            </w:r>
          </w:p>
        </w:tc>
        <w:tc>
          <w:tcPr>
            <w:tcW w:w="1275" w:type="dxa"/>
          </w:tcPr>
          <w:p w14:paraId="0129AD35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</w:tcPr>
          <w:p w14:paraId="36E68D04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3</w:t>
            </w:r>
          </w:p>
        </w:tc>
        <w:tc>
          <w:tcPr>
            <w:tcW w:w="3668" w:type="dxa"/>
          </w:tcPr>
          <w:p w14:paraId="45BCA639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Mass Response Service GmbH</w:t>
            </w:r>
          </w:p>
        </w:tc>
        <w:tc>
          <w:tcPr>
            <w:tcW w:w="3036" w:type="dxa"/>
          </w:tcPr>
          <w:p w14:paraId="7141C0DB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Австрия</w:t>
            </w:r>
          </w:p>
        </w:tc>
        <w:tc>
          <w:tcPr>
            <w:tcW w:w="1904" w:type="dxa"/>
          </w:tcPr>
          <w:p w14:paraId="02907DD6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</w:p>
        </w:tc>
      </w:tr>
      <w:tr w:rsidR="0099324C" w:rsidRPr="00567BB6" w14:paraId="3AAA677E" w14:textId="77777777" w:rsidTr="0099324C">
        <w:trPr>
          <w:cantSplit/>
        </w:trPr>
        <w:tc>
          <w:tcPr>
            <w:tcW w:w="1129" w:type="dxa"/>
          </w:tcPr>
          <w:p w14:paraId="0F49CEF0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2025</w:t>
            </w:r>
          </w:p>
        </w:tc>
        <w:tc>
          <w:tcPr>
            <w:tcW w:w="1560" w:type="dxa"/>
          </w:tcPr>
          <w:p w14:paraId="1D94974B" w14:textId="77777777" w:rsidR="000F6A02" w:rsidRPr="00567BB6" w:rsidRDefault="000F6A02" w:rsidP="000B0155">
            <w:pPr>
              <w:pStyle w:val="Tabletext"/>
              <w:ind w:right="170"/>
              <w:jc w:val="righ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300,00</w:t>
            </w:r>
          </w:p>
        </w:tc>
        <w:tc>
          <w:tcPr>
            <w:tcW w:w="1275" w:type="dxa"/>
          </w:tcPr>
          <w:p w14:paraId="687CE45F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</w:tcPr>
          <w:p w14:paraId="1A51FF55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3</w:t>
            </w:r>
          </w:p>
        </w:tc>
        <w:tc>
          <w:tcPr>
            <w:tcW w:w="3668" w:type="dxa"/>
          </w:tcPr>
          <w:p w14:paraId="56BD2C28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Mass Response Service GmbH</w:t>
            </w:r>
          </w:p>
        </w:tc>
        <w:tc>
          <w:tcPr>
            <w:tcW w:w="3036" w:type="dxa"/>
          </w:tcPr>
          <w:p w14:paraId="3253D0ED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Австрия</w:t>
            </w:r>
          </w:p>
        </w:tc>
        <w:tc>
          <w:tcPr>
            <w:tcW w:w="1904" w:type="dxa"/>
          </w:tcPr>
          <w:p w14:paraId="5482D822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</w:p>
        </w:tc>
      </w:tr>
      <w:tr w:rsidR="0099324C" w:rsidRPr="00567BB6" w14:paraId="0D15E4BA" w14:textId="77777777" w:rsidTr="0099324C">
        <w:trPr>
          <w:cantSplit/>
        </w:trPr>
        <w:tc>
          <w:tcPr>
            <w:tcW w:w="1129" w:type="dxa"/>
            <w:shd w:val="clear" w:color="auto" w:fill="F2F2F2" w:themeFill="background1" w:themeFillShade="F2"/>
          </w:tcPr>
          <w:p w14:paraId="36513021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63B03648" w14:textId="77777777" w:rsidR="000F6A02" w:rsidRPr="00567BB6" w:rsidRDefault="000F6A02" w:rsidP="000B0155">
            <w:pPr>
              <w:pStyle w:val="Tabletext"/>
              <w:ind w:right="170"/>
              <w:jc w:val="right"/>
              <w:rPr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>600,00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7A1F4F41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14:paraId="1E306E6C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3668" w:type="dxa"/>
            <w:shd w:val="clear" w:color="auto" w:fill="F2F2F2" w:themeFill="background1" w:themeFillShade="F2"/>
          </w:tcPr>
          <w:p w14:paraId="4308D7D0" w14:textId="03BFADB3" w:rsidR="000F6A02" w:rsidRPr="00567BB6" w:rsidRDefault="000F6A02" w:rsidP="00991638">
            <w:pPr>
              <w:pStyle w:val="Tabletext"/>
              <w:rPr>
                <w:b/>
                <w:bCs/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 xml:space="preserve">Промежуточный итог </w:t>
            </w:r>
            <w:r w:rsidR="006A4925" w:rsidRPr="00567BB6">
              <w:rPr>
                <w:b/>
                <w:bCs/>
                <w:color w:val="000000"/>
                <w:lang w:val="ru-RU"/>
              </w:rPr>
              <w:t>−</w:t>
            </w:r>
            <w:r w:rsidRPr="00567BB6">
              <w:rPr>
                <w:b/>
                <w:bCs/>
                <w:color w:val="000000"/>
                <w:lang w:val="ru-RU"/>
              </w:rPr>
              <w:t xml:space="preserve"> Австрия</w:t>
            </w:r>
          </w:p>
        </w:tc>
        <w:tc>
          <w:tcPr>
            <w:tcW w:w="3036" w:type="dxa"/>
            <w:shd w:val="clear" w:color="auto" w:fill="F2F2F2" w:themeFill="background1" w:themeFillShade="F2"/>
          </w:tcPr>
          <w:p w14:paraId="454C1157" w14:textId="77777777" w:rsidR="000F6A02" w:rsidRPr="00567BB6" w:rsidRDefault="000F6A02" w:rsidP="00991638">
            <w:pPr>
              <w:pStyle w:val="Tabletext"/>
              <w:rPr>
                <w:b/>
                <w:bCs/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>Австрия</w:t>
            </w:r>
          </w:p>
        </w:tc>
        <w:tc>
          <w:tcPr>
            <w:tcW w:w="1904" w:type="dxa"/>
            <w:shd w:val="clear" w:color="auto" w:fill="F2F2F2" w:themeFill="background1" w:themeFillShade="F2"/>
          </w:tcPr>
          <w:p w14:paraId="12421B16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</w:p>
        </w:tc>
      </w:tr>
      <w:tr w:rsidR="0099324C" w:rsidRPr="00567BB6" w14:paraId="227577DA" w14:textId="77777777" w:rsidTr="0099324C">
        <w:trPr>
          <w:cantSplit/>
        </w:trPr>
        <w:tc>
          <w:tcPr>
            <w:tcW w:w="1129" w:type="dxa"/>
          </w:tcPr>
          <w:p w14:paraId="1BF45CDC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2024</w:t>
            </w:r>
          </w:p>
        </w:tc>
        <w:tc>
          <w:tcPr>
            <w:tcW w:w="1560" w:type="dxa"/>
          </w:tcPr>
          <w:p w14:paraId="089B1AA0" w14:textId="77777777" w:rsidR="000F6A02" w:rsidRPr="00567BB6" w:rsidRDefault="000F6A02" w:rsidP="000B0155">
            <w:pPr>
              <w:pStyle w:val="Tabletext"/>
              <w:ind w:right="170"/>
              <w:jc w:val="righ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600,00</w:t>
            </w:r>
          </w:p>
        </w:tc>
        <w:tc>
          <w:tcPr>
            <w:tcW w:w="1275" w:type="dxa"/>
          </w:tcPr>
          <w:p w14:paraId="4159102A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</w:tcPr>
          <w:p w14:paraId="10CE0343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–</w:t>
            </w:r>
          </w:p>
        </w:tc>
        <w:tc>
          <w:tcPr>
            <w:tcW w:w="3668" w:type="dxa"/>
          </w:tcPr>
          <w:p w14:paraId="4A5FD950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Telecable de Asturias SA</w:t>
            </w:r>
          </w:p>
        </w:tc>
        <w:tc>
          <w:tcPr>
            <w:tcW w:w="3036" w:type="dxa"/>
          </w:tcPr>
          <w:p w14:paraId="5A209FD6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Испания</w:t>
            </w:r>
          </w:p>
        </w:tc>
        <w:tc>
          <w:tcPr>
            <w:tcW w:w="1904" w:type="dxa"/>
          </w:tcPr>
          <w:p w14:paraId="30A0C36A" w14:textId="6F8B9691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ЗАДОЛЖЕННОСТ</w:t>
            </w:r>
            <w:r w:rsidR="00716D5F" w:rsidRPr="00567BB6">
              <w:rPr>
                <w:color w:val="000000"/>
                <w:lang w:val="ru-RU"/>
              </w:rPr>
              <w:t>Ь</w:t>
            </w:r>
            <w:r w:rsidRPr="00567BB6">
              <w:rPr>
                <w:color w:val="000000"/>
                <w:lang w:val="ru-RU"/>
              </w:rPr>
              <w:t>*</w:t>
            </w:r>
          </w:p>
        </w:tc>
      </w:tr>
      <w:tr w:rsidR="0099324C" w:rsidRPr="00567BB6" w14:paraId="5059817C" w14:textId="77777777" w:rsidTr="0099324C">
        <w:trPr>
          <w:cantSplit/>
        </w:trPr>
        <w:tc>
          <w:tcPr>
            <w:tcW w:w="1129" w:type="dxa"/>
            <w:shd w:val="clear" w:color="auto" w:fill="F2F2F2" w:themeFill="background1" w:themeFillShade="F2"/>
          </w:tcPr>
          <w:p w14:paraId="0F839E78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476324E1" w14:textId="77777777" w:rsidR="000F6A02" w:rsidRPr="00567BB6" w:rsidRDefault="000F6A02" w:rsidP="000B0155">
            <w:pPr>
              <w:pStyle w:val="Tabletext"/>
              <w:ind w:right="170"/>
              <w:jc w:val="right"/>
              <w:rPr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>600,00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418AA9EC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14:paraId="7FA5A8EF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3668" w:type="dxa"/>
            <w:shd w:val="clear" w:color="auto" w:fill="F2F2F2" w:themeFill="background1" w:themeFillShade="F2"/>
          </w:tcPr>
          <w:p w14:paraId="114ECFBD" w14:textId="5AB20AE6" w:rsidR="000F6A02" w:rsidRPr="00567BB6" w:rsidRDefault="000F6A02" w:rsidP="00991638">
            <w:pPr>
              <w:pStyle w:val="Tabletext"/>
              <w:rPr>
                <w:b/>
                <w:bCs/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 xml:space="preserve">Промежуточный итог </w:t>
            </w:r>
            <w:r w:rsidR="006A4925" w:rsidRPr="00567BB6">
              <w:rPr>
                <w:b/>
                <w:bCs/>
                <w:color w:val="000000"/>
                <w:lang w:val="ru-RU"/>
              </w:rPr>
              <w:t>−</w:t>
            </w:r>
            <w:r w:rsidRPr="00567BB6">
              <w:rPr>
                <w:b/>
                <w:bCs/>
                <w:color w:val="000000"/>
                <w:lang w:val="ru-RU"/>
              </w:rPr>
              <w:t xml:space="preserve"> Испания</w:t>
            </w:r>
          </w:p>
        </w:tc>
        <w:tc>
          <w:tcPr>
            <w:tcW w:w="3036" w:type="dxa"/>
            <w:shd w:val="clear" w:color="auto" w:fill="F2F2F2" w:themeFill="background1" w:themeFillShade="F2"/>
          </w:tcPr>
          <w:p w14:paraId="17844354" w14:textId="77777777" w:rsidR="000F6A02" w:rsidRPr="00567BB6" w:rsidRDefault="000F6A02" w:rsidP="00991638">
            <w:pPr>
              <w:pStyle w:val="Tabletext"/>
              <w:rPr>
                <w:b/>
                <w:bCs/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>Испания</w:t>
            </w:r>
          </w:p>
        </w:tc>
        <w:tc>
          <w:tcPr>
            <w:tcW w:w="1904" w:type="dxa"/>
            <w:shd w:val="clear" w:color="auto" w:fill="F2F2F2" w:themeFill="background1" w:themeFillShade="F2"/>
          </w:tcPr>
          <w:p w14:paraId="4817B3CC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</w:p>
        </w:tc>
      </w:tr>
      <w:tr w:rsidR="0099324C" w:rsidRPr="00567BB6" w14:paraId="4C768C3B" w14:textId="77777777" w:rsidTr="0099324C">
        <w:trPr>
          <w:cantSplit/>
        </w:trPr>
        <w:tc>
          <w:tcPr>
            <w:tcW w:w="1129" w:type="dxa"/>
          </w:tcPr>
          <w:p w14:paraId="14C94CDD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2018</w:t>
            </w:r>
          </w:p>
        </w:tc>
        <w:tc>
          <w:tcPr>
            <w:tcW w:w="1560" w:type="dxa"/>
          </w:tcPr>
          <w:p w14:paraId="09967376" w14:textId="77777777" w:rsidR="000F6A02" w:rsidRPr="00567BB6" w:rsidRDefault="000F6A02" w:rsidP="000B0155">
            <w:pPr>
              <w:pStyle w:val="Tabletext"/>
              <w:ind w:right="170"/>
              <w:jc w:val="righ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100,00</w:t>
            </w:r>
          </w:p>
        </w:tc>
        <w:tc>
          <w:tcPr>
            <w:tcW w:w="1275" w:type="dxa"/>
          </w:tcPr>
          <w:p w14:paraId="6BD819AE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</w:tcPr>
          <w:p w14:paraId="5C5E21AB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3</w:t>
            </w:r>
          </w:p>
        </w:tc>
        <w:tc>
          <w:tcPr>
            <w:tcW w:w="3668" w:type="dxa"/>
          </w:tcPr>
          <w:p w14:paraId="223E87E5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Telefónica del Perú</w:t>
            </w:r>
          </w:p>
        </w:tc>
        <w:tc>
          <w:tcPr>
            <w:tcW w:w="3036" w:type="dxa"/>
          </w:tcPr>
          <w:p w14:paraId="53F02FCF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Перу</w:t>
            </w:r>
          </w:p>
        </w:tc>
        <w:tc>
          <w:tcPr>
            <w:tcW w:w="1904" w:type="dxa"/>
          </w:tcPr>
          <w:p w14:paraId="40670D50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</w:p>
        </w:tc>
      </w:tr>
      <w:tr w:rsidR="0099324C" w:rsidRPr="00567BB6" w14:paraId="648D309B" w14:textId="77777777" w:rsidTr="0099324C">
        <w:trPr>
          <w:cantSplit/>
        </w:trPr>
        <w:tc>
          <w:tcPr>
            <w:tcW w:w="1129" w:type="dxa"/>
            <w:shd w:val="clear" w:color="auto" w:fill="F2F2F2" w:themeFill="background1" w:themeFillShade="F2"/>
          </w:tcPr>
          <w:p w14:paraId="7AEE88EC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2C07CF9B" w14:textId="77777777" w:rsidR="000F6A02" w:rsidRPr="00567BB6" w:rsidRDefault="000F6A02" w:rsidP="000B0155">
            <w:pPr>
              <w:pStyle w:val="Tabletext"/>
              <w:spacing w:line="259" w:lineRule="auto"/>
              <w:ind w:right="170"/>
              <w:jc w:val="right"/>
              <w:rPr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>100,00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42B4292D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14:paraId="149C8236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3668" w:type="dxa"/>
            <w:shd w:val="clear" w:color="auto" w:fill="F2F2F2" w:themeFill="background1" w:themeFillShade="F2"/>
          </w:tcPr>
          <w:p w14:paraId="533C0372" w14:textId="129F9B66" w:rsidR="000F6A02" w:rsidRPr="00567BB6" w:rsidRDefault="000F6A02" w:rsidP="00991638">
            <w:pPr>
              <w:pStyle w:val="Tabletext"/>
              <w:rPr>
                <w:b/>
                <w:bCs/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 xml:space="preserve">Промежуточный итог </w:t>
            </w:r>
            <w:r w:rsidR="006A4925" w:rsidRPr="00567BB6">
              <w:rPr>
                <w:b/>
                <w:bCs/>
                <w:color w:val="000000"/>
                <w:lang w:val="ru-RU"/>
              </w:rPr>
              <w:t>−</w:t>
            </w:r>
            <w:r w:rsidRPr="00567BB6">
              <w:rPr>
                <w:b/>
                <w:bCs/>
                <w:color w:val="000000"/>
                <w:lang w:val="ru-RU"/>
              </w:rPr>
              <w:t xml:space="preserve"> Перу</w:t>
            </w:r>
          </w:p>
        </w:tc>
        <w:tc>
          <w:tcPr>
            <w:tcW w:w="3036" w:type="dxa"/>
            <w:shd w:val="clear" w:color="auto" w:fill="F2F2F2" w:themeFill="background1" w:themeFillShade="F2"/>
          </w:tcPr>
          <w:p w14:paraId="405CFE3C" w14:textId="77777777" w:rsidR="000F6A02" w:rsidRPr="00567BB6" w:rsidRDefault="000F6A02" w:rsidP="00991638">
            <w:pPr>
              <w:pStyle w:val="Tabletext"/>
              <w:rPr>
                <w:b/>
                <w:bCs/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>Перу</w:t>
            </w:r>
          </w:p>
        </w:tc>
        <w:tc>
          <w:tcPr>
            <w:tcW w:w="1904" w:type="dxa"/>
            <w:shd w:val="clear" w:color="auto" w:fill="F2F2F2" w:themeFill="background1" w:themeFillShade="F2"/>
          </w:tcPr>
          <w:p w14:paraId="4A922B1F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</w:p>
        </w:tc>
      </w:tr>
      <w:tr w:rsidR="0099324C" w:rsidRPr="00567BB6" w14:paraId="5ADC664D" w14:textId="77777777" w:rsidTr="0099324C">
        <w:trPr>
          <w:cantSplit/>
        </w:trPr>
        <w:tc>
          <w:tcPr>
            <w:tcW w:w="1129" w:type="dxa"/>
          </w:tcPr>
          <w:p w14:paraId="178E9D2D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2024</w:t>
            </w:r>
          </w:p>
        </w:tc>
        <w:tc>
          <w:tcPr>
            <w:tcW w:w="1560" w:type="dxa"/>
          </w:tcPr>
          <w:p w14:paraId="55308C48" w14:textId="77777777" w:rsidR="000F6A02" w:rsidRPr="00567BB6" w:rsidRDefault="000F6A02" w:rsidP="000B0155">
            <w:pPr>
              <w:pStyle w:val="Tabletext"/>
              <w:ind w:right="170"/>
              <w:jc w:val="righ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100,00</w:t>
            </w:r>
          </w:p>
        </w:tc>
        <w:tc>
          <w:tcPr>
            <w:tcW w:w="1275" w:type="dxa"/>
          </w:tcPr>
          <w:p w14:paraId="42828431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</w:tcPr>
          <w:p w14:paraId="24162411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1</w:t>
            </w:r>
          </w:p>
        </w:tc>
        <w:tc>
          <w:tcPr>
            <w:tcW w:w="3668" w:type="dxa"/>
          </w:tcPr>
          <w:p w14:paraId="007278F8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Elisa Eesti AS</w:t>
            </w:r>
          </w:p>
        </w:tc>
        <w:tc>
          <w:tcPr>
            <w:tcW w:w="3036" w:type="dxa"/>
          </w:tcPr>
          <w:p w14:paraId="42977EF0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Эстония</w:t>
            </w:r>
          </w:p>
        </w:tc>
        <w:tc>
          <w:tcPr>
            <w:tcW w:w="1904" w:type="dxa"/>
          </w:tcPr>
          <w:p w14:paraId="48ED838C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</w:p>
        </w:tc>
      </w:tr>
      <w:tr w:rsidR="0099324C" w:rsidRPr="00567BB6" w14:paraId="51A3E68E" w14:textId="77777777" w:rsidTr="0099324C">
        <w:trPr>
          <w:cantSplit/>
        </w:trPr>
        <w:tc>
          <w:tcPr>
            <w:tcW w:w="1129" w:type="dxa"/>
            <w:shd w:val="clear" w:color="auto" w:fill="F2F2F2" w:themeFill="background1" w:themeFillShade="F2"/>
          </w:tcPr>
          <w:p w14:paraId="544D8D02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3E277B4A" w14:textId="77777777" w:rsidR="000F6A02" w:rsidRPr="00567BB6" w:rsidRDefault="000F6A02" w:rsidP="000B0155">
            <w:pPr>
              <w:pStyle w:val="Tabletext"/>
              <w:ind w:right="170"/>
              <w:jc w:val="right"/>
              <w:rPr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>100,00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0BB19F80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14:paraId="3840AE45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3668" w:type="dxa"/>
            <w:shd w:val="clear" w:color="auto" w:fill="F2F2F2" w:themeFill="background1" w:themeFillShade="F2"/>
          </w:tcPr>
          <w:p w14:paraId="246A4C75" w14:textId="22890CCF" w:rsidR="000F6A02" w:rsidRPr="00567BB6" w:rsidRDefault="000F6A02" w:rsidP="00991638">
            <w:pPr>
              <w:pStyle w:val="Tabletext"/>
              <w:rPr>
                <w:b/>
                <w:bCs/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 xml:space="preserve">Промежуточный итог </w:t>
            </w:r>
            <w:r w:rsidR="006A4925" w:rsidRPr="00567BB6">
              <w:rPr>
                <w:b/>
                <w:bCs/>
                <w:color w:val="000000"/>
                <w:lang w:val="ru-RU"/>
              </w:rPr>
              <w:t>−</w:t>
            </w:r>
            <w:r w:rsidRPr="00567BB6">
              <w:rPr>
                <w:b/>
                <w:bCs/>
                <w:color w:val="000000"/>
                <w:lang w:val="ru-RU"/>
              </w:rPr>
              <w:t xml:space="preserve"> Эстония</w:t>
            </w:r>
          </w:p>
        </w:tc>
        <w:tc>
          <w:tcPr>
            <w:tcW w:w="3036" w:type="dxa"/>
            <w:shd w:val="clear" w:color="auto" w:fill="F2F2F2" w:themeFill="background1" w:themeFillShade="F2"/>
          </w:tcPr>
          <w:p w14:paraId="1D03F19C" w14:textId="77777777" w:rsidR="000F6A02" w:rsidRPr="00567BB6" w:rsidRDefault="000F6A02" w:rsidP="00991638">
            <w:pPr>
              <w:pStyle w:val="Tabletext"/>
              <w:rPr>
                <w:b/>
                <w:bCs/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>Эстония</w:t>
            </w:r>
          </w:p>
        </w:tc>
        <w:tc>
          <w:tcPr>
            <w:tcW w:w="1904" w:type="dxa"/>
            <w:shd w:val="clear" w:color="auto" w:fill="F2F2F2" w:themeFill="background1" w:themeFillShade="F2"/>
          </w:tcPr>
          <w:p w14:paraId="3B589DA0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</w:p>
        </w:tc>
      </w:tr>
      <w:tr w:rsidR="0099324C" w:rsidRPr="00567BB6" w14:paraId="71DB09E2" w14:textId="77777777" w:rsidTr="0099324C">
        <w:trPr>
          <w:cantSplit/>
        </w:trPr>
        <w:tc>
          <w:tcPr>
            <w:tcW w:w="1129" w:type="dxa"/>
          </w:tcPr>
          <w:p w14:paraId="17D0B0DA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lastRenderedPageBreak/>
              <w:t>2025</w:t>
            </w:r>
          </w:p>
        </w:tc>
        <w:tc>
          <w:tcPr>
            <w:tcW w:w="1560" w:type="dxa"/>
          </w:tcPr>
          <w:p w14:paraId="3C1D57D0" w14:textId="77777777" w:rsidR="000F6A02" w:rsidRPr="00567BB6" w:rsidRDefault="000F6A02" w:rsidP="000B0155">
            <w:pPr>
              <w:pStyle w:val="Tabletext"/>
              <w:ind w:right="170"/>
              <w:jc w:val="righ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100,00</w:t>
            </w:r>
          </w:p>
        </w:tc>
        <w:tc>
          <w:tcPr>
            <w:tcW w:w="1275" w:type="dxa"/>
          </w:tcPr>
          <w:p w14:paraId="4CBE9E61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</w:tcPr>
          <w:p w14:paraId="47CEC495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1</w:t>
            </w:r>
          </w:p>
        </w:tc>
        <w:tc>
          <w:tcPr>
            <w:tcW w:w="3668" w:type="dxa"/>
          </w:tcPr>
          <w:p w14:paraId="62585DB2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JSC Kazakhtelecom</w:t>
            </w:r>
          </w:p>
        </w:tc>
        <w:tc>
          <w:tcPr>
            <w:tcW w:w="3036" w:type="dxa"/>
          </w:tcPr>
          <w:p w14:paraId="730F6022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Казахстан</w:t>
            </w:r>
          </w:p>
        </w:tc>
        <w:tc>
          <w:tcPr>
            <w:tcW w:w="1904" w:type="dxa"/>
          </w:tcPr>
          <w:p w14:paraId="2FE7FCD3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</w:p>
        </w:tc>
      </w:tr>
      <w:tr w:rsidR="0099324C" w:rsidRPr="00567BB6" w14:paraId="48E7CC04" w14:textId="77777777" w:rsidTr="0099324C">
        <w:trPr>
          <w:cantSplit/>
        </w:trPr>
        <w:tc>
          <w:tcPr>
            <w:tcW w:w="1129" w:type="dxa"/>
            <w:shd w:val="clear" w:color="auto" w:fill="F2F2F2" w:themeFill="background1" w:themeFillShade="F2"/>
          </w:tcPr>
          <w:p w14:paraId="7B171E21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40EBE1EE" w14:textId="77777777" w:rsidR="000F6A02" w:rsidRPr="00567BB6" w:rsidRDefault="000F6A02" w:rsidP="000B0155">
            <w:pPr>
              <w:pStyle w:val="Tabletext"/>
              <w:ind w:right="170"/>
              <w:jc w:val="right"/>
              <w:rPr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>100,00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344750BC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14:paraId="2EF11E01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3668" w:type="dxa"/>
            <w:shd w:val="clear" w:color="auto" w:fill="F2F2F2" w:themeFill="background1" w:themeFillShade="F2"/>
          </w:tcPr>
          <w:p w14:paraId="7318E0CE" w14:textId="38A66D50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 xml:space="preserve">Промежуточный итог </w:t>
            </w:r>
            <w:r w:rsidR="006A4925" w:rsidRPr="00567BB6">
              <w:rPr>
                <w:b/>
                <w:bCs/>
                <w:color w:val="000000"/>
                <w:lang w:val="ru-RU"/>
              </w:rPr>
              <w:t>−</w:t>
            </w:r>
            <w:r w:rsidRPr="00567BB6">
              <w:rPr>
                <w:b/>
                <w:bCs/>
                <w:color w:val="000000"/>
                <w:lang w:val="ru-RU"/>
              </w:rPr>
              <w:t xml:space="preserve"> Казахстан</w:t>
            </w:r>
          </w:p>
        </w:tc>
        <w:tc>
          <w:tcPr>
            <w:tcW w:w="3036" w:type="dxa"/>
            <w:shd w:val="clear" w:color="auto" w:fill="F2F2F2" w:themeFill="background1" w:themeFillShade="F2"/>
          </w:tcPr>
          <w:p w14:paraId="1C7533E0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>Казахстан</w:t>
            </w:r>
          </w:p>
        </w:tc>
        <w:tc>
          <w:tcPr>
            <w:tcW w:w="1904" w:type="dxa"/>
            <w:shd w:val="clear" w:color="auto" w:fill="F2F2F2" w:themeFill="background1" w:themeFillShade="F2"/>
          </w:tcPr>
          <w:p w14:paraId="5753E793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</w:p>
        </w:tc>
      </w:tr>
      <w:tr w:rsidR="0099324C" w:rsidRPr="00567BB6" w14:paraId="0B220447" w14:textId="77777777" w:rsidTr="0099324C">
        <w:trPr>
          <w:cantSplit/>
        </w:trPr>
        <w:tc>
          <w:tcPr>
            <w:tcW w:w="1129" w:type="dxa"/>
            <w:shd w:val="clear" w:color="auto" w:fill="BDD7EE"/>
          </w:tcPr>
          <w:p w14:paraId="7F8A9894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1560" w:type="dxa"/>
            <w:shd w:val="clear" w:color="auto" w:fill="BDD7EE"/>
          </w:tcPr>
          <w:p w14:paraId="030C71E3" w14:textId="77777777" w:rsidR="000F6A02" w:rsidRPr="00567BB6" w:rsidRDefault="000F6A02" w:rsidP="000B0155">
            <w:pPr>
              <w:pStyle w:val="Tabletext"/>
              <w:spacing w:line="259" w:lineRule="auto"/>
              <w:ind w:right="170"/>
              <w:jc w:val="right"/>
              <w:rPr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>163 800,00</w:t>
            </w:r>
          </w:p>
        </w:tc>
        <w:tc>
          <w:tcPr>
            <w:tcW w:w="1275" w:type="dxa"/>
            <w:shd w:val="clear" w:color="auto" w:fill="BDD7EE"/>
          </w:tcPr>
          <w:p w14:paraId="0F79B835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  <w:r w:rsidRPr="00567BB6">
              <w:rPr>
                <w:color w:val="000000"/>
                <w:lang w:val="ru-RU"/>
              </w:rPr>
              <w:t>шв. фр.</w:t>
            </w:r>
          </w:p>
        </w:tc>
        <w:tc>
          <w:tcPr>
            <w:tcW w:w="1435" w:type="dxa"/>
            <w:shd w:val="clear" w:color="auto" w:fill="BDD7EE"/>
          </w:tcPr>
          <w:p w14:paraId="4B9C7936" w14:textId="77777777" w:rsidR="000F6A02" w:rsidRPr="00567BB6" w:rsidRDefault="000F6A02" w:rsidP="00991638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3668" w:type="dxa"/>
            <w:shd w:val="clear" w:color="auto" w:fill="BDD7EE"/>
          </w:tcPr>
          <w:p w14:paraId="4CE2E0B0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  <w:r w:rsidRPr="00567BB6">
              <w:rPr>
                <w:b/>
                <w:bCs/>
                <w:color w:val="000000"/>
                <w:lang w:val="ru-RU"/>
              </w:rPr>
              <w:t>Общий итог</w:t>
            </w:r>
          </w:p>
        </w:tc>
        <w:tc>
          <w:tcPr>
            <w:tcW w:w="3036" w:type="dxa"/>
            <w:shd w:val="clear" w:color="auto" w:fill="BDD7EE"/>
          </w:tcPr>
          <w:p w14:paraId="36D29222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</w:p>
        </w:tc>
        <w:tc>
          <w:tcPr>
            <w:tcW w:w="1904" w:type="dxa"/>
            <w:shd w:val="clear" w:color="auto" w:fill="BDD7EE"/>
          </w:tcPr>
          <w:p w14:paraId="473D0628" w14:textId="77777777" w:rsidR="000F6A02" w:rsidRPr="00567BB6" w:rsidRDefault="000F6A02" w:rsidP="00991638">
            <w:pPr>
              <w:pStyle w:val="Tabletext"/>
              <w:rPr>
                <w:lang w:val="ru-RU"/>
              </w:rPr>
            </w:pPr>
          </w:p>
        </w:tc>
      </w:tr>
    </w:tbl>
    <w:p w14:paraId="330ABFCE" w14:textId="56BBC90B" w:rsidR="000F6A02" w:rsidRPr="00567BB6" w:rsidRDefault="000F6A02" w:rsidP="006A4925">
      <w:pPr>
        <w:tabs>
          <w:tab w:val="clear" w:pos="794"/>
          <w:tab w:val="left" w:pos="284"/>
        </w:tabs>
        <w:rPr>
          <w:rFonts w:eastAsia="SimSun"/>
          <w:sz w:val="20"/>
          <w:lang w:val="ru-RU"/>
        </w:rPr>
      </w:pPr>
      <w:r w:rsidRPr="00567BB6">
        <w:rPr>
          <w:sz w:val="20"/>
          <w:lang w:val="ru-RU"/>
        </w:rPr>
        <w:t>*</w:t>
      </w:r>
      <w:r w:rsidR="006A4925" w:rsidRPr="00567BB6">
        <w:rPr>
          <w:sz w:val="20"/>
          <w:lang w:val="ru-RU"/>
        </w:rPr>
        <w:tab/>
      </w:r>
      <w:r w:rsidRPr="00567BB6">
        <w:rPr>
          <w:sz w:val="20"/>
          <w:lang w:val="ru-RU"/>
        </w:rPr>
        <w:t>ЗАДОЛЖЕННОСТЬ: отражает счета, выставленные на конец 2024 года организациям, которые не осуществили платежи в предыдущие годы.</w:t>
      </w:r>
    </w:p>
    <w:p w14:paraId="2693D5A0" w14:textId="18CC0B74" w:rsidR="00796BD3" w:rsidRPr="00567BB6" w:rsidRDefault="000F6A02" w:rsidP="006A4925">
      <w:pPr>
        <w:spacing w:before="720"/>
        <w:jc w:val="center"/>
        <w:rPr>
          <w:lang w:val="ru-RU"/>
        </w:rPr>
      </w:pPr>
      <w:r w:rsidRPr="00567BB6">
        <w:rPr>
          <w:lang w:val="ru-RU"/>
        </w:rPr>
        <w:t>______________</w:t>
      </w:r>
    </w:p>
    <w:sectPr w:rsidR="00796BD3" w:rsidRPr="00567BB6" w:rsidSect="0099324C">
      <w:footerReference w:type="default" r:id="rId44"/>
      <w:headerReference w:type="first" r:id="rId45"/>
      <w:footerReference w:type="first" r:id="rId46"/>
      <w:pgSz w:w="16834" w:h="11907" w:orient="landscape"/>
      <w:pgMar w:top="1418" w:right="1418" w:bottom="1418" w:left="1418" w:header="720" w:footer="720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E276D" w14:textId="77777777" w:rsidR="000A2909" w:rsidRDefault="000A2909">
      <w:r>
        <w:separator/>
      </w:r>
    </w:p>
  </w:endnote>
  <w:endnote w:type="continuationSeparator" w:id="0">
    <w:p w14:paraId="6699CEE3" w14:textId="77777777" w:rsidR="000A2909" w:rsidRDefault="000A2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21FA4539" w14:textId="77777777" w:rsidTr="00E31DCE">
      <w:trPr>
        <w:jc w:val="center"/>
      </w:trPr>
      <w:tc>
        <w:tcPr>
          <w:tcW w:w="1803" w:type="dxa"/>
          <w:vAlign w:val="center"/>
        </w:tcPr>
        <w:p w14:paraId="261726C6" w14:textId="01F1A9C9" w:rsidR="00672F8A" w:rsidRDefault="00672F8A" w:rsidP="00672F8A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61374FB9" w14:textId="57030C93" w:rsidR="00672F8A" w:rsidRPr="00E06FD5" w:rsidRDefault="00672F8A" w:rsidP="00D43834">
          <w:pPr>
            <w:pStyle w:val="Header"/>
            <w:tabs>
              <w:tab w:val="left" w:pos="6742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0F6A02">
            <w:rPr>
              <w:bCs/>
            </w:rPr>
            <w:t>38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93E6D75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1769323D" w14:textId="77777777" w:rsidTr="00E31DCE">
      <w:trPr>
        <w:jc w:val="center"/>
      </w:trPr>
      <w:tc>
        <w:tcPr>
          <w:tcW w:w="1803" w:type="dxa"/>
          <w:vAlign w:val="center"/>
        </w:tcPr>
        <w:p w14:paraId="2942BE25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proofErr w:type="spellStart"/>
            <w:r w:rsidRPr="00BE00DD">
              <w:rPr>
                <w:rStyle w:val="Hyperlink"/>
                <w:szCs w:val="14"/>
              </w:rPr>
              <w:t>council.itu.int</w:t>
            </w:r>
            <w:proofErr w:type="spellEnd"/>
            <w:r w:rsidRPr="00BE00DD">
              <w:rPr>
                <w:rStyle w:val="Hyperlink"/>
                <w:szCs w:val="14"/>
              </w:rPr>
              <w:t>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00855DB9" w14:textId="46285297" w:rsidR="00672F8A" w:rsidRPr="00E06FD5" w:rsidRDefault="00672F8A" w:rsidP="00D43834">
          <w:pPr>
            <w:pStyle w:val="Header"/>
            <w:tabs>
              <w:tab w:val="left" w:pos="6742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0F6A02">
            <w:rPr>
              <w:bCs/>
            </w:rPr>
            <w:t>38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9B91232" w14:textId="77777777" w:rsidR="000E568E" w:rsidRPr="00672F8A" w:rsidRDefault="000E568E" w:rsidP="00672F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0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12231"/>
    </w:tblGrid>
    <w:tr w:rsidR="000B0155" w:rsidRPr="00784011" w14:paraId="5A538D81" w14:textId="77777777" w:rsidTr="000B0155">
      <w:tc>
        <w:tcPr>
          <w:tcW w:w="1803" w:type="dxa"/>
          <w:vAlign w:val="center"/>
        </w:tcPr>
        <w:p w14:paraId="6302B9FF" w14:textId="77777777" w:rsidR="000B0155" w:rsidRDefault="000B0155" w:rsidP="00672F8A">
          <w:pPr>
            <w:pStyle w:val="Header"/>
            <w:jc w:val="left"/>
            <w:rPr>
              <w:noProof/>
            </w:rPr>
          </w:pPr>
        </w:p>
      </w:tc>
      <w:tc>
        <w:tcPr>
          <w:tcW w:w="12231" w:type="dxa"/>
        </w:tcPr>
        <w:p w14:paraId="7AA6568E" w14:textId="77777777" w:rsidR="000B0155" w:rsidRPr="00E06FD5" w:rsidRDefault="000B0155" w:rsidP="000B0155">
          <w:pPr>
            <w:pStyle w:val="Header"/>
            <w:tabs>
              <w:tab w:val="left" w:pos="10711"/>
              <w:tab w:val="right" w:pos="11987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26</w:t>
          </w:r>
          <w:proofErr w:type="spellEnd"/>
          <w:r w:rsidRPr="00623AE3">
            <w:rPr>
              <w:bCs/>
            </w:rPr>
            <w:t>/</w:t>
          </w:r>
          <w:r>
            <w:rPr>
              <w:bCs/>
            </w:rPr>
            <w:t>38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2687AE2" w14:textId="77777777" w:rsidR="000B0155" w:rsidRPr="00672F8A" w:rsidRDefault="000B0155" w:rsidP="00672F8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0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12231"/>
    </w:tblGrid>
    <w:tr w:rsidR="000B0155" w:rsidRPr="00784011" w14:paraId="675D2568" w14:textId="77777777" w:rsidTr="00460B3B">
      <w:tc>
        <w:tcPr>
          <w:tcW w:w="1803" w:type="dxa"/>
          <w:vAlign w:val="center"/>
        </w:tcPr>
        <w:p w14:paraId="157BA019" w14:textId="77777777" w:rsidR="000B0155" w:rsidRDefault="000B0155" w:rsidP="000B0155">
          <w:pPr>
            <w:pStyle w:val="Header"/>
            <w:jc w:val="left"/>
            <w:rPr>
              <w:noProof/>
            </w:rPr>
          </w:pPr>
        </w:p>
      </w:tc>
      <w:tc>
        <w:tcPr>
          <w:tcW w:w="12231" w:type="dxa"/>
        </w:tcPr>
        <w:p w14:paraId="42B9A78A" w14:textId="77777777" w:rsidR="000B0155" w:rsidRPr="00E06FD5" w:rsidRDefault="000B0155" w:rsidP="000B0155">
          <w:pPr>
            <w:pStyle w:val="Header"/>
            <w:tabs>
              <w:tab w:val="left" w:pos="10711"/>
              <w:tab w:val="right" w:pos="11987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26</w:t>
          </w:r>
          <w:proofErr w:type="spellEnd"/>
          <w:r w:rsidRPr="00623AE3">
            <w:rPr>
              <w:bCs/>
            </w:rPr>
            <w:t>/</w:t>
          </w:r>
          <w:r>
            <w:rPr>
              <w:bCs/>
            </w:rPr>
            <w:t>38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17B5140" w14:textId="77777777" w:rsidR="000B0155" w:rsidRPr="00672F8A" w:rsidRDefault="000B0155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FDCA9" w14:textId="77777777" w:rsidR="000A2909" w:rsidRDefault="000A2909">
      <w:r>
        <w:t>____________________</w:t>
      </w:r>
    </w:p>
  </w:footnote>
  <w:footnote w:type="continuationSeparator" w:id="0">
    <w:p w14:paraId="6A7824EA" w14:textId="77777777" w:rsidR="000A2909" w:rsidRDefault="000A2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879B" w14:textId="2D0D4B6E" w:rsidR="0014229E" w:rsidRPr="007E5FC4" w:rsidRDefault="00567BB6" w:rsidP="00567BB6">
    <w:pPr>
      <w:pStyle w:val="Header"/>
      <w:jc w:val="left"/>
    </w:pPr>
    <w:r>
      <w:rPr>
        <w:noProof/>
      </w:rPr>
      <w:drawing>
        <wp:inline distT="0" distB="0" distL="0" distR="0" wp14:anchorId="72138403" wp14:editId="71BC6B1C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63CA8" w14:textId="3A3B46A1" w:rsidR="000B0155" w:rsidRPr="007E5FC4" w:rsidRDefault="000B0155" w:rsidP="007E5F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444"/>
    <w:rsid w:val="00005BE0"/>
    <w:rsid w:val="00015E59"/>
    <w:rsid w:val="0002183E"/>
    <w:rsid w:val="000569B4"/>
    <w:rsid w:val="0006007D"/>
    <w:rsid w:val="00080E82"/>
    <w:rsid w:val="000934DD"/>
    <w:rsid w:val="000A2909"/>
    <w:rsid w:val="000B0155"/>
    <w:rsid w:val="000B2DE7"/>
    <w:rsid w:val="000B4E93"/>
    <w:rsid w:val="000E568E"/>
    <w:rsid w:val="000F6A02"/>
    <w:rsid w:val="0014229E"/>
    <w:rsid w:val="0014734F"/>
    <w:rsid w:val="00156890"/>
    <w:rsid w:val="0015710D"/>
    <w:rsid w:val="00163A32"/>
    <w:rsid w:val="00165D06"/>
    <w:rsid w:val="00192B41"/>
    <w:rsid w:val="001B7B09"/>
    <w:rsid w:val="001E6719"/>
    <w:rsid w:val="001E7F50"/>
    <w:rsid w:val="00225368"/>
    <w:rsid w:val="00227FF0"/>
    <w:rsid w:val="00276F05"/>
    <w:rsid w:val="00277DEA"/>
    <w:rsid w:val="00291EB6"/>
    <w:rsid w:val="002C3F32"/>
    <w:rsid w:val="002D2F57"/>
    <w:rsid w:val="002D48C5"/>
    <w:rsid w:val="0033025A"/>
    <w:rsid w:val="00345D2A"/>
    <w:rsid w:val="00381936"/>
    <w:rsid w:val="003935CB"/>
    <w:rsid w:val="003C03CF"/>
    <w:rsid w:val="003F099E"/>
    <w:rsid w:val="003F235E"/>
    <w:rsid w:val="00401FD7"/>
    <w:rsid w:val="004023E0"/>
    <w:rsid w:val="00403DD8"/>
    <w:rsid w:val="004070A0"/>
    <w:rsid w:val="00425CA7"/>
    <w:rsid w:val="0043362A"/>
    <w:rsid w:val="00442515"/>
    <w:rsid w:val="0045686C"/>
    <w:rsid w:val="00465C35"/>
    <w:rsid w:val="004918C4"/>
    <w:rsid w:val="00497703"/>
    <w:rsid w:val="004A0374"/>
    <w:rsid w:val="004A45B5"/>
    <w:rsid w:val="004D0129"/>
    <w:rsid w:val="00515795"/>
    <w:rsid w:val="00523A04"/>
    <w:rsid w:val="00567BB6"/>
    <w:rsid w:val="005A64D5"/>
    <w:rsid w:val="005B3DEC"/>
    <w:rsid w:val="005C0814"/>
    <w:rsid w:val="005F17FF"/>
    <w:rsid w:val="00601994"/>
    <w:rsid w:val="006330B4"/>
    <w:rsid w:val="00660449"/>
    <w:rsid w:val="00672F8A"/>
    <w:rsid w:val="006A4925"/>
    <w:rsid w:val="006E2D42"/>
    <w:rsid w:val="006E67CB"/>
    <w:rsid w:val="006F65AE"/>
    <w:rsid w:val="00703676"/>
    <w:rsid w:val="00707304"/>
    <w:rsid w:val="00716D5F"/>
    <w:rsid w:val="0072132E"/>
    <w:rsid w:val="00732269"/>
    <w:rsid w:val="00762555"/>
    <w:rsid w:val="0077110E"/>
    <w:rsid w:val="00784980"/>
    <w:rsid w:val="00785ABD"/>
    <w:rsid w:val="00796BD3"/>
    <w:rsid w:val="007A2DD4"/>
    <w:rsid w:val="007D38B5"/>
    <w:rsid w:val="007E5FC4"/>
    <w:rsid w:val="007E7EA0"/>
    <w:rsid w:val="00807255"/>
    <w:rsid w:val="0081023E"/>
    <w:rsid w:val="008173AA"/>
    <w:rsid w:val="008370AA"/>
    <w:rsid w:val="00840A14"/>
    <w:rsid w:val="0084546D"/>
    <w:rsid w:val="008A4E04"/>
    <w:rsid w:val="008B19C9"/>
    <w:rsid w:val="008B62B4"/>
    <w:rsid w:val="008D2D7B"/>
    <w:rsid w:val="008E0737"/>
    <w:rsid w:val="008F7C2C"/>
    <w:rsid w:val="00940143"/>
    <w:rsid w:val="00940E96"/>
    <w:rsid w:val="00943444"/>
    <w:rsid w:val="00950A82"/>
    <w:rsid w:val="00951292"/>
    <w:rsid w:val="0099324C"/>
    <w:rsid w:val="009A76A8"/>
    <w:rsid w:val="009B0BAE"/>
    <w:rsid w:val="009C1C89"/>
    <w:rsid w:val="009C6AD7"/>
    <w:rsid w:val="009D425E"/>
    <w:rsid w:val="009F3448"/>
    <w:rsid w:val="00A01CF9"/>
    <w:rsid w:val="00A01F4F"/>
    <w:rsid w:val="00A109AF"/>
    <w:rsid w:val="00A20B63"/>
    <w:rsid w:val="00A3481C"/>
    <w:rsid w:val="00A405F9"/>
    <w:rsid w:val="00A71773"/>
    <w:rsid w:val="00AA0773"/>
    <w:rsid w:val="00AE2C85"/>
    <w:rsid w:val="00B0107F"/>
    <w:rsid w:val="00B12A37"/>
    <w:rsid w:val="00B41837"/>
    <w:rsid w:val="00B55241"/>
    <w:rsid w:val="00B57379"/>
    <w:rsid w:val="00B63EF2"/>
    <w:rsid w:val="00BA7D89"/>
    <w:rsid w:val="00BC0D39"/>
    <w:rsid w:val="00BC7BC0"/>
    <w:rsid w:val="00BD57B7"/>
    <w:rsid w:val="00BE00DD"/>
    <w:rsid w:val="00BE63E2"/>
    <w:rsid w:val="00C462C5"/>
    <w:rsid w:val="00C602AB"/>
    <w:rsid w:val="00C80469"/>
    <w:rsid w:val="00CB1372"/>
    <w:rsid w:val="00CC5DCB"/>
    <w:rsid w:val="00CD0F86"/>
    <w:rsid w:val="00CD2009"/>
    <w:rsid w:val="00CF629C"/>
    <w:rsid w:val="00D17718"/>
    <w:rsid w:val="00D43834"/>
    <w:rsid w:val="00D509C8"/>
    <w:rsid w:val="00D631AA"/>
    <w:rsid w:val="00D92EEA"/>
    <w:rsid w:val="00DA5D4E"/>
    <w:rsid w:val="00DA770A"/>
    <w:rsid w:val="00DB0F91"/>
    <w:rsid w:val="00DD5136"/>
    <w:rsid w:val="00E05752"/>
    <w:rsid w:val="00E10947"/>
    <w:rsid w:val="00E14D23"/>
    <w:rsid w:val="00E176BA"/>
    <w:rsid w:val="00E423EC"/>
    <w:rsid w:val="00E50260"/>
    <w:rsid w:val="00E55121"/>
    <w:rsid w:val="00EB4FCB"/>
    <w:rsid w:val="00EC6BC5"/>
    <w:rsid w:val="00F348D0"/>
    <w:rsid w:val="00F35898"/>
    <w:rsid w:val="00F5225B"/>
    <w:rsid w:val="00F634C6"/>
    <w:rsid w:val="00FA2D7B"/>
    <w:rsid w:val="00FA5AA3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730D20"/>
  <w15:docId w15:val="{69FC219A-AE21-B743-9810-DB49711E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015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qFormat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qFormat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qFormat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qFormat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md/S19-CLCWGFHR09-C-0014/en" TargetMode="External"/><Relationship Id="rId18" Type="http://schemas.openxmlformats.org/officeDocument/2006/relationships/hyperlink" Target="https://www.itu.int/dms_pub/itu-s/md/21/cl/c/S21-CL-C-0092!!MSW-E.docx" TargetMode="External"/><Relationship Id="rId26" Type="http://schemas.openxmlformats.org/officeDocument/2006/relationships/hyperlink" Target="https://www.itu.int/md/S25-CWGFHR20-C-0032/en" TargetMode="External"/><Relationship Id="rId39" Type="http://schemas.openxmlformats.org/officeDocument/2006/relationships/hyperlink" Target="https://www.itu.int/md/S26-CWGFHR22-C-0003/en" TargetMode="External"/><Relationship Id="rId21" Type="http://schemas.openxmlformats.org/officeDocument/2006/relationships/hyperlink" Target="https://www.itu.int/md/S22-CL-C-0050/en" TargetMode="External"/><Relationship Id="rId34" Type="http://schemas.openxmlformats.org/officeDocument/2006/relationships/hyperlink" Target="https://www.itu.int/md/S17-CL-C-0134/en" TargetMode="External"/><Relationship Id="rId42" Type="http://schemas.openxmlformats.org/officeDocument/2006/relationships/header" Target="header1.xm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itu.int/md/S19-CL-C-0120/en" TargetMode="External"/><Relationship Id="rId29" Type="http://schemas.openxmlformats.org/officeDocument/2006/relationships/hyperlink" Target="https://www.itu.int/md/S26-CWGFHR22-C-0003/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dms_pub/itu-s/md/18/cl/c/S18-CL-C-0121!!MSW-E.docx" TargetMode="External"/><Relationship Id="rId24" Type="http://schemas.openxmlformats.org/officeDocument/2006/relationships/hyperlink" Target="https://www.itu.int/md/S24-CL-C-0120/en" TargetMode="External"/><Relationship Id="rId32" Type="http://schemas.openxmlformats.org/officeDocument/2006/relationships/hyperlink" Target="https://www.itu.int/md/S17-CL-C-0134/en" TargetMode="External"/><Relationship Id="rId37" Type="http://schemas.openxmlformats.org/officeDocument/2006/relationships/hyperlink" Target="https://www.itu.int/md/S25-CL-C-0038/en" TargetMode="External"/><Relationship Id="rId40" Type="http://schemas.openxmlformats.org/officeDocument/2006/relationships/chart" Target="charts/chart1.xml"/><Relationship Id="rId45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S19-CL-C-0047/en" TargetMode="External"/><Relationship Id="rId23" Type="http://schemas.openxmlformats.org/officeDocument/2006/relationships/hyperlink" Target="https://www.itu.int/md/S24-CL-C-0038/en" TargetMode="External"/><Relationship Id="rId28" Type="http://schemas.openxmlformats.org/officeDocument/2006/relationships/hyperlink" Target="https://www.itu.int/md/S25-CL-C-0114/en" TargetMode="External"/><Relationship Id="rId36" Type="http://schemas.openxmlformats.org/officeDocument/2006/relationships/hyperlink" Target="https://www.itu.int/md/S25-CL-C-0038/en" TargetMode="External"/><Relationship Id="rId10" Type="http://schemas.openxmlformats.org/officeDocument/2006/relationships/hyperlink" Target="http://www.itu.int/md/S18-CL-C-0100/en" TargetMode="External"/><Relationship Id="rId19" Type="http://schemas.openxmlformats.org/officeDocument/2006/relationships/hyperlink" Target="https://www.itu.int/md/S21-CWGFHR14-C-0006/en" TargetMode="External"/><Relationship Id="rId31" Type="http://schemas.openxmlformats.org/officeDocument/2006/relationships/hyperlink" Target="https://www.itu.int/md/S17-CL-C-0133/en" TargetMode="External"/><Relationship Id="rId44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itu.int/md/S17-CL-C-0134/en" TargetMode="External"/><Relationship Id="rId14" Type="http://schemas.openxmlformats.org/officeDocument/2006/relationships/hyperlink" Target="https://www.itu.int/md/S19-CLCWGFHR09-C-0015/en" TargetMode="External"/><Relationship Id="rId22" Type="http://schemas.openxmlformats.org/officeDocument/2006/relationships/hyperlink" Target="https://www.itu.int/md/S24-CWGFHR17-C-0008/en" TargetMode="External"/><Relationship Id="rId27" Type="http://schemas.openxmlformats.org/officeDocument/2006/relationships/hyperlink" Target="https://www.itu.int/md/S25-CL-C-0038/en" TargetMode="External"/><Relationship Id="rId30" Type="http://schemas.openxmlformats.org/officeDocument/2006/relationships/hyperlink" Target="https://www.itu.int/md/S26-CL-C-0050/en" TargetMode="External"/><Relationship Id="rId35" Type="http://schemas.openxmlformats.org/officeDocument/2006/relationships/hyperlink" Target="https://www.itu.int/md/S25-CL-C-0038/en" TargetMode="External"/><Relationship Id="rId43" Type="http://schemas.openxmlformats.org/officeDocument/2006/relationships/footer" Target="footer2.xml"/><Relationship Id="rId48" Type="http://schemas.openxmlformats.org/officeDocument/2006/relationships/theme" Target="theme/theme1.xml"/><Relationship Id="rId8" Type="http://schemas.openxmlformats.org/officeDocument/2006/relationships/hyperlink" Target="https://www.itu.int/md/S17-CL-C-0133/en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itu.int/md/S18-CLCWGFHRM8-C-0018/en" TargetMode="External"/><Relationship Id="rId17" Type="http://schemas.openxmlformats.org/officeDocument/2006/relationships/hyperlink" Target="https://www.itu.int/md/S20-CL-C-0047/en" TargetMode="External"/><Relationship Id="rId25" Type="http://schemas.openxmlformats.org/officeDocument/2006/relationships/hyperlink" Target="https://www.itu.int/md/S25-CWGFHR20-C-0013/en" TargetMode="External"/><Relationship Id="rId33" Type="http://schemas.openxmlformats.org/officeDocument/2006/relationships/hyperlink" Target="https://www.itu.int/md/S17-CL-C-0133/en" TargetMode="External"/><Relationship Id="rId38" Type="http://schemas.openxmlformats.org/officeDocument/2006/relationships/hyperlink" Target="https://www.itu.int/md/S26-CWGFHR22-C-0003/en" TargetMode="External"/><Relationship Id="rId46" Type="http://schemas.openxmlformats.org/officeDocument/2006/relationships/footer" Target="footer4.xml"/><Relationship Id="rId20" Type="http://schemas.openxmlformats.org/officeDocument/2006/relationships/hyperlink" Target="https://www.itu.int/md/S21-CWGFHR14-C-0012/en" TargetMode="External"/><Relationship Id="rId41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blue\dfs\pool\RUS\2600680E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123381452318458"/>
          <c:y val="9.8159491959634457E-2"/>
          <c:w val="0.73607392825896767"/>
          <c:h val="0.68288511615422776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Chart!$A$1</c:f>
              <c:strCache>
                <c:ptCount val="1"/>
                <c:pt idx="0">
                  <c:v>Year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Chart!$A$2:$A$9</c:f>
              <c:strCache>
                <c:ptCount val="8"/>
                <c:pt idx="0">
                  <c:v>2018 г.</c:v>
                </c:pt>
                <c:pt idx="1">
                  <c:v>2019 г.</c:v>
                </c:pt>
                <c:pt idx="2">
                  <c:v>2020 г.</c:v>
                </c:pt>
                <c:pt idx="3">
                  <c:v>2021 г.</c:v>
                </c:pt>
                <c:pt idx="4">
                  <c:v>2022 г.</c:v>
                </c:pt>
                <c:pt idx="5">
                  <c:v>2023 г.</c:v>
                </c:pt>
                <c:pt idx="6">
                  <c:v>2024 г.</c:v>
                </c:pt>
                <c:pt idx="7">
                  <c:v>2025 г.</c:v>
                </c:pt>
              </c:strCache>
            </c:strRef>
          </c:cat>
          <c:val>
            <c:numRef>
              <c:f>Chart!$A$2:$A$9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3D-4B69-BBC6-7DF13FBDCFA9}"/>
            </c:ext>
          </c:extLst>
        </c:ser>
        <c:ser>
          <c:idx val="1"/>
          <c:order val="1"/>
          <c:tx>
            <c:strRef>
              <c:f>Chart!$B$1</c:f>
              <c:strCache>
                <c:ptCount val="1"/>
                <c:pt idx="0">
                  <c:v>Уплачено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Chart!$A$2:$A$9</c:f>
              <c:strCache>
                <c:ptCount val="8"/>
                <c:pt idx="0">
                  <c:v>2018 г.</c:v>
                </c:pt>
                <c:pt idx="1">
                  <c:v>2019 г.</c:v>
                </c:pt>
                <c:pt idx="2">
                  <c:v>2020 г.</c:v>
                </c:pt>
                <c:pt idx="3">
                  <c:v>2021 г.</c:v>
                </c:pt>
                <c:pt idx="4">
                  <c:v>2022 г.</c:v>
                </c:pt>
                <c:pt idx="5">
                  <c:v>2023 г.</c:v>
                </c:pt>
                <c:pt idx="6">
                  <c:v>2024 г.</c:v>
                </c:pt>
                <c:pt idx="7">
                  <c:v>2025 г.</c:v>
                </c:pt>
              </c:strCache>
            </c:strRef>
          </c:cat>
          <c:val>
            <c:numRef>
              <c:f>Chart!$B$2:$B$9</c:f>
              <c:numCache>
                <c:formatCode>#,##0</c:formatCode>
                <c:ptCount val="8"/>
                <c:pt idx="0">
                  <c:v>380067</c:v>
                </c:pt>
                <c:pt idx="1">
                  <c:v>193100</c:v>
                </c:pt>
                <c:pt idx="2">
                  <c:v>201400</c:v>
                </c:pt>
                <c:pt idx="3">
                  <c:v>204400</c:v>
                </c:pt>
                <c:pt idx="4">
                  <c:v>205100</c:v>
                </c:pt>
                <c:pt idx="5">
                  <c:v>191600</c:v>
                </c:pt>
                <c:pt idx="6">
                  <c:v>256500</c:v>
                </c:pt>
                <c:pt idx="7">
                  <c:v>105500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93D-4B69-BBC6-7DF13FBDCFA9}"/>
            </c:ext>
          </c:extLst>
        </c:ser>
        <c:ser>
          <c:idx val="2"/>
          <c:order val="2"/>
          <c:tx>
            <c:strRef>
              <c:f>Chart!$C$1</c:f>
              <c:strCache>
                <c:ptCount val="1"/>
                <c:pt idx="0">
                  <c:v>Не уплачено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Chart!$A$2:$A$9</c:f>
              <c:strCache>
                <c:ptCount val="8"/>
                <c:pt idx="0">
                  <c:v>2018 г.</c:v>
                </c:pt>
                <c:pt idx="1">
                  <c:v>2019 г.</c:v>
                </c:pt>
                <c:pt idx="2">
                  <c:v>2020 г.</c:v>
                </c:pt>
                <c:pt idx="3">
                  <c:v>2021 г.</c:v>
                </c:pt>
                <c:pt idx="4">
                  <c:v>2022 г.</c:v>
                </c:pt>
                <c:pt idx="5">
                  <c:v>2023 г.</c:v>
                </c:pt>
                <c:pt idx="6">
                  <c:v>2024 г.</c:v>
                </c:pt>
                <c:pt idx="7">
                  <c:v>2025 г.</c:v>
                </c:pt>
              </c:strCache>
            </c:strRef>
          </c:cat>
          <c:val>
            <c:numRef>
              <c:f>Chart!$C$2:$C$9</c:f>
              <c:numCache>
                <c:formatCode>#,##0</c:formatCode>
                <c:ptCount val="8"/>
                <c:pt idx="0">
                  <c:v>15300</c:v>
                </c:pt>
                <c:pt idx="1">
                  <c:v>0</c:v>
                </c:pt>
                <c:pt idx="2">
                  <c:v>200</c:v>
                </c:pt>
                <c:pt idx="3">
                  <c:v>0</c:v>
                </c:pt>
                <c:pt idx="4">
                  <c:v>600</c:v>
                </c:pt>
                <c:pt idx="5">
                  <c:v>100</c:v>
                </c:pt>
                <c:pt idx="6">
                  <c:v>77400</c:v>
                </c:pt>
                <c:pt idx="7">
                  <c:v>61200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93D-4B69-BBC6-7DF13FBDCF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578956687"/>
        <c:axId val="578953807"/>
      </c:barChart>
      <c:lineChart>
        <c:grouping val="standard"/>
        <c:varyColors val="0"/>
        <c:ser>
          <c:idx val="3"/>
          <c:order val="3"/>
          <c:tx>
            <c:strRef>
              <c:f>Chart!$D$1</c:f>
              <c:strCache>
                <c:ptCount val="1"/>
                <c:pt idx="0">
                  <c:v>Уплачено, в %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5.5555555555555552E-2"/>
                  <c:y val="3.741177409439136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96,1%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393D-4B69-BBC6-7DF13FBDCFA9}"/>
                </c:ext>
              </c:extLst>
            </c:dLbl>
            <c:dLbl>
              <c:idx val="1"/>
              <c:layout>
                <c:manualLayout>
                  <c:x val="-6.9444444444444448E-2"/>
                  <c:y val="0.1026220975598221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100,0%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393D-4B69-BBC6-7DF13FBDCFA9}"/>
                </c:ext>
              </c:extLst>
            </c:dLbl>
            <c:dLbl>
              <c:idx val="2"/>
              <c:layout>
                <c:manualLayout>
                  <c:x val="-4.7222222222222221E-2"/>
                  <c:y val="0.1034326823039818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99,9%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393D-4B69-BBC6-7DF13FBDCFA9}"/>
                </c:ext>
              </c:extLst>
            </c:dLbl>
            <c:dLbl>
              <c:idx val="3"/>
              <c:layout>
                <c:manualLayout>
                  <c:x val="-5.0000000000000051E-2"/>
                  <c:y val="0.1034326823039818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100,0%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393D-4B69-BBC6-7DF13FBDCFA9}"/>
                </c:ext>
              </c:extLst>
            </c:dLbl>
            <c:dLbl>
              <c:idx val="4"/>
              <c:layout>
                <c:manualLayout>
                  <c:x val="-4.1666666666666768E-2"/>
                  <c:y val="9.87406010593019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99,7%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393D-4B69-BBC6-7DF13FBDCFA9}"/>
                </c:ext>
              </c:extLst>
            </c:dLbl>
            <c:dLbl>
              <c:idx val="5"/>
              <c:layout>
                <c:manualLayout>
                  <c:x val="-4.7222222222222221E-2"/>
                  <c:y val="0.1081247635486616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99,9%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393D-4B69-BBC6-7DF13FBDCFA9}"/>
                </c:ext>
              </c:extLst>
            </c:dLbl>
            <c:dLbl>
              <c:idx val="6"/>
              <c:layout>
                <c:manualLayout>
                  <c:x val="-6.6666666666666666E-2"/>
                  <c:y val="2.784222737819025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76,8%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393D-4B69-BBC6-7DF13FBDCFA9}"/>
                </c:ext>
              </c:extLst>
            </c:dLbl>
            <c:dLbl>
              <c:idx val="7"/>
              <c:layout>
                <c:manualLayout>
                  <c:x val="-0.05"/>
                  <c:y val="4.650702260474794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63,3%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A-393D-4B69-BBC6-7DF13FBDCFA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Chart!$D$2:$D$9</c:f>
              <c:numCache>
                <c:formatCode>#,#00%</c:formatCode>
                <c:ptCount val="8"/>
                <c:pt idx="0">
                  <c:v>0.96130177784185322</c:v>
                </c:pt>
                <c:pt idx="1">
                  <c:v>1</c:v>
                </c:pt>
                <c:pt idx="2">
                  <c:v>0.99900793650793651</c:v>
                </c:pt>
                <c:pt idx="3">
                  <c:v>1</c:v>
                </c:pt>
                <c:pt idx="4">
                  <c:v>0.99708313077297039</c:v>
                </c:pt>
                <c:pt idx="5">
                  <c:v>0.9994783515910276</c:v>
                </c:pt>
                <c:pt idx="6">
                  <c:v>0.76819407008086249</c:v>
                </c:pt>
                <c:pt idx="7">
                  <c:v>0.63287342531493707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393D-4B69-BBC6-7DF13FBDCF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58417871"/>
        <c:axId val="758417391"/>
      </c:lineChart>
      <c:catAx>
        <c:axId val="5789566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78953807"/>
        <c:crosses val="autoZero"/>
        <c:auto val="1"/>
        <c:lblAlgn val="ctr"/>
        <c:lblOffset val="100"/>
        <c:noMultiLvlLbl val="0"/>
      </c:catAx>
      <c:valAx>
        <c:axId val="578953807"/>
        <c:scaling>
          <c:orientation val="minMax"/>
          <c:max val="50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78956687"/>
        <c:crosses val="autoZero"/>
        <c:crossBetween val="between"/>
      </c:valAx>
      <c:valAx>
        <c:axId val="758417391"/>
        <c:scaling>
          <c:orientation val="minMax"/>
          <c:max val="1"/>
        </c:scaling>
        <c:delete val="0"/>
        <c:axPos val="r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58417871"/>
        <c:crosses val="max"/>
        <c:crossBetween val="between"/>
      </c:valAx>
      <c:catAx>
        <c:axId val="758417871"/>
        <c:scaling>
          <c:orientation val="minMax"/>
        </c:scaling>
        <c:delete val="1"/>
        <c:axPos val="b"/>
        <c:majorTickMark val="none"/>
        <c:minorTickMark val="none"/>
        <c:tickLblPos val="nextTo"/>
        <c:crossAx val="75841739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>
        <c:manualLayout>
          <c:xMode val="edge"/>
          <c:yMode val="edge"/>
          <c:x val="0.14955818022747155"/>
          <c:y val="0.87562693490838217"/>
          <c:w val="0.70088363954505684"/>
          <c:h val="7.529331911180063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0.02292</cdr:x>
      <cdr:y>0.81828</cdr:y>
    </cdr:from>
    <cdr:to>
      <cdr:x>0.14292</cdr:x>
      <cdr:y>0.89218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D1FC4478-2DE8-A3E5-5EEE-512C0079119C}"/>
            </a:ext>
          </a:extLst>
        </cdr:cNvPr>
        <cdr:cNvSpPr txBox="1"/>
      </cdr:nvSpPr>
      <cdr:spPr>
        <a:xfrm xmlns:a="http://schemas.openxmlformats.org/drawingml/2006/main">
          <a:off x="104790" y="2329149"/>
          <a:ext cx="548640" cy="21034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900" kern="1200"/>
            <a:t>шв. фр.</a:t>
          </a:r>
          <a:endParaRPr lang="en-GB" sz="900" kern="12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9AF89-6C0E-4513-BBC4-F6DC6924D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1300</Words>
  <Characters>9951</Characters>
  <Application>Microsoft Office Word</Application>
  <DocSecurity>0</DocSecurity>
  <Lines>765</Lines>
  <Paragraphs>562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Status Report on implementation of Council Decisions 600 and 601 (UIFN, IIN)</vt:lpstr>
    </vt:vector>
  </TitlesOfParts>
  <Manager>General Secretariat - Pool</Manager>
  <Company>International Telecommunication Union (ITU)</Company>
  <LinksUpToDate>false</LinksUpToDate>
  <CharactersWithSpaces>10689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Status Report on implementation of Council Decisions 600 and 601 (UIFN, IIN)</dc:title>
  <dc:subject>ITU Council 2026</dc:subject>
  <cp:keywords>C26; C2026; Council 2026; PP26</cp:keywords>
  <dc:description/>
  <cp:lastPrinted>2006-03-28T16:12:00Z</cp:lastPrinted>
  <dcterms:created xsi:type="dcterms:W3CDTF">2026-04-21T06:41:00Z</dcterms:created>
  <dcterms:modified xsi:type="dcterms:W3CDTF">2026-04-21T07:25:00Z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