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5C4426" w14:paraId="34C1C4C8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0642BCB" w14:textId="6697DC5B" w:rsidR="00D72F49" w:rsidRPr="005C4426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5C4426">
              <w:rPr>
                <w:b/>
              </w:rPr>
              <w:t>Point de l'ordre du jour:</w:t>
            </w:r>
            <w:r w:rsidR="00417DD5" w:rsidRPr="005C4426">
              <w:rPr>
                <w:b/>
              </w:rPr>
              <w:t xml:space="preserve"> ADM 1</w:t>
            </w:r>
          </w:p>
        </w:tc>
        <w:tc>
          <w:tcPr>
            <w:tcW w:w="5245" w:type="dxa"/>
          </w:tcPr>
          <w:p w14:paraId="1DF0AA4B" w14:textId="08EA920D" w:rsidR="00D72F49" w:rsidRPr="005C4426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C4426">
              <w:rPr>
                <w:b/>
              </w:rPr>
              <w:t>Document C2</w:t>
            </w:r>
            <w:r w:rsidR="00E4448E" w:rsidRPr="005C4426">
              <w:rPr>
                <w:b/>
              </w:rPr>
              <w:t>6</w:t>
            </w:r>
            <w:r w:rsidRPr="005C4426">
              <w:rPr>
                <w:b/>
              </w:rPr>
              <w:t>/</w:t>
            </w:r>
            <w:r w:rsidR="004849A4" w:rsidRPr="005C4426">
              <w:rPr>
                <w:b/>
              </w:rPr>
              <w:t>38</w:t>
            </w:r>
            <w:r w:rsidRPr="005C4426">
              <w:rPr>
                <w:b/>
              </w:rPr>
              <w:t>-F</w:t>
            </w:r>
          </w:p>
        </w:tc>
      </w:tr>
      <w:tr w:rsidR="00D72F49" w:rsidRPr="005C4426" w14:paraId="7BB82D16" w14:textId="77777777" w:rsidTr="00796BDB">
        <w:trPr>
          <w:cantSplit/>
        </w:trPr>
        <w:tc>
          <w:tcPr>
            <w:tcW w:w="3969" w:type="dxa"/>
            <w:vMerge/>
          </w:tcPr>
          <w:p w14:paraId="08A7041A" w14:textId="77777777" w:rsidR="00D72F49" w:rsidRPr="005C4426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A550BF3" w14:textId="44547AD6" w:rsidR="00D72F49" w:rsidRPr="005C4426" w:rsidRDefault="00417DD5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5C4426">
              <w:rPr>
                <w:b/>
              </w:rPr>
              <w:t>26 mars 2026</w:t>
            </w:r>
          </w:p>
        </w:tc>
      </w:tr>
      <w:tr w:rsidR="00D72F49" w:rsidRPr="005C4426" w14:paraId="254BDF93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63A68D97" w14:textId="77777777" w:rsidR="00D72F49" w:rsidRPr="005C4426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792C994" w14:textId="77777777" w:rsidR="00D72F49" w:rsidRPr="005C4426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C4426">
              <w:rPr>
                <w:b/>
              </w:rPr>
              <w:t>Original: anglais</w:t>
            </w:r>
          </w:p>
        </w:tc>
      </w:tr>
      <w:tr w:rsidR="00D72F49" w:rsidRPr="005C4426" w14:paraId="641B48C3" w14:textId="77777777" w:rsidTr="00796BDB">
        <w:trPr>
          <w:cantSplit/>
          <w:trHeight w:val="23"/>
        </w:trPr>
        <w:tc>
          <w:tcPr>
            <w:tcW w:w="3969" w:type="dxa"/>
          </w:tcPr>
          <w:p w14:paraId="6ACCD5B4" w14:textId="77777777" w:rsidR="00D72F49" w:rsidRPr="005C4426" w:rsidRDefault="00D72F49" w:rsidP="00DE21A8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F2F4949" w14:textId="77777777" w:rsidR="00D72F49" w:rsidRPr="005C4426" w:rsidRDefault="00D72F49" w:rsidP="00DE21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5C4426" w14:paraId="324C61BB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5C3597A" w14:textId="77777777" w:rsidR="00D72F49" w:rsidRPr="005C4426" w:rsidRDefault="00D72F49" w:rsidP="00DE21A8">
            <w:pPr>
              <w:pStyle w:val="Source"/>
              <w:framePr w:hSpace="0" w:wrap="auto" w:vAnchor="margin" w:hAnchor="text" w:xAlign="left" w:yAlign="inline"/>
            </w:pPr>
            <w:r w:rsidRPr="00DE21A8">
              <w:t>Rapport</w:t>
            </w:r>
            <w:r w:rsidRPr="005C4426">
              <w:t xml:space="preserve"> </w:t>
            </w:r>
            <w:r w:rsidR="00E95647" w:rsidRPr="005C4426">
              <w:t xml:space="preserve">de la </w:t>
            </w:r>
            <w:r w:rsidRPr="005C4426">
              <w:t>Secrétaire général</w:t>
            </w:r>
            <w:r w:rsidR="00E95647" w:rsidRPr="005C4426">
              <w:t>e</w:t>
            </w:r>
          </w:p>
        </w:tc>
      </w:tr>
      <w:tr w:rsidR="00D72F49" w:rsidRPr="005C4426" w14:paraId="49C41456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4E168E" w14:textId="17D75F13" w:rsidR="00D72F49" w:rsidRPr="005C4426" w:rsidRDefault="00DE21A8" w:rsidP="00796B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5C4426">
              <w:rPr>
                <w:rFonts w:cstheme="minorHAnsi"/>
                <w:sz w:val="32"/>
                <w:szCs w:val="32"/>
                <w:lang w:val="fr-FR"/>
              </w:rPr>
              <w:t xml:space="preserve">RAPPORT D'ACTIVITÉ SUR LA MISE EN ŒUVRE DES DÉCISIONS 600 ET 601 DU CONSEIL (NUMÉROS </w:t>
            </w:r>
            <w:proofErr w:type="spellStart"/>
            <w:r w:rsidRPr="005C4426">
              <w:rPr>
                <w:rFonts w:cstheme="minorHAnsi"/>
                <w:sz w:val="32"/>
                <w:szCs w:val="32"/>
                <w:lang w:val="fr-FR"/>
              </w:rPr>
              <w:t>UIFN</w:t>
            </w:r>
            <w:proofErr w:type="spellEnd"/>
            <w:r w:rsidRPr="005C4426">
              <w:rPr>
                <w:rFonts w:cstheme="minorHAnsi"/>
                <w:sz w:val="32"/>
                <w:szCs w:val="32"/>
                <w:lang w:val="fr-FR"/>
              </w:rPr>
              <w:t xml:space="preserve"> ET IIN)</w:t>
            </w:r>
          </w:p>
        </w:tc>
      </w:tr>
      <w:tr w:rsidR="00D72F49" w:rsidRPr="005C4426" w14:paraId="51DBB503" w14:textId="77777777" w:rsidTr="00796BD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24CFD6A" w14:textId="77777777" w:rsidR="00D72F49" w:rsidRPr="005C4426" w:rsidRDefault="00F37FE5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5C4426">
              <w:rPr>
                <w:b/>
                <w:bCs/>
                <w:sz w:val="26"/>
                <w:szCs w:val="26"/>
              </w:rPr>
              <w:t>Objet</w:t>
            </w:r>
          </w:p>
          <w:p w14:paraId="59F39A4A" w14:textId="0D36D4FA" w:rsidR="00417DD5" w:rsidRPr="005C4426" w:rsidRDefault="00417DD5" w:rsidP="00DE21A8">
            <w:pPr>
              <w:jc w:val="both"/>
            </w:pPr>
            <w:r w:rsidRPr="005C4426">
              <w:t xml:space="preserve">Le présent rapport contient: i) une mise à jour concernant la perception des produits dans le cadre de la mise en </w:t>
            </w:r>
            <w:r w:rsidR="00C20590" w:rsidRPr="005C4426">
              <w:t>œuvre</w:t>
            </w:r>
            <w:r w:rsidRPr="005C4426">
              <w:t xml:space="preserve"> de la Décision 600 du Conseil relative au numéro universel de libre appel international (UIFN); et ii) une recommandation visant à abroger la Décision 601 du Conseil relative au numéro d'identification d</w:t>
            </w:r>
            <w:r w:rsidR="00C20590" w:rsidRPr="005C4426">
              <w:t>'</w:t>
            </w:r>
            <w:r w:rsidRPr="005C4426">
              <w:t>entité émettrice (IIN).</w:t>
            </w:r>
          </w:p>
          <w:p w14:paraId="7172E5B7" w14:textId="2D6B7235" w:rsidR="00417DD5" w:rsidRPr="005C4426" w:rsidRDefault="00417DD5" w:rsidP="00DE21A8">
            <w:pPr>
              <w:jc w:val="both"/>
            </w:pPr>
            <w:r w:rsidRPr="005C4426">
              <w:t xml:space="preserve">Depuis 2018, les produits tirés de la mise en œuvre de la Décision </w:t>
            </w:r>
            <w:r w:rsidRPr="005C4426">
              <w:rPr>
                <w:b/>
                <w:bCs/>
              </w:rPr>
              <w:t>600</w:t>
            </w:r>
            <w:r w:rsidRPr="005C4426">
              <w:t xml:space="preserve"> du Conseil sont en moyenne de l</w:t>
            </w:r>
            <w:r w:rsidR="00C20590" w:rsidRPr="005C4426">
              <w:t>'</w:t>
            </w:r>
            <w:r w:rsidRPr="005C4426">
              <w:t xml:space="preserve">ordre de </w:t>
            </w:r>
            <w:r w:rsidRPr="005C4426">
              <w:rPr>
                <w:b/>
                <w:bCs/>
              </w:rPr>
              <w:t>235 000 CHF par an</w:t>
            </w:r>
            <w:r w:rsidRPr="005C4426">
              <w:t>.</w:t>
            </w:r>
          </w:p>
          <w:p w14:paraId="5EA27AA3" w14:textId="0B9544A1" w:rsidR="00D72F49" w:rsidRPr="005C4426" w:rsidRDefault="00417DD5" w:rsidP="00DE21A8">
            <w:pPr>
              <w:jc w:val="both"/>
            </w:pPr>
            <w:r w:rsidRPr="005C4426">
              <w:t xml:space="preserve">Toutefois, les produits tirés de la mise en œuvre de la Décision </w:t>
            </w:r>
            <w:r w:rsidRPr="005C4426">
              <w:rPr>
                <w:b/>
                <w:bCs/>
              </w:rPr>
              <w:t>601</w:t>
            </w:r>
            <w:r w:rsidRPr="005C4426">
              <w:t xml:space="preserve"> du Conseil sont en moyenne de l</w:t>
            </w:r>
            <w:r w:rsidR="00C20590" w:rsidRPr="005C4426">
              <w:t>'</w:t>
            </w:r>
            <w:r w:rsidRPr="005C4426">
              <w:t xml:space="preserve">ordre de </w:t>
            </w:r>
            <w:r w:rsidRPr="005C4426">
              <w:rPr>
                <w:b/>
                <w:bCs/>
              </w:rPr>
              <w:t>4 700 CHF par an</w:t>
            </w:r>
            <w:r w:rsidRPr="005C4426">
              <w:t xml:space="preserve"> depuis 2018. En outre, la </w:t>
            </w:r>
            <w:r w:rsidRPr="005C4426">
              <w:rPr>
                <w:b/>
                <w:bCs/>
              </w:rPr>
              <w:t>Commission d</w:t>
            </w:r>
            <w:r w:rsidR="00C20590" w:rsidRPr="005C4426">
              <w:rPr>
                <w:b/>
                <w:bCs/>
              </w:rPr>
              <w:t>'</w:t>
            </w:r>
            <w:r w:rsidRPr="005C4426">
              <w:rPr>
                <w:b/>
                <w:bCs/>
              </w:rPr>
              <w:t>études 2 de l</w:t>
            </w:r>
            <w:r w:rsidR="00C20590" w:rsidRPr="005C4426">
              <w:rPr>
                <w:b/>
                <w:bCs/>
              </w:rPr>
              <w:t>'</w:t>
            </w:r>
            <w:r w:rsidRPr="005C4426">
              <w:rPr>
                <w:b/>
                <w:bCs/>
              </w:rPr>
              <w:t>UIT-T</w:t>
            </w:r>
            <w:r w:rsidRPr="005C4426">
              <w:t xml:space="preserve"> a approuvé une </w:t>
            </w:r>
            <w:r w:rsidRPr="005C4426">
              <w:rPr>
                <w:b/>
                <w:bCs/>
              </w:rPr>
              <w:t>révision</w:t>
            </w:r>
            <w:r w:rsidRPr="005C4426">
              <w:t xml:space="preserve"> de la </w:t>
            </w:r>
            <w:r w:rsidRPr="005C4426">
              <w:rPr>
                <w:b/>
                <w:bCs/>
              </w:rPr>
              <w:t>Recommandation UIT-T E.118</w:t>
            </w:r>
            <w:r w:rsidRPr="005C4426">
              <w:t xml:space="preserve"> régissant l</w:t>
            </w:r>
            <w:r w:rsidR="00C20590" w:rsidRPr="005C4426">
              <w:t>'</w:t>
            </w:r>
            <w:r w:rsidRPr="005C4426">
              <w:t>administration des numéros IIN, en supprimant la fonction d</w:t>
            </w:r>
            <w:r w:rsidR="00C20590" w:rsidRPr="005C4426">
              <w:t>'</w:t>
            </w:r>
            <w:r w:rsidRPr="005C4426">
              <w:t>autorité d</w:t>
            </w:r>
            <w:r w:rsidR="00C20590" w:rsidRPr="005C4426">
              <w:t>'</w:t>
            </w:r>
            <w:r w:rsidRPr="005C4426">
              <w:t>enregistrement et le cadre de perception des droits associé. Compte tenu de ces facteurs, il est proposé, dans le présent rapport, d'</w:t>
            </w:r>
            <w:r w:rsidRPr="005C4426">
              <w:rPr>
                <w:b/>
                <w:bCs/>
              </w:rPr>
              <w:t>abroger</w:t>
            </w:r>
            <w:r w:rsidRPr="005C4426">
              <w:t xml:space="preserve"> la Décision 601 du Conseil.</w:t>
            </w:r>
          </w:p>
          <w:p w14:paraId="1A47A2B9" w14:textId="77777777" w:rsidR="00D72F49" w:rsidRPr="005C4426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5C4426">
              <w:rPr>
                <w:b/>
                <w:bCs/>
                <w:sz w:val="26"/>
                <w:szCs w:val="26"/>
              </w:rPr>
              <w:t>Suite à donner par le Conseil</w:t>
            </w:r>
          </w:p>
          <w:p w14:paraId="493A6614" w14:textId="450695F9" w:rsidR="00D72F49" w:rsidRPr="005C4426" w:rsidRDefault="00417DD5" w:rsidP="00DE21A8">
            <w:pPr>
              <w:tabs>
                <w:tab w:val="clear" w:pos="567"/>
                <w:tab w:val="clear" w:pos="1134"/>
                <w:tab w:val="clear" w:pos="2268"/>
                <w:tab w:val="clear" w:pos="2835"/>
              </w:tabs>
              <w:jc w:val="both"/>
            </w:pPr>
            <w:r w:rsidRPr="005C4426">
              <w:t xml:space="preserve">Le Conseil est invité à </w:t>
            </w:r>
            <w:r w:rsidRPr="005C4426">
              <w:rPr>
                <w:b/>
                <w:bCs/>
              </w:rPr>
              <w:t>prendre note</w:t>
            </w:r>
            <w:r w:rsidRPr="005C4426">
              <w:t xml:space="preserve"> de la mise en œuvre de la Décision </w:t>
            </w:r>
            <w:r w:rsidRPr="005C4426">
              <w:rPr>
                <w:b/>
                <w:bCs/>
              </w:rPr>
              <w:t>600</w:t>
            </w:r>
            <w:r w:rsidRPr="005C4426">
              <w:t xml:space="preserve"> du Conseil et à approuver l</w:t>
            </w:r>
            <w:r w:rsidR="00C20590" w:rsidRPr="005C4426">
              <w:t>'</w:t>
            </w:r>
            <w:r w:rsidRPr="005C4426">
              <w:rPr>
                <w:b/>
                <w:bCs/>
              </w:rPr>
              <w:t>abrogation</w:t>
            </w:r>
            <w:r w:rsidRPr="005C4426">
              <w:t xml:space="preserve"> de la Décision </w:t>
            </w:r>
            <w:r w:rsidRPr="005C4426">
              <w:rPr>
                <w:b/>
                <w:bCs/>
              </w:rPr>
              <w:t>601</w:t>
            </w:r>
            <w:r w:rsidRPr="005C4426">
              <w:t>.</w:t>
            </w:r>
          </w:p>
          <w:p w14:paraId="606AE30F" w14:textId="77777777" w:rsidR="00D72F49" w:rsidRPr="005C4426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5C4426">
              <w:rPr>
                <w:b/>
                <w:bCs/>
                <w:sz w:val="26"/>
                <w:szCs w:val="26"/>
              </w:rPr>
              <w:t xml:space="preserve">Lien(s) pertinent(s) avec le </w:t>
            </w:r>
            <w:r w:rsidR="00F37FE5" w:rsidRPr="005C4426">
              <w:rPr>
                <w:b/>
                <w:bCs/>
                <w:sz w:val="26"/>
                <w:szCs w:val="26"/>
              </w:rPr>
              <w:t>p</w:t>
            </w:r>
            <w:r w:rsidRPr="005C4426">
              <w:rPr>
                <w:b/>
                <w:bCs/>
                <w:sz w:val="26"/>
                <w:szCs w:val="26"/>
              </w:rPr>
              <w:t>lan stratégique</w:t>
            </w:r>
          </w:p>
          <w:p w14:paraId="7F958F76" w14:textId="75B4BCAD" w:rsidR="00D72F49" w:rsidRPr="005C4426" w:rsidRDefault="00417DD5" w:rsidP="00796BDB">
            <w:r w:rsidRPr="005C4426">
              <w:t>Ressources internationales de numérotage des télécommunications.</w:t>
            </w:r>
          </w:p>
          <w:p w14:paraId="27AD99FB" w14:textId="77777777" w:rsidR="00E95647" w:rsidRPr="005C4426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5C4426">
              <w:rPr>
                <w:b/>
                <w:bCs/>
                <w:sz w:val="26"/>
                <w:szCs w:val="26"/>
              </w:rPr>
              <w:t>Incidences financières</w:t>
            </w:r>
          </w:p>
          <w:p w14:paraId="66FD54DC" w14:textId="77777777" w:rsidR="00D72F49" w:rsidRDefault="00417DD5" w:rsidP="00DE21A8">
            <w:pPr>
              <w:spacing w:after="120"/>
              <w:jc w:val="both"/>
              <w:rPr>
                <w:szCs w:val="24"/>
              </w:rPr>
            </w:pPr>
            <w:r w:rsidRPr="005C4426">
              <w:rPr>
                <w:szCs w:val="24"/>
              </w:rPr>
              <w:t>Les produits tirés de la mise en œuvre des Décisions 600 et 601 du Conseil sont inscrits au budget pour 2026 2027.</w:t>
            </w:r>
          </w:p>
          <w:p w14:paraId="7A95A5BB" w14:textId="77777777" w:rsidR="00DE21A8" w:rsidRDefault="00DE21A8">
            <w:r>
              <w:t>_______________</w:t>
            </w:r>
          </w:p>
          <w:p w14:paraId="25DD3D36" w14:textId="77777777" w:rsidR="00DE21A8" w:rsidRPr="005C4426" w:rsidRDefault="00DE21A8" w:rsidP="00DE21A8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5C4426">
              <w:rPr>
                <w:b/>
                <w:bCs/>
                <w:sz w:val="26"/>
                <w:szCs w:val="26"/>
              </w:rPr>
              <w:t>Références</w:t>
            </w:r>
          </w:p>
          <w:p w14:paraId="13FC51D3" w14:textId="3381F7D7" w:rsidR="00DE21A8" w:rsidRPr="005C4426" w:rsidRDefault="00DE21A8" w:rsidP="00DE21A8">
            <w:pPr>
              <w:spacing w:after="120"/>
              <w:jc w:val="both"/>
              <w:rPr>
                <w:caps/>
                <w:sz w:val="22"/>
              </w:rPr>
            </w:pPr>
            <w:r w:rsidRPr="00DE21A8">
              <w:rPr>
                <w:i/>
                <w:iCs/>
                <w:sz w:val="22"/>
                <w:szCs w:val="22"/>
              </w:rPr>
              <w:t xml:space="preserve">Documents </w:t>
            </w:r>
            <w:hyperlink r:id="rId8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C17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/133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9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C17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/134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0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C18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/100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1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C18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/121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2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CWG-FHR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 xml:space="preserve"> 8/18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3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</w:t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-9/14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4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-9/15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5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C19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/47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6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C19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/120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7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C20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/47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8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C21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/47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19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C21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/92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0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</w:t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-14/6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1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  <w:t>14/12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2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C22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/50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3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  <w:t>17/8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4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C24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/38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5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C24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/120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6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</w:t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-20/13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7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  <w:t>20/32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8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C25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/38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29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C25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/114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30" w:history="1"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CWG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</w:r>
              <w:proofErr w:type="spellStart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FHR</w:t>
              </w:r>
              <w:proofErr w:type="spellEnd"/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noBreakHyphen/>
                <w:t>22/03</w:t>
              </w:r>
            </w:hyperlink>
            <w:r w:rsidRPr="00DE21A8">
              <w:rPr>
                <w:i/>
                <w:iCs/>
                <w:sz w:val="22"/>
                <w:szCs w:val="22"/>
              </w:rPr>
              <w:t xml:space="preserve">; </w:t>
            </w:r>
            <w:hyperlink r:id="rId31" w:history="1">
              <w:r w:rsidRPr="00DE21A8">
                <w:rPr>
                  <w:rStyle w:val="Hyperlink"/>
                  <w:rFonts w:eastAsia="Times New Roman" w:cs="Times New Roman"/>
                  <w:i/>
                  <w:iCs/>
                  <w:sz w:val="22"/>
                </w:rPr>
                <w:t>C26/50</w:t>
              </w:r>
            </w:hyperlink>
          </w:p>
        </w:tc>
      </w:tr>
    </w:tbl>
    <w:p w14:paraId="6F07EC4B" w14:textId="5FBC3ABA" w:rsidR="00501FC5" w:rsidRPr="00DE21A8" w:rsidRDefault="00501FC5" w:rsidP="00501FC5">
      <w:pPr>
        <w:rPr>
          <w:sz w:val="10"/>
          <w:szCs w:val="10"/>
        </w:rPr>
      </w:pPr>
      <w:r w:rsidRPr="00DE21A8">
        <w:rPr>
          <w:sz w:val="10"/>
          <w:szCs w:val="10"/>
        </w:rPr>
        <w:br w:type="page"/>
      </w:r>
    </w:p>
    <w:p w14:paraId="7B52BDB6" w14:textId="68600BB3" w:rsidR="00417DD5" w:rsidRPr="005C4426" w:rsidRDefault="00417DD5" w:rsidP="004849A4">
      <w:pPr>
        <w:pStyle w:val="Headingb"/>
      </w:pPr>
      <w:r w:rsidRPr="005C4426">
        <w:lastRenderedPageBreak/>
        <w:t>Considérations générales</w:t>
      </w:r>
    </w:p>
    <w:p w14:paraId="3044DE03" w14:textId="0942A171" w:rsidR="00417DD5" w:rsidRPr="005C4426" w:rsidRDefault="00417DD5" w:rsidP="004B1887">
      <w:pPr>
        <w:pStyle w:val="enumlev1"/>
        <w:jc w:val="both"/>
        <w:rPr>
          <w:rFonts w:eastAsia="SimSun"/>
          <w:szCs w:val="24"/>
        </w:rPr>
      </w:pPr>
      <w:r w:rsidRPr="005C4426">
        <w:t>1</w:t>
      </w:r>
      <w:r w:rsidR="004849A4" w:rsidRPr="005C4426">
        <w:t>)</w:t>
      </w:r>
      <w:r w:rsidRPr="005C4426">
        <w:tab/>
        <w:t xml:space="preserve">A la suite de l'approbation des Décisions 600 (Document </w:t>
      </w:r>
      <w:hyperlink r:id="rId32" w:history="1">
        <w:r w:rsidRPr="005C4426">
          <w:rPr>
            <w:rStyle w:val="Hyperlink"/>
            <w:rFonts w:eastAsia="Times New Roman" w:cs="Times New Roman"/>
            <w:szCs w:val="20"/>
          </w:rPr>
          <w:t>C17/133</w:t>
        </w:r>
      </w:hyperlink>
      <w:r w:rsidRPr="005C4426">
        <w:t>) et 601 (Document</w:t>
      </w:r>
      <w:r w:rsidR="004849A4" w:rsidRPr="005C4426">
        <w:t> </w:t>
      </w:r>
      <w:hyperlink r:id="rId33" w:history="1">
        <w:r w:rsidRPr="005C4426">
          <w:rPr>
            <w:rStyle w:val="Hyperlink"/>
            <w:rFonts w:eastAsia="Times New Roman" w:cs="Times New Roman"/>
            <w:szCs w:val="20"/>
          </w:rPr>
          <w:t>C17/134</w:t>
        </w:r>
      </w:hyperlink>
      <w:r w:rsidRPr="005C4426">
        <w:t>) par le Conseil à sa session de 2017, le Secrétariat de l'UIT a procédé à la mise en œuvre de ces Décisions.</w:t>
      </w:r>
      <w:hyperlink r:id="rId34" w:history="1"/>
      <w:hyperlink r:id="rId35" w:history="1"/>
    </w:p>
    <w:p w14:paraId="5D05EC55" w14:textId="430F1E9A" w:rsidR="00417DD5" w:rsidRPr="005C4426" w:rsidRDefault="00417DD5" w:rsidP="004B1887">
      <w:pPr>
        <w:pStyle w:val="enumlev1"/>
        <w:jc w:val="both"/>
        <w:rPr>
          <w:rFonts w:eastAsia="SimSun"/>
        </w:rPr>
      </w:pPr>
      <w:r w:rsidRPr="005C4426">
        <w:t>2</w:t>
      </w:r>
      <w:r w:rsidR="004849A4" w:rsidRPr="005C4426">
        <w:t>)</w:t>
      </w:r>
      <w:r w:rsidRPr="005C4426">
        <w:tab/>
        <w:t xml:space="preserve">A la session de 2025 du Conseil, le Bureau de la normalisation des télécommunications (TSB) a présenté le Document </w:t>
      </w:r>
      <w:hyperlink r:id="rId36" w:history="1">
        <w:r w:rsidRPr="005C4426">
          <w:rPr>
            <w:rStyle w:val="Hyperlink"/>
            <w:rFonts w:eastAsia="Times New Roman" w:cs="Times New Roman"/>
            <w:szCs w:val="20"/>
          </w:rPr>
          <w:t>C25/38</w:t>
        </w:r>
      </w:hyperlink>
      <w:r w:rsidRPr="005C4426">
        <w:t>, qui fournit des mises à jour financières sur les numéros UIFN (Décision 600) et IIN (Décision 601).</w:t>
      </w:r>
      <w:hyperlink r:id="rId37" w:history="1"/>
    </w:p>
    <w:p w14:paraId="47487183" w14:textId="206EED12" w:rsidR="00417DD5" w:rsidRPr="005C4426" w:rsidRDefault="00417DD5" w:rsidP="004B1887">
      <w:pPr>
        <w:pStyle w:val="enumlev1"/>
        <w:jc w:val="both"/>
        <w:rPr>
          <w:rFonts w:eastAsia="SimSun"/>
        </w:rPr>
      </w:pPr>
      <w:r w:rsidRPr="005C4426">
        <w:t>3</w:t>
      </w:r>
      <w:r w:rsidR="004849A4" w:rsidRPr="005C4426">
        <w:t>)</w:t>
      </w:r>
      <w:r w:rsidRPr="005C4426">
        <w:tab/>
        <w:t>À la suite du Document C25/38 du Conseil, le secrétariat a rendu compte au Groupe</w:t>
      </w:r>
      <w:r w:rsidR="004D17A0" w:rsidRPr="005C4426">
        <w:t> </w:t>
      </w:r>
      <w:r w:rsidRPr="005C4426">
        <w:t>de</w:t>
      </w:r>
      <w:r w:rsidR="004D17A0" w:rsidRPr="005C4426">
        <w:t> </w:t>
      </w:r>
      <w:r w:rsidRPr="005C4426">
        <w:t xml:space="preserve">travail du Conseil sur les ressources financières et les ressources humaines (GTC-FHR), à sa réunion de janvier 2026 (Document </w:t>
      </w:r>
      <w:hyperlink r:id="rId38" w:history="1">
        <w:r w:rsidRPr="005C4426">
          <w:rPr>
            <w:rStyle w:val="Hyperlink"/>
          </w:rPr>
          <w:t>CWG-FHR-22/3</w:t>
        </w:r>
      </w:hyperlink>
      <w:r w:rsidRPr="005C4426">
        <w:t>), de l</w:t>
      </w:r>
      <w:r w:rsidR="00C20590" w:rsidRPr="005C4426">
        <w:t>'</w:t>
      </w:r>
      <w:r w:rsidRPr="005C4426">
        <w:t>approbation de la Recommandation UIT-T E.118 révisée régissant l</w:t>
      </w:r>
      <w:r w:rsidR="00C20590" w:rsidRPr="005C4426">
        <w:t>'</w:t>
      </w:r>
      <w:r w:rsidRPr="005C4426">
        <w:t>administration des numéros IIN, dans laquelle la fonction d</w:t>
      </w:r>
      <w:r w:rsidR="00C20590" w:rsidRPr="005C4426">
        <w:t>'</w:t>
      </w:r>
      <w:r w:rsidRPr="005C4426">
        <w:t>autorité d</w:t>
      </w:r>
      <w:r w:rsidR="00C20590" w:rsidRPr="005C4426">
        <w:t>'</w:t>
      </w:r>
      <w:r w:rsidRPr="005C4426">
        <w:t>enregistrement et le cadre de perception des droits associé ont été supprimés.</w:t>
      </w:r>
      <w:hyperlink r:id="rId39" w:history="1"/>
    </w:p>
    <w:p w14:paraId="4137995D" w14:textId="5103CB3E" w:rsidR="00417DD5" w:rsidRPr="005C4426" w:rsidRDefault="00417DD5" w:rsidP="004B1887">
      <w:pPr>
        <w:pStyle w:val="enumlev1"/>
        <w:jc w:val="both"/>
        <w:rPr>
          <w:rFonts w:eastAsia="SimSun"/>
        </w:rPr>
      </w:pPr>
      <w:r w:rsidRPr="005C4426">
        <w:t>4</w:t>
      </w:r>
      <w:r w:rsidR="004849A4" w:rsidRPr="005C4426">
        <w:t>)</w:t>
      </w:r>
      <w:r w:rsidRPr="005C4426">
        <w:tab/>
        <w:t>Le présent document fait le point sur la perception des recettes UIFN au titre de la Décision 600 et expose les arguments en faveur de l</w:t>
      </w:r>
      <w:r w:rsidR="00C20590" w:rsidRPr="005C4426">
        <w:t>'</w:t>
      </w:r>
      <w:r w:rsidRPr="005C4426">
        <w:t>abrogation de la Décision 601.</w:t>
      </w:r>
    </w:p>
    <w:p w14:paraId="0D035869" w14:textId="77777777" w:rsidR="00417DD5" w:rsidRPr="005C4426" w:rsidRDefault="00417DD5" w:rsidP="00417DD5">
      <w:pPr>
        <w:pStyle w:val="Headingb"/>
        <w:tabs>
          <w:tab w:val="clear" w:pos="1134"/>
          <w:tab w:val="left" w:pos="1080"/>
          <w:tab w:val="left" w:pos="1620"/>
        </w:tabs>
        <w:ind w:left="1080" w:hanging="990"/>
        <w:rPr>
          <w:rFonts w:eastAsia="SimSun"/>
        </w:rPr>
      </w:pPr>
      <w:r w:rsidRPr="005C4426">
        <w:rPr>
          <w:bCs/>
        </w:rPr>
        <w:t xml:space="preserve">Informations financières actualisées </w:t>
      </w:r>
      <w:r w:rsidRPr="005C4426">
        <w:t>sur</w:t>
      </w:r>
      <w:r w:rsidRPr="005C4426">
        <w:rPr>
          <w:bCs/>
        </w:rPr>
        <w:t xml:space="preserve"> les numéros UIFN (Décision 600 du Conseil):</w:t>
      </w:r>
      <w:bookmarkStart w:id="0" w:name="_Hlk158995552"/>
      <w:bookmarkStart w:id="1" w:name="_Hlk220762571"/>
      <w:bookmarkEnd w:id="0"/>
    </w:p>
    <w:bookmarkEnd w:id="1"/>
    <w:p w14:paraId="54635C88" w14:textId="1EBD4239" w:rsidR="00417DD5" w:rsidRPr="005C4426" w:rsidRDefault="008E60E0" w:rsidP="00417DD5">
      <w:pPr>
        <w:pStyle w:val="Figure"/>
        <w:rPr>
          <w:lang w:eastAsia="zh-CN"/>
        </w:rPr>
      </w:pPr>
      <w:r w:rsidRPr="005C4426">
        <w:rPr>
          <w:noProof/>
          <w:lang w:eastAsia="zh-CN"/>
        </w:rPr>
        <w:drawing>
          <wp:inline distT="0" distB="0" distL="0" distR="0" wp14:anchorId="5DA23B8E" wp14:editId="33D38EED">
            <wp:extent cx="4372585" cy="2410161"/>
            <wp:effectExtent l="0" t="0" r="9525" b="9525"/>
            <wp:docPr id="1055059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9634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A394" w14:textId="4DA2ACA9" w:rsidR="00417DD5" w:rsidRPr="005C4426" w:rsidRDefault="00417DD5" w:rsidP="004C1480">
      <w:pPr>
        <w:jc w:val="both"/>
        <w:rPr>
          <w:rFonts w:eastAsia="SimSun"/>
        </w:rPr>
      </w:pPr>
      <w:r w:rsidRPr="005C4426">
        <w:t>Le graphique ci-dessus montre que les factures établies au titre de la Décision 600 depuis</w:t>
      </w:r>
      <w:r w:rsidR="00501FC5" w:rsidRPr="005C4426">
        <w:t> </w:t>
      </w:r>
      <w:r w:rsidRPr="005C4426">
        <w:t>2018, d</w:t>
      </w:r>
      <w:r w:rsidR="00C20590" w:rsidRPr="005C4426">
        <w:t>'</w:t>
      </w:r>
      <w:r w:rsidRPr="005C4426">
        <w:t>un montant moyen de 235 000 CHF par an, ont été en grande partie acquittées.</w:t>
      </w:r>
    </w:p>
    <w:p w14:paraId="254D13E6" w14:textId="702409F2" w:rsidR="00417DD5" w:rsidRPr="005C4426" w:rsidRDefault="00417DD5" w:rsidP="004C1480">
      <w:pPr>
        <w:jc w:val="both"/>
        <w:rPr>
          <w:rFonts w:eastAsia="SimSun"/>
        </w:rPr>
      </w:pPr>
      <w:r w:rsidRPr="005C4426">
        <w:t>Toutefois, au 28 janvier 2026, les montants suivants n</w:t>
      </w:r>
      <w:r w:rsidR="00C20590" w:rsidRPr="005C4426">
        <w:t>'</w:t>
      </w:r>
      <w:r w:rsidRPr="005C4426">
        <w:t xml:space="preserve">avaient toujours </w:t>
      </w:r>
      <w:r w:rsidRPr="005C4426">
        <w:rPr>
          <w:b/>
          <w:bCs/>
        </w:rPr>
        <w:t>pas été</w:t>
      </w:r>
      <w:r w:rsidRPr="005C4426">
        <w:t xml:space="preserve"> </w:t>
      </w:r>
      <w:r w:rsidRPr="005C4426">
        <w:rPr>
          <w:b/>
          <w:bCs/>
        </w:rPr>
        <w:t>acquittés</w:t>
      </w:r>
      <w:r w:rsidRPr="005C4426">
        <w:t xml:space="preserve"> et devaient être recouvrés:</w:t>
      </w:r>
    </w:p>
    <w:p w14:paraId="19011BB4" w14:textId="3BF5FD03" w:rsidR="00417DD5" w:rsidRPr="005C4426" w:rsidRDefault="00417DD5" w:rsidP="004C1480">
      <w:pPr>
        <w:pStyle w:val="enumlev1"/>
        <w:jc w:val="both"/>
        <w:rPr>
          <w:rFonts w:eastAsia="SimSun"/>
        </w:rPr>
      </w:pPr>
      <w:r w:rsidRPr="005C4426">
        <w:rPr>
          <w:rFonts w:eastAsia="SimSun"/>
        </w:rPr>
        <w:t>–</w:t>
      </w:r>
      <w:r w:rsidRPr="005C4426">
        <w:rPr>
          <w:rFonts w:eastAsia="SimSun"/>
        </w:rPr>
        <w:tab/>
        <w:t>2018: 14 300</w:t>
      </w:r>
      <w:r w:rsidR="002E1E8C" w:rsidRPr="005C4426">
        <w:rPr>
          <w:rFonts w:eastAsia="SimSun"/>
        </w:rPr>
        <w:t xml:space="preserve"> CHF</w:t>
      </w:r>
      <w:r w:rsidRPr="005C4426">
        <w:rPr>
          <w:rFonts w:eastAsia="SimSun"/>
        </w:rPr>
        <w:t>.</w:t>
      </w:r>
    </w:p>
    <w:p w14:paraId="5A9074E6" w14:textId="5CD66527" w:rsidR="00417DD5" w:rsidRPr="005C4426" w:rsidRDefault="00417DD5" w:rsidP="004C1480">
      <w:pPr>
        <w:pStyle w:val="enumlev1"/>
        <w:jc w:val="both"/>
        <w:rPr>
          <w:rFonts w:eastAsia="SimSun"/>
        </w:rPr>
      </w:pPr>
      <w:r w:rsidRPr="005C4426">
        <w:rPr>
          <w:rFonts w:eastAsia="SimSun"/>
        </w:rPr>
        <w:t>–</w:t>
      </w:r>
      <w:r w:rsidRPr="005C4426">
        <w:rPr>
          <w:rFonts w:eastAsia="SimSun"/>
        </w:rPr>
        <w:tab/>
        <w:t>2023: 100</w:t>
      </w:r>
      <w:r w:rsidR="002E1E8C" w:rsidRPr="005C4426">
        <w:rPr>
          <w:rFonts w:eastAsia="SimSun"/>
        </w:rPr>
        <w:t xml:space="preserve"> CHF</w:t>
      </w:r>
      <w:r w:rsidRPr="005C4426">
        <w:rPr>
          <w:rFonts w:eastAsia="SimSun"/>
        </w:rPr>
        <w:t>.</w:t>
      </w:r>
    </w:p>
    <w:p w14:paraId="72E17158" w14:textId="1CD529E4" w:rsidR="00417DD5" w:rsidRPr="005C4426" w:rsidRDefault="00417DD5" w:rsidP="004C1480">
      <w:pPr>
        <w:pStyle w:val="enumlev1"/>
        <w:jc w:val="both"/>
        <w:rPr>
          <w:rFonts w:eastAsia="SimSun"/>
        </w:rPr>
      </w:pPr>
      <w:r w:rsidRPr="005C4426">
        <w:rPr>
          <w:rFonts w:eastAsia="SimSun"/>
        </w:rPr>
        <w:t>–</w:t>
      </w:r>
      <w:r w:rsidRPr="005C4426">
        <w:rPr>
          <w:rFonts w:eastAsia="SimSun"/>
        </w:rPr>
        <w:tab/>
        <w:t>2024: 77 400</w:t>
      </w:r>
      <w:r w:rsidR="002E1E8C" w:rsidRPr="005C4426">
        <w:rPr>
          <w:rFonts w:eastAsia="SimSun"/>
        </w:rPr>
        <w:t xml:space="preserve"> CHF</w:t>
      </w:r>
      <w:r w:rsidRPr="005C4426">
        <w:rPr>
          <w:rFonts w:eastAsia="SimSun"/>
        </w:rPr>
        <w:t>.</w:t>
      </w:r>
    </w:p>
    <w:p w14:paraId="4DC63C59" w14:textId="377FD0AA" w:rsidR="00417DD5" w:rsidRPr="005C4426" w:rsidRDefault="00417DD5" w:rsidP="004C1480">
      <w:pPr>
        <w:pStyle w:val="enumlev1"/>
        <w:jc w:val="both"/>
        <w:rPr>
          <w:rFonts w:eastAsia="SimSun"/>
        </w:rPr>
      </w:pPr>
      <w:r w:rsidRPr="005C4426">
        <w:rPr>
          <w:rFonts w:eastAsia="SimSun"/>
        </w:rPr>
        <w:t>–</w:t>
      </w:r>
      <w:r w:rsidRPr="005C4426">
        <w:rPr>
          <w:rFonts w:eastAsia="SimSun"/>
        </w:rPr>
        <w:tab/>
        <w:t>2025:</w:t>
      </w:r>
      <w:r w:rsidR="002E1E8C" w:rsidRPr="005C4426">
        <w:rPr>
          <w:rFonts w:eastAsia="SimSun"/>
        </w:rPr>
        <w:t xml:space="preserve"> </w:t>
      </w:r>
      <w:r w:rsidRPr="005C4426">
        <w:rPr>
          <w:rFonts w:eastAsia="SimSun"/>
        </w:rPr>
        <w:t>61 200</w:t>
      </w:r>
      <w:r w:rsidR="002E1E8C" w:rsidRPr="005C4426">
        <w:rPr>
          <w:rFonts w:eastAsia="SimSun"/>
        </w:rPr>
        <w:t xml:space="preserve"> CHF</w:t>
      </w:r>
      <w:r w:rsidRPr="005C4426">
        <w:rPr>
          <w:rFonts w:eastAsia="SimSun"/>
        </w:rPr>
        <w:t>.</w:t>
      </w:r>
    </w:p>
    <w:p w14:paraId="4905F414" w14:textId="1243FFBC" w:rsidR="00417DD5" w:rsidRPr="005C4426" w:rsidRDefault="00417DD5" w:rsidP="004C1480">
      <w:pPr>
        <w:jc w:val="both"/>
        <w:rPr>
          <w:rFonts w:eastAsia="SimSun"/>
        </w:rPr>
      </w:pPr>
      <w:bookmarkStart w:id="2" w:name="_Hlk158995641"/>
      <w:r w:rsidRPr="005C4426">
        <w:t>L</w:t>
      </w:r>
      <w:r w:rsidR="00C20590" w:rsidRPr="005C4426">
        <w:t>'</w:t>
      </w:r>
      <w:hyperlink w:anchor="Annexe" w:history="1">
        <w:r w:rsidRPr="005C4426">
          <w:t xml:space="preserve">Annexe </w:t>
        </w:r>
        <w:r w:rsidRPr="005C4426">
          <w:rPr>
            <w:rStyle w:val="Hyperlink"/>
            <w:rFonts w:eastAsia="Times New Roman" w:cs="Times New Roman"/>
            <w:szCs w:val="20"/>
          </w:rPr>
          <w:t>1</w:t>
        </w:r>
      </w:hyperlink>
      <w:r w:rsidRPr="005C4426">
        <w:t xml:space="preserve"> donne la liste des entités pour lesquelles des factures ont été établies pour la période 2018-2025 et qui n</w:t>
      </w:r>
      <w:r w:rsidR="00C20590" w:rsidRPr="005C4426">
        <w:t>'</w:t>
      </w:r>
      <w:r w:rsidRPr="005C4426">
        <w:t>avaient pas réglé ces factures au 28 janvier 2026.</w:t>
      </w:r>
    </w:p>
    <w:p w14:paraId="047183A1" w14:textId="5166E9AF" w:rsidR="00417DD5" w:rsidRPr="005C4426" w:rsidRDefault="00417DD5" w:rsidP="004C1480">
      <w:pPr>
        <w:jc w:val="both"/>
        <w:rPr>
          <w:rFonts w:eastAsia="SimSun"/>
        </w:rPr>
      </w:pPr>
      <w:r w:rsidRPr="005C4426">
        <w:t>Le Secrétariat demande</w:t>
      </w:r>
      <w:r w:rsidRPr="005C4426">
        <w:rPr>
          <w:b/>
          <w:bCs/>
        </w:rPr>
        <w:t xml:space="preserve"> l</w:t>
      </w:r>
      <w:r w:rsidR="00C20590" w:rsidRPr="005C4426">
        <w:rPr>
          <w:b/>
          <w:bCs/>
        </w:rPr>
        <w:t>'</w:t>
      </w:r>
      <w:r w:rsidRPr="005C4426">
        <w:rPr>
          <w:b/>
          <w:bCs/>
        </w:rPr>
        <w:t xml:space="preserve">assistance des </w:t>
      </w:r>
      <w:r w:rsidR="00C20590" w:rsidRPr="005C4426">
        <w:rPr>
          <w:b/>
          <w:bCs/>
        </w:rPr>
        <w:t>États</w:t>
      </w:r>
      <w:r w:rsidRPr="005C4426">
        <w:rPr>
          <w:b/>
          <w:bCs/>
        </w:rPr>
        <w:t xml:space="preserve"> Membres </w:t>
      </w:r>
      <w:r w:rsidRPr="005C4426">
        <w:t>dont des entités ont des factures impayées, afin de les encourager à se conformer à la Décision 600 du Conseil et à régler leurs factures.</w:t>
      </w:r>
    </w:p>
    <w:bookmarkEnd w:id="2"/>
    <w:p w14:paraId="11D35B3B" w14:textId="5E86ADEE" w:rsidR="00417DD5" w:rsidRPr="005C4426" w:rsidRDefault="00417DD5" w:rsidP="00417DD5">
      <w:pPr>
        <w:pStyle w:val="Headingb"/>
        <w:rPr>
          <w:rFonts w:eastAsia="SimSun"/>
        </w:rPr>
      </w:pPr>
      <w:r w:rsidRPr="005C4426">
        <w:rPr>
          <w:bCs/>
        </w:rPr>
        <w:lastRenderedPageBreak/>
        <w:t>Décision 601 du Conseil (numéros IIN): justification de l</w:t>
      </w:r>
      <w:r w:rsidR="00C20590" w:rsidRPr="005C4426">
        <w:rPr>
          <w:bCs/>
        </w:rPr>
        <w:t>'</w:t>
      </w:r>
      <w:r w:rsidRPr="005C4426">
        <w:rPr>
          <w:bCs/>
        </w:rPr>
        <w:t>abrogation</w:t>
      </w:r>
    </w:p>
    <w:p w14:paraId="745FB28F" w14:textId="1F4E702A" w:rsidR="00417DD5" w:rsidRPr="005C4426" w:rsidRDefault="00417DD5" w:rsidP="004C1480">
      <w:pPr>
        <w:jc w:val="both"/>
        <w:rPr>
          <w:rFonts w:eastAsia="SimSun"/>
        </w:rPr>
      </w:pPr>
      <w:r w:rsidRPr="005C4426">
        <w:t>La liste ci-dessous montre que les produits liés à la Décision 601 ne s</w:t>
      </w:r>
      <w:r w:rsidR="00C20590" w:rsidRPr="005C4426">
        <w:t>'</w:t>
      </w:r>
      <w:r w:rsidRPr="005C4426">
        <w:t>élèvent en moyenne qu</w:t>
      </w:r>
      <w:r w:rsidR="00C20590" w:rsidRPr="005C4426">
        <w:t>'</w:t>
      </w:r>
      <w:r w:rsidRPr="005C4426">
        <w:t>à</w:t>
      </w:r>
      <w:r w:rsidR="00556AD3" w:rsidRPr="005C4426">
        <w:t> </w:t>
      </w:r>
      <w:r w:rsidRPr="005C4426">
        <w:rPr>
          <w:b/>
          <w:bCs/>
        </w:rPr>
        <w:t xml:space="preserve">4 700 CHF </w:t>
      </w:r>
      <w:r w:rsidRPr="005C4426">
        <w:t>par an, ce qui ne couvre pas les coûts liés à la perception de ces produits:</w:t>
      </w:r>
    </w:p>
    <w:p w14:paraId="165206C5" w14:textId="52A55FBF" w:rsidR="00417DD5" w:rsidRPr="005C4426" w:rsidRDefault="00C20590" w:rsidP="004C1480">
      <w:pPr>
        <w:pStyle w:val="enumlev1"/>
        <w:jc w:val="both"/>
      </w:pPr>
      <w:r w:rsidRPr="005C4426">
        <w:t>–</w:t>
      </w:r>
      <w:r w:rsidRPr="005C4426">
        <w:tab/>
      </w:r>
      <w:r w:rsidR="00417DD5" w:rsidRPr="005C4426">
        <w:t>2021: 6 900</w:t>
      </w:r>
      <w:r w:rsidR="003C0228" w:rsidRPr="005C4426">
        <w:t xml:space="preserve"> CHF</w:t>
      </w:r>
      <w:r w:rsidRPr="005C4426">
        <w:t>.</w:t>
      </w:r>
    </w:p>
    <w:p w14:paraId="63DA7FEB" w14:textId="63CAD18C" w:rsidR="00417DD5" w:rsidRPr="005C4426" w:rsidRDefault="00C20590" w:rsidP="004C1480">
      <w:pPr>
        <w:pStyle w:val="enumlev1"/>
        <w:jc w:val="both"/>
      </w:pPr>
      <w:r w:rsidRPr="005C4426">
        <w:t>–</w:t>
      </w:r>
      <w:r w:rsidRPr="005C4426">
        <w:tab/>
      </w:r>
      <w:r w:rsidR="00417DD5" w:rsidRPr="005C4426">
        <w:t>2022:</w:t>
      </w:r>
      <w:r w:rsidR="002E1E8C" w:rsidRPr="005C4426">
        <w:t xml:space="preserve"> </w:t>
      </w:r>
      <w:r w:rsidR="00417DD5" w:rsidRPr="005C4426">
        <w:t>5 200</w:t>
      </w:r>
      <w:r w:rsidR="002E1E8C" w:rsidRPr="005C4426">
        <w:t xml:space="preserve"> CHF</w:t>
      </w:r>
      <w:r w:rsidRPr="005C4426">
        <w:t>.</w:t>
      </w:r>
    </w:p>
    <w:p w14:paraId="506A37BB" w14:textId="505AAD2A" w:rsidR="00417DD5" w:rsidRPr="005C4426" w:rsidRDefault="00C20590" w:rsidP="004C1480">
      <w:pPr>
        <w:pStyle w:val="enumlev1"/>
        <w:jc w:val="both"/>
      </w:pPr>
      <w:r w:rsidRPr="005C4426">
        <w:t>–</w:t>
      </w:r>
      <w:r w:rsidRPr="005C4426">
        <w:tab/>
      </w:r>
      <w:r w:rsidR="00417DD5" w:rsidRPr="005C4426">
        <w:t>2023: 3 150</w:t>
      </w:r>
      <w:r w:rsidR="002E1E8C" w:rsidRPr="005C4426">
        <w:t xml:space="preserve"> CHF</w:t>
      </w:r>
      <w:r w:rsidRPr="005C4426">
        <w:t>.</w:t>
      </w:r>
    </w:p>
    <w:p w14:paraId="15E8E737" w14:textId="0990C57C" w:rsidR="00417DD5" w:rsidRPr="005C4426" w:rsidRDefault="00C20590" w:rsidP="004C1480">
      <w:pPr>
        <w:pStyle w:val="enumlev1"/>
        <w:jc w:val="both"/>
      </w:pPr>
      <w:r w:rsidRPr="005C4426">
        <w:t>–</w:t>
      </w:r>
      <w:r w:rsidRPr="005C4426">
        <w:tab/>
      </w:r>
      <w:r w:rsidR="00417DD5" w:rsidRPr="005C4426">
        <w:t>2024: 4 450</w:t>
      </w:r>
      <w:r w:rsidR="002E1E8C" w:rsidRPr="005C4426">
        <w:t xml:space="preserve"> CHF</w:t>
      </w:r>
      <w:r w:rsidRPr="005C4426">
        <w:t>.</w:t>
      </w:r>
    </w:p>
    <w:p w14:paraId="22FADA23" w14:textId="52819784" w:rsidR="00417DD5" w:rsidRPr="005C4426" w:rsidRDefault="00417DD5" w:rsidP="004C1480">
      <w:pPr>
        <w:jc w:val="both"/>
      </w:pPr>
      <w:r w:rsidRPr="005C4426">
        <w:t>En outre, le 5 septembre 2025, la Commission d</w:t>
      </w:r>
      <w:r w:rsidR="00C20590" w:rsidRPr="005C4426">
        <w:t>'</w:t>
      </w:r>
      <w:r w:rsidRPr="005C4426">
        <w:t>études 2 de l</w:t>
      </w:r>
      <w:r w:rsidR="00C20590" w:rsidRPr="005C4426">
        <w:t>'</w:t>
      </w:r>
      <w:r w:rsidRPr="005C4426">
        <w:t>UIT-T a approuvé une révision de la Recommandation UIT-T E.118 régissant l</w:t>
      </w:r>
      <w:r w:rsidR="00C20590" w:rsidRPr="005C4426">
        <w:t>'</w:t>
      </w:r>
      <w:r w:rsidRPr="005C4426">
        <w:t>administration des numéros IIN, en</w:t>
      </w:r>
      <w:r w:rsidR="00556AD3" w:rsidRPr="005C4426">
        <w:t> </w:t>
      </w:r>
      <w:r w:rsidRPr="005C4426">
        <w:t>supprimant la fonction d</w:t>
      </w:r>
      <w:r w:rsidR="00C20590" w:rsidRPr="005C4426">
        <w:t>'</w:t>
      </w:r>
      <w:r w:rsidRPr="005C4426">
        <w:t>autorité d</w:t>
      </w:r>
      <w:r w:rsidR="00C20590" w:rsidRPr="005C4426">
        <w:t>'</w:t>
      </w:r>
      <w:r w:rsidRPr="005C4426">
        <w:t>enregistrement et le cadre de perception des droits associé.</w:t>
      </w:r>
    </w:p>
    <w:p w14:paraId="0C8F2A30" w14:textId="6D3171E1" w:rsidR="00417DD5" w:rsidRPr="005C4426" w:rsidRDefault="00417DD5" w:rsidP="004C1480">
      <w:pPr>
        <w:jc w:val="both"/>
      </w:pPr>
      <w:r w:rsidRPr="005C4426">
        <w:t xml:space="preserve">Compte tenu de ces facteurs, il est proposé, dans le présent rapport, </w:t>
      </w:r>
      <w:r w:rsidRPr="005C4426">
        <w:rPr>
          <w:b/>
          <w:bCs/>
        </w:rPr>
        <w:t xml:space="preserve">d'abroger </w:t>
      </w:r>
      <w:r w:rsidRPr="005C4426">
        <w:t>la Décision</w:t>
      </w:r>
      <w:r w:rsidR="00556AD3" w:rsidRPr="005C4426">
        <w:t> </w:t>
      </w:r>
      <w:r w:rsidRPr="005C4426">
        <w:rPr>
          <w:b/>
          <w:bCs/>
        </w:rPr>
        <w:t xml:space="preserve">601 </w:t>
      </w:r>
      <w:r w:rsidRPr="005C4426">
        <w:t>du Conseil.</w:t>
      </w:r>
    </w:p>
    <w:p w14:paraId="6B523320" w14:textId="61A8E670" w:rsidR="00417DD5" w:rsidRPr="005C4426" w:rsidRDefault="00417DD5" w:rsidP="004C1480">
      <w:pPr>
        <w:pStyle w:val="Headingb"/>
        <w:jc w:val="both"/>
        <w:rPr>
          <w:rFonts w:eastAsia="SimSun"/>
        </w:rPr>
      </w:pPr>
      <w:r w:rsidRPr="005C4426">
        <w:t>Recommandation</w:t>
      </w:r>
    </w:p>
    <w:p w14:paraId="4B803B99" w14:textId="39ADF551" w:rsidR="00417DD5" w:rsidRPr="005C4426" w:rsidRDefault="00417DD5" w:rsidP="004C1480">
      <w:pPr>
        <w:jc w:val="both"/>
        <w:rPr>
          <w:rFonts w:eastAsia="SimSun"/>
        </w:rPr>
      </w:pPr>
      <w:r w:rsidRPr="005C4426">
        <w:t>Le secrétariat poursuivra la mise en œuvre de la Décision 600 du Conseil (numéros UIFN).</w:t>
      </w:r>
    </w:p>
    <w:p w14:paraId="117B48DB" w14:textId="77777777" w:rsidR="00417DD5" w:rsidRPr="005C4426" w:rsidRDefault="00417DD5" w:rsidP="00C20590">
      <w:pPr>
        <w:rPr>
          <w:rFonts w:eastAsia="SimSun"/>
        </w:rPr>
      </w:pPr>
      <w:r w:rsidRPr="005C4426">
        <w:t>Le Conseil est invité à abroger la Décision 601 (numéros IIN) du Conseil.</w:t>
      </w:r>
    </w:p>
    <w:p w14:paraId="41A6BF18" w14:textId="77777777" w:rsidR="00417DD5" w:rsidRPr="005C4426" w:rsidRDefault="00417DD5" w:rsidP="00417DD5">
      <w:pPr>
        <w:spacing w:before="2400"/>
        <w:rPr>
          <w:rFonts w:eastAsia="SimSun"/>
        </w:rPr>
      </w:pPr>
      <w:r w:rsidRPr="005C4426">
        <w:rPr>
          <w:b/>
          <w:bCs/>
        </w:rPr>
        <w:t>Annexe</w:t>
      </w:r>
      <w:r w:rsidRPr="005C4426">
        <w:t>: 1</w:t>
      </w:r>
    </w:p>
    <w:p w14:paraId="34FDC4C6" w14:textId="77777777" w:rsidR="00417DD5" w:rsidRPr="005C4426" w:rsidRDefault="00417DD5" w:rsidP="00417DD5">
      <w:pPr>
        <w:rPr>
          <w:rFonts w:eastAsia="SimSun"/>
        </w:rPr>
      </w:pPr>
    </w:p>
    <w:p w14:paraId="699EA718" w14:textId="77777777" w:rsidR="00417DD5" w:rsidRPr="005C4426" w:rsidRDefault="00417DD5" w:rsidP="00411C49">
      <w:pPr>
        <w:pStyle w:val="Reasons"/>
        <w:sectPr w:rsidR="00417DD5" w:rsidRPr="005C4426" w:rsidSect="00D72F49">
          <w:headerReference w:type="even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7" w:h="16840" w:code="9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047A93F0" w14:textId="77777777" w:rsidR="00417DD5" w:rsidRPr="005C4426" w:rsidRDefault="00417DD5" w:rsidP="00417DD5">
      <w:pPr>
        <w:pStyle w:val="AnnexNo"/>
        <w:spacing w:before="120"/>
        <w:rPr>
          <w:rFonts w:eastAsia="SimSun"/>
        </w:rPr>
      </w:pPr>
      <w:bookmarkStart w:id="3" w:name="Annexe"/>
      <w:bookmarkEnd w:id="3"/>
      <w:r w:rsidRPr="005C4426">
        <w:lastRenderedPageBreak/>
        <w:t>Annexe</w:t>
      </w:r>
    </w:p>
    <w:p w14:paraId="6D8A1FE6" w14:textId="72AB2F5B" w:rsidR="00417DD5" w:rsidRPr="005C4426" w:rsidRDefault="00417DD5" w:rsidP="00417DD5">
      <w:pPr>
        <w:pStyle w:val="Annextitle"/>
        <w:rPr>
          <w:rFonts w:eastAsia="SimSun"/>
        </w:rPr>
      </w:pPr>
      <w:r w:rsidRPr="005C4426">
        <w:rPr>
          <w:bCs/>
        </w:rPr>
        <w:t xml:space="preserve">Mise à jour de la liste des fournisseurs de services UIFN n'ayant pas encore procédé au paiement </w:t>
      </w:r>
      <w:r w:rsidR="003C0228" w:rsidRPr="005C4426">
        <w:rPr>
          <w:bCs/>
        </w:rPr>
        <w:br/>
      </w:r>
      <w:r w:rsidRPr="005C4426">
        <w:rPr>
          <w:bCs/>
        </w:rPr>
        <w:t>(pour 2018, 2019, 2020, 2021, 2022, 2023, 2024 et 2025, au 28 janvier 2026)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8"/>
        <w:gridCol w:w="2031"/>
        <w:gridCol w:w="1133"/>
        <w:gridCol w:w="1841"/>
        <w:gridCol w:w="4205"/>
        <w:gridCol w:w="2109"/>
        <w:gridCol w:w="1301"/>
      </w:tblGrid>
      <w:tr w:rsidR="00417DD5" w:rsidRPr="005C4426" w14:paraId="218D1A14" w14:textId="77777777" w:rsidTr="00B13124">
        <w:trPr>
          <w:cantSplit/>
          <w:tblHeader/>
          <w:jc w:val="center"/>
        </w:trPr>
        <w:tc>
          <w:tcPr>
            <w:tcW w:w="489" w:type="pct"/>
            <w:shd w:val="clear" w:color="auto" w:fill="DDDDDD"/>
          </w:tcPr>
          <w:p w14:paraId="66F69FDB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Année</w:t>
            </w:r>
          </w:p>
        </w:tc>
        <w:tc>
          <w:tcPr>
            <w:tcW w:w="726" w:type="pct"/>
            <w:shd w:val="clear" w:color="auto" w:fill="DDDDDD"/>
            <w:noWrap/>
          </w:tcPr>
          <w:p w14:paraId="1E5F8494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Montant</w:t>
            </w:r>
          </w:p>
        </w:tc>
        <w:tc>
          <w:tcPr>
            <w:tcW w:w="405" w:type="pct"/>
            <w:shd w:val="clear" w:color="auto" w:fill="DDDDDD"/>
            <w:noWrap/>
          </w:tcPr>
          <w:p w14:paraId="516DEA72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Devise</w:t>
            </w:r>
          </w:p>
        </w:tc>
        <w:tc>
          <w:tcPr>
            <w:tcW w:w="658" w:type="pct"/>
            <w:shd w:val="clear" w:color="auto" w:fill="DDDDDD"/>
          </w:tcPr>
          <w:p w14:paraId="00C7F89A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 xml:space="preserve">Nombre de numéros </w:t>
            </w:r>
            <w:proofErr w:type="spellStart"/>
            <w:r w:rsidRPr="004C1480">
              <w:rPr>
                <w:bCs/>
                <w:color w:val="000000"/>
                <w:sz w:val="20"/>
              </w:rPr>
              <w:t>UIFN</w:t>
            </w:r>
            <w:proofErr w:type="spellEnd"/>
          </w:p>
        </w:tc>
        <w:tc>
          <w:tcPr>
            <w:tcW w:w="1503" w:type="pct"/>
            <w:shd w:val="clear" w:color="auto" w:fill="DDDDDD"/>
            <w:noWrap/>
          </w:tcPr>
          <w:p w14:paraId="1298CF9D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Nom de l'entreprise</w:t>
            </w:r>
          </w:p>
        </w:tc>
        <w:tc>
          <w:tcPr>
            <w:tcW w:w="754" w:type="pct"/>
            <w:shd w:val="clear" w:color="auto" w:fill="DDDDDD"/>
            <w:noWrap/>
          </w:tcPr>
          <w:p w14:paraId="0B617F33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Pays/zone géographique</w:t>
            </w:r>
          </w:p>
        </w:tc>
        <w:tc>
          <w:tcPr>
            <w:tcW w:w="465" w:type="pct"/>
            <w:shd w:val="clear" w:color="auto" w:fill="DDDDDD"/>
          </w:tcPr>
          <w:p w14:paraId="3659793E" w14:textId="77777777" w:rsidR="00417DD5" w:rsidRPr="004C1480" w:rsidRDefault="00417DD5" w:rsidP="00EC3419">
            <w:pPr>
              <w:pStyle w:val="Tablehead"/>
              <w:rPr>
                <w:rFonts w:eastAsia="DengXian"/>
                <w:sz w:val="20"/>
              </w:rPr>
            </w:pPr>
            <w:r w:rsidRPr="004C1480">
              <w:rPr>
                <w:bCs/>
                <w:color w:val="000000"/>
                <w:sz w:val="20"/>
              </w:rPr>
              <w:t>Note</w:t>
            </w:r>
          </w:p>
        </w:tc>
      </w:tr>
      <w:tr w:rsidR="00417DD5" w:rsidRPr="005C4426" w14:paraId="767D8D73" w14:textId="77777777" w:rsidTr="00B13124">
        <w:trPr>
          <w:cantSplit/>
          <w:jc w:val="center"/>
        </w:trPr>
        <w:tc>
          <w:tcPr>
            <w:tcW w:w="489" w:type="pct"/>
          </w:tcPr>
          <w:p w14:paraId="3D2E254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2E587DCB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28 100,00</w:t>
            </w:r>
          </w:p>
        </w:tc>
        <w:tc>
          <w:tcPr>
            <w:tcW w:w="405" w:type="pct"/>
          </w:tcPr>
          <w:p w14:paraId="13DE914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5C7894B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281</w:t>
            </w:r>
          </w:p>
        </w:tc>
        <w:tc>
          <w:tcPr>
            <w:tcW w:w="1503" w:type="pct"/>
          </w:tcPr>
          <w:p w14:paraId="18EEA36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TDC</w:t>
            </w:r>
            <w:proofErr w:type="spellEnd"/>
            <w:r w:rsidRPr="004C1480">
              <w:rPr>
                <w:color w:val="000000"/>
                <w:sz w:val="20"/>
              </w:rPr>
              <w:t xml:space="preserve"> A/S</w:t>
            </w:r>
          </w:p>
        </w:tc>
        <w:tc>
          <w:tcPr>
            <w:tcW w:w="754" w:type="pct"/>
          </w:tcPr>
          <w:p w14:paraId="15FF554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Danemark</w:t>
            </w:r>
          </w:p>
        </w:tc>
        <w:tc>
          <w:tcPr>
            <w:tcW w:w="465" w:type="pct"/>
          </w:tcPr>
          <w:p w14:paraId="7F763FE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F634755" w14:textId="77777777" w:rsidTr="00B13124">
        <w:trPr>
          <w:cantSplit/>
          <w:jc w:val="center"/>
        </w:trPr>
        <w:tc>
          <w:tcPr>
            <w:tcW w:w="489" w:type="pct"/>
          </w:tcPr>
          <w:p w14:paraId="49A8789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5F268CB9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28 100,00</w:t>
            </w:r>
          </w:p>
        </w:tc>
        <w:tc>
          <w:tcPr>
            <w:tcW w:w="405" w:type="pct"/>
          </w:tcPr>
          <w:p w14:paraId="64F16F9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1D52102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281</w:t>
            </w:r>
          </w:p>
        </w:tc>
        <w:tc>
          <w:tcPr>
            <w:tcW w:w="1503" w:type="pct"/>
          </w:tcPr>
          <w:p w14:paraId="70417E8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TDC</w:t>
            </w:r>
            <w:proofErr w:type="spellEnd"/>
            <w:r w:rsidRPr="004C1480">
              <w:rPr>
                <w:color w:val="000000"/>
                <w:sz w:val="20"/>
              </w:rPr>
              <w:t xml:space="preserve"> A/S</w:t>
            </w:r>
          </w:p>
        </w:tc>
        <w:tc>
          <w:tcPr>
            <w:tcW w:w="754" w:type="pct"/>
          </w:tcPr>
          <w:p w14:paraId="1B9FF842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Danemark</w:t>
            </w:r>
          </w:p>
        </w:tc>
        <w:tc>
          <w:tcPr>
            <w:tcW w:w="465" w:type="pct"/>
          </w:tcPr>
          <w:p w14:paraId="6303AF2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CA4B9E2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3EB44B6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25BD080E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56 200,00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5FEADAE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4FDD87C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00AE69F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Sous-total — Danemark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3E23AA3B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Danemark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7946652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E6F8E48" w14:textId="77777777" w:rsidTr="00B13124">
        <w:trPr>
          <w:cantSplit/>
          <w:jc w:val="center"/>
        </w:trPr>
        <w:tc>
          <w:tcPr>
            <w:tcW w:w="489" w:type="pct"/>
          </w:tcPr>
          <w:p w14:paraId="767BC5A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055B6EFE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33 600,00</w:t>
            </w:r>
          </w:p>
        </w:tc>
        <w:tc>
          <w:tcPr>
            <w:tcW w:w="405" w:type="pct"/>
          </w:tcPr>
          <w:p w14:paraId="1FBDC48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E29B9C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31C9B4E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International Telecom Ltd.</w:t>
            </w:r>
          </w:p>
        </w:tc>
        <w:tc>
          <w:tcPr>
            <w:tcW w:w="754" w:type="pct"/>
          </w:tcPr>
          <w:p w14:paraId="222CF98D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États-Unis</w:t>
            </w:r>
          </w:p>
        </w:tc>
        <w:tc>
          <w:tcPr>
            <w:tcW w:w="465" w:type="pct"/>
          </w:tcPr>
          <w:p w14:paraId="326E599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66E96C14" w14:textId="77777777" w:rsidTr="00B13124">
        <w:trPr>
          <w:cantSplit/>
          <w:jc w:val="center"/>
        </w:trPr>
        <w:tc>
          <w:tcPr>
            <w:tcW w:w="489" w:type="pct"/>
          </w:tcPr>
          <w:p w14:paraId="28B2423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59A3EF15" w14:textId="4E88666E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  <w:r w:rsidR="002E1E8C" w:rsidRPr="004C1480">
              <w:rPr>
                <w:color w:val="000000"/>
                <w:sz w:val="20"/>
              </w:rPr>
              <w:t> </w:t>
            </w:r>
            <w:r w:rsidRPr="004C1480">
              <w:rPr>
                <w:color w:val="000000"/>
                <w:sz w:val="20"/>
              </w:rPr>
              <w:t>600.00</w:t>
            </w:r>
          </w:p>
        </w:tc>
        <w:tc>
          <w:tcPr>
            <w:tcW w:w="405" w:type="pct"/>
          </w:tcPr>
          <w:p w14:paraId="0117D91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AEF0BE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56</w:t>
            </w:r>
          </w:p>
        </w:tc>
        <w:tc>
          <w:tcPr>
            <w:tcW w:w="1503" w:type="pct"/>
          </w:tcPr>
          <w:p w14:paraId="0FA7CB7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International Telecom Ltd.</w:t>
            </w:r>
          </w:p>
        </w:tc>
        <w:tc>
          <w:tcPr>
            <w:tcW w:w="754" w:type="pct"/>
          </w:tcPr>
          <w:p w14:paraId="3335B54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États-Unis</w:t>
            </w:r>
          </w:p>
        </w:tc>
        <w:tc>
          <w:tcPr>
            <w:tcW w:w="465" w:type="pct"/>
          </w:tcPr>
          <w:p w14:paraId="2E78AF4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768DEA3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23E43AA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05AC0DAA" w14:textId="77777777" w:rsidR="00417DD5" w:rsidRPr="004C1480" w:rsidRDefault="00417DD5" w:rsidP="004C1480">
            <w:pPr>
              <w:pStyle w:val="Tabletext"/>
              <w:spacing w:line="259" w:lineRule="auto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35 200,00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3494EE2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50820FC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28A3766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Sous-total — Etats-Unis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2201D044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États-Unis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3A9F96C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6BB3A26" w14:textId="77777777" w:rsidTr="00B13124">
        <w:trPr>
          <w:cantSplit/>
          <w:jc w:val="center"/>
        </w:trPr>
        <w:tc>
          <w:tcPr>
            <w:tcW w:w="489" w:type="pct"/>
          </w:tcPr>
          <w:p w14:paraId="2D31D47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6BB12E2D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 xml:space="preserve">11 200,00 </w:t>
            </w:r>
          </w:p>
        </w:tc>
        <w:tc>
          <w:tcPr>
            <w:tcW w:w="405" w:type="pct"/>
          </w:tcPr>
          <w:p w14:paraId="074556B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A1D0A7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140</w:t>
            </w:r>
          </w:p>
        </w:tc>
        <w:tc>
          <w:tcPr>
            <w:tcW w:w="1503" w:type="pct"/>
          </w:tcPr>
          <w:p w14:paraId="172667F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Bezeq</w:t>
            </w:r>
            <w:proofErr w:type="spellEnd"/>
            <w:r w:rsidRPr="004C1480">
              <w:rPr>
                <w:color w:val="000000"/>
                <w:sz w:val="20"/>
              </w:rPr>
              <w:t xml:space="preserve"> International</w:t>
            </w:r>
          </w:p>
        </w:tc>
        <w:tc>
          <w:tcPr>
            <w:tcW w:w="754" w:type="pct"/>
          </w:tcPr>
          <w:p w14:paraId="376F638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Israël</w:t>
            </w:r>
          </w:p>
        </w:tc>
        <w:tc>
          <w:tcPr>
            <w:tcW w:w="465" w:type="pct"/>
          </w:tcPr>
          <w:p w14:paraId="474AAC2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012AECD" w14:textId="77777777" w:rsidTr="00B13124">
        <w:trPr>
          <w:cantSplit/>
          <w:jc w:val="center"/>
        </w:trPr>
        <w:tc>
          <w:tcPr>
            <w:tcW w:w="489" w:type="pct"/>
          </w:tcPr>
          <w:p w14:paraId="27B27F7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05D028BC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6 800,00</w:t>
            </w:r>
          </w:p>
        </w:tc>
        <w:tc>
          <w:tcPr>
            <w:tcW w:w="405" w:type="pct"/>
          </w:tcPr>
          <w:p w14:paraId="1DB7727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1AFF61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68</w:t>
            </w:r>
          </w:p>
        </w:tc>
        <w:tc>
          <w:tcPr>
            <w:tcW w:w="1503" w:type="pct"/>
          </w:tcPr>
          <w:p w14:paraId="76815BB2" w14:textId="77777777" w:rsidR="00417DD5" w:rsidRPr="004C1480" w:rsidRDefault="00417DD5" w:rsidP="00EC3419">
            <w:pPr>
              <w:pStyle w:val="Tabletext"/>
              <w:rPr>
                <w:sz w:val="20"/>
                <w:lang w:val="en-GB"/>
              </w:rPr>
            </w:pPr>
            <w:r w:rsidRPr="004C1480">
              <w:rPr>
                <w:color w:val="000000"/>
                <w:sz w:val="20"/>
                <w:lang w:val="en-GB"/>
              </w:rPr>
              <w:t>Partner Land-Line Communications Solutions LP</w:t>
            </w:r>
          </w:p>
        </w:tc>
        <w:tc>
          <w:tcPr>
            <w:tcW w:w="754" w:type="pct"/>
          </w:tcPr>
          <w:p w14:paraId="5BA7BF7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Israël</w:t>
            </w:r>
          </w:p>
        </w:tc>
        <w:tc>
          <w:tcPr>
            <w:tcW w:w="465" w:type="pct"/>
          </w:tcPr>
          <w:p w14:paraId="4D68FF3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DB06707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77C8CA8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6D0FB2DA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18 000,00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0E4D4C6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46790B5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2CB424F4" w14:textId="2EE9521C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2E1E8C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Israël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15FA6827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Israël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427A6CE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0DBD0C5" w14:textId="77777777" w:rsidTr="00B13124">
        <w:trPr>
          <w:cantSplit/>
          <w:jc w:val="center"/>
        </w:trPr>
        <w:tc>
          <w:tcPr>
            <w:tcW w:w="489" w:type="pct"/>
          </w:tcPr>
          <w:p w14:paraId="236D6F9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385E5A4E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13 900,00</w:t>
            </w:r>
          </w:p>
        </w:tc>
        <w:tc>
          <w:tcPr>
            <w:tcW w:w="405" w:type="pct"/>
          </w:tcPr>
          <w:p w14:paraId="16BB3E8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859780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139</w:t>
            </w:r>
          </w:p>
        </w:tc>
        <w:tc>
          <w:tcPr>
            <w:tcW w:w="1503" w:type="pct"/>
          </w:tcPr>
          <w:p w14:paraId="0B5DD7D2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 xml:space="preserve">Hong Kong </w:t>
            </w:r>
            <w:proofErr w:type="spellStart"/>
            <w:r w:rsidRPr="004C1480">
              <w:rPr>
                <w:color w:val="000000"/>
                <w:sz w:val="20"/>
              </w:rPr>
              <w:t>Telecommunications</w:t>
            </w:r>
            <w:proofErr w:type="spellEnd"/>
            <w:r w:rsidRPr="004C1480">
              <w:rPr>
                <w:color w:val="000000"/>
                <w:sz w:val="20"/>
              </w:rPr>
              <w:t xml:space="preserve"> (</w:t>
            </w:r>
            <w:proofErr w:type="spellStart"/>
            <w:r w:rsidRPr="004C1480">
              <w:rPr>
                <w:color w:val="000000"/>
                <w:sz w:val="20"/>
              </w:rPr>
              <w:t>HKT</w:t>
            </w:r>
            <w:proofErr w:type="spellEnd"/>
            <w:r w:rsidRPr="004C1480">
              <w:rPr>
                <w:color w:val="000000"/>
                <w:sz w:val="20"/>
              </w:rPr>
              <w:t>) Limited</w:t>
            </w:r>
          </w:p>
        </w:tc>
        <w:tc>
          <w:tcPr>
            <w:tcW w:w="754" w:type="pct"/>
          </w:tcPr>
          <w:p w14:paraId="2A2D46C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Hong Kong, Chine</w:t>
            </w:r>
          </w:p>
        </w:tc>
        <w:tc>
          <w:tcPr>
            <w:tcW w:w="465" w:type="pct"/>
          </w:tcPr>
          <w:p w14:paraId="26009EE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9C20FAF" w14:textId="77777777" w:rsidTr="00B13124">
        <w:trPr>
          <w:cantSplit/>
          <w:jc w:val="center"/>
        </w:trPr>
        <w:tc>
          <w:tcPr>
            <w:tcW w:w="489" w:type="pct"/>
          </w:tcPr>
          <w:p w14:paraId="0BE4BD6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6143F0B7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400,00</w:t>
            </w:r>
          </w:p>
        </w:tc>
        <w:tc>
          <w:tcPr>
            <w:tcW w:w="405" w:type="pct"/>
          </w:tcPr>
          <w:p w14:paraId="067673F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94B6D8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4</w:t>
            </w:r>
          </w:p>
        </w:tc>
        <w:tc>
          <w:tcPr>
            <w:tcW w:w="1503" w:type="pct"/>
          </w:tcPr>
          <w:p w14:paraId="2DB485C4" w14:textId="3D1DFEA0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HKBN</w:t>
            </w:r>
            <w:proofErr w:type="spellEnd"/>
            <w:r w:rsidRPr="004C1480">
              <w:rPr>
                <w:color w:val="000000"/>
                <w:sz w:val="20"/>
              </w:rPr>
              <w:t xml:space="preserve"> Enterprise Solutions </w:t>
            </w:r>
            <w:proofErr w:type="spellStart"/>
            <w:r w:rsidRPr="004C1480">
              <w:rPr>
                <w:color w:val="000000"/>
                <w:sz w:val="20"/>
              </w:rPr>
              <w:t>HK</w:t>
            </w:r>
            <w:proofErr w:type="spellEnd"/>
            <w:r w:rsidRPr="004C1480">
              <w:rPr>
                <w:color w:val="000000"/>
                <w:sz w:val="20"/>
              </w:rPr>
              <w:t xml:space="preserve"> Limited (ex</w:t>
            </w:r>
            <w:r w:rsidR="002E1E8C" w:rsidRPr="004C1480">
              <w:rPr>
                <w:color w:val="000000"/>
                <w:sz w:val="20"/>
              </w:rPr>
              <w:noBreakHyphen/>
            </w:r>
            <w:proofErr w:type="spellStart"/>
            <w:r w:rsidRPr="004C1480">
              <w:rPr>
                <w:color w:val="000000"/>
                <w:sz w:val="20"/>
              </w:rPr>
              <w:t>WTT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HK</w:t>
            </w:r>
            <w:proofErr w:type="spellEnd"/>
            <w:r w:rsidRPr="004C1480">
              <w:rPr>
                <w:color w:val="000000"/>
                <w:sz w:val="20"/>
              </w:rPr>
              <w:t xml:space="preserve"> Limited)</w:t>
            </w:r>
          </w:p>
        </w:tc>
        <w:tc>
          <w:tcPr>
            <w:tcW w:w="754" w:type="pct"/>
          </w:tcPr>
          <w:p w14:paraId="017C87E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Hong Kong, Chine</w:t>
            </w:r>
          </w:p>
        </w:tc>
        <w:tc>
          <w:tcPr>
            <w:tcW w:w="465" w:type="pct"/>
          </w:tcPr>
          <w:p w14:paraId="21753D6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73B7B18" w14:textId="77777777" w:rsidTr="00B13124">
        <w:trPr>
          <w:cantSplit/>
          <w:jc w:val="center"/>
        </w:trPr>
        <w:tc>
          <w:tcPr>
            <w:tcW w:w="489" w:type="pct"/>
          </w:tcPr>
          <w:p w14:paraId="14E07B7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2023</w:t>
            </w:r>
          </w:p>
        </w:tc>
        <w:tc>
          <w:tcPr>
            <w:tcW w:w="726" w:type="pct"/>
          </w:tcPr>
          <w:p w14:paraId="02EC4521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3D24BF1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5C4C5F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28EB88A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HGC</w:t>
            </w:r>
            <w:proofErr w:type="spellEnd"/>
            <w:r w:rsidRPr="004C1480">
              <w:rPr>
                <w:color w:val="000000"/>
                <w:sz w:val="20"/>
              </w:rPr>
              <w:t xml:space="preserve"> Global Communications Limited</w:t>
            </w:r>
          </w:p>
        </w:tc>
        <w:tc>
          <w:tcPr>
            <w:tcW w:w="754" w:type="pct"/>
          </w:tcPr>
          <w:p w14:paraId="6EE5FBB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Hong Kong, Chine</w:t>
            </w:r>
          </w:p>
        </w:tc>
        <w:tc>
          <w:tcPr>
            <w:tcW w:w="465" w:type="pct"/>
          </w:tcPr>
          <w:p w14:paraId="07F6197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EDFF4AA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0FEDF62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3709E780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14 400,00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1202FA76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174F35F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54D722CB" w14:textId="77777777" w:rsidR="00417DD5" w:rsidRPr="004C1480" w:rsidRDefault="00417DD5" w:rsidP="00EC3419">
            <w:pPr>
              <w:pStyle w:val="Tabletext"/>
              <w:rPr>
                <w:b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Sous-total — Hong Kong, Chine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5C5EB790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Hong Kong, Chine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38B4E5C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F79B39B" w14:textId="77777777" w:rsidTr="00B13124">
        <w:trPr>
          <w:cantSplit/>
          <w:jc w:val="center"/>
        </w:trPr>
        <w:tc>
          <w:tcPr>
            <w:tcW w:w="489" w:type="pct"/>
          </w:tcPr>
          <w:p w14:paraId="40B9CA6A" w14:textId="77777777" w:rsidR="00417DD5" w:rsidRPr="004C1480" w:rsidRDefault="00417DD5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3297283D" w14:textId="77777777" w:rsidR="00417DD5" w:rsidRPr="004C1480" w:rsidRDefault="00417DD5" w:rsidP="004C1480">
            <w:pPr>
              <w:pStyle w:val="Tabletext"/>
              <w:keepNext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3 000,00</w:t>
            </w:r>
          </w:p>
        </w:tc>
        <w:tc>
          <w:tcPr>
            <w:tcW w:w="405" w:type="pct"/>
          </w:tcPr>
          <w:p w14:paraId="6BEF7CEE" w14:textId="77777777" w:rsidR="00417DD5" w:rsidRPr="004C1480" w:rsidRDefault="00417DD5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5D98AF52" w14:textId="77777777" w:rsidR="00417DD5" w:rsidRPr="004C1480" w:rsidRDefault="00417DD5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458AB62E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Kingston communications/</w:t>
            </w:r>
            <w:proofErr w:type="spellStart"/>
            <w:r w:rsidRPr="004C1480">
              <w:rPr>
                <w:color w:val="000000"/>
                <w:sz w:val="20"/>
              </w:rPr>
              <w:t>Affiniti</w:t>
            </w:r>
            <w:proofErr w:type="spellEnd"/>
          </w:p>
        </w:tc>
        <w:tc>
          <w:tcPr>
            <w:tcW w:w="754" w:type="pct"/>
          </w:tcPr>
          <w:p w14:paraId="757BD0EF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Royaume-Uni</w:t>
            </w:r>
          </w:p>
        </w:tc>
        <w:tc>
          <w:tcPr>
            <w:tcW w:w="465" w:type="pct"/>
          </w:tcPr>
          <w:p w14:paraId="2A0B52F1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3D14E9B8" w14:textId="77777777" w:rsidTr="00B13124">
        <w:trPr>
          <w:cantSplit/>
          <w:jc w:val="center"/>
        </w:trPr>
        <w:tc>
          <w:tcPr>
            <w:tcW w:w="489" w:type="pct"/>
          </w:tcPr>
          <w:p w14:paraId="4AEC02C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5B341C82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1 800,00</w:t>
            </w:r>
          </w:p>
        </w:tc>
        <w:tc>
          <w:tcPr>
            <w:tcW w:w="405" w:type="pct"/>
          </w:tcPr>
          <w:p w14:paraId="79367D3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3A6FA17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679157DF" w14:textId="6283C393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PTGI</w:t>
            </w:r>
            <w:proofErr w:type="spellEnd"/>
            <w:r w:rsidRPr="004C1480">
              <w:rPr>
                <w:color w:val="000000"/>
                <w:sz w:val="20"/>
              </w:rPr>
              <w:t xml:space="preserve"> INTERNATIONAL CARRIER</w:t>
            </w:r>
            <w:r w:rsidR="004D17A0" w:rsidRPr="004C1480">
              <w:rPr>
                <w:color w:val="000000"/>
                <w:sz w:val="20"/>
              </w:rPr>
              <w:t xml:space="preserve"> </w:t>
            </w:r>
            <w:r w:rsidRPr="004C1480">
              <w:rPr>
                <w:color w:val="000000"/>
                <w:sz w:val="20"/>
              </w:rPr>
              <w:t xml:space="preserve">(anciennement PRIMUS </w:t>
            </w:r>
            <w:proofErr w:type="spellStart"/>
            <w:r w:rsidRPr="004C1480">
              <w:rPr>
                <w:color w:val="000000"/>
                <w:sz w:val="20"/>
              </w:rPr>
              <w:t>Telecommunications</w:t>
            </w:r>
            <w:proofErr w:type="spellEnd"/>
            <w:r w:rsidRPr="004C1480">
              <w:rPr>
                <w:color w:val="000000"/>
                <w:sz w:val="20"/>
              </w:rPr>
              <w:t xml:space="preserve"> Ltd.)</w:t>
            </w:r>
          </w:p>
        </w:tc>
        <w:tc>
          <w:tcPr>
            <w:tcW w:w="754" w:type="pct"/>
          </w:tcPr>
          <w:p w14:paraId="4DE4EE7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Royaume-Uni</w:t>
            </w:r>
          </w:p>
        </w:tc>
        <w:tc>
          <w:tcPr>
            <w:tcW w:w="465" w:type="pct"/>
          </w:tcPr>
          <w:p w14:paraId="629D06A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2EFE4DBF" w14:textId="77777777" w:rsidTr="00B13124">
        <w:trPr>
          <w:cantSplit/>
          <w:jc w:val="center"/>
        </w:trPr>
        <w:tc>
          <w:tcPr>
            <w:tcW w:w="489" w:type="pct"/>
          </w:tcPr>
          <w:p w14:paraId="6657026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3303D2A1" w14:textId="6FD4259E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</w:t>
            </w:r>
            <w:r w:rsidR="002E1E8C" w:rsidRPr="004C1480">
              <w:rPr>
                <w:color w:val="000000"/>
                <w:sz w:val="20"/>
              </w:rPr>
              <w:t>,</w:t>
            </w:r>
            <w:r w:rsidRPr="004C1480">
              <w:rPr>
                <w:color w:val="000000"/>
                <w:sz w:val="20"/>
              </w:rPr>
              <w:t>0</w:t>
            </w:r>
            <w:r w:rsidR="002E1E8C" w:rsidRPr="004C1480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</w:tcPr>
          <w:p w14:paraId="34B4409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21E62A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5</w:t>
            </w:r>
          </w:p>
        </w:tc>
        <w:tc>
          <w:tcPr>
            <w:tcW w:w="1503" w:type="pct"/>
          </w:tcPr>
          <w:p w14:paraId="62BB884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Kingston communications/</w:t>
            </w:r>
            <w:proofErr w:type="spellStart"/>
            <w:r w:rsidRPr="004C1480">
              <w:rPr>
                <w:color w:val="000000"/>
                <w:sz w:val="20"/>
              </w:rPr>
              <w:t>Affiniti</w:t>
            </w:r>
            <w:proofErr w:type="spellEnd"/>
          </w:p>
        </w:tc>
        <w:tc>
          <w:tcPr>
            <w:tcW w:w="754" w:type="pct"/>
          </w:tcPr>
          <w:p w14:paraId="4F68871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Royaume-Uni</w:t>
            </w:r>
          </w:p>
        </w:tc>
        <w:tc>
          <w:tcPr>
            <w:tcW w:w="465" w:type="pct"/>
          </w:tcPr>
          <w:p w14:paraId="7813E9D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D19E935" w14:textId="77777777" w:rsidTr="00B13124">
        <w:trPr>
          <w:cantSplit/>
          <w:jc w:val="center"/>
        </w:trPr>
        <w:tc>
          <w:tcPr>
            <w:tcW w:w="489" w:type="pct"/>
          </w:tcPr>
          <w:p w14:paraId="6CF9693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3746FC43" w14:textId="77777777" w:rsidR="00417DD5" w:rsidRPr="004C1480" w:rsidRDefault="00417DD5" w:rsidP="004C1480">
            <w:pPr>
              <w:pStyle w:val="Tabletext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300,00</w:t>
            </w:r>
          </w:p>
        </w:tc>
        <w:tc>
          <w:tcPr>
            <w:tcW w:w="405" w:type="pct"/>
          </w:tcPr>
          <w:p w14:paraId="39486BA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A57EE2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</w:t>
            </w:r>
          </w:p>
        </w:tc>
        <w:tc>
          <w:tcPr>
            <w:tcW w:w="1503" w:type="pct"/>
          </w:tcPr>
          <w:p w14:paraId="0A57C58E" w14:textId="73F2C1C1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PTGI</w:t>
            </w:r>
            <w:proofErr w:type="spellEnd"/>
            <w:r w:rsidRPr="004C1480">
              <w:rPr>
                <w:color w:val="000000"/>
                <w:sz w:val="20"/>
              </w:rPr>
              <w:t xml:space="preserve"> INTERNATIONAL CARRIER (anciennement PRIMUS </w:t>
            </w:r>
            <w:proofErr w:type="spellStart"/>
            <w:r w:rsidRPr="004C1480">
              <w:rPr>
                <w:color w:val="000000"/>
                <w:sz w:val="20"/>
              </w:rPr>
              <w:t>Telecommunications</w:t>
            </w:r>
            <w:proofErr w:type="spellEnd"/>
            <w:r w:rsidRPr="004C1480">
              <w:rPr>
                <w:color w:val="000000"/>
                <w:sz w:val="20"/>
              </w:rPr>
              <w:t xml:space="preserve"> Ltd.)</w:t>
            </w:r>
          </w:p>
        </w:tc>
        <w:tc>
          <w:tcPr>
            <w:tcW w:w="754" w:type="pct"/>
          </w:tcPr>
          <w:p w14:paraId="6442905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Royaume-Uni</w:t>
            </w:r>
          </w:p>
        </w:tc>
        <w:tc>
          <w:tcPr>
            <w:tcW w:w="465" w:type="pct"/>
          </w:tcPr>
          <w:p w14:paraId="68A7EC1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FB2A8EA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3614537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44D30BCB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5 200,00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6F78457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740E7E9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03" w:type="pct"/>
            <w:shd w:val="clear" w:color="auto" w:fill="F2F2F2" w:themeFill="background1" w:themeFillShade="F2"/>
          </w:tcPr>
          <w:p w14:paraId="6B1C1B7C" w14:textId="19CF2CFA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Royaume-Uni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305744C8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Royaume-Uni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1EF6735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3CA31655" w14:textId="77777777" w:rsidTr="00B13124">
        <w:trPr>
          <w:cantSplit/>
          <w:jc w:val="center"/>
        </w:trPr>
        <w:tc>
          <w:tcPr>
            <w:tcW w:w="489" w:type="pct"/>
          </w:tcPr>
          <w:p w14:paraId="3407059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726" w:type="pct"/>
          </w:tcPr>
          <w:p w14:paraId="0C6DE040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4 500,00</w:t>
            </w:r>
          </w:p>
        </w:tc>
        <w:tc>
          <w:tcPr>
            <w:tcW w:w="405" w:type="pct"/>
          </w:tcPr>
          <w:p w14:paraId="6E40B6C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3B13E6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45</w:t>
            </w:r>
          </w:p>
        </w:tc>
        <w:tc>
          <w:tcPr>
            <w:tcW w:w="1503" w:type="pct"/>
          </w:tcPr>
          <w:p w14:paraId="01B4836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MessageBird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B.V</w:t>
            </w:r>
            <w:proofErr w:type="spellEnd"/>
            <w:r w:rsidRPr="004C1480">
              <w:rPr>
                <w:color w:val="000000"/>
                <w:sz w:val="20"/>
              </w:rPr>
              <w:t>.</w:t>
            </w:r>
          </w:p>
        </w:tc>
        <w:tc>
          <w:tcPr>
            <w:tcW w:w="754" w:type="pct"/>
          </w:tcPr>
          <w:p w14:paraId="052131C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Pays-Bas</w:t>
            </w:r>
          </w:p>
        </w:tc>
        <w:tc>
          <w:tcPr>
            <w:tcW w:w="465" w:type="pct"/>
          </w:tcPr>
          <w:p w14:paraId="657E62D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7DF4932A" w14:textId="77777777" w:rsidTr="00B13124">
        <w:trPr>
          <w:cantSplit/>
          <w:jc w:val="center"/>
        </w:trPr>
        <w:tc>
          <w:tcPr>
            <w:tcW w:w="489" w:type="pct"/>
          </w:tcPr>
          <w:p w14:paraId="579CA0E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2ED6B370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800,00</w:t>
            </w:r>
          </w:p>
        </w:tc>
        <w:tc>
          <w:tcPr>
            <w:tcW w:w="405" w:type="pct"/>
          </w:tcPr>
          <w:p w14:paraId="7DAE958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DAAF43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8</w:t>
            </w:r>
          </w:p>
        </w:tc>
        <w:tc>
          <w:tcPr>
            <w:tcW w:w="1503" w:type="pct"/>
          </w:tcPr>
          <w:p w14:paraId="1268E22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TeleForwarding</w:t>
            </w:r>
            <w:proofErr w:type="spellEnd"/>
            <w:r w:rsidRPr="004C1480">
              <w:rPr>
                <w:color w:val="000000"/>
                <w:sz w:val="20"/>
              </w:rPr>
              <w:t xml:space="preserve"> International </w:t>
            </w:r>
            <w:proofErr w:type="spellStart"/>
            <w:r w:rsidRPr="004C1480">
              <w:rPr>
                <w:color w:val="000000"/>
                <w:sz w:val="20"/>
              </w:rPr>
              <w:t>B.V</w:t>
            </w:r>
            <w:proofErr w:type="spellEnd"/>
            <w:r w:rsidRPr="004C1480">
              <w:rPr>
                <w:color w:val="000000"/>
                <w:sz w:val="20"/>
              </w:rPr>
              <w:t>.</w:t>
            </w:r>
          </w:p>
        </w:tc>
        <w:tc>
          <w:tcPr>
            <w:tcW w:w="754" w:type="pct"/>
          </w:tcPr>
          <w:p w14:paraId="5CB83CF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Pays-Bas</w:t>
            </w:r>
          </w:p>
        </w:tc>
        <w:tc>
          <w:tcPr>
            <w:tcW w:w="465" w:type="pct"/>
          </w:tcPr>
          <w:p w14:paraId="2307D14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3B493D4" w14:textId="77777777" w:rsidTr="00B13124">
        <w:trPr>
          <w:cantSplit/>
          <w:jc w:val="center"/>
        </w:trPr>
        <w:tc>
          <w:tcPr>
            <w:tcW w:w="489" w:type="pct"/>
          </w:tcPr>
          <w:p w14:paraId="2ABEB48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</w:tcPr>
          <w:p w14:paraId="7121A6FD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5 300,00</w:t>
            </w:r>
          </w:p>
        </w:tc>
        <w:tc>
          <w:tcPr>
            <w:tcW w:w="405" w:type="pct"/>
          </w:tcPr>
          <w:p w14:paraId="33103E5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113417A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</w:tcPr>
          <w:p w14:paraId="167B1950" w14:textId="7B5F5002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Pays-Bas</w:t>
            </w:r>
          </w:p>
        </w:tc>
        <w:tc>
          <w:tcPr>
            <w:tcW w:w="754" w:type="pct"/>
          </w:tcPr>
          <w:p w14:paraId="0B86D0C8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Pays-Bas</w:t>
            </w:r>
          </w:p>
        </w:tc>
        <w:tc>
          <w:tcPr>
            <w:tcW w:w="465" w:type="pct"/>
          </w:tcPr>
          <w:p w14:paraId="4E043D6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C72755B" w14:textId="77777777" w:rsidTr="00B13124">
        <w:trPr>
          <w:cantSplit/>
          <w:jc w:val="center"/>
        </w:trPr>
        <w:tc>
          <w:tcPr>
            <w:tcW w:w="489" w:type="pct"/>
          </w:tcPr>
          <w:p w14:paraId="1197E5B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0B544BB7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2 100,00</w:t>
            </w:r>
          </w:p>
        </w:tc>
        <w:tc>
          <w:tcPr>
            <w:tcW w:w="405" w:type="pct"/>
          </w:tcPr>
          <w:p w14:paraId="3BE961B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35709E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21</w:t>
            </w:r>
          </w:p>
        </w:tc>
        <w:tc>
          <w:tcPr>
            <w:tcW w:w="1503" w:type="pct"/>
          </w:tcPr>
          <w:p w14:paraId="3D234A3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Telia Norge AS</w:t>
            </w:r>
          </w:p>
        </w:tc>
        <w:tc>
          <w:tcPr>
            <w:tcW w:w="754" w:type="pct"/>
          </w:tcPr>
          <w:p w14:paraId="0DE215E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Norvège</w:t>
            </w:r>
          </w:p>
        </w:tc>
        <w:tc>
          <w:tcPr>
            <w:tcW w:w="465" w:type="pct"/>
          </w:tcPr>
          <w:p w14:paraId="356E885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2F63680" w14:textId="77777777" w:rsidTr="00B13124">
        <w:trPr>
          <w:cantSplit/>
          <w:jc w:val="center"/>
        </w:trPr>
        <w:tc>
          <w:tcPr>
            <w:tcW w:w="489" w:type="pct"/>
          </w:tcPr>
          <w:p w14:paraId="7E0D23E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592690CF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2 100,00</w:t>
            </w:r>
          </w:p>
        </w:tc>
        <w:tc>
          <w:tcPr>
            <w:tcW w:w="405" w:type="pct"/>
          </w:tcPr>
          <w:p w14:paraId="378E2AD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40E6B8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21</w:t>
            </w:r>
          </w:p>
        </w:tc>
        <w:tc>
          <w:tcPr>
            <w:tcW w:w="1503" w:type="pct"/>
          </w:tcPr>
          <w:p w14:paraId="1840B3D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Telia Norge AS</w:t>
            </w:r>
          </w:p>
        </w:tc>
        <w:tc>
          <w:tcPr>
            <w:tcW w:w="754" w:type="pct"/>
          </w:tcPr>
          <w:p w14:paraId="05406B72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Norvège</w:t>
            </w:r>
          </w:p>
        </w:tc>
        <w:tc>
          <w:tcPr>
            <w:tcW w:w="465" w:type="pct"/>
          </w:tcPr>
          <w:p w14:paraId="13669F3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7C1DF3A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1A95B79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7CB04B87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4 200,00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124E850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6952820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1D527B78" w14:textId="1AF5044B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2E1E8C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Norvège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00575DED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Norvège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32BAEA7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568C9CF" w14:textId="77777777" w:rsidTr="00B13124">
        <w:trPr>
          <w:cantSplit/>
          <w:jc w:val="center"/>
        </w:trPr>
        <w:tc>
          <w:tcPr>
            <w:tcW w:w="489" w:type="pct"/>
          </w:tcPr>
          <w:p w14:paraId="739D8FE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7EA791D2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3 000,00</w:t>
            </w:r>
          </w:p>
        </w:tc>
        <w:tc>
          <w:tcPr>
            <w:tcW w:w="405" w:type="pct"/>
          </w:tcPr>
          <w:p w14:paraId="7D9228E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B395E9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12EDE9B9" w14:textId="44B27F8C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Telefónica S.A. (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anciennement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Colombia Telecomunicaciones S.A. ESP – Telecom Colombia)</w:t>
            </w:r>
          </w:p>
        </w:tc>
        <w:tc>
          <w:tcPr>
            <w:tcW w:w="754" w:type="pct"/>
          </w:tcPr>
          <w:p w14:paraId="4C2C1A3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Colombie</w:t>
            </w:r>
          </w:p>
        </w:tc>
        <w:tc>
          <w:tcPr>
            <w:tcW w:w="465" w:type="pct"/>
          </w:tcPr>
          <w:p w14:paraId="52F6E98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442C7307" w14:textId="77777777" w:rsidTr="00B13124">
        <w:trPr>
          <w:cantSplit/>
          <w:jc w:val="center"/>
        </w:trPr>
        <w:tc>
          <w:tcPr>
            <w:tcW w:w="489" w:type="pct"/>
          </w:tcPr>
          <w:p w14:paraId="0013032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746C0FA2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300,00</w:t>
            </w:r>
          </w:p>
        </w:tc>
        <w:tc>
          <w:tcPr>
            <w:tcW w:w="405" w:type="pct"/>
          </w:tcPr>
          <w:p w14:paraId="70A0A35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5DA791B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5</w:t>
            </w:r>
          </w:p>
        </w:tc>
        <w:tc>
          <w:tcPr>
            <w:tcW w:w="1503" w:type="pct"/>
          </w:tcPr>
          <w:p w14:paraId="008E8B47" w14:textId="0ED3F095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Telefónica S.A. (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anciennement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Colombia Telecomunicaciones S.A. ESP – Telecom Colombia)</w:t>
            </w:r>
          </w:p>
        </w:tc>
        <w:tc>
          <w:tcPr>
            <w:tcW w:w="754" w:type="pct"/>
          </w:tcPr>
          <w:p w14:paraId="7781DC2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Colombie</w:t>
            </w:r>
          </w:p>
        </w:tc>
        <w:tc>
          <w:tcPr>
            <w:tcW w:w="465" w:type="pct"/>
          </w:tcPr>
          <w:p w14:paraId="4BE8FC8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CBD8931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78459EE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21EE933C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3 300,00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589333F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223E974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563D5561" w14:textId="54190972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Colombie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0A014FFF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Colombie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6F66905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9D4C4C8" w14:textId="77777777" w:rsidTr="00B13124">
        <w:trPr>
          <w:cantSplit/>
          <w:jc w:val="center"/>
        </w:trPr>
        <w:tc>
          <w:tcPr>
            <w:tcW w:w="489" w:type="pct"/>
          </w:tcPr>
          <w:p w14:paraId="1E45003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5826B2B2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3 000,00</w:t>
            </w:r>
          </w:p>
        </w:tc>
        <w:tc>
          <w:tcPr>
            <w:tcW w:w="405" w:type="pct"/>
          </w:tcPr>
          <w:p w14:paraId="5FA239A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D8A46C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30</w:t>
            </w:r>
          </w:p>
        </w:tc>
        <w:tc>
          <w:tcPr>
            <w:tcW w:w="1503" w:type="pct"/>
          </w:tcPr>
          <w:p w14:paraId="6CC955D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Chungwa</w:t>
            </w:r>
            <w:proofErr w:type="spellEnd"/>
            <w:r w:rsidRPr="004C1480">
              <w:rPr>
                <w:color w:val="000000"/>
                <w:sz w:val="20"/>
              </w:rPr>
              <w:t xml:space="preserve"> Telecom Co., Ltd.</w:t>
            </w:r>
          </w:p>
        </w:tc>
        <w:tc>
          <w:tcPr>
            <w:tcW w:w="754" w:type="pct"/>
          </w:tcPr>
          <w:p w14:paraId="02EE2EF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Province chinoise de Taiwan</w:t>
            </w:r>
          </w:p>
        </w:tc>
        <w:tc>
          <w:tcPr>
            <w:tcW w:w="465" w:type="pct"/>
          </w:tcPr>
          <w:p w14:paraId="068B51F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3B0CAD8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628DF8C6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7B8DA37F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3 000,00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03C6465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6884123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2DBCFB04" w14:textId="2291FE35" w:rsidR="00417DD5" w:rsidRPr="004C1480" w:rsidRDefault="00417DD5" w:rsidP="00EC3419">
            <w:pPr>
              <w:pStyle w:val="Tabletext"/>
              <w:rPr>
                <w:b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Taïwan, Chine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45F6932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Province chinoise de Taiwan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1F78430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39292190" w14:textId="77777777" w:rsidTr="00B13124">
        <w:trPr>
          <w:cantSplit/>
          <w:jc w:val="center"/>
        </w:trPr>
        <w:tc>
          <w:tcPr>
            <w:tcW w:w="489" w:type="pct"/>
          </w:tcPr>
          <w:p w14:paraId="1062B61C" w14:textId="77777777" w:rsidR="00417DD5" w:rsidRPr="004C1480" w:rsidRDefault="00417DD5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35F10A64" w14:textId="77777777" w:rsidR="00417DD5" w:rsidRPr="004C1480" w:rsidRDefault="00417DD5" w:rsidP="004C1480">
            <w:pPr>
              <w:pStyle w:val="Tabletext"/>
              <w:keepNext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1 400,00</w:t>
            </w:r>
          </w:p>
        </w:tc>
        <w:tc>
          <w:tcPr>
            <w:tcW w:w="405" w:type="pct"/>
          </w:tcPr>
          <w:p w14:paraId="7B287D55" w14:textId="77777777" w:rsidR="00417DD5" w:rsidRPr="004C1480" w:rsidRDefault="00417DD5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5B5D325E" w14:textId="598CE3CD" w:rsidR="00417DD5" w:rsidRPr="004C1480" w:rsidRDefault="002E1E8C" w:rsidP="00EC3419">
            <w:pPr>
              <w:pStyle w:val="Tabletext"/>
              <w:keepNext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2162302B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PLANinterNET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VoIP-GmbH</w:t>
            </w:r>
            <w:proofErr w:type="spellEnd"/>
          </w:p>
        </w:tc>
        <w:tc>
          <w:tcPr>
            <w:tcW w:w="754" w:type="pct"/>
          </w:tcPr>
          <w:p w14:paraId="4EDEAA4D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Allemagne</w:t>
            </w:r>
          </w:p>
        </w:tc>
        <w:tc>
          <w:tcPr>
            <w:tcW w:w="465" w:type="pct"/>
          </w:tcPr>
          <w:p w14:paraId="4F382D27" w14:textId="77777777" w:rsidR="00417DD5" w:rsidRPr="004C1480" w:rsidRDefault="00417DD5" w:rsidP="00EC3419">
            <w:pPr>
              <w:pStyle w:val="Tabletext"/>
              <w:keepNext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507DEF02" w14:textId="77777777" w:rsidTr="00B13124">
        <w:trPr>
          <w:cantSplit/>
          <w:jc w:val="center"/>
        </w:trPr>
        <w:tc>
          <w:tcPr>
            <w:tcW w:w="489" w:type="pct"/>
          </w:tcPr>
          <w:p w14:paraId="79F9567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2022</w:t>
            </w:r>
          </w:p>
        </w:tc>
        <w:tc>
          <w:tcPr>
            <w:tcW w:w="726" w:type="pct"/>
          </w:tcPr>
          <w:p w14:paraId="6D772C8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0FF44FD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AA7133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</w:t>
            </w:r>
          </w:p>
        </w:tc>
        <w:tc>
          <w:tcPr>
            <w:tcW w:w="1503" w:type="pct"/>
          </w:tcPr>
          <w:p w14:paraId="6698FC5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PLANinterNET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VoIP-GmbH</w:t>
            </w:r>
            <w:proofErr w:type="spellEnd"/>
          </w:p>
        </w:tc>
        <w:tc>
          <w:tcPr>
            <w:tcW w:w="754" w:type="pct"/>
          </w:tcPr>
          <w:p w14:paraId="1615B43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Allemagne</w:t>
            </w:r>
          </w:p>
        </w:tc>
        <w:tc>
          <w:tcPr>
            <w:tcW w:w="465" w:type="pct"/>
          </w:tcPr>
          <w:p w14:paraId="59B0035D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00B421B" w14:textId="77777777" w:rsidTr="00B13124">
        <w:trPr>
          <w:cantSplit/>
          <w:jc w:val="center"/>
        </w:trPr>
        <w:tc>
          <w:tcPr>
            <w:tcW w:w="489" w:type="pct"/>
          </w:tcPr>
          <w:p w14:paraId="0A4712F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63AF7581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200,00</w:t>
            </w:r>
          </w:p>
        </w:tc>
        <w:tc>
          <w:tcPr>
            <w:tcW w:w="405" w:type="pct"/>
          </w:tcPr>
          <w:p w14:paraId="5D3BC5A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591A982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</w:t>
            </w:r>
          </w:p>
        </w:tc>
        <w:tc>
          <w:tcPr>
            <w:tcW w:w="1503" w:type="pct"/>
          </w:tcPr>
          <w:p w14:paraId="6C4C972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EMTEX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GmbH</w:t>
            </w:r>
            <w:proofErr w:type="spellEnd"/>
          </w:p>
        </w:tc>
        <w:tc>
          <w:tcPr>
            <w:tcW w:w="754" w:type="pct"/>
          </w:tcPr>
          <w:p w14:paraId="5150158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Allemagne</w:t>
            </w:r>
          </w:p>
        </w:tc>
        <w:tc>
          <w:tcPr>
            <w:tcW w:w="465" w:type="pct"/>
          </w:tcPr>
          <w:p w14:paraId="0856ABD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7C4FDD5E" w14:textId="77777777" w:rsidTr="00B13124">
        <w:trPr>
          <w:cantSplit/>
          <w:jc w:val="center"/>
        </w:trPr>
        <w:tc>
          <w:tcPr>
            <w:tcW w:w="489" w:type="pct"/>
          </w:tcPr>
          <w:p w14:paraId="4AF3C7F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054B5DD9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200,00</w:t>
            </w:r>
          </w:p>
        </w:tc>
        <w:tc>
          <w:tcPr>
            <w:tcW w:w="405" w:type="pct"/>
          </w:tcPr>
          <w:p w14:paraId="375C0C66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154723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</w:t>
            </w:r>
          </w:p>
        </w:tc>
        <w:tc>
          <w:tcPr>
            <w:tcW w:w="1503" w:type="pct"/>
          </w:tcPr>
          <w:p w14:paraId="7FAF1EB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EMTEX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GmbH</w:t>
            </w:r>
            <w:proofErr w:type="spellEnd"/>
          </w:p>
        </w:tc>
        <w:tc>
          <w:tcPr>
            <w:tcW w:w="754" w:type="pct"/>
          </w:tcPr>
          <w:p w14:paraId="7C3A582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Allemagne</w:t>
            </w:r>
          </w:p>
        </w:tc>
        <w:tc>
          <w:tcPr>
            <w:tcW w:w="465" w:type="pct"/>
          </w:tcPr>
          <w:p w14:paraId="6554ABCE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D6A6960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1EEC4FB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6ABA0C8B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2 400,00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7E80292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15B6C1C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1F342989" w14:textId="26406086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2E1E8C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Allemagne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2F2A427D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Allemagne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0345877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E49276B" w14:textId="77777777" w:rsidTr="00B13124">
        <w:trPr>
          <w:cantSplit/>
          <w:jc w:val="center"/>
        </w:trPr>
        <w:tc>
          <w:tcPr>
            <w:tcW w:w="489" w:type="pct"/>
          </w:tcPr>
          <w:p w14:paraId="1659418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793289C3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22DBFBD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C5A619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</w:t>
            </w:r>
          </w:p>
        </w:tc>
        <w:tc>
          <w:tcPr>
            <w:tcW w:w="1503" w:type="pct"/>
          </w:tcPr>
          <w:p w14:paraId="625DE36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Hellenic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Telecommunications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Org</w:t>
            </w:r>
            <w:proofErr w:type="spellEnd"/>
            <w:r w:rsidRPr="004C1480">
              <w:rPr>
                <w:color w:val="000000"/>
                <w:sz w:val="20"/>
              </w:rPr>
              <w:t>. S.A.</w:t>
            </w:r>
          </w:p>
        </w:tc>
        <w:tc>
          <w:tcPr>
            <w:tcW w:w="754" w:type="pct"/>
          </w:tcPr>
          <w:p w14:paraId="46EA87DE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Grèce</w:t>
            </w:r>
          </w:p>
        </w:tc>
        <w:tc>
          <w:tcPr>
            <w:tcW w:w="465" w:type="pct"/>
          </w:tcPr>
          <w:p w14:paraId="2E6B1D2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7880445" w14:textId="77777777" w:rsidTr="00B13124">
        <w:trPr>
          <w:cantSplit/>
          <w:jc w:val="center"/>
        </w:trPr>
        <w:tc>
          <w:tcPr>
            <w:tcW w:w="489" w:type="pct"/>
          </w:tcPr>
          <w:p w14:paraId="377A290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64860195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03F7A8D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F160A2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</w:t>
            </w:r>
          </w:p>
        </w:tc>
        <w:tc>
          <w:tcPr>
            <w:tcW w:w="1503" w:type="pct"/>
          </w:tcPr>
          <w:p w14:paraId="1B90CBF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proofErr w:type="spellStart"/>
            <w:r w:rsidRPr="004C1480">
              <w:rPr>
                <w:color w:val="000000"/>
                <w:sz w:val="20"/>
              </w:rPr>
              <w:t>Hellenic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Telecommunications</w:t>
            </w:r>
            <w:proofErr w:type="spellEnd"/>
            <w:r w:rsidRPr="004C1480">
              <w:rPr>
                <w:color w:val="000000"/>
                <w:sz w:val="20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</w:rPr>
              <w:t>Org</w:t>
            </w:r>
            <w:proofErr w:type="spellEnd"/>
            <w:r w:rsidRPr="004C1480">
              <w:rPr>
                <w:color w:val="000000"/>
                <w:sz w:val="20"/>
              </w:rPr>
              <w:t>. S.A.</w:t>
            </w:r>
          </w:p>
        </w:tc>
        <w:tc>
          <w:tcPr>
            <w:tcW w:w="754" w:type="pct"/>
          </w:tcPr>
          <w:p w14:paraId="1CEDB35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Grèce</w:t>
            </w:r>
          </w:p>
        </w:tc>
        <w:tc>
          <w:tcPr>
            <w:tcW w:w="465" w:type="pct"/>
          </w:tcPr>
          <w:p w14:paraId="6606376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760CA97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5818981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428FA011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1 200,00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1AFC93B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66BC217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5A5C6C01" w14:textId="05ABFA76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2E1E8C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Grèce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26A84EC9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Grèce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21E3487E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0B3E1E4" w14:textId="77777777" w:rsidTr="00B13124">
        <w:trPr>
          <w:cantSplit/>
          <w:jc w:val="center"/>
        </w:trPr>
        <w:tc>
          <w:tcPr>
            <w:tcW w:w="489" w:type="pct"/>
          </w:tcPr>
          <w:p w14:paraId="4748BAE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4C3704A9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800,00</w:t>
            </w:r>
          </w:p>
        </w:tc>
        <w:tc>
          <w:tcPr>
            <w:tcW w:w="405" w:type="pct"/>
          </w:tcPr>
          <w:p w14:paraId="75BAB1F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16494FA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1580AEAE" w14:textId="77777777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Telefónica de Argentina S.A.</w:t>
            </w:r>
          </w:p>
        </w:tc>
        <w:tc>
          <w:tcPr>
            <w:tcW w:w="754" w:type="pct"/>
          </w:tcPr>
          <w:p w14:paraId="04B9FEDD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Argentine</w:t>
            </w:r>
          </w:p>
        </w:tc>
        <w:tc>
          <w:tcPr>
            <w:tcW w:w="465" w:type="pct"/>
          </w:tcPr>
          <w:p w14:paraId="6E7319D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3DD8456B" w14:textId="77777777" w:rsidTr="00B13124">
        <w:trPr>
          <w:cantSplit/>
          <w:jc w:val="center"/>
        </w:trPr>
        <w:tc>
          <w:tcPr>
            <w:tcW w:w="489" w:type="pct"/>
          </w:tcPr>
          <w:p w14:paraId="1FEDC11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2020</w:t>
            </w:r>
          </w:p>
        </w:tc>
        <w:tc>
          <w:tcPr>
            <w:tcW w:w="726" w:type="pct"/>
          </w:tcPr>
          <w:p w14:paraId="7F148FD3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200,00</w:t>
            </w:r>
          </w:p>
        </w:tc>
        <w:tc>
          <w:tcPr>
            <w:tcW w:w="405" w:type="pct"/>
          </w:tcPr>
          <w:p w14:paraId="52DE8C0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3EAE1A6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</w:t>
            </w:r>
          </w:p>
        </w:tc>
        <w:tc>
          <w:tcPr>
            <w:tcW w:w="1503" w:type="pct"/>
          </w:tcPr>
          <w:p w14:paraId="38375D39" w14:textId="77777777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Telefónica de Argentina S.A.</w:t>
            </w:r>
          </w:p>
        </w:tc>
        <w:tc>
          <w:tcPr>
            <w:tcW w:w="754" w:type="pct"/>
          </w:tcPr>
          <w:p w14:paraId="3F0026F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Argentine</w:t>
            </w:r>
          </w:p>
        </w:tc>
        <w:tc>
          <w:tcPr>
            <w:tcW w:w="465" w:type="pct"/>
          </w:tcPr>
          <w:p w14:paraId="03E330E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4FF037A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2CEBED7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7202C985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1 000,00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6FF9EFD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62732D7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77A46C78" w14:textId="6AE6D304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2E1E8C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Argentine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79E23EE9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Argentine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779472A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1B504D7" w14:textId="77777777" w:rsidTr="00B13124">
        <w:trPr>
          <w:cantSplit/>
          <w:jc w:val="center"/>
        </w:trPr>
        <w:tc>
          <w:tcPr>
            <w:tcW w:w="489" w:type="pct"/>
          </w:tcPr>
          <w:p w14:paraId="1635299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726" w:type="pct"/>
          </w:tcPr>
          <w:p w14:paraId="1088C67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6A32A9C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34A9373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5AB87B6B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Vodafone New Zealand</w:t>
            </w:r>
          </w:p>
        </w:tc>
        <w:tc>
          <w:tcPr>
            <w:tcW w:w="754" w:type="pct"/>
          </w:tcPr>
          <w:p w14:paraId="72639F6B" w14:textId="370C1E98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Nouvelle</w:t>
            </w:r>
            <w:r w:rsidR="002E1E8C" w:rsidRPr="004C1480">
              <w:rPr>
                <w:color w:val="000000"/>
                <w:sz w:val="20"/>
              </w:rPr>
              <w:noBreakHyphen/>
            </w:r>
            <w:r w:rsidRPr="004C1480">
              <w:rPr>
                <w:color w:val="000000"/>
                <w:sz w:val="20"/>
              </w:rPr>
              <w:t>Zélande</w:t>
            </w:r>
          </w:p>
        </w:tc>
        <w:tc>
          <w:tcPr>
            <w:tcW w:w="465" w:type="pct"/>
          </w:tcPr>
          <w:p w14:paraId="72E7CD1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40444D17" w14:textId="77777777" w:rsidTr="00B13124">
        <w:trPr>
          <w:cantSplit/>
          <w:jc w:val="center"/>
        </w:trPr>
        <w:tc>
          <w:tcPr>
            <w:tcW w:w="489" w:type="pct"/>
          </w:tcPr>
          <w:p w14:paraId="5887793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6041BC92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54EC107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7F40A6D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6E4E028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Vodafone New Zealand</w:t>
            </w:r>
          </w:p>
        </w:tc>
        <w:tc>
          <w:tcPr>
            <w:tcW w:w="754" w:type="pct"/>
          </w:tcPr>
          <w:p w14:paraId="41C4400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Nouvelle-Zélande</w:t>
            </w:r>
          </w:p>
        </w:tc>
        <w:tc>
          <w:tcPr>
            <w:tcW w:w="465" w:type="pct"/>
          </w:tcPr>
          <w:p w14:paraId="20D90292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743E7747" w14:textId="77777777" w:rsidTr="00B13124">
        <w:trPr>
          <w:cantSplit/>
          <w:jc w:val="center"/>
        </w:trPr>
        <w:tc>
          <w:tcPr>
            <w:tcW w:w="489" w:type="pct"/>
          </w:tcPr>
          <w:p w14:paraId="174E5216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32AFCA9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1CFBF05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83F887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08629DFD" w14:textId="77777777" w:rsidR="00417DD5" w:rsidRPr="004C1480" w:rsidRDefault="00417DD5" w:rsidP="00EC3419">
            <w:pPr>
              <w:pStyle w:val="Tabletext"/>
              <w:rPr>
                <w:sz w:val="20"/>
                <w:lang w:val="en-GB"/>
              </w:rPr>
            </w:pPr>
            <w:r w:rsidRPr="004C1480">
              <w:rPr>
                <w:color w:val="000000"/>
                <w:sz w:val="20"/>
                <w:lang w:val="en-GB"/>
              </w:rPr>
              <w:t>Symbio Networks New Zealand Ltd.</w:t>
            </w:r>
          </w:p>
        </w:tc>
        <w:tc>
          <w:tcPr>
            <w:tcW w:w="754" w:type="pct"/>
          </w:tcPr>
          <w:p w14:paraId="4A53B034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Nouvelle-Zélande</w:t>
            </w:r>
          </w:p>
        </w:tc>
        <w:tc>
          <w:tcPr>
            <w:tcW w:w="465" w:type="pct"/>
          </w:tcPr>
          <w:p w14:paraId="079B84B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A05CE66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1B72DE1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20BF2FF0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800,00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619ECF4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2482760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3BF72DA8" w14:textId="73E719EB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Nouvelle-Zélande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149F5F93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Nouvelle-Zélande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4122403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29CE647" w14:textId="77777777" w:rsidTr="00B13124">
        <w:trPr>
          <w:cantSplit/>
          <w:jc w:val="center"/>
        </w:trPr>
        <w:tc>
          <w:tcPr>
            <w:tcW w:w="489" w:type="pct"/>
          </w:tcPr>
          <w:p w14:paraId="2BCC122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4EE0EF4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26486ED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3D0946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33DA2802" w14:textId="77777777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 xml:space="preserve">Empresa Hondureña de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Telecommunicaciones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(HONDUTEL)</w:t>
            </w:r>
          </w:p>
        </w:tc>
        <w:tc>
          <w:tcPr>
            <w:tcW w:w="754" w:type="pct"/>
          </w:tcPr>
          <w:p w14:paraId="533DA07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Honduras</w:t>
            </w:r>
          </w:p>
        </w:tc>
        <w:tc>
          <w:tcPr>
            <w:tcW w:w="465" w:type="pct"/>
          </w:tcPr>
          <w:p w14:paraId="7E425AA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62AE778E" w14:textId="77777777" w:rsidTr="00B13124">
        <w:trPr>
          <w:cantSplit/>
          <w:jc w:val="center"/>
        </w:trPr>
        <w:tc>
          <w:tcPr>
            <w:tcW w:w="489" w:type="pct"/>
          </w:tcPr>
          <w:p w14:paraId="683B066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3B70E094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746454B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4813179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1F7C1847" w14:textId="77777777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 xml:space="preserve">Empresa Hondureña de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Telecommunicaciones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(HONDUTEL)</w:t>
            </w:r>
          </w:p>
        </w:tc>
        <w:tc>
          <w:tcPr>
            <w:tcW w:w="754" w:type="pct"/>
          </w:tcPr>
          <w:p w14:paraId="76BC264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Honduras</w:t>
            </w:r>
          </w:p>
        </w:tc>
        <w:tc>
          <w:tcPr>
            <w:tcW w:w="465" w:type="pct"/>
          </w:tcPr>
          <w:p w14:paraId="2B15140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112CAFD3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5A2D7E1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1E4A3934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700,00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2081505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1BF4DCC6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1BC65B5E" w14:textId="66D2AB14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Honduras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23ABEAE9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Honduras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155FA43F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7AEBD46" w14:textId="77777777" w:rsidTr="00B13124">
        <w:trPr>
          <w:cantSplit/>
          <w:jc w:val="center"/>
        </w:trPr>
        <w:tc>
          <w:tcPr>
            <w:tcW w:w="489" w:type="pct"/>
          </w:tcPr>
          <w:p w14:paraId="7A61E832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1915CF5C" w14:textId="77777777" w:rsidR="00417DD5" w:rsidRPr="004C1480" w:rsidRDefault="00417DD5" w:rsidP="004C1480">
            <w:pPr>
              <w:pStyle w:val="Tabletext"/>
              <w:keepNext/>
              <w:keepLines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74C0C660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2287356E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0332FBBC" w14:textId="77777777" w:rsidR="002E1E8C" w:rsidRPr="004C1480" w:rsidRDefault="00417DD5" w:rsidP="00EC3419">
            <w:pPr>
              <w:pStyle w:val="Tabletext"/>
              <w:keepNext/>
              <w:keepLines/>
              <w:rPr>
                <w:color w:val="000000"/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 xml:space="preserve">Telecom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Itália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Móbile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S.p.A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>. (TIM)</w:t>
            </w:r>
          </w:p>
          <w:p w14:paraId="38198DCF" w14:textId="426DA3D5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(ex-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INTELIG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Telecomunicações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Ltda.)</w:t>
            </w:r>
          </w:p>
        </w:tc>
        <w:tc>
          <w:tcPr>
            <w:tcW w:w="754" w:type="pct"/>
          </w:tcPr>
          <w:p w14:paraId="476217AA" w14:textId="77777777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Brésil</w:t>
            </w:r>
          </w:p>
        </w:tc>
        <w:tc>
          <w:tcPr>
            <w:tcW w:w="465" w:type="pct"/>
          </w:tcPr>
          <w:p w14:paraId="1932A9F4" w14:textId="77777777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689FE7E8" w14:textId="77777777" w:rsidTr="00B13124">
        <w:trPr>
          <w:cantSplit/>
          <w:jc w:val="center"/>
        </w:trPr>
        <w:tc>
          <w:tcPr>
            <w:tcW w:w="489" w:type="pct"/>
          </w:tcPr>
          <w:p w14:paraId="159FF2C9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3431C005" w14:textId="77777777" w:rsidR="00417DD5" w:rsidRPr="004C1480" w:rsidRDefault="00417DD5" w:rsidP="004C1480">
            <w:pPr>
              <w:pStyle w:val="Tabletext"/>
              <w:keepNext/>
              <w:keepLines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73A03FBA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5B9C073" w14:textId="77777777" w:rsidR="00417DD5" w:rsidRPr="004C1480" w:rsidRDefault="00417DD5" w:rsidP="00EC3419">
            <w:pPr>
              <w:pStyle w:val="Tabletext"/>
              <w:keepNext/>
              <w:keepLines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3D71E8FE" w14:textId="77777777" w:rsidR="002E1E8C" w:rsidRPr="004C1480" w:rsidRDefault="00417DD5" w:rsidP="00EC3419">
            <w:pPr>
              <w:pStyle w:val="Tabletext"/>
              <w:keepNext/>
              <w:keepLines/>
              <w:rPr>
                <w:color w:val="000000"/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 xml:space="preserve">Telecom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Itália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Móbile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S.p.A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>. (TIM)</w:t>
            </w:r>
          </w:p>
          <w:p w14:paraId="2218DB9D" w14:textId="1F132B54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(ex-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INTELIG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4C1480">
              <w:rPr>
                <w:color w:val="000000"/>
                <w:sz w:val="20"/>
                <w:lang w:val="es-ES"/>
              </w:rPr>
              <w:t>Telecomunicações</w:t>
            </w:r>
            <w:proofErr w:type="spellEnd"/>
            <w:r w:rsidRPr="004C1480">
              <w:rPr>
                <w:color w:val="000000"/>
                <w:sz w:val="20"/>
                <w:lang w:val="es-ES"/>
              </w:rPr>
              <w:t xml:space="preserve"> Ltda.)</w:t>
            </w:r>
          </w:p>
        </w:tc>
        <w:tc>
          <w:tcPr>
            <w:tcW w:w="754" w:type="pct"/>
          </w:tcPr>
          <w:p w14:paraId="2EADD5BA" w14:textId="77777777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Brésil</w:t>
            </w:r>
          </w:p>
        </w:tc>
        <w:tc>
          <w:tcPr>
            <w:tcW w:w="465" w:type="pct"/>
          </w:tcPr>
          <w:p w14:paraId="5DED032E" w14:textId="77777777" w:rsidR="00417DD5" w:rsidRPr="004C1480" w:rsidRDefault="00417DD5" w:rsidP="00EC3419">
            <w:pPr>
              <w:pStyle w:val="Tabletext"/>
              <w:keepNext/>
              <w:keepLines/>
              <w:rPr>
                <w:sz w:val="20"/>
              </w:rPr>
            </w:pPr>
          </w:p>
        </w:tc>
      </w:tr>
      <w:tr w:rsidR="00417DD5" w:rsidRPr="005C4426" w14:paraId="38ABF692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5990943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1A92A8CC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700,00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07625109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61CB7F3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56DC3C9E" w14:textId="259873FD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Brésil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5A0E58DB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Brésil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7373B32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8C96951" w14:textId="77777777" w:rsidTr="00B13124">
        <w:trPr>
          <w:cantSplit/>
          <w:jc w:val="center"/>
        </w:trPr>
        <w:tc>
          <w:tcPr>
            <w:tcW w:w="489" w:type="pct"/>
          </w:tcPr>
          <w:p w14:paraId="381F030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18C2E72D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700,00</w:t>
            </w:r>
          </w:p>
        </w:tc>
        <w:tc>
          <w:tcPr>
            <w:tcW w:w="405" w:type="pct"/>
          </w:tcPr>
          <w:p w14:paraId="082B6A7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04A004C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7</w:t>
            </w:r>
          </w:p>
        </w:tc>
        <w:tc>
          <w:tcPr>
            <w:tcW w:w="1503" w:type="pct"/>
          </w:tcPr>
          <w:p w14:paraId="09E47DA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Cable &amp; Wireless Panamá S.A.</w:t>
            </w:r>
          </w:p>
        </w:tc>
        <w:tc>
          <w:tcPr>
            <w:tcW w:w="754" w:type="pct"/>
          </w:tcPr>
          <w:p w14:paraId="1DB4E8A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Panama</w:t>
            </w:r>
          </w:p>
        </w:tc>
        <w:tc>
          <w:tcPr>
            <w:tcW w:w="465" w:type="pct"/>
          </w:tcPr>
          <w:p w14:paraId="404D191E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3C3D2196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11DA24F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78C8D7B7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700,00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4C088C54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7EFC4E4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3054CD5F" w14:textId="5F5A50A4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Panama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4057707B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Panama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7582F6A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0C1A534B" w14:textId="77777777" w:rsidTr="00B13124">
        <w:trPr>
          <w:cantSplit/>
          <w:jc w:val="center"/>
        </w:trPr>
        <w:tc>
          <w:tcPr>
            <w:tcW w:w="489" w:type="pct"/>
          </w:tcPr>
          <w:p w14:paraId="103E44E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3FE5D105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300,00</w:t>
            </w:r>
          </w:p>
        </w:tc>
        <w:tc>
          <w:tcPr>
            <w:tcW w:w="405" w:type="pct"/>
          </w:tcPr>
          <w:p w14:paraId="6E907FC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3882389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</w:t>
            </w:r>
          </w:p>
        </w:tc>
        <w:tc>
          <w:tcPr>
            <w:tcW w:w="1503" w:type="pct"/>
          </w:tcPr>
          <w:p w14:paraId="76C240F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Mass Response Service GmbH</w:t>
            </w:r>
          </w:p>
        </w:tc>
        <w:tc>
          <w:tcPr>
            <w:tcW w:w="754" w:type="pct"/>
          </w:tcPr>
          <w:p w14:paraId="154409F9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Autriche</w:t>
            </w:r>
          </w:p>
        </w:tc>
        <w:tc>
          <w:tcPr>
            <w:tcW w:w="465" w:type="pct"/>
          </w:tcPr>
          <w:p w14:paraId="6E3F43D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0DB4CC9" w14:textId="77777777" w:rsidTr="00B13124">
        <w:trPr>
          <w:cantSplit/>
          <w:jc w:val="center"/>
        </w:trPr>
        <w:tc>
          <w:tcPr>
            <w:tcW w:w="489" w:type="pct"/>
          </w:tcPr>
          <w:p w14:paraId="68FA231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2025</w:t>
            </w:r>
          </w:p>
        </w:tc>
        <w:tc>
          <w:tcPr>
            <w:tcW w:w="726" w:type="pct"/>
          </w:tcPr>
          <w:p w14:paraId="5F21D23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300,00</w:t>
            </w:r>
          </w:p>
        </w:tc>
        <w:tc>
          <w:tcPr>
            <w:tcW w:w="405" w:type="pct"/>
          </w:tcPr>
          <w:p w14:paraId="2F8AA18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7462D90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</w:t>
            </w:r>
          </w:p>
        </w:tc>
        <w:tc>
          <w:tcPr>
            <w:tcW w:w="1503" w:type="pct"/>
          </w:tcPr>
          <w:p w14:paraId="0F2CFBD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Mass Response Service GmbH</w:t>
            </w:r>
          </w:p>
        </w:tc>
        <w:tc>
          <w:tcPr>
            <w:tcW w:w="754" w:type="pct"/>
          </w:tcPr>
          <w:p w14:paraId="4BC5812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Autriche</w:t>
            </w:r>
          </w:p>
        </w:tc>
        <w:tc>
          <w:tcPr>
            <w:tcW w:w="465" w:type="pct"/>
          </w:tcPr>
          <w:p w14:paraId="72F7A0A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6625AB2F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181D895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4029E183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600,00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21BD2673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7078C4A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641DCB7B" w14:textId="45CA2AC5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Autriche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66141528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Autriche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2B7C99D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E12B9C9" w14:textId="77777777" w:rsidTr="00B13124">
        <w:trPr>
          <w:cantSplit/>
          <w:jc w:val="center"/>
        </w:trPr>
        <w:tc>
          <w:tcPr>
            <w:tcW w:w="489" w:type="pct"/>
          </w:tcPr>
          <w:p w14:paraId="4E25161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7FCE7A40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600,00</w:t>
            </w:r>
          </w:p>
        </w:tc>
        <w:tc>
          <w:tcPr>
            <w:tcW w:w="405" w:type="pct"/>
          </w:tcPr>
          <w:p w14:paraId="2F34E50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1B43407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–</w:t>
            </w:r>
          </w:p>
        </w:tc>
        <w:tc>
          <w:tcPr>
            <w:tcW w:w="1503" w:type="pct"/>
          </w:tcPr>
          <w:p w14:paraId="7E0C1566" w14:textId="77777777" w:rsidR="00417DD5" w:rsidRPr="004C1480" w:rsidRDefault="00417DD5" w:rsidP="00EC3419">
            <w:pPr>
              <w:pStyle w:val="Tabletext"/>
              <w:rPr>
                <w:sz w:val="20"/>
                <w:lang w:val="es-ES"/>
              </w:rPr>
            </w:pPr>
            <w:r w:rsidRPr="004C1480">
              <w:rPr>
                <w:color w:val="000000"/>
                <w:sz w:val="20"/>
                <w:lang w:val="es-ES"/>
              </w:rPr>
              <w:t>Telecable de Asturias S.A.</w:t>
            </w:r>
          </w:p>
        </w:tc>
        <w:tc>
          <w:tcPr>
            <w:tcW w:w="754" w:type="pct"/>
          </w:tcPr>
          <w:p w14:paraId="309DEEE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Espagne</w:t>
            </w:r>
          </w:p>
        </w:tc>
        <w:tc>
          <w:tcPr>
            <w:tcW w:w="465" w:type="pct"/>
          </w:tcPr>
          <w:p w14:paraId="35E2EFB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Arriérés*</w:t>
            </w:r>
          </w:p>
        </w:tc>
      </w:tr>
      <w:tr w:rsidR="00417DD5" w:rsidRPr="005C4426" w14:paraId="1A462082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0F6E355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120195AA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600,00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61D757A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1D4B552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6E0F6434" w14:textId="255DCFB5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Espagne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5F841C52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Espagne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6A3F5253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EE38F68" w14:textId="77777777" w:rsidTr="00B13124">
        <w:trPr>
          <w:cantSplit/>
          <w:jc w:val="center"/>
        </w:trPr>
        <w:tc>
          <w:tcPr>
            <w:tcW w:w="489" w:type="pct"/>
          </w:tcPr>
          <w:p w14:paraId="0F59D35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2018</w:t>
            </w:r>
          </w:p>
        </w:tc>
        <w:tc>
          <w:tcPr>
            <w:tcW w:w="726" w:type="pct"/>
          </w:tcPr>
          <w:p w14:paraId="040DD90C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224C616D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674251A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3</w:t>
            </w:r>
          </w:p>
        </w:tc>
        <w:tc>
          <w:tcPr>
            <w:tcW w:w="1503" w:type="pct"/>
          </w:tcPr>
          <w:p w14:paraId="7644A48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Telefónica del Perú</w:t>
            </w:r>
          </w:p>
        </w:tc>
        <w:tc>
          <w:tcPr>
            <w:tcW w:w="754" w:type="pct"/>
          </w:tcPr>
          <w:p w14:paraId="4268B5D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Pérou</w:t>
            </w:r>
          </w:p>
        </w:tc>
        <w:tc>
          <w:tcPr>
            <w:tcW w:w="465" w:type="pct"/>
          </w:tcPr>
          <w:p w14:paraId="4615016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3C23B98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6B014B17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2BAAA80B" w14:textId="77777777" w:rsidR="00417DD5" w:rsidRPr="004C1480" w:rsidRDefault="00417DD5" w:rsidP="004C1480">
            <w:pPr>
              <w:pStyle w:val="Tabletext"/>
              <w:spacing w:line="259" w:lineRule="auto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4CFD7D0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33B3010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753BA1A4" w14:textId="6D4840DC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Pérou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0BB4F596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Pérou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383E294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00C3987" w14:textId="77777777" w:rsidTr="00B13124">
        <w:trPr>
          <w:cantSplit/>
          <w:jc w:val="center"/>
        </w:trPr>
        <w:tc>
          <w:tcPr>
            <w:tcW w:w="489" w:type="pct"/>
          </w:tcPr>
          <w:p w14:paraId="0D7515E8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2024</w:t>
            </w:r>
          </w:p>
        </w:tc>
        <w:tc>
          <w:tcPr>
            <w:tcW w:w="726" w:type="pct"/>
          </w:tcPr>
          <w:p w14:paraId="5FD61708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333E7F20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7F9FB3B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2CBE12B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Elisa Eesti AS</w:t>
            </w:r>
          </w:p>
        </w:tc>
        <w:tc>
          <w:tcPr>
            <w:tcW w:w="754" w:type="pct"/>
          </w:tcPr>
          <w:p w14:paraId="12E139A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Estonie</w:t>
            </w:r>
          </w:p>
        </w:tc>
        <w:tc>
          <w:tcPr>
            <w:tcW w:w="465" w:type="pct"/>
          </w:tcPr>
          <w:p w14:paraId="656E35A0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54EED677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0007DA4C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484E3873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7BD87F5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3B9B670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53CD748D" w14:textId="2FC055B4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Estonie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0BFD37B7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Estonie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0C4F2FF1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E6EA6EC" w14:textId="77777777" w:rsidTr="00B13124">
        <w:trPr>
          <w:cantSplit/>
          <w:jc w:val="center"/>
        </w:trPr>
        <w:tc>
          <w:tcPr>
            <w:tcW w:w="489" w:type="pct"/>
          </w:tcPr>
          <w:p w14:paraId="69A6699F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726" w:type="pct"/>
          </w:tcPr>
          <w:p w14:paraId="302EE329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100,00</w:t>
            </w:r>
          </w:p>
        </w:tc>
        <w:tc>
          <w:tcPr>
            <w:tcW w:w="405" w:type="pct"/>
          </w:tcPr>
          <w:p w14:paraId="11CD730A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CHF</w:t>
            </w:r>
          </w:p>
        </w:tc>
        <w:tc>
          <w:tcPr>
            <w:tcW w:w="658" w:type="pct"/>
          </w:tcPr>
          <w:p w14:paraId="11C303A1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1</w:t>
            </w:r>
          </w:p>
        </w:tc>
        <w:tc>
          <w:tcPr>
            <w:tcW w:w="1503" w:type="pct"/>
          </w:tcPr>
          <w:p w14:paraId="016EE56C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JSC Kazakhtelecom</w:t>
            </w:r>
          </w:p>
        </w:tc>
        <w:tc>
          <w:tcPr>
            <w:tcW w:w="754" w:type="pct"/>
          </w:tcPr>
          <w:p w14:paraId="166420FA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color w:val="000000"/>
                <w:sz w:val="20"/>
              </w:rPr>
              <w:t>Kazakhstan</w:t>
            </w:r>
          </w:p>
        </w:tc>
        <w:tc>
          <w:tcPr>
            <w:tcW w:w="465" w:type="pct"/>
          </w:tcPr>
          <w:p w14:paraId="1A51C7E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4C33D69E" w14:textId="77777777" w:rsidTr="00B13124">
        <w:trPr>
          <w:cantSplit/>
          <w:jc w:val="center"/>
        </w:trPr>
        <w:tc>
          <w:tcPr>
            <w:tcW w:w="489" w:type="pct"/>
            <w:shd w:val="clear" w:color="auto" w:fill="F2F2F2" w:themeFill="background1" w:themeFillShade="F2"/>
          </w:tcPr>
          <w:p w14:paraId="06067E3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F2F2F2" w:themeFill="background1" w:themeFillShade="F2"/>
          </w:tcPr>
          <w:p w14:paraId="422406DA" w14:textId="77777777" w:rsidR="00417DD5" w:rsidRPr="004C1480" w:rsidRDefault="00417DD5" w:rsidP="004C1480">
            <w:pPr>
              <w:pStyle w:val="Tabletext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100,00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14:paraId="7B27A5FE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3B18087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F2F2F2" w:themeFill="background1" w:themeFillShade="F2"/>
          </w:tcPr>
          <w:p w14:paraId="2408CAF8" w14:textId="49C86B6D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 xml:space="preserve">Sous-total </w:t>
            </w:r>
            <w:r w:rsidR="00501FC5" w:rsidRPr="004C1480">
              <w:rPr>
                <w:b/>
                <w:bCs/>
                <w:color w:val="000000"/>
                <w:sz w:val="20"/>
              </w:rPr>
              <w:t>–</w:t>
            </w:r>
            <w:r w:rsidRPr="004C1480">
              <w:rPr>
                <w:b/>
                <w:bCs/>
                <w:color w:val="000000"/>
                <w:sz w:val="20"/>
              </w:rPr>
              <w:t xml:space="preserve"> Kazakhstan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005F3F80" w14:textId="77777777" w:rsidR="00417DD5" w:rsidRPr="004C1480" w:rsidRDefault="00417DD5" w:rsidP="00EC3419">
            <w:pPr>
              <w:pStyle w:val="Tabletext"/>
              <w:rPr>
                <w:b/>
                <w:bCs/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Kazakhstan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6113B5D7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  <w:tr w:rsidR="00417DD5" w:rsidRPr="005C4426" w14:paraId="2D601B86" w14:textId="77777777" w:rsidTr="00B13124">
        <w:trPr>
          <w:cantSplit/>
          <w:jc w:val="center"/>
        </w:trPr>
        <w:tc>
          <w:tcPr>
            <w:tcW w:w="489" w:type="pct"/>
            <w:shd w:val="clear" w:color="auto" w:fill="BDD7EE"/>
          </w:tcPr>
          <w:p w14:paraId="7BBD47A2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726" w:type="pct"/>
            <w:shd w:val="clear" w:color="auto" w:fill="BDD7EE"/>
          </w:tcPr>
          <w:p w14:paraId="277202B2" w14:textId="77777777" w:rsidR="00417DD5" w:rsidRPr="004C1480" w:rsidRDefault="00417DD5" w:rsidP="004C1480">
            <w:pPr>
              <w:pStyle w:val="Tabletext"/>
              <w:spacing w:line="259" w:lineRule="auto"/>
              <w:ind w:right="113"/>
              <w:jc w:val="righ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163 800,00</w:t>
            </w:r>
          </w:p>
        </w:tc>
        <w:tc>
          <w:tcPr>
            <w:tcW w:w="405" w:type="pct"/>
            <w:shd w:val="clear" w:color="auto" w:fill="BDD7EE"/>
          </w:tcPr>
          <w:p w14:paraId="5BDE2F6B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  <w:r w:rsidRPr="004C1480">
              <w:rPr>
                <w:b/>
                <w:color w:val="000000"/>
                <w:sz w:val="20"/>
              </w:rPr>
              <w:t>CHF</w:t>
            </w:r>
          </w:p>
        </w:tc>
        <w:tc>
          <w:tcPr>
            <w:tcW w:w="658" w:type="pct"/>
            <w:shd w:val="clear" w:color="auto" w:fill="BDD7EE"/>
          </w:tcPr>
          <w:p w14:paraId="75CE0405" w14:textId="77777777" w:rsidR="00417DD5" w:rsidRPr="004C1480" w:rsidRDefault="00417DD5" w:rsidP="00EC3419">
            <w:pPr>
              <w:pStyle w:val="Tabletext"/>
              <w:jc w:val="center"/>
              <w:rPr>
                <w:sz w:val="20"/>
              </w:rPr>
            </w:pPr>
          </w:p>
        </w:tc>
        <w:tc>
          <w:tcPr>
            <w:tcW w:w="1503" w:type="pct"/>
            <w:shd w:val="clear" w:color="auto" w:fill="BDD7EE"/>
          </w:tcPr>
          <w:p w14:paraId="7B7D2016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  <w:r w:rsidRPr="004C1480">
              <w:rPr>
                <w:b/>
                <w:bCs/>
                <w:color w:val="000000"/>
                <w:sz w:val="20"/>
              </w:rPr>
              <w:t>Total général</w:t>
            </w:r>
          </w:p>
        </w:tc>
        <w:tc>
          <w:tcPr>
            <w:tcW w:w="754" w:type="pct"/>
            <w:shd w:val="clear" w:color="auto" w:fill="BDD7EE"/>
          </w:tcPr>
          <w:p w14:paraId="0A44D7F8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  <w:tc>
          <w:tcPr>
            <w:tcW w:w="465" w:type="pct"/>
            <w:shd w:val="clear" w:color="auto" w:fill="BDD7EE"/>
          </w:tcPr>
          <w:p w14:paraId="0E1DEED5" w14:textId="77777777" w:rsidR="00417DD5" w:rsidRPr="004C1480" w:rsidRDefault="00417DD5" w:rsidP="00EC3419">
            <w:pPr>
              <w:pStyle w:val="Tabletext"/>
              <w:rPr>
                <w:sz w:val="20"/>
              </w:rPr>
            </w:pPr>
          </w:p>
        </w:tc>
      </w:tr>
    </w:tbl>
    <w:p w14:paraId="5B0CBBB8" w14:textId="756C604A" w:rsidR="00417DD5" w:rsidRDefault="00417DD5" w:rsidP="00B13124">
      <w:pPr>
        <w:pStyle w:val="Note"/>
        <w:tabs>
          <w:tab w:val="clear" w:pos="567"/>
          <w:tab w:val="left" w:pos="284"/>
        </w:tabs>
      </w:pPr>
      <w:r w:rsidRPr="005C4426">
        <w:t>*</w:t>
      </w:r>
      <w:r w:rsidR="00B13124">
        <w:tab/>
      </w:r>
      <w:proofErr w:type="gramStart"/>
      <w:r w:rsidRPr="005C4426">
        <w:t>Arriérés:</w:t>
      </w:r>
      <w:proofErr w:type="gramEnd"/>
      <w:r w:rsidRPr="005C4426">
        <w:t xml:space="preserve"> Tient compte des factures établies fin 2024 pour des entités qui n</w:t>
      </w:r>
      <w:r w:rsidR="00C20590" w:rsidRPr="005C4426">
        <w:t>'</w:t>
      </w:r>
      <w:r w:rsidRPr="005C4426">
        <w:t>ont pas effectué de paiements au cours des années précédentes.</w:t>
      </w:r>
    </w:p>
    <w:p w14:paraId="54C2AAE3" w14:textId="77777777" w:rsidR="00B13124" w:rsidRPr="005C4426" w:rsidRDefault="00B13124" w:rsidP="00B13124">
      <w:pPr>
        <w:pStyle w:val="Note"/>
        <w:tabs>
          <w:tab w:val="clear" w:pos="567"/>
          <w:tab w:val="left" w:pos="284"/>
        </w:tabs>
        <w:rPr>
          <w:rFonts w:eastAsia="SimSun"/>
        </w:rPr>
      </w:pPr>
    </w:p>
    <w:p w14:paraId="7E388DE9" w14:textId="790E89D8" w:rsidR="00897553" w:rsidRPr="005C4426" w:rsidRDefault="00417DD5" w:rsidP="00417DD5">
      <w:pPr>
        <w:jc w:val="center"/>
      </w:pPr>
      <w:r w:rsidRPr="005C4426">
        <w:t>______________</w:t>
      </w:r>
    </w:p>
    <w:sectPr w:rsidR="00897553" w:rsidRPr="005C4426" w:rsidSect="00417DD5">
      <w:footerReference w:type="default" r:id="rId46"/>
      <w:headerReference w:type="first" r:id="rId47"/>
      <w:footerReference w:type="first" r:id="rId48"/>
      <w:pgSz w:w="16834" w:h="11907" w:orient="landscape"/>
      <w:pgMar w:top="1418" w:right="1418" w:bottom="1418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671C" w14:textId="77777777" w:rsidR="00415E03" w:rsidRDefault="00415E03">
      <w:r>
        <w:separator/>
      </w:r>
    </w:p>
  </w:endnote>
  <w:endnote w:type="continuationSeparator" w:id="0">
    <w:p w14:paraId="3DF511DE" w14:textId="77777777" w:rsidR="00415E03" w:rsidRDefault="004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799E" w14:textId="02189589" w:rsidR="00732045" w:rsidRPr="005C4426" w:rsidRDefault="00415E03">
    <w:pPr>
      <w:pStyle w:val="Footer"/>
      <w:rPr>
        <w:lang w:val="en-US"/>
      </w:rPr>
    </w:pPr>
    <w:r>
      <w:fldChar w:fldCharType="begin"/>
    </w:r>
    <w:r w:rsidRPr="005C4426">
      <w:rPr>
        <w:lang w:val="en-US"/>
      </w:rPr>
      <w:instrText xml:space="preserve"> FILENAME \p \* MERGEFORMAT </w:instrText>
    </w:r>
    <w:r>
      <w:fldChar w:fldCharType="separate"/>
    </w:r>
    <w:r w:rsidR="005C4426" w:rsidRPr="005C4426">
      <w:rPr>
        <w:lang w:val="en-US"/>
      </w:rPr>
      <w:t>P:\FRA\gDoc\SG\C26\2600680F.docx</w:t>
    </w:r>
    <w:r>
      <w:fldChar w:fldCharType="end"/>
    </w:r>
    <w:r w:rsidR="00732045" w:rsidRPr="005C4426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9C75DD">
      <w:t>27.03.26</w:t>
    </w:r>
    <w:r w:rsidR="002F1B76">
      <w:fldChar w:fldCharType="end"/>
    </w:r>
    <w:r w:rsidR="00732045" w:rsidRPr="005C4426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5C4426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0923C632" w14:textId="77777777" w:rsidTr="00E31DCE">
      <w:trPr>
        <w:jc w:val="center"/>
      </w:trPr>
      <w:tc>
        <w:tcPr>
          <w:tcW w:w="1803" w:type="dxa"/>
          <w:vAlign w:val="center"/>
        </w:tcPr>
        <w:p w14:paraId="3F104735" w14:textId="45545947" w:rsidR="00A51849" w:rsidRDefault="00501FC5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2600680</w:t>
          </w:r>
        </w:p>
      </w:tc>
      <w:tc>
        <w:tcPr>
          <w:tcW w:w="8261" w:type="dxa"/>
        </w:tcPr>
        <w:p w14:paraId="6E88975D" w14:textId="6D2BC08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8D726C">
            <w:rPr>
              <w:bCs/>
            </w:rPr>
            <w:t>38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C7725EF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60304C1B" w14:textId="77777777" w:rsidTr="00E31DCE">
      <w:trPr>
        <w:jc w:val="center"/>
      </w:trPr>
      <w:tc>
        <w:tcPr>
          <w:tcW w:w="1803" w:type="dxa"/>
          <w:vAlign w:val="center"/>
        </w:tcPr>
        <w:p w14:paraId="3E96CA96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39E6A40D" w14:textId="051FA54A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5C4426">
            <w:rPr>
              <w:bCs/>
            </w:rPr>
            <w:t>38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7E4894B" w14:textId="77777777" w:rsidR="00732045" w:rsidRPr="00A51849" w:rsidRDefault="00732045" w:rsidP="00FC6D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8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0"/>
      <w:gridCol w:w="8261"/>
    </w:tblGrid>
    <w:tr w:rsidR="00501FC5" w:rsidRPr="00784011" w14:paraId="01933164" w14:textId="77777777" w:rsidTr="005C4426">
      <w:trPr>
        <w:jc w:val="center"/>
      </w:trPr>
      <w:tc>
        <w:tcPr>
          <w:tcW w:w="5630" w:type="dxa"/>
          <w:vAlign w:val="center"/>
        </w:tcPr>
        <w:p w14:paraId="77939654" w14:textId="77777777" w:rsidR="00501FC5" w:rsidRDefault="00501FC5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2600680</w:t>
          </w:r>
        </w:p>
      </w:tc>
      <w:tc>
        <w:tcPr>
          <w:tcW w:w="8261" w:type="dxa"/>
        </w:tcPr>
        <w:p w14:paraId="73FB0F9F" w14:textId="77777777" w:rsidR="00501FC5" w:rsidRPr="00E06FD5" w:rsidRDefault="00501FC5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DA68BA" w14:textId="77777777" w:rsidR="00501FC5" w:rsidRPr="00A51849" w:rsidRDefault="00501FC5" w:rsidP="00FC6D7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417DD5" w:rsidRPr="00784011" w14:paraId="267DA1EC" w14:textId="77777777" w:rsidTr="006B77F1">
      <w:trPr>
        <w:jc w:val="center"/>
      </w:trPr>
      <w:tc>
        <w:tcPr>
          <w:tcW w:w="1803" w:type="dxa"/>
          <w:vAlign w:val="center"/>
        </w:tcPr>
        <w:p w14:paraId="52349687" w14:textId="77777777" w:rsidR="00417DD5" w:rsidRPr="006B77F1" w:rsidRDefault="00417DD5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t>council.itu.int</w:t>
            </w:r>
            <w:proofErr w:type="spellEnd"/>
            <w:r>
              <w:t>/2026</w:t>
            </w:r>
          </w:hyperlink>
        </w:p>
      </w:tc>
      <w:tc>
        <w:tcPr>
          <w:tcW w:w="8261" w:type="dxa"/>
        </w:tcPr>
        <w:p w14:paraId="467F8E29" w14:textId="77777777" w:rsidR="00417DD5" w:rsidRPr="00E06FD5" w:rsidRDefault="00417DD5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CB9AB35" w14:textId="77777777" w:rsidR="00417DD5" w:rsidRPr="00623AE3" w:rsidRDefault="00417DD5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2246" w14:textId="77777777" w:rsidR="00415E03" w:rsidRDefault="00415E03">
      <w:r>
        <w:t>____________________</w:t>
      </w:r>
    </w:p>
  </w:footnote>
  <w:footnote w:type="continuationSeparator" w:id="0">
    <w:p w14:paraId="55EBC049" w14:textId="77777777" w:rsidR="00415E03" w:rsidRDefault="004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0A46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1FBAE57D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AE7" w14:textId="7C5CC554" w:rsidR="00417DD5" w:rsidRDefault="00417DD5">
    <w:pPr>
      <w:pStyle w:val="Header"/>
    </w:pPr>
    <w:r>
      <w:rPr>
        <w:noProof/>
      </w:rPr>
      <w:drawing>
        <wp:inline distT="0" distB="0" distL="0" distR="0" wp14:anchorId="0E0B19A3" wp14:editId="744C5EBA">
          <wp:extent cx="5760085" cy="840740"/>
          <wp:effectExtent l="0" t="0" r="0" b="0"/>
          <wp:docPr id="32278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9DEC" w14:textId="77777777" w:rsidR="00417DD5" w:rsidRPr="00512087" w:rsidRDefault="00417DD5" w:rsidP="0049369C">
    <w:pPr>
      <w:pStyle w:val="Header"/>
    </w:pPr>
    <w:r>
      <w:rPr>
        <w:noProof/>
      </w:rPr>
      <w:drawing>
        <wp:inline distT="0" distB="0" distL="0" distR="0" wp14:anchorId="62075A6C" wp14:editId="4F24CF61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03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46637"/>
    <w:rsid w:val="001658F9"/>
    <w:rsid w:val="00172CC2"/>
    <w:rsid w:val="0018694A"/>
    <w:rsid w:val="0019129B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71321"/>
    <w:rsid w:val="00277DEA"/>
    <w:rsid w:val="002A5D44"/>
    <w:rsid w:val="002C3F32"/>
    <w:rsid w:val="002C4E3D"/>
    <w:rsid w:val="002D2336"/>
    <w:rsid w:val="002E0BC4"/>
    <w:rsid w:val="002E1E8C"/>
    <w:rsid w:val="002F1B76"/>
    <w:rsid w:val="0033568E"/>
    <w:rsid w:val="00355FF5"/>
    <w:rsid w:val="00361350"/>
    <w:rsid w:val="003C0228"/>
    <w:rsid w:val="003C3FAE"/>
    <w:rsid w:val="004038CB"/>
    <w:rsid w:val="0040546F"/>
    <w:rsid w:val="00415E03"/>
    <w:rsid w:val="004177BD"/>
    <w:rsid w:val="00417DD5"/>
    <w:rsid w:val="0042404A"/>
    <w:rsid w:val="0044618F"/>
    <w:rsid w:val="00465C35"/>
    <w:rsid w:val="0046769A"/>
    <w:rsid w:val="00475FB3"/>
    <w:rsid w:val="004849A4"/>
    <w:rsid w:val="004B1887"/>
    <w:rsid w:val="004C1480"/>
    <w:rsid w:val="004C37A9"/>
    <w:rsid w:val="004D17A0"/>
    <w:rsid w:val="004D1D50"/>
    <w:rsid w:val="004F259E"/>
    <w:rsid w:val="004F633A"/>
    <w:rsid w:val="00501FC5"/>
    <w:rsid w:val="00504C7F"/>
    <w:rsid w:val="00511F1D"/>
    <w:rsid w:val="00520F36"/>
    <w:rsid w:val="00524E8D"/>
    <w:rsid w:val="00534E13"/>
    <w:rsid w:val="00540615"/>
    <w:rsid w:val="00540A6D"/>
    <w:rsid w:val="00553536"/>
    <w:rsid w:val="00556AD3"/>
    <w:rsid w:val="00566679"/>
    <w:rsid w:val="00571EEA"/>
    <w:rsid w:val="00575417"/>
    <w:rsid w:val="005768E1"/>
    <w:rsid w:val="005B1938"/>
    <w:rsid w:val="005C3890"/>
    <w:rsid w:val="005C4426"/>
    <w:rsid w:val="005E627B"/>
    <w:rsid w:val="005F7BFE"/>
    <w:rsid w:val="00600017"/>
    <w:rsid w:val="00602682"/>
    <w:rsid w:val="006235CA"/>
    <w:rsid w:val="0062366E"/>
    <w:rsid w:val="006643AB"/>
    <w:rsid w:val="006A11AE"/>
    <w:rsid w:val="006B224B"/>
    <w:rsid w:val="006F0A53"/>
    <w:rsid w:val="0071402E"/>
    <w:rsid w:val="00715E27"/>
    <w:rsid w:val="007210CD"/>
    <w:rsid w:val="00732045"/>
    <w:rsid w:val="0073275D"/>
    <w:rsid w:val="007369DB"/>
    <w:rsid w:val="0077110E"/>
    <w:rsid w:val="007956C2"/>
    <w:rsid w:val="00796BDB"/>
    <w:rsid w:val="007A187E"/>
    <w:rsid w:val="007C72C2"/>
    <w:rsid w:val="007D4436"/>
    <w:rsid w:val="007F257A"/>
    <w:rsid w:val="007F3665"/>
    <w:rsid w:val="00800037"/>
    <w:rsid w:val="0082299A"/>
    <w:rsid w:val="0083391C"/>
    <w:rsid w:val="0084546D"/>
    <w:rsid w:val="00861D73"/>
    <w:rsid w:val="00882919"/>
    <w:rsid w:val="00897553"/>
    <w:rsid w:val="008A4E87"/>
    <w:rsid w:val="008D726C"/>
    <w:rsid w:val="008D76E6"/>
    <w:rsid w:val="008E60E0"/>
    <w:rsid w:val="0092392D"/>
    <w:rsid w:val="0093234A"/>
    <w:rsid w:val="00956A78"/>
    <w:rsid w:val="0097363B"/>
    <w:rsid w:val="00973F53"/>
    <w:rsid w:val="0098348E"/>
    <w:rsid w:val="009A6BAA"/>
    <w:rsid w:val="009A76A8"/>
    <w:rsid w:val="009C307F"/>
    <w:rsid w:val="009C353C"/>
    <w:rsid w:val="009C75DD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B13124"/>
    <w:rsid w:val="00B27B00"/>
    <w:rsid w:val="00B309F9"/>
    <w:rsid w:val="00B32B60"/>
    <w:rsid w:val="00B51005"/>
    <w:rsid w:val="00B533D3"/>
    <w:rsid w:val="00B61619"/>
    <w:rsid w:val="00B84D33"/>
    <w:rsid w:val="00BB38C1"/>
    <w:rsid w:val="00BB4545"/>
    <w:rsid w:val="00BD5873"/>
    <w:rsid w:val="00BF4B60"/>
    <w:rsid w:val="00C049D7"/>
    <w:rsid w:val="00C04BE3"/>
    <w:rsid w:val="00C20590"/>
    <w:rsid w:val="00C25D29"/>
    <w:rsid w:val="00C2625E"/>
    <w:rsid w:val="00C27A7C"/>
    <w:rsid w:val="00C42437"/>
    <w:rsid w:val="00CA08ED"/>
    <w:rsid w:val="00CC6EAA"/>
    <w:rsid w:val="00CE5172"/>
    <w:rsid w:val="00CF0534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22AA"/>
    <w:rsid w:val="00DD1A99"/>
    <w:rsid w:val="00DE21A8"/>
    <w:rsid w:val="00DE62C6"/>
    <w:rsid w:val="00DF74DD"/>
    <w:rsid w:val="00E25AD0"/>
    <w:rsid w:val="00E4428F"/>
    <w:rsid w:val="00E4448E"/>
    <w:rsid w:val="00E47427"/>
    <w:rsid w:val="00E93668"/>
    <w:rsid w:val="00E95647"/>
    <w:rsid w:val="00EB6350"/>
    <w:rsid w:val="00ED799B"/>
    <w:rsid w:val="00F15B57"/>
    <w:rsid w:val="00F35EF4"/>
    <w:rsid w:val="00F37FE5"/>
    <w:rsid w:val="00F427DB"/>
    <w:rsid w:val="00FA5EB1"/>
    <w:rsid w:val="00FA7439"/>
    <w:rsid w:val="00FC4EC0"/>
    <w:rsid w:val="00FC6D7D"/>
    <w:rsid w:val="00FD1E35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1C0DB"/>
  <w15:docId w15:val="{C418FFB7-0E0F-49AA-8979-B0CDB857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qFormat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DE21A8"/>
    <w:pPr>
      <w:framePr w:hSpace="181" w:wrap="around" w:vAnchor="page" w:hAnchor="page" w:x="1589" w:y="2314"/>
      <w:spacing w:before="840"/>
    </w:pPr>
    <w:rPr>
      <w:rFonts w:cstheme="minorHAnsi"/>
      <w:b/>
      <w:color w:val="000000"/>
      <w:sz w:val="32"/>
      <w:szCs w:val="32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qFormat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qFormat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qFormat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5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19-CLCWGFHR09-C-0014/fr" TargetMode="External"/><Relationship Id="rId18" Type="http://schemas.openxmlformats.org/officeDocument/2006/relationships/hyperlink" Target="https://www.itu.int/md/S21-CL-C-0047/fr" TargetMode="External"/><Relationship Id="rId26" Type="http://schemas.openxmlformats.org/officeDocument/2006/relationships/hyperlink" Target="https://www.itu.int/md/S25-CWGFHR20-C-0013/fr" TargetMode="External"/><Relationship Id="rId39" Type="http://schemas.openxmlformats.org/officeDocument/2006/relationships/hyperlink" Target="https://www.itu.int/md/S26-CWGFHR22-C-0003/en" TargetMode="External"/><Relationship Id="rId21" Type="http://schemas.openxmlformats.org/officeDocument/2006/relationships/hyperlink" Target="https://www.itu.int/md/S21-CWGFHR14-C-0012/fr" TargetMode="External"/><Relationship Id="rId34" Type="http://schemas.openxmlformats.org/officeDocument/2006/relationships/hyperlink" Target="https://www.itu.int/md/S17-CL-C-0133/en" TargetMode="External"/><Relationship Id="rId42" Type="http://schemas.openxmlformats.org/officeDocument/2006/relationships/footer" Target="footer1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CL-C-0120/fr" TargetMode="External"/><Relationship Id="rId29" Type="http://schemas.openxmlformats.org/officeDocument/2006/relationships/hyperlink" Target="https://www.itu.int/md/S25-CL-C-0114/fr" TargetMode="External"/><Relationship Id="rId11" Type="http://schemas.openxmlformats.org/officeDocument/2006/relationships/hyperlink" Target="https://view.officeapps.live.com/op/view.aspx?src=https%3A%2F%2Fwww.itu.int%2Fdms_pub%2Fitu-s%2Fmd%2F18%2Fcl%2Fc%2FS18-CL-C-0121!!MSW-F.docx&amp;wdOrigin=BROWSELINK" TargetMode="External"/><Relationship Id="rId24" Type="http://schemas.openxmlformats.org/officeDocument/2006/relationships/hyperlink" Target="https://www.itu.int/md/S24-CL-C-0038/fr" TargetMode="External"/><Relationship Id="rId32" Type="http://schemas.openxmlformats.org/officeDocument/2006/relationships/hyperlink" Target="https://www.itu.int/md/S17-CL-C-0133/fr" TargetMode="External"/><Relationship Id="rId37" Type="http://schemas.openxmlformats.org/officeDocument/2006/relationships/hyperlink" Target="https://www.itu.int/md/S25-CL-C-0038/en" TargetMode="External"/><Relationship Id="rId40" Type="http://schemas.openxmlformats.org/officeDocument/2006/relationships/image" Target="media/image1.png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9-CL-C-0047/fr" TargetMode="External"/><Relationship Id="rId23" Type="http://schemas.openxmlformats.org/officeDocument/2006/relationships/hyperlink" Target="https://www.itu.int/md/S24-CWGFHR17-C-0008/fr" TargetMode="External"/><Relationship Id="rId28" Type="http://schemas.openxmlformats.org/officeDocument/2006/relationships/hyperlink" Target="https://www.itu.int/md/S25-CL-C-0038/fr" TargetMode="External"/><Relationship Id="rId36" Type="http://schemas.openxmlformats.org/officeDocument/2006/relationships/hyperlink" Target="https://www.itu.int/md/S25-CL-C-0038/fr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itu.int/md/S18-CL-C-0100/fr" TargetMode="External"/><Relationship Id="rId19" Type="http://schemas.openxmlformats.org/officeDocument/2006/relationships/hyperlink" Target="https://view.officeapps.live.com/op/view.aspx?src=https%3A%2F%2Fwww.itu.int%2Fdms_pub%2Fitu-s%2Fmd%2F21%2Fcl%2Fc%2FS21-CL-C-0092!!MSW-F.docx&amp;wdOrigin=BROWSELINK" TargetMode="External"/><Relationship Id="rId31" Type="http://schemas.openxmlformats.org/officeDocument/2006/relationships/hyperlink" Target="https://www.itu.int/md/S26-CL-C-0050/fr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-C-0134/fr" TargetMode="External"/><Relationship Id="rId14" Type="http://schemas.openxmlformats.org/officeDocument/2006/relationships/hyperlink" Target="https://www.itu.int/md/S19-CLCWGFHR09-C-0015/fr" TargetMode="External"/><Relationship Id="rId22" Type="http://schemas.openxmlformats.org/officeDocument/2006/relationships/hyperlink" Target="https://www.itu.int/md/S22-CL-C-0050/fr" TargetMode="External"/><Relationship Id="rId27" Type="http://schemas.openxmlformats.org/officeDocument/2006/relationships/hyperlink" Target="https://www.itu.int/md/S25-CWGFHR20-C-0032/fr" TargetMode="External"/><Relationship Id="rId30" Type="http://schemas.openxmlformats.org/officeDocument/2006/relationships/hyperlink" Target="https://www.itu.int/md/S26-CWGFHR22-C-0003/fr" TargetMode="External"/><Relationship Id="rId35" Type="http://schemas.openxmlformats.org/officeDocument/2006/relationships/hyperlink" Target="https://www.itu.int/md/S17-CL-C-0134/en" TargetMode="External"/><Relationship Id="rId43" Type="http://schemas.openxmlformats.org/officeDocument/2006/relationships/footer" Target="footer2.xml"/><Relationship Id="rId48" Type="http://schemas.openxmlformats.org/officeDocument/2006/relationships/footer" Target="footer5.xml"/><Relationship Id="rId8" Type="http://schemas.openxmlformats.org/officeDocument/2006/relationships/hyperlink" Target="https://www.itu.int/md/S17-CL-C-0133/fr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18-CLCWGFHRM8-C-0018/fr" TargetMode="External"/><Relationship Id="rId17" Type="http://schemas.openxmlformats.org/officeDocument/2006/relationships/hyperlink" Target="https://www.itu.int/md/S20-CL-C-0047/fr" TargetMode="External"/><Relationship Id="rId25" Type="http://schemas.openxmlformats.org/officeDocument/2006/relationships/hyperlink" Target="https://www.itu.int/md/S24-CL-C-0120/fr" TargetMode="External"/><Relationship Id="rId33" Type="http://schemas.openxmlformats.org/officeDocument/2006/relationships/hyperlink" Target="https://www.itu.int/md/S17-CL-C-0134/fr" TargetMode="External"/><Relationship Id="rId38" Type="http://schemas.openxmlformats.org/officeDocument/2006/relationships/hyperlink" Target="https://www.itu.int/md/S26-CWGFHR22-C-0003/fr" TargetMode="External"/><Relationship Id="rId46" Type="http://schemas.openxmlformats.org/officeDocument/2006/relationships/footer" Target="footer4.xml"/><Relationship Id="rId20" Type="http://schemas.openxmlformats.org/officeDocument/2006/relationships/hyperlink" Target="https://www.itu.int/md/S21-CWGFHR14-C-0006/fr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B6CC-21FD-4271-978C-166245D1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7</TotalTime>
  <Pages>7</Pages>
  <Words>1364</Words>
  <Characters>9818</Characters>
  <Application>Microsoft Office Word</Application>
  <DocSecurity>0</DocSecurity>
  <Lines>1402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d'activité sur la mise en œuvre des Décisions 600 et 601 du Conseil (numéros UIFN ET IIN)</vt:lpstr>
    </vt:vector>
  </TitlesOfParts>
  <Manager>Secrétariat général - Pool</Manager>
  <Company>Union internationale des télécommunications (UIT)</Company>
  <LinksUpToDate>false</LinksUpToDate>
  <CharactersWithSpaces>10166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d'activité sur la mise en œuvre des Décisions 600 et 601 du Conseil (numéros UIFN ET IIN)</dc:title>
  <dc:subject>Conseil 2026 de l'UIT</dc:subject>
  <cp:keywords>C26; C2026; Council 2026; PP26</cp:keywords>
  <dc:description/>
  <cp:lastPrinted>2000-07-18T08:55:00Z</cp:lastPrinted>
  <dcterms:created xsi:type="dcterms:W3CDTF">2026-04-02T11:03:00Z</dcterms:created>
  <dcterms:modified xsi:type="dcterms:W3CDTF">2026-04-02T11:09:00Z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