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731" w:tblpY="2314"/>
        <w:tblW w:w="9072" w:type="dxa"/>
        <w:tblLayout w:type="fixed"/>
        <w:tblLook w:val="0000" w:firstRow="0" w:lastRow="0" w:firstColumn="0" w:lastColumn="0" w:noHBand="0" w:noVBand="0"/>
      </w:tblPr>
      <w:tblGrid>
        <w:gridCol w:w="3827"/>
        <w:gridCol w:w="5245"/>
      </w:tblGrid>
      <w:tr w:rsidR="00E24D59" w:rsidRPr="00E24D59" w14:paraId="193DFE55" w14:textId="77777777" w:rsidTr="00D4614F">
        <w:trPr>
          <w:cantSplit/>
          <w:trHeight w:val="23"/>
        </w:trPr>
        <w:tc>
          <w:tcPr>
            <w:tcW w:w="3827" w:type="dxa"/>
            <w:vMerge w:val="restart"/>
            <w:tcMar>
              <w:left w:w="0" w:type="dxa"/>
            </w:tcMar>
          </w:tcPr>
          <w:p w14:paraId="0D0AA303" w14:textId="0981A897" w:rsidR="00E24D59" w:rsidRPr="00E24D59" w:rsidRDefault="00E24D59" w:rsidP="00D4614F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E24D59">
              <w:rPr>
                <w:rFonts w:cstheme="minorHAnsi" w:hint="eastAsia"/>
                <w:b/>
                <w:bCs/>
                <w:lang w:val="ru-RU"/>
              </w:rPr>
              <w:t>议项</w:t>
            </w:r>
            <w:proofErr w:type="spellEnd"/>
            <w:r w:rsidRPr="00E24D59">
              <w:rPr>
                <w:rFonts w:cstheme="minorHAnsi" w:hint="eastAsia"/>
                <w:b/>
                <w:bCs/>
                <w:lang w:val="ru-RU"/>
              </w:rPr>
              <w:t>：</w:t>
            </w:r>
            <w:r w:rsidR="00D4614F" w:rsidRPr="00D4614F">
              <w:rPr>
                <w:rFonts w:cstheme="minorHAnsi"/>
                <w:b/>
                <w:bCs/>
                <w:lang w:val="ru-RU"/>
              </w:rPr>
              <w:t>ADM 1</w:t>
            </w:r>
          </w:p>
        </w:tc>
        <w:tc>
          <w:tcPr>
            <w:tcW w:w="5245" w:type="dxa"/>
          </w:tcPr>
          <w:p w14:paraId="6C1C6AE7" w14:textId="77777777" w:rsidR="00E24D59" w:rsidRPr="00E24D59" w:rsidRDefault="00E24D59" w:rsidP="00D4614F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proofErr w:type="spellStart"/>
            <w:r w:rsidRPr="00E24D59">
              <w:rPr>
                <w:b/>
                <w:lang w:val="fr-CH"/>
              </w:rPr>
              <w:t>C2</w:t>
            </w:r>
            <w:r w:rsidR="00B91673">
              <w:rPr>
                <w:b/>
                <w:lang w:val="fr-CH"/>
              </w:rPr>
              <w:t>6</w:t>
            </w:r>
            <w:proofErr w:type="spellEnd"/>
            <w:r w:rsidRPr="00E24D59">
              <w:rPr>
                <w:b/>
                <w:lang w:val="fr-CH"/>
              </w:rPr>
              <w:t>/</w:t>
            </w:r>
            <w:r w:rsidR="00D4614F">
              <w:rPr>
                <w:b/>
                <w:lang w:val="fr-CH"/>
              </w:rPr>
              <w:t>38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7B97C8E8" w14:textId="77777777" w:rsidTr="00D4614F">
        <w:trPr>
          <w:cantSplit/>
        </w:trPr>
        <w:tc>
          <w:tcPr>
            <w:tcW w:w="3827" w:type="dxa"/>
            <w:vMerge/>
          </w:tcPr>
          <w:p w14:paraId="7A52B142" w14:textId="77777777" w:rsidR="00E24D59" w:rsidRPr="00E24D59" w:rsidRDefault="00E24D59" w:rsidP="00D4614F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51671B86" w14:textId="77777777" w:rsidR="00E24D59" w:rsidRPr="00E85629" w:rsidRDefault="00D4614F" w:rsidP="00D4614F">
            <w:pPr>
              <w:tabs>
                <w:tab w:val="left" w:pos="851"/>
              </w:tabs>
              <w:spacing w:before="0"/>
              <w:jc w:val="right"/>
              <w:rPr>
                <w:b/>
                <w:lang w:eastAsia="zh-CN"/>
              </w:rPr>
            </w:pPr>
            <w:r>
              <w:rPr>
                <w:b/>
              </w:rPr>
              <w:t>2026</w:t>
            </w:r>
            <w:r>
              <w:rPr>
                <w:rFonts w:hint="eastAsia"/>
                <w:b/>
                <w:lang w:eastAsia="zh-CN"/>
              </w:rPr>
              <w:t>年</w:t>
            </w:r>
            <w:r>
              <w:rPr>
                <w:rFonts w:hint="eastAsia"/>
                <w:b/>
                <w:lang w:eastAsia="zh-CN"/>
              </w:rPr>
              <w:t>3</w:t>
            </w:r>
            <w:r>
              <w:rPr>
                <w:rFonts w:hint="eastAsia"/>
                <w:b/>
                <w:lang w:eastAsia="zh-CN"/>
              </w:rPr>
              <w:t>月</w:t>
            </w:r>
            <w:r>
              <w:rPr>
                <w:rFonts w:hint="eastAsia"/>
                <w:b/>
                <w:lang w:eastAsia="zh-CN"/>
              </w:rPr>
              <w:t>26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322835C3" w14:textId="77777777" w:rsidTr="00D4614F">
        <w:trPr>
          <w:cantSplit/>
          <w:trHeight w:val="23"/>
        </w:trPr>
        <w:tc>
          <w:tcPr>
            <w:tcW w:w="3827" w:type="dxa"/>
            <w:vMerge/>
          </w:tcPr>
          <w:p w14:paraId="09035556" w14:textId="77777777" w:rsidR="00E24D59" w:rsidRPr="00813E5E" w:rsidRDefault="00E24D59" w:rsidP="00D4614F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5FED6AD4" w14:textId="77777777" w:rsidR="00E24D59" w:rsidRPr="00E85629" w:rsidRDefault="00E24D59" w:rsidP="00D4614F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</w:t>
            </w:r>
            <w:proofErr w:type="spellEnd"/>
            <w:r w:rsidRPr="00E24D59">
              <w:rPr>
                <w:rFonts w:cstheme="minorHAnsi"/>
                <w:b/>
                <w:bCs/>
                <w:lang w:val="ru-RU"/>
              </w:rPr>
              <w:t>：</w:t>
            </w:r>
            <w:r w:rsidR="00D4614F">
              <w:rPr>
                <w:rFonts w:cstheme="minorHAnsi" w:hint="eastAsia"/>
                <w:b/>
                <w:bCs/>
                <w:lang w:val="ru-RU" w:eastAsia="zh-CN"/>
              </w:rPr>
              <w:t>英文</w:t>
            </w:r>
          </w:p>
        </w:tc>
      </w:tr>
      <w:tr w:rsidR="00E24D59" w:rsidRPr="00813E5E" w14:paraId="1B4D6074" w14:textId="77777777" w:rsidTr="00D4614F">
        <w:trPr>
          <w:cantSplit/>
          <w:trHeight w:val="23"/>
        </w:trPr>
        <w:tc>
          <w:tcPr>
            <w:tcW w:w="3827" w:type="dxa"/>
          </w:tcPr>
          <w:p w14:paraId="4BA33F26" w14:textId="77777777" w:rsidR="00E24D59" w:rsidRPr="00813E5E" w:rsidRDefault="00E24D59" w:rsidP="00D4614F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0BA6F51" w14:textId="77777777" w:rsidR="00E24D59" w:rsidRDefault="00E24D59" w:rsidP="00D4614F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E24D59" w:rsidRPr="00813E5E" w14:paraId="1BF01EA6" w14:textId="77777777" w:rsidTr="00D4614F">
        <w:trPr>
          <w:cantSplit/>
        </w:trPr>
        <w:tc>
          <w:tcPr>
            <w:tcW w:w="9072" w:type="dxa"/>
            <w:gridSpan w:val="2"/>
            <w:tcMar>
              <w:left w:w="0" w:type="dxa"/>
            </w:tcMar>
          </w:tcPr>
          <w:p w14:paraId="0279F672" w14:textId="77777777" w:rsidR="00E24D59" w:rsidRPr="00C24DAC" w:rsidRDefault="003F086E" w:rsidP="00D4614F">
            <w:pPr>
              <w:pStyle w:val="Source"/>
              <w:framePr w:hSpace="0" w:wrap="auto" w:vAnchor="margin" w:hAnchor="text" w:xAlign="left" w:yAlign="inline"/>
            </w:pPr>
            <w:bookmarkStart w:id="5" w:name="dsource" w:colFirst="0" w:colLast="0"/>
            <w:bookmarkEnd w:id="4"/>
            <w:r w:rsidRPr="008F64AD">
              <w:rPr>
                <w:rFonts w:hint="eastAsia"/>
              </w:rPr>
              <w:t>秘书长的报告</w:t>
            </w:r>
          </w:p>
        </w:tc>
      </w:tr>
      <w:bookmarkEnd w:id="5"/>
      <w:tr w:rsidR="00E24D59" w:rsidRPr="00813E5E" w14:paraId="27F400EC" w14:textId="77777777" w:rsidTr="00D4614F">
        <w:trPr>
          <w:cantSplit/>
        </w:trPr>
        <w:tc>
          <w:tcPr>
            <w:tcW w:w="9072" w:type="dxa"/>
            <w:gridSpan w:val="2"/>
            <w:tcMar>
              <w:left w:w="0" w:type="dxa"/>
            </w:tcMar>
          </w:tcPr>
          <w:p w14:paraId="65D498BA" w14:textId="77777777" w:rsidR="00E24D59" w:rsidRPr="00C24DAC" w:rsidRDefault="00D4614F" w:rsidP="00D4614F">
            <w:pPr>
              <w:pStyle w:val="Subtitle"/>
              <w:framePr w:hSpace="0" w:wrap="auto" w:vAnchor="margin" w:hAnchor="text" w:xAlign="left" w:yAlign="inline"/>
            </w:pPr>
            <w:r w:rsidRPr="00D4614F">
              <w:rPr>
                <w:rFonts w:hint="eastAsia"/>
              </w:rPr>
              <w:t>理事会第</w:t>
            </w:r>
            <w:r w:rsidRPr="00D4614F">
              <w:rPr>
                <w:rFonts w:hint="eastAsia"/>
              </w:rPr>
              <w:t>600</w:t>
            </w:r>
            <w:r w:rsidRPr="00D4614F">
              <w:rPr>
                <w:rFonts w:hint="eastAsia"/>
              </w:rPr>
              <w:t>和</w:t>
            </w:r>
            <w:r w:rsidRPr="00D4614F">
              <w:rPr>
                <w:rFonts w:hint="eastAsia"/>
              </w:rPr>
              <w:t>601</w:t>
            </w:r>
            <w:r w:rsidRPr="00D4614F">
              <w:rPr>
                <w:rFonts w:hint="eastAsia"/>
              </w:rPr>
              <w:t>号决定（</w:t>
            </w:r>
            <w:r w:rsidRPr="00D4614F">
              <w:rPr>
                <w:rFonts w:hint="eastAsia"/>
              </w:rPr>
              <w:t>UIFN</w:t>
            </w:r>
            <w:r w:rsidRPr="00D4614F">
              <w:rPr>
                <w:rFonts w:hint="eastAsia"/>
              </w:rPr>
              <w:t>、</w:t>
            </w:r>
            <w:r w:rsidRPr="00D4614F">
              <w:rPr>
                <w:rFonts w:hint="eastAsia"/>
              </w:rPr>
              <w:t>IIN</w:t>
            </w:r>
            <w:r w:rsidRPr="00D4614F">
              <w:rPr>
                <w:rFonts w:hint="eastAsia"/>
              </w:rPr>
              <w:t>）落实情况报告</w:t>
            </w:r>
          </w:p>
        </w:tc>
      </w:tr>
      <w:tr w:rsidR="00E24D59" w:rsidRPr="00813E5E" w14:paraId="76DA83C7" w14:textId="77777777" w:rsidTr="00D4614F">
        <w:trPr>
          <w:cantSplit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6D4200B" w14:textId="77777777" w:rsidR="003F086E" w:rsidRPr="00477D57" w:rsidRDefault="003F086E" w:rsidP="00D4614F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目的</w:t>
            </w:r>
          </w:p>
          <w:p w14:paraId="22DE3CAF" w14:textId="1B6B0E90" w:rsidR="00D4614F" w:rsidRPr="00D4614F" w:rsidRDefault="00D4614F" w:rsidP="00D4614F">
            <w:pPr>
              <w:ind w:firstLineChars="200" w:firstLine="480"/>
              <w:rPr>
                <w:rFonts w:cs="Calibri"/>
                <w:lang w:eastAsia="zh-CN"/>
              </w:rPr>
            </w:pPr>
            <w:r w:rsidRPr="00D4614F">
              <w:rPr>
                <w:rFonts w:cs="Calibri" w:hint="eastAsia"/>
                <w:lang w:eastAsia="zh-CN"/>
              </w:rPr>
              <w:t>本报告提供：</w:t>
            </w:r>
            <w:r w:rsidRPr="00D4614F">
              <w:rPr>
                <w:rFonts w:cs="Calibri"/>
                <w:lang w:eastAsia="zh-CN"/>
              </w:rPr>
              <w:t>(</w:t>
            </w:r>
            <w:proofErr w:type="spellStart"/>
            <w:r w:rsidR="00107741">
              <w:rPr>
                <w:rFonts w:cs="Calibri"/>
                <w:lang w:eastAsia="zh-CN"/>
              </w:rPr>
              <w:t>i</w:t>
            </w:r>
            <w:proofErr w:type="spellEnd"/>
            <w:r w:rsidRPr="00D4614F">
              <w:rPr>
                <w:rFonts w:cs="Calibri"/>
                <w:lang w:eastAsia="zh-CN"/>
              </w:rPr>
              <w:t>)</w:t>
            </w:r>
            <w:r w:rsidR="00107741">
              <w:rPr>
                <w:rFonts w:cs="Calibri"/>
                <w:lang w:eastAsia="zh-CN"/>
              </w:rPr>
              <w:t xml:space="preserve"> </w:t>
            </w:r>
            <w:r w:rsidRPr="00D4614F">
              <w:rPr>
                <w:rFonts w:cs="Calibri" w:hint="eastAsia"/>
                <w:lang w:eastAsia="zh-CN"/>
              </w:rPr>
              <w:t>通过落实理事会关于国际通用免费电话号码（</w:t>
            </w:r>
            <w:proofErr w:type="spellStart"/>
            <w:r w:rsidRPr="00D4614F">
              <w:rPr>
                <w:rFonts w:cs="Calibri"/>
                <w:lang w:eastAsia="zh-CN"/>
              </w:rPr>
              <w:t>UIFN</w:t>
            </w:r>
            <w:proofErr w:type="spellEnd"/>
            <w:r w:rsidRPr="00D4614F">
              <w:rPr>
                <w:rFonts w:cs="Calibri" w:hint="eastAsia"/>
                <w:lang w:eastAsia="zh-CN"/>
              </w:rPr>
              <w:t>）的第</w:t>
            </w:r>
            <w:r w:rsidRPr="00D4614F">
              <w:rPr>
                <w:rFonts w:cs="Calibri" w:hint="eastAsia"/>
                <w:lang w:eastAsia="zh-CN"/>
              </w:rPr>
              <w:t>600</w:t>
            </w:r>
            <w:r w:rsidRPr="00D4614F">
              <w:rPr>
                <w:rFonts w:cs="Calibri" w:hint="eastAsia"/>
                <w:lang w:eastAsia="zh-CN"/>
              </w:rPr>
              <w:t>号决定取得收入的最新情况；以及</w:t>
            </w:r>
            <w:r w:rsidRPr="00D4614F">
              <w:rPr>
                <w:rFonts w:cs="Calibri"/>
                <w:lang w:eastAsia="zh-CN"/>
              </w:rPr>
              <w:t>(</w:t>
            </w:r>
            <w:r w:rsidR="00107741">
              <w:rPr>
                <w:rFonts w:cs="Calibri"/>
                <w:lang w:eastAsia="zh-CN"/>
              </w:rPr>
              <w:t>ii</w:t>
            </w:r>
            <w:r w:rsidRPr="00D4614F">
              <w:rPr>
                <w:rFonts w:cs="Calibri"/>
                <w:lang w:eastAsia="zh-CN"/>
              </w:rPr>
              <w:t>)</w:t>
            </w:r>
            <w:r w:rsidR="00107741">
              <w:rPr>
                <w:rFonts w:cs="Calibri"/>
                <w:lang w:eastAsia="zh-CN"/>
              </w:rPr>
              <w:t xml:space="preserve"> </w:t>
            </w:r>
            <w:r w:rsidRPr="00D4614F">
              <w:rPr>
                <w:rFonts w:cs="Calibri" w:hint="eastAsia"/>
                <w:lang w:eastAsia="zh-CN"/>
              </w:rPr>
              <w:t>废止理事会关于发行者标识码（</w:t>
            </w:r>
            <w:r w:rsidRPr="00D4614F">
              <w:rPr>
                <w:rFonts w:cs="Calibri"/>
                <w:lang w:eastAsia="zh-CN"/>
              </w:rPr>
              <w:t>IIN</w:t>
            </w:r>
            <w:r w:rsidRPr="00D4614F">
              <w:rPr>
                <w:rFonts w:cs="Calibri" w:hint="eastAsia"/>
                <w:lang w:eastAsia="zh-CN"/>
              </w:rPr>
              <w:t>）的第</w:t>
            </w:r>
            <w:r w:rsidRPr="00D4614F">
              <w:rPr>
                <w:rFonts w:cs="Calibri" w:hint="eastAsia"/>
                <w:lang w:eastAsia="zh-CN"/>
              </w:rPr>
              <w:t>601</w:t>
            </w:r>
            <w:r w:rsidRPr="00D4614F">
              <w:rPr>
                <w:rFonts w:cs="Calibri" w:hint="eastAsia"/>
                <w:lang w:eastAsia="zh-CN"/>
              </w:rPr>
              <w:t>号决定的建议。</w:t>
            </w:r>
          </w:p>
          <w:p w14:paraId="42CAD4A0" w14:textId="77777777" w:rsidR="00D4614F" w:rsidRPr="00D4614F" w:rsidRDefault="00D4614F" w:rsidP="00D4614F">
            <w:pPr>
              <w:ind w:firstLineChars="200" w:firstLine="480"/>
              <w:rPr>
                <w:rFonts w:cs="Calibri"/>
                <w:b/>
                <w:bCs/>
                <w:lang w:eastAsia="zh-CN"/>
              </w:rPr>
            </w:pPr>
            <w:r w:rsidRPr="00D4614F">
              <w:rPr>
                <w:rFonts w:cs="Calibri" w:hint="eastAsia"/>
                <w:lang w:eastAsia="zh-CN"/>
              </w:rPr>
              <w:t>自</w:t>
            </w:r>
            <w:r w:rsidRPr="00D4614F">
              <w:rPr>
                <w:rFonts w:cs="Calibri" w:hint="eastAsia"/>
                <w:lang w:eastAsia="zh-CN"/>
              </w:rPr>
              <w:t>2018</w:t>
            </w:r>
            <w:r w:rsidRPr="00D4614F">
              <w:rPr>
                <w:rFonts w:cs="Calibri" w:hint="eastAsia"/>
                <w:lang w:eastAsia="zh-CN"/>
              </w:rPr>
              <w:t>年以来，落实理事会第</w:t>
            </w:r>
            <w:r w:rsidRPr="00D4614F">
              <w:rPr>
                <w:rFonts w:cs="Calibri" w:hint="eastAsia"/>
                <w:b/>
                <w:bCs/>
                <w:lang w:eastAsia="zh-CN"/>
              </w:rPr>
              <w:t>600</w:t>
            </w:r>
            <w:r w:rsidRPr="00D4614F">
              <w:rPr>
                <w:rFonts w:cs="Calibri" w:hint="eastAsia"/>
                <w:lang w:eastAsia="zh-CN"/>
              </w:rPr>
              <w:t>号决定产生的收入平均</w:t>
            </w:r>
            <w:r w:rsidRPr="00D4614F">
              <w:rPr>
                <w:rFonts w:cs="Calibri" w:hint="eastAsia"/>
                <w:b/>
                <w:bCs/>
                <w:lang w:eastAsia="zh-CN"/>
              </w:rPr>
              <w:t>每年</w:t>
            </w:r>
            <w:r w:rsidRPr="00D4614F">
              <w:rPr>
                <w:rFonts w:cs="Calibri" w:hint="eastAsia"/>
                <w:lang w:eastAsia="zh-CN"/>
              </w:rPr>
              <w:t>约为</w:t>
            </w:r>
            <w:r w:rsidRPr="00D4614F">
              <w:rPr>
                <w:rFonts w:cs="Calibri" w:hint="eastAsia"/>
                <w:b/>
                <w:bCs/>
                <w:lang w:eastAsia="zh-CN"/>
              </w:rPr>
              <w:t>235 000</w:t>
            </w:r>
            <w:r w:rsidRPr="00D4614F">
              <w:rPr>
                <w:rFonts w:cs="Calibri" w:hint="eastAsia"/>
                <w:b/>
                <w:bCs/>
                <w:lang w:eastAsia="zh-CN"/>
              </w:rPr>
              <w:t>瑞郎。</w:t>
            </w:r>
          </w:p>
          <w:p w14:paraId="7A4BC9CD" w14:textId="77777777" w:rsidR="003F086E" w:rsidRPr="00D4614F" w:rsidRDefault="00D4614F" w:rsidP="00D4614F">
            <w:pPr>
              <w:ind w:firstLineChars="200" w:firstLine="480"/>
              <w:rPr>
                <w:rFonts w:cs="Calibri"/>
                <w:lang w:eastAsia="zh-CN"/>
              </w:rPr>
            </w:pPr>
            <w:r w:rsidRPr="00D4614F">
              <w:rPr>
                <w:rFonts w:cs="Calibri" w:hint="eastAsia"/>
                <w:lang w:eastAsia="zh-CN"/>
              </w:rPr>
              <w:t>然而，自</w:t>
            </w:r>
            <w:r w:rsidRPr="00D4614F">
              <w:rPr>
                <w:rFonts w:cs="Calibri" w:hint="eastAsia"/>
                <w:lang w:eastAsia="zh-CN"/>
              </w:rPr>
              <w:t>2018</w:t>
            </w:r>
            <w:r w:rsidRPr="00D4614F">
              <w:rPr>
                <w:rFonts w:cs="Calibri" w:hint="eastAsia"/>
                <w:lang w:eastAsia="zh-CN"/>
              </w:rPr>
              <w:t>年以来，落实理事会第</w:t>
            </w:r>
            <w:r w:rsidRPr="00D4614F">
              <w:rPr>
                <w:rFonts w:cs="Calibri" w:hint="eastAsia"/>
                <w:b/>
                <w:bCs/>
                <w:lang w:eastAsia="zh-CN"/>
              </w:rPr>
              <w:t>601</w:t>
            </w:r>
            <w:r w:rsidRPr="00D4614F">
              <w:rPr>
                <w:rFonts w:cs="Calibri" w:hint="eastAsia"/>
                <w:lang w:eastAsia="zh-CN"/>
              </w:rPr>
              <w:t>号决定产生的收入平均</w:t>
            </w:r>
            <w:r w:rsidRPr="00D4614F">
              <w:rPr>
                <w:rFonts w:cs="Calibri" w:hint="eastAsia"/>
                <w:b/>
                <w:bCs/>
                <w:lang w:eastAsia="zh-CN"/>
              </w:rPr>
              <w:t>每年</w:t>
            </w:r>
            <w:r w:rsidRPr="00D4614F">
              <w:rPr>
                <w:rFonts w:cs="Calibri" w:hint="eastAsia"/>
                <w:lang w:eastAsia="zh-CN"/>
              </w:rPr>
              <w:t>约为</w:t>
            </w:r>
            <w:r w:rsidRPr="00D4614F">
              <w:rPr>
                <w:rFonts w:cs="Calibri" w:hint="eastAsia"/>
                <w:b/>
                <w:bCs/>
                <w:lang w:eastAsia="zh-CN"/>
              </w:rPr>
              <w:t>4 700</w:t>
            </w:r>
            <w:r w:rsidRPr="00D4614F">
              <w:rPr>
                <w:rFonts w:cs="Calibri" w:hint="eastAsia"/>
                <w:b/>
                <w:bCs/>
                <w:lang w:eastAsia="zh-CN"/>
              </w:rPr>
              <w:t>瑞郎</w:t>
            </w:r>
            <w:r w:rsidRPr="00D4614F">
              <w:rPr>
                <w:rFonts w:cs="Calibri" w:hint="eastAsia"/>
                <w:lang w:eastAsia="zh-CN"/>
              </w:rPr>
              <w:t>。此外，</w:t>
            </w:r>
            <w:r w:rsidRPr="00D4614F">
              <w:rPr>
                <w:rFonts w:cs="Calibri" w:hint="eastAsia"/>
                <w:b/>
                <w:bCs/>
                <w:lang w:eastAsia="zh-CN"/>
              </w:rPr>
              <w:t>ITU-T</w:t>
            </w:r>
            <w:r w:rsidRPr="00D4614F">
              <w:rPr>
                <w:rFonts w:cs="Calibri" w:hint="eastAsia"/>
                <w:b/>
                <w:bCs/>
                <w:lang w:eastAsia="zh-CN"/>
              </w:rPr>
              <w:t>第</w:t>
            </w:r>
            <w:r w:rsidRPr="00D4614F">
              <w:rPr>
                <w:rFonts w:cs="Calibri" w:hint="eastAsia"/>
                <w:b/>
                <w:bCs/>
                <w:lang w:eastAsia="zh-CN"/>
              </w:rPr>
              <w:t>2</w:t>
            </w:r>
            <w:r w:rsidRPr="00D4614F">
              <w:rPr>
                <w:rFonts w:cs="Calibri" w:hint="eastAsia"/>
                <w:b/>
                <w:bCs/>
                <w:lang w:eastAsia="zh-CN"/>
              </w:rPr>
              <w:t>研究组</w:t>
            </w:r>
            <w:r w:rsidRPr="00D4614F">
              <w:rPr>
                <w:rFonts w:cs="Calibri" w:hint="eastAsia"/>
                <w:lang w:eastAsia="zh-CN"/>
              </w:rPr>
              <w:t>批准了对规范</w:t>
            </w:r>
            <w:r w:rsidRPr="00D4614F">
              <w:rPr>
                <w:rFonts w:cs="Calibri" w:hint="eastAsia"/>
                <w:lang w:eastAsia="zh-CN"/>
              </w:rPr>
              <w:t>IIN</w:t>
            </w:r>
            <w:r w:rsidRPr="00D4614F">
              <w:rPr>
                <w:rFonts w:cs="Calibri" w:hint="eastAsia"/>
                <w:lang w:eastAsia="zh-CN"/>
              </w:rPr>
              <w:t>管理的</w:t>
            </w:r>
            <w:r w:rsidRPr="00D4614F">
              <w:rPr>
                <w:rFonts w:cs="Calibri" w:hint="eastAsia"/>
                <w:b/>
                <w:bCs/>
                <w:lang w:eastAsia="zh-CN"/>
              </w:rPr>
              <w:t>ITU-T E.118</w:t>
            </w:r>
            <w:r w:rsidRPr="00D4614F">
              <w:rPr>
                <w:rFonts w:cs="Calibri" w:hint="eastAsia"/>
                <w:b/>
                <w:bCs/>
                <w:lang w:eastAsia="zh-CN"/>
              </w:rPr>
              <w:t>建议书的修订</w:t>
            </w:r>
            <w:r w:rsidRPr="00D4614F">
              <w:rPr>
                <w:rFonts w:cs="Calibri" w:hint="eastAsia"/>
                <w:lang w:eastAsia="zh-CN"/>
              </w:rPr>
              <w:t>，取消了登记机构职能及相关收费框架。考虑到这些因素，本报告建议</w:t>
            </w:r>
            <w:r w:rsidRPr="00D4614F">
              <w:rPr>
                <w:rFonts w:cs="Calibri" w:hint="eastAsia"/>
                <w:b/>
                <w:bCs/>
                <w:lang w:eastAsia="zh-CN"/>
              </w:rPr>
              <w:t>废止</w:t>
            </w:r>
            <w:r w:rsidRPr="00D4614F">
              <w:rPr>
                <w:rFonts w:cs="Calibri" w:hint="eastAsia"/>
                <w:lang w:eastAsia="zh-CN"/>
              </w:rPr>
              <w:t>理事会第</w:t>
            </w:r>
            <w:r w:rsidRPr="00D4614F">
              <w:rPr>
                <w:rFonts w:cs="Calibri" w:hint="eastAsia"/>
                <w:lang w:eastAsia="zh-CN"/>
              </w:rPr>
              <w:t>601</w:t>
            </w:r>
            <w:r w:rsidRPr="00D4614F">
              <w:rPr>
                <w:rFonts w:cs="Calibri" w:hint="eastAsia"/>
                <w:lang w:eastAsia="zh-CN"/>
              </w:rPr>
              <w:t>号决定。</w:t>
            </w:r>
          </w:p>
          <w:p w14:paraId="4889A8D8" w14:textId="77777777" w:rsidR="003F086E" w:rsidRPr="00477D57" w:rsidRDefault="003F086E" w:rsidP="00D4614F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理事会需采取的行动</w:t>
            </w:r>
          </w:p>
          <w:p w14:paraId="641F4B8C" w14:textId="77777777" w:rsidR="003F086E" w:rsidRPr="00D4614F" w:rsidRDefault="00D4614F" w:rsidP="00D4614F">
            <w:pPr>
              <w:ind w:firstLineChars="200" w:firstLine="480"/>
              <w:rPr>
                <w:rFonts w:cs="Calibri"/>
                <w:lang w:eastAsia="zh-CN"/>
              </w:rPr>
            </w:pPr>
            <w:r w:rsidRPr="00D4614F">
              <w:rPr>
                <w:rFonts w:cs="Calibri" w:hint="eastAsia"/>
                <w:lang w:eastAsia="zh-CN"/>
              </w:rPr>
              <w:t>请理事会将第</w:t>
            </w:r>
            <w:r w:rsidRPr="00D4614F">
              <w:rPr>
                <w:rFonts w:cs="Calibri" w:hint="eastAsia"/>
                <w:b/>
                <w:bCs/>
                <w:lang w:eastAsia="zh-CN"/>
              </w:rPr>
              <w:t>600</w:t>
            </w:r>
            <w:r w:rsidRPr="00D4614F">
              <w:rPr>
                <w:rFonts w:cs="Calibri" w:hint="eastAsia"/>
                <w:lang w:eastAsia="zh-CN"/>
              </w:rPr>
              <w:t>号决定的落实情况</w:t>
            </w:r>
            <w:r w:rsidRPr="00D4614F">
              <w:rPr>
                <w:rFonts w:cs="Calibri" w:hint="eastAsia"/>
                <w:b/>
                <w:bCs/>
                <w:lang w:eastAsia="zh-CN"/>
              </w:rPr>
              <w:t>记录在案</w:t>
            </w:r>
            <w:r w:rsidRPr="00D4614F">
              <w:rPr>
                <w:rFonts w:cs="Calibri" w:hint="eastAsia"/>
                <w:lang w:eastAsia="zh-CN"/>
              </w:rPr>
              <w:t>，并批准</w:t>
            </w:r>
            <w:r w:rsidRPr="00D4614F">
              <w:rPr>
                <w:rFonts w:cs="Calibri" w:hint="eastAsia"/>
                <w:b/>
                <w:bCs/>
                <w:lang w:eastAsia="zh-CN"/>
              </w:rPr>
              <w:t>废止</w:t>
            </w:r>
            <w:r w:rsidRPr="00D4614F">
              <w:rPr>
                <w:rFonts w:cs="Calibri" w:hint="eastAsia"/>
                <w:lang w:eastAsia="zh-CN"/>
              </w:rPr>
              <w:t>第</w:t>
            </w:r>
            <w:r w:rsidRPr="00D4614F">
              <w:rPr>
                <w:rFonts w:cs="Calibri" w:hint="eastAsia"/>
                <w:b/>
                <w:bCs/>
                <w:lang w:eastAsia="zh-CN"/>
              </w:rPr>
              <w:t>601</w:t>
            </w:r>
            <w:r w:rsidRPr="00D4614F">
              <w:rPr>
                <w:rFonts w:cs="Calibri" w:hint="eastAsia"/>
                <w:lang w:eastAsia="zh-CN"/>
              </w:rPr>
              <w:t>号决定。</w:t>
            </w:r>
          </w:p>
          <w:p w14:paraId="1FA214F9" w14:textId="77777777" w:rsidR="003F086E" w:rsidRPr="00477D57" w:rsidRDefault="003F086E" w:rsidP="00D4614F">
            <w:pPr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与</w:t>
            </w:r>
            <w:r w:rsidRPr="00477D57">
              <w:rPr>
                <w:b/>
                <w:bCs/>
                <w:lang w:eastAsia="zh-CN"/>
              </w:rPr>
              <w:t>《战略规划》</w:t>
            </w:r>
            <w:r w:rsidRPr="00477D57">
              <w:rPr>
                <w:rFonts w:hint="eastAsia"/>
                <w:b/>
                <w:bCs/>
                <w:lang w:eastAsia="zh-CN"/>
              </w:rPr>
              <w:t>的关联</w:t>
            </w:r>
          </w:p>
          <w:p w14:paraId="280B6981" w14:textId="77777777" w:rsidR="003F086E" w:rsidRPr="00477D57" w:rsidRDefault="00D4614F" w:rsidP="00D4614F">
            <w:pPr>
              <w:ind w:firstLineChars="200" w:firstLine="480"/>
              <w:rPr>
                <w:rFonts w:asciiTheme="majorEastAsia" w:eastAsiaTheme="majorEastAsia" w:hAnsiTheme="majorEastAsia"/>
                <w:lang w:eastAsia="zh-CN"/>
              </w:rPr>
            </w:pPr>
            <w:r w:rsidRPr="00D4614F">
              <w:rPr>
                <w:rFonts w:asciiTheme="majorEastAsia" w:eastAsiaTheme="majorEastAsia" w:hAnsiTheme="majorEastAsia" w:hint="eastAsia"/>
                <w:lang w:eastAsia="zh-CN"/>
              </w:rPr>
              <w:t>国际电信码号资源。</w:t>
            </w:r>
          </w:p>
          <w:p w14:paraId="58DB338F" w14:textId="77777777" w:rsidR="003F086E" w:rsidRPr="00477D57" w:rsidRDefault="003F086E" w:rsidP="00D4614F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财务影响</w:t>
            </w:r>
          </w:p>
          <w:p w14:paraId="6C55C98A" w14:textId="77777777" w:rsidR="008F64AD" w:rsidRPr="00E15ACD" w:rsidRDefault="00D4614F" w:rsidP="00D4614F">
            <w:pPr>
              <w:ind w:firstLineChars="200" w:firstLine="480"/>
              <w:rPr>
                <w:rFonts w:asciiTheme="minorHAnsi" w:eastAsiaTheme="majorEastAsia" w:hAnsiTheme="minorHAnsi" w:cstheme="minorHAnsi"/>
                <w:lang w:eastAsia="zh-CN"/>
              </w:rPr>
            </w:pPr>
            <w:r w:rsidRPr="00E15ACD">
              <w:rPr>
                <w:rFonts w:asciiTheme="minorHAnsi" w:eastAsiaTheme="majorEastAsia" w:hAnsiTheme="minorHAnsi" w:cstheme="minorHAnsi"/>
                <w:lang w:eastAsia="zh-CN"/>
              </w:rPr>
              <w:t>落实理事会第</w:t>
            </w:r>
            <w:r w:rsidRPr="00E15ACD">
              <w:rPr>
                <w:rFonts w:asciiTheme="minorHAnsi" w:eastAsiaTheme="majorEastAsia" w:hAnsiTheme="minorHAnsi" w:cstheme="minorHAnsi"/>
                <w:lang w:eastAsia="zh-CN"/>
              </w:rPr>
              <w:t>600</w:t>
            </w:r>
            <w:r w:rsidRPr="00E15ACD">
              <w:rPr>
                <w:rFonts w:asciiTheme="minorHAnsi" w:eastAsiaTheme="majorEastAsia" w:hAnsiTheme="minorHAnsi" w:cstheme="minorHAnsi"/>
                <w:lang w:eastAsia="zh-CN"/>
              </w:rPr>
              <w:t>和</w:t>
            </w:r>
            <w:r w:rsidRPr="00E15ACD">
              <w:rPr>
                <w:rFonts w:asciiTheme="minorHAnsi" w:eastAsiaTheme="majorEastAsia" w:hAnsiTheme="minorHAnsi" w:cstheme="minorHAnsi"/>
                <w:lang w:eastAsia="zh-CN"/>
              </w:rPr>
              <w:t>601</w:t>
            </w:r>
            <w:r w:rsidRPr="00E15ACD">
              <w:rPr>
                <w:rFonts w:asciiTheme="minorHAnsi" w:eastAsiaTheme="majorEastAsia" w:hAnsiTheme="minorHAnsi" w:cstheme="minorHAnsi"/>
                <w:lang w:eastAsia="zh-CN"/>
              </w:rPr>
              <w:t>号决定产生的收入包含在</w:t>
            </w:r>
            <w:r w:rsidRPr="00E15ACD">
              <w:rPr>
                <w:rFonts w:asciiTheme="minorHAnsi" w:eastAsiaTheme="majorEastAsia" w:hAnsiTheme="minorHAnsi" w:cstheme="minorHAnsi"/>
                <w:lang w:eastAsia="zh-CN"/>
              </w:rPr>
              <w:t>2026</w:t>
            </w:r>
            <w:r w:rsidR="00BE0E15" w:rsidRPr="00E15ACD">
              <w:rPr>
                <w:rFonts w:asciiTheme="minorHAnsi" w:eastAsiaTheme="majorEastAsia" w:hAnsiTheme="minorHAnsi" w:cstheme="minorHAnsi"/>
                <w:lang w:eastAsia="zh-CN"/>
              </w:rPr>
              <w:t>至</w:t>
            </w:r>
            <w:r w:rsidRPr="00E15ACD">
              <w:rPr>
                <w:rFonts w:asciiTheme="minorHAnsi" w:eastAsiaTheme="majorEastAsia" w:hAnsiTheme="minorHAnsi" w:cstheme="minorHAnsi"/>
                <w:lang w:eastAsia="zh-CN"/>
              </w:rPr>
              <w:t>2027</w:t>
            </w:r>
            <w:r w:rsidRPr="00E15ACD">
              <w:rPr>
                <w:rFonts w:asciiTheme="minorHAnsi" w:eastAsiaTheme="majorEastAsia" w:hAnsiTheme="minorHAnsi" w:cstheme="minorHAnsi"/>
                <w:lang w:eastAsia="zh-CN"/>
              </w:rPr>
              <w:t>年预算中。</w:t>
            </w:r>
          </w:p>
          <w:p w14:paraId="3221B61C" w14:textId="77777777" w:rsidR="00E24D59" w:rsidRPr="00DA2D30" w:rsidRDefault="00DA2D30" w:rsidP="00D4614F">
            <w:r>
              <w:t>_______________</w:t>
            </w:r>
          </w:p>
          <w:p w14:paraId="52541721" w14:textId="77777777" w:rsidR="00E24D59" w:rsidRPr="00477D57" w:rsidRDefault="00E24D59" w:rsidP="00D4614F">
            <w:pPr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参考文件</w:t>
            </w:r>
          </w:p>
          <w:p w14:paraId="7F082759" w14:textId="37D0D8DD" w:rsidR="00E24D59" w:rsidRPr="00477D57" w:rsidRDefault="00D4614F" w:rsidP="00D4614F">
            <w:pPr>
              <w:spacing w:after="120"/>
              <w:ind w:firstLineChars="200" w:firstLine="480"/>
              <w:rPr>
                <w:rFonts w:asciiTheme="majorEastAsia" w:eastAsiaTheme="majorEastAsia" w:hAnsiTheme="majorEastAsia"/>
                <w:i/>
                <w:iCs/>
                <w:sz w:val="22"/>
                <w:szCs w:val="22"/>
              </w:rPr>
            </w:pPr>
            <w:hyperlink r:id="rId8" w:history="1">
              <w:r w:rsidRPr="003A1DC6">
                <w:rPr>
                  <w:rStyle w:val="Hyperlink"/>
                  <w:rFonts w:eastAsia="SimSun"/>
                  <w:spacing w:val="-2"/>
                  <w:sz w:val="22"/>
                  <w:szCs w:val="22"/>
                  <w:u w:val="single"/>
                </w:rPr>
                <w:t>C17/133</w:t>
              </w:r>
            </w:hyperlink>
            <w:r w:rsidR="003A1DC6">
              <w:rPr>
                <w:rFonts w:hint="eastAsia"/>
                <w:spacing w:val="-2"/>
                <w:sz w:val="22"/>
                <w:szCs w:val="22"/>
                <w:lang w:eastAsia="zh-CN"/>
              </w:rPr>
              <w:t>、</w:t>
            </w:r>
            <w:r w:rsidRPr="003A1DC6">
              <w:rPr>
                <w:u w:val="single"/>
              </w:rPr>
              <w:fldChar w:fldCharType="begin"/>
            </w:r>
            <w:r w:rsidRPr="003A1DC6">
              <w:rPr>
                <w:u w:val="single"/>
              </w:rPr>
              <w:instrText>HYPERLINK "https://www.itu.int/md/S17-CL-C-0134/en"</w:instrText>
            </w:r>
            <w:r w:rsidRPr="003A1DC6">
              <w:rPr>
                <w:u w:val="single"/>
              </w:rPr>
            </w:r>
            <w:r w:rsidRPr="003A1DC6">
              <w:rPr>
                <w:u w:val="single"/>
              </w:rPr>
              <w:fldChar w:fldCharType="separate"/>
            </w:r>
            <w:r w:rsidRPr="003A1DC6">
              <w:rPr>
                <w:rStyle w:val="Hyperlink"/>
                <w:rFonts w:eastAsia="SimSun"/>
                <w:spacing w:val="-2"/>
                <w:sz w:val="22"/>
                <w:szCs w:val="22"/>
                <w:u w:val="single"/>
              </w:rPr>
              <w:t>C17/134</w:t>
            </w:r>
            <w:r w:rsidRPr="003A1DC6">
              <w:rPr>
                <w:u w:val="single"/>
              </w:rPr>
              <w:fldChar w:fldCharType="end"/>
            </w:r>
            <w:r w:rsidR="003A1DC6">
              <w:rPr>
                <w:rFonts w:hint="eastAsia"/>
                <w:spacing w:val="-2"/>
                <w:sz w:val="22"/>
                <w:szCs w:val="22"/>
                <w:lang w:eastAsia="zh-CN"/>
              </w:rPr>
              <w:t>、</w:t>
            </w:r>
            <w:hyperlink r:id="rId9" w:history="1">
              <w:r w:rsidRPr="003A1DC6">
                <w:rPr>
                  <w:rStyle w:val="Hyperlink"/>
                  <w:rFonts w:eastAsia="SimSun"/>
                  <w:spacing w:val="-2"/>
                  <w:sz w:val="22"/>
                  <w:szCs w:val="22"/>
                  <w:u w:val="single"/>
                </w:rPr>
                <w:t>C18/100</w:t>
              </w:r>
            </w:hyperlink>
            <w:r w:rsidR="003A1DC6">
              <w:rPr>
                <w:rFonts w:hint="eastAsia"/>
                <w:spacing w:val="-2"/>
                <w:sz w:val="22"/>
                <w:szCs w:val="22"/>
                <w:lang w:eastAsia="zh-CN"/>
              </w:rPr>
              <w:t>、</w:t>
            </w:r>
            <w:r w:rsidRPr="003A1DC6">
              <w:rPr>
                <w:u w:val="single"/>
              </w:rPr>
              <w:fldChar w:fldCharType="begin"/>
            </w:r>
            <w:r w:rsidR="00C06291">
              <w:rPr>
                <w:u w:val="single"/>
              </w:rPr>
              <w:instrText>HYPERLINK "https://www.itu.int/dms_pub/itu-s/md/18/cl/c/S18-CL-C-0121!!MSW-C.docx"</w:instrText>
            </w:r>
            <w:r w:rsidRPr="003A1DC6">
              <w:rPr>
                <w:u w:val="single"/>
              </w:rPr>
            </w:r>
            <w:r w:rsidRPr="003A1DC6">
              <w:rPr>
                <w:u w:val="single"/>
              </w:rPr>
              <w:fldChar w:fldCharType="separate"/>
            </w:r>
            <w:r w:rsidRPr="003A1DC6">
              <w:rPr>
                <w:rStyle w:val="Hyperlink"/>
                <w:rFonts w:asciiTheme="minorHAnsi" w:eastAsiaTheme="minorEastAsia" w:hAnsiTheme="minorHAnsi" w:cstheme="minorHAnsi"/>
                <w:spacing w:val="-2"/>
                <w:sz w:val="22"/>
                <w:szCs w:val="22"/>
                <w:u w:val="single"/>
              </w:rPr>
              <w:t>C18/121</w:t>
            </w:r>
            <w:r w:rsidRPr="003A1DC6">
              <w:rPr>
                <w:u w:val="single"/>
              </w:rPr>
              <w:fldChar w:fldCharType="end"/>
            </w:r>
            <w:r w:rsidR="003A1DC6">
              <w:rPr>
                <w:rFonts w:asciiTheme="minorHAnsi" w:eastAsiaTheme="minorEastAsia" w:hAnsiTheme="minorHAnsi" w:cstheme="minorHAnsi" w:hint="eastAsia"/>
                <w:spacing w:val="-2"/>
                <w:sz w:val="22"/>
                <w:szCs w:val="22"/>
                <w:lang w:eastAsia="zh-CN"/>
              </w:rPr>
              <w:t>、</w:t>
            </w:r>
            <w:hyperlink r:id="rId10" w:history="1">
              <w:r w:rsidRPr="003A1DC6">
                <w:rPr>
                  <w:rStyle w:val="Hyperlink"/>
                  <w:rFonts w:asciiTheme="minorHAnsi" w:eastAsiaTheme="minorEastAsia" w:hAnsiTheme="minorHAnsi" w:cstheme="minorHAnsi"/>
                  <w:spacing w:val="-2"/>
                  <w:sz w:val="22"/>
                  <w:szCs w:val="22"/>
                  <w:u w:val="single"/>
                </w:rPr>
                <w:t>CWG-FHR 8/18</w:t>
              </w:r>
            </w:hyperlink>
            <w:r w:rsidR="003A1DC6">
              <w:rPr>
                <w:rFonts w:asciiTheme="minorHAnsi" w:eastAsiaTheme="minorEastAsia" w:hAnsiTheme="minorHAnsi" w:cstheme="minorHAnsi" w:hint="eastAsia"/>
                <w:spacing w:val="-2"/>
                <w:sz w:val="22"/>
                <w:szCs w:val="22"/>
                <w:lang w:eastAsia="zh-CN"/>
              </w:rPr>
              <w:t>、</w:t>
            </w:r>
            <w:r w:rsidRPr="003A1DC6">
              <w:rPr>
                <w:u w:val="single"/>
              </w:rPr>
              <w:fldChar w:fldCharType="begin"/>
            </w:r>
            <w:r w:rsidRPr="003A1DC6">
              <w:rPr>
                <w:u w:val="single"/>
              </w:rPr>
              <w:instrText>HYPERLINK "https://www.itu.int/md/S19-CLCWGFHR09-C-0014/en"</w:instrText>
            </w:r>
            <w:r w:rsidRPr="003A1DC6">
              <w:rPr>
                <w:u w:val="single"/>
              </w:rPr>
            </w:r>
            <w:r w:rsidRPr="003A1DC6">
              <w:rPr>
                <w:u w:val="single"/>
              </w:rPr>
              <w:fldChar w:fldCharType="separate"/>
            </w:r>
            <w:r w:rsidRPr="003A1DC6">
              <w:rPr>
                <w:rStyle w:val="Hyperlink"/>
                <w:rFonts w:eastAsia="SimSun"/>
                <w:spacing w:val="-2"/>
                <w:sz w:val="22"/>
                <w:szCs w:val="22"/>
                <w:u w:val="single"/>
              </w:rPr>
              <w:t>CWG-FHR-9/1</w:t>
            </w:r>
            <w:r w:rsidRPr="003A1DC6">
              <w:rPr>
                <w:u w:val="single"/>
              </w:rPr>
              <w:fldChar w:fldCharType="end"/>
            </w:r>
            <w:r w:rsidRPr="003A1DC6">
              <w:rPr>
                <w:rStyle w:val="Hyperlink"/>
                <w:rFonts w:eastAsia="SimSun"/>
                <w:spacing w:val="-2"/>
                <w:sz w:val="22"/>
                <w:szCs w:val="22"/>
                <w:u w:val="single"/>
              </w:rPr>
              <w:t>4</w:t>
            </w:r>
            <w:r w:rsidR="003A1DC6">
              <w:rPr>
                <w:rFonts w:hint="eastAsia"/>
                <w:lang w:eastAsia="zh-CN"/>
              </w:rPr>
              <w:t>、</w:t>
            </w:r>
            <w:hyperlink r:id="rId11" w:history="1">
              <w:r w:rsidRPr="003A1DC6">
                <w:rPr>
                  <w:rStyle w:val="Hyperlink"/>
                  <w:rFonts w:eastAsia="SimSun"/>
                  <w:spacing w:val="-2"/>
                  <w:sz w:val="22"/>
                  <w:szCs w:val="22"/>
                  <w:u w:val="single"/>
                </w:rPr>
                <w:t>CWG-FHR-9/15</w:t>
              </w:r>
            </w:hyperlink>
            <w:r w:rsidR="003A1DC6">
              <w:rPr>
                <w:rFonts w:hint="eastAsia"/>
                <w:spacing w:val="-2"/>
                <w:sz w:val="22"/>
                <w:szCs w:val="22"/>
                <w:lang w:eastAsia="zh-CN"/>
              </w:rPr>
              <w:t>、</w:t>
            </w:r>
            <w:r w:rsidRPr="003A1DC6">
              <w:rPr>
                <w:u w:val="single"/>
              </w:rPr>
              <w:fldChar w:fldCharType="begin"/>
            </w:r>
            <w:r w:rsidRPr="003A1DC6">
              <w:rPr>
                <w:u w:val="single"/>
              </w:rPr>
              <w:instrText>HYPERLINK "https://www.itu.int/md/S19-CL-C-0047/en"</w:instrText>
            </w:r>
            <w:r w:rsidRPr="003A1DC6">
              <w:rPr>
                <w:u w:val="single"/>
              </w:rPr>
            </w:r>
            <w:r w:rsidRPr="003A1DC6">
              <w:rPr>
                <w:u w:val="single"/>
              </w:rPr>
              <w:fldChar w:fldCharType="separate"/>
            </w:r>
            <w:r w:rsidRPr="003A1DC6">
              <w:rPr>
                <w:rStyle w:val="Hyperlink"/>
                <w:rFonts w:eastAsia="SimSun"/>
                <w:spacing w:val="-2"/>
                <w:sz w:val="22"/>
                <w:szCs w:val="22"/>
                <w:u w:val="single"/>
              </w:rPr>
              <w:t>C19/47</w:t>
            </w:r>
            <w:r w:rsidRPr="003A1DC6">
              <w:rPr>
                <w:u w:val="single"/>
              </w:rPr>
              <w:fldChar w:fldCharType="end"/>
            </w:r>
            <w:r w:rsidR="003A1DC6">
              <w:rPr>
                <w:rFonts w:hint="eastAsia"/>
                <w:spacing w:val="-2"/>
                <w:sz w:val="22"/>
                <w:szCs w:val="22"/>
                <w:lang w:eastAsia="zh-CN"/>
              </w:rPr>
              <w:t>、</w:t>
            </w:r>
            <w:hyperlink r:id="rId12" w:history="1">
              <w:r w:rsidRPr="003A1DC6">
                <w:rPr>
                  <w:rStyle w:val="Hyperlink"/>
                  <w:rFonts w:eastAsia="SimSun"/>
                  <w:bCs/>
                  <w:spacing w:val="-2"/>
                  <w:sz w:val="22"/>
                  <w:szCs w:val="22"/>
                  <w:u w:val="single"/>
                </w:rPr>
                <w:t>C19/120</w:t>
              </w:r>
            </w:hyperlink>
            <w:r w:rsidR="003A1DC6">
              <w:rPr>
                <w:rFonts w:hint="eastAsia"/>
                <w:spacing w:val="-2"/>
                <w:sz w:val="22"/>
                <w:szCs w:val="22"/>
                <w:lang w:eastAsia="zh-CN"/>
              </w:rPr>
              <w:t>、</w:t>
            </w:r>
            <w:r w:rsidRPr="003A1DC6">
              <w:rPr>
                <w:u w:val="single"/>
              </w:rPr>
              <w:fldChar w:fldCharType="begin"/>
            </w:r>
            <w:r w:rsidRPr="003A1DC6">
              <w:rPr>
                <w:u w:val="single"/>
              </w:rPr>
              <w:instrText>HYPERLINK "https://www.itu.int/md/S20-CL-C-0047/en"</w:instrText>
            </w:r>
            <w:r w:rsidRPr="003A1DC6">
              <w:rPr>
                <w:u w:val="single"/>
              </w:rPr>
            </w:r>
            <w:r w:rsidRPr="003A1DC6">
              <w:rPr>
                <w:u w:val="single"/>
              </w:rPr>
              <w:fldChar w:fldCharType="separate"/>
            </w:r>
            <w:r w:rsidRPr="003A1DC6">
              <w:rPr>
                <w:rStyle w:val="Hyperlink"/>
                <w:rFonts w:eastAsia="SimSun"/>
                <w:spacing w:val="-2"/>
                <w:sz w:val="22"/>
                <w:szCs w:val="22"/>
                <w:u w:val="single"/>
              </w:rPr>
              <w:t>C20/47</w:t>
            </w:r>
            <w:r w:rsidRPr="003A1DC6">
              <w:rPr>
                <w:u w:val="single"/>
              </w:rPr>
              <w:fldChar w:fldCharType="end"/>
            </w:r>
            <w:r w:rsidR="003A1DC6">
              <w:rPr>
                <w:rFonts w:hint="eastAsia"/>
                <w:spacing w:val="-2"/>
                <w:sz w:val="22"/>
                <w:szCs w:val="22"/>
                <w:lang w:eastAsia="zh-CN"/>
              </w:rPr>
              <w:t>、</w:t>
            </w:r>
            <w:hyperlink r:id="rId13" w:history="1">
              <w:r w:rsidRPr="003A1DC6">
                <w:rPr>
                  <w:rStyle w:val="Hyperlink"/>
                  <w:rFonts w:eastAsia="SimSun"/>
                  <w:spacing w:val="-2"/>
                  <w:sz w:val="22"/>
                  <w:szCs w:val="22"/>
                  <w:u w:val="single"/>
                </w:rPr>
                <w:t>C21/47</w:t>
              </w:r>
            </w:hyperlink>
            <w:r w:rsidR="003A1DC6">
              <w:rPr>
                <w:rFonts w:hint="eastAsia"/>
                <w:spacing w:val="-2"/>
                <w:sz w:val="22"/>
                <w:szCs w:val="22"/>
                <w:lang w:eastAsia="zh-CN"/>
              </w:rPr>
              <w:t>、</w:t>
            </w:r>
            <w:r w:rsidRPr="003A1DC6">
              <w:rPr>
                <w:u w:val="single"/>
              </w:rPr>
              <w:fldChar w:fldCharType="begin"/>
            </w:r>
            <w:r w:rsidR="00E85510">
              <w:rPr>
                <w:u w:val="single"/>
              </w:rPr>
              <w:instrText>HYPERLINK "https://www.itu.int/dms_pub/itu-s/md/21/cl/c/S21-CL-C-0092!!MSW-C.docx"</w:instrText>
            </w:r>
            <w:r w:rsidRPr="003A1DC6">
              <w:rPr>
                <w:u w:val="single"/>
              </w:rPr>
            </w:r>
            <w:r w:rsidRPr="003A1DC6">
              <w:rPr>
                <w:u w:val="single"/>
              </w:rPr>
              <w:fldChar w:fldCharType="separate"/>
            </w:r>
            <w:r w:rsidRPr="003A1DC6">
              <w:rPr>
                <w:rStyle w:val="Hyperlink"/>
                <w:rFonts w:asciiTheme="minorHAnsi" w:eastAsiaTheme="minorEastAsia" w:hAnsiTheme="minorHAnsi" w:cstheme="minorHAnsi"/>
                <w:spacing w:val="-2"/>
                <w:sz w:val="22"/>
                <w:szCs w:val="22"/>
                <w:u w:val="single"/>
              </w:rPr>
              <w:t>C21/92</w:t>
            </w:r>
            <w:r w:rsidRPr="003A1DC6">
              <w:rPr>
                <w:u w:val="single"/>
              </w:rPr>
              <w:fldChar w:fldCharType="end"/>
            </w:r>
            <w:r w:rsidR="003A1DC6">
              <w:rPr>
                <w:rFonts w:asciiTheme="minorHAnsi" w:eastAsiaTheme="minorEastAsia" w:hAnsiTheme="minorHAnsi" w:cstheme="minorHAnsi" w:hint="eastAsia"/>
                <w:spacing w:val="-2"/>
                <w:sz w:val="22"/>
                <w:szCs w:val="22"/>
                <w:lang w:eastAsia="zh-CN"/>
              </w:rPr>
              <w:t>、</w:t>
            </w:r>
            <w:hyperlink r:id="rId14" w:history="1">
              <w:r w:rsidRPr="003A1DC6">
                <w:rPr>
                  <w:rStyle w:val="Hyperlink"/>
                  <w:rFonts w:eastAsia="SimSun"/>
                  <w:spacing w:val="-2"/>
                  <w:sz w:val="22"/>
                  <w:szCs w:val="22"/>
                  <w:u w:val="single"/>
                </w:rPr>
                <w:t>CWG-FHR-14/6</w:t>
              </w:r>
            </w:hyperlink>
            <w:r w:rsidR="003A1DC6">
              <w:rPr>
                <w:rFonts w:hint="eastAsia"/>
                <w:spacing w:val="-2"/>
                <w:sz w:val="22"/>
                <w:szCs w:val="22"/>
                <w:lang w:eastAsia="zh-CN"/>
              </w:rPr>
              <w:t>、</w:t>
            </w:r>
            <w:r w:rsidRPr="003A1DC6">
              <w:rPr>
                <w:u w:val="single"/>
              </w:rPr>
              <w:fldChar w:fldCharType="begin"/>
            </w:r>
            <w:r w:rsidRPr="003A1DC6">
              <w:rPr>
                <w:u w:val="single"/>
              </w:rPr>
              <w:instrText>HYPERLINK "https://www.itu.int/md/S21-CWGFHR14-C-0012/en"</w:instrText>
            </w:r>
            <w:r w:rsidRPr="003A1DC6">
              <w:rPr>
                <w:u w:val="single"/>
              </w:rPr>
            </w:r>
            <w:r w:rsidRPr="003A1DC6">
              <w:rPr>
                <w:u w:val="single"/>
              </w:rPr>
              <w:fldChar w:fldCharType="separate"/>
            </w:r>
            <w:r w:rsidRPr="003A1DC6">
              <w:rPr>
                <w:rStyle w:val="Hyperlink"/>
                <w:rFonts w:eastAsia="SimSun"/>
                <w:spacing w:val="-2"/>
                <w:sz w:val="22"/>
                <w:szCs w:val="22"/>
                <w:u w:val="single"/>
              </w:rPr>
              <w:t>CWG-FHR-14/12</w:t>
            </w:r>
            <w:r w:rsidRPr="003A1DC6">
              <w:rPr>
                <w:u w:val="single"/>
              </w:rPr>
              <w:fldChar w:fldCharType="end"/>
            </w:r>
            <w:r w:rsidR="003A1DC6">
              <w:rPr>
                <w:rFonts w:hint="eastAsia"/>
                <w:spacing w:val="-2"/>
                <w:sz w:val="22"/>
                <w:szCs w:val="22"/>
                <w:lang w:eastAsia="zh-CN"/>
              </w:rPr>
              <w:t>、</w:t>
            </w:r>
            <w:hyperlink r:id="rId15" w:history="1">
              <w:r w:rsidRPr="003A1DC6">
                <w:rPr>
                  <w:rStyle w:val="Hyperlink"/>
                  <w:rFonts w:eastAsia="SimSun"/>
                  <w:spacing w:val="-2"/>
                  <w:sz w:val="22"/>
                  <w:szCs w:val="22"/>
                  <w:u w:val="single"/>
                </w:rPr>
                <w:t>C22/50</w:t>
              </w:r>
            </w:hyperlink>
            <w:r w:rsidR="003A1DC6">
              <w:rPr>
                <w:rFonts w:hint="eastAsia"/>
                <w:spacing w:val="-2"/>
                <w:sz w:val="22"/>
                <w:szCs w:val="22"/>
                <w:lang w:eastAsia="zh-CN"/>
              </w:rPr>
              <w:t>、</w:t>
            </w:r>
            <w:r w:rsidRPr="003A1DC6">
              <w:rPr>
                <w:u w:val="single"/>
              </w:rPr>
              <w:fldChar w:fldCharType="begin"/>
            </w:r>
            <w:r w:rsidRPr="003A1DC6">
              <w:rPr>
                <w:u w:val="single"/>
              </w:rPr>
              <w:instrText>HYPERLINK "https://www.itu.int/md/S24-CWGFHR17-C-0008/en"</w:instrText>
            </w:r>
            <w:r w:rsidRPr="003A1DC6">
              <w:rPr>
                <w:u w:val="single"/>
              </w:rPr>
            </w:r>
            <w:r w:rsidRPr="003A1DC6">
              <w:rPr>
                <w:u w:val="single"/>
              </w:rPr>
              <w:fldChar w:fldCharType="separate"/>
            </w:r>
            <w:r w:rsidRPr="003A1DC6">
              <w:rPr>
                <w:rStyle w:val="Hyperlink"/>
                <w:rFonts w:eastAsia="SimSun"/>
                <w:spacing w:val="-2"/>
                <w:sz w:val="22"/>
                <w:szCs w:val="22"/>
                <w:u w:val="single"/>
              </w:rPr>
              <w:t>CWG-FHR-17/</w:t>
            </w:r>
            <w:r w:rsidRPr="003A1DC6">
              <w:rPr>
                <w:u w:val="single"/>
              </w:rPr>
              <w:fldChar w:fldCharType="end"/>
            </w:r>
            <w:r w:rsidRPr="003A1DC6">
              <w:rPr>
                <w:rStyle w:val="Hyperlink"/>
                <w:rFonts w:eastAsia="SimSun"/>
                <w:spacing w:val="-2"/>
                <w:sz w:val="22"/>
                <w:szCs w:val="22"/>
                <w:u w:val="single"/>
              </w:rPr>
              <w:t>8</w:t>
            </w:r>
            <w:r w:rsidR="003A1DC6">
              <w:rPr>
                <w:rStyle w:val="Hyperlink"/>
                <w:rFonts w:eastAsia="SimSun" w:hint="eastAsia"/>
                <w:color w:val="auto"/>
                <w:spacing w:val="-2"/>
                <w:sz w:val="22"/>
                <w:szCs w:val="22"/>
                <w:lang w:eastAsia="zh-CN"/>
              </w:rPr>
              <w:t>、</w:t>
            </w:r>
            <w:hyperlink r:id="rId16" w:history="1">
              <w:r w:rsidRPr="003A1DC6">
                <w:rPr>
                  <w:rStyle w:val="Hyperlink"/>
                  <w:rFonts w:eastAsia="SimSun"/>
                  <w:spacing w:val="-2"/>
                  <w:sz w:val="22"/>
                  <w:szCs w:val="22"/>
                  <w:u w:val="single"/>
                </w:rPr>
                <w:t>C24/38</w:t>
              </w:r>
            </w:hyperlink>
            <w:r w:rsidR="003A1DC6">
              <w:rPr>
                <w:rStyle w:val="Hyperlink"/>
                <w:rFonts w:eastAsia="SimSun" w:hint="eastAsia"/>
                <w:color w:val="auto"/>
                <w:spacing w:val="-2"/>
                <w:sz w:val="22"/>
                <w:szCs w:val="22"/>
                <w:lang w:eastAsia="zh-CN"/>
              </w:rPr>
              <w:t>、</w:t>
            </w:r>
            <w:hyperlink r:id="rId17" w:history="1">
              <w:r w:rsidRPr="003A1DC6">
                <w:rPr>
                  <w:rStyle w:val="Hyperlink"/>
                  <w:rFonts w:asciiTheme="minorHAnsi" w:eastAsiaTheme="minorEastAsia" w:hAnsiTheme="minorHAnsi" w:cstheme="minorHAnsi"/>
                  <w:spacing w:val="-2"/>
                  <w:sz w:val="22"/>
                  <w:szCs w:val="22"/>
                  <w:u w:val="single"/>
                </w:rPr>
                <w:t>C24/120</w:t>
              </w:r>
            </w:hyperlink>
            <w:r w:rsidR="003A1DC6">
              <w:rPr>
                <w:rFonts w:asciiTheme="minorHAnsi" w:eastAsiaTheme="minorEastAsia" w:hAnsiTheme="minorHAnsi" w:cstheme="minorHAnsi" w:hint="eastAsia"/>
                <w:spacing w:val="-2"/>
                <w:sz w:val="22"/>
                <w:szCs w:val="22"/>
                <w:lang w:eastAsia="zh-CN"/>
              </w:rPr>
              <w:t>、</w:t>
            </w:r>
            <w:hyperlink r:id="rId18" w:history="1">
              <w:r w:rsidRPr="003A1DC6">
                <w:rPr>
                  <w:rStyle w:val="Hyperlink"/>
                  <w:rFonts w:eastAsia="SimSun"/>
                  <w:spacing w:val="-2"/>
                  <w:sz w:val="22"/>
                  <w:szCs w:val="22"/>
                  <w:u w:val="single"/>
                </w:rPr>
                <w:t>CWG-FHR-20/13</w:t>
              </w:r>
            </w:hyperlink>
            <w:r w:rsidR="003A1DC6">
              <w:rPr>
                <w:rFonts w:hint="eastAsia"/>
                <w:spacing w:val="-2"/>
                <w:sz w:val="22"/>
                <w:szCs w:val="22"/>
                <w:lang w:eastAsia="zh-CN"/>
              </w:rPr>
              <w:t>、</w:t>
            </w:r>
            <w:r w:rsidRPr="003A1DC6">
              <w:rPr>
                <w:u w:val="single"/>
              </w:rPr>
              <w:fldChar w:fldCharType="begin"/>
            </w:r>
            <w:r w:rsidRPr="003A1DC6">
              <w:rPr>
                <w:u w:val="single"/>
              </w:rPr>
              <w:instrText>HYPERLINK "https://www.itu.int/md/S25-CWGFHR20-C-0032/en"</w:instrText>
            </w:r>
            <w:r w:rsidRPr="003A1DC6">
              <w:rPr>
                <w:u w:val="single"/>
              </w:rPr>
            </w:r>
            <w:r w:rsidRPr="003A1DC6">
              <w:rPr>
                <w:u w:val="single"/>
              </w:rPr>
              <w:fldChar w:fldCharType="separate"/>
            </w:r>
            <w:r w:rsidRPr="003A1DC6">
              <w:rPr>
                <w:rStyle w:val="Hyperlink"/>
                <w:rFonts w:eastAsia="SimSun"/>
                <w:bCs/>
                <w:spacing w:val="-2"/>
                <w:sz w:val="22"/>
                <w:szCs w:val="22"/>
                <w:u w:val="single"/>
              </w:rPr>
              <w:t>CWG-FHR-20/32</w:t>
            </w:r>
            <w:r w:rsidRPr="003A1DC6">
              <w:rPr>
                <w:u w:val="single"/>
              </w:rPr>
              <w:fldChar w:fldCharType="end"/>
            </w:r>
            <w:r w:rsidR="003A1DC6">
              <w:rPr>
                <w:rFonts w:hint="eastAsia"/>
                <w:spacing w:val="-2"/>
                <w:sz w:val="22"/>
                <w:szCs w:val="22"/>
                <w:lang w:eastAsia="zh-CN"/>
              </w:rPr>
              <w:t>、</w:t>
            </w:r>
            <w:hyperlink r:id="rId19" w:history="1">
              <w:r w:rsidRPr="003A1DC6">
                <w:rPr>
                  <w:rStyle w:val="Hyperlink"/>
                  <w:rFonts w:eastAsia="SimSun"/>
                  <w:spacing w:val="-2"/>
                  <w:sz w:val="22"/>
                  <w:szCs w:val="22"/>
                  <w:u w:val="single"/>
                </w:rPr>
                <w:t>C25/38</w:t>
              </w:r>
            </w:hyperlink>
            <w:r w:rsidR="003A1DC6">
              <w:rPr>
                <w:rFonts w:hint="eastAsia"/>
                <w:spacing w:val="-2"/>
                <w:sz w:val="22"/>
                <w:szCs w:val="22"/>
                <w:lang w:eastAsia="zh-CN"/>
              </w:rPr>
              <w:t>、</w:t>
            </w:r>
            <w:r w:rsidRPr="003A1DC6">
              <w:rPr>
                <w:u w:val="single"/>
              </w:rPr>
              <w:fldChar w:fldCharType="begin"/>
            </w:r>
            <w:r w:rsidRPr="003A1DC6">
              <w:rPr>
                <w:u w:val="single"/>
              </w:rPr>
              <w:instrText>HYPERLINK "https://www.itu.int/md/S25-CL-C-0114/en"</w:instrText>
            </w:r>
            <w:r w:rsidRPr="003A1DC6">
              <w:rPr>
                <w:u w:val="single"/>
              </w:rPr>
            </w:r>
            <w:r w:rsidRPr="003A1DC6">
              <w:rPr>
                <w:u w:val="single"/>
              </w:rPr>
              <w:fldChar w:fldCharType="separate"/>
            </w:r>
            <w:r w:rsidRPr="003A1DC6">
              <w:rPr>
                <w:rStyle w:val="Hyperlink"/>
                <w:rFonts w:eastAsiaTheme="minorEastAsia"/>
                <w:spacing w:val="-2"/>
                <w:sz w:val="22"/>
                <w:szCs w:val="22"/>
                <w:u w:val="single"/>
              </w:rPr>
              <w:t>C25/114</w:t>
            </w:r>
            <w:r w:rsidRPr="003A1DC6">
              <w:rPr>
                <w:u w:val="single"/>
              </w:rPr>
              <w:fldChar w:fldCharType="end"/>
            </w:r>
            <w:r w:rsidR="003A1DC6">
              <w:rPr>
                <w:rFonts w:eastAsiaTheme="minorEastAsia" w:hint="eastAsia"/>
                <w:spacing w:val="-2"/>
                <w:sz w:val="22"/>
                <w:szCs w:val="22"/>
                <w:lang w:eastAsia="zh-CN"/>
              </w:rPr>
              <w:t>、</w:t>
            </w:r>
            <w:hyperlink r:id="rId20" w:history="1">
              <w:r w:rsidRPr="003A1DC6">
                <w:rPr>
                  <w:rStyle w:val="Hyperlink"/>
                  <w:rFonts w:eastAsia="SimSun"/>
                  <w:spacing w:val="-2"/>
                  <w:sz w:val="22"/>
                  <w:szCs w:val="22"/>
                  <w:u w:val="single"/>
                </w:rPr>
                <w:t>CWG-FHR-22/03</w:t>
              </w:r>
            </w:hyperlink>
            <w:r w:rsidR="003A1DC6">
              <w:rPr>
                <w:rFonts w:hint="eastAsia"/>
                <w:spacing w:val="-2"/>
                <w:sz w:val="22"/>
                <w:szCs w:val="22"/>
                <w:lang w:eastAsia="zh-CN"/>
              </w:rPr>
              <w:t>、</w:t>
            </w:r>
            <w:r w:rsidRPr="003A1DC6">
              <w:rPr>
                <w:u w:val="single"/>
              </w:rPr>
              <w:fldChar w:fldCharType="begin"/>
            </w:r>
            <w:r w:rsidRPr="003A1DC6">
              <w:rPr>
                <w:u w:val="single"/>
              </w:rPr>
              <w:instrText>HYPERLINK "https://www.itu.int/md/S26-CL-C-0050/en"</w:instrText>
            </w:r>
            <w:r w:rsidRPr="003A1DC6">
              <w:rPr>
                <w:u w:val="single"/>
              </w:rPr>
            </w:r>
            <w:r w:rsidRPr="003A1DC6">
              <w:rPr>
                <w:u w:val="single"/>
              </w:rPr>
              <w:fldChar w:fldCharType="separate"/>
            </w:r>
            <w:r w:rsidRPr="003A1DC6">
              <w:rPr>
                <w:rStyle w:val="Hyperlink"/>
                <w:rFonts w:eastAsia="SimSun"/>
                <w:spacing w:val="-2"/>
                <w:sz w:val="22"/>
                <w:szCs w:val="22"/>
                <w:u w:val="single"/>
              </w:rPr>
              <w:t>C26/50</w:t>
            </w:r>
            <w:r w:rsidRPr="003A1DC6">
              <w:rPr>
                <w:u w:val="single"/>
              </w:rPr>
              <w:fldChar w:fldCharType="end"/>
            </w:r>
            <w:proofErr w:type="spellStart"/>
            <w:r w:rsidRPr="00BE0E15">
              <w:rPr>
                <w:rFonts w:ascii="STKaiti" w:eastAsia="STKaiti" w:hAnsi="STKaiti"/>
                <w:color w:val="000000"/>
                <w:lang w:val="zh-CN"/>
              </w:rPr>
              <w:t>号文件</w:t>
            </w:r>
            <w:proofErr w:type="spellEnd"/>
          </w:p>
        </w:tc>
      </w:tr>
      <w:bookmarkEnd w:id="2"/>
    </w:tbl>
    <w:p w14:paraId="37FE72A3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14:paraId="3780AF1B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5ECA7B1E" w14:textId="77777777" w:rsidR="00D4614F" w:rsidRPr="00D4614F" w:rsidRDefault="00D4614F" w:rsidP="007066C3">
      <w:pPr>
        <w:pStyle w:val="Headingb"/>
        <w:rPr>
          <w:lang w:eastAsia="zh-CN"/>
        </w:rPr>
      </w:pPr>
      <w:r w:rsidRPr="00D4614F">
        <w:rPr>
          <w:rFonts w:hint="eastAsia"/>
          <w:lang w:eastAsia="zh-CN"/>
        </w:rPr>
        <w:lastRenderedPageBreak/>
        <w:t>背景</w:t>
      </w:r>
    </w:p>
    <w:p w14:paraId="18E225B6" w14:textId="77777777" w:rsidR="00D4614F" w:rsidRPr="00D4614F" w:rsidRDefault="00D4614F" w:rsidP="00D4614F">
      <w:pPr>
        <w:rPr>
          <w:rFonts w:cs="Calibri"/>
          <w:lang w:eastAsia="zh-CN"/>
        </w:rPr>
      </w:pPr>
      <w:r w:rsidRPr="00D4614F">
        <w:rPr>
          <w:rFonts w:cs="Calibri" w:hint="eastAsia"/>
          <w:lang w:eastAsia="zh-CN"/>
        </w:rPr>
        <w:t>1</w:t>
      </w:r>
      <w:r w:rsidRPr="00D4614F">
        <w:rPr>
          <w:rFonts w:cs="Calibri" w:hint="eastAsia"/>
          <w:lang w:eastAsia="zh-CN"/>
        </w:rPr>
        <w:tab/>
      </w:r>
      <w:r w:rsidRPr="00D4614F">
        <w:rPr>
          <w:rFonts w:cs="Calibri" w:hint="eastAsia"/>
          <w:lang w:eastAsia="zh-CN"/>
        </w:rPr>
        <w:t>在理事会</w:t>
      </w:r>
      <w:r w:rsidRPr="00D4614F">
        <w:rPr>
          <w:rFonts w:cs="Calibri" w:hint="eastAsia"/>
          <w:lang w:eastAsia="zh-CN"/>
        </w:rPr>
        <w:t>2017</w:t>
      </w:r>
      <w:r w:rsidRPr="00D4614F">
        <w:rPr>
          <w:rFonts w:cs="Calibri" w:hint="eastAsia"/>
          <w:lang w:eastAsia="zh-CN"/>
        </w:rPr>
        <w:t>年会议批准第</w:t>
      </w:r>
      <w:r w:rsidRPr="00D4614F">
        <w:rPr>
          <w:rFonts w:cs="Calibri" w:hint="eastAsia"/>
          <w:lang w:eastAsia="zh-CN"/>
        </w:rPr>
        <w:t>600</w:t>
      </w:r>
      <w:r w:rsidRPr="00D4614F">
        <w:rPr>
          <w:rFonts w:cs="Calibri" w:hint="eastAsia"/>
          <w:lang w:eastAsia="zh-CN"/>
        </w:rPr>
        <w:t>号决定（</w:t>
      </w:r>
      <w:r w:rsidR="00BE0E15">
        <w:fldChar w:fldCharType="begin"/>
      </w:r>
      <w:r w:rsidR="00BE0E15">
        <w:rPr>
          <w:lang w:eastAsia="zh-CN"/>
        </w:rPr>
        <w:instrText>HYPERLINK "https://www.itu.int/md/S17-CL-C-0133/en"</w:instrText>
      </w:r>
      <w:r w:rsidR="00BE0E15">
        <w:fldChar w:fldCharType="separate"/>
      </w:r>
      <w:proofErr w:type="spellStart"/>
      <w:r w:rsidR="00BE0E15" w:rsidRPr="00854CD1">
        <w:rPr>
          <w:rFonts w:cstheme="majorBidi"/>
          <w:color w:val="0563C1"/>
          <w:spacing w:val="-2"/>
          <w:u w:val="single"/>
          <w:lang w:eastAsia="zh-CN"/>
        </w:rPr>
        <w:t>C17</w:t>
      </w:r>
      <w:proofErr w:type="spellEnd"/>
      <w:r w:rsidR="00BE0E15" w:rsidRPr="00854CD1">
        <w:rPr>
          <w:rFonts w:cstheme="majorBidi"/>
          <w:color w:val="0563C1"/>
          <w:spacing w:val="-2"/>
          <w:u w:val="single"/>
          <w:lang w:eastAsia="zh-CN"/>
        </w:rPr>
        <w:t>/133</w:t>
      </w:r>
      <w:r w:rsidR="00BE0E15">
        <w:fldChar w:fldCharType="end"/>
      </w:r>
      <w:r w:rsidRPr="00D4614F">
        <w:rPr>
          <w:rFonts w:cs="Calibri" w:hint="eastAsia"/>
          <w:lang w:eastAsia="zh-CN"/>
        </w:rPr>
        <w:t>号文件）和</w:t>
      </w:r>
      <w:r w:rsidRPr="00D4614F">
        <w:rPr>
          <w:rFonts w:cs="Calibri" w:hint="eastAsia"/>
          <w:lang w:eastAsia="zh-CN"/>
        </w:rPr>
        <w:t>601</w:t>
      </w:r>
      <w:r w:rsidRPr="00D4614F">
        <w:rPr>
          <w:rFonts w:cs="Calibri" w:hint="eastAsia"/>
          <w:lang w:eastAsia="zh-CN"/>
        </w:rPr>
        <w:t>号决定（</w:t>
      </w:r>
      <w:r w:rsidR="00BE0E15">
        <w:fldChar w:fldCharType="begin"/>
      </w:r>
      <w:r w:rsidR="00BE0E15">
        <w:rPr>
          <w:lang w:eastAsia="zh-CN"/>
        </w:rPr>
        <w:instrText>HYPERLINK "https://www.itu.int/md/S17-CL-C-0134/en"</w:instrText>
      </w:r>
      <w:r w:rsidR="00BE0E15">
        <w:fldChar w:fldCharType="separate"/>
      </w:r>
      <w:proofErr w:type="spellStart"/>
      <w:r w:rsidR="00BE0E15" w:rsidRPr="00854CD1">
        <w:rPr>
          <w:rFonts w:cstheme="majorBidi"/>
          <w:color w:val="0563C1"/>
          <w:spacing w:val="-2"/>
          <w:u w:val="single"/>
          <w:lang w:eastAsia="zh-CN"/>
        </w:rPr>
        <w:t>C17</w:t>
      </w:r>
      <w:proofErr w:type="spellEnd"/>
      <w:r w:rsidR="00BE0E15" w:rsidRPr="00854CD1">
        <w:rPr>
          <w:rFonts w:cstheme="majorBidi"/>
          <w:color w:val="0563C1"/>
          <w:spacing w:val="-2"/>
          <w:u w:val="single"/>
          <w:lang w:eastAsia="zh-CN"/>
        </w:rPr>
        <w:t>/134</w:t>
      </w:r>
      <w:r w:rsidR="00BE0E15">
        <w:fldChar w:fldCharType="end"/>
      </w:r>
      <w:r w:rsidRPr="00D4614F">
        <w:rPr>
          <w:rFonts w:cs="Calibri" w:hint="eastAsia"/>
          <w:lang w:eastAsia="zh-CN"/>
        </w:rPr>
        <w:t>号文件）后，秘书处一直在落实这些决定。</w:t>
      </w:r>
    </w:p>
    <w:p w14:paraId="36CD7B9A" w14:textId="77777777" w:rsidR="00D4614F" w:rsidRPr="00D4614F" w:rsidRDefault="00D4614F" w:rsidP="00D4614F">
      <w:pPr>
        <w:rPr>
          <w:rFonts w:cs="Calibri"/>
          <w:lang w:eastAsia="zh-CN"/>
        </w:rPr>
      </w:pPr>
      <w:r w:rsidRPr="00D4614F">
        <w:rPr>
          <w:rFonts w:cs="Calibri" w:hint="eastAsia"/>
          <w:lang w:eastAsia="zh-CN"/>
        </w:rPr>
        <w:t>2</w:t>
      </w:r>
      <w:r w:rsidRPr="00D4614F">
        <w:rPr>
          <w:rFonts w:cs="Calibri" w:hint="eastAsia"/>
          <w:lang w:eastAsia="zh-CN"/>
        </w:rPr>
        <w:tab/>
      </w:r>
      <w:r w:rsidRPr="00D4614F">
        <w:rPr>
          <w:rFonts w:cs="Calibri" w:hint="eastAsia"/>
          <w:lang w:eastAsia="zh-CN"/>
        </w:rPr>
        <w:t>电信标准化局（</w:t>
      </w:r>
      <w:r w:rsidRPr="00D4614F">
        <w:rPr>
          <w:rFonts w:cs="Calibri" w:hint="eastAsia"/>
          <w:lang w:eastAsia="zh-CN"/>
        </w:rPr>
        <w:t>TSB</w:t>
      </w:r>
      <w:r w:rsidRPr="00D4614F">
        <w:rPr>
          <w:rFonts w:cs="Calibri" w:hint="eastAsia"/>
          <w:lang w:eastAsia="zh-CN"/>
        </w:rPr>
        <w:t>）向理事会</w:t>
      </w:r>
      <w:r w:rsidRPr="00D4614F">
        <w:rPr>
          <w:rFonts w:cs="Calibri" w:hint="eastAsia"/>
          <w:lang w:eastAsia="zh-CN"/>
        </w:rPr>
        <w:t>2025</w:t>
      </w:r>
      <w:r w:rsidRPr="00D4614F">
        <w:rPr>
          <w:rFonts w:cs="Calibri" w:hint="eastAsia"/>
          <w:lang w:eastAsia="zh-CN"/>
        </w:rPr>
        <w:t>年会议提交了</w:t>
      </w:r>
      <w:r w:rsidR="00BE0E15">
        <w:fldChar w:fldCharType="begin"/>
      </w:r>
      <w:r w:rsidR="00BE0E15">
        <w:rPr>
          <w:lang w:eastAsia="zh-CN"/>
        </w:rPr>
        <w:instrText>HYPERLINK "https://www.itu.int/md/S25-CL-C-0038/en"</w:instrText>
      </w:r>
      <w:r w:rsidR="00BE0E15">
        <w:fldChar w:fldCharType="separate"/>
      </w:r>
      <w:proofErr w:type="spellStart"/>
      <w:r w:rsidR="00BE0E15" w:rsidRPr="00D32E16">
        <w:rPr>
          <w:rFonts w:cstheme="majorBidi"/>
          <w:color w:val="0563C1"/>
          <w:spacing w:val="-2"/>
          <w:u w:val="single"/>
          <w:lang w:eastAsia="zh-CN"/>
        </w:rPr>
        <w:t>C25</w:t>
      </w:r>
      <w:proofErr w:type="spellEnd"/>
      <w:r w:rsidR="00BE0E15" w:rsidRPr="00D32E16">
        <w:rPr>
          <w:rFonts w:cstheme="majorBidi"/>
          <w:color w:val="0563C1"/>
          <w:spacing w:val="-2"/>
          <w:u w:val="single"/>
          <w:lang w:eastAsia="zh-CN"/>
        </w:rPr>
        <w:t>/38</w:t>
      </w:r>
      <w:r w:rsidR="00BE0E15">
        <w:fldChar w:fldCharType="end"/>
      </w:r>
      <w:r w:rsidRPr="00D4614F">
        <w:rPr>
          <w:rFonts w:cs="Calibri" w:hint="eastAsia"/>
          <w:lang w:eastAsia="zh-CN"/>
        </w:rPr>
        <w:t>号文件，其中提供了有关</w:t>
      </w:r>
      <w:proofErr w:type="spellStart"/>
      <w:r w:rsidRPr="00D4614F">
        <w:rPr>
          <w:rFonts w:cs="Calibri" w:hint="eastAsia"/>
          <w:lang w:eastAsia="zh-CN"/>
        </w:rPr>
        <w:t>UIFN</w:t>
      </w:r>
      <w:proofErr w:type="spellEnd"/>
      <w:r w:rsidRPr="00D4614F">
        <w:rPr>
          <w:rFonts w:cs="Calibri" w:hint="eastAsia"/>
          <w:lang w:eastAsia="zh-CN"/>
        </w:rPr>
        <w:t>（第</w:t>
      </w:r>
      <w:r w:rsidRPr="00D4614F">
        <w:rPr>
          <w:rFonts w:cs="Calibri" w:hint="eastAsia"/>
          <w:lang w:eastAsia="zh-CN"/>
        </w:rPr>
        <w:t>600</w:t>
      </w:r>
      <w:r w:rsidRPr="00D4614F">
        <w:rPr>
          <w:rFonts w:cs="Calibri" w:hint="eastAsia"/>
          <w:lang w:eastAsia="zh-CN"/>
        </w:rPr>
        <w:t>号决定）和</w:t>
      </w:r>
      <w:r w:rsidRPr="00D4614F">
        <w:rPr>
          <w:rFonts w:cs="Calibri" w:hint="eastAsia"/>
          <w:lang w:eastAsia="zh-CN"/>
        </w:rPr>
        <w:t>IIN</w:t>
      </w:r>
      <w:r w:rsidRPr="00D4614F">
        <w:rPr>
          <w:rFonts w:cs="Calibri" w:hint="eastAsia"/>
          <w:lang w:eastAsia="zh-CN"/>
        </w:rPr>
        <w:t>（第</w:t>
      </w:r>
      <w:r w:rsidRPr="00D4614F">
        <w:rPr>
          <w:rFonts w:cs="Calibri" w:hint="eastAsia"/>
          <w:lang w:eastAsia="zh-CN"/>
        </w:rPr>
        <w:t>601</w:t>
      </w:r>
      <w:r w:rsidRPr="00D4614F">
        <w:rPr>
          <w:rFonts w:cs="Calibri" w:hint="eastAsia"/>
          <w:lang w:eastAsia="zh-CN"/>
        </w:rPr>
        <w:t>号决定）的最新财务情况。</w:t>
      </w:r>
    </w:p>
    <w:p w14:paraId="040B9D8A" w14:textId="77777777" w:rsidR="00D4614F" w:rsidRPr="00D4614F" w:rsidRDefault="00D4614F" w:rsidP="00D4614F">
      <w:pPr>
        <w:rPr>
          <w:rFonts w:cs="Calibri"/>
          <w:lang w:eastAsia="zh-CN"/>
        </w:rPr>
      </w:pPr>
      <w:r w:rsidRPr="00D4614F">
        <w:rPr>
          <w:rFonts w:cs="Calibri" w:hint="eastAsia"/>
          <w:lang w:eastAsia="zh-CN"/>
        </w:rPr>
        <w:t>3</w:t>
      </w:r>
      <w:r w:rsidRPr="00D4614F">
        <w:rPr>
          <w:rFonts w:cs="Calibri" w:hint="eastAsia"/>
          <w:lang w:eastAsia="zh-CN"/>
        </w:rPr>
        <w:tab/>
      </w:r>
      <w:r w:rsidRPr="00D4614F">
        <w:rPr>
          <w:rFonts w:cs="Calibri" w:hint="eastAsia"/>
          <w:lang w:eastAsia="zh-CN"/>
        </w:rPr>
        <w:t>作为理事会</w:t>
      </w:r>
      <w:proofErr w:type="spellStart"/>
      <w:r w:rsidRPr="00D4614F">
        <w:rPr>
          <w:rFonts w:cs="Calibri" w:hint="eastAsia"/>
          <w:lang w:eastAsia="zh-CN"/>
        </w:rPr>
        <w:t>C25</w:t>
      </w:r>
      <w:proofErr w:type="spellEnd"/>
      <w:r w:rsidRPr="00D4614F">
        <w:rPr>
          <w:rFonts w:cs="Calibri" w:hint="eastAsia"/>
          <w:lang w:eastAsia="zh-CN"/>
        </w:rPr>
        <w:t>/38</w:t>
      </w:r>
      <w:r w:rsidRPr="00D4614F">
        <w:rPr>
          <w:rFonts w:cs="Calibri" w:hint="eastAsia"/>
          <w:lang w:eastAsia="zh-CN"/>
        </w:rPr>
        <w:t>号文件的后续行动，秘书处通过</w:t>
      </w:r>
      <w:r w:rsidR="00BE0E15" w:rsidRPr="00BE0E15">
        <w:rPr>
          <w:u w:val="single"/>
        </w:rPr>
        <w:fldChar w:fldCharType="begin"/>
      </w:r>
      <w:r w:rsidR="00BE0E15" w:rsidRPr="00BE0E15">
        <w:rPr>
          <w:u w:val="single"/>
          <w:lang w:eastAsia="zh-CN"/>
        </w:rPr>
        <w:instrText>HYPERLINK "https://www.itu.int/md/S26-CWGFHR22-C-0003/en"</w:instrText>
      </w:r>
      <w:r w:rsidR="00BE0E15" w:rsidRPr="00BE0E15">
        <w:rPr>
          <w:u w:val="single"/>
        </w:rPr>
      </w:r>
      <w:r w:rsidR="00BE0E15" w:rsidRPr="00BE0E15">
        <w:rPr>
          <w:u w:val="single"/>
        </w:rPr>
        <w:fldChar w:fldCharType="separate"/>
      </w:r>
      <w:r w:rsidR="00BE0E15" w:rsidRPr="00BE0E15">
        <w:rPr>
          <w:rStyle w:val="Hyperlink"/>
          <w:rFonts w:eastAsia="SimSun"/>
          <w:color w:val="0563C1"/>
          <w:u w:val="single"/>
          <w:lang w:eastAsia="zh-CN"/>
        </w:rPr>
        <w:t>CWG-FHR-22/3</w:t>
      </w:r>
      <w:r w:rsidR="00BE0E15" w:rsidRPr="00BE0E15">
        <w:rPr>
          <w:u w:val="single"/>
        </w:rPr>
        <w:fldChar w:fldCharType="end"/>
      </w:r>
      <w:r w:rsidRPr="00D4614F">
        <w:rPr>
          <w:rFonts w:cs="Calibri" w:hint="eastAsia"/>
          <w:lang w:eastAsia="zh-CN"/>
        </w:rPr>
        <w:t>号文件向理事会财务和人力资源工作组（</w:t>
      </w:r>
      <w:r w:rsidRPr="00D4614F">
        <w:rPr>
          <w:rFonts w:cs="Calibri" w:hint="eastAsia"/>
          <w:lang w:eastAsia="zh-CN"/>
        </w:rPr>
        <w:t>CWG-FHR</w:t>
      </w:r>
      <w:r w:rsidRPr="00D4614F">
        <w:rPr>
          <w:rFonts w:cs="Calibri" w:hint="eastAsia"/>
          <w:lang w:eastAsia="zh-CN"/>
        </w:rPr>
        <w:t>）</w:t>
      </w:r>
      <w:r w:rsidRPr="00D4614F">
        <w:rPr>
          <w:rFonts w:cs="Calibri" w:hint="eastAsia"/>
          <w:lang w:eastAsia="zh-CN"/>
        </w:rPr>
        <w:t>2026</w:t>
      </w:r>
      <w:r w:rsidRPr="00D4614F">
        <w:rPr>
          <w:rFonts w:cs="Calibri" w:hint="eastAsia"/>
          <w:lang w:eastAsia="zh-CN"/>
        </w:rPr>
        <w:t>年</w:t>
      </w:r>
      <w:r w:rsidRPr="00D4614F">
        <w:rPr>
          <w:rFonts w:cs="Calibri" w:hint="eastAsia"/>
          <w:lang w:eastAsia="zh-CN"/>
        </w:rPr>
        <w:t>1</w:t>
      </w:r>
      <w:r w:rsidRPr="00D4614F">
        <w:rPr>
          <w:rFonts w:cs="Calibri" w:hint="eastAsia"/>
          <w:lang w:eastAsia="zh-CN"/>
        </w:rPr>
        <w:t>月的会议报告，规范</w:t>
      </w:r>
      <w:r w:rsidRPr="00D4614F">
        <w:rPr>
          <w:rFonts w:cs="Calibri" w:hint="eastAsia"/>
          <w:lang w:eastAsia="zh-CN"/>
        </w:rPr>
        <w:t>IIN</w:t>
      </w:r>
      <w:r w:rsidRPr="00D4614F">
        <w:rPr>
          <w:rFonts w:cs="Calibri" w:hint="eastAsia"/>
          <w:lang w:eastAsia="zh-CN"/>
        </w:rPr>
        <w:t>管理的</w:t>
      </w:r>
      <w:r w:rsidRPr="00D4614F">
        <w:rPr>
          <w:rFonts w:cs="Calibri" w:hint="eastAsia"/>
          <w:lang w:eastAsia="zh-CN"/>
        </w:rPr>
        <w:t>ITU-T E.118</w:t>
      </w:r>
      <w:r w:rsidRPr="00D4614F">
        <w:rPr>
          <w:rFonts w:cs="Calibri" w:hint="eastAsia"/>
          <w:lang w:eastAsia="zh-CN"/>
        </w:rPr>
        <w:t>建议书经修订后获得批准，该建议书取消了登记机构职能及相关收费框架。</w:t>
      </w:r>
    </w:p>
    <w:p w14:paraId="4CA75B66" w14:textId="77777777" w:rsidR="00AE195F" w:rsidRDefault="00D4614F" w:rsidP="00D4614F">
      <w:pPr>
        <w:rPr>
          <w:rFonts w:cs="Calibri"/>
          <w:lang w:eastAsia="zh-CN"/>
        </w:rPr>
      </w:pPr>
      <w:r w:rsidRPr="00D4614F">
        <w:rPr>
          <w:rFonts w:cs="Calibri" w:hint="eastAsia"/>
          <w:lang w:eastAsia="zh-CN"/>
        </w:rPr>
        <w:t>4</w:t>
      </w:r>
      <w:r w:rsidRPr="00D4614F">
        <w:rPr>
          <w:rFonts w:cs="Calibri" w:hint="eastAsia"/>
          <w:lang w:eastAsia="zh-CN"/>
        </w:rPr>
        <w:tab/>
      </w:r>
      <w:r w:rsidRPr="00D4614F">
        <w:rPr>
          <w:rFonts w:cs="Calibri" w:hint="eastAsia"/>
          <w:lang w:eastAsia="zh-CN"/>
        </w:rPr>
        <w:t>本文件提供了根据第</w:t>
      </w:r>
      <w:r w:rsidRPr="00D4614F">
        <w:rPr>
          <w:rFonts w:cs="Calibri" w:hint="eastAsia"/>
          <w:lang w:eastAsia="zh-CN"/>
        </w:rPr>
        <w:t>600</w:t>
      </w:r>
      <w:r w:rsidRPr="00D4614F">
        <w:rPr>
          <w:rFonts w:cs="Calibri" w:hint="eastAsia"/>
          <w:lang w:eastAsia="zh-CN"/>
        </w:rPr>
        <w:t>号决定取得</w:t>
      </w:r>
      <w:r w:rsidRPr="00D4614F">
        <w:rPr>
          <w:rFonts w:cs="Calibri" w:hint="eastAsia"/>
          <w:lang w:eastAsia="zh-CN"/>
        </w:rPr>
        <w:t>UIFN</w:t>
      </w:r>
      <w:r w:rsidRPr="00D4614F">
        <w:rPr>
          <w:rFonts w:cs="Calibri" w:hint="eastAsia"/>
          <w:lang w:eastAsia="zh-CN"/>
        </w:rPr>
        <w:t>收入的最新情况，并提出了废止第</w:t>
      </w:r>
      <w:r w:rsidRPr="00D4614F">
        <w:rPr>
          <w:rFonts w:cs="Calibri" w:hint="eastAsia"/>
          <w:lang w:eastAsia="zh-CN"/>
        </w:rPr>
        <w:t>601</w:t>
      </w:r>
      <w:r w:rsidRPr="00D4614F">
        <w:rPr>
          <w:rFonts w:cs="Calibri" w:hint="eastAsia"/>
          <w:lang w:eastAsia="zh-CN"/>
        </w:rPr>
        <w:t>号决定的理由。</w:t>
      </w:r>
    </w:p>
    <w:p w14:paraId="4B6A2E99" w14:textId="77777777" w:rsidR="007C5630" w:rsidRPr="007C5630" w:rsidRDefault="007C5630" w:rsidP="00E85510">
      <w:pPr>
        <w:pStyle w:val="Headingb"/>
        <w:rPr>
          <w:lang w:eastAsia="zh-CN"/>
        </w:rPr>
      </w:pPr>
      <w:r w:rsidRPr="007C5630">
        <w:rPr>
          <w:lang w:val="zh-CN" w:eastAsia="zh-CN"/>
        </w:rPr>
        <w:t>关于</w:t>
      </w:r>
      <w:r w:rsidRPr="007C5630">
        <w:rPr>
          <w:lang w:val="zh-CN" w:eastAsia="zh-CN"/>
        </w:rPr>
        <w:t>UIFN</w:t>
      </w:r>
      <w:r w:rsidRPr="007C5630">
        <w:rPr>
          <w:lang w:val="zh-CN" w:eastAsia="zh-CN"/>
        </w:rPr>
        <w:t>的最新财务情况（理事会第</w:t>
      </w:r>
      <w:r w:rsidRPr="007C5630">
        <w:rPr>
          <w:lang w:val="zh-CN" w:eastAsia="zh-CN"/>
        </w:rPr>
        <w:t>600</w:t>
      </w:r>
      <w:r w:rsidRPr="007C5630">
        <w:rPr>
          <w:lang w:val="zh-CN" w:eastAsia="zh-CN"/>
        </w:rPr>
        <w:t>号决定）</w:t>
      </w:r>
      <w:bookmarkStart w:id="6" w:name="_Hlk158995552"/>
      <w:bookmarkEnd w:id="6"/>
    </w:p>
    <w:p w14:paraId="438A758E" w14:textId="77777777" w:rsidR="00E323D0" w:rsidRDefault="007C5630" w:rsidP="007C5630">
      <w:pPr>
        <w:jc w:val="center"/>
        <w:rPr>
          <w:i/>
          <w:iCs/>
          <w:lang w:eastAsia="zh-CN"/>
        </w:rPr>
      </w:pPr>
      <w:r>
        <w:rPr>
          <w:i/>
          <w:iCs/>
          <w:noProof/>
          <w:lang w:eastAsia="zh-CN"/>
        </w:rPr>
        <w:drawing>
          <wp:inline distT="0" distB="0" distL="0" distR="0" wp14:anchorId="562CE6E4" wp14:editId="190D5876">
            <wp:extent cx="4584700" cy="2761615"/>
            <wp:effectExtent l="0" t="0" r="6350" b="635"/>
            <wp:docPr id="814499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61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CC977D" w14:textId="77777777" w:rsidR="007C5630" w:rsidRDefault="007C5630" w:rsidP="00BE0E15">
      <w:pPr>
        <w:spacing w:before="360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上图显示，自</w:t>
      </w:r>
      <w:r>
        <w:rPr>
          <w:rFonts w:hint="eastAsia"/>
          <w:lang w:eastAsia="zh-CN"/>
        </w:rPr>
        <w:t>2018</w:t>
      </w:r>
      <w:r>
        <w:rPr>
          <w:rFonts w:hint="eastAsia"/>
          <w:lang w:eastAsia="zh-CN"/>
        </w:rPr>
        <w:t>年以来开具的与第</w:t>
      </w:r>
      <w:r>
        <w:rPr>
          <w:rFonts w:hint="eastAsia"/>
          <w:lang w:eastAsia="zh-CN"/>
        </w:rPr>
        <w:t>600</w:t>
      </w:r>
      <w:r>
        <w:rPr>
          <w:rFonts w:hint="eastAsia"/>
          <w:lang w:eastAsia="zh-CN"/>
        </w:rPr>
        <w:t>号决定有关的年均金额为</w:t>
      </w:r>
      <w:r>
        <w:rPr>
          <w:rFonts w:hint="eastAsia"/>
          <w:lang w:eastAsia="zh-CN"/>
        </w:rPr>
        <w:t>235 000</w:t>
      </w:r>
      <w:r>
        <w:rPr>
          <w:rFonts w:hint="eastAsia"/>
          <w:lang w:eastAsia="zh-CN"/>
        </w:rPr>
        <w:t>瑞郎的发票大部分已支付。</w:t>
      </w:r>
    </w:p>
    <w:p w14:paraId="10DC5427" w14:textId="77777777" w:rsidR="007C5630" w:rsidRDefault="007C5630" w:rsidP="007C5630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然而，截至</w:t>
      </w:r>
      <w:r>
        <w:rPr>
          <w:rFonts w:hint="eastAsia"/>
          <w:lang w:eastAsia="zh-CN"/>
        </w:rPr>
        <w:t>2026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28</w:t>
      </w:r>
      <w:r>
        <w:rPr>
          <w:rFonts w:hint="eastAsia"/>
          <w:lang w:eastAsia="zh-CN"/>
        </w:rPr>
        <w:t>日，以下金额仍</w:t>
      </w:r>
      <w:r w:rsidRPr="007C5630">
        <w:rPr>
          <w:rFonts w:hint="eastAsia"/>
          <w:b/>
          <w:bCs/>
          <w:lang w:eastAsia="zh-CN"/>
        </w:rPr>
        <w:t>未支付</w:t>
      </w:r>
      <w:r>
        <w:rPr>
          <w:rFonts w:hint="eastAsia"/>
          <w:lang w:eastAsia="zh-CN"/>
        </w:rPr>
        <w:t>并有待追回：</w:t>
      </w:r>
    </w:p>
    <w:p w14:paraId="6F95296B" w14:textId="6F2BE271" w:rsidR="007C5630" w:rsidRDefault="00C16C14" w:rsidP="007C5630">
      <w:pPr>
        <w:pStyle w:val="enumlev1"/>
        <w:rPr>
          <w:lang w:eastAsia="zh-CN"/>
        </w:rPr>
      </w:pPr>
      <w:r>
        <w:t>–</w:t>
      </w:r>
      <w:r w:rsidR="007C5630">
        <w:rPr>
          <w:rFonts w:hint="eastAsia"/>
          <w:lang w:eastAsia="zh-CN"/>
        </w:rPr>
        <w:tab/>
        <w:t>2018</w:t>
      </w:r>
      <w:r w:rsidR="007C5630">
        <w:rPr>
          <w:rFonts w:hint="eastAsia"/>
          <w:lang w:eastAsia="zh-CN"/>
        </w:rPr>
        <w:t>年：</w:t>
      </w:r>
      <w:r w:rsidR="007C5630">
        <w:rPr>
          <w:rFonts w:hint="eastAsia"/>
          <w:lang w:eastAsia="zh-CN"/>
        </w:rPr>
        <w:t>14 300</w:t>
      </w:r>
      <w:r w:rsidR="007C5630">
        <w:rPr>
          <w:rFonts w:hint="eastAsia"/>
          <w:lang w:eastAsia="zh-CN"/>
        </w:rPr>
        <w:t>瑞郎。</w:t>
      </w:r>
    </w:p>
    <w:p w14:paraId="4862D220" w14:textId="4D729E92" w:rsidR="007C5630" w:rsidRDefault="00C16C14" w:rsidP="007C5630">
      <w:pPr>
        <w:pStyle w:val="enumlev1"/>
        <w:rPr>
          <w:lang w:eastAsia="zh-CN"/>
        </w:rPr>
      </w:pPr>
      <w:r>
        <w:t>–</w:t>
      </w:r>
      <w:r w:rsidR="007C5630">
        <w:rPr>
          <w:rFonts w:hint="eastAsia"/>
          <w:lang w:eastAsia="zh-CN"/>
        </w:rPr>
        <w:tab/>
        <w:t>2023</w:t>
      </w:r>
      <w:r w:rsidR="007C5630">
        <w:rPr>
          <w:rFonts w:hint="eastAsia"/>
          <w:lang w:eastAsia="zh-CN"/>
        </w:rPr>
        <w:t>年：</w:t>
      </w:r>
      <w:r w:rsidR="007C5630">
        <w:rPr>
          <w:rFonts w:hint="eastAsia"/>
          <w:lang w:eastAsia="zh-CN"/>
        </w:rPr>
        <w:t>100</w:t>
      </w:r>
      <w:r w:rsidR="007C5630">
        <w:rPr>
          <w:rFonts w:hint="eastAsia"/>
          <w:lang w:eastAsia="zh-CN"/>
        </w:rPr>
        <w:t>瑞郎。</w:t>
      </w:r>
    </w:p>
    <w:p w14:paraId="1223F0F7" w14:textId="0F5C574A" w:rsidR="007C5630" w:rsidRDefault="00C16C14" w:rsidP="007C5630">
      <w:pPr>
        <w:pStyle w:val="enumlev1"/>
        <w:rPr>
          <w:lang w:eastAsia="zh-CN"/>
        </w:rPr>
      </w:pPr>
      <w:r>
        <w:t>–</w:t>
      </w:r>
      <w:r w:rsidR="007C5630">
        <w:rPr>
          <w:rFonts w:hint="eastAsia"/>
          <w:lang w:eastAsia="zh-CN"/>
        </w:rPr>
        <w:tab/>
        <w:t>2024</w:t>
      </w:r>
      <w:r w:rsidR="007C5630">
        <w:rPr>
          <w:rFonts w:hint="eastAsia"/>
          <w:lang w:eastAsia="zh-CN"/>
        </w:rPr>
        <w:t>年：</w:t>
      </w:r>
      <w:r w:rsidR="007C5630">
        <w:rPr>
          <w:rFonts w:hint="eastAsia"/>
          <w:lang w:eastAsia="zh-CN"/>
        </w:rPr>
        <w:t>77 400</w:t>
      </w:r>
      <w:r w:rsidR="007C5630">
        <w:rPr>
          <w:rFonts w:hint="eastAsia"/>
          <w:lang w:eastAsia="zh-CN"/>
        </w:rPr>
        <w:t>瑞郎。</w:t>
      </w:r>
    </w:p>
    <w:p w14:paraId="07DFF752" w14:textId="07443359" w:rsidR="007C5630" w:rsidRDefault="00C16C14" w:rsidP="007C5630">
      <w:pPr>
        <w:pStyle w:val="enumlev1"/>
        <w:rPr>
          <w:lang w:eastAsia="zh-CN"/>
        </w:rPr>
      </w:pPr>
      <w:r>
        <w:rPr>
          <w:lang w:eastAsia="zh-CN"/>
        </w:rPr>
        <w:t>–</w:t>
      </w:r>
      <w:r w:rsidR="007C5630">
        <w:rPr>
          <w:rFonts w:hint="eastAsia"/>
          <w:lang w:eastAsia="zh-CN"/>
        </w:rPr>
        <w:tab/>
        <w:t>2025</w:t>
      </w:r>
      <w:r w:rsidR="007C5630">
        <w:rPr>
          <w:rFonts w:hint="eastAsia"/>
          <w:lang w:eastAsia="zh-CN"/>
        </w:rPr>
        <w:t>年：</w:t>
      </w:r>
      <w:r w:rsidR="007C5630">
        <w:rPr>
          <w:rFonts w:hint="eastAsia"/>
          <w:lang w:eastAsia="zh-CN"/>
        </w:rPr>
        <w:t>61 200</w:t>
      </w:r>
      <w:r w:rsidR="007C5630">
        <w:rPr>
          <w:rFonts w:hint="eastAsia"/>
          <w:lang w:eastAsia="zh-CN"/>
        </w:rPr>
        <w:t>瑞郎。</w:t>
      </w:r>
    </w:p>
    <w:p w14:paraId="361FB21F" w14:textId="5E1602AE" w:rsidR="007C5630" w:rsidRDefault="007C5630" w:rsidP="007C5630">
      <w:pPr>
        <w:ind w:firstLineChars="200" w:firstLine="480"/>
        <w:rPr>
          <w:lang w:eastAsia="zh-CN"/>
        </w:rPr>
      </w:pPr>
      <w:r>
        <w:fldChar w:fldCharType="begin"/>
      </w:r>
      <w:r>
        <w:rPr>
          <w:lang w:eastAsia="zh-CN"/>
        </w:rPr>
        <w:instrText>HYPERLINK \l "dtitle1"</w:instrText>
      </w:r>
      <w:r>
        <w:fldChar w:fldCharType="separate"/>
      </w:r>
      <w:r w:rsidRPr="000C640B">
        <w:rPr>
          <w:rStyle w:val="Hyperlink"/>
          <w:rFonts w:eastAsia="SimSun" w:hint="eastAsia"/>
          <w:noProof w:val="0"/>
          <w:u w:val="single"/>
          <w:lang w:eastAsia="zh-CN"/>
        </w:rPr>
        <w:t>附件</w:t>
      </w:r>
      <w:r w:rsidRPr="000C640B">
        <w:rPr>
          <w:rStyle w:val="Hyperlink"/>
          <w:rFonts w:eastAsia="SimSun" w:hint="eastAsia"/>
          <w:noProof w:val="0"/>
          <w:u w:val="single"/>
          <w:lang w:eastAsia="zh-CN"/>
        </w:rPr>
        <w:t>1</w:t>
      </w:r>
      <w:r>
        <w:fldChar w:fldCharType="end"/>
      </w:r>
      <w:r>
        <w:rPr>
          <w:rFonts w:hint="eastAsia"/>
          <w:lang w:eastAsia="zh-CN"/>
        </w:rPr>
        <w:t>列出了</w:t>
      </w:r>
      <w:r>
        <w:rPr>
          <w:rFonts w:hint="eastAsia"/>
          <w:lang w:eastAsia="zh-CN"/>
        </w:rPr>
        <w:t>2018-2025</w:t>
      </w:r>
      <w:r>
        <w:rPr>
          <w:rFonts w:hint="eastAsia"/>
          <w:lang w:eastAsia="zh-CN"/>
        </w:rPr>
        <w:t>年已向其开具发票但截至</w:t>
      </w:r>
      <w:r>
        <w:rPr>
          <w:rFonts w:hint="eastAsia"/>
          <w:lang w:eastAsia="zh-CN"/>
        </w:rPr>
        <w:t>2026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28</w:t>
      </w:r>
      <w:r>
        <w:rPr>
          <w:rFonts w:hint="eastAsia"/>
          <w:lang w:eastAsia="zh-CN"/>
        </w:rPr>
        <w:t>日尚未结付发票的实体。</w:t>
      </w:r>
    </w:p>
    <w:p w14:paraId="790124FA" w14:textId="77777777" w:rsidR="00E323D0" w:rsidRDefault="007C5630" w:rsidP="007C5630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秘书处恳请有仍未支付发票实体的</w:t>
      </w:r>
      <w:r w:rsidRPr="007C5630">
        <w:rPr>
          <w:rFonts w:hint="eastAsia"/>
          <w:b/>
          <w:bCs/>
          <w:lang w:eastAsia="zh-CN"/>
        </w:rPr>
        <w:t>成员国提供帮助</w:t>
      </w:r>
      <w:r>
        <w:rPr>
          <w:rFonts w:hint="eastAsia"/>
          <w:lang w:eastAsia="zh-CN"/>
        </w:rPr>
        <w:t>，以鼓励这些实体遵守理事会第</w:t>
      </w:r>
      <w:r>
        <w:rPr>
          <w:rFonts w:hint="eastAsia"/>
          <w:lang w:eastAsia="zh-CN"/>
        </w:rPr>
        <w:t>600</w:t>
      </w:r>
      <w:r>
        <w:rPr>
          <w:rFonts w:hint="eastAsia"/>
          <w:lang w:eastAsia="zh-CN"/>
        </w:rPr>
        <w:t>号决定并支付其发票。</w:t>
      </w:r>
    </w:p>
    <w:p w14:paraId="3BF4833B" w14:textId="77777777" w:rsidR="007C5630" w:rsidRDefault="007C5630" w:rsidP="000C640B">
      <w:pPr>
        <w:pStyle w:val="Headingb"/>
        <w:rPr>
          <w:lang w:eastAsia="zh-CN"/>
        </w:rPr>
      </w:pPr>
      <w:r w:rsidRPr="007C5630">
        <w:rPr>
          <w:rFonts w:hint="eastAsia"/>
          <w:lang w:val="zh-CN" w:eastAsia="zh-CN"/>
        </w:rPr>
        <w:lastRenderedPageBreak/>
        <w:t>理事会第</w:t>
      </w:r>
      <w:r w:rsidRPr="007C5630">
        <w:rPr>
          <w:rFonts w:hint="eastAsia"/>
          <w:lang w:val="zh-CN" w:eastAsia="zh-CN"/>
        </w:rPr>
        <w:t>601</w:t>
      </w:r>
      <w:r w:rsidRPr="007C5630">
        <w:rPr>
          <w:rFonts w:hint="eastAsia"/>
          <w:lang w:val="zh-CN" w:eastAsia="zh-CN"/>
        </w:rPr>
        <w:t>号决定（</w:t>
      </w:r>
      <w:r w:rsidRPr="007C5630">
        <w:rPr>
          <w:rFonts w:hint="eastAsia"/>
          <w:lang w:val="zh-CN" w:eastAsia="zh-CN"/>
        </w:rPr>
        <w:t>IIN</w:t>
      </w:r>
      <w:r w:rsidRPr="007C5630">
        <w:rPr>
          <w:rFonts w:hint="eastAsia"/>
          <w:lang w:val="zh-CN" w:eastAsia="zh-CN"/>
        </w:rPr>
        <w:t>）：废止的理由</w:t>
      </w:r>
    </w:p>
    <w:p w14:paraId="2E5B4461" w14:textId="77777777" w:rsidR="007C5630" w:rsidRDefault="007C5630" w:rsidP="007C5630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以下列表显示，每年与第</w:t>
      </w:r>
      <w:r>
        <w:rPr>
          <w:rFonts w:hint="eastAsia"/>
          <w:lang w:eastAsia="zh-CN"/>
        </w:rPr>
        <w:t>601</w:t>
      </w:r>
      <w:r>
        <w:rPr>
          <w:rFonts w:hint="eastAsia"/>
          <w:lang w:eastAsia="zh-CN"/>
        </w:rPr>
        <w:t>号决定相关的平均收入仅为</w:t>
      </w:r>
      <w:r w:rsidRPr="007C5630">
        <w:rPr>
          <w:rFonts w:hint="eastAsia"/>
          <w:b/>
          <w:bCs/>
          <w:lang w:eastAsia="zh-CN"/>
        </w:rPr>
        <w:t>4 700</w:t>
      </w:r>
      <w:r w:rsidRPr="007C5630">
        <w:rPr>
          <w:rFonts w:hint="eastAsia"/>
          <w:b/>
          <w:bCs/>
          <w:lang w:eastAsia="zh-CN"/>
        </w:rPr>
        <w:t>瑞郎</w:t>
      </w:r>
      <w:r>
        <w:rPr>
          <w:rFonts w:hint="eastAsia"/>
          <w:lang w:eastAsia="zh-CN"/>
        </w:rPr>
        <w:t>，这并未涵盖收取此类收入的成本：</w:t>
      </w:r>
    </w:p>
    <w:p w14:paraId="7E5AFDD3" w14:textId="77777777" w:rsidR="007C5630" w:rsidRDefault="007C5630" w:rsidP="007C5630">
      <w:pPr>
        <w:pStyle w:val="enumlev1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2021</w:t>
      </w:r>
      <w:r>
        <w:rPr>
          <w:rFonts w:hint="eastAsia"/>
          <w:lang w:eastAsia="zh-CN"/>
        </w:rPr>
        <w:t>年：</w:t>
      </w:r>
      <w:r>
        <w:rPr>
          <w:rFonts w:hint="eastAsia"/>
          <w:lang w:eastAsia="zh-CN"/>
        </w:rPr>
        <w:t>6 900</w:t>
      </w:r>
      <w:r>
        <w:rPr>
          <w:rFonts w:hint="eastAsia"/>
          <w:lang w:eastAsia="zh-CN"/>
        </w:rPr>
        <w:t>瑞郎</w:t>
      </w:r>
    </w:p>
    <w:p w14:paraId="03C87786" w14:textId="77777777" w:rsidR="007C5630" w:rsidRDefault="007C5630" w:rsidP="007C5630">
      <w:pPr>
        <w:pStyle w:val="enumlev1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2022</w:t>
      </w:r>
      <w:r>
        <w:rPr>
          <w:rFonts w:hint="eastAsia"/>
          <w:lang w:eastAsia="zh-CN"/>
        </w:rPr>
        <w:t>年：</w:t>
      </w:r>
      <w:r>
        <w:rPr>
          <w:rFonts w:hint="eastAsia"/>
          <w:lang w:eastAsia="zh-CN"/>
        </w:rPr>
        <w:t>5 200</w:t>
      </w:r>
      <w:r>
        <w:rPr>
          <w:rFonts w:hint="eastAsia"/>
          <w:lang w:eastAsia="zh-CN"/>
        </w:rPr>
        <w:t>瑞郎</w:t>
      </w:r>
    </w:p>
    <w:p w14:paraId="3C9E0A80" w14:textId="77777777" w:rsidR="007C5630" w:rsidRDefault="007C5630" w:rsidP="007C5630">
      <w:pPr>
        <w:pStyle w:val="enumlev1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2023</w:t>
      </w:r>
      <w:r>
        <w:rPr>
          <w:rFonts w:hint="eastAsia"/>
          <w:lang w:eastAsia="zh-CN"/>
        </w:rPr>
        <w:t>年：</w:t>
      </w:r>
      <w:r>
        <w:rPr>
          <w:rFonts w:hint="eastAsia"/>
          <w:lang w:eastAsia="zh-CN"/>
        </w:rPr>
        <w:t>3 150</w:t>
      </w:r>
      <w:r>
        <w:rPr>
          <w:rFonts w:hint="eastAsia"/>
          <w:lang w:eastAsia="zh-CN"/>
        </w:rPr>
        <w:t>瑞郎</w:t>
      </w:r>
    </w:p>
    <w:p w14:paraId="16059A88" w14:textId="77777777" w:rsidR="007C5630" w:rsidRDefault="007C5630" w:rsidP="007C5630">
      <w:pPr>
        <w:pStyle w:val="enumlev1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2024</w:t>
      </w:r>
      <w:r>
        <w:rPr>
          <w:rFonts w:hint="eastAsia"/>
          <w:lang w:eastAsia="zh-CN"/>
        </w:rPr>
        <w:t>年：</w:t>
      </w:r>
      <w:r>
        <w:rPr>
          <w:rFonts w:hint="eastAsia"/>
          <w:lang w:eastAsia="zh-CN"/>
        </w:rPr>
        <w:t>4 450</w:t>
      </w:r>
      <w:r>
        <w:rPr>
          <w:rFonts w:hint="eastAsia"/>
          <w:lang w:eastAsia="zh-CN"/>
        </w:rPr>
        <w:t>瑞郎</w:t>
      </w:r>
    </w:p>
    <w:p w14:paraId="70061890" w14:textId="77777777" w:rsidR="007C5630" w:rsidRDefault="007C5630" w:rsidP="007C5630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此外，</w:t>
      </w:r>
      <w:r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研究组于</w:t>
      </w:r>
      <w:r>
        <w:rPr>
          <w:rFonts w:hint="eastAsia"/>
          <w:lang w:eastAsia="zh-CN"/>
        </w:rPr>
        <w:t>2025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9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日批准了关于规范</w:t>
      </w:r>
      <w:r>
        <w:rPr>
          <w:rFonts w:hint="eastAsia"/>
          <w:lang w:eastAsia="zh-CN"/>
        </w:rPr>
        <w:t>IIN</w:t>
      </w:r>
      <w:r>
        <w:rPr>
          <w:rFonts w:hint="eastAsia"/>
          <w:lang w:eastAsia="zh-CN"/>
        </w:rPr>
        <w:t>管理的</w:t>
      </w:r>
      <w:r>
        <w:rPr>
          <w:rFonts w:hint="eastAsia"/>
          <w:lang w:eastAsia="zh-CN"/>
        </w:rPr>
        <w:t>ITU-T E.118</w:t>
      </w:r>
      <w:r>
        <w:rPr>
          <w:rFonts w:hint="eastAsia"/>
          <w:lang w:eastAsia="zh-CN"/>
        </w:rPr>
        <w:t>建议书的修订案，取消了登记机构职能和相关收费框架。</w:t>
      </w:r>
    </w:p>
    <w:p w14:paraId="34E93F41" w14:textId="77777777" w:rsidR="007C5630" w:rsidRDefault="007C5630" w:rsidP="007C5630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考虑到这些因素，本报告提议</w:t>
      </w:r>
      <w:r w:rsidRPr="007C5630">
        <w:rPr>
          <w:rFonts w:hint="eastAsia"/>
          <w:b/>
          <w:bCs/>
          <w:lang w:eastAsia="zh-CN"/>
        </w:rPr>
        <w:t>废止</w:t>
      </w:r>
      <w:r>
        <w:rPr>
          <w:rFonts w:hint="eastAsia"/>
          <w:lang w:eastAsia="zh-CN"/>
        </w:rPr>
        <w:t>理事会第</w:t>
      </w:r>
      <w:r w:rsidRPr="007C5630">
        <w:rPr>
          <w:rFonts w:hint="eastAsia"/>
          <w:b/>
          <w:bCs/>
          <w:lang w:eastAsia="zh-CN"/>
        </w:rPr>
        <w:t>601</w:t>
      </w:r>
      <w:r>
        <w:rPr>
          <w:rFonts w:hint="eastAsia"/>
          <w:lang w:eastAsia="zh-CN"/>
        </w:rPr>
        <w:t>号决定。</w:t>
      </w:r>
    </w:p>
    <w:p w14:paraId="732C6CAA" w14:textId="77777777" w:rsidR="007C5630" w:rsidRPr="000C640B" w:rsidRDefault="007C5630" w:rsidP="000C640B">
      <w:pPr>
        <w:pStyle w:val="Headingb"/>
        <w:rPr>
          <w:lang w:val="zh-CN" w:eastAsia="zh-CN"/>
        </w:rPr>
      </w:pPr>
      <w:r w:rsidRPr="007C5630">
        <w:rPr>
          <w:rFonts w:hint="eastAsia"/>
          <w:lang w:val="zh-CN" w:eastAsia="zh-CN"/>
        </w:rPr>
        <w:t>建议</w:t>
      </w:r>
    </w:p>
    <w:p w14:paraId="0A519D9D" w14:textId="77777777" w:rsidR="007C5630" w:rsidRDefault="007C5630" w:rsidP="007C5630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秘书处继续落实理事会第</w:t>
      </w:r>
      <w:r>
        <w:rPr>
          <w:rFonts w:hint="eastAsia"/>
          <w:lang w:eastAsia="zh-CN"/>
        </w:rPr>
        <w:t>600</w:t>
      </w:r>
      <w:r>
        <w:rPr>
          <w:rFonts w:hint="eastAsia"/>
          <w:lang w:eastAsia="zh-CN"/>
        </w:rPr>
        <w:t>号决定（</w:t>
      </w:r>
      <w:r>
        <w:rPr>
          <w:rFonts w:hint="eastAsia"/>
          <w:lang w:eastAsia="zh-CN"/>
        </w:rPr>
        <w:t>UIFN</w:t>
      </w:r>
      <w:r>
        <w:rPr>
          <w:rFonts w:hint="eastAsia"/>
          <w:lang w:eastAsia="zh-CN"/>
        </w:rPr>
        <w:t>）。</w:t>
      </w:r>
    </w:p>
    <w:p w14:paraId="78183A37" w14:textId="77777777" w:rsidR="007C5630" w:rsidRDefault="007C5630" w:rsidP="007C5630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请理事会废止理事会第</w:t>
      </w:r>
      <w:r>
        <w:rPr>
          <w:rFonts w:hint="eastAsia"/>
          <w:lang w:eastAsia="zh-CN"/>
        </w:rPr>
        <w:t>601</w:t>
      </w:r>
      <w:r>
        <w:rPr>
          <w:rFonts w:hint="eastAsia"/>
          <w:lang w:eastAsia="zh-CN"/>
        </w:rPr>
        <w:t>号决定（</w:t>
      </w:r>
      <w:r>
        <w:rPr>
          <w:rFonts w:hint="eastAsia"/>
          <w:lang w:eastAsia="zh-CN"/>
        </w:rPr>
        <w:t>IIN</w:t>
      </w:r>
      <w:r>
        <w:rPr>
          <w:rFonts w:hint="eastAsia"/>
          <w:lang w:eastAsia="zh-CN"/>
        </w:rPr>
        <w:t>）。</w:t>
      </w:r>
    </w:p>
    <w:p w14:paraId="547E5A4C" w14:textId="77777777" w:rsidR="007C5630" w:rsidRDefault="007C5630" w:rsidP="000C640B">
      <w:pPr>
        <w:spacing w:before="1800"/>
        <w:rPr>
          <w:lang w:eastAsia="zh-CN"/>
        </w:rPr>
      </w:pPr>
      <w:r w:rsidRPr="007C5630">
        <w:rPr>
          <w:rFonts w:hint="eastAsia"/>
          <w:b/>
          <w:bCs/>
          <w:lang w:eastAsia="zh-CN"/>
        </w:rPr>
        <w:t>附件</w:t>
      </w:r>
      <w:r w:rsidRPr="007C5630">
        <w:rPr>
          <w:rFonts w:hint="eastAsia"/>
          <w:lang w:eastAsia="zh-CN"/>
        </w:rPr>
        <w:t>：</w:t>
      </w:r>
      <w:r w:rsidRPr="007C5630">
        <w:rPr>
          <w:rFonts w:hint="eastAsia"/>
          <w:lang w:eastAsia="zh-CN"/>
        </w:rPr>
        <w:t>1</w:t>
      </w:r>
      <w:r w:rsidRPr="007C5630">
        <w:rPr>
          <w:rFonts w:hint="eastAsia"/>
          <w:lang w:eastAsia="zh-CN"/>
        </w:rPr>
        <w:t>件</w:t>
      </w:r>
    </w:p>
    <w:p w14:paraId="0E5AFB71" w14:textId="77777777" w:rsidR="007C5630" w:rsidRDefault="007C563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536CCBC2" w14:textId="77777777" w:rsidR="001306F6" w:rsidRDefault="001306F6" w:rsidP="007C5630">
      <w:pPr>
        <w:ind w:firstLineChars="200" w:firstLine="480"/>
        <w:rPr>
          <w:lang w:eastAsia="zh-CN"/>
        </w:rPr>
        <w:sectPr w:rsidR="001306F6" w:rsidSect="001306F6">
          <w:footerReference w:type="default" r:id="rId22"/>
          <w:headerReference w:type="first" r:id="rId23"/>
          <w:footerReference w:type="first" r:id="rId24"/>
          <w:pgSz w:w="11907" w:h="16834" w:code="9"/>
          <w:pgMar w:top="1418" w:right="1418" w:bottom="1418" w:left="1418" w:header="720" w:footer="720" w:gutter="0"/>
          <w:paperSrc w:first="286" w:other="286"/>
          <w:cols w:space="720"/>
          <w:titlePg/>
          <w:docGrid w:linePitch="326"/>
        </w:sectPr>
      </w:pPr>
    </w:p>
    <w:p w14:paraId="0FD1A3AD" w14:textId="77777777" w:rsidR="007C5630" w:rsidRDefault="007C5630" w:rsidP="00EC3AE9">
      <w:pPr>
        <w:pStyle w:val="AnnexNo"/>
        <w:spacing w:before="120"/>
        <w:rPr>
          <w:lang w:eastAsia="zh-CN"/>
        </w:rPr>
      </w:pPr>
      <w:bookmarkStart w:id="7" w:name="dtitle1"/>
      <w:r>
        <w:rPr>
          <w:rFonts w:hint="eastAsia"/>
          <w:lang w:eastAsia="zh-CN"/>
        </w:rPr>
        <w:lastRenderedPageBreak/>
        <w:t>附件</w:t>
      </w:r>
      <w:bookmarkEnd w:id="7"/>
    </w:p>
    <w:p w14:paraId="034FABA1" w14:textId="70569C3B" w:rsidR="007C5630" w:rsidRPr="001306F6" w:rsidRDefault="007C5630" w:rsidP="00431632">
      <w:pPr>
        <w:pStyle w:val="Annextitle"/>
        <w:spacing w:after="120"/>
        <w:rPr>
          <w:rFonts w:ascii="Calibri" w:hAnsi="Calibri" w:cs="Calibri"/>
          <w:lang w:eastAsia="zh-CN"/>
        </w:rPr>
      </w:pPr>
      <w:r w:rsidRPr="001306F6">
        <w:rPr>
          <w:rFonts w:ascii="Calibri" w:hAnsi="Calibri" w:cs="Calibri"/>
          <w:lang w:eastAsia="zh-CN"/>
        </w:rPr>
        <w:t>待付款的</w:t>
      </w:r>
      <w:r w:rsidRPr="001306F6">
        <w:rPr>
          <w:rFonts w:ascii="Calibri" w:hAnsi="Calibri" w:cs="Calibri"/>
          <w:lang w:eastAsia="zh-CN"/>
        </w:rPr>
        <w:t>UIFN</w:t>
      </w:r>
      <w:r w:rsidRPr="001306F6">
        <w:rPr>
          <w:rFonts w:ascii="Calibri" w:hAnsi="Calibri" w:cs="Calibri"/>
          <w:lang w:eastAsia="zh-CN"/>
        </w:rPr>
        <w:t>服务提供商最新名单</w:t>
      </w:r>
      <w:r w:rsidR="00431632">
        <w:rPr>
          <w:rFonts w:ascii="Calibri" w:hAnsi="Calibri" w:cs="Calibri"/>
          <w:lang w:eastAsia="zh-CN"/>
        </w:rPr>
        <w:br/>
      </w:r>
      <w:r w:rsidRPr="001306F6">
        <w:rPr>
          <w:rFonts w:ascii="Calibri" w:hAnsi="Calibri" w:cs="Calibri" w:hint="eastAsia"/>
          <w:lang w:eastAsia="zh-CN"/>
        </w:rPr>
        <w:t>（适用于</w:t>
      </w:r>
      <w:r w:rsidRPr="001306F6">
        <w:rPr>
          <w:rFonts w:ascii="Calibri" w:hAnsi="Calibri" w:cs="Calibri" w:hint="eastAsia"/>
          <w:lang w:eastAsia="zh-CN"/>
        </w:rPr>
        <w:t>2018</w:t>
      </w:r>
      <w:r w:rsidR="0057595A">
        <w:rPr>
          <w:rFonts w:ascii="Calibri" w:hAnsi="Calibri" w:cs="Calibri" w:hint="eastAsia"/>
          <w:lang w:eastAsia="zh-CN"/>
        </w:rPr>
        <w:t>、</w:t>
      </w:r>
      <w:r w:rsidRPr="001306F6">
        <w:rPr>
          <w:rFonts w:ascii="Calibri" w:hAnsi="Calibri" w:cs="Calibri" w:hint="eastAsia"/>
          <w:lang w:eastAsia="zh-CN"/>
        </w:rPr>
        <w:t>2019</w:t>
      </w:r>
      <w:r w:rsidR="0057595A">
        <w:rPr>
          <w:rFonts w:ascii="Calibri" w:hAnsi="Calibri" w:cs="Calibri" w:hint="eastAsia"/>
          <w:lang w:eastAsia="zh-CN"/>
        </w:rPr>
        <w:t>、</w:t>
      </w:r>
      <w:r w:rsidRPr="001306F6">
        <w:rPr>
          <w:rFonts w:ascii="Calibri" w:hAnsi="Calibri" w:cs="Calibri" w:hint="eastAsia"/>
          <w:lang w:eastAsia="zh-CN"/>
        </w:rPr>
        <w:t>2020</w:t>
      </w:r>
      <w:r w:rsidR="0057595A">
        <w:rPr>
          <w:rFonts w:ascii="Calibri" w:hAnsi="Calibri" w:cs="Calibri" w:hint="eastAsia"/>
          <w:lang w:eastAsia="zh-CN"/>
        </w:rPr>
        <w:t>、</w:t>
      </w:r>
      <w:r w:rsidRPr="001306F6">
        <w:rPr>
          <w:rFonts w:ascii="Calibri" w:hAnsi="Calibri" w:cs="Calibri" w:hint="eastAsia"/>
          <w:lang w:eastAsia="zh-CN"/>
        </w:rPr>
        <w:t>202</w:t>
      </w:r>
      <w:r w:rsidR="0057595A">
        <w:rPr>
          <w:rFonts w:ascii="Calibri" w:hAnsi="Calibri" w:cs="Calibri" w:hint="eastAsia"/>
          <w:lang w:eastAsia="zh-CN"/>
        </w:rPr>
        <w:t>1</w:t>
      </w:r>
      <w:r w:rsidR="0057595A">
        <w:rPr>
          <w:rFonts w:ascii="Calibri" w:hAnsi="Calibri" w:cs="Calibri" w:hint="eastAsia"/>
          <w:lang w:eastAsia="zh-CN"/>
        </w:rPr>
        <w:t>、</w:t>
      </w:r>
      <w:r w:rsidRPr="001306F6">
        <w:rPr>
          <w:rFonts w:ascii="Calibri" w:hAnsi="Calibri" w:cs="Calibri" w:hint="eastAsia"/>
          <w:lang w:eastAsia="zh-CN"/>
        </w:rPr>
        <w:t>2022</w:t>
      </w:r>
      <w:r w:rsidR="0057595A">
        <w:rPr>
          <w:rFonts w:ascii="Calibri" w:hAnsi="Calibri" w:cs="Calibri" w:hint="eastAsia"/>
          <w:lang w:eastAsia="zh-CN"/>
        </w:rPr>
        <w:t>、</w:t>
      </w:r>
      <w:r w:rsidRPr="001306F6">
        <w:rPr>
          <w:rFonts w:ascii="Calibri" w:hAnsi="Calibri" w:cs="Calibri" w:hint="eastAsia"/>
          <w:lang w:eastAsia="zh-CN"/>
        </w:rPr>
        <w:t>2023</w:t>
      </w:r>
      <w:r w:rsidR="0057595A">
        <w:rPr>
          <w:rFonts w:ascii="Calibri" w:hAnsi="Calibri" w:cs="Calibri" w:hint="eastAsia"/>
          <w:lang w:eastAsia="zh-CN"/>
        </w:rPr>
        <w:t>、</w:t>
      </w:r>
      <w:r w:rsidRPr="001306F6">
        <w:rPr>
          <w:rFonts w:ascii="Calibri" w:hAnsi="Calibri" w:cs="Calibri" w:hint="eastAsia"/>
          <w:lang w:eastAsia="zh-CN"/>
        </w:rPr>
        <w:t>2024</w:t>
      </w:r>
      <w:r w:rsidRPr="001306F6">
        <w:rPr>
          <w:rFonts w:ascii="Calibri" w:hAnsi="Calibri" w:cs="Calibri" w:hint="eastAsia"/>
          <w:lang w:eastAsia="zh-CN"/>
        </w:rPr>
        <w:t>和</w:t>
      </w:r>
      <w:r w:rsidRPr="001306F6">
        <w:rPr>
          <w:rFonts w:ascii="Calibri" w:hAnsi="Calibri" w:cs="Calibri" w:hint="eastAsia"/>
          <w:lang w:eastAsia="zh-CN"/>
        </w:rPr>
        <w:t>2025</w:t>
      </w:r>
      <w:r w:rsidRPr="001306F6">
        <w:rPr>
          <w:rFonts w:ascii="Calibri" w:hAnsi="Calibri" w:cs="Calibri" w:hint="eastAsia"/>
          <w:lang w:eastAsia="zh-CN"/>
        </w:rPr>
        <w:t>年，截至</w:t>
      </w:r>
      <w:r w:rsidRPr="001306F6">
        <w:rPr>
          <w:rFonts w:ascii="Calibri" w:hAnsi="Calibri" w:cs="Calibri" w:hint="eastAsia"/>
          <w:lang w:eastAsia="zh-CN"/>
        </w:rPr>
        <w:t>2026</w:t>
      </w:r>
      <w:r w:rsidRPr="001306F6">
        <w:rPr>
          <w:rFonts w:ascii="Calibri" w:hAnsi="Calibri" w:cs="Calibri" w:hint="eastAsia"/>
          <w:lang w:eastAsia="zh-CN"/>
        </w:rPr>
        <w:t>年</w:t>
      </w:r>
      <w:r w:rsidRPr="001306F6">
        <w:rPr>
          <w:rFonts w:ascii="Calibri" w:hAnsi="Calibri" w:cs="Calibri" w:hint="eastAsia"/>
          <w:lang w:eastAsia="zh-CN"/>
        </w:rPr>
        <w:t>1</w:t>
      </w:r>
      <w:r w:rsidRPr="001306F6">
        <w:rPr>
          <w:rFonts w:ascii="Calibri" w:hAnsi="Calibri" w:cs="Calibri" w:hint="eastAsia"/>
          <w:lang w:eastAsia="zh-CN"/>
        </w:rPr>
        <w:t>月</w:t>
      </w:r>
      <w:r w:rsidRPr="001306F6">
        <w:rPr>
          <w:rFonts w:ascii="Calibri" w:hAnsi="Calibri" w:cs="Calibri" w:hint="eastAsia"/>
          <w:lang w:eastAsia="zh-CN"/>
        </w:rPr>
        <w:t>28</w:t>
      </w:r>
      <w:r w:rsidRPr="001306F6">
        <w:rPr>
          <w:rFonts w:ascii="Calibri" w:hAnsi="Calibri" w:cs="Calibri" w:hint="eastAsia"/>
          <w:lang w:eastAsia="zh-CN"/>
        </w:rPr>
        <w:t>日）</w:t>
      </w:r>
    </w:p>
    <w:tbl>
      <w:tblPr>
        <w:tblW w:w="13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1748"/>
        <w:gridCol w:w="4039"/>
        <w:gridCol w:w="1620"/>
        <w:gridCol w:w="1350"/>
      </w:tblGrid>
      <w:tr w:rsidR="007C5630" w:rsidRPr="007C5630" w14:paraId="7D94E4A1" w14:textId="77777777" w:rsidTr="00BE0E15">
        <w:trPr>
          <w:cantSplit/>
          <w:tblHeader/>
          <w:jc w:val="center"/>
        </w:trPr>
        <w:tc>
          <w:tcPr>
            <w:tcW w:w="1413" w:type="dxa"/>
            <w:shd w:val="clear" w:color="auto" w:fill="DDDDDD"/>
          </w:tcPr>
          <w:p w14:paraId="2277E794" w14:textId="77777777" w:rsidR="007C5630" w:rsidRPr="007C5630" w:rsidRDefault="007C5630" w:rsidP="001306F6">
            <w:pPr>
              <w:pStyle w:val="Tablehead"/>
              <w:rPr>
                <w:rFonts w:eastAsia="DengXian"/>
                <w:lang w:val="en-US" w:eastAsia="zh-CN"/>
              </w:rPr>
            </w:pPr>
            <w:r w:rsidRPr="007C5630">
              <w:rPr>
                <w:lang w:val="zh-CN" w:eastAsia="zh-CN"/>
              </w:rPr>
              <w:t>年份</w:t>
            </w:r>
          </w:p>
        </w:tc>
        <w:tc>
          <w:tcPr>
            <w:tcW w:w="2551" w:type="dxa"/>
            <w:shd w:val="clear" w:color="auto" w:fill="DDDDDD"/>
            <w:noWrap/>
          </w:tcPr>
          <w:p w14:paraId="6CFBD30F" w14:textId="77777777" w:rsidR="007C5630" w:rsidRPr="007C5630" w:rsidRDefault="007C5630" w:rsidP="001306F6">
            <w:pPr>
              <w:pStyle w:val="Tablehead"/>
              <w:rPr>
                <w:rFonts w:eastAsia="DengXian"/>
                <w:lang w:val="en-US" w:eastAsia="zh-CN"/>
              </w:rPr>
            </w:pPr>
            <w:r w:rsidRPr="007C5630">
              <w:rPr>
                <w:lang w:val="zh-CN" w:eastAsia="zh-CN"/>
              </w:rPr>
              <w:t>金额</w:t>
            </w:r>
          </w:p>
        </w:tc>
        <w:tc>
          <w:tcPr>
            <w:tcW w:w="1134" w:type="dxa"/>
            <w:shd w:val="clear" w:color="auto" w:fill="DDDDDD"/>
            <w:noWrap/>
          </w:tcPr>
          <w:p w14:paraId="13DCE36F" w14:textId="77777777" w:rsidR="007C5630" w:rsidRPr="007C5630" w:rsidRDefault="007C5630" w:rsidP="001306F6">
            <w:pPr>
              <w:pStyle w:val="Tablehead"/>
              <w:rPr>
                <w:rFonts w:eastAsia="DengXian"/>
                <w:lang w:val="en-US" w:eastAsia="zh-CN"/>
              </w:rPr>
            </w:pPr>
            <w:r w:rsidRPr="007C5630">
              <w:rPr>
                <w:lang w:val="zh-CN" w:eastAsia="zh-CN"/>
              </w:rPr>
              <w:t>币种</w:t>
            </w:r>
          </w:p>
        </w:tc>
        <w:tc>
          <w:tcPr>
            <w:tcW w:w="1748" w:type="dxa"/>
            <w:shd w:val="clear" w:color="auto" w:fill="DDDDDD"/>
          </w:tcPr>
          <w:p w14:paraId="1C0DCBE7" w14:textId="77777777" w:rsidR="007C5630" w:rsidRPr="007C5630" w:rsidRDefault="007C5630" w:rsidP="001306F6">
            <w:pPr>
              <w:pStyle w:val="Tablehead"/>
              <w:rPr>
                <w:rFonts w:eastAsia="DengXian"/>
                <w:lang w:val="en-US" w:eastAsia="zh-CN"/>
              </w:rPr>
            </w:pPr>
            <w:r w:rsidRPr="007C5630">
              <w:rPr>
                <w:lang w:val="zh-CN" w:eastAsia="zh-CN"/>
              </w:rPr>
              <w:t>UIFN</w:t>
            </w:r>
            <w:r w:rsidRPr="007C5630">
              <w:rPr>
                <w:lang w:val="zh-CN" w:eastAsia="zh-CN"/>
              </w:rPr>
              <w:t>数量</w:t>
            </w:r>
          </w:p>
        </w:tc>
        <w:tc>
          <w:tcPr>
            <w:tcW w:w="4039" w:type="dxa"/>
            <w:shd w:val="clear" w:color="auto" w:fill="DDDDDD"/>
            <w:noWrap/>
          </w:tcPr>
          <w:p w14:paraId="585427B2" w14:textId="77777777" w:rsidR="007C5630" w:rsidRPr="007C5630" w:rsidRDefault="007C5630" w:rsidP="001306F6">
            <w:pPr>
              <w:pStyle w:val="Tablehead"/>
              <w:rPr>
                <w:rFonts w:eastAsia="DengXian"/>
                <w:lang w:val="en-US" w:eastAsia="zh-CN"/>
              </w:rPr>
            </w:pPr>
            <w:r w:rsidRPr="007C5630">
              <w:rPr>
                <w:lang w:val="zh-CN" w:eastAsia="zh-CN"/>
              </w:rPr>
              <w:t>公司名称</w:t>
            </w:r>
          </w:p>
        </w:tc>
        <w:tc>
          <w:tcPr>
            <w:tcW w:w="1620" w:type="dxa"/>
            <w:shd w:val="clear" w:color="auto" w:fill="DDDDDD"/>
            <w:noWrap/>
          </w:tcPr>
          <w:p w14:paraId="2F83BC25" w14:textId="77777777" w:rsidR="007C5630" w:rsidRPr="007C5630" w:rsidRDefault="007C5630" w:rsidP="001306F6">
            <w:pPr>
              <w:pStyle w:val="Tablehead"/>
              <w:rPr>
                <w:rFonts w:eastAsia="DengXian"/>
                <w:lang w:val="en-US" w:eastAsia="zh-CN"/>
              </w:rPr>
            </w:pPr>
            <w:r w:rsidRPr="007C5630">
              <w:rPr>
                <w:lang w:val="zh-CN" w:eastAsia="zh-CN"/>
              </w:rPr>
              <w:t>国家</w:t>
            </w:r>
            <w:r w:rsidRPr="007C5630">
              <w:rPr>
                <w:lang w:val="zh-CN" w:eastAsia="zh-CN"/>
              </w:rPr>
              <w:t>/</w:t>
            </w:r>
            <w:r w:rsidRPr="007C5630">
              <w:rPr>
                <w:lang w:val="zh-CN" w:eastAsia="zh-CN"/>
              </w:rPr>
              <w:t>地理区域</w:t>
            </w:r>
          </w:p>
        </w:tc>
        <w:tc>
          <w:tcPr>
            <w:tcW w:w="1350" w:type="dxa"/>
            <w:shd w:val="clear" w:color="auto" w:fill="DDDDDD"/>
          </w:tcPr>
          <w:p w14:paraId="6BD5A12B" w14:textId="77777777" w:rsidR="007C5630" w:rsidRPr="007C5630" w:rsidRDefault="007C5630" w:rsidP="001306F6">
            <w:pPr>
              <w:pStyle w:val="Tablehead"/>
              <w:rPr>
                <w:rFonts w:eastAsia="DengXian"/>
                <w:lang w:val="en-US" w:eastAsia="zh-CN"/>
              </w:rPr>
            </w:pPr>
            <w:r w:rsidRPr="007C5630">
              <w:rPr>
                <w:lang w:val="zh-CN" w:eastAsia="zh-CN"/>
              </w:rPr>
              <w:t>注</w:t>
            </w:r>
          </w:p>
        </w:tc>
      </w:tr>
      <w:tr w:rsidR="007C5630" w:rsidRPr="007C5630" w14:paraId="7B5F3790" w14:textId="77777777" w:rsidTr="00BE0E15">
        <w:trPr>
          <w:cantSplit/>
          <w:jc w:val="center"/>
        </w:trPr>
        <w:tc>
          <w:tcPr>
            <w:tcW w:w="1413" w:type="dxa"/>
          </w:tcPr>
          <w:p w14:paraId="5413F7FD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2024</w:t>
            </w:r>
          </w:p>
        </w:tc>
        <w:tc>
          <w:tcPr>
            <w:tcW w:w="2551" w:type="dxa"/>
          </w:tcPr>
          <w:p w14:paraId="1D1D765C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28 100.00</w:t>
            </w:r>
          </w:p>
        </w:tc>
        <w:tc>
          <w:tcPr>
            <w:tcW w:w="1134" w:type="dxa"/>
          </w:tcPr>
          <w:p w14:paraId="0E526BE9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0B027DE0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281</w:t>
            </w:r>
          </w:p>
        </w:tc>
        <w:tc>
          <w:tcPr>
            <w:tcW w:w="4039" w:type="dxa"/>
          </w:tcPr>
          <w:p w14:paraId="79A39EA3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TDC A/S</w:t>
            </w:r>
          </w:p>
        </w:tc>
        <w:tc>
          <w:tcPr>
            <w:tcW w:w="1620" w:type="dxa"/>
          </w:tcPr>
          <w:p w14:paraId="1509D020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丹麦</w:t>
            </w:r>
          </w:p>
        </w:tc>
        <w:tc>
          <w:tcPr>
            <w:tcW w:w="1350" w:type="dxa"/>
          </w:tcPr>
          <w:p w14:paraId="3482074F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20141C5B" w14:textId="77777777" w:rsidTr="00BE0E15">
        <w:trPr>
          <w:cantSplit/>
          <w:jc w:val="center"/>
        </w:trPr>
        <w:tc>
          <w:tcPr>
            <w:tcW w:w="1413" w:type="dxa"/>
          </w:tcPr>
          <w:p w14:paraId="0EE395AA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2025</w:t>
            </w:r>
          </w:p>
        </w:tc>
        <w:tc>
          <w:tcPr>
            <w:tcW w:w="2551" w:type="dxa"/>
          </w:tcPr>
          <w:p w14:paraId="4BF14218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28 100.00</w:t>
            </w:r>
          </w:p>
        </w:tc>
        <w:tc>
          <w:tcPr>
            <w:tcW w:w="1134" w:type="dxa"/>
          </w:tcPr>
          <w:p w14:paraId="01817A6C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5F4243B2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281</w:t>
            </w:r>
          </w:p>
        </w:tc>
        <w:tc>
          <w:tcPr>
            <w:tcW w:w="4039" w:type="dxa"/>
          </w:tcPr>
          <w:p w14:paraId="0C2BE1EE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TDC A/S</w:t>
            </w:r>
          </w:p>
        </w:tc>
        <w:tc>
          <w:tcPr>
            <w:tcW w:w="1620" w:type="dxa"/>
          </w:tcPr>
          <w:p w14:paraId="0A87135F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丹麦</w:t>
            </w:r>
          </w:p>
        </w:tc>
        <w:tc>
          <w:tcPr>
            <w:tcW w:w="1350" w:type="dxa"/>
          </w:tcPr>
          <w:p w14:paraId="7AFEE7EB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424E0616" w14:textId="77777777" w:rsidTr="00BE0E15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3E909DCF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4D02E45E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56 200.00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2FFBFA5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2867DA16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332639DD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小计</w:t>
            </w:r>
            <w:r w:rsidR="00BE0E15">
              <w:rPr>
                <w:rFonts w:hint="eastAsia"/>
                <w:b/>
                <w:bCs/>
                <w:lang w:val="zh-CN" w:eastAsia="zh-CN"/>
              </w:rPr>
              <w:t xml:space="preserve"> </w:t>
            </w:r>
            <w:r w:rsidR="00BE0E15" w:rsidRPr="00BE0E15">
              <w:rPr>
                <w:b/>
                <w:bCs/>
                <w:lang w:val="zh-CN" w:eastAsia="zh-CN"/>
              </w:rPr>
              <w:t>–</w:t>
            </w:r>
            <w:r w:rsidR="00BE0E15">
              <w:rPr>
                <w:rFonts w:hint="eastAsia"/>
                <w:b/>
                <w:bCs/>
                <w:lang w:val="zh-CN" w:eastAsia="zh-CN"/>
              </w:rPr>
              <w:t xml:space="preserve"> </w:t>
            </w:r>
            <w:r w:rsidRPr="007C5630">
              <w:rPr>
                <w:b/>
                <w:bCs/>
                <w:lang w:val="zh-CN" w:eastAsia="zh-CN"/>
              </w:rPr>
              <w:t>丹麦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C86A2C8" w14:textId="77777777" w:rsidR="007C5630" w:rsidRPr="00BE0E15" w:rsidRDefault="007C5630" w:rsidP="001306F6">
            <w:pPr>
              <w:pStyle w:val="Tabletext"/>
              <w:rPr>
                <w:b/>
                <w:bCs/>
                <w:lang w:val="en-US" w:eastAsia="zh-CN"/>
              </w:rPr>
            </w:pPr>
            <w:r w:rsidRPr="00BE0E15">
              <w:rPr>
                <w:b/>
                <w:bCs/>
                <w:lang w:val="zh-CN" w:eastAsia="zh-CN"/>
              </w:rPr>
              <w:t>丹麦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41FC825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2F87B21E" w14:textId="77777777" w:rsidTr="00BE0E15">
        <w:trPr>
          <w:cantSplit/>
          <w:jc w:val="center"/>
        </w:trPr>
        <w:tc>
          <w:tcPr>
            <w:tcW w:w="1413" w:type="dxa"/>
          </w:tcPr>
          <w:p w14:paraId="464C613E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2024</w:t>
            </w:r>
          </w:p>
        </w:tc>
        <w:tc>
          <w:tcPr>
            <w:tcW w:w="2551" w:type="dxa"/>
          </w:tcPr>
          <w:p w14:paraId="7B3B6CE6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33 600.00</w:t>
            </w:r>
          </w:p>
        </w:tc>
        <w:tc>
          <w:tcPr>
            <w:tcW w:w="1134" w:type="dxa"/>
          </w:tcPr>
          <w:p w14:paraId="31CDAA8B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3A145B0E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–</w:t>
            </w:r>
          </w:p>
        </w:tc>
        <w:tc>
          <w:tcPr>
            <w:tcW w:w="4039" w:type="dxa"/>
          </w:tcPr>
          <w:p w14:paraId="39F609A5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International Telcom Ltd.</w:t>
            </w:r>
          </w:p>
        </w:tc>
        <w:tc>
          <w:tcPr>
            <w:tcW w:w="1620" w:type="dxa"/>
          </w:tcPr>
          <w:p w14:paraId="2EDCC573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美国</w:t>
            </w:r>
          </w:p>
        </w:tc>
        <w:tc>
          <w:tcPr>
            <w:tcW w:w="1350" w:type="dxa"/>
          </w:tcPr>
          <w:p w14:paraId="668FA3B1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  <w:r w:rsidRPr="007C5630">
              <w:rPr>
                <w:color w:val="000000"/>
                <w:sz w:val="22"/>
                <w:szCs w:val="10"/>
                <w:lang w:val="zh-CN" w:eastAsia="zh-CN"/>
              </w:rPr>
              <w:t>欠款</w:t>
            </w:r>
            <w:r w:rsidRPr="007C5630">
              <w:rPr>
                <w:color w:val="000000"/>
                <w:sz w:val="22"/>
                <w:szCs w:val="10"/>
                <w:lang w:val="zh-CN" w:eastAsia="zh-CN"/>
              </w:rPr>
              <w:t>*</w:t>
            </w:r>
          </w:p>
        </w:tc>
      </w:tr>
      <w:tr w:rsidR="007C5630" w:rsidRPr="007C5630" w14:paraId="63FE5948" w14:textId="77777777" w:rsidTr="00BE0E15">
        <w:trPr>
          <w:cantSplit/>
          <w:jc w:val="center"/>
        </w:trPr>
        <w:tc>
          <w:tcPr>
            <w:tcW w:w="1413" w:type="dxa"/>
          </w:tcPr>
          <w:p w14:paraId="03C8E332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2018</w:t>
            </w:r>
          </w:p>
        </w:tc>
        <w:tc>
          <w:tcPr>
            <w:tcW w:w="2551" w:type="dxa"/>
          </w:tcPr>
          <w:p w14:paraId="4CC0B4C7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1600,00</w:t>
            </w:r>
          </w:p>
        </w:tc>
        <w:tc>
          <w:tcPr>
            <w:tcW w:w="1134" w:type="dxa"/>
          </w:tcPr>
          <w:p w14:paraId="17E4184D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24850BEE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56</w:t>
            </w:r>
          </w:p>
        </w:tc>
        <w:tc>
          <w:tcPr>
            <w:tcW w:w="4039" w:type="dxa"/>
          </w:tcPr>
          <w:p w14:paraId="1F2767A7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International Telcom Ltd.</w:t>
            </w:r>
          </w:p>
        </w:tc>
        <w:tc>
          <w:tcPr>
            <w:tcW w:w="1620" w:type="dxa"/>
          </w:tcPr>
          <w:p w14:paraId="45C0425E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美国</w:t>
            </w:r>
          </w:p>
        </w:tc>
        <w:tc>
          <w:tcPr>
            <w:tcW w:w="1350" w:type="dxa"/>
          </w:tcPr>
          <w:p w14:paraId="7BBEDBAC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0"/>
                <w:szCs w:val="10"/>
                <w:lang w:val="en-US" w:eastAsia="zh-CN"/>
              </w:rPr>
            </w:pPr>
          </w:p>
        </w:tc>
      </w:tr>
      <w:tr w:rsidR="007C5630" w:rsidRPr="007C5630" w14:paraId="5FF5EB54" w14:textId="77777777" w:rsidTr="00BE0E15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2FB40C7A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294F7EAF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35 200.00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9BBDBA9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66E6C54C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3E2BEBD2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小计</w:t>
            </w:r>
            <w:r w:rsidR="00BE0E15">
              <w:rPr>
                <w:rFonts w:hint="eastAsia"/>
                <w:b/>
                <w:bCs/>
                <w:lang w:val="zh-CN" w:eastAsia="zh-CN"/>
              </w:rPr>
              <w:t xml:space="preserve"> </w:t>
            </w:r>
            <w:r w:rsidR="00BE0E15" w:rsidRPr="00BE0E15">
              <w:rPr>
                <w:b/>
                <w:bCs/>
                <w:lang w:val="zh-CN" w:eastAsia="zh-CN"/>
              </w:rPr>
              <w:t>–</w:t>
            </w:r>
            <w:r w:rsidR="00BE0E15">
              <w:rPr>
                <w:rFonts w:hint="eastAsia"/>
                <w:b/>
                <w:bCs/>
                <w:lang w:val="zh-CN" w:eastAsia="zh-CN"/>
              </w:rPr>
              <w:t xml:space="preserve"> </w:t>
            </w:r>
            <w:r w:rsidRPr="007C5630">
              <w:rPr>
                <w:b/>
                <w:bCs/>
                <w:lang w:val="zh-CN" w:eastAsia="zh-CN"/>
              </w:rPr>
              <w:t>美国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3602B0C1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美国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043B14F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27E4E486" w14:textId="77777777" w:rsidTr="00BE0E15">
        <w:trPr>
          <w:cantSplit/>
          <w:jc w:val="center"/>
        </w:trPr>
        <w:tc>
          <w:tcPr>
            <w:tcW w:w="1413" w:type="dxa"/>
          </w:tcPr>
          <w:p w14:paraId="7851E83A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2018</w:t>
            </w:r>
          </w:p>
        </w:tc>
        <w:tc>
          <w:tcPr>
            <w:tcW w:w="2551" w:type="dxa"/>
          </w:tcPr>
          <w:p w14:paraId="7946FCCB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11 200.00</w:t>
            </w:r>
          </w:p>
        </w:tc>
        <w:tc>
          <w:tcPr>
            <w:tcW w:w="1134" w:type="dxa"/>
          </w:tcPr>
          <w:p w14:paraId="335CDE2D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0CC42384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140</w:t>
            </w:r>
          </w:p>
        </w:tc>
        <w:tc>
          <w:tcPr>
            <w:tcW w:w="4039" w:type="dxa"/>
          </w:tcPr>
          <w:p w14:paraId="5B933726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Bezeq International</w:t>
            </w:r>
          </w:p>
        </w:tc>
        <w:tc>
          <w:tcPr>
            <w:tcW w:w="1620" w:type="dxa"/>
          </w:tcPr>
          <w:p w14:paraId="39B78F7C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以色列</w:t>
            </w:r>
          </w:p>
        </w:tc>
        <w:tc>
          <w:tcPr>
            <w:tcW w:w="1350" w:type="dxa"/>
          </w:tcPr>
          <w:p w14:paraId="52086A5A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0"/>
                <w:szCs w:val="10"/>
                <w:lang w:val="en-US" w:eastAsia="zh-CN"/>
              </w:rPr>
            </w:pPr>
          </w:p>
        </w:tc>
      </w:tr>
      <w:tr w:rsidR="007C5630" w:rsidRPr="007C5630" w14:paraId="345B2A3D" w14:textId="77777777" w:rsidTr="00BE0E15">
        <w:trPr>
          <w:cantSplit/>
          <w:jc w:val="center"/>
        </w:trPr>
        <w:tc>
          <w:tcPr>
            <w:tcW w:w="1413" w:type="dxa"/>
          </w:tcPr>
          <w:p w14:paraId="131FBCC1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2025</w:t>
            </w:r>
          </w:p>
        </w:tc>
        <w:tc>
          <w:tcPr>
            <w:tcW w:w="2551" w:type="dxa"/>
          </w:tcPr>
          <w:p w14:paraId="4398E3F2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6 800.00</w:t>
            </w:r>
          </w:p>
        </w:tc>
        <w:tc>
          <w:tcPr>
            <w:tcW w:w="1134" w:type="dxa"/>
          </w:tcPr>
          <w:p w14:paraId="5B6D9EB8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176ED096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68</w:t>
            </w:r>
          </w:p>
        </w:tc>
        <w:tc>
          <w:tcPr>
            <w:tcW w:w="4039" w:type="dxa"/>
          </w:tcPr>
          <w:p w14:paraId="1144D8DF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en-US" w:eastAsia="zh-CN"/>
              </w:rPr>
              <w:t>Partner Land-Line Communications Solutions LP</w:t>
            </w:r>
          </w:p>
        </w:tc>
        <w:tc>
          <w:tcPr>
            <w:tcW w:w="1620" w:type="dxa"/>
          </w:tcPr>
          <w:p w14:paraId="19409657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以色列</w:t>
            </w:r>
          </w:p>
        </w:tc>
        <w:tc>
          <w:tcPr>
            <w:tcW w:w="1350" w:type="dxa"/>
          </w:tcPr>
          <w:p w14:paraId="5DD44B57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4A57CCE0" w14:textId="77777777" w:rsidTr="00BE0E15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287033A3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7379C702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18 000.00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1D48CEB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722ECA24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080DBED1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小计</w:t>
            </w:r>
            <w:r w:rsidR="00BE0E15">
              <w:rPr>
                <w:rFonts w:hint="eastAsia"/>
                <w:b/>
                <w:bCs/>
                <w:lang w:val="zh-CN" w:eastAsia="zh-CN"/>
              </w:rPr>
              <w:t xml:space="preserve"> </w:t>
            </w:r>
            <w:r w:rsidR="00BE0E15" w:rsidRPr="00BE0E15">
              <w:rPr>
                <w:b/>
                <w:bCs/>
                <w:lang w:val="zh-CN" w:eastAsia="zh-CN"/>
              </w:rPr>
              <w:t>–</w:t>
            </w:r>
            <w:r w:rsidR="00BE0E15">
              <w:rPr>
                <w:rFonts w:hint="eastAsia"/>
                <w:b/>
                <w:bCs/>
                <w:lang w:val="zh-CN" w:eastAsia="zh-CN"/>
              </w:rPr>
              <w:t xml:space="preserve"> </w:t>
            </w:r>
            <w:r w:rsidRPr="007C5630">
              <w:rPr>
                <w:b/>
                <w:bCs/>
                <w:lang w:val="zh-CN" w:eastAsia="zh-CN"/>
              </w:rPr>
              <w:t>以色列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125E1598" w14:textId="77777777" w:rsidR="007C5630" w:rsidRPr="00BE0E15" w:rsidRDefault="007C5630" w:rsidP="001306F6">
            <w:pPr>
              <w:pStyle w:val="Tabletext"/>
              <w:rPr>
                <w:b/>
                <w:bCs/>
                <w:lang w:val="en-US" w:eastAsia="zh-CN"/>
              </w:rPr>
            </w:pPr>
            <w:r w:rsidRPr="00BE0E15">
              <w:rPr>
                <w:b/>
                <w:bCs/>
                <w:lang w:val="zh-CN" w:eastAsia="zh-CN"/>
              </w:rPr>
              <w:t>以色列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E6F2E80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637AE5C9" w14:textId="77777777" w:rsidTr="00BE0E15">
        <w:trPr>
          <w:cantSplit/>
          <w:jc w:val="center"/>
        </w:trPr>
        <w:tc>
          <w:tcPr>
            <w:tcW w:w="1413" w:type="dxa"/>
          </w:tcPr>
          <w:p w14:paraId="255B8831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2025</w:t>
            </w:r>
          </w:p>
        </w:tc>
        <w:tc>
          <w:tcPr>
            <w:tcW w:w="2551" w:type="dxa"/>
          </w:tcPr>
          <w:p w14:paraId="438478F9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13 900.00</w:t>
            </w:r>
          </w:p>
        </w:tc>
        <w:tc>
          <w:tcPr>
            <w:tcW w:w="1134" w:type="dxa"/>
          </w:tcPr>
          <w:p w14:paraId="4C21B2A3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43CEEA4F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139</w:t>
            </w:r>
          </w:p>
        </w:tc>
        <w:tc>
          <w:tcPr>
            <w:tcW w:w="4039" w:type="dxa"/>
          </w:tcPr>
          <w:p w14:paraId="73FFC365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en-US" w:eastAsia="zh-CN"/>
              </w:rPr>
              <w:t>Hong Kong Telecommunications (HKT) Limited</w:t>
            </w:r>
          </w:p>
        </w:tc>
        <w:tc>
          <w:tcPr>
            <w:tcW w:w="1620" w:type="dxa"/>
          </w:tcPr>
          <w:p w14:paraId="35F7ECB5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中国香港</w:t>
            </w:r>
          </w:p>
        </w:tc>
        <w:tc>
          <w:tcPr>
            <w:tcW w:w="1350" w:type="dxa"/>
          </w:tcPr>
          <w:p w14:paraId="0340AEB4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075C767C" w14:textId="77777777" w:rsidTr="00BE0E15">
        <w:trPr>
          <w:cantSplit/>
          <w:jc w:val="center"/>
        </w:trPr>
        <w:tc>
          <w:tcPr>
            <w:tcW w:w="1413" w:type="dxa"/>
          </w:tcPr>
          <w:p w14:paraId="7CCE4B47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2018</w:t>
            </w:r>
          </w:p>
        </w:tc>
        <w:tc>
          <w:tcPr>
            <w:tcW w:w="2551" w:type="dxa"/>
          </w:tcPr>
          <w:p w14:paraId="112ACBEC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400.00</w:t>
            </w:r>
          </w:p>
        </w:tc>
        <w:tc>
          <w:tcPr>
            <w:tcW w:w="1134" w:type="dxa"/>
          </w:tcPr>
          <w:p w14:paraId="31DDCA38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24A383A3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4</w:t>
            </w:r>
          </w:p>
        </w:tc>
        <w:tc>
          <w:tcPr>
            <w:tcW w:w="4039" w:type="dxa"/>
          </w:tcPr>
          <w:p w14:paraId="2FFDCE05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en-US" w:eastAsia="zh-CN"/>
              </w:rPr>
              <w:t>HKBN Enterprise Solutions HK Limited (ex-WTT HK Limited)</w:t>
            </w:r>
          </w:p>
        </w:tc>
        <w:tc>
          <w:tcPr>
            <w:tcW w:w="1620" w:type="dxa"/>
          </w:tcPr>
          <w:p w14:paraId="36D56C6F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中国香港</w:t>
            </w:r>
          </w:p>
        </w:tc>
        <w:tc>
          <w:tcPr>
            <w:tcW w:w="1350" w:type="dxa"/>
          </w:tcPr>
          <w:p w14:paraId="34ADB744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79159684" w14:textId="77777777" w:rsidTr="00BE0E15">
        <w:trPr>
          <w:cantSplit/>
          <w:jc w:val="center"/>
        </w:trPr>
        <w:tc>
          <w:tcPr>
            <w:tcW w:w="1413" w:type="dxa"/>
          </w:tcPr>
          <w:p w14:paraId="013A312B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2023</w:t>
            </w:r>
          </w:p>
        </w:tc>
        <w:tc>
          <w:tcPr>
            <w:tcW w:w="2551" w:type="dxa"/>
          </w:tcPr>
          <w:p w14:paraId="307CE1FD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100.00</w:t>
            </w:r>
          </w:p>
        </w:tc>
        <w:tc>
          <w:tcPr>
            <w:tcW w:w="1134" w:type="dxa"/>
          </w:tcPr>
          <w:p w14:paraId="41F6768F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272F3483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1</w:t>
            </w:r>
          </w:p>
        </w:tc>
        <w:tc>
          <w:tcPr>
            <w:tcW w:w="4039" w:type="dxa"/>
          </w:tcPr>
          <w:p w14:paraId="58FE5E9A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en-US" w:eastAsia="zh-CN"/>
              </w:rPr>
              <w:t>HGC Global Communications Limited</w:t>
            </w:r>
          </w:p>
        </w:tc>
        <w:tc>
          <w:tcPr>
            <w:tcW w:w="1620" w:type="dxa"/>
          </w:tcPr>
          <w:p w14:paraId="3180320E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中国香港</w:t>
            </w:r>
          </w:p>
        </w:tc>
        <w:tc>
          <w:tcPr>
            <w:tcW w:w="1350" w:type="dxa"/>
          </w:tcPr>
          <w:p w14:paraId="1E0D2372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0B9FF9F7" w14:textId="77777777" w:rsidTr="00BE0E15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4C3C3871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3D4E35DF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14 400.00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C757849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41948546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79C9B8E6" w14:textId="77777777" w:rsidR="007C5630" w:rsidRPr="007C5630" w:rsidRDefault="007C5630" w:rsidP="001306F6">
            <w:pPr>
              <w:pStyle w:val="Tabletext"/>
              <w:rPr>
                <w:b/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小计</w:t>
            </w:r>
            <w:r w:rsidR="00BE0E15">
              <w:rPr>
                <w:rFonts w:hint="eastAsia"/>
                <w:b/>
                <w:bCs/>
                <w:lang w:val="zh-CN" w:eastAsia="zh-CN"/>
              </w:rPr>
              <w:t xml:space="preserve"> </w:t>
            </w:r>
            <w:r w:rsidR="00BE0E15" w:rsidRPr="00BE0E15">
              <w:rPr>
                <w:b/>
                <w:bCs/>
                <w:lang w:val="zh-CN" w:eastAsia="zh-CN"/>
              </w:rPr>
              <w:t>–</w:t>
            </w:r>
            <w:r w:rsidR="00BE0E15">
              <w:rPr>
                <w:rFonts w:hint="eastAsia"/>
                <w:b/>
                <w:bCs/>
                <w:lang w:val="zh-CN" w:eastAsia="zh-CN"/>
              </w:rPr>
              <w:t xml:space="preserve"> </w:t>
            </w:r>
            <w:r w:rsidRPr="007C5630">
              <w:rPr>
                <w:b/>
                <w:bCs/>
                <w:lang w:val="zh-CN" w:eastAsia="zh-CN"/>
              </w:rPr>
              <w:t>中国香港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4AC75407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中国香港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BEF6FC7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7CB6F8C1" w14:textId="77777777" w:rsidTr="00BE0E15">
        <w:trPr>
          <w:cantSplit/>
          <w:jc w:val="center"/>
        </w:trPr>
        <w:tc>
          <w:tcPr>
            <w:tcW w:w="1413" w:type="dxa"/>
          </w:tcPr>
          <w:p w14:paraId="134535F3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2024</w:t>
            </w:r>
          </w:p>
        </w:tc>
        <w:tc>
          <w:tcPr>
            <w:tcW w:w="2551" w:type="dxa"/>
          </w:tcPr>
          <w:p w14:paraId="61336E1D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3 000.00</w:t>
            </w:r>
          </w:p>
        </w:tc>
        <w:tc>
          <w:tcPr>
            <w:tcW w:w="1134" w:type="dxa"/>
          </w:tcPr>
          <w:p w14:paraId="0D142947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59803AFE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–</w:t>
            </w:r>
          </w:p>
        </w:tc>
        <w:tc>
          <w:tcPr>
            <w:tcW w:w="4039" w:type="dxa"/>
          </w:tcPr>
          <w:p w14:paraId="276416F0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Kingston communications/Affiniti</w:t>
            </w:r>
          </w:p>
        </w:tc>
        <w:tc>
          <w:tcPr>
            <w:tcW w:w="1620" w:type="dxa"/>
          </w:tcPr>
          <w:p w14:paraId="45D0C7E9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英国</w:t>
            </w:r>
          </w:p>
        </w:tc>
        <w:tc>
          <w:tcPr>
            <w:tcW w:w="1350" w:type="dxa"/>
          </w:tcPr>
          <w:p w14:paraId="7591FD7F" w14:textId="77777777" w:rsidR="007C5630" w:rsidRPr="007C5630" w:rsidRDefault="007C5630" w:rsidP="007C5630">
            <w:pPr>
              <w:keepNext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  <w:r w:rsidRPr="007C5630">
              <w:rPr>
                <w:color w:val="000000"/>
                <w:sz w:val="22"/>
                <w:szCs w:val="10"/>
                <w:lang w:val="zh-CN" w:eastAsia="zh-CN"/>
              </w:rPr>
              <w:t>欠款</w:t>
            </w:r>
            <w:r w:rsidRPr="007C5630">
              <w:rPr>
                <w:color w:val="000000"/>
                <w:sz w:val="22"/>
                <w:szCs w:val="10"/>
                <w:lang w:val="zh-CN" w:eastAsia="zh-CN"/>
              </w:rPr>
              <w:t>*</w:t>
            </w:r>
          </w:p>
        </w:tc>
      </w:tr>
      <w:tr w:rsidR="007C5630" w:rsidRPr="007C5630" w14:paraId="2619EC20" w14:textId="77777777" w:rsidTr="00BE0E15">
        <w:trPr>
          <w:cantSplit/>
          <w:jc w:val="center"/>
        </w:trPr>
        <w:tc>
          <w:tcPr>
            <w:tcW w:w="1413" w:type="dxa"/>
          </w:tcPr>
          <w:p w14:paraId="1271FBA1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2024</w:t>
            </w:r>
          </w:p>
        </w:tc>
        <w:tc>
          <w:tcPr>
            <w:tcW w:w="2551" w:type="dxa"/>
          </w:tcPr>
          <w:p w14:paraId="39CEF82D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1 800.00</w:t>
            </w:r>
          </w:p>
        </w:tc>
        <w:tc>
          <w:tcPr>
            <w:tcW w:w="1134" w:type="dxa"/>
          </w:tcPr>
          <w:p w14:paraId="5413A206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103BAB8E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–</w:t>
            </w:r>
          </w:p>
        </w:tc>
        <w:tc>
          <w:tcPr>
            <w:tcW w:w="4039" w:type="dxa"/>
          </w:tcPr>
          <w:p w14:paraId="5C312539" w14:textId="2C068535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eastAsia="zh-CN"/>
              </w:rPr>
              <w:t>PTGI INTERNATIONAL CARRIER</w:t>
            </w:r>
            <w:r w:rsidRPr="007C5630">
              <w:rPr>
                <w:lang w:eastAsia="zh-CN"/>
              </w:rPr>
              <w:t>（</w:t>
            </w:r>
            <w:r w:rsidRPr="007C5630">
              <w:rPr>
                <w:lang w:val="zh-CN" w:eastAsia="zh-CN"/>
              </w:rPr>
              <w:t>原</w:t>
            </w:r>
            <w:r w:rsidRPr="007C5630">
              <w:rPr>
                <w:lang w:eastAsia="zh-CN"/>
              </w:rPr>
              <w:t>PRIMUS Telecommunications Ltd.</w:t>
            </w:r>
            <w:r w:rsidRPr="007C5630">
              <w:rPr>
                <w:lang w:eastAsia="zh-CN"/>
              </w:rPr>
              <w:t>）</w:t>
            </w:r>
          </w:p>
        </w:tc>
        <w:tc>
          <w:tcPr>
            <w:tcW w:w="1620" w:type="dxa"/>
          </w:tcPr>
          <w:p w14:paraId="646DF636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英国</w:t>
            </w:r>
          </w:p>
        </w:tc>
        <w:tc>
          <w:tcPr>
            <w:tcW w:w="1350" w:type="dxa"/>
          </w:tcPr>
          <w:p w14:paraId="698B7525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  <w:r w:rsidRPr="007C5630">
              <w:rPr>
                <w:color w:val="000000"/>
                <w:sz w:val="22"/>
                <w:szCs w:val="10"/>
                <w:lang w:val="zh-CN" w:eastAsia="zh-CN"/>
              </w:rPr>
              <w:t>欠款</w:t>
            </w:r>
            <w:r w:rsidRPr="007C5630">
              <w:rPr>
                <w:color w:val="000000"/>
                <w:sz w:val="22"/>
                <w:szCs w:val="10"/>
                <w:lang w:val="zh-CN" w:eastAsia="zh-CN"/>
              </w:rPr>
              <w:t>*</w:t>
            </w:r>
          </w:p>
        </w:tc>
      </w:tr>
      <w:tr w:rsidR="007C5630" w:rsidRPr="007C5630" w14:paraId="7543AC36" w14:textId="77777777" w:rsidTr="00BE0E15">
        <w:trPr>
          <w:cantSplit/>
          <w:jc w:val="center"/>
        </w:trPr>
        <w:tc>
          <w:tcPr>
            <w:tcW w:w="1413" w:type="dxa"/>
          </w:tcPr>
          <w:p w14:paraId="4B845FBE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lastRenderedPageBreak/>
              <w:t>2018</w:t>
            </w:r>
          </w:p>
        </w:tc>
        <w:tc>
          <w:tcPr>
            <w:tcW w:w="2551" w:type="dxa"/>
          </w:tcPr>
          <w:p w14:paraId="3059C6E1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100.00 [</w:t>
            </w:r>
          </w:p>
        </w:tc>
        <w:tc>
          <w:tcPr>
            <w:tcW w:w="1134" w:type="dxa"/>
          </w:tcPr>
          <w:p w14:paraId="7F2F6AD2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5921E642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5</w:t>
            </w:r>
          </w:p>
        </w:tc>
        <w:tc>
          <w:tcPr>
            <w:tcW w:w="4039" w:type="dxa"/>
          </w:tcPr>
          <w:p w14:paraId="048B6871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Kingston communications/Affiniti</w:t>
            </w:r>
          </w:p>
        </w:tc>
        <w:tc>
          <w:tcPr>
            <w:tcW w:w="1620" w:type="dxa"/>
          </w:tcPr>
          <w:p w14:paraId="73327131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英国</w:t>
            </w:r>
          </w:p>
        </w:tc>
        <w:tc>
          <w:tcPr>
            <w:tcW w:w="1350" w:type="dxa"/>
          </w:tcPr>
          <w:p w14:paraId="712D6334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4534145E" w14:textId="77777777" w:rsidTr="00BE0E15">
        <w:trPr>
          <w:cantSplit/>
          <w:jc w:val="center"/>
        </w:trPr>
        <w:tc>
          <w:tcPr>
            <w:tcW w:w="1413" w:type="dxa"/>
          </w:tcPr>
          <w:p w14:paraId="40328A3B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2018</w:t>
            </w:r>
          </w:p>
        </w:tc>
        <w:tc>
          <w:tcPr>
            <w:tcW w:w="2551" w:type="dxa"/>
          </w:tcPr>
          <w:p w14:paraId="6DEDC196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300.00</w:t>
            </w:r>
          </w:p>
        </w:tc>
        <w:tc>
          <w:tcPr>
            <w:tcW w:w="1134" w:type="dxa"/>
          </w:tcPr>
          <w:p w14:paraId="5528949F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10DA7ECB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3</w:t>
            </w:r>
          </w:p>
        </w:tc>
        <w:tc>
          <w:tcPr>
            <w:tcW w:w="4039" w:type="dxa"/>
          </w:tcPr>
          <w:p w14:paraId="293EDBDC" w14:textId="1131102F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eastAsia="zh-CN"/>
              </w:rPr>
              <w:t>PTGI INTERNATIONAL CARRIER</w:t>
            </w:r>
            <w:r w:rsidRPr="007C5630">
              <w:rPr>
                <w:lang w:eastAsia="zh-CN"/>
              </w:rPr>
              <w:t>（</w:t>
            </w:r>
            <w:r w:rsidRPr="007C5630">
              <w:rPr>
                <w:lang w:val="zh-CN" w:eastAsia="zh-CN"/>
              </w:rPr>
              <w:t>原</w:t>
            </w:r>
            <w:r w:rsidRPr="007C5630">
              <w:rPr>
                <w:lang w:eastAsia="zh-CN"/>
              </w:rPr>
              <w:t>PRIMUS Telecommunications Ltd.</w:t>
            </w:r>
            <w:r w:rsidRPr="007C5630">
              <w:rPr>
                <w:lang w:eastAsia="zh-CN"/>
              </w:rPr>
              <w:t>）</w:t>
            </w:r>
          </w:p>
        </w:tc>
        <w:tc>
          <w:tcPr>
            <w:tcW w:w="1620" w:type="dxa"/>
          </w:tcPr>
          <w:p w14:paraId="6B853D8B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英国</w:t>
            </w:r>
          </w:p>
        </w:tc>
        <w:tc>
          <w:tcPr>
            <w:tcW w:w="1350" w:type="dxa"/>
          </w:tcPr>
          <w:p w14:paraId="7196E74B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4D8FDDBE" w14:textId="77777777" w:rsidTr="00BE0E15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79FE382E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28BE3B57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5 200.00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4F7518C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3F0032A3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8</w:t>
            </w:r>
          </w:p>
        </w:tc>
        <w:tc>
          <w:tcPr>
            <w:tcW w:w="4039" w:type="dxa"/>
            <w:shd w:val="clear" w:color="auto" w:fill="F2F2F2" w:themeFill="background1" w:themeFillShade="F2"/>
          </w:tcPr>
          <w:p w14:paraId="05A37BB3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小计</w:t>
            </w:r>
            <w:r w:rsidR="00BE0E15">
              <w:rPr>
                <w:rFonts w:hint="eastAsia"/>
                <w:b/>
                <w:bCs/>
                <w:lang w:val="zh-CN" w:eastAsia="zh-CN"/>
              </w:rPr>
              <w:t xml:space="preserve"> </w:t>
            </w:r>
            <w:r w:rsidR="00BE0E15" w:rsidRPr="00BE0E15">
              <w:rPr>
                <w:b/>
                <w:bCs/>
                <w:lang w:val="zh-CN" w:eastAsia="zh-CN"/>
              </w:rPr>
              <w:t>–</w:t>
            </w:r>
            <w:r w:rsidR="00BE0E15">
              <w:rPr>
                <w:rFonts w:hint="eastAsia"/>
                <w:b/>
                <w:bCs/>
                <w:lang w:val="zh-CN" w:eastAsia="zh-CN"/>
              </w:rPr>
              <w:t xml:space="preserve"> </w:t>
            </w:r>
            <w:r w:rsidRPr="007C5630">
              <w:rPr>
                <w:b/>
                <w:bCs/>
                <w:lang w:val="zh-CN" w:eastAsia="zh-CN"/>
              </w:rPr>
              <w:t>英国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6BCD2564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英国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8206357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056CD53A" w14:textId="77777777" w:rsidTr="00BE0E15">
        <w:trPr>
          <w:cantSplit/>
          <w:jc w:val="center"/>
        </w:trPr>
        <w:tc>
          <w:tcPr>
            <w:tcW w:w="1413" w:type="dxa"/>
          </w:tcPr>
          <w:p w14:paraId="233A9366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2025</w:t>
            </w:r>
          </w:p>
        </w:tc>
        <w:tc>
          <w:tcPr>
            <w:tcW w:w="2551" w:type="dxa"/>
          </w:tcPr>
          <w:p w14:paraId="19356D93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4 500.00</w:t>
            </w:r>
          </w:p>
        </w:tc>
        <w:tc>
          <w:tcPr>
            <w:tcW w:w="1134" w:type="dxa"/>
          </w:tcPr>
          <w:p w14:paraId="31B958C0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2E8E8801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45</w:t>
            </w:r>
          </w:p>
        </w:tc>
        <w:tc>
          <w:tcPr>
            <w:tcW w:w="4039" w:type="dxa"/>
          </w:tcPr>
          <w:p w14:paraId="2D04686E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MessageBird B.V.</w:t>
            </w:r>
          </w:p>
        </w:tc>
        <w:tc>
          <w:tcPr>
            <w:tcW w:w="1620" w:type="dxa"/>
          </w:tcPr>
          <w:p w14:paraId="1D27042D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荷兰</w:t>
            </w:r>
          </w:p>
        </w:tc>
        <w:tc>
          <w:tcPr>
            <w:tcW w:w="1350" w:type="dxa"/>
          </w:tcPr>
          <w:p w14:paraId="7CD7FF5F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1C26DFBE" w14:textId="77777777" w:rsidTr="00BE0E15">
        <w:trPr>
          <w:cantSplit/>
          <w:jc w:val="center"/>
        </w:trPr>
        <w:tc>
          <w:tcPr>
            <w:tcW w:w="1413" w:type="dxa"/>
          </w:tcPr>
          <w:p w14:paraId="3B3CD355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2025</w:t>
            </w:r>
          </w:p>
        </w:tc>
        <w:tc>
          <w:tcPr>
            <w:tcW w:w="2551" w:type="dxa"/>
          </w:tcPr>
          <w:p w14:paraId="278445BD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800.00</w:t>
            </w:r>
          </w:p>
        </w:tc>
        <w:tc>
          <w:tcPr>
            <w:tcW w:w="1134" w:type="dxa"/>
          </w:tcPr>
          <w:p w14:paraId="18741FAE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39F01CA5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8</w:t>
            </w:r>
          </w:p>
        </w:tc>
        <w:tc>
          <w:tcPr>
            <w:tcW w:w="4039" w:type="dxa"/>
          </w:tcPr>
          <w:p w14:paraId="4B87B5E4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proofErr w:type="spellStart"/>
            <w:r w:rsidRPr="007C5630">
              <w:rPr>
                <w:lang w:val="en-US" w:eastAsia="zh-CN"/>
              </w:rPr>
              <w:t>TeleForwarding</w:t>
            </w:r>
            <w:proofErr w:type="spellEnd"/>
            <w:r w:rsidRPr="007C5630">
              <w:rPr>
                <w:lang w:val="en-US" w:eastAsia="zh-CN"/>
              </w:rPr>
              <w:t xml:space="preserve"> International B.V.</w:t>
            </w:r>
          </w:p>
        </w:tc>
        <w:tc>
          <w:tcPr>
            <w:tcW w:w="1620" w:type="dxa"/>
          </w:tcPr>
          <w:p w14:paraId="3059BE66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荷兰</w:t>
            </w:r>
          </w:p>
        </w:tc>
        <w:tc>
          <w:tcPr>
            <w:tcW w:w="1350" w:type="dxa"/>
          </w:tcPr>
          <w:p w14:paraId="7DEA2F56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2829F561" w14:textId="77777777" w:rsidTr="00BE0E15">
        <w:trPr>
          <w:cantSplit/>
          <w:jc w:val="center"/>
        </w:trPr>
        <w:tc>
          <w:tcPr>
            <w:tcW w:w="1413" w:type="dxa"/>
          </w:tcPr>
          <w:p w14:paraId="1A624C46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2551" w:type="dxa"/>
          </w:tcPr>
          <w:p w14:paraId="4814E183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5 300.00</w:t>
            </w:r>
          </w:p>
        </w:tc>
        <w:tc>
          <w:tcPr>
            <w:tcW w:w="1134" w:type="dxa"/>
          </w:tcPr>
          <w:p w14:paraId="641C2E63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282C76F7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4039" w:type="dxa"/>
          </w:tcPr>
          <w:p w14:paraId="4CDCA3E4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小计</w:t>
            </w:r>
            <w:r w:rsidR="00BE0E15">
              <w:rPr>
                <w:rFonts w:hint="eastAsia"/>
                <w:b/>
                <w:bCs/>
                <w:lang w:val="zh-CN" w:eastAsia="zh-CN"/>
              </w:rPr>
              <w:t xml:space="preserve"> </w:t>
            </w:r>
            <w:r w:rsidR="00BE0E15" w:rsidRPr="00BE0E15">
              <w:rPr>
                <w:b/>
                <w:bCs/>
                <w:lang w:val="zh-CN" w:eastAsia="zh-CN"/>
              </w:rPr>
              <w:t>–</w:t>
            </w:r>
            <w:r w:rsidR="00BE0E15">
              <w:rPr>
                <w:rFonts w:hint="eastAsia"/>
                <w:b/>
                <w:bCs/>
                <w:lang w:val="zh-CN" w:eastAsia="zh-CN"/>
              </w:rPr>
              <w:t xml:space="preserve"> </w:t>
            </w:r>
            <w:r w:rsidRPr="007C5630">
              <w:rPr>
                <w:b/>
                <w:bCs/>
                <w:lang w:val="zh-CN" w:eastAsia="zh-CN"/>
              </w:rPr>
              <w:t>荷兰</w:t>
            </w:r>
          </w:p>
        </w:tc>
        <w:tc>
          <w:tcPr>
            <w:tcW w:w="1620" w:type="dxa"/>
          </w:tcPr>
          <w:p w14:paraId="47884A94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rFonts w:hint="eastAsia"/>
                <w:b/>
                <w:bCs/>
                <w:lang w:val="zh-CN" w:eastAsia="zh-CN"/>
              </w:rPr>
              <w:t>荷兰</w:t>
            </w:r>
          </w:p>
        </w:tc>
        <w:tc>
          <w:tcPr>
            <w:tcW w:w="1350" w:type="dxa"/>
          </w:tcPr>
          <w:p w14:paraId="52A1E70E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3865CB02" w14:textId="77777777" w:rsidTr="00BE0E15">
        <w:trPr>
          <w:cantSplit/>
          <w:jc w:val="center"/>
        </w:trPr>
        <w:tc>
          <w:tcPr>
            <w:tcW w:w="1413" w:type="dxa"/>
          </w:tcPr>
          <w:p w14:paraId="6CB7564A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2024</w:t>
            </w:r>
          </w:p>
        </w:tc>
        <w:tc>
          <w:tcPr>
            <w:tcW w:w="2551" w:type="dxa"/>
          </w:tcPr>
          <w:p w14:paraId="50763CBC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2 100.00</w:t>
            </w:r>
          </w:p>
        </w:tc>
        <w:tc>
          <w:tcPr>
            <w:tcW w:w="1134" w:type="dxa"/>
          </w:tcPr>
          <w:p w14:paraId="6304C8D8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4999EA6C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21</w:t>
            </w:r>
          </w:p>
        </w:tc>
        <w:tc>
          <w:tcPr>
            <w:tcW w:w="4039" w:type="dxa"/>
          </w:tcPr>
          <w:p w14:paraId="30C316EA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Telia Norge AS</w:t>
            </w:r>
          </w:p>
        </w:tc>
        <w:tc>
          <w:tcPr>
            <w:tcW w:w="1620" w:type="dxa"/>
          </w:tcPr>
          <w:p w14:paraId="4752D524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挪威</w:t>
            </w:r>
          </w:p>
        </w:tc>
        <w:tc>
          <w:tcPr>
            <w:tcW w:w="1350" w:type="dxa"/>
          </w:tcPr>
          <w:p w14:paraId="4FC7A084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5908C01D" w14:textId="77777777" w:rsidTr="00BE0E15">
        <w:trPr>
          <w:cantSplit/>
          <w:jc w:val="center"/>
        </w:trPr>
        <w:tc>
          <w:tcPr>
            <w:tcW w:w="1413" w:type="dxa"/>
          </w:tcPr>
          <w:p w14:paraId="3429EA83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2025</w:t>
            </w:r>
          </w:p>
        </w:tc>
        <w:tc>
          <w:tcPr>
            <w:tcW w:w="2551" w:type="dxa"/>
          </w:tcPr>
          <w:p w14:paraId="471674D0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2 100.00</w:t>
            </w:r>
          </w:p>
        </w:tc>
        <w:tc>
          <w:tcPr>
            <w:tcW w:w="1134" w:type="dxa"/>
          </w:tcPr>
          <w:p w14:paraId="438C2581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7287ACD0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21</w:t>
            </w:r>
          </w:p>
        </w:tc>
        <w:tc>
          <w:tcPr>
            <w:tcW w:w="4039" w:type="dxa"/>
          </w:tcPr>
          <w:p w14:paraId="59FD976E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Telia Norge AS</w:t>
            </w:r>
          </w:p>
        </w:tc>
        <w:tc>
          <w:tcPr>
            <w:tcW w:w="1620" w:type="dxa"/>
          </w:tcPr>
          <w:p w14:paraId="70A73824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挪威</w:t>
            </w:r>
          </w:p>
        </w:tc>
        <w:tc>
          <w:tcPr>
            <w:tcW w:w="1350" w:type="dxa"/>
          </w:tcPr>
          <w:p w14:paraId="5A21AD78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4AE8F885" w14:textId="77777777" w:rsidTr="00BE0E15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3FBF0B7A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1F28133A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4 200.00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F764B9F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583FEB67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2736A3B0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小计</w:t>
            </w:r>
            <w:r w:rsidR="00BE0E15">
              <w:rPr>
                <w:rFonts w:hint="eastAsia"/>
                <w:b/>
                <w:bCs/>
                <w:lang w:val="zh-CN" w:eastAsia="zh-CN"/>
              </w:rPr>
              <w:t xml:space="preserve"> </w:t>
            </w:r>
            <w:r w:rsidR="00BE0E15" w:rsidRPr="00BE0E15">
              <w:rPr>
                <w:b/>
                <w:bCs/>
                <w:lang w:val="zh-CN" w:eastAsia="zh-CN"/>
              </w:rPr>
              <w:t>–</w:t>
            </w:r>
            <w:r w:rsidR="00BE0E15">
              <w:rPr>
                <w:rFonts w:hint="eastAsia"/>
                <w:b/>
                <w:bCs/>
                <w:lang w:val="zh-CN" w:eastAsia="zh-CN"/>
              </w:rPr>
              <w:t xml:space="preserve"> </w:t>
            </w:r>
            <w:r w:rsidRPr="007C5630">
              <w:rPr>
                <w:b/>
                <w:bCs/>
                <w:lang w:val="zh-CN" w:eastAsia="zh-CN"/>
              </w:rPr>
              <w:t>挪威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6326589" w14:textId="77777777" w:rsidR="007C5630" w:rsidRPr="00BE0E15" w:rsidRDefault="007C5630" w:rsidP="001306F6">
            <w:pPr>
              <w:pStyle w:val="Tabletext"/>
              <w:rPr>
                <w:b/>
                <w:bCs/>
                <w:lang w:val="en-US" w:eastAsia="zh-CN"/>
              </w:rPr>
            </w:pPr>
            <w:r w:rsidRPr="00BE0E15">
              <w:rPr>
                <w:b/>
                <w:bCs/>
                <w:lang w:val="zh-CN" w:eastAsia="zh-CN"/>
              </w:rPr>
              <w:t>挪威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66E275E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77724A89" w14:textId="77777777" w:rsidTr="00BE0E15">
        <w:trPr>
          <w:cantSplit/>
          <w:jc w:val="center"/>
        </w:trPr>
        <w:tc>
          <w:tcPr>
            <w:tcW w:w="1413" w:type="dxa"/>
          </w:tcPr>
          <w:p w14:paraId="6692E912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2024</w:t>
            </w:r>
          </w:p>
        </w:tc>
        <w:tc>
          <w:tcPr>
            <w:tcW w:w="2551" w:type="dxa"/>
          </w:tcPr>
          <w:p w14:paraId="2D0440D1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3 000.00</w:t>
            </w:r>
          </w:p>
        </w:tc>
        <w:tc>
          <w:tcPr>
            <w:tcW w:w="1134" w:type="dxa"/>
          </w:tcPr>
          <w:p w14:paraId="17374D46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3F9C2483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–</w:t>
            </w:r>
          </w:p>
        </w:tc>
        <w:tc>
          <w:tcPr>
            <w:tcW w:w="4039" w:type="dxa"/>
          </w:tcPr>
          <w:p w14:paraId="64318443" w14:textId="22469675" w:rsidR="007C5630" w:rsidRPr="00D12161" w:rsidRDefault="007C5630" w:rsidP="001306F6">
            <w:pPr>
              <w:pStyle w:val="Tabletext"/>
              <w:rPr>
                <w:lang w:val="es-ES" w:eastAsia="zh-CN"/>
              </w:rPr>
            </w:pPr>
            <w:r w:rsidRPr="00D12161">
              <w:rPr>
                <w:lang w:val="es-ES" w:eastAsia="zh-CN"/>
              </w:rPr>
              <w:t>Telefónica S.A.</w:t>
            </w:r>
            <w:r w:rsidRPr="00D12161">
              <w:rPr>
                <w:lang w:val="es-ES" w:eastAsia="zh-CN"/>
              </w:rPr>
              <w:t>（</w:t>
            </w:r>
            <w:r w:rsidRPr="007C5630">
              <w:rPr>
                <w:lang w:val="zh-CN" w:eastAsia="zh-CN"/>
              </w:rPr>
              <w:t>原</w:t>
            </w:r>
            <w:r w:rsidRPr="00D12161">
              <w:rPr>
                <w:lang w:val="es-ES" w:eastAsia="zh-CN"/>
              </w:rPr>
              <w:t>Colombia Telecomunicaciones S.A. ESP - Telecom Colombia</w:t>
            </w:r>
            <w:r w:rsidRPr="00D12161">
              <w:rPr>
                <w:lang w:val="es-ES" w:eastAsia="zh-CN"/>
              </w:rPr>
              <w:t>）</w:t>
            </w:r>
          </w:p>
        </w:tc>
        <w:tc>
          <w:tcPr>
            <w:tcW w:w="1620" w:type="dxa"/>
          </w:tcPr>
          <w:p w14:paraId="5AABF3E7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哥伦比亚</w:t>
            </w:r>
          </w:p>
        </w:tc>
        <w:tc>
          <w:tcPr>
            <w:tcW w:w="1350" w:type="dxa"/>
          </w:tcPr>
          <w:p w14:paraId="11B8BE89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  <w:r w:rsidRPr="007C5630">
              <w:rPr>
                <w:color w:val="000000"/>
                <w:sz w:val="22"/>
                <w:szCs w:val="10"/>
                <w:lang w:val="zh-CN" w:eastAsia="zh-CN"/>
              </w:rPr>
              <w:t>欠款</w:t>
            </w:r>
            <w:r w:rsidRPr="007C5630">
              <w:rPr>
                <w:color w:val="000000"/>
                <w:sz w:val="22"/>
                <w:szCs w:val="10"/>
                <w:lang w:val="zh-CN" w:eastAsia="zh-CN"/>
              </w:rPr>
              <w:t>*</w:t>
            </w:r>
          </w:p>
        </w:tc>
      </w:tr>
      <w:tr w:rsidR="007C5630" w:rsidRPr="007C5630" w14:paraId="4F690744" w14:textId="77777777" w:rsidTr="00BE0E15">
        <w:trPr>
          <w:cantSplit/>
          <w:jc w:val="center"/>
        </w:trPr>
        <w:tc>
          <w:tcPr>
            <w:tcW w:w="1413" w:type="dxa"/>
          </w:tcPr>
          <w:p w14:paraId="76A24F85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2018</w:t>
            </w:r>
          </w:p>
        </w:tc>
        <w:tc>
          <w:tcPr>
            <w:tcW w:w="2551" w:type="dxa"/>
          </w:tcPr>
          <w:p w14:paraId="4BD194EE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300.00</w:t>
            </w:r>
          </w:p>
        </w:tc>
        <w:tc>
          <w:tcPr>
            <w:tcW w:w="1134" w:type="dxa"/>
          </w:tcPr>
          <w:p w14:paraId="424B52CA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5EB3F18A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5</w:t>
            </w:r>
          </w:p>
        </w:tc>
        <w:tc>
          <w:tcPr>
            <w:tcW w:w="4039" w:type="dxa"/>
          </w:tcPr>
          <w:p w14:paraId="38461306" w14:textId="0906CB41" w:rsidR="007C5630" w:rsidRPr="00D12161" w:rsidRDefault="007C5630" w:rsidP="001306F6">
            <w:pPr>
              <w:pStyle w:val="Tabletext"/>
              <w:rPr>
                <w:lang w:val="es-ES" w:eastAsia="zh-CN"/>
              </w:rPr>
            </w:pPr>
            <w:r w:rsidRPr="00D12161">
              <w:rPr>
                <w:lang w:val="es-ES" w:eastAsia="zh-CN"/>
              </w:rPr>
              <w:t>Telefónica S.A.</w:t>
            </w:r>
            <w:r w:rsidRPr="00D12161">
              <w:rPr>
                <w:lang w:val="es-ES" w:eastAsia="zh-CN"/>
              </w:rPr>
              <w:t>（</w:t>
            </w:r>
            <w:r w:rsidRPr="007C5630">
              <w:rPr>
                <w:lang w:val="zh-CN" w:eastAsia="zh-CN"/>
              </w:rPr>
              <w:t>原</w:t>
            </w:r>
            <w:r w:rsidRPr="00D12161">
              <w:rPr>
                <w:lang w:val="es-ES" w:eastAsia="zh-CN"/>
              </w:rPr>
              <w:t>Colombia Telecomunicaciones S.A. ESP - Telecom Colombia</w:t>
            </w:r>
            <w:r w:rsidRPr="00D12161">
              <w:rPr>
                <w:lang w:val="es-ES" w:eastAsia="zh-CN"/>
              </w:rPr>
              <w:t>）</w:t>
            </w:r>
          </w:p>
        </w:tc>
        <w:tc>
          <w:tcPr>
            <w:tcW w:w="1620" w:type="dxa"/>
          </w:tcPr>
          <w:p w14:paraId="7354A97D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哥伦比亚</w:t>
            </w:r>
          </w:p>
        </w:tc>
        <w:tc>
          <w:tcPr>
            <w:tcW w:w="1350" w:type="dxa"/>
          </w:tcPr>
          <w:p w14:paraId="11F71839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6C253A17" w14:textId="77777777" w:rsidTr="00BE0E15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0B489D43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7BC5D9D8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3 300.00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04330BF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5CB20433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3457F943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小计</w:t>
            </w:r>
            <w:r w:rsidR="00BE0E15">
              <w:rPr>
                <w:rFonts w:hint="eastAsia"/>
                <w:b/>
                <w:bCs/>
                <w:lang w:val="zh-CN" w:eastAsia="zh-CN"/>
              </w:rPr>
              <w:t xml:space="preserve"> </w:t>
            </w:r>
            <w:r w:rsidR="00BE0E15" w:rsidRPr="00BE0E15">
              <w:rPr>
                <w:b/>
                <w:bCs/>
                <w:lang w:val="zh-CN" w:eastAsia="zh-CN"/>
              </w:rPr>
              <w:t>–</w:t>
            </w:r>
            <w:r w:rsidR="00BE0E15">
              <w:rPr>
                <w:rFonts w:hint="eastAsia"/>
                <w:b/>
                <w:bCs/>
                <w:lang w:val="zh-CN" w:eastAsia="zh-CN"/>
              </w:rPr>
              <w:t xml:space="preserve"> </w:t>
            </w:r>
            <w:r w:rsidRPr="007C5630">
              <w:rPr>
                <w:b/>
                <w:bCs/>
                <w:lang w:val="zh-CN" w:eastAsia="zh-CN"/>
              </w:rPr>
              <w:t>哥伦比亚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E0245EC" w14:textId="77777777" w:rsidR="007C5630" w:rsidRPr="00BE0E15" w:rsidRDefault="007C5630" w:rsidP="001306F6">
            <w:pPr>
              <w:pStyle w:val="Tabletext"/>
              <w:rPr>
                <w:b/>
                <w:bCs/>
                <w:lang w:val="en-US" w:eastAsia="zh-CN"/>
              </w:rPr>
            </w:pPr>
            <w:r w:rsidRPr="00BE0E15">
              <w:rPr>
                <w:b/>
                <w:bCs/>
                <w:lang w:val="zh-CN" w:eastAsia="zh-CN"/>
              </w:rPr>
              <w:t>哥伦比亚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8414C9F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22C59B15" w14:textId="77777777" w:rsidTr="00BE0E15">
        <w:trPr>
          <w:cantSplit/>
          <w:jc w:val="center"/>
        </w:trPr>
        <w:tc>
          <w:tcPr>
            <w:tcW w:w="1413" w:type="dxa"/>
          </w:tcPr>
          <w:p w14:paraId="6B326563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2025</w:t>
            </w:r>
          </w:p>
        </w:tc>
        <w:tc>
          <w:tcPr>
            <w:tcW w:w="2551" w:type="dxa"/>
          </w:tcPr>
          <w:p w14:paraId="07686980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3 000.00</w:t>
            </w:r>
          </w:p>
        </w:tc>
        <w:tc>
          <w:tcPr>
            <w:tcW w:w="1134" w:type="dxa"/>
          </w:tcPr>
          <w:p w14:paraId="4BA40195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6DDD7FCD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30</w:t>
            </w:r>
          </w:p>
        </w:tc>
        <w:tc>
          <w:tcPr>
            <w:tcW w:w="4039" w:type="dxa"/>
          </w:tcPr>
          <w:p w14:paraId="657CD108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proofErr w:type="spellStart"/>
            <w:r w:rsidRPr="007C5630">
              <w:rPr>
                <w:lang w:val="en-US" w:eastAsia="zh-CN"/>
              </w:rPr>
              <w:t>Chungwa</w:t>
            </w:r>
            <w:proofErr w:type="spellEnd"/>
            <w:r w:rsidRPr="007C5630">
              <w:rPr>
                <w:lang w:val="en-US" w:eastAsia="zh-CN"/>
              </w:rPr>
              <w:t xml:space="preserve"> Telecom Co., Ltd.</w:t>
            </w:r>
          </w:p>
        </w:tc>
        <w:tc>
          <w:tcPr>
            <w:tcW w:w="1620" w:type="dxa"/>
          </w:tcPr>
          <w:p w14:paraId="006C1FF7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中国台湾省</w:t>
            </w:r>
          </w:p>
        </w:tc>
        <w:tc>
          <w:tcPr>
            <w:tcW w:w="1350" w:type="dxa"/>
          </w:tcPr>
          <w:p w14:paraId="4F12E41A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4E0EB18B" w14:textId="77777777" w:rsidTr="00BE0E15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11DB2735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1F7BE709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3 000.00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F5B0262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117759B3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2AB8D151" w14:textId="77777777" w:rsidR="007C5630" w:rsidRPr="007C5630" w:rsidRDefault="007C5630" w:rsidP="001306F6">
            <w:pPr>
              <w:pStyle w:val="Tabletext"/>
              <w:rPr>
                <w:b/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小计</w:t>
            </w:r>
            <w:r w:rsidR="00BE0E15">
              <w:rPr>
                <w:rFonts w:hint="eastAsia"/>
                <w:b/>
                <w:bCs/>
                <w:lang w:val="zh-CN" w:eastAsia="zh-CN"/>
              </w:rPr>
              <w:t xml:space="preserve"> </w:t>
            </w:r>
            <w:r w:rsidR="00BE0E15" w:rsidRPr="00BE0E15">
              <w:rPr>
                <w:b/>
                <w:bCs/>
                <w:lang w:val="zh-CN" w:eastAsia="zh-CN"/>
              </w:rPr>
              <w:t>–</w:t>
            </w:r>
            <w:r w:rsidR="00BE0E15">
              <w:rPr>
                <w:rFonts w:hint="eastAsia"/>
                <w:b/>
                <w:bCs/>
                <w:lang w:val="zh-CN" w:eastAsia="zh-CN"/>
              </w:rPr>
              <w:t xml:space="preserve"> </w:t>
            </w:r>
            <w:r w:rsidRPr="007C5630">
              <w:rPr>
                <w:b/>
                <w:bCs/>
                <w:lang w:val="zh-CN" w:eastAsia="zh-CN"/>
              </w:rPr>
              <w:t>中国台湾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F42C720" w14:textId="77777777" w:rsidR="007C5630" w:rsidRPr="00BE0E15" w:rsidRDefault="007C5630" w:rsidP="001306F6">
            <w:pPr>
              <w:pStyle w:val="Tabletext"/>
              <w:rPr>
                <w:b/>
                <w:bCs/>
                <w:lang w:val="en-US" w:eastAsia="zh-CN"/>
              </w:rPr>
            </w:pPr>
            <w:r w:rsidRPr="00BE0E15">
              <w:rPr>
                <w:b/>
                <w:bCs/>
                <w:lang w:val="zh-CN" w:eastAsia="zh-CN"/>
              </w:rPr>
              <w:t>中国台湾省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FDDE108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750846BC" w14:textId="77777777" w:rsidTr="00BE0E15">
        <w:trPr>
          <w:cantSplit/>
          <w:jc w:val="center"/>
        </w:trPr>
        <w:tc>
          <w:tcPr>
            <w:tcW w:w="1413" w:type="dxa"/>
          </w:tcPr>
          <w:p w14:paraId="24BDFFD5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2024</w:t>
            </w:r>
          </w:p>
        </w:tc>
        <w:tc>
          <w:tcPr>
            <w:tcW w:w="2551" w:type="dxa"/>
          </w:tcPr>
          <w:p w14:paraId="280C5C28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1 400.00</w:t>
            </w:r>
          </w:p>
        </w:tc>
        <w:tc>
          <w:tcPr>
            <w:tcW w:w="1134" w:type="dxa"/>
          </w:tcPr>
          <w:p w14:paraId="7D3832D5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70032071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en-US" w:eastAsia="zh-CN"/>
              </w:rPr>
              <w:t>-</w:t>
            </w:r>
          </w:p>
        </w:tc>
        <w:tc>
          <w:tcPr>
            <w:tcW w:w="4039" w:type="dxa"/>
          </w:tcPr>
          <w:p w14:paraId="4300940C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PLANinterNET VoIP-GmbH</w:t>
            </w:r>
          </w:p>
        </w:tc>
        <w:tc>
          <w:tcPr>
            <w:tcW w:w="1620" w:type="dxa"/>
          </w:tcPr>
          <w:p w14:paraId="083C7A16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德国</w:t>
            </w:r>
          </w:p>
        </w:tc>
        <w:tc>
          <w:tcPr>
            <w:tcW w:w="1350" w:type="dxa"/>
          </w:tcPr>
          <w:p w14:paraId="13245CC9" w14:textId="77777777" w:rsidR="007C5630" w:rsidRPr="007C5630" w:rsidRDefault="007C5630" w:rsidP="007C5630">
            <w:pPr>
              <w:keepNext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  <w:r w:rsidRPr="007C5630">
              <w:rPr>
                <w:color w:val="000000"/>
                <w:sz w:val="22"/>
                <w:szCs w:val="10"/>
                <w:lang w:val="zh-CN" w:eastAsia="zh-CN"/>
              </w:rPr>
              <w:t>欠款</w:t>
            </w:r>
            <w:r w:rsidRPr="007C5630">
              <w:rPr>
                <w:color w:val="000000"/>
                <w:sz w:val="22"/>
                <w:szCs w:val="10"/>
                <w:lang w:val="zh-CN" w:eastAsia="zh-CN"/>
              </w:rPr>
              <w:t>*</w:t>
            </w:r>
          </w:p>
        </w:tc>
      </w:tr>
      <w:tr w:rsidR="007C5630" w:rsidRPr="007C5630" w14:paraId="13534843" w14:textId="77777777" w:rsidTr="00BE0E15">
        <w:trPr>
          <w:cantSplit/>
          <w:jc w:val="center"/>
        </w:trPr>
        <w:tc>
          <w:tcPr>
            <w:tcW w:w="1413" w:type="dxa"/>
          </w:tcPr>
          <w:p w14:paraId="598E9195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2022</w:t>
            </w:r>
          </w:p>
        </w:tc>
        <w:tc>
          <w:tcPr>
            <w:tcW w:w="2551" w:type="dxa"/>
          </w:tcPr>
          <w:p w14:paraId="4D73E190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600.00</w:t>
            </w:r>
          </w:p>
        </w:tc>
        <w:tc>
          <w:tcPr>
            <w:tcW w:w="1134" w:type="dxa"/>
          </w:tcPr>
          <w:p w14:paraId="71A12262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4DB0F7F8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6</w:t>
            </w:r>
          </w:p>
        </w:tc>
        <w:tc>
          <w:tcPr>
            <w:tcW w:w="4039" w:type="dxa"/>
          </w:tcPr>
          <w:p w14:paraId="1925D45D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PLANinterNET VoIP-GmbH</w:t>
            </w:r>
          </w:p>
        </w:tc>
        <w:tc>
          <w:tcPr>
            <w:tcW w:w="1620" w:type="dxa"/>
          </w:tcPr>
          <w:p w14:paraId="5B50C382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德国</w:t>
            </w:r>
          </w:p>
        </w:tc>
        <w:tc>
          <w:tcPr>
            <w:tcW w:w="1350" w:type="dxa"/>
          </w:tcPr>
          <w:p w14:paraId="44693642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557B3209" w14:textId="77777777" w:rsidTr="00BE0E15">
        <w:trPr>
          <w:cantSplit/>
          <w:jc w:val="center"/>
        </w:trPr>
        <w:tc>
          <w:tcPr>
            <w:tcW w:w="1413" w:type="dxa"/>
          </w:tcPr>
          <w:p w14:paraId="7D07F459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2024</w:t>
            </w:r>
          </w:p>
        </w:tc>
        <w:tc>
          <w:tcPr>
            <w:tcW w:w="2551" w:type="dxa"/>
          </w:tcPr>
          <w:p w14:paraId="3535FB82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200.00</w:t>
            </w:r>
          </w:p>
        </w:tc>
        <w:tc>
          <w:tcPr>
            <w:tcW w:w="1134" w:type="dxa"/>
          </w:tcPr>
          <w:p w14:paraId="72FE89C2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29F7C805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</w:t>
            </w:r>
          </w:p>
        </w:tc>
        <w:tc>
          <w:tcPr>
            <w:tcW w:w="4039" w:type="dxa"/>
          </w:tcPr>
          <w:p w14:paraId="21C13B10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EMTEX GmbH</w:t>
            </w:r>
          </w:p>
        </w:tc>
        <w:tc>
          <w:tcPr>
            <w:tcW w:w="1620" w:type="dxa"/>
          </w:tcPr>
          <w:p w14:paraId="0D03A716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德国</w:t>
            </w:r>
          </w:p>
        </w:tc>
        <w:tc>
          <w:tcPr>
            <w:tcW w:w="1350" w:type="dxa"/>
          </w:tcPr>
          <w:p w14:paraId="602DBB66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6641B1E5" w14:textId="77777777" w:rsidTr="00BE0E15">
        <w:trPr>
          <w:cantSplit/>
          <w:jc w:val="center"/>
        </w:trPr>
        <w:tc>
          <w:tcPr>
            <w:tcW w:w="1413" w:type="dxa"/>
          </w:tcPr>
          <w:p w14:paraId="723B7861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2025</w:t>
            </w:r>
          </w:p>
        </w:tc>
        <w:tc>
          <w:tcPr>
            <w:tcW w:w="2551" w:type="dxa"/>
          </w:tcPr>
          <w:p w14:paraId="6E861DC4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200.00</w:t>
            </w:r>
          </w:p>
        </w:tc>
        <w:tc>
          <w:tcPr>
            <w:tcW w:w="1134" w:type="dxa"/>
          </w:tcPr>
          <w:p w14:paraId="2A30E436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30AFB6C6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</w:t>
            </w:r>
          </w:p>
        </w:tc>
        <w:tc>
          <w:tcPr>
            <w:tcW w:w="4039" w:type="dxa"/>
          </w:tcPr>
          <w:p w14:paraId="60038486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EMTEX GmbH</w:t>
            </w:r>
          </w:p>
        </w:tc>
        <w:tc>
          <w:tcPr>
            <w:tcW w:w="1620" w:type="dxa"/>
          </w:tcPr>
          <w:p w14:paraId="01FFE42C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德国</w:t>
            </w:r>
          </w:p>
        </w:tc>
        <w:tc>
          <w:tcPr>
            <w:tcW w:w="1350" w:type="dxa"/>
          </w:tcPr>
          <w:p w14:paraId="50E11724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5979E306" w14:textId="77777777" w:rsidTr="00BE0E15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01528BAA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56C4BAB2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2 400.00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43B1282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7941F458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7247BC1E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小计</w:t>
            </w:r>
            <w:r w:rsidR="00BE0E15">
              <w:rPr>
                <w:rFonts w:hint="eastAsia"/>
                <w:b/>
                <w:bCs/>
                <w:lang w:val="zh-CN" w:eastAsia="zh-CN"/>
              </w:rPr>
              <w:t xml:space="preserve"> </w:t>
            </w:r>
            <w:r w:rsidR="00BE0E15" w:rsidRPr="00BE0E15">
              <w:rPr>
                <w:b/>
                <w:bCs/>
                <w:lang w:val="zh-CN" w:eastAsia="zh-CN"/>
              </w:rPr>
              <w:t>–</w:t>
            </w:r>
            <w:r w:rsidR="00BE0E15">
              <w:rPr>
                <w:rFonts w:hint="eastAsia"/>
                <w:b/>
                <w:bCs/>
                <w:lang w:val="zh-CN" w:eastAsia="zh-CN"/>
              </w:rPr>
              <w:t xml:space="preserve"> </w:t>
            </w:r>
            <w:r w:rsidRPr="007C5630">
              <w:rPr>
                <w:b/>
                <w:bCs/>
                <w:lang w:val="zh-CN" w:eastAsia="zh-CN"/>
              </w:rPr>
              <w:t>德国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4508B752" w14:textId="77777777" w:rsidR="007C5630" w:rsidRPr="00BE0E15" w:rsidRDefault="007C5630" w:rsidP="001306F6">
            <w:pPr>
              <w:pStyle w:val="Tabletext"/>
              <w:rPr>
                <w:b/>
                <w:bCs/>
                <w:lang w:val="en-US" w:eastAsia="zh-CN"/>
              </w:rPr>
            </w:pPr>
            <w:r w:rsidRPr="00BE0E15">
              <w:rPr>
                <w:b/>
                <w:bCs/>
                <w:lang w:val="zh-CN" w:eastAsia="zh-CN"/>
              </w:rPr>
              <w:t>德国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A6D9855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007FA334" w14:textId="77777777" w:rsidTr="00BE0E15">
        <w:trPr>
          <w:cantSplit/>
          <w:jc w:val="center"/>
        </w:trPr>
        <w:tc>
          <w:tcPr>
            <w:tcW w:w="1413" w:type="dxa"/>
          </w:tcPr>
          <w:p w14:paraId="3407379F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lastRenderedPageBreak/>
              <w:t>2024</w:t>
            </w:r>
          </w:p>
        </w:tc>
        <w:tc>
          <w:tcPr>
            <w:tcW w:w="2551" w:type="dxa"/>
          </w:tcPr>
          <w:p w14:paraId="13ED8B75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600.00</w:t>
            </w:r>
          </w:p>
        </w:tc>
        <w:tc>
          <w:tcPr>
            <w:tcW w:w="1134" w:type="dxa"/>
          </w:tcPr>
          <w:p w14:paraId="1B0BBFED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2CCEB852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6</w:t>
            </w:r>
          </w:p>
        </w:tc>
        <w:tc>
          <w:tcPr>
            <w:tcW w:w="4039" w:type="dxa"/>
          </w:tcPr>
          <w:p w14:paraId="1181F7BC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eastAsia="zh-CN"/>
              </w:rPr>
              <w:t>Hellenic Telecommunications Org. S.A.</w:t>
            </w:r>
          </w:p>
        </w:tc>
        <w:tc>
          <w:tcPr>
            <w:tcW w:w="1620" w:type="dxa"/>
          </w:tcPr>
          <w:p w14:paraId="4209A7E3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希腊</w:t>
            </w:r>
          </w:p>
        </w:tc>
        <w:tc>
          <w:tcPr>
            <w:tcW w:w="1350" w:type="dxa"/>
          </w:tcPr>
          <w:p w14:paraId="077A78F9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11458CF6" w14:textId="77777777" w:rsidTr="00BE0E15">
        <w:trPr>
          <w:cantSplit/>
          <w:jc w:val="center"/>
        </w:trPr>
        <w:tc>
          <w:tcPr>
            <w:tcW w:w="1413" w:type="dxa"/>
          </w:tcPr>
          <w:p w14:paraId="3BA4C4F4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2025</w:t>
            </w:r>
          </w:p>
        </w:tc>
        <w:tc>
          <w:tcPr>
            <w:tcW w:w="2551" w:type="dxa"/>
          </w:tcPr>
          <w:p w14:paraId="3B248DEC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600.00</w:t>
            </w:r>
          </w:p>
        </w:tc>
        <w:tc>
          <w:tcPr>
            <w:tcW w:w="1134" w:type="dxa"/>
          </w:tcPr>
          <w:p w14:paraId="04656E68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42492CD3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6</w:t>
            </w:r>
          </w:p>
        </w:tc>
        <w:tc>
          <w:tcPr>
            <w:tcW w:w="4039" w:type="dxa"/>
          </w:tcPr>
          <w:p w14:paraId="0C497877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eastAsia="zh-CN"/>
              </w:rPr>
              <w:t>Hellenic Telecommunications Org. S.A.</w:t>
            </w:r>
          </w:p>
        </w:tc>
        <w:tc>
          <w:tcPr>
            <w:tcW w:w="1620" w:type="dxa"/>
          </w:tcPr>
          <w:p w14:paraId="799F3096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希腊</w:t>
            </w:r>
          </w:p>
        </w:tc>
        <w:tc>
          <w:tcPr>
            <w:tcW w:w="1350" w:type="dxa"/>
          </w:tcPr>
          <w:p w14:paraId="6B17F602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0BBAB1E6" w14:textId="77777777" w:rsidTr="00BE0E15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343D71F0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3448E359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1 200.00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B469B08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0EB6699C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06FE4823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小计</w:t>
            </w:r>
            <w:r w:rsidR="00BE0E15">
              <w:rPr>
                <w:rFonts w:hint="eastAsia"/>
                <w:b/>
                <w:bCs/>
                <w:lang w:val="zh-CN" w:eastAsia="zh-CN"/>
              </w:rPr>
              <w:t xml:space="preserve"> </w:t>
            </w:r>
            <w:r w:rsidR="00BE0E15" w:rsidRPr="00BE0E15">
              <w:rPr>
                <w:b/>
                <w:bCs/>
                <w:lang w:val="zh-CN" w:eastAsia="zh-CN"/>
              </w:rPr>
              <w:t>–</w:t>
            </w:r>
            <w:r w:rsidR="00BE0E15">
              <w:rPr>
                <w:rFonts w:hint="eastAsia"/>
                <w:b/>
                <w:bCs/>
                <w:lang w:val="zh-CN" w:eastAsia="zh-CN"/>
              </w:rPr>
              <w:t xml:space="preserve"> </w:t>
            </w:r>
            <w:r w:rsidRPr="007C5630">
              <w:rPr>
                <w:b/>
                <w:bCs/>
                <w:lang w:val="zh-CN" w:eastAsia="zh-CN"/>
              </w:rPr>
              <w:t>希腊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64221E9C" w14:textId="77777777" w:rsidR="007C5630" w:rsidRPr="00BE0E15" w:rsidRDefault="007C5630" w:rsidP="001306F6">
            <w:pPr>
              <w:pStyle w:val="Tabletext"/>
              <w:rPr>
                <w:b/>
                <w:bCs/>
                <w:lang w:val="en-US" w:eastAsia="zh-CN"/>
              </w:rPr>
            </w:pPr>
            <w:r w:rsidRPr="00BE0E15">
              <w:rPr>
                <w:b/>
                <w:bCs/>
                <w:lang w:val="zh-CN" w:eastAsia="zh-CN"/>
              </w:rPr>
              <w:t>希腊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BFD33D9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6A6A0F4B" w14:textId="77777777" w:rsidTr="00BE0E15">
        <w:trPr>
          <w:cantSplit/>
          <w:jc w:val="center"/>
        </w:trPr>
        <w:tc>
          <w:tcPr>
            <w:tcW w:w="1413" w:type="dxa"/>
          </w:tcPr>
          <w:p w14:paraId="14478286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2024</w:t>
            </w:r>
          </w:p>
        </w:tc>
        <w:tc>
          <w:tcPr>
            <w:tcW w:w="2551" w:type="dxa"/>
          </w:tcPr>
          <w:p w14:paraId="16670A7A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800.00</w:t>
            </w:r>
          </w:p>
        </w:tc>
        <w:tc>
          <w:tcPr>
            <w:tcW w:w="1134" w:type="dxa"/>
          </w:tcPr>
          <w:p w14:paraId="0A099BDA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2DACB025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–</w:t>
            </w:r>
          </w:p>
        </w:tc>
        <w:tc>
          <w:tcPr>
            <w:tcW w:w="4039" w:type="dxa"/>
          </w:tcPr>
          <w:p w14:paraId="54EE4CE3" w14:textId="77777777" w:rsidR="007C5630" w:rsidRPr="00D12161" w:rsidRDefault="007C5630" w:rsidP="001306F6">
            <w:pPr>
              <w:pStyle w:val="Tabletext"/>
              <w:rPr>
                <w:lang w:val="es-ES" w:eastAsia="zh-CN"/>
              </w:rPr>
            </w:pPr>
            <w:r w:rsidRPr="00D12161">
              <w:rPr>
                <w:lang w:val="es-ES" w:eastAsia="zh-CN"/>
              </w:rPr>
              <w:t>Telefónica de Argentina S.A.</w:t>
            </w:r>
          </w:p>
        </w:tc>
        <w:tc>
          <w:tcPr>
            <w:tcW w:w="1620" w:type="dxa"/>
          </w:tcPr>
          <w:p w14:paraId="55088B50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阿根廷</w:t>
            </w:r>
          </w:p>
        </w:tc>
        <w:tc>
          <w:tcPr>
            <w:tcW w:w="1350" w:type="dxa"/>
          </w:tcPr>
          <w:p w14:paraId="43D556A7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  <w:r w:rsidRPr="007C5630">
              <w:rPr>
                <w:color w:val="000000"/>
                <w:sz w:val="22"/>
                <w:szCs w:val="10"/>
                <w:lang w:val="zh-CN" w:eastAsia="zh-CN"/>
              </w:rPr>
              <w:t>欠款</w:t>
            </w:r>
            <w:r w:rsidRPr="007C5630">
              <w:rPr>
                <w:color w:val="000000"/>
                <w:sz w:val="22"/>
                <w:szCs w:val="10"/>
                <w:lang w:val="zh-CN" w:eastAsia="zh-CN"/>
              </w:rPr>
              <w:t>*</w:t>
            </w:r>
          </w:p>
        </w:tc>
      </w:tr>
      <w:tr w:rsidR="007C5630" w:rsidRPr="007C5630" w14:paraId="623C01B5" w14:textId="77777777" w:rsidTr="00BE0E15">
        <w:trPr>
          <w:cantSplit/>
          <w:jc w:val="center"/>
        </w:trPr>
        <w:tc>
          <w:tcPr>
            <w:tcW w:w="1413" w:type="dxa"/>
          </w:tcPr>
          <w:p w14:paraId="01D9AD28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2020</w:t>
            </w:r>
          </w:p>
        </w:tc>
        <w:tc>
          <w:tcPr>
            <w:tcW w:w="2551" w:type="dxa"/>
          </w:tcPr>
          <w:p w14:paraId="16D48324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200.00</w:t>
            </w:r>
          </w:p>
        </w:tc>
        <w:tc>
          <w:tcPr>
            <w:tcW w:w="1134" w:type="dxa"/>
          </w:tcPr>
          <w:p w14:paraId="71B7CAFA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32F2D3EE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</w:t>
            </w:r>
          </w:p>
        </w:tc>
        <w:tc>
          <w:tcPr>
            <w:tcW w:w="4039" w:type="dxa"/>
          </w:tcPr>
          <w:p w14:paraId="28B915B9" w14:textId="77777777" w:rsidR="007C5630" w:rsidRPr="00D12161" w:rsidRDefault="007C5630" w:rsidP="001306F6">
            <w:pPr>
              <w:pStyle w:val="Tabletext"/>
              <w:rPr>
                <w:lang w:val="es-ES" w:eastAsia="zh-CN"/>
              </w:rPr>
            </w:pPr>
            <w:r w:rsidRPr="00D12161">
              <w:rPr>
                <w:lang w:val="es-ES" w:eastAsia="zh-CN"/>
              </w:rPr>
              <w:t>Telefónica de Argentina S.A.</w:t>
            </w:r>
          </w:p>
        </w:tc>
        <w:tc>
          <w:tcPr>
            <w:tcW w:w="1620" w:type="dxa"/>
          </w:tcPr>
          <w:p w14:paraId="5F831FE4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阿根廷</w:t>
            </w:r>
          </w:p>
        </w:tc>
        <w:tc>
          <w:tcPr>
            <w:tcW w:w="1350" w:type="dxa"/>
          </w:tcPr>
          <w:p w14:paraId="446B44D2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5E06811B" w14:textId="77777777" w:rsidTr="00BE0E15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331A594B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14E0523D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1 000.00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CBFA647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5F5AF3DE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3F4A7213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小计</w:t>
            </w:r>
            <w:r w:rsidR="00BE0E15">
              <w:rPr>
                <w:rFonts w:hint="eastAsia"/>
                <w:b/>
                <w:bCs/>
                <w:lang w:val="zh-CN" w:eastAsia="zh-CN"/>
              </w:rPr>
              <w:t xml:space="preserve"> </w:t>
            </w:r>
            <w:r w:rsidR="00BE0E15" w:rsidRPr="00BE0E15">
              <w:rPr>
                <w:b/>
                <w:bCs/>
                <w:lang w:val="zh-CN" w:eastAsia="zh-CN"/>
              </w:rPr>
              <w:t>–</w:t>
            </w:r>
            <w:r w:rsidR="00BE0E15">
              <w:rPr>
                <w:rFonts w:hint="eastAsia"/>
                <w:b/>
                <w:bCs/>
                <w:lang w:val="zh-CN" w:eastAsia="zh-CN"/>
              </w:rPr>
              <w:t xml:space="preserve"> </w:t>
            </w:r>
            <w:r w:rsidRPr="007C5630">
              <w:rPr>
                <w:b/>
                <w:bCs/>
                <w:lang w:val="zh-CN" w:eastAsia="zh-CN"/>
              </w:rPr>
              <w:t>阿根廷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607285B" w14:textId="77777777" w:rsidR="007C5630" w:rsidRPr="00BE0E15" w:rsidRDefault="007C5630" w:rsidP="001306F6">
            <w:pPr>
              <w:pStyle w:val="Tabletext"/>
              <w:rPr>
                <w:b/>
                <w:bCs/>
                <w:lang w:val="en-US" w:eastAsia="zh-CN"/>
              </w:rPr>
            </w:pPr>
            <w:r w:rsidRPr="00BE0E15">
              <w:rPr>
                <w:b/>
                <w:bCs/>
                <w:lang w:val="zh-CN" w:eastAsia="zh-CN"/>
              </w:rPr>
              <w:t>阿根廷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BA402A5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54BD52B8" w14:textId="77777777" w:rsidTr="00BE0E15">
        <w:trPr>
          <w:cantSplit/>
          <w:jc w:val="center"/>
        </w:trPr>
        <w:tc>
          <w:tcPr>
            <w:tcW w:w="1413" w:type="dxa"/>
          </w:tcPr>
          <w:p w14:paraId="3A93CABE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2024</w:t>
            </w:r>
          </w:p>
        </w:tc>
        <w:tc>
          <w:tcPr>
            <w:tcW w:w="2551" w:type="dxa"/>
          </w:tcPr>
          <w:p w14:paraId="52D59E02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600.00</w:t>
            </w:r>
          </w:p>
        </w:tc>
        <w:tc>
          <w:tcPr>
            <w:tcW w:w="1134" w:type="dxa"/>
          </w:tcPr>
          <w:p w14:paraId="681B9B66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06258EBF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–</w:t>
            </w:r>
          </w:p>
        </w:tc>
        <w:tc>
          <w:tcPr>
            <w:tcW w:w="4039" w:type="dxa"/>
          </w:tcPr>
          <w:p w14:paraId="69E1DE12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Vodafone New Zealand</w:t>
            </w:r>
          </w:p>
        </w:tc>
        <w:tc>
          <w:tcPr>
            <w:tcW w:w="1620" w:type="dxa"/>
          </w:tcPr>
          <w:p w14:paraId="19114A95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新西兰</w:t>
            </w:r>
          </w:p>
        </w:tc>
        <w:tc>
          <w:tcPr>
            <w:tcW w:w="1350" w:type="dxa"/>
          </w:tcPr>
          <w:p w14:paraId="4766FB23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  <w:r w:rsidRPr="007C5630">
              <w:rPr>
                <w:color w:val="000000"/>
                <w:sz w:val="22"/>
                <w:szCs w:val="10"/>
                <w:lang w:val="zh-CN" w:eastAsia="zh-CN"/>
              </w:rPr>
              <w:t>欠款</w:t>
            </w:r>
            <w:r w:rsidRPr="007C5630">
              <w:rPr>
                <w:color w:val="000000"/>
                <w:sz w:val="22"/>
                <w:szCs w:val="10"/>
                <w:lang w:val="zh-CN" w:eastAsia="zh-CN"/>
              </w:rPr>
              <w:t>*</w:t>
            </w:r>
          </w:p>
        </w:tc>
      </w:tr>
      <w:tr w:rsidR="007C5630" w:rsidRPr="007C5630" w14:paraId="489E18FE" w14:textId="77777777" w:rsidTr="00BE0E15">
        <w:trPr>
          <w:cantSplit/>
          <w:jc w:val="center"/>
        </w:trPr>
        <w:tc>
          <w:tcPr>
            <w:tcW w:w="1413" w:type="dxa"/>
          </w:tcPr>
          <w:p w14:paraId="7E1B30FC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2018</w:t>
            </w:r>
          </w:p>
        </w:tc>
        <w:tc>
          <w:tcPr>
            <w:tcW w:w="2551" w:type="dxa"/>
          </w:tcPr>
          <w:p w14:paraId="74333312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100.00</w:t>
            </w:r>
          </w:p>
        </w:tc>
        <w:tc>
          <w:tcPr>
            <w:tcW w:w="1134" w:type="dxa"/>
          </w:tcPr>
          <w:p w14:paraId="6B3B3FBC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5B08F56C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1</w:t>
            </w:r>
          </w:p>
        </w:tc>
        <w:tc>
          <w:tcPr>
            <w:tcW w:w="4039" w:type="dxa"/>
          </w:tcPr>
          <w:p w14:paraId="01BC2042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Vodafone New Zealand</w:t>
            </w:r>
          </w:p>
        </w:tc>
        <w:tc>
          <w:tcPr>
            <w:tcW w:w="1620" w:type="dxa"/>
          </w:tcPr>
          <w:p w14:paraId="292E264C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新西兰</w:t>
            </w:r>
          </w:p>
        </w:tc>
        <w:tc>
          <w:tcPr>
            <w:tcW w:w="1350" w:type="dxa"/>
          </w:tcPr>
          <w:p w14:paraId="6A7FEC6E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66FA5DEC" w14:textId="77777777" w:rsidTr="00BE0E15">
        <w:trPr>
          <w:cantSplit/>
          <w:jc w:val="center"/>
        </w:trPr>
        <w:tc>
          <w:tcPr>
            <w:tcW w:w="1413" w:type="dxa"/>
          </w:tcPr>
          <w:p w14:paraId="7431AABA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2025</w:t>
            </w:r>
          </w:p>
        </w:tc>
        <w:tc>
          <w:tcPr>
            <w:tcW w:w="2551" w:type="dxa"/>
          </w:tcPr>
          <w:p w14:paraId="306F9556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100.00</w:t>
            </w:r>
          </w:p>
        </w:tc>
        <w:tc>
          <w:tcPr>
            <w:tcW w:w="1134" w:type="dxa"/>
          </w:tcPr>
          <w:p w14:paraId="43C0D025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56FDF55B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1</w:t>
            </w:r>
          </w:p>
        </w:tc>
        <w:tc>
          <w:tcPr>
            <w:tcW w:w="4039" w:type="dxa"/>
          </w:tcPr>
          <w:p w14:paraId="67BA7CB2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en-US" w:eastAsia="zh-CN"/>
              </w:rPr>
              <w:t>Symbio Networks New Zealand Ltd.</w:t>
            </w:r>
          </w:p>
        </w:tc>
        <w:tc>
          <w:tcPr>
            <w:tcW w:w="1620" w:type="dxa"/>
          </w:tcPr>
          <w:p w14:paraId="784EB44B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新西兰</w:t>
            </w:r>
          </w:p>
        </w:tc>
        <w:tc>
          <w:tcPr>
            <w:tcW w:w="1350" w:type="dxa"/>
          </w:tcPr>
          <w:p w14:paraId="7E679635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7068353C" w14:textId="77777777" w:rsidTr="00BE0E15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2DF20B84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39B08631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800.00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418EB54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0B08D414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6CBCBF95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小计</w:t>
            </w:r>
            <w:r w:rsidR="00BE0E15">
              <w:rPr>
                <w:rFonts w:hint="eastAsia"/>
                <w:b/>
                <w:bCs/>
                <w:lang w:val="zh-CN" w:eastAsia="zh-CN"/>
              </w:rPr>
              <w:t xml:space="preserve"> </w:t>
            </w:r>
            <w:r w:rsidR="00BE0E15" w:rsidRPr="00BE0E15">
              <w:rPr>
                <w:b/>
                <w:bCs/>
                <w:lang w:val="zh-CN" w:eastAsia="zh-CN"/>
              </w:rPr>
              <w:t>–</w:t>
            </w:r>
            <w:r w:rsidR="00BE0E15">
              <w:rPr>
                <w:rFonts w:hint="eastAsia"/>
                <w:b/>
                <w:bCs/>
                <w:lang w:val="zh-CN" w:eastAsia="zh-CN"/>
              </w:rPr>
              <w:t xml:space="preserve"> </w:t>
            </w:r>
            <w:r w:rsidRPr="007C5630">
              <w:rPr>
                <w:b/>
                <w:bCs/>
                <w:lang w:val="zh-CN" w:eastAsia="zh-CN"/>
              </w:rPr>
              <w:t>新西兰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00E9970" w14:textId="77777777" w:rsidR="007C5630" w:rsidRPr="00BE0E15" w:rsidRDefault="007C5630" w:rsidP="001306F6">
            <w:pPr>
              <w:pStyle w:val="Tabletext"/>
              <w:rPr>
                <w:b/>
                <w:bCs/>
                <w:lang w:val="en-US" w:eastAsia="zh-CN"/>
              </w:rPr>
            </w:pPr>
            <w:r w:rsidRPr="00BE0E15">
              <w:rPr>
                <w:b/>
                <w:bCs/>
                <w:lang w:val="zh-CN" w:eastAsia="zh-CN"/>
              </w:rPr>
              <w:t>新西兰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B211D26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1D983AFE" w14:textId="77777777" w:rsidTr="00BE0E15">
        <w:trPr>
          <w:cantSplit/>
          <w:jc w:val="center"/>
        </w:trPr>
        <w:tc>
          <w:tcPr>
            <w:tcW w:w="1413" w:type="dxa"/>
          </w:tcPr>
          <w:p w14:paraId="68CF3781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2024</w:t>
            </w:r>
          </w:p>
        </w:tc>
        <w:tc>
          <w:tcPr>
            <w:tcW w:w="2551" w:type="dxa"/>
          </w:tcPr>
          <w:p w14:paraId="709141AD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600.00</w:t>
            </w:r>
          </w:p>
        </w:tc>
        <w:tc>
          <w:tcPr>
            <w:tcW w:w="1134" w:type="dxa"/>
          </w:tcPr>
          <w:p w14:paraId="0F9186AE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5CE88C5D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–</w:t>
            </w:r>
          </w:p>
        </w:tc>
        <w:tc>
          <w:tcPr>
            <w:tcW w:w="4039" w:type="dxa"/>
          </w:tcPr>
          <w:p w14:paraId="605DACBE" w14:textId="77777777" w:rsidR="007C5630" w:rsidRPr="00D12161" w:rsidRDefault="007C5630" w:rsidP="001306F6">
            <w:pPr>
              <w:pStyle w:val="Tabletext"/>
              <w:rPr>
                <w:lang w:val="es-ES" w:eastAsia="zh-CN"/>
              </w:rPr>
            </w:pPr>
            <w:r w:rsidRPr="00D12161">
              <w:rPr>
                <w:lang w:val="es-ES" w:eastAsia="zh-CN"/>
              </w:rPr>
              <w:t>Empresa Hondureña de Telecommunicaciones (HONDUTEL)</w:t>
            </w:r>
          </w:p>
        </w:tc>
        <w:tc>
          <w:tcPr>
            <w:tcW w:w="1620" w:type="dxa"/>
          </w:tcPr>
          <w:p w14:paraId="04B8D084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洪都拉斯</w:t>
            </w:r>
          </w:p>
        </w:tc>
        <w:tc>
          <w:tcPr>
            <w:tcW w:w="1350" w:type="dxa"/>
          </w:tcPr>
          <w:p w14:paraId="4124031D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  <w:r w:rsidRPr="007C5630">
              <w:rPr>
                <w:color w:val="000000"/>
                <w:sz w:val="22"/>
                <w:szCs w:val="10"/>
                <w:lang w:val="zh-CN" w:eastAsia="zh-CN"/>
              </w:rPr>
              <w:t>欠款</w:t>
            </w:r>
            <w:r w:rsidRPr="007C5630">
              <w:rPr>
                <w:color w:val="000000"/>
                <w:sz w:val="22"/>
                <w:szCs w:val="10"/>
                <w:lang w:val="zh-CN" w:eastAsia="zh-CN"/>
              </w:rPr>
              <w:t>*</w:t>
            </w:r>
          </w:p>
        </w:tc>
      </w:tr>
      <w:tr w:rsidR="007C5630" w:rsidRPr="007C5630" w14:paraId="1C1D1D49" w14:textId="77777777" w:rsidTr="00BE0E15">
        <w:trPr>
          <w:cantSplit/>
          <w:jc w:val="center"/>
        </w:trPr>
        <w:tc>
          <w:tcPr>
            <w:tcW w:w="1413" w:type="dxa"/>
          </w:tcPr>
          <w:p w14:paraId="741BD260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2018</w:t>
            </w:r>
          </w:p>
        </w:tc>
        <w:tc>
          <w:tcPr>
            <w:tcW w:w="2551" w:type="dxa"/>
          </w:tcPr>
          <w:p w14:paraId="6A629E3D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100.00</w:t>
            </w:r>
          </w:p>
        </w:tc>
        <w:tc>
          <w:tcPr>
            <w:tcW w:w="1134" w:type="dxa"/>
          </w:tcPr>
          <w:p w14:paraId="645D839E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728F2F18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1</w:t>
            </w:r>
          </w:p>
        </w:tc>
        <w:tc>
          <w:tcPr>
            <w:tcW w:w="4039" w:type="dxa"/>
          </w:tcPr>
          <w:p w14:paraId="7A0E9EBB" w14:textId="77777777" w:rsidR="007C5630" w:rsidRPr="00D12161" w:rsidRDefault="007C5630" w:rsidP="001306F6">
            <w:pPr>
              <w:pStyle w:val="Tabletext"/>
              <w:rPr>
                <w:lang w:val="es-ES" w:eastAsia="zh-CN"/>
              </w:rPr>
            </w:pPr>
            <w:r w:rsidRPr="00D12161">
              <w:rPr>
                <w:lang w:val="es-ES" w:eastAsia="zh-CN"/>
              </w:rPr>
              <w:t>Empresa Hondureña de Telecommunicaciones (HONDUTEL)</w:t>
            </w:r>
          </w:p>
        </w:tc>
        <w:tc>
          <w:tcPr>
            <w:tcW w:w="1620" w:type="dxa"/>
          </w:tcPr>
          <w:p w14:paraId="1DEC653F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洪都拉斯</w:t>
            </w:r>
          </w:p>
        </w:tc>
        <w:tc>
          <w:tcPr>
            <w:tcW w:w="1350" w:type="dxa"/>
          </w:tcPr>
          <w:p w14:paraId="10F4D85D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5470AE1A" w14:textId="77777777" w:rsidTr="00BE0E15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23F94786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2D399687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700.00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5509163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4EE63C5C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71A67481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小计</w:t>
            </w:r>
            <w:r w:rsidR="00BE0E15">
              <w:rPr>
                <w:rFonts w:hint="eastAsia"/>
                <w:b/>
                <w:bCs/>
                <w:lang w:val="zh-CN" w:eastAsia="zh-CN"/>
              </w:rPr>
              <w:t xml:space="preserve"> </w:t>
            </w:r>
            <w:r w:rsidR="00BE0E15" w:rsidRPr="00BE0E15">
              <w:rPr>
                <w:b/>
                <w:bCs/>
                <w:lang w:val="zh-CN" w:eastAsia="zh-CN"/>
              </w:rPr>
              <w:t>–</w:t>
            </w:r>
            <w:r w:rsidR="00BE0E15">
              <w:rPr>
                <w:rFonts w:hint="eastAsia"/>
                <w:b/>
                <w:bCs/>
                <w:lang w:val="zh-CN" w:eastAsia="zh-CN"/>
              </w:rPr>
              <w:t xml:space="preserve"> </w:t>
            </w:r>
            <w:r w:rsidRPr="007C5630">
              <w:rPr>
                <w:b/>
                <w:bCs/>
                <w:lang w:val="zh-CN" w:eastAsia="zh-CN"/>
              </w:rPr>
              <w:t>洪都拉斯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19D065F6" w14:textId="77777777" w:rsidR="007C5630" w:rsidRPr="00BE0E15" w:rsidRDefault="007C5630" w:rsidP="001306F6">
            <w:pPr>
              <w:pStyle w:val="Tabletext"/>
              <w:rPr>
                <w:b/>
                <w:bCs/>
                <w:lang w:val="en-US" w:eastAsia="zh-CN"/>
              </w:rPr>
            </w:pPr>
            <w:r w:rsidRPr="00BE0E15">
              <w:rPr>
                <w:b/>
                <w:bCs/>
                <w:lang w:val="zh-CN" w:eastAsia="zh-CN"/>
              </w:rPr>
              <w:t>洪都拉斯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AE453D3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3890E127" w14:textId="77777777" w:rsidTr="00BE0E15">
        <w:trPr>
          <w:cantSplit/>
          <w:jc w:val="center"/>
        </w:trPr>
        <w:tc>
          <w:tcPr>
            <w:tcW w:w="1413" w:type="dxa"/>
          </w:tcPr>
          <w:p w14:paraId="01D3FD61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2024</w:t>
            </w:r>
          </w:p>
        </w:tc>
        <w:tc>
          <w:tcPr>
            <w:tcW w:w="2551" w:type="dxa"/>
          </w:tcPr>
          <w:p w14:paraId="3CAC353A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600.00</w:t>
            </w:r>
          </w:p>
        </w:tc>
        <w:tc>
          <w:tcPr>
            <w:tcW w:w="1134" w:type="dxa"/>
          </w:tcPr>
          <w:p w14:paraId="3582B463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724EFAED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–</w:t>
            </w:r>
          </w:p>
        </w:tc>
        <w:tc>
          <w:tcPr>
            <w:tcW w:w="4039" w:type="dxa"/>
          </w:tcPr>
          <w:p w14:paraId="5AFD4271" w14:textId="64B0360B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eastAsia="zh-CN"/>
              </w:rPr>
              <w:t xml:space="preserve">Telecom </w:t>
            </w:r>
            <w:proofErr w:type="spellStart"/>
            <w:r w:rsidRPr="007C5630">
              <w:rPr>
                <w:lang w:eastAsia="zh-CN"/>
              </w:rPr>
              <w:t>Itália</w:t>
            </w:r>
            <w:proofErr w:type="spellEnd"/>
            <w:r w:rsidRPr="007C5630">
              <w:rPr>
                <w:lang w:eastAsia="zh-CN"/>
              </w:rPr>
              <w:t xml:space="preserve"> </w:t>
            </w:r>
            <w:proofErr w:type="spellStart"/>
            <w:r w:rsidRPr="007C5630">
              <w:rPr>
                <w:lang w:eastAsia="zh-CN"/>
              </w:rPr>
              <w:t>Móbile</w:t>
            </w:r>
            <w:proofErr w:type="spellEnd"/>
            <w:r w:rsidRPr="007C5630">
              <w:rPr>
                <w:lang w:eastAsia="zh-CN"/>
              </w:rPr>
              <w:t xml:space="preserve"> S.p.A. (TIM)</w:t>
            </w:r>
            <w:r w:rsidRPr="007C5630">
              <w:rPr>
                <w:lang w:eastAsia="zh-CN"/>
              </w:rPr>
              <w:t>（</w:t>
            </w:r>
            <w:r w:rsidRPr="007C5630">
              <w:rPr>
                <w:lang w:val="zh-CN" w:eastAsia="zh-CN"/>
              </w:rPr>
              <w:t>原</w:t>
            </w:r>
            <w:proofErr w:type="spellStart"/>
            <w:r w:rsidRPr="007C5630">
              <w:rPr>
                <w:lang w:eastAsia="zh-CN"/>
              </w:rPr>
              <w:t>INTELIG</w:t>
            </w:r>
            <w:proofErr w:type="spellEnd"/>
            <w:r w:rsidRPr="007C5630">
              <w:rPr>
                <w:lang w:eastAsia="zh-CN"/>
              </w:rPr>
              <w:t xml:space="preserve"> </w:t>
            </w:r>
            <w:proofErr w:type="spellStart"/>
            <w:r w:rsidRPr="007C5630">
              <w:rPr>
                <w:lang w:eastAsia="zh-CN"/>
              </w:rPr>
              <w:t>Telecomunicações</w:t>
            </w:r>
            <w:proofErr w:type="spellEnd"/>
            <w:r w:rsidRPr="007C5630">
              <w:rPr>
                <w:lang w:eastAsia="zh-CN"/>
              </w:rPr>
              <w:t xml:space="preserve"> Ltda.</w:t>
            </w:r>
            <w:r w:rsidRPr="007C5630">
              <w:rPr>
                <w:lang w:eastAsia="zh-CN"/>
              </w:rPr>
              <w:t>）</w:t>
            </w:r>
          </w:p>
        </w:tc>
        <w:tc>
          <w:tcPr>
            <w:tcW w:w="1620" w:type="dxa"/>
          </w:tcPr>
          <w:p w14:paraId="40EADC11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巴西</w:t>
            </w:r>
          </w:p>
        </w:tc>
        <w:tc>
          <w:tcPr>
            <w:tcW w:w="1350" w:type="dxa"/>
          </w:tcPr>
          <w:p w14:paraId="0D094B0D" w14:textId="77777777" w:rsidR="007C5630" w:rsidRPr="007C5630" w:rsidRDefault="007C5630" w:rsidP="007C563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  <w:r w:rsidRPr="007C5630">
              <w:rPr>
                <w:color w:val="000000"/>
                <w:sz w:val="22"/>
                <w:szCs w:val="10"/>
                <w:lang w:val="zh-CN" w:eastAsia="zh-CN"/>
              </w:rPr>
              <w:t>欠款</w:t>
            </w:r>
            <w:r w:rsidRPr="007C5630">
              <w:rPr>
                <w:color w:val="000000"/>
                <w:sz w:val="22"/>
                <w:szCs w:val="10"/>
                <w:lang w:val="zh-CN" w:eastAsia="zh-CN"/>
              </w:rPr>
              <w:t>*</w:t>
            </w:r>
          </w:p>
        </w:tc>
      </w:tr>
      <w:tr w:rsidR="007C5630" w:rsidRPr="007C5630" w14:paraId="07F22728" w14:textId="77777777" w:rsidTr="00BE0E15">
        <w:trPr>
          <w:cantSplit/>
          <w:jc w:val="center"/>
        </w:trPr>
        <w:tc>
          <w:tcPr>
            <w:tcW w:w="1413" w:type="dxa"/>
          </w:tcPr>
          <w:p w14:paraId="291A6E2F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2018</w:t>
            </w:r>
          </w:p>
        </w:tc>
        <w:tc>
          <w:tcPr>
            <w:tcW w:w="2551" w:type="dxa"/>
          </w:tcPr>
          <w:p w14:paraId="7601D2D1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100.00</w:t>
            </w:r>
          </w:p>
        </w:tc>
        <w:tc>
          <w:tcPr>
            <w:tcW w:w="1134" w:type="dxa"/>
          </w:tcPr>
          <w:p w14:paraId="3F01A2A6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3CC9848F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1</w:t>
            </w:r>
          </w:p>
        </w:tc>
        <w:tc>
          <w:tcPr>
            <w:tcW w:w="4039" w:type="dxa"/>
          </w:tcPr>
          <w:p w14:paraId="19EF3C04" w14:textId="571639BF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eastAsia="zh-CN"/>
              </w:rPr>
              <w:t xml:space="preserve">Telecom </w:t>
            </w:r>
            <w:proofErr w:type="spellStart"/>
            <w:r w:rsidRPr="007C5630">
              <w:rPr>
                <w:lang w:eastAsia="zh-CN"/>
              </w:rPr>
              <w:t>Itália</w:t>
            </w:r>
            <w:proofErr w:type="spellEnd"/>
            <w:r w:rsidRPr="007C5630">
              <w:rPr>
                <w:lang w:eastAsia="zh-CN"/>
              </w:rPr>
              <w:t xml:space="preserve"> </w:t>
            </w:r>
            <w:proofErr w:type="spellStart"/>
            <w:r w:rsidRPr="007C5630">
              <w:rPr>
                <w:lang w:eastAsia="zh-CN"/>
              </w:rPr>
              <w:t>Móbile</w:t>
            </w:r>
            <w:proofErr w:type="spellEnd"/>
            <w:r w:rsidRPr="007C5630">
              <w:rPr>
                <w:lang w:eastAsia="zh-CN"/>
              </w:rPr>
              <w:t xml:space="preserve"> S.p.A. (TIM)</w:t>
            </w:r>
            <w:r w:rsidRPr="007C5630">
              <w:rPr>
                <w:lang w:eastAsia="zh-CN"/>
              </w:rPr>
              <w:t>（</w:t>
            </w:r>
            <w:r w:rsidRPr="007C5630">
              <w:rPr>
                <w:lang w:val="zh-CN" w:eastAsia="zh-CN"/>
              </w:rPr>
              <w:t>原</w:t>
            </w:r>
            <w:proofErr w:type="spellStart"/>
            <w:r w:rsidRPr="007C5630">
              <w:rPr>
                <w:lang w:eastAsia="zh-CN"/>
              </w:rPr>
              <w:t>INTELIG</w:t>
            </w:r>
            <w:proofErr w:type="spellEnd"/>
            <w:r w:rsidRPr="007C5630">
              <w:rPr>
                <w:lang w:eastAsia="zh-CN"/>
              </w:rPr>
              <w:t xml:space="preserve"> </w:t>
            </w:r>
            <w:proofErr w:type="spellStart"/>
            <w:r w:rsidRPr="007C5630">
              <w:rPr>
                <w:lang w:eastAsia="zh-CN"/>
              </w:rPr>
              <w:t>Telecomunicações</w:t>
            </w:r>
            <w:proofErr w:type="spellEnd"/>
            <w:r w:rsidRPr="007C5630">
              <w:rPr>
                <w:lang w:eastAsia="zh-CN"/>
              </w:rPr>
              <w:t xml:space="preserve"> Ltda.</w:t>
            </w:r>
            <w:r w:rsidRPr="007C5630">
              <w:rPr>
                <w:lang w:eastAsia="zh-CN"/>
              </w:rPr>
              <w:t>）</w:t>
            </w:r>
          </w:p>
        </w:tc>
        <w:tc>
          <w:tcPr>
            <w:tcW w:w="1620" w:type="dxa"/>
          </w:tcPr>
          <w:p w14:paraId="09DE25AC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巴西</w:t>
            </w:r>
          </w:p>
        </w:tc>
        <w:tc>
          <w:tcPr>
            <w:tcW w:w="1350" w:type="dxa"/>
          </w:tcPr>
          <w:p w14:paraId="2A57DE26" w14:textId="77777777" w:rsidR="007C5630" w:rsidRPr="007C5630" w:rsidRDefault="007C5630" w:rsidP="007C563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687B364B" w14:textId="77777777" w:rsidTr="00BE0E15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6FD4EAB7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563D6FBB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700.00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DF43F84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6E35519D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0E88E9C0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小计</w:t>
            </w:r>
            <w:r w:rsidR="00BE0E15">
              <w:rPr>
                <w:rFonts w:hint="eastAsia"/>
                <w:b/>
                <w:bCs/>
                <w:lang w:val="zh-CN" w:eastAsia="zh-CN"/>
              </w:rPr>
              <w:t xml:space="preserve"> </w:t>
            </w:r>
            <w:r w:rsidR="00BE0E15" w:rsidRPr="00BE0E15">
              <w:rPr>
                <w:b/>
                <w:bCs/>
                <w:lang w:val="zh-CN" w:eastAsia="zh-CN"/>
              </w:rPr>
              <w:t>–</w:t>
            </w:r>
            <w:r w:rsidRPr="007C5630">
              <w:rPr>
                <w:b/>
                <w:bCs/>
                <w:lang w:val="zh-CN" w:eastAsia="zh-CN"/>
              </w:rPr>
              <w:t xml:space="preserve"> </w:t>
            </w:r>
            <w:r w:rsidRPr="007C5630">
              <w:rPr>
                <w:b/>
                <w:bCs/>
                <w:lang w:val="zh-CN" w:eastAsia="zh-CN"/>
              </w:rPr>
              <w:t>巴西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357C2C03" w14:textId="77777777" w:rsidR="007C5630" w:rsidRPr="00BE0E15" w:rsidRDefault="007C5630" w:rsidP="001306F6">
            <w:pPr>
              <w:pStyle w:val="Tabletext"/>
              <w:rPr>
                <w:b/>
                <w:bCs/>
                <w:lang w:val="en-US" w:eastAsia="zh-CN"/>
              </w:rPr>
            </w:pPr>
            <w:r w:rsidRPr="00BE0E15">
              <w:rPr>
                <w:b/>
                <w:bCs/>
                <w:lang w:val="zh-CN" w:eastAsia="zh-CN"/>
              </w:rPr>
              <w:t>巴西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7B150F1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7DA464AD" w14:textId="77777777" w:rsidTr="00BE0E15">
        <w:trPr>
          <w:cantSplit/>
          <w:jc w:val="center"/>
        </w:trPr>
        <w:tc>
          <w:tcPr>
            <w:tcW w:w="1413" w:type="dxa"/>
          </w:tcPr>
          <w:p w14:paraId="59DEC81E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2025</w:t>
            </w:r>
          </w:p>
        </w:tc>
        <w:tc>
          <w:tcPr>
            <w:tcW w:w="2551" w:type="dxa"/>
          </w:tcPr>
          <w:p w14:paraId="52AFFDD0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700.00</w:t>
            </w:r>
          </w:p>
        </w:tc>
        <w:tc>
          <w:tcPr>
            <w:tcW w:w="1134" w:type="dxa"/>
          </w:tcPr>
          <w:p w14:paraId="44A90960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23D98889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7</w:t>
            </w:r>
          </w:p>
        </w:tc>
        <w:tc>
          <w:tcPr>
            <w:tcW w:w="4039" w:type="dxa"/>
          </w:tcPr>
          <w:p w14:paraId="6B57AF62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eastAsia="zh-CN"/>
              </w:rPr>
              <w:t>Cable &amp; Wireless Panamá S.A.</w:t>
            </w:r>
          </w:p>
        </w:tc>
        <w:tc>
          <w:tcPr>
            <w:tcW w:w="1620" w:type="dxa"/>
          </w:tcPr>
          <w:p w14:paraId="1DF0249C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巴拿马</w:t>
            </w:r>
          </w:p>
        </w:tc>
        <w:tc>
          <w:tcPr>
            <w:tcW w:w="1350" w:type="dxa"/>
          </w:tcPr>
          <w:p w14:paraId="20B93EA1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6527DE02" w14:textId="77777777" w:rsidTr="00BE0E15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26B737E9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5DE8B13F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700.00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2E4A24A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5832DA02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31E2527F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小计</w:t>
            </w:r>
            <w:r w:rsidR="00BE0E15">
              <w:rPr>
                <w:rFonts w:hint="eastAsia"/>
                <w:b/>
                <w:bCs/>
                <w:lang w:val="zh-CN" w:eastAsia="zh-CN"/>
              </w:rPr>
              <w:t xml:space="preserve"> </w:t>
            </w:r>
            <w:r w:rsidR="00BE0E15" w:rsidRPr="00BE0E15">
              <w:rPr>
                <w:b/>
                <w:bCs/>
                <w:lang w:val="zh-CN" w:eastAsia="zh-CN"/>
              </w:rPr>
              <w:t>–</w:t>
            </w:r>
            <w:r w:rsidRPr="007C5630">
              <w:rPr>
                <w:b/>
                <w:bCs/>
                <w:lang w:val="zh-CN" w:eastAsia="zh-CN"/>
              </w:rPr>
              <w:t xml:space="preserve"> </w:t>
            </w:r>
            <w:r w:rsidRPr="007C5630">
              <w:rPr>
                <w:b/>
                <w:bCs/>
                <w:lang w:val="zh-CN" w:eastAsia="zh-CN"/>
              </w:rPr>
              <w:t>巴拿马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283AED2" w14:textId="77777777" w:rsidR="007C5630" w:rsidRPr="00BE0E15" w:rsidRDefault="007C5630" w:rsidP="001306F6">
            <w:pPr>
              <w:pStyle w:val="Tabletext"/>
              <w:rPr>
                <w:b/>
                <w:bCs/>
                <w:lang w:val="en-US" w:eastAsia="zh-CN"/>
              </w:rPr>
            </w:pPr>
            <w:r w:rsidRPr="00BE0E15">
              <w:rPr>
                <w:b/>
                <w:bCs/>
                <w:lang w:val="zh-CN" w:eastAsia="zh-CN"/>
              </w:rPr>
              <w:t>巴拿马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0D6A294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54F5387B" w14:textId="77777777" w:rsidTr="00BE0E15">
        <w:trPr>
          <w:cantSplit/>
          <w:jc w:val="center"/>
        </w:trPr>
        <w:tc>
          <w:tcPr>
            <w:tcW w:w="1413" w:type="dxa"/>
          </w:tcPr>
          <w:p w14:paraId="457CCF30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2024</w:t>
            </w:r>
          </w:p>
        </w:tc>
        <w:tc>
          <w:tcPr>
            <w:tcW w:w="2551" w:type="dxa"/>
          </w:tcPr>
          <w:p w14:paraId="602543D2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300.00</w:t>
            </w:r>
          </w:p>
        </w:tc>
        <w:tc>
          <w:tcPr>
            <w:tcW w:w="1134" w:type="dxa"/>
          </w:tcPr>
          <w:p w14:paraId="10A7B1E6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0C607988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3</w:t>
            </w:r>
          </w:p>
        </w:tc>
        <w:tc>
          <w:tcPr>
            <w:tcW w:w="4039" w:type="dxa"/>
          </w:tcPr>
          <w:p w14:paraId="6C2319FD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Mass Response Service GmbH</w:t>
            </w:r>
          </w:p>
        </w:tc>
        <w:tc>
          <w:tcPr>
            <w:tcW w:w="1620" w:type="dxa"/>
          </w:tcPr>
          <w:p w14:paraId="19A8F8F9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奥地利</w:t>
            </w:r>
          </w:p>
        </w:tc>
        <w:tc>
          <w:tcPr>
            <w:tcW w:w="1350" w:type="dxa"/>
          </w:tcPr>
          <w:p w14:paraId="026417E4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30A02E1F" w14:textId="77777777" w:rsidTr="00BE0E15">
        <w:trPr>
          <w:cantSplit/>
          <w:jc w:val="center"/>
        </w:trPr>
        <w:tc>
          <w:tcPr>
            <w:tcW w:w="1413" w:type="dxa"/>
          </w:tcPr>
          <w:p w14:paraId="5E84986E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2025</w:t>
            </w:r>
          </w:p>
        </w:tc>
        <w:tc>
          <w:tcPr>
            <w:tcW w:w="2551" w:type="dxa"/>
          </w:tcPr>
          <w:p w14:paraId="1FD8AB53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300.00</w:t>
            </w:r>
          </w:p>
        </w:tc>
        <w:tc>
          <w:tcPr>
            <w:tcW w:w="1134" w:type="dxa"/>
          </w:tcPr>
          <w:p w14:paraId="56315030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3CDE34C1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3</w:t>
            </w:r>
          </w:p>
        </w:tc>
        <w:tc>
          <w:tcPr>
            <w:tcW w:w="4039" w:type="dxa"/>
          </w:tcPr>
          <w:p w14:paraId="339A987F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Mass Response Service GmbH</w:t>
            </w:r>
          </w:p>
        </w:tc>
        <w:tc>
          <w:tcPr>
            <w:tcW w:w="1620" w:type="dxa"/>
          </w:tcPr>
          <w:p w14:paraId="4CD90572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奥地利</w:t>
            </w:r>
          </w:p>
        </w:tc>
        <w:tc>
          <w:tcPr>
            <w:tcW w:w="1350" w:type="dxa"/>
          </w:tcPr>
          <w:p w14:paraId="3CB2C0EE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22D1FCB2" w14:textId="77777777" w:rsidTr="00BE0E15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0C1635EE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4B1F96B2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600.00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5E4FD17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0CCE0758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56FC5FFB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小计</w:t>
            </w:r>
            <w:r w:rsidR="00BE0E15">
              <w:rPr>
                <w:rFonts w:hint="eastAsia"/>
                <w:b/>
                <w:bCs/>
                <w:lang w:val="zh-CN" w:eastAsia="zh-CN"/>
              </w:rPr>
              <w:t xml:space="preserve"> </w:t>
            </w:r>
            <w:r w:rsidR="00BE0E15" w:rsidRPr="00BE0E15">
              <w:rPr>
                <w:b/>
                <w:bCs/>
                <w:lang w:val="zh-CN" w:eastAsia="zh-CN"/>
              </w:rPr>
              <w:t>–</w:t>
            </w:r>
            <w:r w:rsidRPr="007C5630">
              <w:rPr>
                <w:b/>
                <w:bCs/>
                <w:lang w:val="zh-CN" w:eastAsia="zh-CN"/>
              </w:rPr>
              <w:t xml:space="preserve"> </w:t>
            </w:r>
            <w:r w:rsidRPr="007C5630">
              <w:rPr>
                <w:b/>
                <w:bCs/>
                <w:lang w:val="zh-CN" w:eastAsia="zh-CN"/>
              </w:rPr>
              <w:t>奥地利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AFB160C" w14:textId="77777777" w:rsidR="007C5630" w:rsidRPr="00BE0E15" w:rsidRDefault="007C5630" w:rsidP="001306F6">
            <w:pPr>
              <w:pStyle w:val="Tabletext"/>
              <w:rPr>
                <w:b/>
                <w:bCs/>
                <w:lang w:val="en-US" w:eastAsia="zh-CN"/>
              </w:rPr>
            </w:pPr>
            <w:r w:rsidRPr="00BE0E15">
              <w:rPr>
                <w:b/>
                <w:bCs/>
                <w:lang w:val="zh-CN" w:eastAsia="zh-CN"/>
              </w:rPr>
              <w:t>奥地利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D89997B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1757C455" w14:textId="77777777" w:rsidTr="00BE0E15">
        <w:trPr>
          <w:cantSplit/>
          <w:jc w:val="center"/>
        </w:trPr>
        <w:tc>
          <w:tcPr>
            <w:tcW w:w="1413" w:type="dxa"/>
          </w:tcPr>
          <w:p w14:paraId="6CD7F9A0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2024</w:t>
            </w:r>
          </w:p>
        </w:tc>
        <w:tc>
          <w:tcPr>
            <w:tcW w:w="2551" w:type="dxa"/>
          </w:tcPr>
          <w:p w14:paraId="34905B79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600.00</w:t>
            </w:r>
          </w:p>
        </w:tc>
        <w:tc>
          <w:tcPr>
            <w:tcW w:w="1134" w:type="dxa"/>
          </w:tcPr>
          <w:p w14:paraId="2111FD9C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4A3B1C8B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–</w:t>
            </w:r>
          </w:p>
        </w:tc>
        <w:tc>
          <w:tcPr>
            <w:tcW w:w="4039" w:type="dxa"/>
          </w:tcPr>
          <w:p w14:paraId="58C2D64A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Telecable de Asturias SA</w:t>
            </w:r>
          </w:p>
        </w:tc>
        <w:tc>
          <w:tcPr>
            <w:tcW w:w="1620" w:type="dxa"/>
          </w:tcPr>
          <w:p w14:paraId="45A3ADE6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西班牙</w:t>
            </w:r>
          </w:p>
        </w:tc>
        <w:tc>
          <w:tcPr>
            <w:tcW w:w="1350" w:type="dxa"/>
          </w:tcPr>
          <w:p w14:paraId="3353224D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  <w:r w:rsidRPr="007C5630">
              <w:rPr>
                <w:color w:val="000000"/>
                <w:sz w:val="22"/>
                <w:szCs w:val="10"/>
                <w:lang w:val="zh-CN" w:eastAsia="zh-CN"/>
              </w:rPr>
              <w:t>欠款</w:t>
            </w:r>
            <w:r w:rsidRPr="007C5630">
              <w:rPr>
                <w:color w:val="000000"/>
                <w:sz w:val="22"/>
                <w:szCs w:val="10"/>
                <w:lang w:val="zh-CN" w:eastAsia="zh-CN"/>
              </w:rPr>
              <w:t>*</w:t>
            </w:r>
          </w:p>
        </w:tc>
      </w:tr>
      <w:tr w:rsidR="007C5630" w:rsidRPr="007C5630" w14:paraId="1942BCBA" w14:textId="77777777" w:rsidTr="00BE0E15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1D13BAFC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18F921AD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600.00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88DB24E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5EFE269D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571C2B6D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小计</w:t>
            </w:r>
            <w:r w:rsidR="00BE0E15">
              <w:rPr>
                <w:rFonts w:hint="eastAsia"/>
                <w:b/>
                <w:bCs/>
                <w:lang w:val="zh-CN" w:eastAsia="zh-CN"/>
              </w:rPr>
              <w:t xml:space="preserve"> </w:t>
            </w:r>
            <w:r w:rsidR="00BE0E15" w:rsidRPr="00BE0E15">
              <w:rPr>
                <w:b/>
                <w:bCs/>
                <w:lang w:val="zh-CN" w:eastAsia="zh-CN"/>
              </w:rPr>
              <w:t>–</w:t>
            </w:r>
            <w:r w:rsidRPr="007C5630">
              <w:rPr>
                <w:b/>
                <w:bCs/>
                <w:lang w:val="zh-CN" w:eastAsia="zh-CN"/>
              </w:rPr>
              <w:t xml:space="preserve"> </w:t>
            </w:r>
            <w:r w:rsidRPr="007C5630">
              <w:rPr>
                <w:b/>
                <w:bCs/>
                <w:lang w:val="zh-CN" w:eastAsia="zh-CN"/>
              </w:rPr>
              <w:t>西班牙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6EBADEFE" w14:textId="77777777" w:rsidR="007C5630" w:rsidRPr="00BE0E15" w:rsidRDefault="007C5630" w:rsidP="001306F6">
            <w:pPr>
              <w:pStyle w:val="Tabletext"/>
              <w:rPr>
                <w:b/>
                <w:bCs/>
                <w:lang w:val="en-US" w:eastAsia="zh-CN"/>
              </w:rPr>
            </w:pPr>
            <w:r w:rsidRPr="00BE0E15">
              <w:rPr>
                <w:b/>
                <w:bCs/>
                <w:lang w:val="zh-CN" w:eastAsia="zh-CN"/>
              </w:rPr>
              <w:t>西班牙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209B3C8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2B6702EE" w14:textId="77777777" w:rsidTr="00BE0E15">
        <w:trPr>
          <w:cantSplit/>
          <w:jc w:val="center"/>
        </w:trPr>
        <w:tc>
          <w:tcPr>
            <w:tcW w:w="1413" w:type="dxa"/>
          </w:tcPr>
          <w:p w14:paraId="304EE079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2018</w:t>
            </w:r>
          </w:p>
        </w:tc>
        <w:tc>
          <w:tcPr>
            <w:tcW w:w="2551" w:type="dxa"/>
          </w:tcPr>
          <w:p w14:paraId="5D063E93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100.00</w:t>
            </w:r>
          </w:p>
        </w:tc>
        <w:tc>
          <w:tcPr>
            <w:tcW w:w="1134" w:type="dxa"/>
          </w:tcPr>
          <w:p w14:paraId="539B6538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0B86EAB1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3</w:t>
            </w:r>
          </w:p>
        </w:tc>
        <w:tc>
          <w:tcPr>
            <w:tcW w:w="4039" w:type="dxa"/>
          </w:tcPr>
          <w:p w14:paraId="51E63781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Telefonica del Peru</w:t>
            </w:r>
          </w:p>
        </w:tc>
        <w:tc>
          <w:tcPr>
            <w:tcW w:w="1620" w:type="dxa"/>
          </w:tcPr>
          <w:p w14:paraId="07EC3A57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秘鲁</w:t>
            </w:r>
          </w:p>
        </w:tc>
        <w:tc>
          <w:tcPr>
            <w:tcW w:w="1350" w:type="dxa"/>
          </w:tcPr>
          <w:p w14:paraId="0C86D35B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38C9C13B" w14:textId="77777777" w:rsidTr="00BE0E15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29E83922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4CE48A91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100.00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6A4C5DF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2A47FD1D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26C61A2D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小计</w:t>
            </w:r>
            <w:r w:rsidR="00BE0E15">
              <w:rPr>
                <w:rFonts w:hint="eastAsia"/>
                <w:b/>
                <w:bCs/>
                <w:lang w:val="zh-CN" w:eastAsia="zh-CN"/>
              </w:rPr>
              <w:t xml:space="preserve"> </w:t>
            </w:r>
            <w:r w:rsidR="00BE0E15" w:rsidRPr="00BE0E15">
              <w:rPr>
                <w:b/>
                <w:bCs/>
                <w:lang w:val="zh-CN" w:eastAsia="zh-CN"/>
              </w:rPr>
              <w:t>–</w:t>
            </w:r>
            <w:r w:rsidRPr="007C5630">
              <w:rPr>
                <w:b/>
                <w:bCs/>
                <w:lang w:val="zh-CN" w:eastAsia="zh-CN"/>
              </w:rPr>
              <w:t xml:space="preserve"> </w:t>
            </w:r>
            <w:r w:rsidRPr="007C5630">
              <w:rPr>
                <w:b/>
                <w:bCs/>
                <w:lang w:val="zh-CN" w:eastAsia="zh-CN"/>
              </w:rPr>
              <w:t>秘鲁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18E7059E" w14:textId="77777777" w:rsidR="007C5630" w:rsidRPr="00BE0E15" w:rsidRDefault="007C5630" w:rsidP="001306F6">
            <w:pPr>
              <w:pStyle w:val="Tabletext"/>
              <w:rPr>
                <w:b/>
                <w:bCs/>
                <w:lang w:val="en-US" w:eastAsia="zh-CN"/>
              </w:rPr>
            </w:pPr>
            <w:r w:rsidRPr="00BE0E15">
              <w:rPr>
                <w:b/>
                <w:bCs/>
                <w:lang w:val="zh-CN" w:eastAsia="zh-CN"/>
              </w:rPr>
              <w:t>秘鲁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1CF4CFF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6755D326" w14:textId="77777777" w:rsidTr="00BE0E15">
        <w:trPr>
          <w:cantSplit/>
          <w:jc w:val="center"/>
        </w:trPr>
        <w:tc>
          <w:tcPr>
            <w:tcW w:w="1413" w:type="dxa"/>
          </w:tcPr>
          <w:p w14:paraId="2F06D22C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2024</w:t>
            </w:r>
          </w:p>
        </w:tc>
        <w:tc>
          <w:tcPr>
            <w:tcW w:w="2551" w:type="dxa"/>
          </w:tcPr>
          <w:p w14:paraId="33B99E61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100.00</w:t>
            </w:r>
          </w:p>
        </w:tc>
        <w:tc>
          <w:tcPr>
            <w:tcW w:w="1134" w:type="dxa"/>
          </w:tcPr>
          <w:p w14:paraId="72FDB225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09A83D84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1</w:t>
            </w:r>
          </w:p>
        </w:tc>
        <w:tc>
          <w:tcPr>
            <w:tcW w:w="4039" w:type="dxa"/>
          </w:tcPr>
          <w:p w14:paraId="164C9F09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Elisa Eesti AS</w:t>
            </w:r>
          </w:p>
        </w:tc>
        <w:tc>
          <w:tcPr>
            <w:tcW w:w="1620" w:type="dxa"/>
          </w:tcPr>
          <w:p w14:paraId="147DEAF2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爱沙尼亚</w:t>
            </w:r>
          </w:p>
        </w:tc>
        <w:tc>
          <w:tcPr>
            <w:tcW w:w="1350" w:type="dxa"/>
          </w:tcPr>
          <w:p w14:paraId="3DAB151D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28A70268" w14:textId="77777777" w:rsidTr="00BE0E15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62923BEF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1F122594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100.00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6386BDF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0D8EF9F8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41185C29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小计</w:t>
            </w:r>
            <w:r w:rsidR="00BE0E15">
              <w:rPr>
                <w:rFonts w:hint="eastAsia"/>
                <w:b/>
                <w:bCs/>
                <w:lang w:val="zh-CN" w:eastAsia="zh-CN"/>
              </w:rPr>
              <w:t xml:space="preserve"> </w:t>
            </w:r>
            <w:r w:rsidR="00BE0E15" w:rsidRPr="00BE0E15">
              <w:rPr>
                <w:b/>
                <w:bCs/>
                <w:lang w:val="zh-CN" w:eastAsia="zh-CN"/>
              </w:rPr>
              <w:t>–</w:t>
            </w:r>
            <w:r w:rsidRPr="007C5630">
              <w:rPr>
                <w:b/>
                <w:bCs/>
                <w:lang w:val="zh-CN" w:eastAsia="zh-CN"/>
              </w:rPr>
              <w:t xml:space="preserve"> </w:t>
            </w:r>
            <w:r w:rsidRPr="007C5630">
              <w:rPr>
                <w:b/>
                <w:bCs/>
                <w:lang w:val="zh-CN" w:eastAsia="zh-CN"/>
              </w:rPr>
              <w:t>爱沙尼亚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E946C28" w14:textId="77777777" w:rsidR="007C5630" w:rsidRPr="00BE0E15" w:rsidRDefault="007C5630" w:rsidP="001306F6">
            <w:pPr>
              <w:pStyle w:val="Tabletext"/>
              <w:rPr>
                <w:b/>
                <w:bCs/>
                <w:lang w:val="en-US" w:eastAsia="zh-CN"/>
              </w:rPr>
            </w:pPr>
            <w:r w:rsidRPr="00BE0E15">
              <w:rPr>
                <w:b/>
                <w:bCs/>
                <w:lang w:val="zh-CN" w:eastAsia="zh-CN"/>
              </w:rPr>
              <w:t>爱沙尼亚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F061D82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3548E0CE" w14:textId="77777777" w:rsidTr="00BE0E15">
        <w:trPr>
          <w:cantSplit/>
          <w:jc w:val="center"/>
        </w:trPr>
        <w:tc>
          <w:tcPr>
            <w:tcW w:w="1413" w:type="dxa"/>
          </w:tcPr>
          <w:p w14:paraId="2A142520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2025</w:t>
            </w:r>
          </w:p>
        </w:tc>
        <w:tc>
          <w:tcPr>
            <w:tcW w:w="2551" w:type="dxa"/>
          </w:tcPr>
          <w:p w14:paraId="61E11231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100.00</w:t>
            </w:r>
          </w:p>
        </w:tc>
        <w:tc>
          <w:tcPr>
            <w:tcW w:w="1134" w:type="dxa"/>
          </w:tcPr>
          <w:p w14:paraId="1283CC47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</w:tcPr>
          <w:p w14:paraId="6540778A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1</w:t>
            </w:r>
          </w:p>
        </w:tc>
        <w:tc>
          <w:tcPr>
            <w:tcW w:w="4039" w:type="dxa"/>
          </w:tcPr>
          <w:p w14:paraId="7536C85D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JSC Kazakhtelecom</w:t>
            </w:r>
          </w:p>
        </w:tc>
        <w:tc>
          <w:tcPr>
            <w:tcW w:w="1620" w:type="dxa"/>
          </w:tcPr>
          <w:p w14:paraId="51B192D1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lang w:val="zh-CN" w:eastAsia="zh-CN"/>
              </w:rPr>
              <w:t>哈萨克斯坦</w:t>
            </w:r>
          </w:p>
        </w:tc>
        <w:tc>
          <w:tcPr>
            <w:tcW w:w="1350" w:type="dxa"/>
          </w:tcPr>
          <w:p w14:paraId="245A3FA8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4871048A" w14:textId="77777777" w:rsidTr="00BE0E15">
        <w:trPr>
          <w:cantSplit/>
          <w:jc w:val="center"/>
        </w:trPr>
        <w:tc>
          <w:tcPr>
            <w:tcW w:w="1413" w:type="dxa"/>
            <w:shd w:val="clear" w:color="auto" w:fill="F2F2F2" w:themeFill="background1" w:themeFillShade="F2"/>
          </w:tcPr>
          <w:p w14:paraId="47E51155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39D6C332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100.00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F0B1C6B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14:paraId="684E2B1B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4039" w:type="dxa"/>
            <w:shd w:val="clear" w:color="auto" w:fill="F2F2F2" w:themeFill="background1" w:themeFillShade="F2"/>
          </w:tcPr>
          <w:p w14:paraId="19D89CED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小计</w:t>
            </w:r>
            <w:r w:rsidR="00BE0E15">
              <w:rPr>
                <w:rFonts w:hint="eastAsia"/>
                <w:b/>
                <w:bCs/>
                <w:lang w:val="zh-CN" w:eastAsia="zh-CN"/>
              </w:rPr>
              <w:t xml:space="preserve"> </w:t>
            </w:r>
            <w:r w:rsidR="00BE0E15" w:rsidRPr="00BE0E15">
              <w:rPr>
                <w:b/>
                <w:bCs/>
                <w:lang w:val="zh-CN" w:eastAsia="zh-CN"/>
              </w:rPr>
              <w:t>–</w:t>
            </w:r>
            <w:r w:rsidRPr="007C5630">
              <w:rPr>
                <w:b/>
                <w:bCs/>
                <w:lang w:val="zh-CN" w:eastAsia="zh-CN"/>
              </w:rPr>
              <w:t xml:space="preserve"> </w:t>
            </w:r>
            <w:r w:rsidRPr="007C5630">
              <w:rPr>
                <w:b/>
                <w:bCs/>
                <w:lang w:val="zh-CN" w:eastAsia="zh-CN"/>
              </w:rPr>
              <w:t>哈萨克斯坦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608FC14" w14:textId="77777777" w:rsidR="007C5630" w:rsidRPr="00BE0E15" w:rsidRDefault="007C5630" w:rsidP="001306F6">
            <w:pPr>
              <w:pStyle w:val="Tabletext"/>
              <w:rPr>
                <w:b/>
                <w:bCs/>
                <w:lang w:val="en-US" w:eastAsia="zh-CN"/>
              </w:rPr>
            </w:pPr>
            <w:r w:rsidRPr="00BE0E15">
              <w:rPr>
                <w:b/>
                <w:bCs/>
                <w:lang w:val="zh-CN" w:eastAsia="zh-CN"/>
              </w:rPr>
              <w:t>哈萨克斯坦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1BB45C9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  <w:tr w:rsidR="007C5630" w:rsidRPr="007C5630" w14:paraId="2D319BE1" w14:textId="77777777" w:rsidTr="00BE0E15">
        <w:trPr>
          <w:cantSplit/>
          <w:jc w:val="center"/>
        </w:trPr>
        <w:tc>
          <w:tcPr>
            <w:tcW w:w="1413" w:type="dxa"/>
            <w:shd w:val="clear" w:color="auto" w:fill="BDD7EE"/>
          </w:tcPr>
          <w:p w14:paraId="32C7F7C7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2551" w:type="dxa"/>
            <w:shd w:val="clear" w:color="auto" w:fill="BDD7EE"/>
          </w:tcPr>
          <w:p w14:paraId="3C79585F" w14:textId="77777777" w:rsidR="007C5630" w:rsidRPr="007C5630" w:rsidRDefault="007C5630" w:rsidP="00BE0E15">
            <w:pPr>
              <w:pStyle w:val="Tabletext"/>
              <w:jc w:val="righ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163 800.00</w:t>
            </w:r>
          </w:p>
        </w:tc>
        <w:tc>
          <w:tcPr>
            <w:tcW w:w="1134" w:type="dxa"/>
            <w:shd w:val="clear" w:color="auto" w:fill="BDD7EE"/>
          </w:tcPr>
          <w:p w14:paraId="16400E81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  <w:r w:rsidRPr="007C5630">
              <w:rPr>
                <w:rFonts w:hint="eastAsia"/>
                <w:lang w:val="zh-CN" w:eastAsia="zh-CN"/>
              </w:rPr>
              <w:t>瑞郎</w:t>
            </w:r>
          </w:p>
        </w:tc>
        <w:tc>
          <w:tcPr>
            <w:tcW w:w="1748" w:type="dxa"/>
            <w:shd w:val="clear" w:color="auto" w:fill="BDD7EE"/>
          </w:tcPr>
          <w:p w14:paraId="3279241C" w14:textId="77777777" w:rsidR="007C5630" w:rsidRPr="007C5630" w:rsidRDefault="007C5630" w:rsidP="00BE0E15">
            <w:pPr>
              <w:pStyle w:val="Tabletext"/>
              <w:jc w:val="center"/>
              <w:rPr>
                <w:lang w:val="en-US" w:eastAsia="zh-CN"/>
              </w:rPr>
            </w:pPr>
          </w:p>
        </w:tc>
        <w:tc>
          <w:tcPr>
            <w:tcW w:w="4039" w:type="dxa"/>
            <w:shd w:val="clear" w:color="auto" w:fill="BDD7EE"/>
          </w:tcPr>
          <w:p w14:paraId="6C6B1751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  <w:r w:rsidRPr="007C5630">
              <w:rPr>
                <w:b/>
                <w:bCs/>
                <w:lang w:val="zh-CN" w:eastAsia="zh-CN"/>
              </w:rPr>
              <w:t>总计</w:t>
            </w:r>
          </w:p>
        </w:tc>
        <w:tc>
          <w:tcPr>
            <w:tcW w:w="1620" w:type="dxa"/>
            <w:shd w:val="clear" w:color="auto" w:fill="BDD7EE"/>
          </w:tcPr>
          <w:p w14:paraId="636A73C3" w14:textId="77777777" w:rsidR="007C5630" w:rsidRPr="007C5630" w:rsidRDefault="007C5630" w:rsidP="001306F6">
            <w:pPr>
              <w:pStyle w:val="Tabletext"/>
              <w:rPr>
                <w:lang w:val="en-US" w:eastAsia="zh-CN"/>
              </w:rPr>
            </w:pPr>
          </w:p>
        </w:tc>
        <w:tc>
          <w:tcPr>
            <w:tcW w:w="1350" w:type="dxa"/>
            <w:shd w:val="clear" w:color="auto" w:fill="BDD7EE"/>
          </w:tcPr>
          <w:p w14:paraId="05E7EB11" w14:textId="77777777" w:rsidR="007C5630" w:rsidRPr="007C5630" w:rsidRDefault="007C5630" w:rsidP="007C56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 w:line="280" w:lineRule="exact"/>
              <w:jc w:val="both"/>
              <w:rPr>
                <w:sz w:val="22"/>
                <w:szCs w:val="10"/>
                <w:lang w:val="en-US" w:eastAsia="zh-CN"/>
              </w:rPr>
            </w:pPr>
          </w:p>
        </w:tc>
      </w:tr>
    </w:tbl>
    <w:p w14:paraId="6335E31F" w14:textId="77777777" w:rsidR="007C5630" w:rsidRPr="007066C3" w:rsidRDefault="00675850" w:rsidP="00EA1F17">
      <w:pPr>
        <w:ind w:firstLineChars="295" w:firstLine="652"/>
        <w:rPr>
          <w:sz w:val="22"/>
          <w:szCs w:val="22"/>
          <w:lang w:eastAsia="zh-CN"/>
        </w:rPr>
      </w:pPr>
      <w:r w:rsidRPr="00431632">
        <w:rPr>
          <w:rFonts w:hint="eastAsia"/>
          <w:b/>
          <w:bCs/>
          <w:sz w:val="22"/>
          <w:szCs w:val="22"/>
          <w:lang w:eastAsia="zh-CN"/>
        </w:rPr>
        <w:t xml:space="preserve">*) </w:t>
      </w:r>
      <w:r w:rsidRPr="00431632">
        <w:rPr>
          <w:rFonts w:hint="eastAsia"/>
          <w:b/>
          <w:bCs/>
          <w:sz w:val="22"/>
          <w:szCs w:val="22"/>
          <w:lang w:eastAsia="zh-CN"/>
        </w:rPr>
        <w:t>欠款</w:t>
      </w:r>
      <w:r w:rsidRPr="007066C3">
        <w:rPr>
          <w:rFonts w:hint="eastAsia"/>
          <w:sz w:val="22"/>
          <w:szCs w:val="22"/>
          <w:lang w:eastAsia="zh-CN"/>
        </w:rPr>
        <w:t>：反映出</w:t>
      </w:r>
      <w:r w:rsidRPr="007066C3">
        <w:rPr>
          <w:rFonts w:hint="eastAsia"/>
          <w:sz w:val="22"/>
          <w:szCs w:val="22"/>
          <w:lang w:eastAsia="zh-CN"/>
        </w:rPr>
        <w:t>2024</w:t>
      </w:r>
      <w:r w:rsidRPr="007066C3">
        <w:rPr>
          <w:rFonts w:hint="eastAsia"/>
          <w:sz w:val="22"/>
          <w:szCs w:val="22"/>
          <w:lang w:eastAsia="zh-CN"/>
        </w:rPr>
        <w:t>年底向往年未付款实体开具的发票。</w:t>
      </w:r>
    </w:p>
    <w:p w14:paraId="25571B0B" w14:textId="77777777" w:rsidR="00E323D0" w:rsidRPr="00E323D0" w:rsidRDefault="00E323D0" w:rsidP="00E323D0">
      <w:pPr>
        <w:jc w:val="center"/>
      </w:pPr>
      <w:r>
        <w:t>______________</w:t>
      </w:r>
    </w:p>
    <w:sectPr w:rsidR="00E323D0" w:rsidRPr="00E323D0" w:rsidSect="003A1DC6">
      <w:headerReference w:type="first" r:id="rId25"/>
      <w:footerReference w:type="first" r:id="rId26"/>
      <w:pgSz w:w="16834" w:h="11907" w:orient="landscape" w:code="9"/>
      <w:pgMar w:top="1418" w:right="1418" w:bottom="1418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CDAF6" w14:textId="77777777" w:rsidR="00CD0E2E" w:rsidRDefault="00CD0E2E">
      <w:r>
        <w:separator/>
      </w:r>
    </w:p>
  </w:endnote>
  <w:endnote w:type="continuationSeparator" w:id="0">
    <w:p w14:paraId="337C64D3" w14:textId="77777777" w:rsidR="00CD0E2E" w:rsidRDefault="00CD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1522BA7D" w14:textId="77777777" w:rsidTr="00E31DCE">
      <w:trPr>
        <w:jc w:val="center"/>
      </w:trPr>
      <w:tc>
        <w:tcPr>
          <w:tcW w:w="1803" w:type="dxa"/>
          <w:vAlign w:val="center"/>
        </w:tcPr>
        <w:p w14:paraId="6C3B5187" w14:textId="46DCB803" w:rsidR="00E24D59" w:rsidRPr="00A13406" w:rsidRDefault="003A1DC6" w:rsidP="00E24D59">
          <w:pPr>
            <w:pStyle w:val="Header"/>
            <w:jc w:val="left"/>
            <w:rPr>
              <w:noProof/>
              <w:color w:val="808080" w:themeColor="background1" w:themeShade="80"/>
            </w:rPr>
          </w:pPr>
          <w:r w:rsidRPr="00A13406">
            <w:rPr>
              <w:noProof/>
              <w:color w:val="808080" w:themeColor="background1" w:themeShade="80"/>
            </w:rPr>
            <w:t>gDoc</w:t>
          </w:r>
          <w:r>
            <w:rPr>
              <w:noProof/>
              <w:color w:val="808080" w:themeColor="background1" w:themeShade="80"/>
            </w:rPr>
            <w:t xml:space="preserve"> 2600680</w:t>
          </w:r>
        </w:p>
      </w:tc>
      <w:tc>
        <w:tcPr>
          <w:tcW w:w="8261" w:type="dxa"/>
        </w:tcPr>
        <w:p w14:paraId="3AB38C86" w14:textId="77777777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r w:rsidRPr="00A13406">
            <w:rPr>
              <w:bCs/>
              <w:color w:val="808080" w:themeColor="background1" w:themeShade="80"/>
            </w:rPr>
            <w:t>/</w:t>
          </w:r>
          <w:r w:rsidR="00675850"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38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7058FDA9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29501F25" w14:textId="77777777" w:rsidTr="00E31DCE">
      <w:trPr>
        <w:jc w:val="center"/>
      </w:trPr>
      <w:tc>
        <w:tcPr>
          <w:tcW w:w="1803" w:type="dxa"/>
          <w:vAlign w:val="center"/>
        </w:tcPr>
        <w:p w14:paraId="4F7B9A0C" w14:textId="77777777" w:rsidR="00E24D59" w:rsidRPr="00E34C96" w:rsidRDefault="00D87C3A" w:rsidP="00E24D59">
          <w:pPr>
            <w:pStyle w:val="Header"/>
            <w:jc w:val="left"/>
            <w:rPr>
              <w:noProof/>
            </w:rPr>
          </w:pPr>
          <w:hyperlink r:id="rId1" w:anchor="/zh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53D18E62" w14:textId="2F819BFE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r w:rsidRPr="003F086E">
            <w:rPr>
              <w:bCs/>
              <w:color w:val="808080" w:themeColor="background1" w:themeShade="80"/>
            </w:rPr>
            <w:t>/</w:t>
          </w:r>
          <w:r w:rsidR="003A1DC6">
            <w:rPr>
              <w:bCs/>
              <w:color w:val="808080" w:themeColor="background1" w:themeShade="80"/>
            </w:rPr>
            <w:t>38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01C7843E" w14:textId="77777777" w:rsidR="00AC516F" w:rsidRPr="00E24D59" w:rsidRDefault="00AC516F" w:rsidP="00E24D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A1DC6" w:rsidRPr="00A13406" w14:paraId="151EF675" w14:textId="77777777" w:rsidTr="00E31DCE">
      <w:trPr>
        <w:jc w:val="center"/>
      </w:trPr>
      <w:tc>
        <w:tcPr>
          <w:tcW w:w="1803" w:type="dxa"/>
          <w:vAlign w:val="center"/>
        </w:tcPr>
        <w:p w14:paraId="77151B43" w14:textId="7741B280" w:rsidR="003A1DC6" w:rsidRPr="00E34C96" w:rsidRDefault="003A1DC6" w:rsidP="00E24D59">
          <w:pPr>
            <w:pStyle w:val="Header"/>
            <w:jc w:val="left"/>
            <w:rPr>
              <w:noProof/>
            </w:rPr>
          </w:pPr>
          <w:r w:rsidRPr="00A13406">
            <w:rPr>
              <w:noProof/>
              <w:color w:val="808080" w:themeColor="background1" w:themeShade="80"/>
            </w:rPr>
            <w:t>gDoc</w:t>
          </w:r>
          <w:r>
            <w:rPr>
              <w:noProof/>
              <w:color w:val="808080" w:themeColor="background1" w:themeShade="80"/>
            </w:rPr>
            <w:t xml:space="preserve"> 2600680</w:t>
          </w:r>
        </w:p>
      </w:tc>
      <w:tc>
        <w:tcPr>
          <w:tcW w:w="8261" w:type="dxa"/>
        </w:tcPr>
        <w:p w14:paraId="7FC3C9BB" w14:textId="77777777" w:rsidR="003A1DC6" w:rsidRPr="00A13406" w:rsidRDefault="003A1DC6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  <w:t>C2</w:t>
          </w:r>
          <w:r>
            <w:rPr>
              <w:bCs/>
              <w:color w:val="808080" w:themeColor="background1" w:themeShade="80"/>
            </w:rPr>
            <w:t>6</w:t>
          </w:r>
          <w:r w:rsidRPr="003F086E">
            <w:rPr>
              <w:bCs/>
              <w:color w:val="808080" w:themeColor="background1" w:themeShade="80"/>
            </w:rPr>
            <w:t>/</w:t>
          </w:r>
          <w:r>
            <w:rPr>
              <w:bCs/>
              <w:color w:val="808080" w:themeColor="background1" w:themeShade="80"/>
            </w:rPr>
            <w:t>38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5FE1B327" w14:textId="77777777" w:rsidR="003A1DC6" w:rsidRPr="00E24D59" w:rsidRDefault="003A1DC6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6E677" w14:textId="77777777" w:rsidR="00CD0E2E" w:rsidRDefault="00CD0E2E">
      <w:r>
        <w:t>____________________</w:t>
      </w:r>
    </w:p>
  </w:footnote>
  <w:footnote w:type="continuationSeparator" w:id="0">
    <w:p w14:paraId="25511A13" w14:textId="77777777" w:rsidR="00CD0E2E" w:rsidRDefault="00CD0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70CE1" w14:textId="77777777" w:rsidR="00E24D59" w:rsidRPr="00602842" w:rsidRDefault="00602842" w:rsidP="00602842">
    <w:pPr>
      <w:pStyle w:val="Header"/>
    </w:pPr>
    <w:r>
      <w:rPr>
        <w:noProof/>
      </w:rPr>
      <w:drawing>
        <wp:inline distT="0" distB="0" distL="0" distR="0" wp14:anchorId="28C50EA7" wp14:editId="7195875E">
          <wp:extent cx="5760085" cy="840740"/>
          <wp:effectExtent l="0" t="0" r="0" b="0"/>
          <wp:docPr id="914299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99275" name="Picture 914299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C463" w14:textId="0C4D3E52" w:rsidR="003A1DC6" w:rsidRPr="00602842" w:rsidRDefault="003A1DC6" w:rsidP="006028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2"/>
  </w:num>
  <w:num w:numId="3" w16cid:durableId="371539808">
    <w:abstractNumId w:val="3"/>
  </w:num>
  <w:num w:numId="4" w16cid:durableId="1525828948">
    <w:abstractNumId w:val="4"/>
  </w:num>
  <w:num w:numId="5" w16cid:durableId="2033219779">
    <w:abstractNumId w:val="6"/>
  </w:num>
  <w:num w:numId="6" w16cid:durableId="349645790">
    <w:abstractNumId w:val="5"/>
  </w:num>
  <w:num w:numId="7" w16cid:durableId="145158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5A"/>
    <w:rsid w:val="00001B77"/>
    <w:rsid w:val="0000517A"/>
    <w:rsid w:val="0000538F"/>
    <w:rsid w:val="00031E72"/>
    <w:rsid w:val="000404D2"/>
    <w:rsid w:val="000646BD"/>
    <w:rsid w:val="000853C0"/>
    <w:rsid w:val="00093DD9"/>
    <w:rsid w:val="0009409E"/>
    <w:rsid w:val="000A1C21"/>
    <w:rsid w:val="000C0BC5"/>
    <w:rsid w:val="000C640B"/>
    <w:rsid w:val="000D15EA"/>
    <w:rsid w:val="000D7012"/>
    <w:rsid w:val="00100D84"/>
    <w:rsid w:val="00107741"/>
    <w:rsid w:val="00124C9D"/>
    <w:rsid w:val="001305DE"/>
    <w:rsid w:val="001306F6"/>
    <w:rsid w:val="0013647F"/>
    <w:rsid w:val="0015333E"/>
    <w:rsid w:val="00157773"/>
    <w:rsid w:val="0018251A"/>
    <w:rsid w:val="00190272"/>
    <w:rsid w:val="00193244"/>
    <w:rsid w:val="00195C6C"/>
    <w:rsid w:val="00195FED"/>
    <w:rsid w:val="001A4BD6"/>
    <w:rsid w:val="001B6E2B"/>
    <w:rsid w:val="001D5A18"/>
    <w:rsid w:val="00215132"/>
    <w:rsid w:val="00220C45"/>
    <w:rsid w:val="00224449"/>
    <w:rsid w:val="00277DEA"/>
    <w:rsid w:val="00280EB8"/>
    <w:rsid w:val="002916B4"/>
    <w:rsid w:val="002A1D39"/>
    <w:rsid w:val="002A6670"/>
    <w:rsid w:val="002C3F32"/>
    <w:rsid w:val="002C76EE"/>
    <w:rsid w:val="00303502"/>
    <w:rsid w:val="00325C25"/>
    <w:rsid w:val="00372C8F"/>
    <w:rsid w:val="00380ECE"/>
    <w:rsid w:val="00393DDF"/>
    <w:rsid w:val="00397F55"/>
    <w:rsid w:val="003A1DC6"/>
    <w:rsid w:val="003B4454"/>
    <w:rsid w:val="003C2E37"/>
    <w:rsid w:val="003F086E"/>
    <w:rsid w:val="003F1415"/>
    <w:rsid w:val="0040144C"/>
    <w:rsid w:val="00403EB7"/>
    <w:rsid w:val="004178E6"/>
    <w:rsid w:val="00430BF0"/>
    <w:rsid w:val="00431632"/>
    <w:rsid w:val="00465C35"/>
    <w:rsid w:val="004672E6"/>
    <w:rsid w:val="00474ED1"/>
    <w:rsid w:val="00477D57"/>
    <w:rsid w:val="00491BA9"/>
    <w:rsid w:val="00493085"/>
    <w:rsid w:val="004A36EC"/>
    <w:rsid w:val="004D163F"/>
    <w:rsid w:val="004E4BFF"/>
    <w:rsid w:val="004F2598"/>
    <w:rsid w:val="005403F7"/>
    <w:rsid w:val="00540632"/>
    <w:rsid w:val="00541CF4"/>
    <w:rsid w:val="005451E8"/>
    <w:rsid w:val="005507F2"/>
    <w:rsid w:val="00555C29"/>
    <w:rsid w:val="0057595A"/>
    <w:rsid w:val="005759CC"/>
    <w:rsid w:val="00576C08"/>
    <w:rsid w:val="005A72E1"/>
    <w:rsid w:val="005C6632"/>
    <w:rsid w:val="005D1C9E"/>
    <w:rsid w:val="005E627B"/>
    <w:rsid w:val="00602842"/>
    <w:rsid w:val="00630DD5"/>
    <w:rsid w:val="00637584"/>
    <w:rsid w:val="00654257"/>
    <w:rsid w:val="0065435A"/>
    <w:rsid w:val="00670D8A"/>
    <w:rsid w:val="00675850"/>
    <w:rsid w:val="006A2DD3"/>
    <w:rsid w:val="006A5113"/>
    <w:rsid w:val="006A5AF8"/>
    <w:rsid w:val="006C36CD"/>
    <w:rsid w:val="00700D1F"/>
    <w:rsid w:val="00705809"/>
    <w:rsid w:val="007066C3"/>
    <w:rsid w:val="007205CB"/>
    <w:rsid w:val="0072138B"/>
    <w:rsid w:val="00726073"/>
    <w:rsid w:val="00734FE8"/>
    <w:rsid w:val="007360CE"/>
    <w:rsid w:val="0077110E"/>
    <w:rsid w:val="00772315"/>
    <w:rsid w:val="00775157"/>
    <w:rsid w:val="007813AE"/>
    <w:rsid w:val="00796A7E"/>
    <w:rsid w:val="007A37DB"/>
    <w:rsid w:val="007C5630"/>
    <w:rsid w:val="007E189D"/>
    <w:rsid w:val="007F0210"/>
    <w:rsid w:val="00806E3F"/>
    <w:rsid w:val="00811259"/>
    <w:rsid w:val="00813AA2"/>
    <w:rsid w:val="008173A3"/>
    <w:rsid w:val="008418F5"/>
    <w:rsid w:val="0084546D"/>
    <w:rsid w:val="0086059C"/>
    <w:rsid w:val="00864589"/>
    <w:rsid w:val="00874C82"/>
    <w:rsid w:val="00890AFB"/>
    <w:rsid w:val="00890FC4"/>
    <w:rsid w:val="00895905"/>
    <w:rsid w:val="008F64AD"/>
    <w:rsid w:val="00911230"/>
    <w:rsid w:val="00911867"/>
    <w:rsid w:val="009164A9"/>
    <w:rsid w:val="009258CB"/>
    <w:rsid w:val="0093362E"/>
    <w:rsid w:val="00944563"/>
    <w:rsid w:val="00953160"/>
    <w:rsid w:val="009625D8"/>
    <w:rsid w:val="00983878"/>
    <w:rsid w:val="0098459B"/>
    <w:rsid w:val="00997185"/>
    <w:rsid w:val="009A3456"/>
    <w:rsid w:val="009A76A8"/>
    <w:rsid w:val="009C2458"/>
    <w:rsid w:val="009C4A7B"/>
    <w:rsid w:val="009C6123"/>
    <w:rsid w:val="009F1E3E"/>
    <w:rsid w:val="00A01F4F"/>
    <w:rsid w:val="00A109AF"/>
    <w:rsid w:val="00A1213C"/>
    <w:rsid w:val="00A13406"/>
    <w:rsid w:val="00A272FF"/>
    <w:rsid w:val="00A5354B"/>
    <w:rsid w:val="00A71B57"/>
    <w:rsid w:val="00AA2E08"/>
    <w:rsid w:val="00AB42C1"/>
    <w:rsid w:val="00AC516F"/>
    <w:rsid w:val="00AE195F"/>
    <w:rsid w:val="00AE2926"/>
    <w:rsid w:val="00B0184B"/>
    <w:rsid w:val="00B035CD"/>
    <w:rsid w:val="00B0769D"/>
    <w:rsid w:val="00B217F8"/>
    <w:rsid w:val="00B326AA"/>
    <w:rsid w:val="00B332EA"/>
    <w:rsid w:val="00B40A53"/>
    <w:rsid w:val="00B45365"/>
    <w:rsid w:val="00B46A65"/>
    <w:rsid w:val="00B60184"/>
    <w:rsid w:val="00B62D20"/>
    <w:rsid w:val="00B81E75"/>
    <w:rsid w:val="00B91673"/>
    <w:rsid w:val="00B93371"/>
    <w:rsid w:val="00B93453"/>
    <w:rsid w:val="00B9445B"/>
    <w:rsid w:val="00BA47E8"/>
    <w:rsid w:val="00BB6AA3"/>
    <w:rsid w:val="00BD0954"/>
    <w:rsid w:val="00BD1A5A"/>
    <w:rsid w:val="00BD7A9B"/>
    <w:rsid w:val="00BD7BE1"/>
    <w:rsid w:val="00BE0E15"/>
    <w:rsid w:val="00BF416B"/>
    <w:rsid w:val="00C06291"/>
    <w:rsid w:val="00C16C14"/>
    <w:rsid w:val="00C24DAC"/>
    <w:rsid w:val="00C45EB2"/>
    <w:rsid w:val="00C63BAC"/>
    <w:rsid w:val="00C64E4E"/>
    <w:rsid w:val="00C66E64"/>
    <w:rsid w:val="00C761A0"/>
    <w:rsid w:val="00C85F7E"/>
    <w:rsid w:val="00C90D53"/>
    <w:rsid w:val="00CA0B2E"/>
    <w:rsid w:val="00CA260A"/>
    <w:rsid w:val="00CA6EF7"/>
    <w:rsid w:val="00CD0E2E"/>
    <w:rsid w:val="00CD47F0"/>
    <w:rsid w:val="00CD5566"/>
    <w:rsid w:val="00CD64D7"/>
    <w:rsid w:val="00CE6F22"/>
    <w:rsid w:val="00CF41F6"/>
    <w:rsid w:val="00CF7D3E"/>
    <w:rsid w:val="00D02B4E"/>
    <w:rsid w:val="00D12161"/>
    <w:rsid w:val="00D21F11"/>
    <w:rsid w:val="00D36817"/>
    <w:rsid w:val="00D453EE"/>
    <w:rsid w:val="00D4614F"/>
    <w:rsid w:val="00D5666C"/>
    <w:rsid w:val="00D666BC"/>
    <w:rsid w:val="00D83542"/>
    <w:rsid w:val="00D87C3A"/>
    <w:rsid w:val="00D92F45"/>
    <w:rsid w:val="00D94637"/>
    <w:rsid w:val="00D9725C"/>
    <w:rsid w:val="00DA0E66"/>
    <w:rsid w:val="00DA2D30"/>
    <w:rsid w:val="00DA7006"/>
    <w:rsid w:val="00DB3621"/>
    <w:rsid w:val="00DC6427"/>
    <w:rsid w:val="00DD62F5"/>
    <w:rsid w:val="00DD66A1"/>
    <w:rsid w:val="00DE196D"/>
    <w:rsid w:val="00DF6B49"/>
    <w:rsid w:val="00E067C5"/>
    <w:rsid w:val="00E15ACD"/>
    <w:rsid w:val="00E24D59"/>
    <w:rsid w:val="00E265BF"/>
    <w:rsid w:val="00E323D0"/>
    <w:rsid w:val="00E34C96"/>
    <w:rsid w:val="00E378D8"/>
    <w:rsid w:val="00E43A12"/>
    <w:rsid w:val="00E67C67"/>
    <w:rsid w:val="00E77476"/>
    <w:rsid w:val="00E8228B"/>
    <w:rsid w:val="00E85510"/>
    <w:rsid w:val="00EA1F17"/>
    <w:rsid w:val="00EC3AE9"/>
    <w:rsid w:val="00EE5706"/>
    <w:rsid w:val="00EF373D"/>
    <w:rsid w:val="00F11595"/>
    <w:rsid w:val="00F13BC9"/>
    <w:rsid w:val="00F357B2"/>
    <w:rsid w:val="00F36556"/>
    <w:rsid w:val="00F6736A"/>
    <w:rsid w:val="00F705DF"/>
    <w:rsid w:val="00F70622"/>
    <w:rsid w:val="00F85624"/>
    <w:rsid w:val="00F87C05"/>
    <w:rsid w:val="00F93191"/>
    <w:rsid w:val="00F93A17"/>
    <w:rsid w:val="00FA2AF6"/>
    <w:rsid w:val="00FB073D"/>
    <w:rsid w:val="00FB771F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47794A"/>
  <w15:docId w15:val="{8AF3524F-36FC-4A1C-B979-C4E04005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C24DAC"/>
  </w:style>
  <w:style w:type="paragraph" w:styleId="TOC4">
    <w:name w:val="toc 4"/>
    <w:basedOn w:val="TOC1"/>
    <w:next w:val="Normal"/>
    <w:rsid w:val="00C24DAC"/>
  </w:style>
  <w:style w:type="paragraph" w:styleId="TOC3">
    <w:name w:val="toc 3"/>
    <w:basedOn w:val="TOC1"/>
    <w:next w:val="Normal"/>
    <w:rsid w:val="00C24DAC"/>
  </w:style>
  <w:style w:type="paragraph" w:styleId="TOC2">
    <w:name w:val="toc 2"/>
    <w:basedOn w:val="TOC1"/>
    <w:next w:val="Normal"/>
    <w:rsid w:val="00C24DAC"/>
    <w:pPr>
      <w:spacing w:before="160"/>
    </w:pPr>
  </w:style>
  <w:style w:type="paragraph" w:styleId="TOC1">
    <w:name w:val="toc 1"/>
    <w:basedOn w:val="Normal"/>
    <w:rsid w:val="00C24DA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rFonts w:eastAsia="Times New Roman"/>
      <w:lang w:val="fr-FR"/>
    </w:rPr>
  </w:style>
  <w:style w:type="paragraph" w:styleId="TOC7">
    <w:name w:val="toc 7"/>
    <w:basedOn w:val="TOC6"/>
    <w:next w:val="Normal"/>
    <w:rsid w:val="00C24DAC"/>
  </w:style>
  <w:style w:type="paragraph" w:styleId="TOC6">
    <w:name w:val="toc 6"/>
    <w:basedOn w:val="TOC5"/>
    <w:next w:val="Normal"/>
    <w:rsid w:val="00C24DAC"/>
  </w:style>
  <w:style w:type="paragraph" w:styleId="TOC5">
    <w:name w:val="toc 5"/>
    <w:basedOn w:val="TOC4"/>
    <w:next w:val="Normal"/>
    <w:rsid w:val="00C24DAC"/>
    <w:rPr>
      <w:lang w:val="fr-CH"/>
    </w:rPr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C24DA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rFonts w:eastAsia="Times New Roman"/>
      <w:b/>
      <w:lang w:val="fr-FR"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Source">
    <w:name w:val="Source"/>
    <w:basedOn w:val="Normal"/>
    <w:next w:val="Normal"/>
    <w:rsid w:val="00C24DAC"/>
    <w:pPr>
      <w:framePr w:hSpace="181" w:wrap="around" w:vAnchor="page" w:hAnchor="page" w:x="1589" w:y="2314"/>
      <w:spacing w:before="840"/>
    </w:pPr>
    <w:rPr>
      <w:rFonts w:cstheme="minorHAnsi"/>
      <w:b/>
      <w:sz w:val="34"/>
      <w:szCs w:val="34"/>
      <w:lang w:val="ru-RU" w:eastAsia="zh-CN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E34C96"/>
    <w:rPr>
      <w:rFonts w:eastAsia="Times New Roman"/>
      <w:noProof/>
      <w:color w:val="4F81BD" w:themeColor="accent1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C24DAC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rFonts w:eastAsia="Times New Roman"/>
      <w:lang w:val="fr-FR"/>
    </w:rPr>
  </w:style>
  <w:style w:type="paragraph" w:customStyle="1" w:styleId="Headingb">
    <w:name w:val="Heading_b"/>
    <w:basedOn w:val="Heading3"/>
    <w:next w:val="Normal"/>
    <w:rsid w:val="009A345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pPr>
      <w:framePr w:wrap="around"/>
    </w:pPr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Normal"/>
    <w:rsid w:val="009A3456"/>
    <w:pPr>
      <w:spacing w:after="240"/>
      <w:jc w:val="center"/>
    </w:pPr>
  </w:style>
  <w:style w:type="paragraph" w:customStyle="1" w:styleId="Figuretitle">
    <w:name w:val="Figure_title"/>
    <w:basedOn w:val="Tabletitle"/>
    <w:next w:val="Normal"/>
    <w:rsid w:val="009A3456"/>
    <w:pPr>
      <w:keepLines/>
      <w:spacing w:before="24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9A3456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Normal"/>
    <w:next w:val="Figuretitle"/>
    <w:rsid w:val="009A3456"/>
    <w:pPr>
      <w:keepNext/>
      <w:keepLines/>
      <w:spacing w:before="48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"/>
    <w:rsid w:val="009A3456"/>
    <w:pPr>
      <w:spacing w:before="240"/>
    </w:pPr>
  </w:style>
  <w:style w:type="paragraph" w:customStyle="1" w:styleId="Headingi">
    <w:name w:val="Heading_i"/>
    <w:basedOn w:val="Heading3"/>
    <w:next w:val="Normal"/>
    <w:rsid w:val="009A3456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A345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A2E08"/>
    <w:pPr>
      <w:tabs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C24DAC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  <w:style w:type="paragraph" w:customStyle="1" w:styleId="nor">
    <w:name w:val="nor"/>
    <w:basedOn w:val="Reasons"/>
    <w:rsid w:val="007C5630"/>
    <w:pPr>
      <w:ind w:firstLineChars="200" w:firstLine="480"/>
    </w:pPr>
    <w:rPr>
      <w:lang w:eastAsia="zh-CN"/>
    </w:rPr>
  </w:style>
  <w:style w:type="paragraph" w:styleId="Revision">
    <w:name w:val="Revision"/>
    <w:hidden/>
    <w:uiPriority w:val="99"/>
    <w:semiHidden/>
    <w:rsid w:val="00BE0E15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17-CL-C-0133/en" TargetMode="External"/><Relationship Id="rId13" Type="http://schemas.openxmlformats.org/officeDocument/2006/relationships/hyperlink" Target="https://www.itu.int/md/S21-CL-C-0047/en" TargetMode="External"/><Relationship Id="rId18" Type="http://schemas.openxmlformats.org/officeDocument/2006/relationships/hyperlink" Target="https://www.itu.int/md/S25-CWGFHR20-C-0013/en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yperlink" Target="https://www.itu.int/md/S19-CL-C-0120/en" TargetMode="External"/><Relationship Id="rId17" Type="http://schemas.openxmlformats.org/officeDocument/2006/relationships/hyperlink" Target="https://www.itu.int/md/S24-CL-C-0120/en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S24-CL-C-0038/en" TargetMode="External"/><Relationship Id="rId20" Type="http://schemas.openxmlformats.org/officeDocument/2006/relationships/hyperlink" Target="https://www.itu.int/md/S26-CWGFHR22-C-0003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19-CLCWGFHR09-C-0015/en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22-CL-C-0050/en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www.itu.int/md/S18-CLCWGFHRM8-C-0018/en" TargetMode="External"/><Relationship Id="rId19" Type="http://schemas.openxmlformats.org/officeDocument/2006/relationships/hyperlink" Target="https://www.itu.int/md/S25-CL-C-0038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md/S18-CL-C-0100/en" TargetMode="External"/><Relationship Id="rId14" Type="http://schemas.openxmlformats.org/officeDocument/2006/relationships/hyperlink" Target="https://www.itu.int/md/S21-CWGFHR14-C-0006/en" TargetMode="External"/><Relationship Id="rId22" Type="http://schemas.openxmlformats.org/officeDocument/2006/relationships/footer" Target="footer1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youqi\Desktop\2600680_typ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2600680_typing.dotx</Template>
  <TotalTime>0</TotalTime>
  <Pages>7</Pages>
  <Words>2128</Words>
  <Characters>4385</Characters>
  <Application>Microsoft Office Word</Application>
  <DocSecurity>0</DocSecurity>
  <Lines>626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5921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 Report on implementation of Council Decisions 600 and 601 (UIFN, IIN)</dc:title>
  <dc:subject>ITU Council 2026</dc:subject>
  <cp:keywords>C26; C2026; Council 2026; PP26</cp:keywords>
  <dc:description/>
  <cp:lastPrinted>2015-02-24T13:23:00Z</cp:lastPrinted>
  <dcterms:created xsi:type="dcterms:W3CDTF">2026-04-02T10:50:00Z</dcterms:created>
  <dcterms:modified xsi:type="dcterms:W3CDTF">2026-04-02T10:50:00Z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