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589" w:tblpY="2314"/>
        <w:tblW w:w="9214" w:type="dxa"/>
        <w:tblLayout w:type="fixed"/>
        <w:tblLook w:val="0000" w:firstRow="0" w:lastRow="0" w:firstColumn="0" w:lastColumn="0" w:noHBand="0" w:noVBand="0"/>
      </w:tblPr>
      <w:tblGrid>
        <w:gridCol w:w="3969"/>
        <w:gridCol w:w="5245"/>
      </w:tblGrid>
      <w:tr w:rsidR="00FE57F6" w:rsidRPr="00F05461" w14:paraId="7A671356" w14:textId="77777777" w:rsidTr="00C4421B">
        <w:trPr>
          <w:cantSplit/>
          <w:trHeight w:val="23"/>
        </w:trPr>
        <w:tc>
          <w:tcPr>
            <w:tcW w:w="3969" w:type="dxa"/>
            <w:vMerge w:val="restart"/>
            <w:tcMar>
              <w:left w:w="0" w:type="dxa"/>
            </w:tcMar>
          </w:tcPr>
          <w:p w14:paraId="63A1E117" w14:textId="4522D1BD" w:rsidR="00FE57F6" w:rsidRPr="00F05461" w:rsidRDefault="005D7B2C" w:rsidP="00B41C0B">
            <w:pPr>
              <w:spacing w:before="0"/>
              <w:rPr>
                <w:b/>
                <w:lang w:val="es-ES"/>
              </w:rPr>
            </w:pPr>
            <w:bookmarkStart w:id="0" w:name="_Hlk133421839"/>
            <w:r w:rsidRPr="00B41C0B">
              <w:rPr>
                <w:b/>
                <w:bCs/>
                <w:lang w:val="es-ES"/>
              </w:rPr>
              <w:t>Punto del o</w:t>
            </w:r>
            <w:r w:rsidR="00BB6FD8" w:rsidRPr="00B41C0B">
              <w:rPr>
                <w:b/>
                <w:bCs/>
                <w:lang w:val="es-ES"/>
              </w:rPr>
              <w:t>rden del día</w:t>
            </w:r>
            <w:r w:rsidR="00FE57F6" w:rsidRPr="00B41C0B">
              <w:rPr>
                <w:b/>
                <w:bCs/>
                <w:lang w:val="es-ES"/>
              </w:rPr>
              <w:t>:</w:t>
            </w:r>
            <w:r w:rsidRPr="00B41C0B">
              <w:rPr>
                <w:b/>
                <w:bCs/>
                <w:lang w:val="es-ES"/>
              </w:rPr>
              <w:t xml:space="preserve"> PL</w:t>
            </w:r>
            <w:r w:rsidR="00142E5C" w:rsidRPr="00B41C0B">
              <w:rPr>
                <w:b/>
                <w:bCs/>
                <w:lang w:val="es-ES"/>
              </w:rPr>
              <w:t xml:space="preserve"> </w:t>
            </w:r>
            <w:r w:rsidRPr="00B41C0B">
              <w:rPr>
                <w:b/>
                <w:bCs/>
                <w:lang w:val="es-ES"/>
              </w:rPr>
              <w:t>3.1</w:t>
            </w:r>
          </w:p>
        </w:tc>
        <w:tc>
          <w:tcPr>
            <w:tcW w:w="5245" w:type="dxa"/>
          </w:tcPr>
          <w:p w14:paraId="54451C9A" w14:textId="1C8EF06A" w:rsidR="00FE57F6" w:rsidRPr="00F05461" w:rsidRDefault="00FE57F6" w:rsidP="00EB694D">
            <w:pPr>
              <w:spacing w:before="0"/>
              <w:jc w:val="right"/>
              <w:rPr>
                <w:b/>
                <w:bCs/>
                <w:lang w:val="es-ES"/>
              </w:rPr>
            </w:pPr>
            <w:r w:rsidRPr="00F05461">
              <w:rPr>
                <w:b/>
                <w:bCs/>
                <w:lang w:val="es-ES"/>
              </w:rPr>
              <w:t>Document</w:t>
            </w:r>
            <w:r w:rsidR="00F24B71" w:rsidRPr="00F05461">
              <w:rPr>
                <w:b/>
                <w:bCs/>
                <w:lang w:val="es-ES"/>
              </w:rPr>
              <w:t>o</w:t>
            </w:r>
            <w:r w:rsidRPr="00F05461">
              <w:rPr>
                <w:b/>
                <w:bCs/>
                <w:lang w:val="es-ES"/>
              </w:rPr>
              <w:t xml:space="preserve"> C2</w:t>
            </w:r>
            <w:r w:rsidR="00F85E5C" w:rsidRPr="00F05461">
              <w:rPr>
                <w:b/>
                <w:bCs/>
                <w:lang w:val="es-ES"/>
              </w:rPr>
              <w:t>6</w:t>
            </w:r>
            <w:r w:rsidRPr="00F05461">
              <w:rPr>
                <w:b/>
                <w:bCs/>
                <w:lang w:val="es-ES"/>
              </w:rPr>
              <w:t>/</w:t>
            </w:r>
            <w:r w:rsidR="00EB694D" w:rsidRPr="00F05461">
              <w:rPr>
                <w:b/>
                <w:bCs/>
                <w:lang w:val="es-ES"/>
              </w:rPr>
              <w:t>35</w:t>
            </w:r>
            <w:r w:rsidRPr="00F05461">
              <w:rPr>
                <w:b/>
                <w:bCs/>
                <w:lang w:val="es-ES"/>
              </w:rPr>
              <w:t>-</w:t>
            </w:r>
            <w:r w:rsidR="00F24B71" w:rsidRPr="00F05461">
              <w:rPr>
                <w:b/>
                <w:bCs/>
                <w:lang w:val="es-ES"/>
              </w:rPr>
              <w:t>S</w:t>
            </w:r>
          </w:p>
        </w:tc>
      </w:tr>
      <w:tr w:rsidR="00FE57F6" w:rsidRPr="00F05461" w14:paraId="575DD316" w14:textId="77777777" w:rsidTr="00C4421B">
        <w:trPr>
          <w:cantSplit/>
        </w:trPr>
        <w:tc>
          <w:tcPr>
            <w:tcW w:w="3969" w:type="dxa"/>
            <w:vMerge/>
          </w:tcPr>
          <w:p w14:paraId="5F5DD0D0" w14:textId="77777777" w:rsidR="00FE57F6" w:rsidRPr="00F05461" w:rsidRDefault="00FE57F6" w:rsidP="00C4421B">
            <w:pPr>
              <w:tabs>
                <w:tab w:val="left" w:pos="851"/>
              </w:tabs>
              <w:spacing w:line="240" w:lineRule="atLeast"/>
              <w:rPr>
                <w:b/>
                <w:lang w:val="es-ES"/>
              </w:rPr>
            </w:pPr>
          </w:p>
        </w:tc>
        <w:tc>
          <w:tcPr>
            <w:tcW w:w="5245" w:type="dxa"/>
          </w:tcPr>
          <w:p w14:paraId="2D209E18" w14:textId="2F8B9D6E" w:rsidR="00FE57F6" w:rsidRPr="00F05461" w:rsidRDefault="007653C3" w:rsidP="00EB694D">
            <w:pPr>
              <w:spacing w:before="0"/>
              <w:jc w:val="right"/>
              <w:rPr>
                <w:b/>
                <w:bCs/>
                <w:lang w:val="es-ES"/>
              </w:rPr>
            </w:pPr>
            <w:r w:rsidRPr="00F05461">
              <w:rPr>
                <w:b/>
                <w:bCs/>
                <w:lang w:val="es-ES"/>
              </w:rPr>
              <w:t>2</w:t>
            </w:r>
            <w:r w:rsidR="00EB694D" w:rsidRPr="00F05461">
              <w:rPr>
                <w:b/>
                <w:bCs/>
                <w:lang w:val="es-ES"/>
              </w:rPr>
              <w:t>3 de marzo de 2026</w:t>
            </w:r>
          </w:p>
        </w:tc>
      </w:tr>
      <w:tr w:rsidR="00FE57F6" w:rsidRPr="00F05461" w14:paraId="1D4C4F98" w14:textId="77777777" w:rsidTr="00C4421B">
        <w:trPr>
          <w:cantSplit/>
          <w:trHeight w:val="23"/>
        </w:trPr>
        <w:tc>
          <w:tcPr>
            <w:tcW w:w="3969" w:type="dxa"/>
            <w:vMerge/>
          </w:tcPr>
          <w:p w14:paraId="4577E110" w14:textId="77777777" w:rsidR="00FE57F6" w:rsidRPr="00F05461" w:rsidRDefault="00FE57F6" w:rsidP="00C4421B">
            <w:pPr>
              <w:tabs>
                <w:tab w:val="left" w:pos="851"/>
              </w:tabs>
              <w:spacing w:line="240" w:lineRule="atLeast"/>
              <w:rPr>
                <w:b/>
                <w:lang w:val="es-ES"/>
              </w:rPr>
            </w:pPr>
          </w:p>
        </w:tc>
        <w:tc>
          <w:tcPr>
            <w:tcW w:w="5245" w:type="dxa"/>
          </w:tcPr>
          <w:p w14:paraId="2301F623" w14:textId="77777777" w:rsidR="00FE57F6" w:rsidRPr="00F05461" w:rsidRDefault="00F24B71" w:rsidP="00EB694D">
            <w:pPr>
              <w:spacing w:before="0"/>
              <w:jc w:val="right"/>
              <w:rPr>
                <w:b/>
                <w:bCs/>
                <w:lang w:val="es-ES"/>
              </w:rPr>
            </w:pPr>
            <w:r w:rsidRPr="00F05461">
              <w:rPr>
                <w:b/>
                <w:bCs/>
                <w:lang w:val="es-ES"/>
              </w:rPr>
              <w:t>Original: inglés</w:t>
            </w:r>
          </w:p>
        </w:tc>
      </w:tr>
      <w:tr w:rsidR="00FE57F6" w:rsidRPr="00F05461" w14:paraId="515192EF" w14:textId="77777777" w:rsidTr="00C4421B">
        <w:trPr>
          <w:cantSplit/>
          <w:trHeight w:val="23"/>
        </w:trPr>
        <w:tc>
          <w:tcPr>
            <w:tcW w:w="3969" w:type="dxa"/>
          </w:tcPr>
          <w:p w14:paraId="13963A83" w14:textId="77777777" w:rsidR="00FE57F6" w:rsidRPr="00F05461" w:rsidRDefault="00FE57F6" w:rsidP="00D02F6E">
            <w:pPr>
              <w:tabs>
                <w:tab w:val="left" w:pos="851"/>
              </w:tabs>
              <w:spacing w:before="0" w:line="240" w:lineRule="atLeast"/>
              <w:rPr>
                <w:b/>
                <w:lang w:val="es-ES"/>
              </w:rPr>
            </w:pPr>
          </w:p>
        </w:tc>
        <w:tc>
          <w:tcPr>
            <w:tcW w:w="5245" w:type="dxa"/>
          </w:tcPr>
          <w:p w14:paraId="054F613A" w14:textId="77777777" w:rsidR="00FE57F6" w:rsidRPr="00F05461" w:rsidRDefault="00FE57F6" w:rsidP="00C4421B">
            <w:pPr>
              <w:tabs>
                <w:tab w:val="left" w:pos="851"/>
              </w:tabs>
              <w:spacing w:before="0" w:line="240" w:lineRule="atLeast"/>
              <w:jc w:val="right"/>
              <w:rPr>
                <w:b/>
                <w:lang w:val="es-ES"/>
              </w:rPr>
            </w:pPr>
          </w:p>
        </w:tc>
      </w:tr>
      <w:tr w:rsidR="00FE57F6" w:rsidRPr="000C4425" w14:paraId="3702171E" w14:textId="77777777" w:rsidTr="00C4421B">
        <w:trPr>
          <w:cantSplit/>
        </w:trPr>
        <w:tc>
          <w:tcPr>
            <w:tcW w:w="9214" w:type="dxa"/>
            <w:gridSpan w:val="2"/>
            <w:tcMar>
              <w:left w:w="0" w:type="dxa"/>
            </w:tcMar>
          </w:tcPr>
          <w:p w14:paraId="417EC2C0" w14:textId="77777777" w:rsidR="00FE57F6" w:rsidRPr="00F05461" w:rsidRDefault="00157AC4" w:rsidP="00D02F6E">
            <w:pPr>
              <w:pStyle w:val="Source"/>
              <w:spacing w:before="480"/>
              <w:jc w:val="left"/>
              <w:rPr>
                <w:sz w:val="34"/>
                <w:szCs w:val="34"/>
                <w:lang w:val="es-ES"/>
              </w:rPr>
            </w:pPr>
            <w:r w:rsidRPr="00F05461">
              <w:rPr>
                <w:rFonts w:cstheme="minorHAnsi"/>
                <w:sz w:val="34"/>
                <w:szCs w:val="34"/>
                <w:lang w:val="es-ES"/>
              </w:rPr>
              <w:t>Informe de la Secretaria General</w:t>
            </w:r>
          </w:p>
        </w:tc>
      </w:tr>
      <w:tr w:rsidR="00FE57F6" w:rsidRPr="000C4425" w14:paraId="66F4790A" w14:textId="77777777" w:rsidTr="00C4421B">
        <w:trPr>
          <w:cantSplit/>
        </w:trPr>
        <w:tc>
          <w:tcPr>
            <w:tcW w:w="9214" w:type="dxa"/>
            <w:gridSpan w:val="2"/>
            <w:tcMar>
              <w:left w:w="0" w:type="dxa"/>
            </w:tcMar>
          </w:tcPr>
          <w:p w14:paraId="663DABCB" w14:textId="4EFCDB74" w:rsidR="00FE57F6" w:rsidRPr="00D84CE2" w:rsidRDefault="005D7B2C" w:rsidP="00D02F6E">
            <w:pPr>
              <w:pStyle w:val="Subtitle"/>
              <w:framePr w:hSpace="0" w:wrap="auto" w:hAnchor="text" w:xAlign="left" w:yAlign="inline"/>
              <w:spacing w:after="60"/>
              <w:rPr>
                <w:sz w:val="32"/>
                <w:szCs w:val="32"/>
                <w:lang w:val="es-ES"/>
              </w:rPr>
            </w:pPr>
            <w:r w:rsidRPr="00D84CE2">
              <w:rPr>
                <w:sz w:val="32"/>
                <w:szCs w:val="32"/>
                <w:lang w:val="es-ES"/>
              </w:rPr>
              <w:t>INFORME ANUAL SOBRE LA EJECUCIÓN DEL PLAN ESTRATÉGICO Y LAS ACTIVIDADES DE LA UNIÓN</w:t>
            </w:r>
            <w:r w:rsidR="00D84CE2" w:rsidRPr="00D84CE2">
              <w:rPr>
                <w:sz w:val="32"/>
                <w:szCs w:val="32"/>
                <w:lang w:val="es-ES"/>
              </w:rPr>
              <w:t xml:space="preserve">, </w:t>
            </w:r>
            <w:r w:rsidR="00D17382">
              <w:rPr>
                <w:sz w:val="32"/>
                <w:szCs w:val="32"/>
                <w:lang w:val="es-ES"/>
              </w:rPr>
              <w:t>OCTUBRE</w:t>
            </w:r>
            <w:r w:rsidR="00D17382" w:rsidRPr="00D84CE2">
              <w:rPr>
                <w:sz w:val="32"/>
                <w:szCs w:val="32"/>
                <w:lang w:val="es-ES"/>
              </w:rPr>
              <w:t xml:space="preserve"> </w:t>
            </w:r>
            <w:r w:rsidR="00D84CE2" w:rsidRPr="00D84CE2">
              <w:rPr>
                <w:sz w:val="32"/>
                <w:szCs w:val="32"/>
                <w:lang w:val="es-ES"/>
              </w:rPr>
              <w:t xml:space="preserve">DE 2022 – </w:t>
            </w:r>
            <w:r w:rsidR="00D17382">
              <w:rPr>
                <w:sz w:val="32"/>
                <w:szCs w:val="32"/>
                <w:lang w:val="es-ES"/>
              </w:rPr>
              <w:t xml:space="preserve">MARZO </w:t>
            </w:r>
            <w:r w:rsidR="00D84CE2" w:rsidRPr="00D84CE2">
              <w:rPr>
                <w:sz w:val="32"/>
                <w:szCs w:val="32"/>
                <w:lang w:val="es-ES"/>
              </w:rPr>
              <w:t>DE 202</w:t>
            </w:r>
            <w:r w:rsidR="00D17382">
              <w:rPr>
                <w:sz w:val="32"/>
                <w:szCs w:val="32"/>
                <w:lang w:val="es-ES"/>
              </w:rPr>
              <w:t>6</w:t>
            </w:r>
          </w:p>
        </w:tc>
      </w:tr>
      <w:tr w:rsidR="00FE57F6" w:rsidRPr="000C4425" w14:paraId="253A5BA8" w14:textId="77777777" w:rsidTr="00C4421B">
        <w:trPr>
          <w:cantSplit/>
        </w:trPr>
        <w:tc>
          <w:tcPr>
            <w:tcW w:w="9214" w:type="dxa"/>
            <w:gridSpan w:val="2"/>
            <w:tcBorders>
              <w:top w:val="single" w:sz="4" w:space="0" w:color="auto"/>
              <w:bottom w:val="single" w:sz="4" w:space="0" w:color="auto"/>
            </w:tcBorders>
            <w:tcMar>
              <w:left w:w="0" w:type="dxa"/>
            </w:tcMar>
          </w:tcPr>
          <w:p w14:paraId="4BD45CDC" w14:textId="77777777" w:rsidR="00FE57F6" w:rsidRPr="00F05461" w:rsidRDefault="00F24B71" w:rsidP="00D02F6E">
            <w:pPr>
              <w:spacing w:before="100"/>
              <w:rPr>
                <w:b/>
                <w:bCs/>
                <w:sz w:val="26"/>
                <w:szCs w:val="26"/>
                <w:lang w:val="es-ES"/>
              </w:rPr>
            </w:pPr>
            <w:r w:rsidRPr="00F05461">
              <w:rPr>
                <w:b/>
                <w:bCs/>
                <w:sz w:val="26"/>
                <w:szCs w:val="26"/>
                <w:lang w:val="es-ES"/>
              </w:rPr>
              <w:t>Finalidad</w:t>
            </w:r>
          </w:p>
          <w:p w14:paraId="2CFB30CD" w14:textId="590E0341" w:rsidR="00FE57F6" w:rsidRPr="00F05461" w:rsidRDefault="005D7B2C" w:rsidP="00D02F6E">
            <w:pPr>
              <w:spacing w:before="100"/>
              <w:rPr>
                <w:lang w:val="es-ES"/>
              </w:rPr>
            </w:pPr>
            <w:r w:rsidRPr="00F05461">
              <w:rPr>
                <w:lang w:val="es-ES"/>
              </w:rPr>
              <w:t xml:space="preserve">El presente informe abarca las actividades de </w:t>
            </w:r>
            <w:r w:rsidR="00296F03" w:rsidRPr="00F05461">
              <w:rPr>
                <w:lang w:val="es-ES"/>
              </w:rPr>
              <w:t>la UIT</w:t>
            </w:r>
            <w:r w:rsidRPr="00F05461">
              <w:rPr>
                <w:lang w:val="es-ES"/>
              </w:rPr>
              <w:t xml:space="preserve"> desde octubre de</w:t>
            </w:r>
            <w:r w:rsidR="00296F03" w:rsidRPr="00F05461">
              <w:rPr>
                <w:lang w:val="es-ES"/>
              </w:rPr>
              <w:t> </w:t>
            </w:r>
            <w:r w:rsidRPr="00F05461">
              <w:rPr>
                <w:lang w:val="es-ES"/>
              </w:rPr>
              <w:t xml:space="preserve">2022 hasta </w:t>
            </w:r>
            <w:r w:rsidR="00D17382">
              <w:rPr>
                <w:lang w:val="es-ES"/>
              </w:rPr>
              <w:t xml:space="preserve">marzo </w:t>
            </w:r>
            <w:r w:rsidRPr="00F05461">
              <w:rPr>
                <w:lang w:val="es-ES"/>
              </w:rPr>
              <w:t>de</w:t>
            </w:r>
            <w:r w:rsidR="00296F03" w:rsidRPr="00F05461">
              <w:rPr>
                <w:lang w:val="es-ES"/>
              </w:rPr>
              <w:t> </w:t>
            </w:r>
            <w:r w:rsidRPr="00F05461">
              <w:rPr>
                <w:lang w:val="es-ES"/>
              </w:rPr>
              <w:t>202</w:t>
            </w:r>
            <w:r w:rsidR="00D17382">
              <w:rPr>
                <w:lang w:val="es-ES"/>
              </w:rPr>
              <w:t>6</w:t>
            </w:r>
            <w:r w:rsidRPr="00F05461">
              <w:rPr>
                <w:lang w:val="es-ES"/>
              </w:rPr>
              <w:t xml:space="preserve"> y debería servir de base para el informe cuatrienal que se presentará a la Conferencia de Plenipotenciarios de </w:t>
            </w:r>
            <w:r w:rsidR="00296F03" w:rsidRPr="00F05461">
              <w:rPr>
                <w:lang w:val="es-ES"/>
              </w:rPr>
              <w:t>la UIT</w:t>
            </w:r>
            <w:r w:rsidRPr="00F05461">
              <w:rPr>
                <w:lang w:val="es-ES"/>
              </w:rPr>
              <w:t>, PP-26 (</w:t>
            </w:r>
            <w:hyperlink r:id="rId8">
              <w:r w:rsidRPr="00F05461">
                <w:rPr>
                  <w:rStyle w:val="Hyperlink"/>
                  <w:rFonts w:eastAsia="Times New Roman" w:cs="Times New Roman"/>
                  <w:szCs w:val="20"/>
                  <w:lang w:val="es-ES"/>
                </w:rPr>
                <w:t>Documento</w:t>
              </w:r>
              <w:r w:rsidR="00D02F6E" w:rsidRPr="00F05461">
                <w:rPr>
                  <w:rStyle w:val="Hyperlink"/>
                  <w:rFonts w:eastAsia="Times New Roman" w:cs="Times New Roman"/>
                  <w:szCs w:val="20"/>
                  <w:lang w:val="es-ES"/>
                </w:rPr>
                <w:t> </w:t>
              </w:r>
              <w:r w:rsidRPr="00F05461">
                <w:rPr>
                  <w:rStyle w:val="Hyperlink"/>
                  <w:rFonts w:eastAsia="Times New Roman" w:cs="Times New Roman"/>
                  <w:szCs w:val="20"/>
                  <w:lang w:val="es-ES"/>
                </w:rPr>
                <w:t>20</w:t>
              </w:r>
            </w:hyperlink>
            <w:r w:rsidRPr="00F05461">
              <w:rPr>
                <w:lang w:val="es-ES"/>
              </w:rPr>
              <w:t xml:space="preserve">). Se informa sobre la ejecución de la </w:t>
            </w:r>
            <w:r w:rsidR="00643E0C" w:rsidRPr="00F05461">
              <w:rPr>
                <w:lang w:val="es-ES"/>
              </w:rPr>
              <w:t>«</w:t>
            </w:r>
            <w:r w:rsidRPr="00F05461">
              <w:rPr>
                <w:lang w:val="es-ES"/>
              </w:rPr>
              <w:t>Agenda Conectar 2030 de las telecomunicaciones/tecnologías de la información y la comunicación mundiales, incluida la banda ancha, para el desarrollo sostenible</w:t>
            </w:r>
            <w:r w:rsidR="00643E0C" w:rsidRPr="00F05461">
              <w:rPr>
                <w:lang w:val="es-ES"/>
              </w:rPr>
              <w:t>»</w:t>
            </w:r>
            <w:r w:rsidRPr="00F05461">
              <w:rPr>
                <w:lang w:val="es-ES"/>
              </w:rPr>
              <w:t>, aprobada por la PP-22 (Resolución</w:t>
            </w:r>
            <w:r w:rsidR="00296F03" w:rsidRPr="00F05461">
              <w:rPr>
                <w:lang w:val="es-ES"/>
              </w:rPr>
              <w:t> </w:t>
            </w:r>
            <w:r w:rsidRPr="00F05461">
              <w:rPr>
                <w:lang w:val="es-ES"/>
              </w:rPr>
              <w:t>200 (Rev.</w:t>
            </w:r>
            <w:r w:rsidR="00296F03" w:rsidRPr="00F05461">
              <w:rPr>
                <w:lang w:val="es-ES"/>
              </w:rPr>
              <w:t> </w:t>
            </w:r>
            <w:r w:rsidRPr="00F05461">
              <w:rPr>
                <w:lang w:val="es-ES"/>
              </w:rPr>
              <w:t xml:space="preserve">Bucarest, 2022)). Abarca los dos últimos años de la ejecución del </w:t>
            </w:r>
            <w:r w:rsidR="005672E4" w:rsidRPr="00F05461">
              <w:rPr>
                <w:lang w:val="es-ES"/>
              </w:rPr>
              <w:t xml:space="preserve">Plan Estratégico </w:t>
            </w:r>
            <w:r w:rsidRPr="00F05461">
              <w:rPr>
                <w:lang w:val="es-ES"/>
              </w:rPr>
              <w:t>para 2020-2023 y los dos primeros del actual Plan Estratégico (PE) para 2024</w:t>
            </w:r>
            <w:r w:rsidR="00643E0C" w:rsidRPr="00F05461">
              <w:rPr>
                <w:lang w:val="es-ES"/>
              </w:rPr>
              <w:noBreakHyphen/>
            </w:r>
            <w:r w:rsidRPr="00F05461">
              <w:rPr>
                <w:lang w:val="es-ES"/>
              </w:rPr>
              <w:t>2027. Su estructura se ajusta a la del Plan Estratégico 2024-2027.</w:t>
            </w:r>
          </w:p>
          <w:p w14:paraId="2BA186FF" w14:textId="623EB100" w:rsidR="00643E0C" w:rsidRPr="00F05461" w:rsidRDefault="00643E0C" w:rsidP="00D02F6E">
            <w:pPr>
              <w:spacing w:before="100"/>
              <w:rPr>
                <w:lang w:val="es-ES"/>
              </w:rPr>
            </w:pPr>
            <w:r w:rsidRPr="00F05461">
              <w:rPr>
                <w:lang w:val="es-ES"/>
              </w:rPr>
              <w:t>Combina el informe anual de actividades (conforme a lo dispuesto en el Artículo 102 del Convenio) y el informe sobre la aplicación del Plan Estratégico (conforme a lo dispuesto en el Artículo 61 del Convenio y en la Resolución 71 (Rev. Bucarest, 2022) de la Conferencia de Plenipotenciarios).</w:t>
            </w:r>
          </w:p>
          <w:p w14:paraId="44E9828C" w14:textId="46EA355F" w:rsidR="00643E0C" w:rsidRPr="00F05461" w:rsidRDefault="00643E0C" w:rsidP="00D02F6E">
            <w:pPr>
              <w:spacing w:before="100"/>
              <w:rPr>
                <w:lang w:val="es-ES"/>
              </w:rPr>
            </w:pPr>
            <w:r w:rsidRPr="00F05461">
              <w:rPr>
                <w:lang w:val="es-ES"/>
              </w:rPr>
              <w:t>El presente documento tiene por objeto presentar todas las actividades pertinentes de una manera orientada a los resultados, basada en datos empíricos y centrada en temas específicos, e incluye enlaces a cifras analíticas que muestran el progreso general hacia los objetivos estratégicos de la UIT.</w:t>
            </w:r>
          </w:p>
          <w:p w14:paraId="3B8BE9E3" w14:textId="77777777" w:rsidR="00FE57F6" w:rsidRPr="00F05461" w:rsidRDefault="00F24B71" w:rsidP="00D02F6E">
            <w:pPr>
              <w:spacing w:before="100"/>
              <w:rPr>
                <w:b/>
                <w:bCs/>
                <w:sz w:val="26"/>
                <w:szCs w:val="26"/>
                <w:lang w:val="es-ES"/>
              </w:rPr>
            </w:pPr>
            <w:r w:rsidRPr="00F05461">
              <w:rPr>
                <w:b/>
                <w:bCs/>
                <w:sz w:val="26"/>
                <w:szCs w:val="26"/>
                <w:lang w:val="es-ES"/>
              </w:rPr>
              <w:t xml:space="preserve">Acción solicitada </w:t>
            </w:r>
            <w:r w:rsidR="00677A97" w:rsidRPr="00F05461">
              <w:rPr>
                <w:b/>
                <w:bCs/>
                <w:sz w:val="26"/>
                <w:szCs w:val="26"/>
                <w:lang w:val="es-ES"/>
              </w:rPr>
              <w:t>al</w:t>
            </w:r>
            <w:r w:rsidRPr="00F05461">
              <w:rPr>
                <w:b/>
                <w:bCs/>
                <w:sz w:val="26"/>
                <w:szCs w:val="26"/>
                <w:lang w:val="es-ES"/>
              </w:rPr>
              <w:t xml:space="preserve"> Consejo</w:t>
            </w:r>
          </w:p>
          <w:p w14:paraId="019872E6" w14:textId="5E4FB7C8" w:rsidR="00F92BED" w:rsidRPr="00F05461" w:rsidRDefault="005D7B2C" w:rsidP="00D02F6E">
            <w:pPr>
              <w:spacing w:before="100"/>
              <w:rPr>
                <w:lang w:val="es-ES"/>
              </w:rPr>
            </w:pPr>
            <w:r w:rsidRPr="00F05461">
              <w:rPr>
                <w:lang w:val="es-ES"/>
              </w:rPr>
              <w:t xml:space="preserve">Se invita al Consejo a </w:t>
            </w:r>
            <w:r w:rsidRPr="00F05461">
              <w:rPr>
                <w:b/>
                <w:bCs/>
                <w:lang w:val="es-ES"/>
              </w:rPr>
              <w:t>aprobar</w:t>
            </w:r>
            <w:r w:rsidRPr="00F05461">
              <w:rPr>
                <w:lang w:val="es-ES"/>
              </w:rPr>
              <w:t xml:space="preserve"> el presente informe y </w:t>
            </w:r>
            <w:r w:rsidRPr="00F05461">
              <w:rPr>
                <w:b/>
                <w:bCs/>
                <w:lang w:val="es-ES"/>
              </w:rPr>
              <w:t xml:space="preserve">transmitirlo </w:t>
            </w:r>
            <w:r w:rsidRPr="00F05461">
              <w:rPr>
                <w:lang w:val="es-ES"/>
              </w:rPr>
              <w:t>a la</w:t>
            </w:r>
            <w:r w:rsidR="00296F03" w:rsidRPr="00F05461">
              <w:rPr>
                <w:lang w:val="es-ES"/>
              </w:rPr>
              <w:t> </w:t>
            </w:r>
            <w:r w:rsidRPr="00F05461">
              <w:rPr>
                <w:lang w:val="es-ES"/>
              </w:rPr>
              <w:t>PP-26.</w:t>
            </w:r>
          </w:p>
          <w:p w14:paraId="507C9554" w14:textId="77777777" w:rsidR="00F92BED" w:rsidRPr="00F05461" w:rsidRDefault="00F92BED" w:rsidP="00D02F6E">
            <w:pPr>
              <w:rPr>
                <w:b/>
                <w:bCs/>
                <w:sz w:val="26"/>
                <w:szCs w:val="26"/>
                <w:lang w:val="es-ES"/>
              </w:rPr>
            </w:pPr>
            <w:r w:rsidRPr="00F05461">
              <w:rPr>
                <w:b/>
                <w:bCs/>
                <w:sz w:val="26"/>
                <w:szCs w:val="26"/>
                <w:lang w:val="es-ES"/>
              </w:rPr>
              <w:t>Vínculo(s) pertinente(s) con el Plan Estratégico</w:t>
            </w:r>
          </w:p>
          <w:p w14:paraId="5679A510" w14:textId="767C177B" w:rsidR="00F92BED" w:rsidRPr="00F05461" w:rsidRDefault="005D7B2C" w:rsidP="00D02F6E">
            <w:pPr>
              <w:spacing w:before="100"/>
              <w:rPr>
                <w:lang w:val="es-ES"/>
              </w:rPr>
            </w:pPr>
            <w:r w:rsidRPr="00F05461">
              <w:rPr>
                <w:lang w:val="es-ES"/>
              </w:rPr>
              <w:t>De conformidad con la Resolución 71 (Rev.</w:t>
            </w:r>
            <w:r w:rsidR="00643E0C" w:rsidRPr="00F05461">
              <w:rPr>
                <w:lang w:val="es-ES"/>
              </w:rPr>
              <w:t> </w:t>
            </w:r>
            <w:r w:rsidRPr="00F05461">
              <w:rPr>
                <w:lang w:val="es-ES"/>
              </w:rPr>
              <w:t xml:space="preserve">Bucarest, 2022) de la Conferencia de Plenipotenciarios, se presenta al Consejo de </w:t>
            </w:r>
            <w:r w:rsidR="00296F03" w:rsidRPr="00F05461">
              <w:rPr>
                <w:lang w:val="es-ES"/>
              </w:rPr>
              <w:t>la UIT</w:t>
            </w:r>
            <w:r w:rsidRPr="00F05461">
              <w:rPr>
                <w:lang w:val="es-ES"/>
              </w:rPr>
              <w:t xml:space="preserve"> el presente informe anual sobre la aplicación del Plan Estratégico y las actividades de la Unión (respondiendo tanto a las exigencias del número 102 del Convenio, es decir, un informe anual de actividades, como a las del número 61 del Convenio, a saber, un informe sobre la aplicación del Plan Estratégico).</w:t>
            </w:r>
          </w:p>
          <w:p w14:paraId="5D98D8FA" w14:textId="77777777" w:rsidR="00FE57F6" w:rsidRPr="00F05461" w:rsidRDefault="00FE57F6" w:rsidP="00D02F6E">
            <w:pPr>
              <w:spacing w:before="60"/>
              <w:rPr>
                <w:caps/>
                <w:lang w:val="es-ES"/>
              </w:rPr>
            </w:pPr>
            <w:r w:rsidRPr="00F05461">
              <w:rPr>
                <w:lang w:val="es-ES"/>
              </w:rPr>
              <w:t>__________________</w:t>
            </w:r>
          </w:p>
          <w:p w14:paraId="4BC8C810" w14:textId="6E5F7694" w:rsidR="00FE57F6" w:rsidRPr="00F05461" w:rsidRDefault="00F24B71" w:rsidP="00D02F6E">
            <w:pPr>
              <w:rPr>
                <w:b/>
                <w:bCs/>
                <w:sz w:val="26"/>
                <w:szCs w:val="26"/>
                <w:lang w:val="es-ES"/>
              </w:rPr>
            </w:pPr>
            <w:r w:rsidRPr="00F05461">
              <w:rPr>
                <w:b/>
                <w:bCs/>
                <w:sz w:val="26"/>
                <w:szCs w:val="26"/>
                <w:lang w:val="es-ES"/>
              </w:rPr>
              <w:t>Referencia</w:t>
            </w:r>
            <w:r w:rsidR="00F92BED" w:rsidRPr="00F05461">
              <w:rPr>
                <w:b/>
                <w:bCs/>
                <w:sz w:val="26"/>
                <w:szCs w:val="26"/>
                <w:lang w:val="es-ES"/>
              </w:rPr>
              <w:t>s</w:t>
            </w:r>
          </w:p>
          <w:p w14:paraId="70AFD990" w14:textId="26741BF6" w:rsidR="00FE57F6" w:rsidRPr="00F05461" w:rsidRDefault="005D7B2C" w:rsidP="00D02F6E">
            <w:pPr>
              <w:spacing w:before="100"/>
              <w:rPr>
                <w:i/>
                <w:iCs/>
                <w:lang w:val="es-ES"/>
              </w:rPr>
            </w:pPr>
            <w:r w:rsidRPr="00F05461">
              <w:rPr>
                <w:i/>
                <w:iCs/>
                <w:lang w:val="es-ES"/>
              </w:rPr>
              <w:t>Resoluciones </w:t>
            </w:r>
            <w:hyperlink r:id="rId9" w:history="1">
              <w:r w:rsidRPr="00F05461">
                <w:rPr>
                  <w:rStyle w:val="Hyperlink"/>
                  <w:rFonts w:eastAsia="Times New Roman" w:cs="Times New Roman"/>
                  <w:i/>
                  <w:iCs/>
                  <w:szCs w:val="20"/>
                  <w:lang w:val="es-ES"/>
                </w:rPr>
                <w:t>71 (Rev.</w:t>
              </w:r>
              <w:r w:rsidR="00296F03" w:rsidRPr="00F05461">
                <w:rPr>
                  <w:rStyle w:val="Hyperlink"/>
                  <w:rFonts w:eastAsia="Times New Roman" w:cs="Times New Roman"/>
                  <w:i/>
                  <w:iCs/>
                  <w:szCs w:val="20"/>
                  <w:lang w:val="es-ES"/>
                </w:rPr>
                <w:t> </w:t>
              </w:r>
              <w:r w:rsidRPr="00F05461">
                <w:rPr>
                  <w:rStyle w:val="Hyperlink"/>
                  <w:rFonts w:eastAsia="Times New Roman" w:cs="Times New Roman"/>
                  <w:i/>
                  <w:iCs/>
                  <w:szCs w:val="20"/>
                  <w:lang w:val="es-ES"/>
                </w:rPr>
                <w:t>Bucarest, 2022)</w:t>
              </w:r>
            </w:hyperlink>
            <w:r w:rsidRPr="00F05461">
              <w:rPr>
                <w:i/>
                <w:iCs/>
                <w:lang w:val="es-ES"/>
              </w:rPr>
              <w:t xml:space="preserve"> y </w:t>
            </w:r>
            <w:hyperlink r:id="rId10" w:history="1">
              <w:r w:rsidRPr="00F05461">
                <w:rPr>
                  <w:rStyle w:val="Hyperlink"/>
                  <w:rFonts w:eastAsia="Times New Roman" w:cs="Times New Roman"/>
                  <w:i/>
                  <w:iCs/>
                  <w:szCs w:val="20"/>
                  <w:lang w:val="es-ES"/>
                </w:rPr>
                <w:t>200 (Rev.</w:t>
              </w:r>
              <w:r w:rsidR="00296F03" w:rsidRPr="00F05461">
                <w:rPr>
                  <w:rStyle w:val="Hyperlink"/>
                  <w:rFonts w:eastAsia="Times New Roman" w:cs="Times New Roman"/>
                  <w:i/>
                  <w:iCs/>
                  <w:szCs w:val="20"/>
                  <w:lang w:val="es-ES"/>
                </w:rPr>
                <w:t> </w:t>
              </w:r>
              <w:r w:rsidRPr="00F05461">
                <w:rPr>
                  <w:rStyle w:val="Hyperlink"/>
                  <w:rFonts w:eastAsia="Times New Roman" w:cs="Times New Roman"/>
                  <w:i/>
                  <w:iCs/>
                  <w:szCs w:val="20"/>
                  <w:lang w:val="es-ES"/>
                </w:rPr>
                <w:t>Bucarest, 2022)</w:t>
              </w:r>
            </w:hyperlink>
            <w:r w:rsidRPr="00F05461">
              <w:rPr>
                <w:i/>
                <w:iCs/>
                <w:lang w:val="es-ES"/>
              </w:rPr>
              <w:t xml:space="preserve"> de la Conferencia de Plenipotenciarios; y </w:t>
            </w:r>
            <w:hyperlink r:id="rId11" w:history="1">
              <w:r w:rsidRPr="00F05461">
                <w:rPr>
                  <w:rStyle w:val="Hyperlink"/>
                  <w:rFonts w:eastAsia="Times New Roman" w:cs="Times New Roman"/>
                  <w:i/>
                  <w:iCs/>
                  <w:szCs w:val="20"/>
                  <w:lang w:val="es-ES"/>
                </w:rPr>
                <w:t>números</w:t>
              </w:r>
              <w:r w:rsidR="001302A7" w:rsidRPr="00F05461">
                <w:rPr>
                  <w:rStyle w:val="Hyperlink"/>
                  <w:rFonts w:eastAsia="Times New Roman" w:cs="Times New Roman"/>
                  <w:i/>
                  <w:iCs/>
                  <w:szCs w:val="20"/>
                  <w:lang w:val="es-ES"/>
                </w:rPr>
                <w:t> </w:t>
              </w:r>
              <w:r w:rsidRPr="00F05461">
                <w:rPr>
                  <w:rStyle w:val="Hyperlink"/>
                  <w:rFonts w:cs="Times New Roman"/>
                  <w:i/>
                  <w:iCs/>
                  <w:szCs w:val="20"/>
                  <w:lang w:val="es-ES"/>
                </w:rPr>
                <w:t xml:space="preserve">102 </w:t>
              </w:r>
              <w:r w:rsidRPr="00F05461">
                <w:rPr>
                  <w:rStyle w:val="Hyperlink"/>
                  <w:rFonts w:eastAsia="Times New Roman" w:cs="Times New Roman"/>
                  <w:i/>
                  <w:iCs/>
                  <w:szCs w:val="20"/>
                  <w:lang w:val="es-ES"/>
                </w:rPr>
                <w:t xml:space="preserve">y </w:t>
              </w:r>
              <w:r w:rsidRPr="00F05461">
                <w:rPr>
                  <w:rStyle w:val="Hyperlink"/>
                  <w:rFonts w:cs="Times New Roman"/>
                  <w:i/>
                  <w:iCs/>
                  <w:szCs w:val="20"/>
                  <w:lang w:val="es-ES"/>
                </w:rPr>
                <w:t>61</w:t>
              </w:r>
            </w:hyperlink>
            <w:r w:rsidRPr="00F05461">
              <w:rPr>
                <w:i/>
                <w:iCs/>
                <w:lang w:val="es-ES"/>
              </w:rPr>
              <w:t xml:space="preserve"> del Convenio</w:t>
            </w:r>
          </w:p>
        </w:tc>
      </w:tr>
    </w:tbl>
    <w:bookmarkEnd w:id="0"/>
    <w:p w14:paraId="6C2041EE" w14:textId="77777777" w:rsidR="005D7B2C" w:rsidRPr="00F05461" w:rsidRDefault="005D7B2C" w:rsidP="00312480">
      <w:pPr>
        <w:pStyle w:val="Headingb"/>
      </w:pPr>
      <w:r w:rsidRPr="00F05461">
        <w:lastRenderedPageBreak/>
        <w:t>Prefacio</w:t>
      </w:r>
    </w:p>
    <w:p w14:paraId="2C8E36CE" w14:textId="77777777" w:rsidR="005D7B2C" w:rsidRPr="00F05461" w:rsidRDefault="005D7B2C" w:rsidP="005D7B2C">
      <w:pPr>
        <w:rPr>
          <w:lang w:val="es-ES"/>
        </w:rPr>
      </w:pPr>
      <w:r w:rsidRPr="00F05461">
        <w:rPr>
          <w:lang w:val="es-ES"/>
        </w:rPr>
        <w:t>En cada rincón del mundo, la transformación digital está cambiando las vidas, los medios de subsistencia y las sociedades en su conjunto. La Unión Internacional de Telecomunicaciones (UIT) se sitúa a la vanguardia de esta evolución global, y actúa en todas las regiones y sectores para ampliar las oportunidades y reforzar la resiliencia.</w:t>
      </w:r>
    </w:p>
    <w:p w14:paraId="66D953AD" w14:textId="3CDD46B5" w:rsidR="005D7B2C" w:rsidRPr="00F05461" w:rsidRDefault="005D7B2C" w:rsidP="005D7B2C">
      <w:pPr>
        <w:rPr>
          <w:lang w:val="es-ES"/>
        </w:rPr>
      </w:pPr>
      <w:r w:rsidRPr="00F05461">
        <w:rPr>
          <w:lang w:val="es-ES"/>
        </w:rPr>
        <w:t>El periodo comprendido entre octubre de</w:t>
      </w:r>
      <w:r w:rsidR="00296F03" w:rsidRPr="00F05461">
        <w:rPr>
          <w:lang w:val="es-ES"/>
        </w:rPr>
        <w:t> </w:t>
      </w:r>
      <w:r w:rsidRPr="00F05461">
        <w:rPr>
          <w:lang w:val="es-ES"/>
        </w:rPr>
        <w:t xml:space="preserve">2022 y </w:t>
      </w:r>
      <w:r w:rsidR="00D17382">
        <w:rPr>
          <w:lang w:val="es-ES"/>
        </w:rPr>
        <w:t>marzo</w:t>
      </w:r>
      <w:r w:rsidR="00D17382" w:rsidRPr="00F05461">
        <w:rPr>
          <w:lang w:val="es-ES"/>
        </w:rPr>
        <w:t xml:space="preserve"> </w:t>
      </w:r>
      <w:r w:rsidRPr="00F05461">
        <w:rPr>
          <w:lang w:val="es-ES"/>
        </w:rPr>
        <w:t>de</w:t>
      </w:r>
      <w:r w:rsidR="00296F03" w:rsidRPr="00F05461">
        <w:rPr>
          <w:lang w:val="es-ES"/>
        </w:rPr>
        <w:t> </w:t>
      </w:r>
      <w:r w:rsidRPr="00F05461">
        <w:rPr>
          <w:lang w:val="es-ES"/>
        </w:rPr>
        <w:t>202</w:t>
      </w:r>
      <w:r w:rsidR="00D17382">
        <w:rPr>
          <w:lang w:val="es-ES"/>
        </w:rPr>
        <w:t>6</w:t>
      </w:r>
      <w:r w:rsidRPr="00F05461">
        <w:rPr>
          <w:lang w:val="es-ES"/>
        </w:rPr>
        <w:t xml:space="preserve"> está marcado por profundos cambios a escala mundial, así como por nuestra determinación común de promover una conectividad significativa para todas las personas del mundo.</w:t>
      </w:r>
    </w:p>
    <w:p w14:paraId="3A6C01B1" w14:textId="4F10936B" w:rsidR="005D7B2C" w:rsidRPr="00F05461" w:rsidRDefault="005D7B2C" w:rsidP="005D7B2C">
      <w:pPr>
        <w:rPr>
          <w:lang w:val="es-ES"/>
        </w:rPr>
      </w:pPr>
      <w:r w:rsidRPr="00F05461">
        <w:rPr>
          <w:lang w:val="es-ES"/>
        </w:rPr>
        <w:t>Cada logro encierra una historia humana: un niño que accede al aprendizaje en línea por primera vez; comunidades devastadas que vuelven a conectarse tras sufrir huracanes y ciclones; mujeres jóvenes que ponen en marcha negocios en línea.</w:t>
      </w:r>
    </w:p>
    <w:p w14:paraId="5C89C814" w14:textId="46F2F53D" w:rsidR="005D7B2C" w:rsidRPr="00F05461" w:rsidRDefault="005D7B2C" w:rsidP="005D7B2C">
      <w:pPr>
        <w:rPr>
          <w:lang w:val="es-ES"/>
        </w:rPr>
      </w:pPr>
      <w:r w:rsidRPr="00F05461">
        <w:rPr>
          <w:lang w:val="es-ES"/>
        </w:rPr>
        <w:t>A finales de 2025, el uso de Internet a nivel mundial alcanzó el 74 por ciento —6 </w:t>
      </w:r>
      <w:r w:rsidR="00643E0C" w:rsidRPr="00F05461">
        <w:rPr>
          <w:lang w:val="es-ES"/>
        </w:rPr>
        <w:t>0</w:t>
      </w:r>
      <w:r w:rsidRPr="00F05461">
        <w:rPr>
          <w:lang w:val="es-ES"/>
        </w:rPr>
        <w:t>00</w:t>
      </w:r>
      <w:r w:rsidR="00643E0C" w:rsidRPr="00F05461">
        <w:rPr>
          <w:lang w:val="es-ES"/>
        </w:rPr>
        <w:t xml:space="preserve"> </w:t>
      </w:r>
      <w:r w:rsidRPr="00F05461">
        <w:rPr>
          <w:lang w:val="es-ES"/>
        </w:rPr>
        <w:t>millones de personas—, reduciéndose la población sin conexión a 2 200 millones. Sin embargo, seguían existiendo disparidades: un 93 por ciento de conexión en los países de rentas altas mientras que en los de re</w:t>
      </w:r>
      <w:r w:rsidR="00643E0C" w:rsidRPr="00F05461">
        <w:rPr>
          <w:lang w:val="es-ES"/>
        </w:rPr>
        <w:t>n</w:t>
      </w:r>
      <w:r w:rsidRPr="00F05461">
        <w:rPr>
          <w:lang w:val="es-ES"/>
        </w:rPr>
        <w:t>ta baja esta cifra es de un 23</w:t>
      </w:r>
      <w:r w:rsidR="00643E0C" w:rsidRPr="00F05461">
        <w:rPr>
          <w:lang w:val="es-ES"/>
        </w:rPr>
        <w:t> </w:t>
      </w:r>
      <w:r w:rsidRPr="00F05461">
        <w:rPr>
          <w:lang w:val="es-ES"/>
        </w:rPr>
        <w:t>por ciento, donde la probabilidad de que una mujer posea un teléfono móvil es un 10</w:t>
      </w:r>
      <w:r w:rsidR="00643E0C" w:rsidRPr="00F05461">
        <w:rPr>
          <w:lang w:val="es-ES"/>
        </w:rPr>
        <w:t> </w:t>
      </w:r>
      <w:r w:rsidRPr="00F05461">
        <w:rPr>
          <w:lang w:val="es-ES"/>
        </w:rPr>
        <w:t>por ciento menor. Por otra parte, el número de países con políticas de accesibilidad de las</w:t>
      </w:r>
      <w:r w:rsidR="005A4259" w:rsidRPr="00F05461">
        <w:rPr>
          <w:lang w:val="es-ES"/>
        </w:rPr>
        <w:t xml:space="preserve"> tecnologías de la información y la comunicación (</w:t>
      </w:r>
      <w:r w:rsidRPr="00F05461">
        <w:rPr>
          <w:lang w:val="es-ES"/>
        </w:rPr>
        <w:t>TIC</w:t>
      </w:r>
      <w:r w:rsidR="005A4259" w:rsidRPr="00F05461">
        <w:rPr>
          <w:lang w:val="es-ES"/>
        </w:rPr>
        <w:t>)</w:t>
      </w:r>
      <w:r w:rsidRPr="00F05461">
        <w:rPr>
          <w:lang w:val="es-ES"/>
        </w:rPr>
        <w:t xml:space="preserve"> aument</w:t>
      </w:r>
      <w:r w:rsidR="00643E0C" w:rsidRPr="00F05461">
        <w:rPr>
          <w:lang w:val="es-ES"/>
        </w:rPr>
        <w:t>ó</w:t>
      </w:r>
      <w:r w:rsidRPr="00F05461">
        <w:rPr>
          <w:lang w:val="es-ES"/>
        </w:rPr>
        <w:t xml:space="preserve"> de 117 (a finales de</w:t>
      </w:r>
      <w:r w:rsidR="00296F03" w:rsidRPr="00F05461">
        <w:rPr>
          <w:lang w:val="es-ES"/>
        </w:rPr>
        <w:t> </w:t>
      </w:r>
      <w:r w:rsidRPr="00F05461">
        <w:rPr>
          <w:lang w:val="es-ES"/>
        </w:rPr>
        <w:t>2022) a 127 (a finales de</w:t>
      </w:r>
      <w:r w:rsidR="00296F03" w:rsidRPr="00F05461">
        <w:rPr>
          <w:lang w:val="es-ES"/>
        </w:rPr>
        <w:t> </w:t>
      </w:r>
      <w:r w:rsidRPr="00F05461">
        <w:rPr>
          <w:lang w:val="es-ES"/>
        </w:rPr>
        <w:t>2024).</w:t>
      </w:r>
    </w:p>
    <w:p w14:paraId="2CCD8CDF" w14:textId="2AE7CFBF" w:rsidR="005D7B2C" w:rsidRPr="00F05461" w:rsidRDefault="005D7B2C" w:rsidP="005D7B2C">
      <w:pPr>
        <w:rPr>
          <w:lang w:val="es-ES"/>
        </w:rPr>
      </w:pPr>
      <w:r w:rsidRPr="00F05461">
        <w:rPr>
          <w:lang w:val="es-ES"/>
        </w:rPr>
        <w:t>La conectividad es fundamental para la seguridad, la dignidad y el potencial de las personas.</w:t>
      </w:r>
    </w:p>
    <w:p w14:paraId="64A2062D" w14:textId="030FDF25" w:rsidR="005D7B2C" w:rsidRPr="00F05461" w:rsidRDefault="00296F03" w:rsidP="005D7B2C">
      <w:pPr>
        <w:rPr>
          <w:lang w:val="es-ES"/>
        </w:rPr>
      </w:pPr>
      <w:r w:rsidRPr="00F05461">
        <w:rPr>
          <w:lang w:val="es-ES"/>
        </w:rPr>
        <w:t>La UIT</w:t>
      </w:r>
      <w:r w:rsidR="005D7B2C" w:rsidRPr="00F05461">
        <w:rPr>
          <w:lang w:val="es-ES"/>
        </w:rPr>
        <w:t xml:space="preserve"> ha logrado acuerdos mundiales cruciales para salvaguardar el espectro y las órbitas de satélites comunes a todo el mundo. Nuestro emblemático </w:t>
      </w:r>
      <w:r w:rsidR="005D7B2C" w:rsidRPr="00F05461">
        <w:rPr>
          <w:b/>
          <w:bCs/>
          <w:lang w:val="es-ES"/>
        </w:rPr>
        <w:t>marco de las IMT-2030 para las telecomunicaciones 6G</w:t>
      </w:r>
      <w:r w:rsidR="005D7B2C" w:rsidRPr="00F05461">
        <w:rPr>
          <w:lang w:val="es-ES"/>
        </w:rPr>
        <w:t xml:space="preserve"> sienta las bases normativas y técnicas para una conectividad avanzada en el próximo decenio.</w:t>
      </w:r>
    </w:p>
    <w:p w14:paraId="36D3CAE8" w14:textId="25C769ED" w:rsidR="005D7B2C" w:rsidRPr="00F05461" w:rsidRDefault="005D7B2C" w:rsidP="005D7B2C">
      <w:pPr>
        <w:rPr>
          <w:lang w:val="es-ES"/>
        </w:rPr>
      </w:pPr>
      <w:r w:rsidRPr="00F05461">
        <w:rPr>
          <w:lang w:val="es-ES"/>
        </w:rPr>
        <w:t xml:space="preserve">A la vanguardia de los adelantos tecnológicos, </w:t>
      </w:r>
      <w:r w:rsidR="00296F03" w:rsidRPr="00F05461">
        <w:rPr>
          <w:lang w:val="es-ES"/>
        </w:rPr>
        <w:t>la UIT</w:t>
      </w:r>
      <w:r w:rsidRPr="00F05461">
        <w:rPr>
          <w:lang w:val="es-ES"/>
        </w:rPr>
        <w:t xml:space="preserve"> ha establecido normas esenciales para las tecnologías cuánticas, allanando así el camino hacia soluciones interoperables y centradas en las personas.</w:t>
      </w:r>
    </w:p>
    <w:p w14:paraId="761C08F5" w14:textId="011C56FE" w:rsidR="005D7B2C" w:rsidRPr="00F05461" w:rsidRDefault="005D7B2C" w:rsidP="005D7B2C">
      <w:pPr>
        <w:rPr>
          <w:lang w:val="es-ES"/>
        </w:rPr>
      </w:pPr>
      <w:r w:rsidRPr="00F05461">
        <w:rPr>
          <w:lang w:val="es-ES"/>
        </w:rPr>
        <w:t xml:space="preserve">Nuestra Academia de </w:t>
      </w:r>
      <w:r w:rsidR="00296F03" w:rsidRPr="00F05461">
        <w:rPr>
          <w:lang w:val="es-ES"/>
        </w:rPr>
        <w:t>la UIT</w:t>
      </w:r>
      <w:r w:rsidRPr="00F05461">
        <w:rPr>
          <w:lang w:val="es-ES"/>
        </w:rPr>
        <w:t xml:space="preserve"> ha crecido hasta alcanzar los 83</w:t>
      </w:r>
      <w:r w:rsidR="00296F03" w:rsidRPr="00F05461">
        <w:rPr>
          <w:lang w:val="es-ES"/>
        </w:rPr>
        <w:t> </w:t>
      </w:r>
      <w:r w:rsidRPr="00F05461">
        <w:rPr>
          <w:lang w:val="es-ES"/>
        </w:rPr>
        <w:t>000</w:t>
      </w:r>
      <w:r w:rsidR="00296F03" w:rsidRPr="00F05461">
        <w:rPr>
          <w:lang w:val="es-ES"/>
        </w:rPr>
        <w:t> </w:t>
      </w:r>
      <w:r w:rsidRPr="00F05461">
        <w:rPr>
          <w:lang w:val="es-ES"/>
        </w:rPr>
        <w:t>alumnos en 2025, de los cuales el 40</w:t>
      </w:r>
      <w:r w:rsidR="00674D31" w:rsidRPr="00F05461">
        <w:rPr>
          <w:lang w:val="es-ES"/>
        </w:rPr>
        <w:t> </w:t>
      </w:r>
      <w:r w:rsidRPr="00F05461">
        <w:rPr>
          <w:lang w:val="es-ES"/>
        </w:rPr>
        <w:t xml:space="preserve">por ciento eran mujeres. Entre 2022 y 2025 se han beneficiado de nuestra </w:t>
      </w:r>
      <w:r w:rsidR="009C652F" w:rsidRPr="00F05461">
        <w:rPr>
          <w:lang w:val="es-ES"/>
        </w:rPr>
        <w:t>i</w:t>
      </w:r>
      <w:r w:rsidRPr="00F05461">
        <w:rPr>
          <w:lang w:val="es-ES"/>
        </w:rPr>
        <w:t xml:space="preserve">niciativa de Centros de Transformación </w:t>
      </w:r>
      <w:r w:rsidR="009C652F" w:rsidRPr="00F05461">
        <w:rPr>
          <w:lang w:val="es-ES"/>
        </w:rPr>
        <w:t xml:space="preserve">Digital </w:t>
      </w:r>
      <w:r w:rsidRPr="00F05461">
        <w:rPr>
          <w:lang w:val="es-ES"/>
        </w:rPr>
        <w:t>más de 610</w:t>
      </w:r>
      <w:r w:rsidR="00296F03" w:rsidRPr="00F05461">
        <w:rPr>
          <w:lang w:val="es-ES"/>
        </w:rPr>
        <w:t> </w:t>
      </w:r>
      <w:r w:rsidRPr="00F05461">
        <w:rPr>
          <w:lang w:val="es-ES"/>
        </w:rPr>
        <w:t>000</w:t>
      </w:r>
      <w:r w:rsidR="00296F03" w:rsidRPr="00F05461">
        <w:rPr>
          <w:lang w:val="es-ES"/>
        </w:rPr>
        <w:t> </w:t>
      </w:r>
      <w:r w:rsidRPr="00F05461">
        <w:rPr>
          <w:lang w:val="es-ES"/>
        </w:rPr>
        <w:t>personas, de las cuales más de la mitad fueron mujeres.</w:t>
      </w:r>
    </w:p>
    <w:p w14:paraId="2C90A7AD" w14:textId="77777777" w:rsidR="005D7B2C" w:rsidRPr="00F05461" w:rsidRDefault="005D7B2C" w:rsidP="005D7B2C">
      <w:pPr>
        <w:rPr>
          <w:lang w:val="es-ES"/>
        </w:rPr>
      </w:pPr>
      <w:r w:rsidRPr="00F05461">
        <w:rPr>
          <w:lang w:val="es-ES"/>
        </w:rPr>
        <w:t>Asimismo, hemos prestado asistencia a los países en materia de reglamentación de los residuos electrónicos y hemos movilizado a las empresas digitales para que adopten prácticas digitales más ecológicas, incluyendo la presentación de informes transparentes sobre emisiones y normas sostenibles.</w:t>
      </w:r>
    </w:p>
    <w:p w14:paraId="447D5750" w14:textId="3C71DD58" w:rsidR="005D7B2C" w:rsidRPr="00F05461" w:rsidRDefault="005D7B2C" w:rsidP="005D7B2C">
      <w:pPr>
        <w:rPr>
          <w:lang w:val="es-ES"/>
        </w:rPr>
      </w:pPr>
      <w:r w:rsidRPr="00F05461">
        <w:rPr>
          <w:lang w:val="es-ES"/>
        </w:rPr>
        <w:t>En nuestra Conferencia de Plenipotenciarios (PP-22), celebrada en Bucarest, reforzamos nuestro compromiso con la gobernanza de la inteligencia artificial</w:t>
      </w:r>
      <w:r w:rsidR="00674D31" w:rsidRPr="00F05461">
        <w:rPr>
          <w:lang w:val="es-ES"/>
        </w:rPr>
        <w:t xml:space="preserve"> (IA)</w:t>
      </w:r>
      <w:r w:rsidRPr="00F05461">
        <w:rPr>
          <w:lang w:val="es-ES"/>
        </w:rPr>
        <w:t xml:space="preserve"> y la sostenibilidad espacial. La Conferencia Mundial de Radiocomunicaciones (CMR-23), celebrada en Dubái, sentó las bases del espectro para la era de los satélites y la</w:t>
      </w:r>
      <w:r w:rsidR="005B7661" w:rsidRPr="00F05461">
        <w:rPr>
          <w:lang w:val="es-ES"/>
        </w:rPr>
        <w:t> </w:t>
      </w:r>
      <w:r w:rsidRPr="00F05461">
        <w:rPr>
          <w:lang w:val="es-ES"/>
        </w:rPr>
        <w:t>6G. La Asamblea Mundial de Normalización de las Telecomunicaciones (AMNT-24) promovió las normas técnicas para garantizar que la normalización beneficie a todos. Más recientemente, la Conferencia Mundial de Desarrollo de las Telecomunicaciones (CMDT-25), celebrada en Bakú, trasladó estos marcos globales a planes de acción regionales para que las personas y las comunidades de todo el mundo puedan beneficiarse de la tecnología digital.</w:t>
      </w:r>
    </w:p>
    <w:p w14:paraId="178B6C23" w14:textId="26628ACE" w:rsidR="005D7B2C" w:rsidRPr="00F05461" w:rsidRDefault="005D7B2C" w:rsidP="005D7B2C">
      <w:pPr>
        <w:rPr>
          <w:lang w:val="es-ES"/>
        </w:rPr>
      </w:pPr>
      <w:r w:rsidRPr="00F05461">
        <w:rPr>
          <w:lang w:val="es-ES"/>
        </w:rPr>
        <w:lastRenderedPageBreak/>
        <w:t xml:space="preserve">Estos éxitos se vieron culminados por el respaldo de la </w:t>
      </w:r>
      <w:bookmarkStart w:id="1" w:name="_Hlk227081009"/>
      <w:r w:rsidRPr="00F05461">
        <w:rPr>
          <w:lang w:val="es-ES"/>
        </w:rPr>
        <w:t>Asamblea General de las Naciones Unidas</w:t>
      </w:r>
      <w:bookmarkEnd w:id="1"/>
      <w:r w:rsidR="00674D31" w:rsidRPr="00F05461">
        <w:rPr>
          <w:lang w:val="es-ES"/>
        </w:rPr>
        <w:t xml:space="preserve"> (AGNU)</w:t>
      </w:r>
      <w:r w:rsidRPr="00F05461">
        <w:rPr>
          <w:lang w:val="es-ES"/>
        </w:rPr>
        <w:t xml:space="preserve"> a los resultados del examen a los 20</w:t>
      </w:r>
      <w:r w:rsidR="00296F03" w:rsidRPr="00F05461">
        <w:rPr>
          <w:lang w:val="es-ES"/>
        </w:rPr>
        <w:t> </w:t>
      </w:r>
      <w:r w:rsidRPr="00F05461">
        <w:rPr>
          <w:lang w:val="es-ES"/>
        </w:rPr>
        <w:t xml:space="preserve">años de la Cumbre Mundial sobre la Sociedad de la Información (CMSI) para que sirva de plataforma para construir un futuro digital para todos. La resolución de las Naciones Unidas, además, afirma que los datos de </w:t>
      </w:r>
      <w:r w:rsidR="00296F03" w:rsidRPr="00F05461">
        <w:rPr>
          <w:lang w:val="es-ES"/>
        </w:rPr>
        <w:t>la UIT</w:t>
      </w:r>
      <w:r w:rsidRPr="00F05461">
        <w:rPr>
          <w:lang w:val="es-ES"/>
        </w:rPr>
        <w:t xml:space="preserve"> son el patrón oro para hacer un seguimiento del progreso digital mundial.</w:t>
      </w:r>
    </w:p>
    <w:p w14:paraId="5AC0268C" w14:textId="77777777" w:rsidR="005D7B2C" w:rsidRPr="00F05461" w:rsidRDefault="005D7B2C" w:rsidP="005D7B2C">
      <w:pPr>
        <w:rPr>
          <w:lang w:val="es-ES"/>
        </w:rPr>
      </w:pPr>
      <w:r w:rsidRPr="00F05461">
        <w:rPr>
          <w:lang w:val="es-ES"/>
        </w:rPr>
        <w:t>Paralelamente, hemos creado comunidades más amplias y fomentado asociaciones innovadoras sobre cuestiones esenciales para el mundo actual.</w:t>
      </w:r>
    </w:p>
    <w:p w14:paraId="1893ACAB" w14:textId="40AAFE38" w:rsidR="005D7B2C" w:rsidRPr="00F05461" w:rsidRDefault="005D7B2C" w:rsidP="005D7B2C">
      <w:pPr>
        <w:rPr>
          <w:lang w:val="es-ES"/>
        </w:rPr>
      </w:pPr>
      <w:r w:rsidRPr="00F05461">
        <w:rPr>
          <w:lang w:val="es-ES"/>
        </w:rPr>
        <w:t>Nuestra Cumbre Mundial AI for Good, celebrada desde hace ocho años junto con nuestro Evento de Alto Nivel de la CMSI+20, contó con la asistencia de 11</w:t>
      </w:r>
      <w:r w:rsidR="00296F03" w:rsidRPr="00F05461">
        <w:rPr>
          <w:lang w:val="es-ES"/>
        </w:rPr>
        <w:t> </w:t>
      </w:r>
      <w:r w:rsidRPr="00F05461">
        <w:rPr>
          <w:lang w:val="es-ES"/>
        </w:rPr>
        <w:t>000</w:t>
      </w:r>
      <w:r w:rsidR="00296F03" w:rsidRPr="00F05461">
        <w:rPr>
          <w:lang w:val="es-ES"/>
        </w:rPr>
        <w:t> </w:t>
      </w:r>
      <w:r w:rsidRPr="00F05461">
        <w:rPr>
          <w:lang w:val="es-ES"/>
        </w:rPr>
        <w:t>participantes en Ginebra en 2025. La comunidad virtual de AI for Good, que durante la pandemia siguió manteniendo conversaciones sobre el futuro, alcanzó los 35</w:t>
      </w:r>
      <w:r w:rsidR="00296F03" w:rsidRPr="00F05461">
        <w:rPr>
          <w:lang w:val="es-ES"/>
        </w:rPr>
        <w:t> </w:t>
      </w:r>
      <w:r w:rsidRPr="00F05461">
        <w:rPr>
          <w:lang w:val="es-ES"/>
        </w:rPr>
        <w:t>000</w:t>
      </w:r>
      <w:r w:rsidR="00296F03" w:rsidRPr="00F05461">
        <w:rPr>
          <w:lang w:val="es-ES"/>
        </w:rPr>
        <w:t> </w:t>
      </w:r>
      <w:r w:rsidRPr="00F05461">
        <w:rPr>
          <w:lang w:val="es-ES"/>
        </w:rPr>
        <w:t>miembros y sigue creciendo, conectando a personas e ideas en todo el mundo.</w:t>
      </w:r>
    </w:p>
    <w:p w14:paraId="7453CD7F" w14:textId="15EC5838" w:rsidR="005D7B2C" w:rsidRPr="00F05461" w:rsidRDefault="00296F03" w:rsidP="005D7B2C">
      <w:pPr>
        <w:rPr>
          <w:lang w:val="es-ES"/>
        </w:rPr>
      </w:pPr>
      <w:r w:rsidRPr="00F05461">
        <w:rPr>
          <w:lang w:val="es-ES"/>
        </w:rPr>
        <w:t>La UIT</w:t>
      </w:r>
      <w:r w:rsidR="005D7B2C" w:rsidRPr="00F05461">
        <w:rPr>
          <w:lang w:val="es-ES"/>
        </w:rPr>
        <w:t xml:space="preserve"> ha sabido evolucionar con las tecnologías durante más de 160</w:t>
      </w:r>
      <w:r w:rsidRPr="00F05461">
        <w:rPr>
          <w:lang w:val="es-ES"/>
        </w:rPr>
        <w:t> </w:t>
      </w:r>
      <w:r w:rsidR="005D7B2C" w:rsidRPr="00F05461">
        <w:rPr>
          <w:lang w:val="es-ES"/>
        </w:rPr>
        <w:t>años hasta la fecha, desde el telégrafo hasta la</w:t>
      </w:r>
      <w:r w:rsidR="00674D31" w:rsidRPr="00F05461">
        <w:rPr>
          <w:lang w:val="es-ES"/>
        </w:rPr>
        <w:t> </w:t>
      </w:r>
      <w:r w:rsidR="009C61B5" w:rsidRPr="00F05461">
        <w:rPr>
          <w:lang w:val="es-ES"/>
        </w:rPr>
        <w:t>IA</w:t>
      </w:r>
      <w:r w:rsidR="005D7B2C" w:rsidRPr="00F05461">
        <w:rPr>
          <w:lang w:val="es-ES"/>
        </w:rPr>
        <w:t xml:space="preserve"> y la cuántica. Coincidiendo con la celebración </w:t>
      </w:r>
      <w:r w:rsidR="00674D31" w:rsidRPr="00F05461">
        <w:rPr>
          <w:lang w:val="es-ES"/>
        </w:rPr>
        <w:t xml:space="preserve">de </w:t>
      </w:r>
      <w:r w:rsidR="005D7B2C" w:rsidRPr="00F05461">
        <w:rPr>
          <w:lang w:val="es-ES"/>
        </w:rPr>
        <w:t>nuestro 160</w:t>
      </w:r>
      <w:r w:rsidRPr="00F05461">
        <w:rPr>
          <w:lang w:val="es-ES"/>
        </w:rPr>
        <w:t> </w:t>
      </w:r>
      <w:r w:rsidR="005D7B2C" w:rsidRPr="00F05461">
        <w:rPr>
          <w:lang w:val="es-ES"/>
        </w:rPr>
        <w:t>aniversario, conseguimos consolidar nuestro papel actual de organismo de las Naciones Unidas para las tecnologías digitales, posicionándonos para mediar en la coexistencia humano</w:t>
      </w:r>
      <w:r w:rsidR="005B7661" w:rsidRPr="00F05461">
        <w:rPr>
          <w:lang w:val="es-ES"/>
        </w:rPr>
        <w:noBreakHyphen/>
      </w:r>
      <w:r w:rsidR="005D7B2C" w:rsidRPr="00F05461">
        <w:rPr>
          <w:lang w:val="es-ES"/>
        </w:rPr>
        <w:t>digital a medida que entramos en la inminente era de los enlaces por satélite directos a los dispositivos, la</w:t>
      </w:r>
      <w:r w:rsidR="003E0321" w:rsidRPr="00F05461">
        <w:rPr>
          <w:lang w:val="es-ES"/>
        </w:rPr>
        <w:t> </w:t>
      </w:r>
      <w:r w:rsidR="005D7B2C" w:rsidRPr="00F05461">
        <w:rPr>
          <w:lang w:val="es-ES"/>
        </w:rPr>
        <w:t>6G, la experiencia de usuario que trasciende nuestra imaginación actual, y las comunicaciones extraterrestres, en especial las comunicaciones lunares.</w:t>
      </w:r>
    </w:p>
    <w:p w14:paraId="4DFF75E0" w14:textId="5C7976E4" w:rsidR="005D7B2C" w:rsidRPr="00F05461" w:rsidRDefault="005D7B2C" w:rsidP="005D7B2C">
      <w:pPr>
        <w:rPr>
          <w:lang w:val="es-ES"/>
        </w:rPr>
      </w:pPr>
      <w:r w:rsidRPr="00F05461">
        <w:rPr>
          <w:lang w:val="es-ES"/>
        </w:rPr>
        <w:t xml:space="preserve">La Coalición Digital Partner2Connect, una iniciativa liderada por </w:t>
      </w:r>
      <w:r w:rsidR="00296F03" w:rsidRPr="00F05461">
        <w:rPr>
          <w:lang w:val="es-ES"/>
        </w:rPr>
        <w:t>la UIT</w:t>
      </w:r>
      <w:r w:rsidRPr="00F05461">
        <w:rPr>
          <w:lang w:val="es-ES"/>
        </w:rPr>
        <w:t xml:space="preserve"> para conectar los lugares más </w:t>
      </w:r>
      <w:proofErr w:type="gramStart"/>
      <w:r w:rsidRPr="00F05461">
        <w:rPr>
          <w:lang w:val="es-ES"/>
        </w:rPr>
        <w:t>difíciles,</w:t>
      </w:r>
      <w:proofErr w:type="gramEnd"/>
      <w:r w:rsidRPr="00F05461">
        <w:rPr>
          <w:lang w:val="es-ES"/>
        </w:rPr>
        <w:t xml:space="preserve"> logró movilizar 1</w:t>
      </w:r>
      <w:r w:rsidR="00296F03" w:rsidRPr="00F05461">
        <w:rPr>
          <w:lang w:val="es-ES"/>
        </w:rPr>
        <w:t> </w:t>
      </w:r>
      <w:r w:rsidRPr="00F05461">
        <w:rPr>
          <w:lang w:val="es-ES"/>
        </w:rPr>
        <w:t>060</w:t>
      </w:r>
      <w:r w:rsidR="00296F03" w:rsidRPr="00F05461">
        <w:rPr>
          <w:lang w:val="es-ES"/>
        </w:rPr>
        <w:t> </w:t>
      </w:r>
      <w:r w:rsidRPr="00F05461">
        <w:rPr>
          <w:lang w:val="es-ES"/>
        </w:rPr>
        <w:t>compromisos por un valor de más de 80</w:t>
      </w:r>
      <w:r w:rsidR="00296F03" w:rsidRPr="00F05461">
        <w:rPr>
          <w:lang w:val="es-ES"/>
        </w:rPr>
        <w:t> </w:t>
      </w:r>
      <w:r w:rsidRPr="00F05461">
        <w:rPr>
          <w:lang w:val="es-ES"/>
        </w:rPr>
        <w:t>000</w:t>
      </w:r>
      <w:r w:rsidR="00296F03" w:rsidRPr="00F05461">
        <w:rPr>
          <w:lang w:val="es-ES"/>
        </w:rPr>
        <w:t> </w:t>
      </w:r>
      <w:r w:rsidRPr="00F05461">
        <w:rPr>
          <w:lang w:val="es-ES"/>
        </w:rPr>
        <w:t>millones</w:t>
      </w:r>
      <w:r w:rsidR="005B7661" w:rsidRPr="00F05461">
        <w:rPr>
          <w:lang w:val="es-ES"/>
        </w:rPr>
        <w:t> </w:t>
      </w:r>
      <w:r w:rsidRPr="00F05461">
        <w:rPr>
          <w:lang w:val="es-ES"/>
        </w:rPr>
        <w:t>USD en 149</w:t>
      </w:r>
      <w:r w:rsidR="00296F03" w:rsidRPr="00F05461">
        <w:rPr>
          <w:lang w:val="es-ES"/>
        </w:rPr>
        <w:t> </w:t>
      </w:r>
      <w:r w:rsidRPr="00F05461">
        <w:rPr>
          <w:lang w:val="es-ES"/>
        </w:rPr>
        <w:t xml:space="preserve">países. Y la iniciativa Giga de </w:t>
      </w:r>
      <w:r w:rsidR="00296F03" w:rsidRPr="00F05461">
        <w:rPr>
          <w:lang w:val="es-ES"/>
        </w:rPr>
        <w:t>la UIT</w:t>
      </w:r>
      <w:r w:rsidRPr="00F05461">
        <w:rPr>
          <w:lang w:val="es-ES"/>
        </w:rPr>
        <w:t>-UNICEF trazó el mapa de más de 2</w:t>
      </w:r>
      <w:r w:rsidR="00296F03" w:rsidRPr="00F05461">
        <w:rPr>
          <w:lang w:val="es-ES"/>
        </w:rPr>
        <w:t> </w:t>
      </w:r>
      <w:r w:rsidRPr="00F05461">
        <w:rPr>
          <w:lang w:val="es-ES"/>
        </w:rPr>
        <w:t>millones de escuelas en más de 140</w:t>
      </w:r>
      <w:r w:rsidR="00296F03" w:rsidRPr="00F05461">
        <w:rPr>
          <w:lang w:val="es-ES"/>
        </w:rPr>
        <w:t> </w:t>
      </w:r>
      <w:r w:rsidRPr="00F05461">
        <w:rPr>
          <w:lang w:val="es-ES"/>
        </w:rPr>
        <w:t>países, lo que permitió determinar dónde se encuentran las lagunas más urgentes en la conectividad escolar.</w:t>
      </w:r>
    </w:p>
    <w:p w14:paraId="30A3F4CF" w14:textId="77777777" w:rsidR="00674D31" w:rsidRPr="00F05461" w:rsidRDefault="005D7B2C" w:rsidP="005D7B2C">
      <w:pPr>
        <w:rPr>
          <w:lang w:val="es-ES"/>
        </w:rPr>
      </w:pPr>
      <w:r w:rsidRPr="00F05461">
        <w:rPr>
          <w:lang w:val="es-ES"/>
        </w:rPr>
        <w:t>En cuanto a las infraestructuras, nuestro nuevo órgano consultivo sobre la resiliencia de los cables submarinos, compuesto por 42</w:t>
      </w:r>
      <w:r w:rsidR="003E0321" w:rsidRPr="00F05461">
        <w:rPr>
          <w:lang w:val="es-ES"/>
        </w:rPr>
        <w:t> </w:t>
      </w:r>
      <w:r w:rsidRPr="00F05461">
        <w:rPr>
          <w:lang w:val="es-ES"/>
        </w:rPr>
        <w:t>miembros, está avanzando en la cooperación para ayudar a salvaguardar la columna vertebral física de las comunicaciones mundiales.</w:t>
      </w:r>
    </w:p>
    <w:p w14:paraId="00C7CBA8" w14:textId="452B29AE" w:rsidR="005D7B2C" w:rsidRPr="00F05461" w:rsidRDefault="005D7B2C" w:rsidP="00674D31">
      <w:pPr>
        <w:rPr>
          <w:lang w:val="es-ES"/>
        </w:rPr>
      </w:pPr>
      <w:r w:rsidRPr="00F05461">
        <w:rPr>
          <w:lang w:val="es-ES"/>
        </w:rPr>
        <w:t>En</w:t>
      </w:r>
      <w:r w:rsidR="00674D31" w:rsidRPr="00F05461">
        <w:rPr>
          <w:lang w:val="es-ES"/>
        </w:rPr>
        <w:t xml:space="preserve"> </w:t>
      </w:r>
      <w:r w:rsidRPr="00F05461">
        <w:rPr>
          <w:lang w:val="es-ES"/>
        </w:rPr>
        <w:t>conjunto, hemos calculado que el coste de conectar a todo el mundo de forma significativa para 2030 será de entre 2,6 y 2,8</w:t>
      </w:r>
      <w:r w:rsidR="003E0321" w:rsidRPr="00F05461">
        <w:rPr>
          <w:lang w:val="es-ES"/>
        </w:rPr>
        <w:t> </w:t>
      </w:r>
      <w:r w:rsidRPr="00F05461">
        <w:rPr>
          <w:lang w:val="es-ES"/>
        </w:rPr>
        <w:t>billones</w:t>
      </w:r>
      <w:r w:rsidR="008227D3" w:rsidRPr="00F05461">
        <w:rPr>
          <w:lang w:val="es-ES"/>
        </w:rPr>
        <w:t> </w:t>
      </w:r>
      <w:r w:rsidR="00AD495A" w:rsidRPr="00F05461">
        <w:rPr>
          <w:lang w:val="es-ES"/>
        </w:rPr>
        <w:t>USD</w:t>
      </w:r>
      <w:r w:rsidRPr="00F05461">
        <w:rPr>
          <w:lang w:val="es-ES"/>
        </w:rPr>
        <w:t xml:space="preserve">, en primer </w:t>
      </w:r>
      <w:proofErr w:type="gramStart"/>
      <w:r w:rsidRPr="00F05461">
        <w:rPr>
          <w:lang w:val="es-ES"/>
        </w:rPr>
        <w:t>lugar</w:t>
      </w:r>
      <w:proofErr w:type="gramEnd"/>
      <w:r w:rsidRPr="00F05461">
        <w:rPr>
          <w:lang w:val="es-ES"/>
        </w:rPr>
        <w:t xml:space="preserve"> para infraestructuras, pero simultáneamente para desarrollar competencias digitales, garantizar la asequibilidad y dotar a los países de opciones políticas sólidas.</w:t>
      </w:r>
    </w:p>
    <w:p w14:paraId="0BDC9F10" w14:textId="69CE8313" w:rsidR="005D7B2C" w:rsidRPr="00F05461" w:rsidRDefault="005D7B2C" w:rsidP="005D7B2C">
      <w:pPr>
        <w:rPr>
          <w:lang w:val="es-ES"/>
        </w:rPr>
      </w:pPr>
      <w:r w:rsidRPr="00F05461">
        <w:rPr>
          <w:lang w:val="es-ES"/>
        </w:rPr>
        <w:t>Para lograr una conectividad universal y significativa se requiere compromiso, confianza y cooperación.</w:t>
      </w:r>
    </w:p>
    <w:p w14:paraId="29CED0AD" w14:textId="66F52EE8" w:rsidR="005D7B2C" w:rsidRPr="00F05461" w:rsidRDefault="005D7B2C" w:rsidP="005D7B2C">
      <w:pPr>
        <w:rPr>
          <w:lang w:val="es-ES"/>
        </w:rPr>
      </w:pPr>
      <w:r w:rsidRPr="00F05461">
        <w:rPr>
          <w:lang w:val="es-ES"/>
        </w:rPr>
        <w:t xml:space="preserve">Los logros recogidos en este informe ponen de manifiesto la dedicación de los miembros, los asociados y el personal de </w:t>
      </w:r>
      <w:r w:rsidR="00296F03" w:rsidRPr="00F05461">
        <w:rPr>
          <w:lang w:val="es-ES"/>
        </w:rPr>
        <w:t>la UIT</w:t>
      </w:r>
      <w:r w:rsidRPr="00F05461">
        <w:rPr>
          <w:lang w:val="es-ES"/>
        </w:rPr>
        <w:t>, y demuestran lo que es posible cuando la comunidad mundial se une con un propósito.</w:t>
      </w:r>
    </w:p>
    <w:p w14:paraId="7E285419" w14:textId="77777777" w:rsidR="005D7B2C" w:rsidRPr="00F05461" w:rsidRDefault="005D7B2C" w:rsidP="00674D31">
      <w:pPr>
        <w:keepNext/>
        <w:keepLines/>
        <w:rPr>
          <w:lang w:val="es-ES"/>
        </w:rPr>
      </w:pPr>
      <w:r w:rsidRPr="00F05461">
        <w:rPr>
          <w:lang w:val="es-ES"/>
        </w:rPr>
        <w:lastRenderedPageBreak/>
        <w:t>Esta dinámica conjunta es esencial a medida que avanzamos hacia la siguiente fase de nuestro Plan Estratégico.</w:t>
      </w:r>
    </w:p>
    <w:p w14:paraId="6C2F4412" w14:textId="2875BF20" w:rsidR="005D7B2C" w:rsidRPr="00F05461" w:rsidRDefault="005D7B2C" w:rsidP="00674D31">
      <w:pPr>
        <w:keepNext/>
        <w:keepLines/>
        <w:rPr>
          <w:lang w:val="es-ES"/>
        </w:rPr>
      </w:pPr>
      <w:r w:rsidRPr="00F05461">
        <w:rPr>
          <w:lang w:val="es-ES"/>
        </w:rPr>
        <w:t>Entre todos, velemos por que todas las personas, dondequiera que se encuentren, puedan beneficiarse plenamente de la transformación digital.</w:t>
      </w:r>
    </w:p>
    <w:p w14:paraId="5A9CF30B" w14:textId="4C40120D" w:rsidR="005D7B2C" w:rsidRPr="00F05461" w:rsidRDefault="005D7B2C" w:rsidP="008A6DF7">
      <w:pPr>
        <w:keepNext/>
        <w:keepLines/>
        <w:spacing w:before="1200"/>
        <w:rPr>
          <w:lang w:val="es-ES"/>
        </w:rPr>
      </w:pPr>
      <w:r w:rsidRPr="00F05461">
        <w:rPr>
          <w:lang w:val="es-ES"/>
        </w:rPr>
        <w:t>Doreen Bogdan-Martin</w:t>
      </w:r>
      <w:r w:rsidR="00674D31" w:rsidRPr="00F05461">
        <w:rPr>
          <w:lang w:val="es-ES"/>
        </w:rPr>
        <w:br/>
      </w:r>
      <w:r w:rsidRPr="00F05461">
        <w:rPr>
          <w:lang w:val="es-ES"/>
        </w:rPr>
        <w:t xml:space="preserve">Secretaria General, </w:t>
      </w:r>
      <w:r w:rsidR="00312480" w:rsidRPr="00F05461">
        <w:rPr>
          <w:lang w:val="es-ES"/>
        </w:rPr>
        <w:t>U</w:t>
      </w:r>
      <w:r w:rsidRPr="00F05461">
        <w:rPr>
          <w:lang w:val="es-ES"/>
        </w:rPr>
        <w:t>IT</w:t>
      </w:r>
    </w:p>
    <w:p w14:paraId="036B0DF7" w14:textId="33951BB0" w:rsidR="005D7B2C" w:rsidRPr="00F05461" w:rsidRDefault="005D7B2C">
      <w:pPr>
        <w:tabs>
          <w:tab w:val="clear" w:pos="567"/>
          <w:tab w:val="clear" w:pos="1134"/>
          <w:tab w:val="clear" w:pos="1701"/>
          <w:tab w:val="clear" w:pos="2268"/>
          <w:tab w:val="clear" w:pos="2835"/>
        </w:tabs>
        <w:overflowPunct/>
        <w:autoSpaceDE/>
        <w:autoSpaceDN/>
        <w:adjustRightInd/>
        <w:spacing w:before="0"/>
        <w:textAlignment w:val="auto"/>
        <w:rPr>
          <w:lang w:val="es-ES"/>
        </w:rPr>
      </w:pPr>
      <w:r w:rsidRPr="00F05461">
        <w:rPr>
          <w:lang w:val="es-ES"/>
        </w:rPr>
        <w:br w:type="page"/>
      </w:r>
    </w:p>
    <w:p w14:paraId="261B3DF5" w14:textId="5D0EB2F3" w:rsidR="00312480" w:rsidRPr="00C8537E" w:rsidRDefault="00C8537E" w:rsidP="00312480">
      <w:pPr>
        <w:pStyle w:val="Title1"/>
        <w:rPr>
          <w:color w:val="1F497D"/>
          <w:lang w:val="es-ES"/>
        </w:rPr>
      </w:pPr>
      <w:bookmarkStart w:id="2" w:name="_Toc148012655"/>
      <w:r w:rsidRPr="00C8537E">
        <w:rPr>
          <w:caps w:val="0"/>
          <w:color w:val="1F497D"/>
          <w:lang w:val="es-ES"/>
        </w:rPr>
        <w:lastRenderedPageBreak/>
        <w:t>ÍNDICE</w:t>
      </w:r>
    </w:p>
    <w:p w14:paraId="32F127A3" w14:textId="53BBD3CA" w:rsidR="00312480" w:rsidRPr="00F05461" w:rsidRDefault="00312480" w:rsidP="00DE1928">
      <w:pPr>
        <w:pStyle w:val="toc0"/>
        <w:keepNext/>
        <w:keepLines/>
        <w:rPr>
          <w:lang w:val="es-ES"/>
        </w:rPr>
      </w:pPr>
      <w:r w:rsidRPr="00F05461">
        <w:rPr>
          <w:lang w:val="es-ES"/>
        </w:rPr>
        <w:tab/>
        <w:t>Página</w:t>
      </w:r>
    </w:p>
    <w:p w14:paraId="79C951EE" w14:textId="5B6F21CA" w:rsidR="00DE1928" w:rsidRPr="00F05461" w:rsidRDefault="00312480">
      <w:pPr>
        <w:pStyle w:val="TOC1"/>
        <w:rPr>
          <w:rFonts w:asciiTheme="minorHAnsi" w:eastAsiaTheme="minorEastAsia" w:hAnsiTheme="minorHAnsi" w:cstheme="minorBidi"/>
          <w:noProof/>
          <w:sz w:val="22"/>
          <w:szCs w:val="22"/>
          <w:lang w:val="es-ES" w:eastAsia="zh-CN"/>
        </w:rPr>
      </w:pPr>
      <w:r w:rsidRPr="00F05461">
        <w:rPr>
          <w:lang w:val="es-ES"/>
        </w:rPr>
        <w:fldChar w:fldCharType="begin"/>
      </w:r>
      <w:r w:rsidRPr="00F05461">
        <w:rPr>
          <w:lang w:val="es-ES"/>
        </w:rPr>
        <w:instrText xml:space="preserve"> TOC \o "2-3" \h \z \t "Heading 1;1" </w:instrText>
      </w:r>
      <w:r w:rsidRPr="00F05461">
        <w:rPr>
          <w:lang w:val="es-ES"/>
        </w:rPr>
        <w:fldChar w:fldCharType="separate"/>
      </w:r>
      <w:hyperlink w:anchor="_Toc227137447" w:history="1">
        <w:r w:rsidR="00DE1928" w:rsidRPr="00F05461">
          <w:rPr>
            <w:rStyle w:val="Hyperlink"/>
            <w:noProof/>
            <w:lang w:val="es-ES"/>
          </w:rPr>
          <w:t>i</w:t>
        </w:r>
        <w:r w:rsidR="00DE1928" w:rsidRPr="00F05461">
          <w:rPr>
            <w:rFonts w:asciiTheme="minorHAnsi" w:eastAsiaTheme="minorEastAsia" w:hAnsiTheme="minorHAnsi" w:cstheme="minorBidi"/>
            <w:noProof/>
            <w:sz w:val="22"/>
            <w:szCs w:val="22"/>
            <w:lang w:val="es-ES" w:eastAsia="zh-CN"/>
          </w:rPr>
          <w:tab/>
        </w:r>
        <w:r w:rsidR="00DE1928" w:rsidRPr="00F05461">
          <w:rPr>
            <w:rStyle w:val="Hyperlink"/>
            <w:noProof/>
            <w:lang w:val="es-ES"/>
          </w:rPr>
          <w:t>Resumen ejecutivo</w:t>
        </w:r>
        <w:r w:rsidR="00DE1928" w:rsidRPr="00F05461">
          <w:rPr>
            <w:noProof/>
            <w:webHidden/>
            <w:lang w:val="es-ES"/>
          </w:rPr>
          <w:tab/>
        </w:r>
        <w:r w:rsidR="00DE1928" w:rsidRPr="00F05461">
          <w:rPr>
            <w:noProof/>
            <w:webHidden/>
            <w:lang w:val="es-ES"/>
          </w:rPr>
          <w:tab/>
        </w:r>
        <w:r w:rsidR="00DE1928" w:rsidRPr="00F05461">
          <w:rPr>
            <w:noProof/>
            <w:webHidden/>
            <w:lang w:val="es-ES"/>
          </w:rPr>
          <w:fldChar w:fldCharType="begin"/>
        </w:r>
        <w:r w:rsidR="00DE1928" w:rsidRPr="00F05461">
          <w:rPr>
            <w:noProof/>
            <w:webHidden/>
            <w:lang w:val="es-ES"/>
          </w:rPr>
          <w:instrText xml:space="preserve"> PAGEREF _Toc227137447 \h </w:instrText>
        </w:r>
        <w:r w:rsidR="00DE1928" w:rsidRPr="00F05461">
          <w:rPr>
            <w:noProof/>
            <w:webHidden/>
            <w:lang w:val="es-ES"/>
          </w:rPr>
        </w:r>
        <w:r w:rsidR="00DE1928" w:rsidRPr="00F05461">
          <w:rPr>
            <w:noProof/>
            <w:webHidden/>
            <w:lang w:val="es-ES"/>
          </w:rPr>
          <w:fldChar w:fldCharType="separate"/>
        </w:r>
        <w:r w:rsidR="00AA3A2B">
          <w:rPr>
            <w:noProof/>
            <w:webHidden/>
            <w:lang w:val="es-ES"/>
          </w:rPr>
          <w:t>1</w:t>
        </w:r>
        <w:r w:rsidR="00DE1928" w:rsidRPr="00F05461">
          <w:rPr>
            <w:noProof/>
            <w:webHidden/>
            <w:lang w:val="es-ES"/>
          </w:rPr>
          <w:fldChar w:fldCharType="end"/>
        </w:r>
      </w:hyperlink>
    </w:p>
    <w:p w14:paraId="3B590B73" w14:textId="590AF96F" w:rsidR="00DE1928" w:rsidRPr="00F05461" w:rsidRDefault="00DE1928">
      <w:pPr>
        <w:pStyle w:val="TOC1"/>
        <w:rPr>
          <w:rFonts w:asciiTheme="minorHAnsi" w:eastAsiaTheme="minorEastAsia" w:hAnsiTheme="minorHAnsi" w:cstheme="minorBidi"/>
          <w:noProof/>
          <w:sz w:val="22"/>
          <w:szCs w:val="22"/>
          <w:lang w:val="es-ES" w:eastAsia="zh-CN"/>
        </w:rPr>
      </w:pPr>
      <w:hyperlink w:anchor="_Toc227137448" w:history="1">
        <w:r w:rsidRPr="00F05461">
          <w:rPr>
            <w:rStyle w:val="Hyperlink"/>
            <w:noProof/>
            <w:lang w:val="es-ES"/>
          </w:rPr>
          <w:t>ii</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Reflexiones y conclusiones sobre el periodo 2022-2025</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_Toc227137448 \h </w:instrText>
        </w:r>
        <w:r w:rsidRPr="00F05461">
          <w:rPr>
            <w:noProof/>
            <w:webHidden/>
            <w:lang w:val="es-ES"/>
          </w:rPr>
        </w:r>
        <w:r w:rsidRPr="00F05461">
          <w:rPr>
            <w:noProof/>
            <w:webHidden/>
            <w:lang w:val="es-ES"/>
          </w:rPr>
          <w:fldChar w:fldCharType="separate"/>
        </w:r>
        <w:r w:rsidR="00AA3A2B">
          <w:rPr>
            <w:noProof/>
            <w:webHidden/>
            <w:lang w:val="es-ES"/>
          </w:rPr>
          <w:t>8</w:t>
        </w:r>
        <w:r w:rsidRPr="00F05461">
          <w:rPr>
            <w:noProof/>
            <w:webHidden/>
            <w:lang w:val="es-ES"/>
          </w:rPr>
          <w:fldChar w:fldCharType="end"/>
        </w:r>
      </w:hyperlink>
    </w:p>
    <w:p w14:paraId="62191B82" w14:textId="1F9B0A52" w:rsidR="00DE1928" w:rsidRPr="00F05461" w:rsidRDefault="00DE1928">
      <w:pPr>
        <w:pStyle w:val="TOC1"/>
        <w:rPr>
          <w:rFonts w:asciiTheme="minorHAnsi" w:eastAsiaTheme="minorEastAsia" w:hAnsiTheme="minorHAnsi" w:cstheme="minorBidi"/>
          <w:noProof/>
          <w:sz w:val="22"/>
          <w:szCs w:val="22"/>
          <w:lang w:val="es-ES" w:eastAsia="zh-CN"/>
        </w:rPr>
      </w:pPr>
      <w:hyperlink w:anchor="_Toc227137449" w:history="1">
        <w:r w:rsidRPr="00F05461">
          <w:rPr>
            <w:rStyle w:val="Hyperlink"/>
            <w:noProof/>
            <w:lang w:val="es-ES"/>
          </w:rPr>
          <w:t>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Introducción</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_Toc227137449 \h </w:instrText>
        </w:r>
        <w:r w:rsidRPr="00F05461">
          <w:rPr>
            <w:noProof/>
            <w:webHidden/>
            <w:lang w:val="es-ES"/>
          </w:rPr>
        </w:r>
        <w:r w:rsidRPr="00F05461">
          <w:rPr>
            <w:noProof/>
            <w:webHidden/>
            <w:lang w:val="es-ES"/>
          </w:rPr>
          <w:fldChar w:fldCharType="separate"/>
        </w:r>
        <w:r w:rsidR="00AA3A2B">
          <w:rPr>
            <w:noProof/>
            <w:webHidden/>
            <w:lang w:val="es-ES"/>
          </w:rPr>
          <w:t>13</w:t>
        </w:r>
        <w:r w:rsidRPr="00F05461">
          <w:rPr>
            <w:noProof/>
            <w:webHidden/>
            <w:lang w:val="es-ES"/>
          </w:rPr>
          <w:fldChar w:fldCharType="end"/>
        </w:r>
      </w:hyperlink>
    </w:p>
    <w:p w14:paraId="7841372B" w14:textId="679ED0CF" w:rsidR="00DE1928" w:rsidRPr="00F05461" w:rsidRDefault="00DE1928">
      <w:pPr>
        <w:pStyle w:val="TOC1"/>
        <w:rPr>
          <w:rFonts w:asciiTheme="minorHAnsi" w:eastAsiaTheme="minorEastAsia" w:hAnsiTheme="minorHAnsi" w:cstheme="minorBidi"/>
          <w:noProof/>
          <w:sz w:val="22"/>
          <w:szCs w:val="22"/>
          <w:lang w:val="es-ES" w:eastAsia="zh-CN"/>
        </w:rPr>
      </w:pPr>
      <w:hyperlink w:anchor="_Toc227137450" w:history="1">
        <w:r w:rsidRPr="00F05461">
          <w:rPr>
            <w:rStyle w:val="Hyperlink"/>
            <w:noProof/>
            <w:lang w:val="es-ES"/>
          </w:rPr>
          <w:t>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Conferencias estatutarias mundiales en 2022-2025</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_Toc227137450 \h </w:instrText>
        </w:r>
        <w:r w:rsidRPr="00F05461">
          <w:rPr>
            <w:noProof/>
            <w:webHidden/>
            <w:lang w:val="es-ES"/>
          </w:rPr>
        </w:r>
        <w:r w:rsidRPr="00F05461">
          <w:rPr>
            <w:noProof/>
            <w:webHidden/>
            <w:lang w:val="es-ES"/>
          </w:rPr>
          <w:fldChar w:fldCharType="separate"/>
        </w:r>
        <w:r w:rsidR="00AA3A2B">
          <w:rPr>
            <w:noProof/>
            <w:webHidden/>
            <w:lang w:val="es-ES"/>
          </w:rPr>
          <w:t>14</w:t>
        </w:r>
        <w:r w:rsidRPr="00F05461">
          <w:rPr>
            <w:noProof/>
            <w:webHidden/>
            <w:lang w:val="es-ES"/>
          </w:rPr>
          <w:fldChar w:fldCharType="end"/>
        </w:r>
      </w:hyperlink>
    </w:p>
    <w:p w14:paraId="78EE70DE" w14:textId="4D92482B"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51" w:history="1">
        <w:r w:rsidRPr="00F05461">
          <w:rPr>
            <w:rStyle w:val="Hyperlink"/>
            <w:noProof/>
            <w:lang w:val="es-ES"/>
          </w:rPr>
          <w:t>2.1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Conferencia de Plenipotenciarios de la UIT (PP-22)</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_Toc227137451 \h </w:instrText>
        </w:r>
        <w:r w:rsidRPr="00F05461">
          <w:rPr>
            <w:noProof/>
            <w:webHidden/>
            <w:lang w:val="es-ES"/>
          </w:rPr>
        </w:r>
        <w:r w:rsidRPr="00F05461">
          <w:rPr>
            <w:noProof/>
            <w:webHidden/>
            <w:lang w:val="es-ES"/>
          </w:rPr>
          <w:fldChar w:fldCharType="separate"/>
        </w:r>
        <w:r w:rsidR="00AA3A2B">
          <w:rPr>
            <w:noProof/>
            <w:webHidden/>
            <w:lang w:val="es-ES"/>
          </w:rPr>
          <w:t>14</w:t>
        </w:r>
        <w:r w:rsidRPr="00F05461">
          <w:rPr>
            <w:noProof/>
            <w:webHidden/>
            <w:lang w:val="es-ES"/>
          </w:rPr>
          <w:fldChar w:fldCharType="end"/>
        </w:r>
      </w:hyperlink>
    </w:p>
    <w:p w14:paraId="6E6CE56A" w14:textId="6D7BE514"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52" w:history="1">
        <w:r w:rsidRPr="00F05461">
          <w:rPr>
            <w:rStyle w:val="Hyperlink"/>
            <w:noProof/>
            <w:lang w:val="es-ES"/>
          </w:rPr>
          <w:t>2.1.1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Elecciones de la UIT</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_Toc227137452 \h </w:instrText>
        </w:r>
        <w:r w:rsidRPr="00F05461">
          <w:rPr>
            <w:noProof/>
            <w:webHidden/>
            <w:lang w:val="es-ES"/>
          </w:rPr>
        </w:r>
        <w:r w:rsidRPr="00F05461">
          <w:rPr>
            <w:noProof/>
            <w:webHidden/>
            <w:lang w:val="es-ES"/>
          </w:rPr>
          <w:fldChar w:fldCharType="separate"/>
        </w:r>
        <w:r w:rsidR="00AA3A2B">
          <w:rPr>
            <w:noProof/>
            <w:webHidden/>
            <w:lang w:val="es-ES"/>
          </w:rPr>
          <w:t>14</w:t>
        </w:r>
        <w:r w:rsidRPr="00F05461">
          <w:rPr>
            <w:noProof/>
            <w:webHidden/>
            <w:lang w:val="es-ES"/>
          </w:rPr>
          <w:fldChar w:fldCharType="end"/>
        </w:r>
      </w:hyperlink>
    </w:p>
    <w:p w14:paraId="62A9FB95" w14:textId="18D580B5"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53" w:history="1">
        <w:r w:rsidRPr="00F05461">
          <w:rPr>
            <w:rStyle w:val="Hyperlink"/>
            <w:noProof/>
            <w:lang w:val="es-ES"/>
          </w:rPr>
          <w:t>2.2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CMR-23 y AR-23</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_Toc227137453 \h </w:instrText>
        </w:r>
        <w:r w:rsidRPr="00F05461">
          <w:rPr>
            <w:noProof/>
            <w:webHidden/>
            <w:lang w:val="es-ES"/>
          </w:rPr>
        </w:r>
        <w:r w:rsidRPr="00F05461">
          <w:rPr>
            <w:noProof/>
            <w:webHidden/>
            <w:lang w:val="es-ES"/>
          </w:rPr>
          <w:fldChar w:fldCharType="separate"/>
        </w:r>
        <w:r w:rsidR="00AA3A2B">
          <w:rPr>
            <w:noProof/>
            <w:webHidden/>
            <w:lang w:val="es-ES"/>
          </w:rPr>
          <w:t>15</w:t>
        </w:r>
        <w:r w:rsidRPr="00F05461">
          <w:rPr>
            <w:noProof/>
            <w:webHidden/>
            <w:lang w:val="es-ES"/>
          </w:rPr>
          <w:fldChar w:fldCharType="end"/>
        </w:r>
      </w:hyperlink>
    </w:p>
    <w:p w14:paraId="2E256882" w14:textId="00CA3291"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54" w:history="1">
        <w:r w:rsidRPr="00F05461">
          <w:rPr>
            <w:rStyle w:val="Hyperlink"/>
            <w:noProof/>
            <w:lang w:val="es-ES"/>
          </w:rPr>
          <w:t>2.2.1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Conferencia Mundial de Radiocomunicaciones de 2023</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_Toc227137454 \h </w:instrText>
        </w:r>
        <w:r w:rsidRPr="00F05461">
          <w:rPr>
            <w:noProof/>
            <w:webHidden/>
            <w:lang w:val="es-ES"/>
          </w:rPr>
        </w:r>
        <w:r w:rsidRPr="00F05461">
          <w:rPr>
            <w:noProof/>
            <w:webHidden/>
            <w:lang w:val="es-ES"/>
          </w:rPr>
          <w:fldChar w:fldCharType="separate"/>
        </w:r>
        <w:r w:rsidR="00AA3A2B">
          <w:rPr>
            <w:noProof/>
            <w:webHidden/>
            <w:lang w:val="es-ES"/>
          </w:rPr>
          <w:t>15</w:t>
        </w:r>
        <w:r w:rsidRPr="00F05461">
          <w:rPr>
            <w:noProof/>
            <w:webHidden/>
            <w:lang w:val="es-ES"/>
          </w:rPr>
          <w:fldChar w:fldCharType="end"/>
        </w:r>
      </w:hyperlink>
    </w:p>
    <w:p w14:paraId="6C2713D9" w14:textId="46BEFFE7"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55" w:history="1">
        <w:r w:rsidRPr="00F05461">
          <w:rPr>
            <w:rStyle w:val="Hyperlink"/>
            <w:noProof/>
            <w:lang w:val="es-ES"/>
          </w:rPr>
          <w:t>2.2.2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Asamblea de Radiocomunicaciones de 2023</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_Toc227137455 \h </w:instrText>
        </w:r>
        <w:r w:rsidRPr="00F05461">
          <w:rPr>
            <w:noProof/>
            <w:webHidden/>
            <w:lang w:val="es-ES"/>
          </w:rPr>
        </w:r>
        <w:r w:rsidRPr="00F05461">
          <w:rPr>
            <w:noProof/>
            <w:webHidden/>
            <w:lang w:val="es-ES"/>
          </w:rPr>
          <w:fldChar w:fldCharType="separate"/>
        </w:r>
        <w:r w:rsidR="00AA3A2B">
          <w:rPr>
            <w:noProof/>
            <w:webHidden/>
            <w:lang w:val="es-ES"/>
          </w:rPr>
          <w:t>15</w:t>
        </w:r>
        <w:r w:rsidRPr="00F05461">
          <w:rPr>
            <w:noProof/>
            <w:webHidden/>
            <w:lang w:val="es-ES"/>
          </w:rPr>
          <w:fldChar w:fldCharType="end"/>
        </w:r>
      </w:hyperlink>
    </w:p>
    <w:p w14:paraId="323156C2" w14:textId="546E2B9E"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56" w:history="1">
        <w:r w:rsidRPr="00F05461">
          <w:rPr>
            <w:rStyle w:val="Hyperlink"/>
            <w:noProof/>
            <w:lang w:val="es-ES"/>
          </w:rPr>
          <w:t>2.3</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 xml:space="preserve">Asamblea Mundial de Normalización de las Telecomunicaciones </w:t>
        </w:r>
        <w:r w:rsidR="00B70224">
          <w:rPr>
            <w:rStyle w:val="Hyperlink"/>
            <w:noProof/>
            <w:lang w:val="es-ES"/>
          </w:rPr>
          <w:t xml:space="preserve">de </w:t>
        </w:r>
        <w:r w:rsidRPr="00F05461">
          <w:rPr>
            <w:rStyle w:val="Hyperlink"/>
            <w:noProof/>
            <w:lang w:val="es-ES"/>
          </w:rPr>
          <w:t>2024</w:t>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_Toc227137456 \h </w:instrText>
        </w:r>
        <w:r w:rsidRPr="00F05461">
          <w:rPr>
            <w:noProof/>
            <w:webHidden/>
            <w:lang w:val="es-ES"/>
          </w:rPr>
        </w:r>
        <w:r w:rsidRPr="00F05461">
          <w:rPr>
            <w:noProof/>
            <w:webHidden/>
            <w:lang w:val="es-ES"/>
          </w:rPr>
          <w:fldChar w:fldCharType="separate"/>
        </w:r>
        <w:r w:rsidR="00AA3A2B">
          <w:rPr>
            <w:noProof/>
            <w:webHidden/>
            <w:lang w:val="es-ES"/>
          </w:rPr>
          <w:t>16</w:t>
        </w:r>
        <w:r w:rsidRPr="00F05461">
          <w:rPr>
            <w:noProof/>
            <w:webHidden/>
            <w:lang w:val="es-ES"/>
          </w:rPr>
          <w:fldChar w:fldCharType="end"/>
        </w:r>
      </w:hyperlink>
    </w:p>
    <w:p w14:paraId="29DA0BBF" w14:textId="2FDA836F"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57" w:history="1">
        <w:r w:rsidRPr="00F05461">
          <w:rPr>
            <w:rStyle w:val="Hyperlink"/>
            <w:noProof/>
            <w:lang w:val="es-ES"/>
          </w:rPr>
          <w:t>2.4</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Conferencia Mundial de Desarrollo de las Telecomunicaciones de 2025</w:t>
        </w:r>
        <w:r w:rsidR="00B70224">
          <w:rPr>
            <w:rStyle w:val="Hyperlink"/>
            <w:noProof/>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_Toc227137457 \h </w:instrText>
        </w:r>
        <w:r w:rsidRPr="00F05461">
          <w:rPr>
            <w:noProof/>
            <w:webHidden/>
            <w:lang w:val="es-ES"/>
          </w:rPr>
        </w:r>
        <w:r w:rsidRPr="00F05461">
          <w:rPr>
            <w:noProof/>
            <w:webHidden/>
            <w:lang w:val="es-ES"/>
          </w:rPr>
          <w:fldChar w:fldCharType="separate"/>
        </w:r>
        <w:r w:rsidR="00AA3A2B">
          <w:rPr>
            <w:noProof/>
            <w:webHidden/>
            <w:lang w:val="es-ES"/>
          </w:rPr>
          <w:t>17</w:t>
        </w:r>
        <w:r w:rsidRPr="00F05461">
          <w:rPr>
            <w:noProof/>
            <w:webHidden/>
            <w:lang w:val="es-ES"/>
          </w:rPr>
          <w:fldChar w:fldCharType="end"/>
        </w:r>
      </w:hyperlink>
    </w:p>
    <w:p w14:paraId="2D016BDD" w14:textId="2CA3D023" w:rsidR="00DE1928" w:rsidRPr="00F05461" w:rsidRDefault="00DE1928">
      <w:pPr>
        <w:pStyle w:val="TOC1"/>
        <w:rPr>
          <w:rFonts w:asciiTheme="minorHAnsi" w:eastAsiaTheme="minorEastAsia" w:hAnsiTheme="minorHAnsi" w:cstheme="minorBidi"/>
          <w:noProof/>
          <w:sz w:val="22"/>
          <w:szCs w:val="22"/>
          <w:lang w:val="es-ES" w:eastAsia="zh-CN"/>
        </w:rPr>
      </w:pPr>
      <w:hyperlink w:anchor="_Toc227137458" w:history="1">
        <w:r w:rsidRPr="00F05461">
          <w:rPr>
            <w:rStyle w:val="Hyperlink"/>
            <w:noProof/>
            <w:lang w:val="es-ES"/>
          </w:rPr>
          <w:t>3</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Repercusión de los trabajos de la UIT</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_Toc227137458 \h </w:instrText>
        </w:r>
        <w:r w:rsidRPr="00F05461">
          <w:rPr>
            <w:noProof/>
            <w:webHidden/>
            <w:lang w:val="es-ES"/>
          </w:rPr>
        </w:r>
        <w:r w:rsidRPr="00F05461">
          <w:rPr>
            <w:noProof/>
            <w:webHidden/>
            <w:lang w:val="es-ES"/>
          </w:rPr>
          <w:fldChar w:fldCharType="separate"/>
        </w:r>
        <w:r w:rsidR="00AA3A2B">
          <w:rPr>
            <w:noProof/>
            <w:webHidden/>
            <w:lang w:val="es-ES"/>
          </w:rPr>
          <w:t>19</w:t>
        </w:r>
        <w:r w:rsidRPr="00F05461">
          <w:rPr>
            <w:noProof/>
            <w:webHidden/>
            <w:lang w:val="es-ES"/>
          </w:rPr>
          <w:fldChar w:fldCharType="end"/>
        </w:r>
      </w:hyperlink>
    </w:p>
    <w:p w14:paraId="2A93D015" w14:textId="4DE61C16"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59" w:history="1">
        <w:r w:rsidRPr="00F05461">
          <w:rPr>
            <w:rStyle w:val="Hyperlink"/>
            <w:noProof/>
            <w:lang w:val="es-ES"/>
          </w:rPr>
          <w:t>3.1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Plan Estratégico 2020-2023: resultados finales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_Toc227137459 \h </w:instrText>
        </w:r>
        <w:r w:rsidRPr="00F05461">
          <w:rPr>
            <w:noProof/>
            <w:webHidden/>
            <w:lang w:val="es-ES"/>
          </w:rPr>
        </w:r>
        <w:r w:rsidRPr="00F05461">
          <w:rPr>
            <w:noProof/>
            <w:webHidden/>
            <w:lang w:val="es-ES"/>
          </w:rPr>
          <w:fldChar w:fldCharType="separate"/>
        </w:r>
        <w:r w:rsidR="00AA3A2B">
          <w:rPr>
            <w:noProof/>
            <w:webHidden/>
            <w:lang w:val="es-ES"/>
          </w:rPr>
          <w:t>19</w:t>
        </w:r>
        <w:r w:rsidRPr="00F05461">
          <w:rPr>
            <w:noProof/>
            <w:webHidden/>
            <w:lang w:val="es-ES"/>
          </w:rPr>
          <w:fldChar w:fldCharType="end"/>
        </w:r>
      </w:hyperlink>
    </w:p>
    <w:p w14:paraId="03A28475" w14:textId="4419FE7C"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60" w:history="1">
        <w:r w:rsidRPr="00F05461">
          <w:rPr>
            <w:rStyle w:val="Hyperlink"/>
            <w:noProof/>
            <w:lang w:val="es-ES"/>
          </w:rPr>
          <w:t>3.2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 xml:space="preserve">Incidencia de los trabajos de la UIT entre 2024 y 2025 </w:t>
        </w:r>
        <w:r w:rsidRPr="00F05461">
          <w:rPr>
            <w:rStyle w:val="Hyperlink"/>
            <w:noProof/>
            <w:lang w:val="es-ES"/>
          </w:rPr>
          <w:br/>
          <w:t>(los dos primeros años del Plan Estratégico para 2024-2027)</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_Toc227137460 \h </w:instrText>
        </w:r>
        <w:r w:rsidRPr="00F05461">
          <w:rPr>
            <w:noProof/>
            <w:webHidden/>
            <w:lang w:val="es-ES"/>
          </w:rPr>
        </w:r>
        <w:r w:rsidRPr="00F05461">
          <w:rPr>
            <w:noProof/>
            <w:webHidden/>
            <w:lang w:val="es-ES"/>
          </w:rPr>
          <w:fldChar w:fldCharType="separate"/>
        </w:r>
        <w:r w:rsidR="00AA3A2B">
          <w:rPr>
            <w:noProof/>
            <w:webHidden/>
            <w:lang w:val="es-ES"/>
          </w:rPr>
          <w:t>20</w:t>
        </w:r>
        <w:r w:rsidRPr="00F05461">
          <w:rPr>
            <w:noProof/>
            <w:webHidden/>
            <w:lang w:val="es-ES"/>
          </w:rPr>
          <w:fldChar w:fldCharType="end"/>
        </w:r>
      </w:hyperlink>
    </w:p>
    <w:p w14:paraId="0CC03348" w14:textId="4AA2BCB9"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61" w:history="1">
        <w:r w:rsidRPr="00F05461">
          <w:rPr>
            <w:rStyle w:val="Hyperlink"/>
            <w:noProof/>
            <w:lang w:val="es-ES"/>
          </w:rPr>
          <w:t>3.2.1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Conectividad universal</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_Toc227137461 \h </w:instrText>
        </w:r>
        <w:r w:rsidRPr="00F05461">
          <w:rPr>
            <w:noProof/>
            <w:webHidden/>
            <w:lang w:val="es-ES"/>
          </w:rPr>
        </w:r>
        <w:r w:rsidRPr="00F05461">
          <w:rPr>
            <w:noProof/>
            <w:webHidden/>
            <w:lang w:val="es-ES"/>
          </w:rPr>
          <w:fldChar w:fldCharType="separate"/>
        </w:r>
        <w:r w:rsidR="00AA3A2B">
          <w:rPr>
            <w:noProof/>
            <w:webHidden/>
            <w:lang w:val="es-ES"/>
          </w:rPr>
          <w:t>21</w:t>
        </w:r>
        <w:r w:rsidRPr="00F05461">
          <w:rPr>
            <w:noProof/>
            <w:webHidden/>
            <w:lang w:val="es-ES"/>
          </w:rPr>
          <w:fldChar w:fldCharType="end"/>
        </w:r>
      </w:hyperlink>
    </w:p>
    <w:p w14:paraId="447BFC2A" w14:textId="01F8D7FC"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62" w:history="1">
        <w:r w:rsidRPr="00F05461">
          <w:rPr>
            <w:rStyle w:val="Hyperlink"/>
            <w:noProof/>
            <w:lang w:val="es-ES"/>
          </w:rPr>
          <w:t>3.2.2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Transformación digital sostenible</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_Toc227137462 \h </w:instrText>
        </w:r>
        <w:r w:rsidRPr="00F05461">
          <w:rPr>
            <w:noProof/>
            <w:webHidden/>
            <w:lang w:val="es-ES"/>
          </w:rPr>
        </w:r>
        <w:r w:rsidRPr="00F05461">
          <w:rPr>
            <w:noProof/>
            <w:webHidden/>
            <w:lang w:val="es-ES"/>
          </w:rPr>
          <w:fldChar w:fldCharType="separate"/>
        </w:r>
        <w:r w:rsidR="00AA3A2B">
          <w:rPr>
            <w:noProof/>
            <w:webHidden/>
            <w:lang w:val="es-ES"/>
          </w:rPr>
          <w:t>27</w:t>
        </w:r>
        <w:r w:rsidRPr="00F05461">
          <w:rPr>
            <w:noProof/>
            <w:webHidden/>
            <w:lang w:val="es-ES"/>
          </w:rPr>
          <w:fldChar w:fldCharType="end"/>
        </w:r>
      </w:hyperlink>
    </w:p>
    <w:p w14:paraId="6385BB23" w14:textId="231AE508" w:rsidR="00DE1928" w:rsidRPr="00F05461" w:rsidRDefault="00DE1928">
      <w:pPr>
        <w:pStyle w:val="TOC1"/>
        <w:rPr>
          <w:rFonts w:asciiTheme="minorHAnsi" w:eastAsiaTheme="minorEastAsia" w:hAnsiTheme="minorHAnsi" w:cstheme="minorBidi"/>
          <w:noProof/>
          <w:sz w:val="22"/>
          <w:szCs w:val="22"/>
          <w:lang w:val="es-ES" w:eastAsia="zh-CN"/>
        </w:rPr>
      </w:pPr>
      <w:hyperlink w:anchor="_Toc227137463" w:history="1">
        <w:r w:rsidRPr="00F05461">
          <w:rPr>
            <w:rStyle w:val="Hyperlink"/>
            <w:noProof/>
            <w:lang w:val="es-ES"/>
          </w:rPr>
          <w:t>4</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Productos y servicios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_Toc227137463 \h </w:instrText>
        </w:r>
        <w:r w:rsidRPr="00F05461">
          <w:rPr>
            <w:noProof/>
            <w:webHidden/>
            <w:lang w:val="es-ES"/>
          </w:rPr>
        </w:r>
        <w:r w:rsidRPr="00F05461">
          <w:rPr>
            <w:noProof/>
            <w:webHidden/>
            <w:lang w:val="es-ES"/>
          </w:rPr>
          <w:fldChar w:fldCharType="separate"/>
        </w:r>
        <w:r w:rsidR="00AA3A2B">
          <w:rPr>
            <w:noProof/>
            <w:webHidden/>
            <w:lang w:val="es-ES"/>
          </w:rPr>
          <w:t>32</w:t>
        </w:r>
        <w:r w:rsidRPr="00F05461">
          <w:rPr>
            <w:noProof/>
            <w:webHidden/>
            <w:lang w:val="es-ES"/>
          </w:rPr>
          <w:fldChar w:fldCharType="end"/>
        </w:r>
      </w:hyperlink>
    </w:p>
    <w:p w14:paraId="1C690C6D" w14:textId="4A1E06DD"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64" w:history="1">
        <w:r w:rsidRPr="00F05461">
          <w:rPr>
            <w:rStyle w:val="Hyperlink"/>
            <w:noProof/>
            <w:lang w:val="es-ES"/>
          </w:rPr>
          <w:t>4.1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Elaboración y aplicación de los Reglamentos Administrativos de la UIT</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_Toc227137464 \h </w:instrText>
        </w:r>
        <w:r w:rsidRPr="00F05461">
          <w:rPr>
            <w:noProof/>
            <w:webHidden/>
            <w:lang w:val="es-ES"/>
          </w:rPr>
        </w:r>
        <w:r w:rsidRPr="00F05461">
          <w:rPr>
            <w:noProof/>
            <w:webHidden/>
            <w:lang w:val="es-ES"/>
          </w:rPr>
          <w:fldChar w:fldCharType="separate"/>
        </w:r>
        <w:r w:rsidR="00AA3A2B">
          <w:rPr>
            <w:noProof/>
            <w:webHidden/>
            <w:lang w:val="es-ES"/>
          </w:rPr>
          <w:t>32</w:t>
        </w:r>
        <w:r w:rsidRPr="00F05461">
          <w:rPr>
            <w:noProof/>
            <w:webHidden/>
            <w:lang w:val="es-ES"/>
          </w:rPr>
          <w:fldChar w:fldCharType="end"/>
        </w:r>
      </w:hyperlink>
    </w:p>
    <w:p w14:paraId="050E7BDB" w14:textId="216AA442"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65" w:history="1">
        <w:r w:rsidRPr="00F05461">
          <w:rPr>
            <w:rStyle w:val="Hyperlink"/>
            <w:noProof/>
            <w:lang w:val="es-ES"/>
          </w:rPr>
          <w:t>4.1.1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Reglamento de Radiocomunicaciones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_Toc227137465 \h </w:instrText>
        </w:r>
        <w:r w:rsidRPr="00F05461">
          <w:rPr>
            <w:noProof/>
            <w:webHidden/>
            <w:lang w:val="es-ES"/>
          </w:rPr>
        </w:r>
        <w:r w:rsidRPr="00F05461">
          <w:rPr>
            <w:noProof/>
            <w:webHidden/>
            <w:lang w:val="es-ES"/>
          </w:rPr>
          <w:fldChar w:fldCharType="separate"/>
        </w:r>
        <w:r w:rsidR="00AA3A2B">
          <w:rPr>
            <w:noProof/>
            <w:webHidden/>
            <w:lang w:val="es-ES"/>
          </w:rPr>
          <w:t>32</w:t>
        </w:r>
        <w:r w:rsidRPr="00F05461">
          <w:rPr>
            <w:noProof/>
            <w:webHidden/>
            <w:lang w:val="es-ES"/>
          </w:rPr>
          <w:fldChar w:fldCharType="end"/>
        </w:r>
      </w:hyperlink>
    </w:p>
    <w:p w14:paraId="17B23443" w14:textId="24B362F7"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66" w:history="1">
        <w:r w:rsidRPr="00F05461">
          <w:rPr>
            <w:rStyle w:val="Hyperlink"/>
            <w:noProof/>
            <w:lang w:val="es-ES"/>
          </w:rPr>
          <w:t>4.2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Atribución y gestión de recursos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_Toc227137466 \h </w:instrText>
        </w:r>
        <w:r w:rsidRPr="00F05461">
          <w:rPr>
            <w:noProof/>
            <w:webHidden/>
            <w:lang w:val="es-ES"/>
          </w:rPr>
        </w:r>
        <w:r w:rsidRPr="00F05461">
          <w:rPr>
            <w:noProof/>
            <w:webHidden/>
            <w:lang w:val="es-ES"/>
          </w:rPr>
          <w:fldChar w:fldCharType="separate"/>
        </w:r>
        <w:r w:rsidR="00AA3A2B">
          <w:rPr>
            <w:noProof/>
            <w:webHidden/>
            <w:lang w:val="es-ES"/>
          </w:rPr>
          <w:t>33</w:t>
        </w:r>
        <w:r w:rsidRPr="00F05461">
          <w:rPr>
            <w:noProof/>
            <w:webHidden/>
            <w:lang w:val="es-ES"/>
          </w:rPr>
          <w:fldChar w:fldCharType="end"/>
        </w:r>
      </w:hyperlink>
    </w:p>
    <w:p w14:paraId="2A8BAE8E" w14:textId="3CE49FE4"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67" w:history="1">
        <w:r w:rsidRPr="00F05461">
          <w:rPr>
            <w:rStyle w:val="Hyperlink"/>
            <w:noProof/>
            <w:lang w:val="es-ES"/>
          </w:rPr>
          <w:t>4.2.1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Utilización del espectro para servicios espaciales y terrenales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_Toc227137467 \h </w:instrText>
        </w:r>
        <w:r w:rsidRPr="00F05461">
          <w:rPr>
            <w:noProof/>
            <w:webHidden/>
            <w:lang w:val="es-ES"/>
          </w:rPr>
        </w:r>
        <w:r w:rsidRPr="00F05461">
          <w:rPr>
            <w:noProof/>
            <w:webHidden/>
            <w:lang w:val="es-ES"/>
          </w:rPr>
          <w:fldChar w:fldCharType="separate"/>
        </w:r>
        <w:r w:rsidR="00AA3A2B">
          <w:rPr>
            <w:noProof/>
            <w:webHidden/>
            <w:lang w:val="es-ES"/>
          </w:rPr>
          <w:t>33</w:t>
        </w:r>
        <w:r w:rsidRPr="00F05461">
          <w:rPr>
            <w:noProof/>
            <w:webHidden/>
            <w:lang w:val="es-ES"/>
          </w:rPr>
          <w:fldChar w:fldCharType="end"/>
        </w:r>
      </w:hyperlink>
    </w:p>
    <w:p w14:paraId="4BB44A9D" w14:textId="2DCE12C8"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68" w:history="1">
        <w:r w:rsidRPr="00F05461">
          <w:rPr>
            <w:rStyle w:val="Hyperlink"/>
            <w:noProof/>
            <w:lang w:val="es-ES"/>
          </w:rPr>
          <w:t>4.2.2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Recursos de numeración, denominación, direccionamiento e identificación</w:t>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_Toc227137468 \h </w:instrText>
        </w:r>
        <w:r w:rsidRPr="00F05461">
          <w:rPr>
            <w:noProof/>
            <w:webHidden/>
            <w:lang w:val="es-ES"/>
          </w:rPr>
        </w:r>
        <w:r w:rsidRPr="00F05461">
          <w:rPr>
            <w:noProof/>
            <w:webHidden/>
            <w:lang w:val="es-ES"/>
          </w:rPr>
          <w:fldChar w:fldCharType="separate"/>
        </w:r>
        <w:r w:rsidR="00AA3A2B">
          <w:rPr>
            <w:noProof/>
            <w:webHidden/>
            <w:lang w:val="es-ES"/>
          </w:rPr>
          <w:t>35</w:t>
        </w:r>
        <w:r w:rsidRPr="00F05461">
          <w:rPr>
            <w:noProof/>
            <w:webHidden/>
            <w:lang w:val="es-ES"/>
          </w:rPr>
          <w:fldChar w:fldCharType="end"/>
        </w:r>
      </w:hyperlink>
    </w:p>
    <w:p w14:paraId="5E9F3862" w14:textId="58A07778"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69" w:history="1">
        <w:r w:rsidRPr="00F05461">
          <w:rPr>
            <w:rStyle w:val="Hyperlink"/>
            <w:noProof/>
            <w:lang w:val="es-ES"/>
          </w:rPr>
          <w:t>4.3</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Elaboración de normas internacionales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_Toc227137469 \h </w:instrText>
        </w:r>
        <w:r w:rsidRPr="00F05461">
          <w:rPr>
            <w:noProof/>
            <w:webHidden/>
            <w:lang w:val="es-ES"/>
          </w:rPr>
        </w:r>
        <w:r w:rsidRPr="00F05461">
          <w:rPr>
            <w:noProof/>
            <w:webHidden/>
            <w:lang w:val="es-ES"/>
          </w:rPr>
          <w:fldChar w:fldCharType="separate"/>
        </w:r>
        <w:r w:rsidR="00AA3A2B">
          <w:rPr>
            <w:noProof/>
            <w:webHidden/>
            <w:lang w:val="es-ES"/>
          </w:rPr>
          <w:t>37</w:t>
        </w:r>
        <w:r w:rsidRPr="00F05461">
          <w:rPr>
            <w:noProof/>
            <w:webHidden/>
            <w:lang w:val="es-ES"/>
          </w:rPr>
          <w:fldChar w:fldCharType="end"/>
        </w:r>
      </w:hyperlink>
    </w:p>
    <w:p w14:paraId="1D42EF28" w14:textId="6125F437"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70" w:history="1">
        <w:r w:rsidRPr="00F05461">
          <w:rPr>
            <w:rStyle w:val="Hyperlink"/>
            <w:noProof/>
            <w:lang w:val="es-ES"/>
          </w:rPr>
          <w:t>4.3.1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Recomendaciones UIT-T y publicaciones conexas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_Toc227137470 \h </w:instrText>
        </w:r>
        <w:r w:rsidRPr="00F05461">
          <w:rPr>
            <w:noProof/>
            <w:webHidden/>
            <w:lang w:val="es-ES"/>
          </w:rPr>
        </w:r>
        <w:r w:rsidRPr="00F05461">
          <w:rPr>
            <w:noProof/>
            <w:webHidden/>
            <w:lang w:val="es-ES"/>
          </w:rPr>
          <w:fldChar w:fldCharType="separate"/>
        </w:r>
        <w:r w:rsidR="00AA3A2B">
          <w:rPr>
            <w:noProof/>
            <w:webHidden/>
            <w:lang w:val="es-ES"/>
          </w:rPr>
          <w:t>37</w:t>
        </w:r>
        <w:r w:rsidRPr="00F05461">
          <w:rPr>
            <w:noProof/>
            <w:webHidden/>
            <w:lang w:val="es-ES"/>
          </w:rPr>
          <w:fldChar w:fldCharType="end"/>
        </w:r>
      </w:hyperlink>
    </w:p>
    <w:p w14:paraId="2BDD860F" w14:textId="70437E81"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71" w:history="1">
        <w:r w:rsidRPr="00F05461">
          <w:rPr>
            <w:rStyle w:val="Hyperlink"/>
            <w:noProof/>
            <w:lang w:val="es-ES"/>
          </w:rPr>
          <w:t>4.3.2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Recomendaciones UIT-R</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_Toc227137471 \h </w:instrText>
        </w:r>
        <w:r w:rsidRPr="00F05461">
          <w:rPr>
            <w:noProof/>
            <w:webHidden/>
            <w:lang w:val="es-ES"/>
          </w:rPr>
        </w:r>
        <w:r w:rsidRPr="00F05461">
          <w:rPr>
            <w:noProof/>
            <w:webHidden/>
            <w:lang w:val="es-ES"/>
          </w:rPr>
          <w:fldChar w:fldCharType="separate"/>
        </w:r>
        <w:r w:rsidR="00AA3A2B">
          <w:rPr>
            <w:noProof/>
            <w:webHidden/>
            <w:lang w:val="es-ES"/>
          </w:rPr>
          <w:t>38</w:t>
        </w:r>
        <w:r w:rsidRPr="00F05461">
          <w:rPr>
            <w:noProof/>
            <w:webHidden/>
            <w:lang w:val="es-ES"/>
          </w:rPr>
          <w:fldChar w:fldCharType="end"/>
        </w:r>
      </w:hyperlink>
    </w:p>
    <w:p w14:paraId="6C6CAD96" w14:textId="3A2E926D"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72" w:history="1">
        <w:r w:rsidRPr="00F05461">
          <w:rPr>
            <w:rStyle w:val="Hyperlink"/>
            <w:noProof/>
            <w:lang w:val="es-ES"/>
          </w:rPr>
          <w:t>4.3.3</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Reducción de la brecha de normalización</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_Toc227137472 \h </w:instrText>
        </w:r>
        <w:r w:rsidRPr="00F05461">
          <w:rPr>
            <w:noProof/>
            <w:webHidden/>
            <w:lang w:val="es-ES"/>
          </w:rPr>
        </w:r>
        <w:r w:rsidRPr="00F05461">
          <w:rPr>
            <w:noProof/>
            <w:webHidden/>
            <w:lang w:val="es-ES"/>
          </w:rPr>
          <w:fldChar w:fldCharType="separate"/>
        </w:r>
        <w:r w:rsidR="00AA3A2B">
          <w:rPr>
            <w:noProof/>
            <w:webHidden/>
            <w:lang w:val="es-ES"/>
          </w:rPr>
          <w:t>39</w:t>
        </w:r>
        <w:r w:rsidRPr="00F05461">
          <w:rPr>
            <w:noProof/>
            <w:webHidden/>
            <w:lang w:val="es-ES"/>
          </w:rPr>
          <w:fldChar w:fldCharType="end"/>
        </w:r>
      </w:hyperlink>
    </w:p>
    <w:p w14:paraId="204C3FEA" w14:textId="49E69A05"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73" w:history="1">
        <w:r w:rsidRPr="00F05461">
          <w:rPr>
            <w:rStyle w:val="Hyperlink"/>
            <w:noProof/>
            <w:lang w:val="es-ES"/>
          </w:rPr>
          <w:t>4.4</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Elaboración de marcos políticos y productos de conocimiento</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_Toc227137473 \h </w:instrText>
        </w:r>
        <w:r w:rsidRPr="00F05461">
          <w:rPr>
            <w:noProof/>
            <w:webHidden/>
            <w:lang w:val="es-ES"/>
          </w:rPr>
        </w:r>
        <w:r w:rsidRPr="00F05461">
          <w:rPr>
            <w:noProof/>
            <w:webHidden/>
            <w:lang w:val="es-ES"/>
          </w:rPr>
          <w:fldChar w:fldCharType="separate"/>
        </w:r>
        <w:r w:rsidR="00AA3A2B">
          <w:rPr>
            <w:noProof/>
            <w:webHidden/>
            <w:lang w:val="es-ES"/>
          </w:rPr>
          <w:t>41</w:t>
        </w:r>
        <w:r w:rsidRPr="00F05461">
          <w:rPr>
            <w:noProof/>
            <w:webHidden/>
            <w:lang w:val="es-ES"/>
          </w:rPr>
          <w:fldChar w:fldCharType="end"/>
        </w:r>
      </w:hyperlink>
    </w:p>
    <w:p w14:paraId="7FC87DE1" w14:textId="77777777" w:rsidR="00DE1928" w:rsidRPr="00F05461" w:rsidRDefault="00DE1928" w:rsidP="00DE1928">
      <w:pPr>
        <w:pStyle w:val="toc0"/>
        <w:keepNext/>
        <w:keepLines/>
        <w:rPr>
          <w:noProof/>
          <w:lang w:val="es-ES"/>
        </w:rPr>
      </w:pPr>
      <w:r w:rsidRPr="00F05461">
        <w:rPr>
          <w:noProof/>
          <w:lang w:val="es-ES"/>
        </w:rPr>
        <w:lastRenderedPageBreak/>
        <w:tab/>
        <w:t>Página</w:t>
      </w:r>
    </w:p>
    <w:p w14:paraId="283CC78E" w14:textId="21118C3F"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74" w:history="1">
        <w:r w:rsidRPr="00F05461">
          <w:rPr>
            <w:rStyle w:val="Hyperlink"/>
            <w:noProof/>
            <w:lang w:val="es-ES"/>
          </w:rPr>
          <w:t>4.4.1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Ciberseguridad: creación de confianza y seguridad en las TIC</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_Toc227137474 \h </w:instrText>
        </w:r>
        <w:r w:rsidRPr="00F05461">
          <w:rPr>
            <w:noProof/>
            <w:webHidden/>
            <w:lang w:val="es-ES"/>
          </w:rPr>
        </w:r>
        <w:r w:rsidRPr="00F05461">
          <w:rPr>
            <w:noProof/>
            <w:webHidden/>
            <w:lang w:val="es-ES"/>
          </w:rPr>
          <w:fldChar w:fldCharType="separate"/>
        </w:r>
        <w:r w:rsidR="00AA3A2B">
          <w:rPr>
            <w:noProof/>
            <w:webHidden/>
            <w:lang w:val="es-ES"/>
          </w:rPr>
          <w:t>41</w:t>
        </w:r>
        <w:r w:rsidRPr="00F05461">
          <w:rPr>
            <w:noProof/>
            <w:webHidden/>
            <w:lang w:val="es-ES"/>
          </w:rPr>
          <w:fldChar w:fldCharType="end"/>
        </w:r>
      </w:hyperlink>
    </w:p>
    <w:p w14:paraId="3EC05A5E" w14:textId="1D6C8142"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75" w:history="1">
        <w:r w:rsidRPr="00F05461">
          <w:rPr>
            <w:rStyle w:val="Hyperlink"/>
            <w:noProof/>
            <w:lang w:val="es-ES"/>
          </w:rPr>
          <w:t>4.4.2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Tecnologías emergentes: conformar marcos para la transformación</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_Toc227137475 \h </w:instrText>
        </w:r>
        <w:r w:rsidRPr="00F05461">
          <w:rPr>
            <w:noProof/>
            <w:webHidden/>
            <w:lang w:val="es-ES"/>
          </w:rPr>
        </w:r>
        <w:r w:rsidRPr="00F05461">
          <w:rPr>
            <w:noProof/>
            <w:webHidden/>
            <w:lang w:val="es-ES"/>
          </w:rPr>
          <w:fldChar w:fldCharType="separate"/>
        </w:r>
        <w:r w:rsidR="00AA3A2B">
          <w:rPr>
            <w:noProof/>
            <w:webHidden/>
            <w:lang w:val="es-ES"/>
          </w:rPr>
          <w:t>43</w:t>
        </w:r>
        <w:r w:rsidRPr="00F05461">
          <w:rPr>
            <w:noProof/>
            <w:webHidden/>
            <w:lang w:val="es-ES"/>
          </w:rPr>
          <w:fldChar w:fldCharType="end"/>
        </w:r>
      </w:hyperlink>
    </w:p>
    <w:p w14:paraId="7457A26F" w14:textId="428CE7E8"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76" w:history="1">
        <w:r w:rsidRPr="00F05461">
          <w:rPr>
            <w:rStyle w:val="Hyperlink"/>
            <w:noProof/>
            <w:lang w:val="es-ES"/>
          </w:rPr>
          <w:t>4.5</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Presentación de datos y estadísticas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_Toc227137476 \h </w:instrText>
        </w:r>
        <w:r w:rsidRPr="00F05461">
          <w:rPr>
            <w:noProof/>
            <w:webHidden/>
            <w:lang w:val="es-ES"/>
          </w:rPr>
        </w:r>
        <w:r w:rsidRPr="00F05461">
          <w:rPr>
            <w:noProof/>
            <w:webHidden/>
            <w:lang w:val="es-ES"/>
          </w:rPr>
          <w:fldChar w:fldCharType="separate"/>
        </w:r>
        <w:r w:rsidR="00AA3A2B">
          <w:rPr>
            <w:noProof/>
            <w:webHidden/>
            <w:lang w:val="es-ES"/>
          </w:rPr>
          <w:t>48</w:t>
        </w:r>
        <w:r w:rsidRPr="00F05461">
          <w:rPr>
            <w:noProof/>
            <w:webHidden/>
            <w:lang w:val="es-ES"/>
          </w:rPr>
          <w:fldChar w:fldCharType="end"/>
        </w:r>
      </w:hyperlink>
    </w:p>
    <w:p w14:paraId="60FF77CE" w14:textId="2BB3AACF"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77" w:history="1">
        <w:r w:rsidRPr="00F05461">
          <w:rPr>
            <w:rStyle w:val="Hyperlink"/>
            <w:noProof/>
            <w:lang w:val="es-ES"/>
          </w:rPr>
          <w:t>4.6</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Capacitación y competencias digitales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_Toc227137477 \h </w:instrText>
        </w:r>
        <w:r w:rsidRPr="00F05461">
          <w:rPr>
            <w:noProof/>
            <w:webHidden/>
            <w:lang w:val="es-ES"/>
          </w:rPr>
        </w:r>
        <w:r w:rsidRPr="00F05461">
          <w:rPr>
            <w:noProof/>
            <w:webHidden/>
            <w:lang w:val="es-ES"/>
          </w:rPr>
          <w:fldChar w:fldCharType="separate"/>
        </w:r>
        <w:r w:rsidR="00AA3A2B">
          <w:rPr>
            <w:noProof/>
            <w:webHidden/>
            <w:lang w:val="es-ES"/>
          </w:rPr>
          <w:t>48</w:t>
        </w:r>
        <w:r w:rsidRPr="00F05461">
          <w:rPr>
            <w:noProof/>
            <w:webHidden/>
            <w:lang w:val="es-ES"/>
          </w:rPr>
          <w:fldChar w:fldCharType="end"/>
        </w:r>
      </w:hyperlink>
    </w:p>
    <w:p w14:paraId="43A400DD" w14:textId="43E219E3"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78" w:history="1">
        <w:r w:rsidRPr="00F05461">
          <w:rPr>
            <w:rStyle w:val="Hyperlink"/>
            <w:noProof/>
            <w:lang w:val="es-ES"/>
          </w:rPr>
          <w:t>4.7</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Prestación de asistencia técnica</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_Toc227137478 \h </w:instrText>
        </w:r>
        <w:r w:rsidRPr="00F05461">
          <w:rPr>
            <w:noProof/>
            <w:webHidden/>
            <w:lang w:val="es-ES"/>
          </w:rPr>
        </w:r>
        <w:r w:rsidRPr="00F05461">
          <w:rPr>
            <w:noProof/>
            <w:webHidden/>
            <w:lang w:val="es-ES"/>
          </w:rPr>
          <w:fldChar w:fldCharType="separate"/>
        </w:r>
        <w:r w:rsidR="00AA3A2B">
          <w:rPr>
            <w:noProof/>
            <w:webHidden/>
            <w:lang w:val="es-ES"/>
          </w:rPr>
          <w:t>51</w:t>
        </w:r>
        <w:r w:rsidRPr="00F05461">
          <w:rPr>
            <w:noProof/>
            <w:webHidden/>
            <w:lang w:val="es-ES"/>
          </w:rPr>
          <w:fldChar w:fldCharType="end"/>
        </w:r>
      </w:hyperlink>
    </w:p>
    <w:p w14:paraId="05C1EEC3" w14:textId="51249C76"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79" w:history="1">
        <w:r w:rsidRPr="00F05461">
          <w:rPr>
            <w:rStyle w:val="Hyperlink"/>
            <w:noProof/>
            <w:lang w:val="es-ES"/>
          </w:rPr>
          <w:t>4.8</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Plataformas de reunión</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_Toc227137479 \h </w:instrText>
        </w:r>
        <w:r w:rsidRPr="00F05461">
          <w:rPr>
            <w:noProof/>
            <w:webHidden/>
            <w:lang w:val="es-ES"/>
          </w:rPr>
        </w:r>
        <w:r w:rsidRPr="00F05461">
          <w:rPr>
            <w:noProof/>
            <w:webHidden/>
            <w:lang w:val="es-ES"/>
          </w:rPr>
          <w:fldChar w:fldCharType="separate"/>
        </w:r>
        <w:r w:rsidR="00AA3A2B">
          <w:rPr>
            <w:noProof/>
            <w:webHidden/>
            <w:lang w:val="es-ES"/>
          </w:rPr>
          <w:t>54</w:t>
        </w:r>
        <w:r w:rsidRPr="00F05461">
          <w:rPr>
            <w:noProof/>
            <w:webHidden/>
            <w:lang w:val="es-ES"/>
          </w:rPr>
          <w:fldChar w:fldCharType="end"/>
        </w:r>
      </w:hyperlink>
    </w:p>
    <w:p w14:paraId="7BF16576" w14:textId="219E4FCB"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80" w:history="1">
        <w:r w:rsidRPr="00F05461">
          <w:rPr>
            <w:rStyle w:val="Hyperlink"/>
            <w:noProof/>
            <w:lang w:val="es-ES"/>
          </w:rPr>
          <w:t>4.8.1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Proceso de la CMSI</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_Toc227137480 \h </w:instrText>
        </w:r>
        <w:r w:rsidRPr="00F05461">
          <w:rPr>
            <w:noProof/>
            <w:webHidden/>
            <w:lang w:val="es-ES"/>
          </w:rPr>
        </w:r>
        <w:r w:rsidRPr="00F05461">
          <w:rPr>
            <w:noProof/>
            <w:webHidden/>
            <w:lang w:val="es-ES"/>
          </w:rPr>
          <w:fldChar w:fldCharType="separate"/>
        </w:r>
        <w:r w:rsidR="00AA3A2B">
          <w:rPr>
            <w:noProof/>
            <w:webHidden/>
            <w:lang w:val="es-ES"/>
          </w:rPr>
          <w:t>54</w:t>
        </w:r>
        <w:r w:rsidRPr="00F05461">
          <w:rPr>
            <w:noProof/>
            <w:webHidden/>
            <w:lang w:val="es-ES"/>
          </w:rPr>
          <w:fldChar w:fldCharType="end"/>
        </w:r>
      </w:hyperlink>
    </w:p>
    <w:p w14:paraId="76CE49AA" w14:textId="1B28D625"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81" w:history="1">
        <w:r w:rsidRPr="00F05461">
          <w:rPr>
            <w:rStyle w:val="Hyperlink"/>
            <w:noProof/>
            <w:lang w:val="es-ES"/>
          </w:rPr>
          <w:t>4.8.2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AI for Good</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_Toc227137481 \h </w:instrText>
        </w:r>
        <w:r w:rsidRPr="00F05461">
          <w:rPr>
            <w:noProof/>
            <w:webHidden/>
            <w:lang w:val="es-ES"/>
          </w:rPr>
        </w:r>
        <w:r w:rsidRPr="00F05461">
          <w:rPr>
            <w:noProof/>
            <w:webHidden/>
            <w:lang w:val="es-ES"/>
          </w:rPr>
          <w:fldChar w:fldCharType="separate"/>
        </w:r>
        <w:r w:rsidR="00AA3A2B">
          <w:rPr>
            <w:noProof/>
            <w:webHidden/>
            <w:lang w:val="es-ES"/>
          </w:rPr>
          <w:t>56</w:t>
        </w:r>
        <w:r w:rsidRPr="00F05461">
          <w:rPr>
            <w:noProof/>
            <w:webHidden/>
            <w:lang w:val="es-ES"/>
          </w:rPr>
          <w:fldChar w:fldCharType="end"/>
        </w:r>
      </w:hyperlink>
    </w:p>
    <w:p w14:paraId="62ECEAE1" w14:textId="489CBA58"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82" w:history="1">
        <w:r w:rsidRPr="00F05461">
          <w:rPr>
            <w:rStyle w:val="Hyperlink"/>
            <w:noProof/>
            <w:lang w:val="es-ES"/>
          </w:rPr>
          <w:t>4.8.3</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Simposio Mundial de Normalización</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_Toc227137482 \h </w:instrText>
        </w:r>
        <w:r w:rsidRPr="00F05461">
          <w:rPr>
            <w:noProof/>
            <w:webHidden/>
            <w:lang w:val="es-ES"/>
          </w:rPr>
        </w:r>
        <w:r w:rsidRPr="00F05461">
          <w:rPr>
            <w:noProof/>
            <w:webHidden/>
            <w:lang w:val="es-ES"/>
          </w:rPr>
          <w:fldChar w:fldCharType="separate"/>
        </w:r>
        <w:r w:rsidR="00AA3A2B">
          <w:rPr>
            <w:noProof/>
            <w:webHidden/>
            <w:lang w:val="es-ES"/>
          </w:rPr>
          <w:t>57</w:t>
        </w:r>
        <w:r w:rsidRPr="00F05461">
          <w:rPr>
            <w:noProof/>
            <w:webHidden/>
            <w:lang w:val="es-ES"/>
          </w:rPr>
          <w:fldChar w:fldCharType="end"/>
        </w:r>
      </w:hyperlink>
    </w:p>
    <w:p w14:paraId="35FB97C6" w14:textId="5198EBE0"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83" w:history="1">
        <w:r w:rsidRPr="00F05461">
          <w:rPr>
            <w:rStyle w:val="Hyperlink"/>
            <w:noProof/>
            <w:lang w:val="es-ES"/>
          </w:rPr>
          <w:t>4.8.4</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Simposio Mundial para Organismos Reguladores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_Toc227137483 \h </w:instrText>
        </w:r>
        <w:r w:rsidRPr="00F05461">
          <w:rPr>
            <w:noProof/>
            <w:webHidden/>
            <w:lang w:val="es-ES"/>
          </w:rPr>
        </w:r>
        <w:r w:rsidRPr="00F05461">
          <w:rPr>
            <w:noProof/>
            <w:webHidden/>
            <w:lang w:val="es-ES"/>
          </w:rPr>
          <w:fldChar w:fldCharType="separate"/>
        </w:r>
        <w:r w:rsidR="00AA3A2B">
          <w:rPr>
            <w:noProof/>
            <w:webHidden/>
            <w:lang w:val="es-ES"/>
          </w:rPr>
          <w:t>57</w:t>
        </w:r>
        <w:r w:rsidRPr="00F05461">
          <w:rPr>
            <w:noProof/>
            <w:webHidden/>
            <w:lang w:val="es-ES"/>
          </w:rPr>
          <w:fldChar w:fldCharType="end"/>
        </w:r>
      </w:hyperlink>
    </w:p>
    <w:p w14:paraId="0FFA5F33" w14:textId="2CAAF767"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84" w:history="1">
        <w:r w:rsidRPr="00F05461">
          <w:rPr>
            <w:rStyle w:val="Hyperlink"/>
            <w:noProof/>
            <w:lang w:val="es-ES"/>
          </w:rPr>
          <w:t>4.8.5</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Participación de las instituciones académicas en la labor de la UIT</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_Toc227137484 \h </w:instrText>
        </w:r>
        <w:r w:rsidRPr="00F05461">
          <w:rPr>
            <w:noProof/>
            <w:webHidden/>
            <w:lang w:val="es-ES"/>
          </w:rPr>
        </w:r>
        <w:r w:rsidRPr="00F05461">
          <w:rPr>
            <w:noProof/>
            <w:webHidden/>
            <w:lang w:val="es-ES"/>
          </w:rPr>
          <w:fldChar w:fldCharType="separate"/>
        </w:r>
        <w:r w:rsidR="00AA3A2B">
          <w:rPr>
            <w:noProof/>
            <w:webHidden/>
            <w:lang w:val="es-ES"/>
          </w:rPr>
          <w:t>58</w:t>
        </w:r>
        <w:r w:rsidRPr="00F05461">
          <w:rPr>
            <w:noProof/>
            <w:webHidden/>
            <w:lang w:val="es-ES"/>
          </w:rPr>
          <w:fldChar w:fldCharType="end"/>
        </w:r>
      </w:hyperlink>
    </w:p>
    <w:p w14:paraId="1322D9F5" w14:textId="36189FB5" w:rsidR="00DE1928" w:rsidRPr="00F05461" w:rsidRDefault="00DE1928">
      <w:pPr>
        <w:pStyle w:val="TOC1"/>
        <w:rPr>
          <w:rFonts w:asciiTheme="minorHAnsi" w:eastAsiaTheme="minorEastAsia" w:hAnsiTheme="minorHAnsi" w:cstheme="minorBidi"/>
          <w:noProof/>
          <w:sz w:val="22"/>
          <w:szCs w:val="22"/>
          <w:lang w:val="es-ES" w:eastAsia="zh-CN"/>
        </w:rPr>
      </w:pPr>
      <w:hyperlink w:anchor="_Toc227137485" w:history="1">
        <w:r w:rsidRPr="00F05461">
          <w:rPr>
            <w:rStyle w:val="Hyperlink"/>
            <w:noProof/>
            <w:lang w:val="es-ES"/>
          </w:rPr>
          <w:t>5</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Factores habilitadores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_Toc227137485 \h </w:instrText>
        </w:r>
        <w:r w:rsidRPr="00F05461">
          <w:rPr>
            <w:noProof/>
            <w:webHidden/>
            <w:lang w:val="es-ES"/>
          </w:rPr>
        </w:r>
        <w:r w:rsidRPr="00F05461">
          <w:rPr>
            <w:noProof/>
            <w:webHidden/>
            <w:lang w:val="es-ES"/>
          </w:rPr>
          <w:fldChar w:fldCharType="separate"/>
        </w:r>
        <w:r w:rsidR="00AA3A2B">
          <w:rPr>
            <w:noProof/>
            <w:webHidden/>
            <w:lang w:val="es-ES"/>
          </w:rPr>
          <w:t>62</w:t>
        </w:r>
        <w:r w:rsidRPr="00F05461">
          <w:rPr>
            <w:noProof/>
            <w:webHidden/>
            <w:lang w:val="es-ES"/>
          </w:rPr>
          <w:fldChar w:fldCharType="end"/>
        </w:r>
      </w:hyperlink>
    </w:p>
    <w:p w14:paraId="3B1048D9" w14:textId="2EB5EC22"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86" w:history="1">
        <w:r w:rsidRPr="00F05461">
          <w:rPr>
            <w:rStyle w:val="Hyperlink"/>
            <w:noProof/>
            <w:lang w:val="es-ES"/>
          </w:rPr>
          <w:t>5.1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Enfoque impulsado por los Miembros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_Toc227137486 \h </w:instrText>
        </w:r>
        <w:r w:rsidRPr="00F05461">
          <w:rPr>
            <w:noProof/>
            <w:webHidden/>
            <w:lang w:val="es-ES"/>
          </w:rPr>
        </w:r>
        <w:r w:rsidRPr="00F05461">
          <w:rPr>
            <w:noProof/>
            <w:webHidden/>
            <w:lang w:val="es-ES"/>
          </w:rPr>
          <w:fldChar w:fldCharType="separate"/>
        </w:r>
        <w:r w:rsidR="00AA3A2B">
          <w:rPr>
            <w:noProof/>
            <w:webHidden/>
            <w:lang w:val="es-ES"/>
          </w:rPr>
          <w:t>62</w:t>
        </w:r>
        <w:r w:rsidRPr="00F05461">
          <w:rPr>
            <w:noProof/>
            <w:webHidden/>
            <w:lang w:val="es-ES"/>
          </w:rPr>
          <w:fldChar w:fldCharType="end"/>
        </w:r>
      </w:hyperlink>
    </w:p>
    <w:p w14:paraId="7AC77330" w14:textId="2A9D1F37"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87" w:history="1">
        <w:r w:rsidRPr="00F05461">
          <w:rPr>
            <w:rStyle w:val="Hyperlink"/>
            <w:noProof/>
            <w:lang w:val="es-ES"/>
          </w:rPr>
          <w:t>5.2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Presencia regional</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_Toc227137487 \h </w:instrText>
        </w:r>
        <w:r w:rsidRPr="00F05461">
          <w:rPr>
            <w:noProof/>
            <w:webHidden/>
            <w:lang w:val="es-ES"/>
          </w:rPr>
        </w:r>
        <w:r w:rsidRPr="00F05461">
          <w:rPr>
            <w:noProof/>
            <w:webHidden/>
            <w:lang w:val="es-ES"/>
          </w:rPr>
          <w:fldChar w:fldCharType="separate"/>
        </w:r>
        <w:r w:rsidR="00AA3A2B">
          <w:rPr>
            <w:noProof/>
            <w:webHidden/>
            <w:lang w:val="es-ES"/>
          </w:rPr>
          <w:t>63</w:t>
        </w:r>
        <w:r w:rsidRPr="00F05461">
          <w:rPr>
            <w:noProof/>
            <w:webHidden/>
            <w:lang w:val="es-ES"/>
          </w:rPr>
          <w:fldChar w:fldCharType="end"/>
        </w:r>
      </w:hyperlink>
    </w:p>
    <w:p w14:paraId="509AE7C8" w14:textId="28328AF7"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88" w:history="1">
        <w:r w:rsidRPr="00F05461">
          <w:rPr>
            <w:rStyle w:val="Hyperlink"/>
            <w:noProof/>
            <w:lang w:val="es-ES"/>
          </w:rPr>
          <w:t>5.3</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Participación de todos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_Toc227137488 \h </w:instrText>
        </w:r>
        <w:r w:rsidRPr="00F05461">
          <w:rPr>
            <w:noProof/>
            <w:webHidden/>
            <w:lang w:val="es-ES"/>
          </w:rPr>
        </w:r>
        <w:r w:rsidRPr="00F05461">
          <w:rPr>
            <w:noProof/>
            <w:webHidden/>
            <w:lang w:val="es-ES"/>
          </w:rPr>
          <w:fldChar w:fldCharType="separate"/>
        </w:r>
        <w:r w:rsidR="00AA3A2B">
          <w:rPr>
            <w:noProof/>
            <w:webHidden/>
            <w:lang w:val="es-ES"/>
          </w:rPr>
          <w:t>64</w:t>
        </w:r>
        <w:r w:rsidRPr="00F05461">
          <w:rPr>
            <w:noProof/>
            <w:webHidden/>
            <w:lang w:val="es-ES"/>
          </w:rPr>
          <w:fldChar w:fldCharType="end"/>
        </w:r>
      </w:hyperlink>
    </w:p>
    <w:p w14:paraId="61BABA7F" w14:textId="3573BA2F"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89" w:history="1">
        <w:r w:rsidRPr="00F05461">
          <w:rPr>
            <w:rStyle w:val="Hyperlink"/>
            <w:noProof/>
            <w:lang w:val="es-ES"/>
          </w:rPr>
          <w:t>5.3.1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Igualdad de género</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_Toc227137489 \h </w:instrText>
        </w:r>
        <w:r w:rsidRPr="00F05461">
          <w:rPr>
            <w:noProof/>
            <w:webHidden/>
            <w:lang w:val="es-ES"/>
          </w:rPr>
        </w:r>
        <w:r w:rsidRPr="00F05461">
          <w:rPr>
            <w:noProof/>
            <w:webHidden/>
            <w:lang w:val="es-ES"/>
          </w:rPr>
          <w:fldChar w:fldCharType="separate"/>
        </w:r>
        <w:r w:rsidR="00AA3A2B">
          <w:rPr>
            <w:noProof/>
            <w:webHidden/>
            <w:lang w:val="es-ES"/>
          </w:rPr>
          <w:t>65</w:t>
        </w:r>
        <w:r w:rsidRPr="00F05461">
          <w:rPr>
            <w:noProof/>
            <w:webHidden/>
            <w:lang w:val="es-ES"/>
          </w:rPr>
          <w:fldChar w:fldCharType="end"/>
        </w:r>
      </w:hyperlink>
    </w:p>
    <w:p w14:paraId="539187FB" w14:textId="0F4EF046"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90" w:history="1">
        <w:r w:rsidRPr="00F05461">
          <w:rPr>
            <w:rStyle w:val="Hyperlink"/>
            <w:noProof/>
            <w:lang w:val="es-ES"/>
          </w:rPr>
          <w:t>5.3.2</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Empoderamiento de los jóvenes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_Toc227137490 \h </w:instrText>
        </w:r>
        <w:r w:rsidRPr="00F05461">
          <w:rPr>
            <w:noProof/>
            <w:webHidden/>
            <w:lang w:val="es-ES"/>
          </w:rPr>
        </w:r>
        <w:r w:rsidRPr="00F05461">
          <w:rPr>
            <w:noProof/>
            <w:webHidden/>
            <w:lang w:val="es-ES"/>
          </w:rPr>
          <w:fldChar w:fldCharType="separate"/>
        </w:r>
        <w:r w:rsidR="00AA3A2B">
          <w:rPr>
            <w:noProof/>
            <w:webHidden/>
            <w:lang w:val="es-ES"/>
          </w:rPr>
          <w:t>69</w:t>
        </w:r>
        <w:r w:rsidRPr="00F05461">
          <w:rPr>
            <w:noProof/>
            <w:webHidden/>
            <w:lang w:val="es-ES"/>
          </w:rPr>
          <w:fldChar w:fldCharType="end"/>
        </w:r>
      </w:hyperlink>
    </w:p>
    <w:p w14:paraId="111A8CF7" w14:textId="42E3138D"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91" w:history="1">
        <w:r w:rsidRPr="00F05461">
          <w:rPr>
            <w:rStyle w:val="Hyperlink"/>
            <w:noProof/>
            <w:lang w:val="es-ES"/>
          </w:rPr>
          <w:t>5.3.3</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TIC y accesibilidad digital</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_Toc227137491 \h </w:instrText>
        </w:r>
        <w:r w:rsidRPr="00F05461">
          <w:rPr>
            <w:noProof/>
            <w:webHidden/>
            <w:lang w:val="es-ES"/>
          </w:rPr>
        </w:r>
        <w:r w:rsidRPr="00F05461">
          <w:rPr>
            <w:noProof/>
            <w:webHidden/>
            <w:lang w:val="es-ES"/>
          </w:rPr>
          <w:fldChar w:fldCharType="separate"/>
        </w:r>
        <w:r w:rsidR="00AA3A2B">
          <w:rPr>
            <w:noProof/>
            <w:webHidden/>
            <w:lang w:val="es-ES"/>
          </w:rPr>
          <w:t>71</w:t>
        </w:r>
        <w:r w:rsidRPr="00F05461">
          <w:rPr>
            <w:noProof/>
            <w:webHidden/>
            <w:lang w:val="es-ES"/>
          </w:rPr>
          <w:fldChar w:fldCharType="end"/>
        </w:r>
      </w:hyperlink>
    </w:p>
    <w:p w14:paraId="429E9EF8" w14:textId="5A5BB611"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92" w:history="1">
        <w:r w:rsidRPr="00F05461">
          <w:rPr>
            <w:rStyle w:val="Hyperlink"/>
            <w:noProof/>
            <w:lang w:val="es-ES"/>
          </w:rPr>
          <w:t>5.3.4</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Soluciones para comunidades rurales, aisladas e indígenas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_Toc227137492 \h </w:instrText>
        </w:r>
        <w:r w:rsidRPr="00F05461">
          <w:rPr>
            <w:noProof/>
            <w:webHidden/>
            <w:lang w:val="es-ES"/>
          </w:rPr>
        </w:r>
        <w:r w:rsidRPr="00F05461">
          <w:rPr>
            <w:noProof/>
            <w:webHidden/>
            <w:lang w:val="es-ES"/>
          </w:rPr>
          <w:fldChar w:fldCharType="separate"/>
        </w:r>
        <w:r w:rsidR="00AA3A2B">
          <w:rPr>
            <w:noProof/>
            <w:webHidden/>
            <w:lang w:val="es-ES"/>
          </w:rPr>
          <w:t>74</w:t>
        </w:r>
        <w:r w:rsidRPr="00F05461">
          <w:rPr>
            <w:noProof/>
            <w:webHidden/>
            <w:lang w:val="es-ES"/>
          </w:rPr>
          <w:fldChar w:fldCharType="end"/>
        </w:r>
      </w:hyperlink>
    </w:p>
    <w:p w14:paraId="5A45759F" w14:textId="2B6590E7"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93" w:history="1">
        <w:r w:rsidRPr="00F05461">
          <w:rPr>
            <w:rStyle w:val="Hyperlink"/>
            <w:noProof/>
            <w:lang w:val="es-ES"/>
          </w:rPr>
          <w:t>5.3.5</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Apoyo a las poblaciones en fase de envejecimiento</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_Toc227137493 \h </w:instrText>
        </w:r>
        <w:r w:rsidRPr="00F05461">
          <w:rPr>
            <w:noProof/>
            <w:webHidden/>
            <w:lang w:val="es-ES"/>
          </w:rPr>
        </w:r>
        <w:r w:rsidRPr="00F05461">
          <w:rPr>
            <w:noProof/>
            <w:webHidden/>
            <w:lang w:val="es-ES"/>
          </w:rPr>
          <w:fldChar w:fldCharType="separate"/>
        </w:r>
        <w:r w:rsidR="00AA3A2B">
          <w:rPr>
            <w:noProof/>
            <w:webHidden/>
            <w:lang w:val="es-ES"/>
          </w:rPr>
          <w:t>74</w:t>
        </w:r>
        <w:r w:rsidRPr="00F05461">
          <w:rPr>
            <w:noProof/>
            <w:webHidden/>
            <w:lang w:val="es-ES"/>
          </w:rPr>
          <w:fldChar w:fldCharType="end"/>
        </w:r>
      </w:hyperlink>
    </w:p>
    <w:p w14:paraId="35BE3352" w14:textId="005D65FD"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94" w:history="1">
        <w:r w:rsidRPr="00F05461">
          <w:rPr>
            <w:rStyle w:val="Hyperlink"/>
            <w:noProof/>
            <w:lang w:val="es-ES"/>
          </w:rPr>
          <w:t>5.4</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Compromiso con la sostenibilidad medioambiental</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_Toc227137494 \h </w:instrText>
        </w:r>
        <w:r w:rsidRPr="00F05461">
          <w:rPr>
            <w:noProof/>
            <w:webHidden/>
            <w:lang w:val="es-ES"/>
          </w:rPr>
        </w:r>
        <w:r w:rsidRPr="00F05461">
          <w:rPr>
            <w:noProof/>
            <w:webHidden/>
            <w:lang w:val="es-ES"/>
          </w:rPr>
          <w:fldChar w:fldCharType="separate"/>
        </w:r>
        <w:r w:rsidR="00AA3A2B">
          <w:rPr>
            <w:noProof/>
            <w:webHidden/>
            <w:lang w:val="es-ES"/>
          </w:rPr>
          <w:t>75</w:t>
        </w:r>
        <w:r w:rsidRPr="00F05461">
          <w:rPr>
            <w:noProof/>
            <w:webHidden/>
            <w:lang w:val="es-ES"/>
          </w:rPr>
          <w:fldChar w:fldCharType="end"/>
        </w:r>
      </w:hyperlink>
    </w:p>
    <w:p w14:paraId="5CC3B378" w14:textId="150B9C29"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95" w:history="1">
        <w:r w:rsidRPr="00F05461">
          <w:rPr>
            <w:rStyle w:val="Hyperlink"/>
            <w:noProof/>
            <w:lang w:val="es-ES"/>
          </w:rPr>
          <w:t>5.5</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Asociaciones y cooperación internacional</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_Toc227137495 \h </w:instrText>
        </w:r>
        <w:r w:rsidRPr="00F05461">
          <w:rPr>
            <w:noProof/>
            <w:webHidden/>
            <w:lang w:val="es-ES"/>
          </w:rPr>
        </w:r>
        <w:r w:rsidRPr="00F05461">
          <w:rPr>
            <w:noProof/>
            <w:webHidden/>
            <w:lang w:val="es-ES"/>
          </w:rPr>
          <w:fldChar w:fldCharType="separate"/>
        </w:r>
        <w:r w:rsidR="00AA3A2B">
          <w:rPr>
            <w:noProof/>
            <w:webHidden/>
            <w:lang w:val="es-ES"/>
          </w:rPr>
          <w:t>80</w:t>
        </w:r>
        <w:r w:rsidRPr="00F05461">
          <w:rPr>
            <w:noProof/>
            <w:webHidden/>
            <w:lang w:val="es-ES"/>
          </w:rPr>
          <w:fldChar w:fldCharType="end"/>
        </w:r>
      </w:hyperlink>
    </w:p>
    <w:p w14:paraId="5AC8E4E6" w14:textId="3D685AE2" w:rsidR="00DE1928" w:rsidRPr="00F05461" w:rsidRDefault="00DE1928">
      <w:pPr>
        <w:pStyle w:val="TOC3"/>
        <w:rPr>
          <w:rFonts w:asciiTheme="minorHAnsi" w:eastAsiaTheme="minorEastAsia" w:hAnsiTheme="minorHAnsi" w:cstheme="minorBidi"/>
          <w:noProof/>
          <w:sz w:val="22"/>
          <w:szCs w:val="22"/>
          <w:lang w:val="es-ES" w:eastAsia="zh-CN"/>
        </w:rPr>
      </w:pPr>
      <w:hyperlink w:anchor="_Toc227137496" w:history="1">
        <w:r w:rsidRPr="00F05461">
          <w:rPr>
            <w:rStyle w:val="Hyperlink"/>
            <w:noProof/>
            <w:lang w:val="es-ES"/>
          </w:rPr>
          <w:t>5.5.1</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Colaboración con el sistema de las Naciones Unidas y otros procesos intergubernamentales internacionales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_Toc227137496 \h </w:instrText>
        </w:r>
        <w:r w:rsidRPr="00F05461">
          <w:rPr>
            <w:noProof/>
            <w:webHidden/>
            <w:lang w:val="es-ES"/>
          </w:rPr>
        </w:r>
        <w:r w:rsidRPr="00F05461">
          <w:rPr>
            <w:noProof/>
            <w:webHidden/>
            <w:lang w:val="es-ES"/>
          </w:rPr>
          <w:fldChar w:fldCharType="separate"/>
        </w:r>
        <w:r w:rsidR="00AA3A2B">
          <w:rPr>
            <w:noProof/>
            <w:webHidden/>
            <w:lang w:val="es-ES"/>
          </w:rPr>
          <w:t>92</w:t>
        </w:r>
        <w:r w:rsidRPr="00F05461">
          <w:rPr>
            <w:noProof/>
            <w:webHidden/>
            <w:lang w:val="es-ES"/>
          </w:rPr>
          <w:fldChar w:fldCharType="end"/>
        </w:r>
      </w:hyperlink>
    </w:p>
    <w:p w14:paraId="68023161" w14:textId="51695796"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97" w:history="1">
        <w:r w:rsidRPr="00F05461">
          <w:rPr>
            <w:rStyle w:val="Hyperlink"/>
            <w:noProof/>
            <w:lang w:val="es-ES"/>
          </w:rPr>
          <w:t>5.6</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Movilización de recursos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_Toc227137497 \h </w:instrText>
        </w:r>
        <w:r w:rsidRPr="00F05461">
          <w:rPr>
            <w:noProof/>
            <w:webHidden/>
            <w:lang w:val="es-ES"/>
          </w:rPr>
        </w:r>
        <w:r w:rsidRPr="00F05461">
          <w:rPr>
            <w:noProof/>
            <w:webHidden/>
            <w:lang w:val="es-ES"/>
          </w:rPr>
          <w:fldChar w:fldCharType="separate"/>
        </w:r>
        <w:r w:rsidR="00AA3A2B">
          <w:rPr>
            <w:noProof/>
            <w:webHidden/>
            <w:lang w:val="es-ES"/>
          </w:rPr>
          <w:t>94</w:t>
        </w:r>
        <w:r w:rsidRPr="00F05461">
          <w:rPr>
            <w:noProof/>
            <w:webHidden/>
            <w:lang w:val="es-ES"/>
          </w:rPr>
          <w:fldChar w:fldCharType="end"/>
        </w:r>
      </w:hyperlink>
    </w:p>
    <w:p w14:paraId="372D50AC" w14:textId="4E157009"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98" w:history="1">
        <w:r w:rsidRPr="00F05461">
          <w:rPr>
            <w:rStyle w:val="Hyperlink"/>
            <w:noProof/>
            <w:lang w:val="es-ES"/>
          </w:rPr>
          <w:t>5.7</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Proceso de transformación: fomento de la excelencia orgánica</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_Toc227137498 \h </w:instrText>
        </w:r>
        <w:r w:rsidRPr="00F05461">
          <w:rPr>
            <w:noProof/>
            <w:webHidden/>
            <w:lang w:val="es-ES"/>
          </w:rPr>
        </w:r>
        <w:r w:rsidRPr="00F05461">
          <w:rPr>
            <w:noProof/>
            <w:webHidden/>
            <w:lang w:val="es-ES"/>
          </w:rPr>
          <w:fldChar w:fldCharType="separate"/>
        </w:r>
        <w:r w:rsidR="00AA3A2B">
          <w:rPr>
            <w:noProof/>
            <w:webHidden/>
            <w:lang w:val="es-ES"/>
          </w:rPr>
          <w:t>95</w:t>
        </w:r>
        <w:r w:rsidRPr="00F05461">
          <w:rPr>
            <w:noProof/>
            <w:webHidden/>
            <w:lang w:val="es-ES"/>
          </w:rPr>
          <w:fldChar w:fldCharType="end"/>
        </w:r>
      </w:hyperlink>
    </w:p>
    <w:p w14:paraId="607CA8AE" w14:textId="3D6D398D"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499" w:history="1">
        <w:r w:rsidRPr="00F05461">
          <w:rPr>
            <w:rStyle w:val="Hyperlink"/>
            <w:bCs/>
            <w:noProof/>
            <w:lang w:val="es-ES"/>
          </w:rPr>
          <w:t>5.8</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Recursos Humanos</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_Toc227137499 \h </w:instrText>
        </w:r>
        <w:r w:rsidRPr="00F05461">
          <w:rPr>
            <w:noProof/>
            <w:webHidden/>
            <w:lang w:val="es-ES"/>
          </w:rPr>
        </w:r>
        <w:r w:rsidRPr="00F05461">
          <w:rPr>
            <w:noProof/>
            <w:webHidden/>
            <w:lang w:val="es-ES"/>
          </w:rPr>
          <w:fldChar w:fldCharType="separate"/>
        </w:r>
        <w:r w:rsidR="00AA3A2B">
          <w:rPr>
            <w:noProof/>
            <w:webHidden/>
            <w:lang w:val="es-ES"/>
          </w:rPr>
          <w:t>96</w:t>
        </w:r>
        <w:r w:rsidRPr="00F05461">
          <w:rPr>
            <w:noProof/>
            <w:webHidden/>
            <w:lang w:val="es-ES"/>
          </w:rPr>
          <w:fldChar w:fldCharType="end"/>
        </w:r>
      </w:hyperlink>
    </w:p>
    <w:p w14:paraId="295FFF04" w14:textId="6601AD2C" w:rsidR="00DE1928" w:rsidRPr="00F05461" w:rsidRDefault="00DE1928">
      <w:pPr>
        <w:pStyle w:val="TOC2"/>
        <w:rPr>
          <w:rFonts w:asciiTheme="minorHAnsi" w:eastAsiaTheme="minorEastAsia" w:hAnsiTheme="minorHAnsi" w:cstheme="minorBidi"/>
          <w:noProof/>
          <w:sz w:val="22"/>
          <w:szCs w:val="22"/>
          <w:lang w:val="es-ES" w:eastAsia="zh-CN"/>
        </w:rPr>
      </w:pPr>
      <w:hyperlink w:anchor="_Toc227137500" w:history="1">
        <w:r w:rsidRPr="00F05461">
          <w:rPr>
            <w:rStyle w:val="Hyperlink"/>
            <w:noProof/>
            <w:lang w:val="es-ES"/>
          </w:rPr>
          <w:t>5.9</w:t>
        </w:r>
        <w:r w:rsidRPr="00F05461">
          <w:rPr>
            <w:rFonts w:asciiTheme="minorHAnsi" w:eastAsiaTheme="minorEastAsia" w:hAnsiTheme="minorHAnsi" w:cstheme="minorBidi"/>
            <w:noProof/>
            <w:sz w:val="22"/>
            <w:szCs w:val="22"/>
            <w:lang w:val="es-ES" w:eastAsia="zh-CN"/>
          </w:rPr>
          <w:tab/>
        </w:r>
        <w:r w:rsidRPr="00F05461">
          <w:rPr>
            <w:rStyle w:val="Hyperlink"/>
            <w:noProof/>
            <w:lang w:val="es-ES"/>
          </w:rPr>
          <w:t>Situación de la aplicación de las Resoluciones de la PP</w:t>
        </w:r>
        <w:r w:rsidRPr="00F05461">
          <w:rPr>
            <w:noProof/>
            <w:webHidden/>
            <w:lang w:val="es-ES"/>
          </w:rPr>
          <w:tab/>
        </w:r>
        <w:r w:rsidRPr="00F05461">
          <w:rPr>
            <w:noProof/>
            <w:webHidden/>
            <w:lang w:val="es-ES"/>
          </w:rPr>
          <w:tab/>
        </w:r>
        <w:r w:rsidRPr="00F05461">
          <w:rPr>
            <w:noProof/>
            <w:webHidden/>
            <w:lang w:val="es-ES"/>
          </w:rPr>
          <w:fldChar w:fldCharType="begin"/>
        </w:r>
        <w:r w:rsidRPr="00F05461">
          <w:rPr>
            <w:noProof/>
            <w:webHidden/>
            <w:lang w:val="es-ES"/>
          </w:rPr>
          <w:instrText xml:space="preserve"> PAGEREF _Toc227137500 \h </w:instrText>
        </w:r>
        <w:r w:rsidRPr="00F05461">
          <w:rPr>
            <w:noProof/>
            <w:webHidden/>
            <w:lang w:val="es-ES"/>
          </w:rPr>
        </w:r>
        <w:r w:rsidRPr="00F05461">
          <w:rPr>
            <w:noProof/>
            <w:webHidden/>
            <w:lang w:val="es-ES"/>
          </w:rPr>
          <w:fldChar w:fldCharType="separate"/>
        </w:r>
        <w:r w:rsidR="00AA3A2B">
          <w:rPr>
            <w:noProof/>
            <w:webHidden/>
            <w:lang w:val="es-ES"/>
          </w:rPr>
          <w:t>100</w:t>
        </w:r>
        <w:r w:rsidRPr="00F05461">
          <w:rPr>
            <w:noProof/>
            <w:webHidden/>
            <w:lang w:val="es-ES"/>
          </w:rPr>
          <w:fldChar w:fldCharType="end"/>
        </w:r>
      </w:hyperlink>
    </w:p>
    <w:p w14:paraId="76F6ABCC" w14:textId="77777777" w:rsidR="009776E2" w:rsidRPr="00F05461" w:rsidRDefault="00312480" w:rsidP="00004469">
      <w:pPr>
        <w:rPr>
          <w:lang w:val="es-ES"/>
        </w:rPr>
      </w:pPr>
      <w:r w:rsidRPr="00F05461">
        <w:rPr>
          <w:lang w:val="es-ES"/>
        </w:rPr>
        <w:fldChar w:fldCharType="end"/>
      </w:r>
    </w:p>
    <w:p w14:paraId="0F5FA031" w14:textId="6291304C" w:rsidR="009776E2" w:rsidRPr="00F05461" w:rsidRDefault="009776E2" w:rsidP="00004469">
      <w:pPr>
        <w:rPr>
          <w:lang w:val="es-ES"/>
        </w:rPr>
        <w:sectPr w:rsidR="009776E2" w:rsidRPr="00F05461" w:rsidSect="009776E2">
          <w:footerReference w:type="default" r:id="rId12"/>
          <w:headerReference w:type="first" r:id="rId13"/>
          <w:footerReference w:type="first" r:id="rId14"/>
          <w:pgSz w:w="11907" w:h="16834"/>
          <w:pgMar w:top="1418" w:right="1418" w:bottom="1418" w:left="1418" w:header="720" w:footer="720" w:gutter="0"/>
          <w:paperSrc w:first="286" w:other="286"/>
          <w:pgNumType w:fmt="lowerRoman"/>
          <w:cols w:space="720"/>
          <w:titlePg/>
        </w:sectPr>
      </w:pPr>
    </w:p>
    <w:p w14:paraId="19DA4BAB" w14:textId="0909982F" w:rsidR="005D7B2C" w:rsidRPr="00C8537E" w:rsidRDefault="00312480" w:rsidP="00312480">
      <w:pPr>
        <w:pStyle w:val="Heading1"/>
        <w:rPr>
          <w:color w:val="1F497D"/>
          <w:lang w:val="es-ES"/>
        </w:rPr>
      </w:pPr>
      <w:bookmarkStart w:id="3" w:name="_Toc227137447"/>
      <w:r w:rsidRPr="00C8537E">
        <w:rPr>
          <w:color w:val="1F497D"/>
          <w:lang w:val="es-ES"/>
        </w:rPr>
        <w:lastRenderedPageBreak/>
        <w:t>i</w:t>
      </w:r>
      <w:r w:rsidRPr="00C8537E">
        <w:rPr>
          <w:color w:val="1F497D"/>
          <w:lang w:val="es-ES"/>
        </w:rPr>
        <w:tab/>
      </w:r>
      <w:r w:rsidR="005D7B2C" w:rsidRPr="00C8537E">
        <w:rPr>
          <w:color w:val="1F497D"/>
          <w:lang w:val="es-ES"/>
        </w:rPr>
        <w:t>Resumen ejecutivo</w:t>
      </w:r>
      <w:bookmarkEnd w:id="3"/>
    </w:p>
    <w:p w14:paraId="66959FB5" w14:textId="64D46FF2" w:rsidR="005D7B2C" w:rsidRPr="00F05461" w:rsidRDefault="005D7B2C" w:rsidP="005D7B2C">
      <w:pPr>
        <w:rPr>
          <w:lang w:val="es-ES"/>
        </w:rPr>
      </w:pPr>
      <w:r w:rsidRPr="00F05461">
        <w:rPr>
          <w:lang w:val="es-ES"/>
        </w:rPr>
        <w:t>En el presente informe se examina la ejecución de los planes estratégicos y las actividades de la</w:t>
      </w:r>
      <w:r w:rsidR="009C61B5" w:rsidRPr="00F05461">
        <w:rPr>
          <w:lang w:val="es-ES"/>
        </w:rPr>
        <w:t> </w:t>
      </w:r>
      <w:r w:rsidR="00A154BC" w:rsidRPr="00F05461">
        <w:rPr>
          <w:lang w:val="es-ES"/>
        </w:rPr>
        <w:t>Unión Internacional de Telecomunicaciones (</w:t>
      </w:r>
      <w:r w:rsidRPr="00F05461">
        <w:rPr>
          <w:lang w:val="es-ES"/>
        </w:rPr>
        <w:t>UIT</w:t>
      </w:r>
      <w:r w:rsidR="00A154BC" w:rsidRPr="00F05461">
        <w:rPr>
          <w:lang w:val="es-ES"/>
        </w:rPr>
        <w:t>)</w:t>
      </w:r>
      <w:r w:rsidRPr="00F05461">
        <w:rPr>
          <w:lang w:val="es-ES"/>
        </w:rPr>
        <w:t xml:space="preserve"> durante el per</w:t>
      </w:r>
      <w:r w:rsidR="003E0321" w:rsidRPr="00F05461">
        <w:rPr>
          <w:lang w:val="es-ES"/>
        </w:rPr>
        <w:t>i</w:t>
      </w:r>
      <w:r w:rsidRPr="00F05461">
        <w:rPr>
          <w:lang w:val="es-ES"/>
        </w:rPr>
        <w:t>odo comprendido entre octubre de</w:t>
      </w:r>
      <w:r w:rsidR="003E0321" w:rsidRPr="00F05461">
        <w:rPr>
          <w:lang w:val="es-ES"/>
        </w:rPr>
        <w:t> </w:t>
      </w:r>
      <w:r w:rsidRPr="00F05461">
        <w:rPr>
          <w:lang w:val="es-ES"/>
        </w:rPr>
        <w:t xml:space="preserve">2022 y </w:t>
      </w:r>
      <w:r w:rsidR="00D17382">
        <w:rPr>
          <w:lang w:val="es-ES"/>
        </w:rPr>
        <w:t>marzo</w:t>
      </w:r>
      <w:r w:rsidR="00D17382" w:rsidRPr="00F05461">
        <w:rPr>
          <w:lang w:val="es-ES"/>
        </w:rPr>
        <w:t xml:space="preserve"> </w:t>
      </w:r>
      <w:r w:rsidRPr="00F05461">
        <w:rPr>
          <w:lang w:val="es-ES"/>
        </w:rPr>
        <w:t>de 202</w:t>
      </w:r>
      <w:r w:rsidR="00D17382">
        <w:rPr>
          <w:lang w:val="es-ES"/>
        </w:rPr>
        <w:t>6</w:t>
      </w:r>
      <w:r w:rsidRPr="00F05461">
        <w:rPr>
          <w:lang w:val="es-ES"/>
        </w:rPr>
        <w:t>. Abarca la finalización del plan estratégico cuatrienal de la organización para el per</w:t>
      </w:r>
      <w:r w:rsidR="003E0321" w:rsidRPr="00F05461">
        <w:rPr>
          <w:lang w:val="es-ES"/>
        </w:rPr>
        <w:t>i</w:t>
      </w:r>
      <w:r w:rsidRPr="00F05461">
        <w:rPr>
          <w:lang w:val="es-ES"/>
        </w:rPr>
        <w:t>odo 2020-2023 (</w:t>
      </w:r>
      <w:hyperlink r:id="rId15" w:history="1">
        <w:r w:rsidR="00665CF0" w:rsidRPr="00F05461">
          <w:rPr>
            <w:rStyle w:val="Hyperlink"/>
            <w:rFonts w:eastAsia="Times New Roman" w:cs="Times New Roman"/>
            <w:szCs w:val="20"/>
            <w:lang w:val="es-ES"/>
          </w:rPr>
          <w:t>Resolución</w:t>
        </w:r>
        <w:r w:rsidR="005B7661" w:rsidRPr="00F05461">
          <w:rPr>
            <w:rStyle w:val="Hyperlink"/>
            <w:rFonts w:eastAsia="Times New Roman" w:cs="Times New Roman"/>
            <w:szCs w:val="20"/>
            <w:lang w:val="es-ES"/>
          </w:rPr>
          <w:t> </w:t>
        </w:r>
        <w:r w:rsidR="00665CF0" w:rsidRPr="00F05461">
          <w:rPr>
            <w:rStyle w:val="Hyperlink"/>
            <w:rFonts w:eastAsia="Times New Roman" w:cs="Times New Roman"/>
            <w:szCs w:val="20"/>
            <w:lang w:val="es-ES"/>
          </w:rPr>
          <w:t>71 (Rev.</w:t>
        </w:r>
        <w:r w:rsidR="005B7661" w:rsidRPr="00F05461">
          <w:rPr>
            <w:rStyle w:val="Hyperlink"/>
            <w:rFonts w:eastAsia="Times New Roman" w:cs="Times New Roman"/>
            <w:szCs w:val="20"/>
            <w:lang w:val="es-ES"/>
          </w:rPr>
          <w:t> </w:t>
        </w:r>
        <w:r w:rsidR="00665CF0" w:rsidRPr="00F05461">
          <w:rPr>
            <w:rStyle w:val="Hyperlink"/>
            <w:rFonts w:eastAsia="Times New Roman" w:cs="Times New Roman"/>
            <w:szCs w:val="20"/>
            <w:lang w:val="es-ES"/>
          </w:rPr>
          <w:t>Dubái, 2018)</w:t>
        </w:r>
      </w:hyperlink>
      <w:r w:rsidRPr="00F05461">
        <w:rPr>
          <w:lang w:val="es-ES"/>
        </w:rPr>
        <w:t>) y los progresos logrados en los primeros dos años del Plan Estratégico 2024-2027 (</w:t>
      </w:r>
      <w:hyperlink r:id="rId16" w:history="1">
        <w:r w:rsidRPr="00F05461">
          <w:rPr>
            <w:rStyle w:val="Hyperlink"/>
            <w:rFonts w:eastAsia="Times New Roman" w:cs="Times New Roman"/>
            <w:szCs w:val="20"/>
            <w:lang w:val="es-ES"/>
          </w:rPr>
          <w:t>Resolución 71 (Rev.</w:t>
        </w:r>
        <w:r w:rsidR="00665CF0" w:rsidRPr="00F05461">
          <w:rPr>
            <w:rStyle w:val="Hyperlink"/>
            <w:rFonts w:eastAsia="Times New Roman" w:cs="Times New Roman"/>
            <w:szCs w:val="20"/>
            <w:lang w:val="es-ES"/>
          </w:rPr>
          <w:t> </w:t>
        </w:r>
        <w:r w:rsidRPr="00F05461">
          <w:rPr>
            <w:rStyle w:val="Hyperlink"/>
            <w:rFonts w:eastAsia="Times New Roman" w:cs="Times New Roman"/>
            <w:szCs w:val="20"/>
            <w:lang w:val="es-ES"/>
          </w:rPr>
          <w:t>Bucarest, 2022)</w:t>
        </w:r>
      </w:hyperlink>
      <w:r w:rsidRPr="00F05461">
        <w:rPr>
          <w:lang w:val="es-ES"/>
        </w:rPr>
        <w:t>).</w:t>
      </w:r>
    </w:p>
    <w:p w14:paraId="151CD2A0" w14:textId="224715FB" w:rsidR="005D7B2C" w:rsidRPr="00F05461" w:rsidRDefault="005D7B2C" w:rsidP="005D7B2C">
      <w:pPr>
        <w:rPr>
          <w:lang w:val="es-ES"/>
        </w:rPr>
      </w:pPr>
      <w:r w:rsidRPr="00F05461">
        <w:rPr>
          <w:lang w:val="es-ES"/>
        </w:rPr>
        <w:t>Durante este último per</w:t>
      </w:r>
      <w:r w:rsidR="003E0321" w:rsidRPr="00F05461">
        <w:rPr>
          <w:lang w:val="es-ES"/>
        </w:rPr>
        <w:t>i</w:t>
      </w:r>
      <w:r w:rsidRPr="00F05461">
        <w:rPr>
          <w:lang w:val="es-ES"/>
        </w:rPr>
        <w:t xml:space="preserve">odo de referencia, </w:t>
      </w:r>
      <w:r w:rsidR="00296F03" w:rsidRPr="00F05461">
        <w:rPr>
          <w:lang w:val="es-ES"/>
        </w:rPr>
        <w:t>la UIT</w:t>
      </w:r>
      <w:r w:rsidRPr="00F05461">
        <w:rPr>
          <w:lang w:val="es-ES"/>
        </w:rPr>
        <w:t xml:space="preserve"> llevó adelante un ambicioso programa destinado a conectar a todas las personas del mundo y a garantizar que las tecnologías digitales aporten beneficios duraderos para todos. Este per</w:t>
      </w:r>
      <w:r w:rsidR="003E0321" w:rsidRPr="00F05461">
        <w:rPr>
          <w:lang w:val="es-ES"/>
        </w:rPr>
        <w:t>i</w:t>
      </w:r>
      <w:r w:rsidRPr="00F05461">
        <w:rPr>
          <w:lang w:val="es-ES"/>
        </w:rPr>
        <w:t xml:space="preserve">odo de casi cuatro años se caracterizó por una evolución tecnológica acelerada, la ampliación de las alianzas y la profunda transformación institucional destinada a mejorar la eficacia y los resultados de </w:t>
      </w:r>
      <w:r w:rsidR="00296F03" w:rsidRPr="00F05461">
        <w:rPr>
          <w:lang w:val="es-ES"/>
        </w:rPr>
        <w:t>la UIT</w:t>
      </w:r>
      <w:r w:rsidRPr="00F05461">
        <w:rPr>
          <w:lang w:val="es-ES"/>
        </w:rPr>
        <w:t xml:space="preserve"> en los años venideros.</w:t>
      </w:r>
    </w:p>
    <w:p w14:paraId="0DC8FEDF" w14:textId="7BB11E72" w:rsidR="005D7B2C" w:rsidRPr="00F05461" w:rsidRDefault="005D7B2C" w:rsidP="005D7B2C">
      <w:pPr>
        <w:rPr>
          <w:lang w:val="es-ES"/>
        </w:rPr>
      </w:pPr>
      <w:r w:rsidRPr="00F05461">
        <w:rPr>
          <w:lang w:val="es-ES"/>
        </w:rPr>
        <w:t>La conectividad a Internet siguió expandiéndose en todo el mundo, pasando su uso de aproximadamente el 67</w:t>
      </w:r>
      <w:r w:rsidR="00665CF0" w:rsidRPr="00F05461">
        <w:rPr>
          <w:lang w:val="es-ES"/>
        </w:rPr>
        <w:t> </w:t>
      </w:r>
      <w:r w:rsidR="00F636A8" w:rsidRPr="00F05461">
        <w:rPr>
          <w:lang w:val="es-ES"/>
        </w:rPr>
        <w:t>por ciento</w:t>
      </w:r>
      <w:r w:rsidRPr="00F05461">
        <w:rPr>
          <w:lang w:val="es-ES"/>
        </w:rPr>
        <w:t xml:space="preserve"> de la población mundial en 2022 a casi el 74</w:t>
      </w:r>
      <w:r w:rsidR="00665CF0" w:rsidRPr="00F05461">
        <w:rPr>
          <w:lang w:val="es-ES"/>
        </w:rPr>
        <w:t> </w:t>
      </w:r>
      <w:r w:rsidR="00F636A8" w:rsidRPr="00F05461">
        <w:rPr>
          <w:lang w:val="es-ES"/>
        </w:rPr>
        <w:t>por ciento</w:t>
      </w:r>
      <w:r w:rsidRPr="00F05461">
        <w:rPr>
          <w:lang w:val="es-ES"/>
        </w:rPr>
        <w:t xml:space="preserve"> en</w:t>
      </w:r>
      <w:r w:rsidR="00F636A8" w:rsidRPr="00F05461">
        <w:rPr>
          <w:lang w:val="es-ES"/>
        </w:rPr>
        <w:t> </w:t>
      </w:r>
      <w:r w:rsidRPr="00F05461">
        <w:rPr>
          <w:lang w:val="es-ES"/>
        </w:rPr>
        <w:t>2025. Sin embargo, este crecimiento oculta desigualdades profundas y persistentes. En</w:t>
      </w:r>
      <w:r w:rsidR="00F636A8" w:rsidRPr="00F05461">
        <w:rPr>
          <w:lang w:val="es-ES"/>
        </w:rPr>
        <w:t> </w:t>
      </w:r>
      <w:r w:rsidRPr="00F05461">
        <w:rPr>
          <w:lang w:val="es-ES"/>
        </w:rPr>
        <w:t>2025, solo el 23</w:t>
      </w:r>
      <w:r w:rsidR="00665CF0" w:rsidRPr="00F05461">
        <w:rPr>
          <w:lang w:val="es-ES"/>
        </w:rPr>
        <w:t> </w:t>
      </w:r>
      <w:r w:rsidR="00F636A8" w:rsidRPr="00F05461">
        <w:rPr>
          <w:lang w:val="es-ES"/>
        </w:rPr>
        <w:t>por ciento</w:t>
      </w:r>
      <w:r w:rsidRPr="00F05461">
        <w:rPr>
          <w:lang w:val="es-ES"/>
        </w:rPr>
        <w:t xml:space="preserve"> de la población en los países de renta baja tenía acceso a Internet, en comparación con el 94</w:t>
      </w:r>
      <w:r w:rsidR="00665CF0" w:rsidRPr="00F05461">
        <w:rPr>
          <w:lang w:val="es-ES"/>
        </w:rPr>
        <w:t> </w:t>
      </w:r>
      <w:r w:rsidR="00F636A8" w:rsidRPr="00F05461">
        <w:rPr>
          <w:lang w:val="es-ES"/>
        </w:rPr>
        <w:t>por ciento</w:t>
      </w:r>
      <w:r w:rsidRPr="00F05461">
        <w:rPr>
          <w:lang w:val="es-ES"/>
        </w:rPr>
        <w:t xml:space="preserve"> en las economías de renta alta. Asimismo, siguen existiendo importantes disparidades entre la población urbana (85 por ciento conectada) y la población rural (58 por ciento conectada).</w:t>
      </w:r>
    </w:p>
    <w:p w14:paraId="72E67412" w14:textId="1DA79EB6" w:rsidR="005D7B2C" w:rsidRPr="00F05461" w:rsidRDefault="005D7B2C" w:rsidP="005D7B2C">
      <w:pPr>
        <w:rPr>
          <w:lang w:val="es-ES"/>
        </w:rPr>
      </w:pPr>
      <w:r w:rsidRPr="00F05461">
        <w:rPr>
          <w:lang w:val="es-ES"/>
        </w:rPr>
        <w:t>Por otra parte, aún persisten las brechas de género en el acceso y utilización de la tecnología digital, especialmente en los países menos adelantados del mundo. A nivel mundial, el porcentaje de hombres que utilizaban Internet en 2025 era del 77</w:t>
      </w:r>
      <w:r w:rsidR="00305A89" w:rsidRPr="00F05461">
        <w:rPr>
          <w:lang w:val="es-ES"/>
        </w:rPr>
        <w:t> </w:t>
      </w:r>
      <w:r w:rsidRPr="00F05461">
        <w:rPr>
          <w:lang w:val="es-ES"/>
        </w:rPr>
        <w:t>por ciento, mientras que el de mujeres era del 71</w:t>
      </w:r>
      <w:r w:rsidR="00305A89" w:rsidRPr="00F05461">
        <w:rPr>
          <w:lang w:val="es-ES"/>
        </w:rPr>
        <w:t> </w:t>
      </w:r>
      <w:r w:rsidRPr="00F05461">
        <w:rPr>
          <w:lang w:val="es-ES"/>
        </w:rPr>
        <w:t>por ciento. En 2025, había unos 280</w:t>
      </w:r>
      <w:r w:rsidR="005B7661" w:rsidRPr="00F05461">
        <w:rPr>
          <w:lang w:val="es-ES"/>
        </w:rPr>
        <w:t> </w:t>
      </w:r>
      <w:r w:rsidRPr="00F05461">
        <w:rPr>
          <w:lang w:val="es-ES"/>
        </w:rPr>
        <w:t>millones más de hombres que de mujeres estaban conectados a Internet en todo el mundo, a pesar del aumento de casi el 45</w:t>
      </w:r>
      <w:r w:rsidR="00305A89" w:rsidRPr="00F05461">
        <w:rPr>
          <w:lang w:val="es-ES"/>
        </w:rPr>
        <w:t> </w:t>
      </w:r>
      <w:r w:rsidRPr="00F05461">
        <w:rPr>
          <w:lang w:val="es-ES"/>
        </w:rPr>
        <w:t>por ciento en el uso de Internet tanto entre las mujeres como entre los hombres desde</w:t>
      </w:r>
      <w:r w:rsidR="005B7661" w:rsidRPr="00F05461">
        <w:rPr>
          <w:lang w:val="es-ES"/>
        </w:rPr>
        <w:t> </w:t>
      </w:r>
      <w:r w:rsidRPr="00F05461">
        <w:rPr>
          <w:lang w:val="es-ES"/>
        </w:rPr>
        <w:t>2019. Por su parte, los usuarios jóvenes siguen a la vanguardia de la adopción digital, con un 82</w:t>
      </w:r>
      <w:r w:rsidR="00305A89" w:rsidRPr="00F05461">
        <w:rPr>
          <w:lang w:val="es-ES"/>
        </w:rPr>
        <w:t> </w:t>
      </w:r>
      <w:r w:rsidRPr="00F05461">
        <w:rPr>
          <w:lang w:val="es-ES"/>
        </w:rPr>
        <w:t>por ciento de los jóvenes de entre 15 y 24</w:t>
      </w:r>
      <w:r w:rsidR="00FD0E79" w:rsidRPr="00F05461">
        <w:rPr>
          <w:lang w:val="es-ES"/>
        </w:rPr>
        <w:t> </w:t>
      </w:r>
      <w:r w:rsidRPr="00F05461">
        <w:rPr>
          <w:lang w:val="es-ES"/>
        </w:rPr>
        <w:t>años conectados a Internet en 2025, comparado con el 72</w:t>
      </w:r>
      <w:r w:rsidR="00305A89" w:rsidRPr="00F05461">
        <w:rPr>
          <w:lang w:val="es-ES"/>
        </w:rPr>
        <w:t> </w:t>
      </w:r>
      <w:r w:rsidRPr="00F05461">
        <w:rPr>
          <w:lang w:val="es-ES"/>
        </w:rPr>
        <w:t>por ciento del resto de la población.</w:t>
      </w:r>
    </w:p>
    <w:p w14:paraId="0DFFC630" w14:textId="426D9055" w:rsidR="005D7B2C" w:rsidRPr="00F05461" w:rsidRDefault="005D7B2C" w:rsidP="005D7B2C">
      <w:pPr>
        <w:rPr>
          <w:lang w:val="es-ES"/>
        </w:rPr>
      </w:pPr>
      <w:r w:rsidRPr="00F05461">
        <w:rPr>
          <w:lang w:val="es-ES"/>
        </w:rPr>
        <w:t>La asequibilidad digital mejoró en todo el mundo, con una caída de los precios medios de la banda ancha móvil entre el 2</w:t>
      </w:r>
      <w:r w:rsidR="00665CF0" w:rsidRPr="00F05461">
        <w:rPr>
          <w:lang w:val="es-ES"/>
        </w:rPr>
        <w:t> </w:t>
      </w:r>
      <w:r w:rsidR="00BF0FFC" w:rsidRPr="00F05461">
        <w:rPr>
          <w:lang w:val="es-ES"/>
        </w:rPr>
        <w:t>por ciento</w:t>
      </w:r>
      <w:r w:rsidRPr="00F05461">
        <w:rPr>
          <w:lang w:val="es-ES"/>
        </w:rPr>
        <w:t xml:space="preserve"> y el 1,4</w:t>
      </w:r>
      <w:r w:rsidR="00665CF0" w:rsidRPr="00F05461">
        <w:rPr>
          <w:lang w:val="es-ES"/>
        </w:rPr>
        <w:t> </w:t>
      </w:r>
      <w:r w:rsidR="00BF0FFC" w:rsidRPr="00F05461">
        <w:rPr>
          <w:lang w:val="es-ES"/>
        </w:rPr>
        <w:t>por ciento</w:t>
      </w:r>
      <w:r w:rsidRPr="00F05461">
        <w:rPr>
          <w:lang w:val="es-ES"/>
        </w:rPr>
        <w:t xml:space="preserve"> de la renta nacional bruta (RNB) per cápita, y una disminución de los precios de la banda ancha fija entre el 3,1</w:t>
      </w:r>
      <w:r w:rsidR="00665CF0" w:rsidRPr="00F05461">
        <w:rPr>
          <w:lang w:val="es-ES"/>
        </w:rPr>
        <w:t> </w:t>
      </w:r>
      <w:r w:rsidR="00BF0FFC" w:rsidRPr="00F05461">
        <w:rPr>
          <w:lang w:val="es-ES"/>
        </w:rPr>
        <w:t>por ciento</w:t>
      </w:r>
      <w:r w:rsidRPr="00F05461">
        <w:rPr>
          <w:lang w:val="es-ES"/>
        </w:rPr>
        <w:t xml:space="preserve"> al 2,5</w:t>
      </w:r>
      <w:r w:rsidR="00665CF0" w:rsidRPr="00F05461">
        <w:rPr>
          <w:lang w:val="es-ES"/>
        </w:rPr>
        <w:t> </w:t>
      </w:r>
      <w:r w:rsidR="00BF0FFC" w:rsidRPr="00F05461">
        <w:rPr>
          <w:lang w:val="es-ES"/>
        </w:rPr>
        <w:t>por ciento</w:t>
      </w:r>
      <w:r w:rsidRPr="00F05461">
        <w:rPr>
          <w:lang w:val="es-ES"/>
        </w:rPr>
        <w:t xml:space="preserve"> en el periodo 2022</w:t>
      </w:r>
      <w:r w:rsidR="00665CF0" w:rsidRPr="00F05461">
        <w:rPr>
          <w:lang w:val="es-ES"/>
        </w:rPr>
        <w:noBreakHyphen/>
      </w:r>
      <w:r w:rsidRPr="00F05461">
        <w:rPr>
          <w:lang w:val="es-ES"/>
        </w:rPr>
        <w:t>2025. A pesar de estos avances, miles de millones de personas siguen careciendo de servicios asequibles, de competencias digitales básicas, de acceso a dispositivos y de confianza en la seguridad en línea.</w:t>
      </w:r>
    </w:p>
    <w:p w14:paraId="2862C56E" w14:textId="50904BD4" w:rsidR="005D7B2C" w:rsidRPr="00F05461" w:rsidRDefault="005D7B2C" w:rsidP="00312480">
      <w:pPr>
        <w:pStyle w:val="Headingb"/>
      </w:pPr>
      <w:r w:rsidRPr="00F05461">
        <w:t>Conferencias estatutarias mundiales</w:t>
      </w:r>
    </w:p>
    <w:p w14:paraId="703CC3F5" w14:textId="72A255D1" w:rsidR="005D7B2C" w:rsidRPr="00F05461" w:rsidRDefault="005D7B2C" w:rsidP="005D7B2C">
      <w:pPr>
        <w:rPr>
          <w:lang w:val="es-ES"/>
        </w:rPr>
      </w:pPr>
      <w:r w:rsidRPr="00F05461">
        <w:rPr>
          <w:lang w:val="es-ES"/>
        </w:rPr>
        <w:t xml:space="preserve">Las cinco conferencias estatutarias de </w:t>
      </w:r>
      <w:r w:rsidR="00296F03" w:rsidRPr="00F05461">
        <w:rPr>
          <w:lang w:val="es-ES"/>
        </w:rPr>
        <w:t>la UIT</w:t>
      </w:r>
      <w:r w:rsidRPr="00F05461">
        <w:rPr>
          <w:lang w:val="es-ES"/>
        </w:rPr>
        <w:t xml:space="preserve"> marcaron el rumbo de los debates sobre políticas y tecnología durante este periodo, logrando la unidad de los miembros y asociados en torno a objetivos comunes de coordinación del espectro, normalización de la tecnología y desarrollo digital.</w:t>
      </w:r>
    </w:p>
    <w:p w14:paraId="66367447" w14:textId="6A2F96BB" w:rsidR="005D7B2C" w:rsidRPr="00F05461" w:rsidRDefault="005D7B2C" w:rsidP="009776E2">
      <w:pPr>
        <w:keepNext/>
        <w:keepLines/>
        <w:rPr>
          <w:lang w:val="es-ES"/>
        </w:rPr>
      </w:pPr>
      <w:r w:rsidRPr="00F05461">
        <w:rPr>
          <w:lang w:val="es-ES"/>
        </w:rPr>
        <w:lastRenderedPageBreak/>
        <w:t>La Conferencia de Plenipotenciarios (</w:t>
      </w:r>
      <w:hyperlink r:id="rId17" w:history="1">
        <w:r w:rsidRPr="00F05461">
          <w:rPr>
            <w:rStyle w:val="Hyperlink"/>
            <w:rFonts w:eastAsia="Times New Roman" w:cs="Times New Roman"/>
            <w:szCs w:val="20"/>
            <w:lang w:val="es-ES"/>
          </w:rPr>
          <w:t>PP-22</w:t>
        </w:r>
      </w:hyperlink>
      <w:r w:rsidRPr="00F05461">
        <w:rPr>
          <w:lang w:val="es-ES"/>
        </w:rPr>
        <w:t>), celebrada en Bucarest (Ruman</w:t>
      </w:r>
      <w:r w:rsidR="00665CF0" w:rsidRPr="00F05461">
        <w:rPr>
          <w:lang w:val="es-ES"/>
        </w:rPr>
        <w:t>i</w:t>
      </w:r>
      <w:r w:rsidRPr="00F05461">
        <w:rPr>
          <w:lang w:val="es-ES"/>
        </w:rPr>
        <w:t xml:space="preserve">a), estableció la orientación estratégica de </w:t>
      </w:r>
      <w:r w:rsidR="00296F03" w:rsidRPr="00F05461">
        <w:rPr>
          <w:lang w:val="es-ES"/>
        </w:rPr>
        <w:t>la UIT</w:t>
      </w:r>
      <w:r w:rsidRPr="00F05461">
        <w:rPr>
          <w:lang w:val="es-ES"/>
        </w:rPr>
        <w:t xml:space="preserve"> para el próximo periodo a través del Plan Estratégico 2024</w:t>
      </w:r>
      <w:r w:rsidR="00665CF0" w:rsidRPr="00F05461">
        <w:rPr>
          <w:lang w:val="es-ES"/>
        </w:rPr>
        <w:noBreakHyphen/>
      </w:r>
      <w:r w:rsidRPr="00F05461">
        <w:rPr>
          <w:lang w:val="es-ES"/>
        </w:rPr>
        <w:t>2027. La Conferencia modificó 56</w:t>
      </w:r>
      <w:r w:rsidR="005B7661" w:rsidRPr="00F05461">
        <w:rPr>
          <w:lang w:val="es-ES"/>
        </w:rPr>
        <w:t> </w:t>
      </w:r>
      <w:r w:rsidRPr="00F05461">
        <w:rPr>
          <w:lang w:val="es-ES"/>
        </w:rPr>
        <w:t xml:space="preserve">Resoluciones, adoptó seis nuevas e inició importantes programas de trabajo sobre </w:t>
      </w:r>
      <w:r w:rsidR="00FF1AB6" w:rsidRPr="00FF1AB6">
        <w:rPr>
          <w:lang w:val="es-ES"/>
        </w:rPr>
        <w:t xml:space="preserve">inteligencia artificial </w:t>
      </w:r>
      <w:r w:rsidR="00FF1AB6">
        <w:rPr>
          <w:lang w:val="es-ES"/>
        </w:rPr>
        <w:t>(</w:t>
      </w:r>
      <w:r w:rsidRPr="00F05461">
        <w:rPr>
          <w:lang w:val="es-ES"/>
        </w:rPr>
        <w:t>IA</w:t>
      </w:r>
      <w:r w:rsidR="00FF1AB6">
        <w:rPr>
          <w:lang w:val="es-ES"/>
        </w:rPr>
        <w:t>)</w:t>
      </w:r>
      <w:r w:rsidRPr="00F05461">
        <w:rPr>
          <w:lang w:val="es-ES"/>
        </w:rPr>
        <w:t xml:space="preserve">, sostenibilidad del espacio ultraterrestre, igualdad de género, acción climática, preparación ante pandemias y ciudades inteligentes. Asimismo, marcó un hito histórico con la elección de la primera mujer en ocupar el cargo de Secretaria General de </w:t>
      </w:r>
      <w:r w:rsidR="00296F03" w:rsidRPr="00F05461">
        <w:rPr>
          <w:lang w:val="es-ES"/>
        </w:rPr>
        <w:t>la UIT</w:t>
      </w:r>
      <w:r w:rsidRPr="00F05461">
        <w:rPr>
          <w:lang w:val="es-ES"/>
        </w:rPr>
        <w:t>.</w:t>
      </w:r>
    </w:p>
    <w:p w14:paraId="5217C5BF" w14:textId="066F319C" w:rsidR="005D7B2C" w:rsidRPr="00F05461" w:rsidRDefault="005D7B2C" w:rsidP="005D7B2C">
      <w:pPr>
        <w:rPr>
          <w:lang w:val="es-ES"/>
        </w:rPr>
      </w:pPr>
      <w:r w:rsidRPr="00F05461">
        <w:rPr>
          <w:lang w:val="es-ES"/>
        </w:rPr>
        <w:t>Las conferencias estatutarias posteriores celebradas durante el per</w:t>
      </w:r>
      <w:r w:rsidR="003E0321" w:rsidRPr="00F05461">
        <w:rPr>
          <w:lang w:val="es-ES"/>
        </w:rPr>
        <w:t>i</w:t>
      </w:r>
      <w:r w:rsidRPr="00F05461">
        <w:rPr>
          <w:lang w:val="es-ES"/>
        </w:rPr>
        <w:t>odo hasta 2025 reforzaron y actualizaron diversas actividades específicas de los Sectores.</w:t>
      </w:r>
    </w:p>
    <w:p w14:paraId="750A172F" w14:textId="6381FEE0" w:rsidR="005D7B2C" w:rsidRPr="00F05461" w:rsidRDefault="005D7B2C" w:rsidP="005D7B2C">
      <w:pPr>
        <w:rPr>
          <w:lang w:val="es-ES"/>
        </w:rPr>
      </w:pPr>
      <w:r w:rsidRPr="00F05461">
        <w:rPr>
          <w:lang w:val="es-ES"/>
        </w:rPr>
        <w:t>La Conferencia Mundial de Radiocomunicaciones (</w:t>
      </w:r>
      <w:hyperlink r:id="rId18" w:history="1">
        <w:r w:rsidRPr="00F05461">
          <w:rPr>
            <w:rStyle w:val="Hyperlink"/>
            <w:rFonts w:eastAsia="Times New Roman" w:cs="Times New Roman"/>
            <w:szCs w:val="20"/>
            <w:lang w:val="es-ES"/>
          </w:rPr>
          <w:t>CMR-23</w:t>
        </w:r>
      </w:hyperlink>
      <w:r w:rsidRPr="00F05461">
        <w:rPr>
          <w:lang w:val="es-ES"/>
        </w:rPr>
        <w:t>), celebrada en Dubái (Emiratos Árabes Unidos), examinó más de 30</w:t>
      </w:r>
      <w:r w:rsidR="00665CF0" w:rsidRPr="00F05461">
        <w:rPr>
          <w:lang w:val="es-ES"/>
        </w:rPr>
        <w:t> </w:t>
      </w:r>
      <w:r w:rsidRPr="00F05461">
        <w:rPr>
          <w:lang w:val="es-ES"/>
        </w:rPr>
        <w:t xml:space="preserve">puntos del orden del día relacionados con las </w:t>
      </w:r>
      <w:bookmarkStart w:id="4" w:name="_Hlk226633346"/>
      <w:r w:rsidRPr="00F05461">
        <w:rPr>
          <w:lang w:val="es-ES"/>
        </w:rPr>
        <w:t xml:space="preserve">telecomunicaciones móviles internacionales </w:t>
      </w:r>
      <w:bookmarkEnd w:id="4"/>
      <w:r w:rsidRPr="00F05461">
        <w:rPr>
          <w:lang w:val="es-ES"/>
        </w:rPr>
        <w:t>(IMT), los servicios por satélite, marítimos y aeronáuticos. La Asamblea de Radiocomunicaciones (</w:t>
      </w:r>
      <w:hyperlink r:id="rId19" w:history="1">
        <w:r w:rsidRPr="00F05461">
          <w:rPr>
            <w:rStyle w:val="Hyperlink"/>
            <w:rFonts w:eastAsia="Times New Roman" w:cs="Times New Roman"/>
            <w:szCs w:val="20"/>
            <w:lang w:val="es-ES"/>
          </w:rPr>
          <w:t>AR-23</w:t>
        </w:r>
      </w:hyperlink>
      <w:r w:rsidRPr="00F05461">
        <w:rPr>
          <w:lang w:val="es-ES"/>
        </w:rPr>
        <w:t xml:space="preserve">), celebrada con anterioridad, estableció el marco IMT-2030 (base de las futuras redes de telecomunicaciones 6G) y adoptó nuevas Resoluciones sobre la igualdad de género, la banda ancha y la sostenibilidad del espectro. En su conjunto, estas Conferencias permitieron reforzar el funcionamiento del Sector de Radiocomunicaciones de </w:t>
      </w:r>
      <w:r w:rsidR="00296F03" w:rsidRPr="00F05461">
        <w:rPr>
          <w:lang w:val="es-ES"/>
        </w:rPr>
        <w:t>la UIT</w:t>
      </w:r>
      <w:r w:rsidRPr="00F05461">
        <w:rPr>
          <w:lang w:val="es-ES"/>
        </w:rPr>
        <w:t xml:space="preserve"> (UIT-R), proteger los servicios existentes, garantizar las asignaciones de frecuencias para los sistemas de próxima generación y confirmar la creciente importancia del espacio y los satélites para las comunicaciones mundiales.</w:t>
      </w:r>
    </w:p>
    <w:p w14:paraId="1F286E5F" w14:textId="51AC32C5" w:rsidR="005D7B2C" w:rsidRPr="00F05461" w:rsidRDefault="005D7B2C" w:rsidP="005D7B2C">
      <w:pPr>
        <w:rPr>
          <w:lang w:val="es-ES"/>
        </w:rPr>
      </w:pPr>
      <w:r w:rsidRPr="00F05461">
        <w:rPr>
          <w:lang w:val="es-ES"/>
        </w:rPr>
        <w:t>La Asamblea Mundial de Normalización de las Telecomunicaciones (</w:t>
      </w:r>
      <w:hyperlink r:id="rId20" w:history="1">
        <w:r w:rsidRPr="00F05461">
          <w:rPr>
            <w:rStyle w:val="Hyperlink"/>
            <w:rFonts w:eastAsia="Times New Roman" w:cs="Times New Roman"/>
            <w:szCs w:val="20"/>
            <w:lang w:val="es-ES"/>
          </w:rPr>
          <w:t>AMNT-24</w:t>
        </w:r>
      </w:hyperlink>
      <w:r w:rsidRPr="00F05461">
        <w:rPr>
          <w:lang w:val="es-ES"/>
        </w:rPr>
        <w:t>), celebrada en Nueva Delhi (India), puso de relieve el papel de la</w:t>
      </w:r>
      <w:r w:rsidR="00FF1AB6">
        <w:rPr>
          <w:lang w:val="es-ES"/>
        </w:rPr>
        <w:t> </w:t>
      </w:r>
      <w:r w:rsidRPr="00F05461">
        <w:rPr>
          <w:lang w:val="es-ES"/>
        </w:rPr>
        <w:t xml:space="preserve">IA, las comunicaciones de emergencia y otras prioridades digitales en rápida evolución. La Asamblea actualizó la estructura del Sector de Normalización de las Telecomunicaciones de </w:t>
      </w:r>
      <w:r w:rsidR="00296F03" w:rsidRPr="00F05461">
        <w:rPr>
          <w:lang w:val="es-ES"/>
        </w:rPr>
        <w:t>la UIT</w:t>
      </w:r>
      <w:r w:rsidRPr="00F05461">
        <w:rPr>
          <w:lang w:val="es-ES"/>
        </w:rPr>
        <w:t xml:space="preserve"> (UIT-T) y creó la nueva Comisión de Estudio</w:t>
      </w:r>
      <w:r w:rsidR="00665CF0" w:rsidRPr="00F05461">
        <w:rPr>
          <w:lang w:val="es-ES"/>
        </w:rPr>
        <w:t> </w:t>
      </w:r>
      <w:r w:rsidRPr="00F05461">
        <w:rPr>
          <w:lang w:val="es-ES"/>
        </w:rPr>
        <w:t>21 de</w:t>
      </w:r>
      <w:r w:rsidR="00296F03" w:rsidRPr="00F05461">
        <w:rPr>
          <w:lang w:val="es-ES"/>
        </w:rPr>
        <w:t>l UIT</w:t>
      </w:r>
      <w:r w:rsidRPr="00F05461">
        <w:rPr>
          <w:lang w:val="es-ES"/>
        </w:rPr>
        <w:t>-T, centrada en las tecnologías multimedios, la distribución de contenidos y las tecnologías de cable. El «festival de las normas», paralelo a la Asamblea, sirvió de escenario para mostrar la innovación y la colaboración intersectorial en consonancia con los objetivos de cooperación digital de Naciones Unidas</w:t>
      </w:r>
      <w:r w:rsidR="005B7661" w:rsidRPr="00F05461">
        <w:rPr>
          <w:lang w:val="es-ES"/>
        </w:rPr>
        <w:t>.</w:t>
      </w:r>
    </w:p>
    <w:p w14:paraId="6D1EF592" w14:textId="678FC61B" w:rsidR="005D7B2C" w:rsidRPr="00F05461" w:rsidRDefault="005D7B2C" w:rsidP="005D7B2C">
      <w:pPr>
        <w:rPr>
          <w:lang w:val="es-ES"/>
        </w:rPr>
      </w:pPr>
      <w:r w:rsidRPr="00F05461">
        <w:rPr>
          <w:lang w:val="es-ES"/>
        </w:rPr>
        <w:t>La Conferencia Mundial de Desarrollo de las Telecomunicaciones (</w:t>
      </w:r>
      <w:hyperlink r:id="rId21" w:history="1">
        <w:r w:rsidRPr="00F05461">
          <w:rPr>
            <w:rStyle w:val="Hyperlink"/>
            <w:rFonts w:eastAsia="Times New Roman" w:cs="Times New Roman"/>
            <w:szCs w:val="20"/>
            <w:lang w:val="es-ES"/>
          </w:rPr>
          <w:t>CMDT</w:t>
        </w:r>
        <w:r w:rsidRPr="00F05461">
          <w:rPr>
            <w:rStyle w:val="Hyperlink"/>
            <w:rFonts w:eastAsia="Times New Roman" w:cs="Times New Roman"/>
            <w:szCs w:val="20"/>
            <w:lang w:val="es-ES"/>
          </w:rPr>
          <w:noBreakHyphen/>
          <w:t>25</w:t>
        </w:r>
      </w:hyperlink>
      <w:r w:rsidRPr="00F05461">
        <w:rPr>
          <w:lang w:val="es-ES"/>
        </w:rPr>
        <w:t xml:space="preserve">) aprobó la Declaración de Bakú y el Plan de Acción de Bakú, de carácter prospectivo, en los que se establecen las prioridades del Sector de Desarrollo de las Telecomunicaciones de </w:t>
      </w:r>
      <w:r w:rsidR="00296F03" w:rsidRPr="00F05461">
        <w:rPr>
          <w:lang w:val="es-ES"/>
        </w:rPr>
        <w:t>la UIT</w:t>
      </w:r>
      <w:r w:rsidRPr="00F05461">
        <w:rPr>
          <w:lang w:val="es-ES"/>
        </w:rPr>
        <w:t xml:space="preserve"> (UIT</w:t>
      </w:r>
      <w:r w:rsidR="00EB55B0" w:rsidRPr="00F05461">
        <w:rPr>
          <w:lang w:val="es-ES"/>
        </w:rPr>
        <w:noBreakHyphen/>
      </w:r>
      <w:r w:rsidRPr="00F05461">
        <w:rPr>
          <w:lang w:val="es-ES"/>
        </w:rPr>
        <w:t>D) para el per</w:t>
      </w:r>
      <w:r w:rsidR="003E0321" w:rsidRPr="00F05461">
        <w:rPr>
          <w:lang w:val="es-ES"/>
        </w:rPr>
        <w:t>i</w:t>
      </w:r>
      <w:r w:rsidRPr="00F05461">
        <w:rPr>
          <w:lang w:val="es-ES"/>
        </w:rPr>
        <w:t xml:space="preserve">odo 2026-2029. La Conferencia también aprobó nuevas iniciativas regionales para África, las Américas, los Estados Árabes, Asia-Pacífico, la Comunidad de Estados Independientes (CEI) y Europa, dirigidas a las necesidades de desarrollo digital más acuciantes de cada región. A través de estas iniciativas, </w:t>
      </w:r>
      <w:r w:rsidR="00296F03" w:rsidRPr="00F05461">
        <w:rPr>
          <w:lang w:val="es-ES"/>
        </w:rPr>
        <w:t>la UIT</w:t>
      </w:r>
      <w:r w:rsidRPr="00F05461">
        <w:rPr>
          <w:lang w:val="es-ES"/>
        </w:rPr>
        <w:t xml:space="preserve"> está en condiciones de movilizar recursos y establecer alianzas que aceleren la transformación digital, reduzcan las brechas de conectividad persistentes y apoyen a las comunidades vulnerables —incluidos los países menos adelantados (PMA), los países en desarrollo sin litoral (PDSL) y los pequeños Estados insulares en desarrollo (PEID)</w:t>
      </w:r>
      <w:bookmarkStart w:id="5" w:name="_Hlk226725596"/>
      <w:r w:rsidRPr="00F05461">
        <w:rPr>
          <w:lang w:val="es-ES"/>
        </w:rPr>
        <w:t>—</w:t>
      </w:r>
      <w:bookmarkEnd w:id="5"/>
      <w:r w:rsidRPr="00F05461">
        <w:rPr>
          <w:lang w:val="es-ES"/>
        </w:rPr>
        <w:t xml:space="preserve"> mediante proyectos de desarrollo concretos y eficaces.</w:t>
      </w:r>
    </w:p>
    <w:p w14:paraId="57BFD1AE" w14:textId="0ECD595B" w:rsidR="005D7B2C" w:rsidRPr="00F05461" w:rsidRDefault="005D7B2C" w:rsidP="00312480">
      <w:pPr>
        <w:pStyle w:val="Headingb"/>
      </w:pPr>
      <w:r w:rsidRPr="00F05461">
        <w:lastRenderedPageBreak/>
        <w:t>Resultados y repercusiones del Plan Estratégico</w:t>
      </w:r>
    </w:p>
    <w:p w14:paraId="74DBF2EC" w14:textId="773539F7" w:rsidR="005D7B2C" w:rsidRPr="00F05461" w:rsidRDefault="005D7B2C" w:rsidP="00C8537E">
      <w:pPr>
        <w:keepNext/>
        <w:keepLines/>
        <w:rPr>
          <w:lang w:val="es-ES"/>
        </w:rPr>
      </w:pPr>
      <w:r w:rsidRPr="00F05461">
        <w:rPr>
          <w:lang w:val="es-ES"/>
        </w:rPr>
        <w:t xml:space="preserve">El Plan Estratégico 2020-2023 ayudó a países de todo el mundo a ampliar el acceso a Internet, mejorar la asequibilidad, reforzar la ciberseguridad y promover políticas de innovación. En el siguiente plan, para el periodo 2024-2027, se ha organizado la amplia labor de </w:t>
      </w:r>
      <w:r w:rsidR="00296F03" w:rsidRPr="00F05461">
        <w:rPr>
          <w:lang w:val="es-ES"/>
        </w:rPr>
        <w:t>la UIT</w:t>
      </w:r>
      <w:r w:rsidRPr="00F05461">
        <w:rPr>
          <w:lang w:val="es-ES"/>
        </w:rPr>
        <w:t xml:space="preserve"> en torno a dos objetivos generales: la conectividad universal y la transformación digital sostenible. Las distintas vertientes de trabajo tienen por objeto ayudar a los países a mejorar la calidad, la disponibilidad y la asequibilidad de la conexión, así como el acceso a dispositivos, las competencias, la accesibilidad y la seguridad, factores que, en conjunto, hacen que la conectividad sea significativa.</w:t>
      </w:r>
    </w:p>
    <w:p w14:paraId="35034B76" w14:textId="761CD88E" w:rsidR="005D7B2C" w:rsidRPr="00F05461" w:rsidRDefault="005D7B2C" w:rsidP="005D7B2C">
      <w:pPr>
        <w:rPr>
          <w:lang w:val="es-ES"/>
        </w:rPr>
      </w:pPr>
      <w:r w:rsidRPr="00F05461">
        <w:rPr>
          <w:lang w:val="es-ES"/>
        </w:rPr>
        <w:t>Durante el per</w:t>
      </w:r>
      <w:r w:rsidR="003E0321" w:rsidRPr="00F05461">
        <w:rPr>
          <w:lang w:val="es-ES"/>
        </w:rPr>
        <w:t>i</w:t>
      </w:r>
      <w:r w:rsidRPr="00F05461">
        <w:rPr>
          <w:lang w:val="es-ES"/>
        </w:rPr>
        <w:t xml:space="preserve">odo que abarca este informe, </w:t>
      </w:r>
      <w:r w:rsidR="00296F03" w:rsidRPr="00F05461">
        <w:rPr>
          <w:lang w:val="es-ES"/>
        </w:rPr>
        <w:t>la UIT</w:t>
      </w:r>
      <w:r w:rsidRPr="00F05461">
        <w:rPr>
          <w:lang w:val="es-ES"/>
        </w:rPr>
        <w:t xml:space="preserve"> ha registrado progresos en materia de asequibilidad, posesión de dispositivos y sistemas de datos. La colaboración con la Organización de las Naciones Unidas para la Educación, la Ciencia y la Cultura (UNESCO) ha permitido mejorar la medición del desarrollo digital y la conectividad escolar en más de 200</w:t>
      </w:r>
      <w:r w:rsidR="00EB55B0" w:rsidRPr="00F05461">
        <w:rPr>
          <w:lang w:val="es-ES"/>
        </w:rPr>
        <w:t> </w:t>
      </w:r>
      <w:r w:rsidR="00EF6A42" w:rsidRPr="00F05461">
        <w:rPr>
          <w:lang w:val="es-ES"/>
        </w:rPr>
        <w:t>economías</w:t>
      </w:r>
      <w:r w:rsidRPr="00F05461">
        <w:rPr>
          <w:lang w:val="es-ES"/>
        </w:rPr>
        <w:t xml:space="preserve">. </w:t>
      </w:r>
      <w:r w:rsidR="00296F03" w:rsidRPr="00F05461">
        <w:rPr>
          <w:lang w:val="es-ES"/>
        </w:rPr>
        <w:t>La UIT</w:t>
      </w:r>
      <w:r w:rsidRPr="00F05461">
        <w:rPr>
          <w:lang w:val="es-ES"/>
        </w:rPr>
        <w:t xml:space="preserve"> también apoya a Giga (véase la </w:t>
      </w:r>
      <w:hyperlink w:anchor="_5.5￼Partnerships_and_international" w:history="1">
        <w:r w:rsidR="002B22EB" w:rsidRPr="00F05461">
          <w:rPr>
            <w:rStyle w:val="Hyperlink"/>
            <w:rFonts w:eastAsia="Times New Roman" w:cs="Times New Roman"/>
            <w:szCs w:val="20"/>
            <w:lang w:val="es-ES"/>
          </w:rPr>
          <w:t>s</w:t>
        </w:r>
        <w:r w:rsidRPr="00F05461">
          <w:rPr>
            <w:rStyle w:val="Hyperlink"/>
            <w:rFonts w:eastAsia="Times New Roman" w:cs="Times New Roman"/>
            <w:szCs w:val="20"/>
            <w:lang w:val="es-ES"/>
          </w:rPr>
          <w:t>ección</w:t>
        </w:r>
        <w:r w:rsidR="00EB55B0" w:rsidRPr="00F05461">
          <w:rPr>
            <w:rStyle w:val="Hyperlink"/>
            <w:rFonts w:eastAsia="Times New Roman" w:cs="Times New Roman"/>
            <w:szCs w:val="20"/>
            <w:lang w:val="es-ES"/>
          </w:rPr>
          <w:t> </w:t>
        </w:r>
        <w:r w:rsidRPr="00F05461">
          <w:rPr>
            <w:rStyle w:val="Hyperlink"/>
            <w:rFonts w:eastAsia="Times New Roman" w:cs="Times New Roman"/>
            <w:szCs w:val="20"/>
            <w:lang w:val="es-ES"/>
          </w:rPr>
          <w:t>5.5</w:t>
        </w:r>
      </w:hyperlink>
      <w:r w:rsidRPr="00F05461">
        <w:rPr>
          <w:lang w:val="es-ES"/>
        </w:rPr>
        <w:t>), una iniciativa conjunta con el Fondo de las Naciones Unidas para la Infancia (UNICEF) destinada a conectar a Internet todas las escuelas del mundo.</w:t>
      </w:r>
    </w:p>
    <w:p w14:paraId="5A72ADEE" w14:textId="087F0F94" w:rsidR="005D7B2C" w:rsidRPr="00F05461" w:rsidRDefault="005D7B2C" w:rsidP="005D7B2C">
      <w:pPr>
        <w:rPr>
          <w:lang w:val="es-ES"/>
        </w:rPr>
      </w:pPr>
      <w:r w:rsidRPr="00F05461">
        <w:rPr>
          <w:lang w:val="es-ES"/>
        </w:rPr>
        <w:t xml:space="preserve">La capacidad en materia de ciberseguridad siguió ampliándose; el número de países que crearon equipos nacionales de </w:t>
      </w:r>
      <w:r w:rsidR="0039423F" w:rsidRPr="00F05461">
        <w:rPr>
          <w:lang w:val="es-ES"/>
        </w:rPr>
        <w:t>intervención</w:t>
      </w:r>
      <w:r w:rsidRPr="00F05461">
        <w:rPr>
          <w:lang w:val="es-ES"/>
        </w:rPr>
        <w:t xml:space="preserve"> </w:t>
      </w:r>
      <w:r w:rsidR="0039423F" w:rsidRPr="00F05461">
        <w:rPr>
          <w:lang w:val="es-ES"/>
        </w:rPr>
        <w:t>en caso</w:t>
      </w:r>
      <w:r w:rsidRPr="00F05461">
        <w:rPr>
          <w:lang w:val="es-ES"/>
        </w:rPr>
        <w:t xml:space="preserve"> </w:t>
      </w:r>
      <w:r w:rsidR="0039423F" w:rsidRPr="00F05461">
        <w:rPr>
          <w:lang w:val="es-ES"/>
        </w:rPr>
        <w:t xml:space="preserve">de </w:t>
      </w:r>
      <w:r w:rsidRPr="00F05461">
        <w:rPr>
          <w:lang w:val="es-ES"/>
        </w:rPr>
        <w:t>incidente informático (EIII) pasó de 109 en 2020 a 132 en 2024, y los que adoptaron estrategias nacionales de ciberseguridad aumentaron de 107 a 127 durante el mismo per</w:t>
      </w:r>
      <w:r w:rsidR="003E0321" w:rsidRPr="00F05461">
        <w:rPr>
          <w:lang w:val="es-ES"/>
        </w:rPr>
        <w:t>i</w:t>
      </w:r>
      <w:r w:rsidRPr="00F05461">
        <w:rPr>
          <w:lang w:val="es-ES"/>
        </w:rPr>
        <w:t>odo. Las políticas de accesibilidad para las personas con discapacidad experimentaron un aumento considerable, hasta alcanzar un total de 1</w:t>
      </w:r>
      <w:r w:rsidR="00B647AD" w:rsidRPr="00F05461">
        <w:rPr>
          <w:lang w:val="es-ES"/>
        </w:rPr>
        <w:t>27</w:t>
      </w:r>
      <w:r w:rsidR="0039423F" w:rsidRPr="00F05461">
        <w:rPr>
          <w:lang w:val="es-ES"/>
        </w:rPr>
        <w:t> </w:t>
      </w:r>
      <w:r w:rsidRPr="00F05461">
        <w:rPr>
          <w:lang w:val="es-ES"/>
        </w:rPr>
        <w:t>países con marcos nacionales de accesibilidad a las</w:t>
      </w:r>
      <w:r w:rsidR="00A154BC" w:rsidRPr="00F05461">
        <w:rPr>
          <w:lang w:val="es-ES"/>
        </w:rPr>
        <w:t xml:space="preserve"> tecnologías de la información y la comunicación (</w:t>
      </w:r>
      <w:r w:rsidRPr="00F05461">
        <w:rPr>
          <w:lang w:val="es-ES"/>
        </w:rPr>
        <w:t>TIC</w:t>
      </w:r>
      <w:r w:rsidR="00A154BC" w:rsidRPr="00F05461">
        <w:rPr>
          <w:lang w:val="es-ES"/>
        </w:rPr>
        <w:t>)</w:t>
      </w:r>
      <w:r w:rsidRPr="00F05461">
        <w:rPr>
          <w:lang w:val="es-ES"/>
        </w:rPr>
        <w:t xml:space="preserve"> </w:t>
      </w:r>
      <w:r w:rsidR="00E249BD" w:rsidRPr="00F05461">
        <w:rPr>
          <w:lang w:val="es-ES"/>
        </w:rPr>
        <w:t>a fines de 202</w:t>
      </w:r>
      <w:r w:rsidR="00B647AD" w:rsidRPr="00F05461">
        <w:rPr>
          <w:lang w:val="es-ES"/>
        </w:rPr>
        <w:t>4</w:t>
      </w:r>
      <w:r w:rsidRPr="00F05461">
        <w:rPr>
          <w:lang w:val="es-ES"/>
        </w:rPr>
        <w:t>.</w:t>
      </w:r>
    </w:p>
    <w:p w14:paraId="7C8768E9" w14:textId="4C0DAC87" w:rsidR="005D7B2C" w:rsidRPr="00F05461" w:rsidRDefault="00296F03" w:rsidP="005D7B2C">
      <w:pPr>
        <w:rPr>
          <w:lang w:val="es-ES"/>
        </w:rPr>
      </w:pPr>
      <w:r w:rsidRPr="00F05461">
        <w:rPr>
          <w:lang w:val="es-ES"/>
        </w:rPr>
        <w:t>La UIT</w:t>
      </w:r>
      <w:r w:rsidR="005D7B2C" w:rsidRPr="00F05461">
        <w:rPr>
          <w:lang w:val="es-ES"/>
        </w:rPr>
        <w:t xml:space="preserve"> ayudó a seis países de África Oriental a elaborar normativas y sistemas de datos sobre residuos electrónicos entre 2022 y 2025. Al mismo tiempo, impulsó nuevas normas internacionales sobre la responsabilidad ampliada del productor y la contratación pública sostenible.</w:t>
      </w:r>
    </w:p>
    <w:p w14:paraId="71D0B099" w14:textId="0D04ED20" w:rsidR="005D7B2C" w:rsidRPr="00F05461" w:rsidRDefault="005D7B2C" w:rsidP="005D7B2C">
      <w:pPr>
        <w:rPr>
          <w:lang w:val="es-ES"/>
        </w:rPr>
      </w:pPr>
      <w:r w:rsidRPr="00F05461">
        <w:rPr>
          <w:lang w:val="es-ES"/>
        </w:rPr>
        <w:t>Durante ese mismo per</w:t>
      </w:r>
      <w:r w:rsidR="003E0321" w:rsidRPr="00F05461">
        <w:rPr>
          <w:lang w:val="es-ES"/>
        </w:rPr>
        <w:t>i</w:t>
      </w:r>
      <w:r w:rsidRPr="00F05461">
        <w:rPr>
          <w:lang w:val="es-ES"/>
        </w:rPr>
        <w:t>odo, 28</w:t>
      </w:r>
      <w:r w:rsidR="003E0321" w:rsidRPr="00F05461">
        <w:rPr>
          <w:lang w:val="es-ES"/>
        </w:rPr>
        <w:t> </w:t>
      </w:r>
      <w:r w:rsidRPr="00F05461">
        <w:rPr>
          <w:lang w:val="es-ES"/>
        </w:rPr>
        <w:t xml:space="preserve">países se beneficiaron del apoyo de </w:t>
      </w:r>
      <w:r w:rsidR="00296F03" w:rsidRPr="00F05461">
        <w:rPr>
          <w:lang w:val="es-ES"/>
        </w:rPr>
        <w:t>la UIT</w:t>
      </w:r>
      <w:r w:rsidRPr="00F05461">
        <w:rPr>
          <w:lang w:val="es-ES"/>
        </w:rPr>
        <w:t xml:space="preserve"> en la elaboración de planes nacionales de telecomunicaciones de emergencia para reforzar la preparación mundial ante catástrofes. </w:t>
      </w:r>
      <w:r w:rsidR="00296F03" w:rsidRPr="00F05461">
        <w:rPr>
          <w:lang w:val="es-ES"/>
        </w:rPr>
        <w:t>La UIT</w:t>
      </w:r>
      <w:r w:rsidRPr="00F05461">
        <w:rPr>
          <w:lang w:val="es-ES"/>
        </w:rPr>
        <w:t xml:space="preserve"> también prestó asistencia en materia de telecomunicaciones de emergencia durante catástrofes de gran magnitud, proporcionando equipos y apoyo técnico a las comunidades afectadas en respuesta al huracán Julia y al ciclón Freddy.</w:t>
      </w:r>
    </w:p>
    <w:p w14:paraId="6E13C475" w14:textId="19464E55" w:rsidR="005D7B2C" w:rsidRPr="00F05461" w:rsidRDefault="005D7B2C" w:rsidP="005D7B2C">
      <w:pPr>
        <w:rPr>
          <w:lang w:val="es-ES"/>
        </w:rPr>
      </w:pPr>
      <w:r w:rsidRPr="00F05461">
        <w:rPr>
          <w:lang w:val="es-ES"/>
        </w:rPr>
        <w:t xml:space="preserve">La organización asumió un papel esencial en la iniciativa Alertas </w:t>
      </w:r>
      <w:r w:rsidR="00C615E7" w:rsidRPr="00F05461">
        <w:rPr>
          <w:lang w:val="es-ES"/>
        </w:rPr>
        <w:t xml:space="preserve">Tempranas </w:t>
      </w:r>
      <w:r w:rsidRPr="00F05461">
        <w:rPr>
          <w:lang w:val="es-ES"/>
        </w:rPr>
        <w:t xml:space="preserve">para </w:t>
      </w:r>
      <w:r w:rsidR="00C615E7" w:rsidRPr="00F05461">
        <w:rPr>
          <w:lang w:val="es-ES"/>
        </w:rPr>
        <w:t>Todos</w:t>
      </w:r>
      <w:r w:rsidRPr="00F05461">
        <w:rPr>
          <w:lang w:val="es-ES"/>
        </w:rPr>
        <w:t xml:space="preserve"> del Secretario General de las Naciones Unidas (puesta en marcha en la COP27 en 2022), cuyo objetivo es garantizar que toda la población mundial pueda recibir alertas de catástrofes oportunas de aquí a 2027. </w:t>
      </w:r>
      <w:r w:rsidR="00296F03" w:rsidRPr="00F05461">
        <w:rPr>
          <w:lang w:val="es-ES"/>
        </w:rPr>
        <w:t>La UIT</w:t>
      </w:r>
      <w:r w:rsidRPr="00F05461">
        <w:rPr>
          <w:lang w:val="es-ES"/>
        </w:rPr>
        <w:t xml:space="preserve"> se unió a la Organización Meteorológica Mundial (OMM), la Oficina de las Naciones Unidas para la Reducción del Riesgo de Desastres (UNDRR) y la Federación Internacional de Sociedades de la Cruz Roja y de la </w:t>
      </w:r>
      <w:proofErr w:type="gramStart"/>
      <w:r w:rsidRPr="00F05461">
        <w:rPr>
          <w:lang w:val="es-ES"/>
        </w:rPr>
        <w:t>Media Luna</w:t>
      </w:r>
      <w:proofErr w:type="gramEnd"/>
      <w:r w:rsidRPr="00F05461">
        <w:rPr>
          <w:lang w:val="es-ES"/>
        </w:rPr>
        <w:t xml:space="preserve"> Roja (FICR) para formar el subgrupo de</w:t>
      </w:r>
      <w:r w:rsidR="007922E7">
        <w:rPr>
          <w:lang w:val="es-ES"/>
        </w:rPr>
        <w:t> </w:t>
      </w:r>
      <w:r w:rsidRPr="00F05461">
        <w:rPr>
          <w:lang w:val="es-ES"/>
        </w:rPr>
        <w:t>IA de la iniciativa, encargado de mejorar los sistemas de alerta temprana.</w:t>
      </w:r>
    </w:p>
    <w:p w14:paraId="0764A57B" w14:textId="77777777" w:rsidR="005D7B2C" w:rsidRPr="00F05461" w:rsidRDefault="005D7B2C" w:rsidP="00312480">
      <w:pPr>
        <w:pStyle w:val="Headingb"/>
      </w:pPr>
      <w:r w:rsidRPr="00F05461">
        <w:lastRenderedPageBreak/>
        <w:t>Líder en normas de tecnología</w:t>
      </w:r>
    </w:p>
    <w:p w14:paraId="3B2D2598" w14:textId="74A905F5" w:rsidR="005D7B2C" w:rsidRPr="00F05461" w:rsidRDefault="00296F03" w:rsidP="00C8537E">
      <w:pPr>
        <w:keepNext/>
        <w:keepLines/>
        <w:rPr>
          <w:lang w:val="es-ES"/>
        </w:rPr>
      </w:pPr>
      <w:r w:rsidRPr="00F05461">
        <w:rPr>
          <w:lang w:val="es-ES"/>
        </w:rPr>
        <w:t>La UIT</w:t>
      </w:r>
      <w:r w:rsidR="005D7B2C" w:rsidRPr="00F05461">
        <w:rPr>
          <w:lang w:val="es-ES"/>
        </w:rPr>
        <w:t xml:space="preserve"> ha reforzado su papel de organización líder en materia de normalización mediante nuevas iniciativas centradas en los retos y oportunidades que plantean las tecnologías nuevas e incipientes. Además, ha contribuido a configurar las tecnologías de la información cuántica a través de iniciativas como la base de datos de normas cuánticas, creada entre 2023 y 2024, y la adopción de nuevas Recomendaciones por las Comisiones de Estudio del</w:t>
      </w:r>
      <w:r w:rsidR="00EF4138" w:rsidRPr="00F05461">
        <w:rPr>
          <w:lang w:val="es-ES"/>
        </w:rPr>
        <w:t> </w:t>
      </w:r>
      <w:r w:rsidR="005D7B2C" w:rsidRPr="00F05461">
        <w:rPr>
          <w:lang w:val="es-ES"/>
        </w:rPr>
        <w:t>UIT-T en materia de seguridad cuántica.</w:t>
      </w:r>
    </w:p>
    <w:p w14:paraId="4E07FDC0" w14:textId="001E7AD3" w:rsidR="005D7B2C" w:rsidRPr="00F05461" w:rsidRDefault="005D7B2C" w:rsidP="00C8537E">
      <w:pPr>
        <w:rPr>
          <w:lang w:val="es-ES"/>
        </w:rPr>
      </w:pPr>
      <w:r w:rsidRPr="00F05461">
        <w:rPr>
          <w:lang w:val="es-ES"/>
        </w:rPr>
        <w:t xml:space="preserve">Dado que las Naciones Unidas han designado 2025 como el Año Internacional de la </w:t>
      </w:r>
      <w:r w:rsidR="0025456C" w:rsidRPr="00F05461">
        <w:rPr>
          <w:lang w:val="es-ES"/>
        </w:rPr>
        <w:t xml:space="preserve">Ciencia </w:t>
      </w:r>
      <w:r w:rsidRPr="00F05461">
        <w:rPr>
          <w:lang w:val="es-ES"/>
        </w:rPr>
        <w:t xml:space="preserve">y la </w:t>
      </w:r>
      <w:r w:rsidR="0025456C" w:rsidRPr="00F05461">
        <w:rPr>
          <w:lang w:val="es-ES"/>
        </w:rPr>
        <w:t>Tecnología Cuánticas</w:t>
      </w:r>
      <w:r w:rsidRPr="00F05461">
        <w:rPr>
          <w:lang w:val="es-ES"/>
        </w:rPr>
        <w:t xml:space="preserve">, </w:t>
      </w:r>
      <w:r w:rsidR="00296F03" w:rsidRPr="00F05461">
        <w:rPr>
          <w:lang w:val="es-ES"/>
        </w:rPr>
        <w:t>la UIT</w:t>
      </w:r>
      <w:r w:rsidRPr="00F05461">
        <w:rPr>
          <w:lang w:val="es-ES"/>
        </w:rPr>
        <w:t xml:space="preserve"> ha respaldado la sensibilización a nivel mundial y ha puesto en marcha su propia iniciativa </w:t>
      </w:r>
      <w:hyperlink r:id="rId22" w:history="1">
        <w:r w:rsidRPr="00F05461">
          <w:rPr>
            <w:rStyle w:val="Hyperlink"/>
            <w:rFonts w:eastAsia="Times New Roman" w:cs="Times New Roman"/>
            <w:szCs w:val="20"/>
            <w:lang w:val="es-ES"/>
          </w:rPr>
          <w:t>Quantum for Good</w:t>
        </w:r>
      </w:hyperlink>
      <w:r w:rsidRPr="00F05461">
        <w:rPr>
          <w:lang w:val="es-ES"/>
        </w:rPr>
        <w:t>, que pone de relieve los posibles beneficios y la necesidad de abordar los riesgos.</w:t>
      </w:r>
    </w:p>
    <w:p w14:paraId="239E9E2C" w14:textId="36883FB8" w:rsidR="005D7B2C" w:rsidRPr="00F05461" w:rsidRDefault="005D7B2C" w:rsidP="005D7B2C">
      <w:pPr>
        <w:rPr>
          <w:lang w:val="es-ES"/>
        </w:rPr>
      </w:pPr>
      <w:r w:rsidRPr="00F05461">
        <w:rPr>
          <w:lang w:val="es-ES"/>
        </w:rPr>
        <w:t xml:space="preserve">El Grupo Temático sobre los mundos virtuales y el metaverso, dirigido por </w:t>
      </w:r>
      <w:r w:rsidR="00296F03" w:rsidRPr="00F05461">
        <w:rPr>
          <w:lang w:val="es-ES"/>
        </w:rPr>
        <w:t>la UIT</w:t>
      </w:r>
      <w:r w:rsidRPr="00F05461">
        <w:rPr>
          <w:lang w:val="es-ES"/>
        </w:rPr>
        <w:t xml:space="preserve"> y activo hasta mediados de 2024, contó con la participación de más de 17</w:t>
      </w:r>
      <w:r w:rsidR="00EF4138" w:rsidRPr="00F05461">
        <w:rPr>
          <w:lang w:val="es-ES"/>
        </w:rPr>
        <w:t> </w:t>
      </w:r>
      <w:r w:rsidRPr="00F05461">
        <w:rPr>
          <w:lang w:val="es-ES"/>
        </w:rPr>
        <w:t>000</w:t>
      </w:r>
      <w:r w:rsidR="00EF4138" w:rsidRPr="00F05461">
        <w:rPr>
          <w:lang w:val="es-ES"/>
        </w:rPr>
        <w:t> </w:t>
      </w:r>
      <w:r w:rsidRPr="00F05461">
        <w:rPr>
          <w:lang w:val="es-ES"/>
        </w:rPr>
        <w:t>personas y generó más de 50</w:t>
      </w:r>
      <w:r w:rsidR="00EF4138" w:rsidRPr="00F05461">
        <w:rPr>
          <w:lang w:val="es-ES"/>
        </w:rPr>
        <w:t> </w:t>
      </w:r>
      <w:r w:rsidRPr="00F05461">
        <w:rPr>
          <w:lang w:val="es-ES"/>
        </w:rPr>
        <w:t xml:space="preserve">documentos técnicos, allanando el camino para la nueva </w:t>
      </w:r>
      <w:r w:rsidR="009C652F" w:rsidRPr="00F05461">
        <w:rPr>
          <w:lang w:val="es-ES"/>
        </w:rPr>
        <w:t>i</w:t>
      </w:r>
      <w:r w:rsidRPr="00F05461">
        <w:rPr>
          <w:lang w:val="es-ES"/>
        </w:rPr>
        <w:t xml:space="preserve">niciativa mundial sobre mundos virtuales e </w:t>
      </w:r>
      <w:r w:rsidR="009776E2" w:rsidRPr="00F05461">
        <w:rPr>
          <w:lang w:val="es-ES"/>
        </w:rPr>
        <w:t>IA</w:t>
      </w:r>
      <w:r w:rsidRPr="00F05461">
        <w:rPr>
          <w:lang w:val="es-ES"/>
        </w:rPr>
        <w:t xml:space="preserve">. Asimismo, la Actividad </w:t>
      </w:r>
      <w:r w:rsidR="0025456C" w:rsidRPr="00F05461">
        <w:rPr>
          <w:lang w:val="es-ES"/>
        </w:rPr>
        <w:t xml:space="preserve">Conjunta </w:t>
      </w:r>
      <w:r w:rsidRPr="00F05461">
        <w:rPr>
          <w:lang w:val="es-ES"/>
        </w:rPr>
        <w:t xml:space="preserve">de Coordinación sobre </w:t>
      </w:r>
      <w:r w:rsidR="00FF52A6" w:rsidRPr="00F05461">
        <w:rPr>
          <w:lang w:val="es-ES"/>
        </w:rPr>
        <w:t xml:space="preserve">Normalización </w:t>
      </w:r>
      <w:r w:rsidRPr="00F05461">
        <w:rPr>
          <w:lang w:val="es-ES"/>
        </w:rPr>
        <w:t xml:space="preserve">del </w:t>
      </w:r>
      <w:r w:rsidR="00FF52A6" w:rsidRPr="00F05461">
        <w:rPr>
          <w:lang w:val="es-ES"/>
        </w:rPr>
        <w:t xml:space="preserve">Metaverso </w:t>
      </w:r>
      <w:r w:rsidRPr="00F05461">
        <w:rPr>
          <w:lang w:val="es-ES"/>
        </w:rPr>
        <w:t>(</w:t>
      </w:r>
      <w:hyperlink r:id="rId23" w:history="1">
        <w:r w:rsidRPr="00F05461">
          <w:rPr>
            <w:rStyle w:val="Hyperlink"/>
            <w:rFonts w:eastAsia="Times New Roman" w:cs="Times New Roman"/>
            <w:szCs w:val="20"/>
            <w:lang w:val="es-ES"/>
          </w:rPr>
          <w:t>JCA</w:t>
        </w:r>
        <w:r w:rsidRPr="00F05461">
          <w:rPr>
            <w:rStyle w:val="Hyperlink"/>
            <w:rFonts w:eastAsia="Times New Roman" w:cs="Times New Roman"/>
            <w:szCs w:val="20"/>
            <w:lang w:val="es-ES"/>
          </w:rPr>
          <w:noBreakHyphen/>
          <w:t>MV</w:t>
        </w:r>
      </w:hyperlink>
      <w:r w:rsidRPr="00F05461">
        <w:rPr>
          <w:lang w:val="es-ES"/>
        </w:rPr>
        <w:t>), creada y puesta en marcha en 2025, coordina la labor de normalización del metaverso de</w:t>
      </w:r>
      <w:r w:rsidR="00296F03" w:rsidRPr="00F05461">
        <w:rPr>
          <w:lang w:val="es-ES"/>
        </w:rPr>
        <w:t>l UIT</w:t>
      </w:r>
      <w:r w:rsidRPr="00F05461">
        <w:rPr>
          <w:lang w:val="es-ES"/>
        </w:rPr>
        <w:t>-T y refuerza la colaboración con organismos de normalización externos. Otras actividades paralelas permitieron avanzar en los ámbitos de Internet de las cosas</w:t>
      </w:r>
      <w:r w:rsidR="007347B3" w:rsidRPr="00F05461">
        <w:rPr>
          <w:lang w:val="es-ES"/>
        </w:rPr>
        <w:t xml:space="preserve"> (IoT)</w:t>
      </w:r>
      <w:r w:rsidRPr="00F05461">
        <w:rPr>
          <w:lang w:val="es-ES"/>
        </w:rPr>
        <w:t>, los gemelos digitales y los marcos de ciudades inteligentes.</w:t>
      </w:r>
    </w:p>
    <w:p w14:paraId="1726B549" w14:textId="42D56299" w:rsidR="005D7B2C" w:rsidRPr="00F05461" w:rsidRDefault="00296F03" w:rsidP="005D7B2C">
      <w:pPr>
        <w:rPr>
          <w:lang w:val="es-ES"/>
        </w:rPr>
      </w:pPr>
      <w:r w:rsidRPr="00F05461">
        <w:rPr>
          <w:lang w:val="es-ES"/>
        </w:rPr>
        <w:t>La UIT</w:t>
      </w:r>
      <w:r w:rsidR="005D7B2C" w:rsidRPr="00F05461">
        <w:rPr>
          <w:lang w:val="es-ES"/>
        </w:rPr>
        <w:t xml:space="preserve"> también colaboró con otros organismos de las Naciones Unidas para sentar las bases de una IA responsable en una amplia gama de aplicaciones. Por ejemplo, el </w:t>
      </w:r>
      <w:hyperlink r:id="rId24" w:history="1">
        <w:r w:rsidR="005D7B2C" w:rsidRPr="00F05461">
          <w:rPr>
            <w:rStyle w:val="Hyperlink"/>
            <w:rFonts w:eastAsia="Times New Roman" w:cs="Times New Roman"/>
            <w:szCs w:val="20"/>
            <w:lang w:val="es-ES"/>
          </w:rPr>
          <w:t xml:space="preserve">Grupo Temático UIT-FAO sobre IA e IoT para la </w:t>
        </w:r>
        <w:r w:rsidR="00627F96" w:rsidRPr="00F05461">
          <w:rPr>
            <w:rStyle w:val="Hyperlink"/>
            <w:rFonts w:eastAsia="Times New Roman" w:cs="Times New Roman"/>
            <w:szCs w:val="20"/>
            <w:lang w:val="es-ES"/>
          </w:rPr>
          <w:t>A</w:t>
        </w:r>
        <w:r w:rsidR="005D7B2C" w:rsidRPr="00F05461">
          <w:rPr>
            <w:rStyle w:val="Hyperlink"/>
            <w:rFonts w:eastAsia="Times New Roman" w:cs="Times New Roman"/>
            <w:szCs w:val="20"/>
            <w:lang w:val="es-ES"/>
          </w:rPr>
          <w:t xml:space="preserve">gricultura </w:t>
        </w:r>
        <w:r w:rsidR="00627F96" w:rsidRPr="00F05461">
          <w:rPr>
            <w:rStyle w:val="Hyperlink"/>
            <w:rFonts w:eastAsia="Times New Roman" w:cs="Times New Roman"/>
            <w:szCs w:val="20"/>
            <w:lang w:val="es-ES"/>
          </w:rPr>
          <w:t>D</w:t>
        </w:r>
        <w:r w:rsidR="005D7B2C" w:rsidRPr="00F05461">
          <w:rPr>
            <w:rStyle w:val="Hyperlink"/>
            <w:rFonts w:eastAsia="Times New Roman" w:cs="Times New Roman"/>
            <w:szCs w:val="20"/>
            <w:lang w:val="es-ES"/>
          </w:rPr>
          <w:t>igital</w:t>
        </w:r>
      </w:hyperlink>
      <w:r w:rsidR="005D7B2C" w:rsidRPr="00F05461">
        <w:rPr>
          <w:lang w:val="es-ES"/>
        </w:rPr>
        <w:t xml:space="preserve"> (dirigido </w:t>
      </w:r>
      <w:proofErr w:type="gramStart"/>
      <w:r w:rsidR="005D7B2C" w:rsidRPr="00F05461">
        <w:rPr>
          <w:lang w:val="es-ES"/>
        </w:rPr>
        <w:t>conjuntamente con</w:t>
      </w:r>
      <w:proofErr w:type="gramEnd"/>
      <w:r w:rsidR="005D7B2C" w:rsidRPr="00F05461">
        <w:rPr>
          <w:lang w:val="es-ES"/>
        </w:rPr>
        <w:t xml:space="preserve"> la Organización de las Naciones Unidas para la Alimentación y la Agricultura </w:t>
      </w:r>
      <w:r w:rsidR="00FF52A6" w:rsidRPr="00F05461">
        <w:rPr>
          <w:lang w:val="es-ES"/>
        </w:rPr>
        <w:t>(</w:t>
      </w:r>
      <w:r w:rsidR="005D7B2C" w:rsidRPr="00F05461">
        <w:rPr>
          <w:lang w:val="es-ES"/>
        </w:rPr>
        <w:t>FAO</w:t>
      </w:r>
      <w:r w:rsidR="00FF52A6" w:rsidRPr="00F05461">
        <w:rPr>
          <w:lang w:val="es-ES"/>
        </w:rPr>
        <w:t>)</w:t>
      </w:r>
      <w:r w:rsidR="005D7B2C" w:rsidRPr="00F05461">
        <w:rPr>
          <w:lang w:val="es-ES"/>
        </w:rPr>
        <w:t>), proporcionó orientación sobre la agricultura de precisión y los sistemas alimentarios resilientes al clima.</w:t>
      </w:r>
    </w:p>
    <w:p w14:paraId="430566F2" w14:textId="0AF54AD4" w:rsidR="005D7B2C" w:rsidRPr="00F05461" w:rsidRDefault="005D7B2C" w:rsidP="005D7B2C">
      <w:pPr>
        <w:rPr>
          <w:lang w:val="es-ES"/>
        </w:rPr>
      </w:pPr>
      <w:r w:rsidRPr="00F05461">
        <w:rPr>
          <w:lang w:val="es-ES"/>
        </w:rPr>
        <w:t xml:space="preserve">La </w:t>
      </w:r>
      <w:hyperlink r:id="rId25" w:history="1">
        <w:r w:rsidR="009C652F" w:rsidRPr="00F05461">
          <w:rPr>
            <w:rStyle w:val="Hyperlink"/>
            <w:rFonts w:eastAsia="Times New Roman" w:cs="Times New Roman"/>
            <w:szCs w:val="20"/>
            <w:lang w:val="es-ES"/>
          </w:rPr>
          <w:t>i</w:t>
        </w:r>
        <w:r w:rsidRPr="00F05461">
          <w:rPr>
            <w:rStyle w:val="Hyperlink"/>
            <w:rFonts w:eastAsia="Times New Roman" w:cs="Times New Roman"/>
            <w:szCs w:val="20"/>
            <w:lang w:val="es-ES"/>
          </w:rPr>
          <w:t xml:space="preserve">niciativa mundial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la </w:t>
        </w:r>
        <w:r w:rsidR="007347B3" w:rsidRPr="00F05461">
          <w:rPr>
            <w:rStyle w:val="Hyperlink"/>
            <w:rFonts w:eastAsia="Times New Roman" w:cs="Times New Roman"/>
            <w:szCs w:val="20"/>
            <w:lang w:val="es-ES"/>
          </w:rPr>
          <w:t>Organización Mundial de la Salud (</w:t>
        </w:r>
        <w:r w:rsidRPr="00F05461">
          <w:rPr>
            <w:rStyle w:val="Hyperlink"/>
            <w:rFonts w:eastAsia="Times New Roman" w:cs="Times New Roman"/>
            <w:szCs w:val="20"/>
            <w:lang w:val="es-ES"/>
          </w:rPr>
          <w:t>OMS</w:t>
        </w:r>
        <w:r w:rsidR="007347B3" w:rsidRPr="00F05461">
          <w:rPr>
            <w:rStyle w:val="Hyperlink"/>
            <w:rFonts w:eastAsia="Times New Roman" w:cs="Times New Roman"/>
            <w:szCs w:val="20"/>
            <w:lang w:val="es-ES"/>
          </w:rPr>
          <w:t>)</w:t>
        </w:r>
        <w:r w:rsidRPr="00F05461">
          <w:rPr>
            <w:rStyle w:val="Hyperlink"/>
            <w:rFonts w:eastAsia="Times New Roman" w:cs="Times New Roman"/>
            <w:szCs w:val="20"/>
            <w:lang w:val="es-ES"/>
          </w:rPr>
          <w:t xml:space="preserve"> y la </w:t>
        </w:r>
        <w:r w:rsidR="007347B3" w:rsidRPr="00F05461">
          <w:rPr>
            <w:rStyle w:val="Hyperlink"/>
            <w:rFonts w:eastAsia="Times New Roman" w:cs="Times New Roman"/>
            <w:szCs w:val="20"/>
            <w:lang w:val="es-ES"/>
          </w:rPr>
          <w:t>Organización Mundial de la Propiedad Intelectual (</w:t>
        </w:r>
        <w:r w:rsidRPr="00F05461">
          <w:rPr>
            <w:rStyle w:val="Hyperlink"/>
            <w:rFonts w:eastAsia="Times New Roman" w:cs="Times New Roman"/>
            <w:szCs w:val="20"/>
            <w:lang w:val="es-ES"/>
          </w:rPr>
          <w:t>OMPI</w:t>
        </w:r>
        <w:r w:rsidR="007347B3" w:rsidRPr="00F05461">
          <w:rPr>
            <w:rStyle w:val="Hyperlink"/>
            <w:rFonts w:eastAsia="Times New Roman" w:cs="Times New Roman"/>
            <w:szCs w:val="20"/>
            <w:lang w:val="es-ES"/>
          </w:rPr>
          <w:t>)</w:t>
        </w:r>
        <w:r w:rsidRPr="00F05461">
          <w:rPr>
            <w:rStyle w:val="Hyperlink"/>
            <w:rFonts w:eastAsia="Times New Roman" w:cs="Times New Roman"/>
            <w:szCs w:val="20"/>
            <w:lang w:val="es-ES"/>
          </w:rPr>
          <w:t xml:space="preserve"> sobre la</w:t>
        </w:r>
        <w:r w:rsidR="000675DC" w:rsidRPr="00F05461">
          <w:rPr>
            <w:rStyle w:val="Hyperlink"/>
            <w:rFonts w:eastAsia="Times New Roman" w:cs="Times New Roman"/>
            <w:szCs w:val="20"/>
            <w:lang w:val="es-ES"/>
          </w:rPr>
          <w:t> </w:t>
        </w:r>
        <w:r w:rsidRPr="00F05461">
          <w:rPr>
            <w:rStyle w:val="Hyperlink"/>
            <w:rFonts w:eastAsia="Times New Roman" w:cs="Times New Roman"/>
            <w:szCs w:val="20"/>
            <w:lang w:val="es-ES"/>
          </w:rPr>
          <w:t>IA para la salud</w:t>
        </w:r>
      </w:hyperlink>
      <w:r w:rsidRPr="00F05461">
        <w:rPr>
          <w:lang w:val="es-ES"/>
        </w:rPr>
        <w:t xml:space="preserve"> ha elaborado sólidos marcos de evaluación destinados a facilitar la adopción segura y con base empírica de la</w:t>
      </w:r>
      <w:r w:rsidR="00FD0E79" w:rsidRPr="00F05461">
        <w:rPr>
          <w:lang w:val="es-ES"/>
        </w:rPr>
        <w:t> </w:t>
      </w:r>
      <w:r w:rsidRPr="00F05461">
        <w:rPr>
          <w:lang w:val="es-ES"/>
        </w:rPr>
        <w:t>IA en entornos clínicos, complementados con aplicaciones de referencia que muestran cómo estas normas pueden ponerse en práctica y ser adaptadas por los organismos reguladores nacionales en materia de medicina. Estos esfuerzos se ven reforzados además por un apoyo específico que permite una mayor participación de los países de renta media y baja</w:t>
      </w:r>
      <w:r w:rsidR="00FF52A6" w:rsidRPr="00F05461">
        <w:rPr>
          <w:lang w:val="es-ES"/>
        </w:rPr>
        <w:t>.</w:t>
      </w:r>
    </w:p>
    <w:p w14:paraId="414B18F2" w14:textId="5DA64EF8" w:rsidR="005D7B2C" w:rsidRPr="00F05461" w:rsidRDefault="005D7B2C" w:rsidP="00312480">
      <w:pPr>
        <w:pStyle w:val="Headingb"/>
      </w:pPr>
      <w:r w:rsidRPr="00F05461">
        <w:t>Productos y servicios que fomentan el desarrollo digital</w:t>
      </w:r>
    </w:p>
    <w:p w14:paraId="7908DD3E" w14:textId="67FDA4DF" w:rsidR="005D7B2C" w:rsidRPr="00F05461" w:rsidRDefault="00296F03" w:rsidP="005D7B2C">
      <w:pPr>
        <w:rPr>
          <w:lang w:val="es-ES"/>
        </w:rPr>
      </w:pPr>
      <w:r w:rsidRPr="00F05461">
        <w:rPr>
          <w:lang w:val="es-ES"/>
        </w:rPr>
        <w:t>La UIT</w:t>
      </w:r>
      <w:r w:rsidR="005D7B2C" w:rsidRPr="00F05461">
        <w:rPr>
          <w:lang w:val="es-ES"/>
        </w:rPr>
        <w:t xml:space="preserve"> siguió actuando como fuente mundial fidedigna de estadísticas y análisis sobre las</w:t>
      </w:r>
      <w:r w:rsidR="005A4259" w:rsidRPr="00F05461">
        <w:rPr>
          <w:lang w:val="es-ES"/>
        </w:rPr>
        <w:t> </w:t>
      </w:r>
      <w:r w:rsidR="005D7B2C" w:rsidRPr="00F05461">
        <w:rPr>
          <w:lang w:val="es-ES"/>
        </w:rPr>
        <w:t xml:space="preserve">TIC, mediante la elaboración de publicaciones emblemáticas como </w:t>
      </w:r>
      <w:hyperlink r:id="rId26" w:history="1">
        <w:r w:rsidR="005D7B2C" w:rsidRPr="00F05461">
          <w:rPr>
            <w:rStyle w:val="Hyperlink"/>
            <w:rFonts w:eastAsia="Times New Roman" w:cs="Times New Roman"/>
            <w:i/>
            <w:iCs/>
            <w:szCs w:val="20"/>
            <w:lang w:val="es-ES"/>
          </w:rPr>
          <w:t xml:space="preserve">Facts </w:t>
        </w:r>
        <w:r w:rsidR="00F53F64" w:rsidRPr="00F05461">
          <w:rPr>
            <w:rStyle w:val="Hyperlink"/>
            <w:rFonts w:eastAsia="Times New Roman" w:cs="Times New Roman"/>
            <w:i/>
            <w:iCs/>
            <w:szCs w:val="20"/>
            <w:lang w:val="es-ES"/>
          </w:rPr>
          <w:t>and</w:t>
        </w:r>
        <w:r w:rsidR="005D7B2C" w:rsidRPr="00F05461">
          <w:rPr>
            <w:rStyle w:val="Hyperlink"/>
            <w:rFonts w:eastAsia="Times New Roman" w:cs="Times New Roman"/>
            <w:i/>
            <w:iCs/>
            <w:szCs w:val="20"/>
            <w:lang w:val="es-ES"/>
          </w:rPr>
          <w:t xml:space="preserve"> Figures</w:t>
        </w:r>
      </w:hyperlink>
      <w:r w:rsidR="005D7B2C" w:rsidRPr="00F05461">
        <w:rPr>
          <w:lang w:val="es-ES"/>
        </w:rPr>
        <w:t xml:space="preserve"> y el </w:t>
      </w:r>
      <w:hyperlink r:id="rId27" w:history="1">
        <w:r w:rsidR="005D7B2C" w:rsidRPr="00F05461">
          <w:rPr>
            <w:rStyle w:val="Hyperlink"/>
            <w:rFonts w:eastAsia="Times New Roman" w:cs="Times New Roman"/>
            <w:i/>
            <w:iCs/>
            <w:szCs w:val="20"/>
            <w:lang w:val="es-ES"/>
          </w:rPr>
          <w:t>Informe sobre la conectividad mundial</w:t>
        </w:r>
      </w:hyperlink>
      <w:r w:rsidR="005D7B2C" w:rsidRPr="00F05461">
        <w:rPr>
          <w:lang w:val="es-ES"/>
        </w:rPr>
        <w:t xml:space="preserve">. La organización consolidó las normas en materia de estadísticas, amplió las metodologías de macrodatos y reforzó la cooperación internacional a través de plataformas como la Alianza para la </w:t>
      </w:r>
      <w:r w:rsidR="00627F96" w:rsidRPr="00F05461">
        <w:rPr>
          <w:lang w:val="es-ES"/>
        </w:rPr>
        <w:t>M</w:t>
      </w:r>
      <w:r w:rsidR="005D7B2C" w:rsidRPr="00F05461">
        <w:rPr>
          <w:lang w:val="es-ES"/>
        </w:rPr>
        <w:t>edición de las</w:t>
      </w:r>
      <w:r w:rsidR="000675DC" w:rsidRPr="00F05461">
        <w:rPr>
          <w:lang w:val="es-ES"/>
        </w:rPr>
        <w:t> </w:t>
      </w:r>
      <w:r w:rsidR="005D7B2C" w:rsidRPr="00F05461">
        <w:rPr>
          <w:lang w:val="es-ES"/>
        </w:rPr>
        <w:t xml:space="preserve">TIC para el </w:t>
      </w:r>
      <w:r w:rsidR="00627F96" w:rsidRPr="00F05461">
        <w:rPr>
          <w:lang w:val="es-ES"/>
        </w:rPr>
        <w:t>D</w:t>
      </w:r>
      <w:r w:rsidR="005D7B2C" w:rsidRPr="00F05461">
        <w:rPr>
          <w:lang w:val="es-ES"/>
        </w:rPr>
        <w:t>esarrollo. Estas actividades sustentan la formulación de políticas basadas en datos empíricos y permiten a los países realizar un seguimiento de los progresos realizados en la consecución de los objetivos de conectividad e inclusión digital.</w:t>
      </w:r>
    </w:p>
    <w:p w14:paraId="641C91DA" w14:textId="6BD364F6" w:rsidR="005D7B2C" w:rsidRPr="00F05461" w:rsidRDefault="005D7B2C" w:rsidP="00C8537E">
      <w:pPr>
        <w:keepNext/>
        <w:keepLines/>
        <w:rPr>
          <w:lang w:val="es-ES"/>
        </w:rPr>
      </w:pPr>
      <w:r w:rsidRPr="00F05461">
        <w:rPr>
          <w:lang w:val="es-ES"/>
        </w:rPr>
        <w:lastRenderedPageBreak/>
        <w:t>La capacitación experimentó un crecimiento considerable durante el per</w:t>
      </w:r>
      <w:r w:rsidR="003E0321" w:rsidRPr="00F05461">
        <w:rPr>
          <w:lang w:val="es-ES"/>
        </w:rPr>
        <w:t>i</w:t>
      </w:r>
      <w:r w:rsidRPr="00F05461">
        <w:rPr>
          <w:lang w:val="es-ES"/>
        </w:rPr>
        <w:t xml:space="preserve">odo que abarca el informe. La participación en los programas de la </w:t>
      </w:r>
      <w:hyperlink r:id="rId28" w:history="1">
        <w:r w:rsidRPr="00F05461">
          <w:rPr>
            <w:rStyle w:val="Hyperlink"/>
            <w:rFonts w:eastAsia="Times New Roman" w:cs="Times New Roman"/>
            <w:szCs w:val="20"/>
            <w:lang w:val="es-ES"/>
          </w:rPr>
          <w:t xml:space="preserve">Academia de </w:t>
        </w:r>
        <w:r w:rsidR="00296F03" w:rsidRPr="00F05461">
          <w:rPr>
            <w:rStyle w:val="Hyperlink"/>
            <w:rFonts w:eastAsia="Times New Roman" w:cs="Times New Roman"/>
            <w:szCs w:val="20"/>
            <w:lang w:val="es-ES"/>
          </w:rPr>
          <w:t>la UIT</w:t>
        </w:r>
      </w:hyperlink>
      <w:r w:rsidRPr="00F05461">
        <w:rPr>
          <w:lang w:val="es-ES"/>
        </w:rPr>
        <w:t xml:space="preserve"> aumentó de aproximadamente 26</w:t>
      </w:r>
      <w:r w:rsidR="00FD0E79" w:rsidRPr="00F05461">
        <w:rPr>
          <w:lang w:val="es-ES"/>
        </w:rPr>
        <w:t> </w:t>
      </w:r>
      <w:r w:rsidRPr="00F05461">
        <w:rPr>
          <w:lang w:val="es-ES"/>
        </w:rPr>
        <w:t>000</w:t>
      </w:r>
      <w:r w:rsidR="00FD0E79" w:rsidRPr="00F05461">
        <w:rPr>
          <w:lang w:val="es-ES"/>
        </w:rPr>
        <w:t> </w:t>
      </w:r>
      <w:r w:rsidRPr="00F05461">
        <w:rPr>
          <w:lang w:val="es-ES"/>
        </w:rPr>
        <w:t>alumnos en 2022 a más de 83</w:t>
      </w:r>
      <w:r w:rsidR="000675DC" w:rsidRPr="00F05461">
        <w:rPr>
          <w:lang w:val="es-ES"/>
        </w:rPr>
        <w:t> </w:t>
      </w:r>
      <w:r w:rsidRPr="00F05461">
        <w:rPr>
          <w:lang w:val="es-ES"/>
        </w:rPr>
        <w:t>000 en 2025, de los cuales el 40</w:t>
      </w:r>
      <w:r w:rsidR="000675DC" w:rsidRPr="00F05461">
        <w:rPr>
          <w:lang w:val="es-ES"/>
        </w:rPr>
        <w:t> </w:t>
      </w:r>
      <w:r w:rsidR="005A4259" w:rsidRPr="00F05461">
        <w:rPr>
          <w:lang w:val="es-ES"/>
        </w:rPr>
        <w:t>por ciento</w:t>
      </w:r>
      <w:r w:rsidRPr="00F05461">
        <w:rPr>
          <w:lang w:val="es-ES"/>
        </w:rPr>
        <w:t xml:space="preserve"> eran mujeres. Se impartieron alrededor de 150</w:t>
      </w:r>
      <w:r w:rsidR="000675DC" w:rsidRPr="00F05461">
        <w:rPr>
          <w:lang w:val="es-ES"/>
        </w:rPr>
        <w:t> </w:t>
      </w:r>
      <w:r w:rsidRPr="00F05461">
        <w:rPr>
          <w:lang w:val="es-ES"/>
        </w:rPr>
        <w:t>cursos al año, complementados con más de 17</w:t>
      </w:r>
      <w:r w:rsidR="00FD0E79" w:rsidRPr="00F05461">
        <w:rPr>
          <w:lang w:val="es-ES"/>
        </w:rPr>
        <w:t> </w:t>
      </w:r>
      <w:r w:rsidRPr="00F05461">
        <w:rPr>
          <w:lang w:val="es-ES"/>
        </w:rPr>
        <w:t>500</w:t>
      </w:r>
      <w:r w:rsidR="00FD0E79" w:rsidRPr="00F05461">
        <w:rPr>
          <w:lang w:val="es-ES"/>
        </w:rPr>
        <w:t> </w:t>
      </w:r>
      <w:r w:rsidRPr="00F05461">
        <w:rPr>
          <w:lang w:val="es-ES"/>
        </w:rPr>
        <w:t>certificaciones desde 2023.</w:t>
      </w:r>
    </w:p>
    <w:p w14:paraId="37143BA0" w14:textId="091E0A79" w:rsidR="005D7B2C" w:rsidRPr="00F05461" w:rsidRDefault="005D7B2C" w:rsidP="00C8537E">
      <w:pPr>
        <w:rPr>
          <w:lang w:val="es-ES"/>
        </w:rPr>
      </w:pPr>
      <w:r w:rsidRPr="00F05461">
        <w:rPr>
          <w:lang w:val="es-ES"/>
        </w:rPr>
        <w:t xml:space="preserve">Los </w:t>
      </w:r>
      <w:hyperlink r:id="rId29" w:history="1">
        <w:r w:rsidRPr="00F05461">
          <w:rPr>
            <w:rStyle w:val="Hyperlink"/>
            <w:rFonts w:eastAsia="Times New Roman" w:cs="Times New Roman"/>
            <w:szCs w:val="20"/>
            <w:lang w:val="es-ES"/>
          </w:rPr>
          <w:t xml:space="preserve">Centros de Transformación Digital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-Cisco</w:t>
        </w:r>
      </w:hyperlink>
      <w:r w:rsidRPr="00F05461">
        <w:rPr>
          <w:lang w:val="es-ES"/>
        </w:rPr>
        <w:t xml:space="preserve"> sumaron más de 610</w:t>
      </w:r>
      <w:r w:rsidR="000675DC" w:rsidRPr="00F05461">
        <w:rPr>
          <w:lang w:val="es-ES"/>
        </w:rPr>
        <w:t> </w:t>
      </w:r>
      <w:r w:rsidRPr="00F05461">
        <w:rPr>
          <w:lang w:val="es-ES"/>
        </w:rPr>
        <w:t>000</w:t>
      </w:r>
      <w:r w:rsidR="000675DC" w:rsidRPr="00F05461">
        <w:rPr>
          <w:lang w:val="es-ES"/>
        </w:rPr>
        <w:t> </w:t>
      </w:r>
      <w:r w:rsidRPr="00F05461">
        <w:rPr>
          <w:lang w:val="es-ES"/>
        </w:rPr>
        <w:t xml:space="preserve">participantes en todo el mundo, de los cuales más de la mitad eran mujeres, mientras que el </w:t>
      </w:r>
      <w:hyperlink r:id="rId30" w:history="1">
        <w:r w:rsidRPr="00975F5B">
          <w:rPr>
            <w:rStyle w:val="Hyperlink"/>
            <w:rFonts w:eastAsia="Times New Roman" w:cs="Times New Roman"/>
            <w:szCs w:val="20"/>
            <w:lang w:val="es-ES"/>
          </w:rPr>
          <w:t xml:space="preserve">Foro de Competencias Digitales de </w:t>
        </w:r>
        <w:r w:rsidR="00296F03" w:rsidRPr="00975F5B">
          <w:rPr>
            <w:rStyle w:val="Hyperlink"/>
            <w:rFonts w:eastAsia="Times New Roman" w:cs="Times New Roman"/>
            <w:szCs w:val="20"/>
            <w:lang w:val="es-ES"/>
          </w:rPr>
          <w:t>la UIT</w:t>
        </w:r>
      </w:hyperlink>
      <w:r w:rsidRPr="00F05461">
        <w:rPr>
          <w:lang w:val="es-ES"/>
        </w:rPr>
        <w:t xml:space="preserve"> y la puesta en marcha de un </w:t>
      </w:r>
      <w:hyperlink r:id="rId31" w:history="1">
        <w:r w:rsidRPr="00F05461">
          <w:rPr>
            <w:rStyle w:val="Hyperlink"/>
            <w:rFonts w:eastAsia="Times New Roman" w:cs="Times New Roman"/>
            <w:szCs w:val="20"/>
            <w:lang w:val="es-ES"/>
          </w:rPr>
          <w:t>Conjunto de herramientas de competencias digitales</w:t>
        </w:r>
      </w:hyperlink>
      <w:r w:rsidRPr="00F05461">
        <w:rPr>
          <w:lang w:val="es-ES"/>
        </w:rPr>
        <w:t xml:space="preserve"> reforzaron aún más las capacidades nacionales. Estas iniciativas contribuyeron directamente a la preparación de la fuerza laboral y a la capacidad institucional en las economías en desarrollo.</w:t>
      </w:r>
    </w:p>
    <w:p w14:paraId="1E404464" w14:textId="0937D097" w:rsidR="005D7B2C" w:rsidRPr="00F05461" w:rsidRDefault="005D7B2C" w:rsidP="005D7B2C">
      <w:pPr>
        <w:rPr>
          <w:lang w:val="es-ES"/>
        </w:rPr>
      </w:pPr>
      <w:r w:rsidRPr="00F05461">
        <w:rPr>
          <w:lang w:val="es-ES"/>
        </w:rPr>
        <w:t xml:space="preserve">En 2025 solamente, </w:t>
      </w:r>
      <w:r w:rsidR="00296F03" w:rsidRPr="00F05461">
        <w:rPr>
          <w:lang w:val="es-ES"/>
        </w:rPr>
        <w:t>la UIT</w:t>
      </w:r>
      <w:r w:rsidRPr="00F05461">
        <w:rPr>
          <w:lang w:val="es-ES"/>
        </w:rPr>
        <w:t xml:space="preserve"> ejecutó o contribuyó a la ejecución de 106</w:t>
      </w:r>
      <w:r w:rsidR="000675DC" w:rsidRPr="00F05461">
        <w:rPr>
          <w:lang w:val="es-ES"/>
        </w:rPr>
        <w:t> </w:t>
      </w:r>
      <w:r w:rsidRPr="00F05461">
        <w:rPr>
          <w:lang w:val="es-ES"/>
        </w:rPr>
        <w:t>proyectos por un valor de 79,7</w:t>
      </w:r>
      <w:r w:rsidR="000675DC" w:rsidRPr="00F05461">
        <w:rPr>
          <w:lang w:val="es-ES"/>
        </w:rPr>
        <w:t> </w:t>
      </w:r>
      <w:r w:rsidRPr="00F05461">
        <w:rPr>
          <w:lang w:val="es-ES"/>
        </w:rPr>
        <w:t>millones</w:t>
      </w:r>
      <w:r w:rsidR="000675DC" w:rsidRPr="00F05461">
        <w:rPr>
          <w:lang w:val="es-ES"/>
        </w:rPr>
        <w:t> </w:t>
      </w:r>
      <w:r w:rsidRPr="00F05461">
        <w:rPr>
          <w:lang w:val="es-ES"/>
        </w:rPr>
        <w:t xml:space="preserve">CHF a través de su Oficina de Desarrollo de las Telecomunicaciones (BDT), 26 de los cuales eran nuevos. La mayor parte de la nueva financiación procedió de asociados externos, lo que pone de manifiesto la creciente confianza en la capacidad de </w:t>
      </w:r>
      <w:r w:rsidR="00296F03" w:rsidRPr="00F05461">
        <w:rPr>
          <w:lang w:val="es-ES"/>
        </w:rPr>
        <w:t>la UIT</w:t>
      </w:r>
      <w:r w:rsidRPr="00F05461">
        <w:rPr>
          <w:lang w:val="es-ES"/>
        </w:rPr>
        <w:t xml:space="preserve"> para cumplir sus compromisos. Todos los proyectos estuvieron en consonancia con el Plan de Acción de Kigali 2023-2025 y abordaron prioridades nacionales y regionales relacionadas con la conectividad, los marcos normativos y la transformación digital, entre otras.</w:t>
      </w:r>
    </w:p>
    <w:p w14:paraId="228C6CF2" w14:textId="212B2A57" w:rsidR="005D7B2C" w:rsidRPr="00F05461" w:rsidRDefault="00296F03" w:rsidP="005D7B2C">
      <w:pPr>
        <w:rPr>
          <w:lang w:val="es-ES"/>
        </w:rPr>
      </w:pPr>
      <w:r w:rsidRPr="00F05461">
        <w:rPr>
          <w:lang w:val="es-ES"/>
        </w:rPr>
        <w:t>La UIT</w:t>
      </w:r>
      <w:r w:rsidR="005D7B2C" w:rsidRPr="00F05461">
        <w:rPr>
          <w:lang w:val="es-ES"/>
        </w:rPr>
        <w:t xml:space="preserve"> ayudó a seis países de África Oriental a desarrollar normativas sobre residuos electrónicos y sistemas de datos entre 2022 y 2025. También promovió normas internacionales sobre la responsabilidad ampliada del productor y la contratación pública sostenible.</w:t>
      </w:r>
    </w:p>
    <w:p w14:paraId="003C57BC" w14:textId="0F6740E3" w:rsidR="005D7B2C" w:rsidRPr="00F05461" w:rsidRDefault="005D7B2C" w:rsidP="005D7B2C">
      <w:pPr>
        <w:rPr>
          <w:lang w:val="es-ES"/>
        </w:rPr>
      </w:pPr>
      <w:r w:rsidRPr="00F05461">
        <w:rPr>
          <w:lang w:val="es-ES"/>
        </w:rPr>
        <w:t>Durante ese mismo per</w:t>
      </w:r>
      <w:r w:rsidR="003E0321" w:rsidRPr="00F05461">
        <w:rPr>
          <w:lang w:val="es-ES"/>
        </w:rPr>
        <w:t>i</w:t>
      </w:r>
      <w:r w:rsidRPr="00F05461">
        <w:rPr>
          <w:lang w:val="es-ES"/>
        </w:rPr>
        <w:t xml:space="preserve">odo, </w:t>
      </w:r>
      <w:r w:rsidR="00296F03" w:rsidRPr="00F05461">
        <w:rPr>
          <w:lang w:val="es-ES"/>
        </w:rPr>
        <w:t>la UIT</w:t>
      </w:r>
      <w:r w:rsidRPr="00F05461">
        <w:rPr>
          <w:lang w:val="es-ES"/>
        </w:rPr>
        <w:t xml:space="preserve"> prestó asistencia en materia de telecomunicaciones de emergencia ante catástrofes graves, en concreto, suministró equipos y apoyo en respuesta al huracán Julia y al ciclón Freddy</w:t>
      </w:r>
      <w:r w:rsidRPr="00F05461">
        <w:rPr>
          <w:i/>
          <w:iCs/>
          <w:lang w:val="es-ES"/>
        </w:rPr>
        <w:t>.</w:t>
      </w:r>
    </w:p>
    <w:p w14:paraId="25FE7647" w14:textId="77777777" w:rsidR="005D7B2C" w:rsidRPr="00F05461" w:rsidRDefault="005D7B2C" w:rsidP="00312480">
      <w:pPr>
        <w:pStyle w:val="Headingb"/>
      </w:pPr>
      <w:r w:rsidRPr="00F05461">
        <w:t>Plataformas y asociaciones mundiales</w:t>
      </w:r>
    </w:p>
    <w:p w14:paraId="2E0C575D" w14:textId="5595D063" w:rsidR="005D7B2C" w:rsidRPr="00F05461" w:rsidRDefault="00296F03" w:rsidP="005D7B2C">
      <w:pPr>
        <w:rPr>
          <w:lang w:val="es-ES"/>
        </w:rPr>
      </w:pPr>
      <w:r w:rsidRPr="00F05461">
        <w:rPr>
          <w:lang w:val="es-ES"/>
        </w:rPr>
        <w:t>La UIT</w:t>
      </w:r>
      <w:r w:rsidR="005D7B2C" w:rsidRPr="00F05461">
        <w:rPr>
          <w:lang w:val="es-ES"/>
        </w:rPr>
        <w:t xml:space="preserve"> veló por una mayor participación y por el establecimiento de alianzas público</w:t>
      </w:r>
      <w:r w:rsidR="000675DC" w:rsidRPr="00F05461">
        <w:rPr>
          <w:lang w:val="es-ES"/>
        </w:rPr>
        <w:noBreakHyphen/>
      </w:r>
      <w:r w:rsidR="005D7B2C" w:rsidRPr="00F05461">
        <w:rPr>
          <w:lang w:val="es-ES"/>
        </w:rPr>
        <w:t>privadas a través de plataformas e iniciativas multipartitas centradas en problemas, retos y oportunidades específicos para construir un futuro digital global mejor.</w:t>
      </w:r>
    </w:p>
    <w:p w14:paraId="2A805D48" w14:textId="344604FC" w:rsidR="005D7B2C" w:rsidRPr="00F05461" w:rsidRDefault="005D7B2C" w:rsidP="005D7B2C">
      <w:pPr>
        <w:rPr>
          <w:lang w:val="es-ES"/>
        </w:rPr>
      </w:pPr>
      <w:r w:rsidRPr="00F05461">
        <w:rPr>
          <w:lang w:val="es-ES"/>
        </w:rPr>
        <w:t>La</w:t>
      </w:r>
      <w:r w:rsidR="00A154BC" w:rsidRPr="00F05461">
        <w:rPr>
          <w:lang w:val="es-ES"/>
        </w:rPr>
        <w:t xml:space="preserve"> </w:t>
      </w:r>
      <w:hyperlink r:id="rId32" w:history="1">
        <w:r w:rsidR="00A154BC" w:rsidRPr="00F05461">
          <w:rPr>
            <w:rStyle w:val="Hyperlink"/>
            <w:rFonts w:eastAsia="Times New Roman" w:cs="Times New Roman"/>
            <w:szCs w:val="20"/>
            <w:lang w:val="es-ES"/>
          </w:rPr>
          <w:t>Cumbre Mundial sobre la Sociedad de la Información (</w:t>
        </w:r>
        <w:r w:rsidRPr="00F05461">
          <w:rPr>
            <w:rStyle w:val="Hyperlink"/>
            <w:rFonts w:eastAsia="Times New Roman" w:cs="Times New Roman"/>
            <w:szCs w:val="20"/>
            <w:lang w:val="es-ES"/>
          </w:rPr>
          <w:t>CMSI</w:t>
        </w:r>
        <w:r w:rsidR="00A154BC" w:rsidRPr="00F05461">
          <w:rPr>
            <w:rStyle w:val="Hyperlink"/>
            <w:rFonts w:eastAsia="Times New Roman" w:cs="Times New Roman"/>
            <w:szCs w:val="20"/>
            <w:lang w:val="es-ES"/>
          </w:rPr>
          <w:t>)</w:t>
        </w:r>
      </w:hyperlink>
      <w:r w:rsidR="00A154BC" w:rsidRPr="00F05461">
        <w:rPr>
          <w:lang w:val="es-ES"/>
        </w:rPr>
        <w:t xml:space="preserve"> </w:t>
      </w:r>
      <w:r w:rsidRPr="00F05461">
        <w:rPr>
          <w:lang w:val="es-ES"/>
        </w:rPr>
        <w:t>sigue siendo el principal mecanismo de cooperación digital impulsado por las Naciones Unidas y facilitado por el Foro anual de la</w:t>
      </w:r>
      <w:r w:rsidR="000675DC" w:rsidRPr="00F05461">
        <w:rPr>
          <w:lang w:val="es-ES"/>
        </w:rPr>
        <w:t> </w:t>
      </w:r>
      <w:r w:rsidRPr="00F05461">
        <w:rPr>
          <w:lang w:val="es-ES"/>
        </w:rPr>
        <w:t xml:space="preserve">CMSI de </w:t>
      </w:r>
      <w:r w:rsidR="00296F03" w:rsidRPr="00F05461">
        <w:rPr>
          <w:lang w:val="es-ES"/>
        </w:rPr>
        <w:t>la UIT</w:t>
      </w:r>
      <w:r w:rsidRPr="00F05461">
        <w:rPr>
          <w:lang w:val="es-ES"/>
        </w:rPr>
        <w:t xml:space="preserve"> y las actividades conexas. La base de datos </w:t>
      </w:r>
      <w:r w:rsidR="00B647AD" w:rsidRPr="00F05461">
        <w:rPr>
          <w:lang w:val="es-ES"/>
        </w:rPr>
        <w:t xml:space="preserve">Inventario </w:t>
      </w:r>
      <w:r w:rsidRPr="00F05461">
        <w:rPr>
          <w:lang w:val="es-ES"/>
        </w:rPr>
        <w:t>de la</w:t>
      </w:r>
      <w:r w:rsidR="000675DC" w:rsidRPr="00F05461">
        <w:rPr>
          <w:lang w:val="es-ES"/>
        </w:rPr>
        <w:t> </w:t>
      </w:r>
      <w:r w:rsidRPr="00F05461">
        <w:rPr>
          <w:lang w:val="es-ES"/>
        </w:rPr>
        <w:t xml:space="preserve">CMSI recoge más de </w:t>
      </w:r>
      <w:r w:rsidR="005A4259" w:rsidRPr="00F05461">
        <w:rPr>
          <w:lang w:val="es-ES"/>
        </w:rPr>
        <w:t>21</w:t>
      </w:r>
      <w:r w:rsidR="000675DC" w:rsidRPr="00F05461">
        <w:rPr>
          <w:lang w:val="es-ES"/>
        </w:rPr>
        <w:t> </w:t>
      </w:r>
      <w:r w:rsidRPr="00F05461">
        <w:rPr>
          <w:lang w:val="es-ES"/>
        </w:rPr>
        <w:t>000</w:t>
      </w:r>
      <w:r w:rsidR="000675DC" w:rsidRPr="00F05461">
        <w:rPr>
          <w:lang w:val="es-ES"/>
        </w:rPr>
        <w:t> </w:t>
      </w:r>
      <w:r w:rsidRPr="00F05461">
        <w:rPr>
          <w:lang w:val="es-ES"/>
        </w:rPr>
        <w:t>iniciativas en las que participan más de 2,2</w:t>
      </w:r>
      <w:r w:rsidR="000675DC" w:rsidRPr="00F05461">
        <w:rPr>
          <w:lang w:val="es-ES"/>
        </w:rPr>
        <w:t> </w:t>
      </w:r>
      <w:r w:rsidRPr="00F05461">
        <w:rPr>
          <w:lang w:val="es-ES"/>
        </w:rPr>
        <w:t>millones de partes interesadas, dedicadas al desarrollo digital responsable en beneficio de todos.</w:t>
      </w:r>
    </w:p>
    <w:p w14:paraId="19876C79" w14:textId="2E25A72F" w:rsidR="005D7B2C" w:rsidRPr="00F05461" w:rsidRDefault="005D7B2C" w:rsidP="005D7B2C">
      <w:pPr>
        <w:rPr>
          <w:lang w:val="es-ES"/>
        </w:rPr>
      </w:pPr>
      <w:r w:rsidRPr="00F05461">
        <w:rPr>
          <w:lang w:val="es-ES"/>
        </w:rPr>
        <w:t xml:space="preserve">El proyecto </w:t>
      </w:r>
      <w:hyperlink r:id="rId33" w:history="1">
        <w:r w:rsidRPr="00F05461">
          <w:rPr>
            <w:rStyle w:val="Hyperlink"/>
            <w:rFonts w:eastAsia="Times New Roman" w:cs="Times New Roman"/>
            <w:szCs w:val="20"/>
            <w:lang w:val="es-ES"/>
          </w:rPr>
          <w:t>AI for Good</w:t>
        </w:r>
      </w:hyperlink>
      <w:r w:rsidRPr="00F05461">
        <w:rPr>
          <w:lang w:val="es-ES"/>
        </w:rPr>
        <w:t xml:space="preserve"> siguió creciendo a lo largo del periodo 2022-2025 y su comunidad de redes neuronales basada en IA superó los 35</w:t>
      </w:r>
      <w:r w:rsidR="000675DC" w:rsidRPr="00F05461">
        <w:rPr>
          <w:lang w:val="es-ES"/>
        </w:rPr>
        <w:t> </w:t>
      </w:r>
      <w:r w:rsidRPr="00F05461">
        <w:rPr>
          <w:lang w:val="es-ES"/>
        </w:rPr>
        <w:t>000</w:t>
      </w:r>
      <w:r w:rsidR="000675DC" w:rsidRPr="00F05461">
        <w:rPr>
          <w:lang w:val="es-ES"/>
        </w:rPr>
        <w:t> </w:t>
      </w:r>
      <w:r w:rsidRPr="00F05461">
        <w:rPr>
          <w:lang w:val="es-ES"/>
        </w:rPr>
        <w:t>miembros y llegó a contar con más de 137</w:t>
      </w:r>
      <w:r w:rsidR="00312480" w:rsidRPr="00F05461">
        <w:rPr>
          <w:lang w:val="es-ES"/>
        </w:rPr>
        <w:t> </w:t>
      </w:r>
      <w:r w:rsidRPr="00F05461">
        <w:rPr>
          <w:lang w:val="es-ES"/>
        </w:rPr>
        <w:t>000</w:t>
      </w:r>
      <w:r w:rsidR="000675DC" w:rsidRPr="00F05461">
        <w:rPr>
          <w:lang w:val="es-ES"/>
        </w:rPr>
        <w:t> </w:t>
      </w:r>
      <w:r w:rsidRPr="00F05461">
        <w:rPr>
          <w:lang w:val="es-ES"/>
        </w:rPr>
        <w:t xml:space="preserve">participantes en línea. Las Cumbres Mundiales AI for Good —evento emblemático de </w:t>
      </w:r>
      <w:r w:rsidR="00296F03" w:rsidRPr="00F05461">
        <w:rPr>
          <w:lang w:val="es-ES"/>
        </w:rPr>
        <w:t>la UIT</w:t>
      </w:r>
      <w:r w:rsidRPr="00F05461">
        <w:rPr>
          <w:lang w:val="es-ES"/>
        </w:rPr>
        <w:t>— consolidaron su papel como principal foro del sistema de las Naciones Unidas para exhibir soluciones de</w:t>
      </w:r>
      <w:r w:rsidR="007922E7">
        <w:rPr>
          <w:lang w:val="es-ES"/>
        </w:rPr>
        <w:t> </w:t>
      </w:r>
      <w:r w:rsidRPr="00F05461">
        <w:rPr>
          <w:lang w:val="es-ES"/>
        </w:rPr>
        <w:t>IA de vanguardia, y la edición de</w:t>
      </w:r>
      <w:r w:rsidR="002B22EB" w:rsidRPr="00F05461">
        <w:rPr>
          <w:lang w:val="es-ES"/>
        </w:rPr>
        <w:t> </w:t>
      </w:r>
      <w:r w:rsidRPr="00F05461">
        <w:rPr>
          <w:lang w:val="es-ES"/>
        </w:rPr>
        <w:t>2025 (celebrada en paralelo con el Evento de Alto Nivel de la CMSI+20) reunió a unos 11 000</w:t>
      </w:r>
      <w:r w:rsidR="002B22EB" w:rsidRPr="00F05461">
        <w:rPr>
          <w:lang w:val="es-ES"/>
        </w:rPr>
        <w:t> </w:t>
      </w:r>
      <w:r w:rsidRPr="00F05461">
        <w:rPr>
          <w:lang w:val="es-ES"/>
        </w:rPr>
        <w:t>visitantes presenciales en el mayor centro de conferencias de Ginebra.</w:t>
      </w:r>
    </w:p>
    <w:p w14:paraId="7B592536" w14:textId="3D620F3B" w:rsidR="005D7B2C" w:rsidRPr="00F05461" w:rsidRDefault="005D7B2C" w:rsidP="00C8537E">
      <w:pPr>
        <w:keepNext/>
        <w:keepLines/>
        <w:rPr>
          <w:lang w:val="es-ES"/>
        </w:rPr>
      </w:pPr>
      <w:r w:rsidRPr="00F05461">
        <w:rPr>
          <w:lang w:val="es-ES"/>
        </w:rPr>
        <w:lastRenderedPageBreak/>
        <w:t xml:space="preserve">Aprovechando este auge, </w:t>
      </w:r>
      <w:r w:rsidR="00296F03" w:rsidRPr="00F05461">
        <w:rPr>
          <w:lang w:val="es-ES"/>
        </w:rPr>
        <w:t>la UIT</w:t>
      </w:r>
      <w:r w:rsidRPr="00F05461">
        <w:rPr>
          <w:lang w:val="es-ES"/>
        </w:rPr>
        <w:t xml:space="preserve"> presentó nuevas iniciativas de AI for Good, como la </w:t>
      </w:r>
      <w:bookmarkStart w:id="6" w:name="_Hlk226986148"/>
      <w:r w:rsidRPr="00F05461">
        <w:rPr>
          <w:lang w:val="es-ES"/>
        </w:rPr>
        <w:t>Coalición de Competencias en IA</w:t>
      </w:r>
      <w:bookmarkEnd w:id="6"/>
      <w:r w:rsidRPr="00F05461">
        <w:rPr>
          <w:lang w:val="es-ES"/>
        </w:rPr>
        <w:t xml:space="preserve"> y los aceleradores regionales de AI for Good. Las ediciones de las Cumbres Mundiales de</w:t>
      </w:r>
      <w:r w:rsidR="002B22EB" w:rsidRPr="00F05461">
        <w:rPr>
          <w:lang w:val="es-ES"/>
        </w:rPr>
        <w:t> </w:t>
      </w:r>
      <w:r w:rsidRPr="00F05461">
        <w:rPr>
          <w:lang w:val="es-ES"/>
        </w:rPr>
        <w:t>2024 y 2025 incluyeron jornadas dedicadas a la gobernanza de la</w:t>
      </w:r>
      <w:r w:rsidR="002B22EB" w:rsidRPr="00F05461">
        <w:rPr>
          <w:lang w:val="es-ES"/>
        </w:rPr>
        <w:t> </w:t>
      </w:r>
      <w:r w:rsidRPr="00F05461">
        <w:rPr>
          <w:lang w:val="es-ES"/>
        </w:rPr>
        <w:t>IA, con sesiones de alto nivel en las que se examinó cómo pasar de los principios a la práctica a medida que diferentes mercados y sociedades se proponen ampliar el uso ético y responsable de la</w:t>
      </w:r>
      <w:r w:rsidR="002B22EB" w:rsidRPr="00F05461">
        <w:rPr>
          <w:lang w:val="es-ES"/>
        </w:rPr>
        <w:t> </w:t>
      </w:r>
      <w:r w:rsidRPr="00F05461">
        <w:rPr>
          <w:lang w:val="es-ES"/>
        </w:rPr>
        <w:t>IA.</w:t>
      </w:r>
    </w:p>
    <w:p w14:paraId="25F57EDB" w14:textId="52D93FCF" w:rsidR="005D7B2C" w:rsidRPr="00F05461" w:rsidRDefault="005D7B2C" w:rsidP="005D7B2C">
      <w:pPr>
        <w:rPr>
          <w:lang w:val="es-ES"/>
        </w:rPr>
      </w:pPr>
      <w:r w:rsidRPr="00F05461">
        <w:rPr>
          <w:lang w:val="es-ES"/>
        </w:rPr>
        <w:t>Los asociados de la </w:t>
      </w:r>
      <w:hyperlink r:id="rId34" w:history="1">
        <w:r w:rsidR="00C8537E">
          <w:rPr>
            <w:rStyle w:val="Hyperlink"/>
            <w:rFonts w:eastAsia="Times New Roman" w:cs="Times New Roman"/>
            <w:szCs w:val="20"/>
            <w:lang w:val="es-ES"/>
          </w:rPr>
          <w:t>Cooperación Mundial sobre Normas</w:t>
        </w:r>
      </w:hyperlink>
      <w:r w:rsidR="002132CE" w:rsidRPr="00F05461">
        <w:rPr>
          <w:lang w:val="es-ES"/>
        </w:rPr>
        <w:t xml:space="preserve"> </w:t>
      </w:r>
      <w:r w:rsidRPr="00F05461">
        <w:rPr>
          <w:lang w:val="es-ES"/>
        </w:rPr>
        <w:t xml:space="preserve">—integrada por </w:t>
      </w:r>
      <w:r w:rsidR="00296F03" w:rsidRPr="00F05461">
        <w:rPr>
          <w:lang w:val="es-ES"/>
        </w:rPr>
        <w:t>la UIT</w:t>
      </w:r>
      <w:r w:rsidRPr="00F05461">
        <w:rPr>
          <w:lang w:val="es-ES"/>
        </w:rPr>
        <w:t>, junto con la Organización Internacional de Normalización (ISO) y la Comisión Electrotécnica Internacional (C</w:t>
      </w:r>
      <w:r w:rsidR="002B22EB" w:rsidRPr="00F05461">
        <w:rPr>
          <w:lang w:val="es-ES"/>
        </w:rPr>
        <w:t>EI</w:t>
      </w:r>
      <w:r w:rsidRPr="00F05461">
        <w:rPr>
          <w:lang w:val="es-ES"/>
        </w:rPr>
        <w:t>)— anunciaron la nueva Cumbre Internacional sobre Normas de</w:t>
      </w:r>
      <w:r w:rsidR="007922E7">
        <w:rPr>
          <w:lang w:val="es-ES"/>
        </w:rPr>
        <w:t> </w:t>
      </w:r>
      <w:r w:rsidRPr="00F05461">
        <w:rPr>
          <w:lang w:val="es-ES"/>
        </w:rPr>
        <w:t>IA durante la</w:t>
      </w:r>
      <w:r w:rsidR="007922E7">
        <w:rPr>
          <w:lang w:val="es-ES"/>
        </w:rPr>
        <w:t> </w:t>
      </w:r>
      <w:r w:rsidRPr="00F05461">
        <w:rPr>
          <w:lang w:val="es-ES"/>
        </w:rPr>
        <w:t xml:space="preserve">AMNT-24 en Nueva Delhi, presentaron la exhaustiva </w:t>
      </w:r>
      <w:r w:rsidR="00FF67C6" w:rsidRPr="00FF67C6">
        <w:rPr>
          <w:lang w:val="es-ES"/>
        </w:rPr>
        <w:t>Base de datos central de normas sobre</w:t>
      </w:r>
      <w:r w:rsidR="00FF67C6">
        <w:rPr>
          <w:lang w:val="es-ES"/>
        </w:rPr>
        <w:t> </w:t>
      </w:r>
      <w:r w:rsidR="00FF67C6" w:rsidRPr="00FF67C6">
        <w:rPr>
          <w:lang w:val="es-ES"/>
        </w:rPr>
        <w:t>IA</w:t>
      </w:r>
      <w:r w:rsidRPr="00F05461">
        <w:rPr>
          <w:lang w:val="es-ES"/>
        </w:rPr>
        <w:t xml:space="preserve"> en la </w:t>
      </w:r>
      <w:r w:rsidR="002132CE" w:rsidRPr="00F05461">
        <w:rPr>
          <w:lang w:val="es-ES"/>
        </w:rPr>
        <w:t xml:space="preserve">Cumbre </w:t>
      </w:r>
      <w:r w:rsidRPr="00F05461">
        <w:rPr>
          <w:lang w:val="es-ES"/>
        </w:rPr>
        <w:t>AI for Good de 2025 y se comprometieron firmemente a cooperar en materia de</w:t>
      </w:r>
      <w:r w:rsidR="007922E7">
        <w:rPr>
          <w:lang w:val="es-ES"/>
        </w:rPr>
        <w:t> </w:t>
      </w:r>
      <w:r w:rsidRPr="00F05461">
        <w:rPr>
          <w:lang w:val="es-ES"/>
        </w:rPr>
        <w:t>IA responsable mediante su Declaración conjunta de Seúl, en diciembre de</w:t>
      </w:r>
      <w:r w:rsidR="002B22EB" w:rsidRPr="00F05461">
        <w:rPr>
          <w:lang w:val="es-ES"/>
        </w:rPr>
        <w:t> </w:t>
      </w:r>
      <w:r w:rsidRPr="00F05461">
        <w:rPr>
          <w:lang w:val="es-ES"/>
        </w:rPr>
        <w:t>2025.</w:t>
      </w:r>
    </w:p>
    <w:p w14:paraId="5610634F" w14:textId="41D36E37" w:rsidR="005D7B2C" w:rsidRPr="00F05461" w:rsidRDefault="005D7B2C" w:rsidP="005D7B2C">
      <w:pPr>
        <w:rPr>
          <w:lang w:val="es-ES"/>
        </w:rPr>
      </w:pPr>
      <w:r w:rsidRPr="00F05461">
        <w:rPr>
          <w:lang w:val="es-ES"/>
        </w:rPr>
        <w:t>Las asociaciones emblemáticas continuaron movilizando recursos y acciones. </w:t>
      </w:r>
      <w:hyperlink r:id="rId35" w:history="1">
        <w:r w:rsidRPr="00F05461">
          <w:rPr>
            <w:rStyle w:val="Hyperlink"/>
            <w:rFonts w:eastAsia="Times New Roman" w:cs="Times New Roman"/>
            <w:szCs w:val="20"/>
            <w:lang w:val="es-ES"/>
          </w:rPr>
          <w:t>Partner2Connect</w:t>
        </w:r>
      </w:hyperlink>
      <w:r w:rsidRPr="00F05461">
        <w:rPr>
          <w:lang w:val="es-ES"/>
        </w:rPr>
        <w:t> logró obtener más de 1</w:t>
      </w:r>
      <w:r w:rsidR="002B22EB" w:rsidRPr="00F05461">
        <w:rPr>
          <w:lang w:val="es-ES"/>
        </w:rPr>
        <w:t> </w:t>
      </w:r>
      <w:r w:rsidRPr="00F05461">
        <w:rPr>
          <w:lang w:val="es-ES"/>
        </w:rPr>
        <w:t>060</w:t>
      </w:r>
      <w:r w:rsidR="002B22EB" w:rsidRPr="00F05461">
        <w:rPr>
          <w:lang w:val="es-ES"/>
        </w:rPr>
        <w:t> </w:t>
      </w:r>
      <w:r w:rsidRPr="00F05461">
        <w:rPr>
          <w:lang w:val="es-ES"/>
        </w:rPr>
        <w:t>compromisos por un valor superior a 80 000</w:t>
      </w:r>
      <w:r w:rsidR="002B22EB" w:rsidRPr="00F05461">
        <w:rPr>
          <w:lang w:val="es-ES"/>
        </w:rPr>
        <w:t> </w:t>
      </w:r>
      <w:r w:rsidRPr="00F05461">
        <w:rPr>
          <w:lang w:val="es-ES"/>
        </w:rPr>
        <w:t>millones</w:t>
      </w:r>
      <w:r w:rsidR="002B22EB" w:rsidRPr="00F05461">
        <w:rPr>
          <w:lang w:val="es-ES"/>
        </w:rPr>
        <w:t> </w:t>
      </w:r>
      <w:r w:rsidRPr="00F05461">
        <w:rPr>
          <w:lang w:val="es-ES"/>
        </w:rPr>
        <w:t>USD, de los 100 000</w:t>
      </w:r>
      <w:r w:rsidR="002B22EB" w:rsidRPr="00F05461">
        <w:rPr>
          <w:lang w:val="es-ES"/>
        </w:rPr>
        <w:t> </w:t>
      </w:r>
      <w:r w:rsidRPr="00F05461">
        <w:rPr>
          <w:lang w:val="es-ES"/>
        </w:rPr>
        <w:t>millones</w:t>
      </w:r>
      <w:r w:rsidR="002B22EB" w:rsidRPr="00F05461">
        <w:rPr>
          <w:lang w:val="es-ES"/>
        </w:rPr>
        <w:t> </w:t>
      </w:r>
      <w:r w:rsidRPr="00F05461">
        <w:rPr>
          <w:lang w:val="es-ES"/>
        </w:rPr>
        <w:t>USD que se espera obtener para 2026.</w:t>
      </w:r>
      <w:r w:rsidR="002132CE" w:rsidRPr="00F05461">
        <w:rPr>
          <w:lang w:val="es-ES"/>
        </w:rPr>
        <w:t xml:space="preserve"> </w:t>
      </w:r>
      <w:hyperlink r:id="rId36" w:history="1">
        <w:r w:rsidRPr="00F05461">
          <w:rPr>
            <w:rStyle w:val="Hyperlink"/>
            <w:rFonts w:eastAsia="Times New Roman" w:cs="Times New Roman"/>
            <w:szCs w:val="20"/>
            <w:lang w:val="es-ES"/>
          </w:rPr>
          <w:t>Giga</w:t>
        </w:r>
      </w:hyperlink>
      <w:r w:rsidR="002132CE" w:rsidRPr="00F05461">
        <w:rPr>
          <w:lang w:val="es-ES"/>
        </w:rPr>
        <w:t xml:space="preserve"> </w:t>
      </w:r>
      <w:r w:rsidRPr="00F05461">
        <w:rPr>
          <w:lang w:val="es-ES"/>
        </w:rPr>
        <w:t xml:space="preserve">cartografió más de </w:t>
      </w:r>
      <w:r w:rsidR="002132CE" w:rsidRPr="00F05461">
        <w:rPr>
          <w:lang w:val="es-ES"/>
        </w:rPr>
        <w:t>dos</w:t>
      </w:r>
      <w:r w:rsidR="002B22EB" w:rsidRPr="00F05461">
        <w:rPr>
          <w:lang w:val="es-ES"/>
        </w:rPr>
        <w:t> </w:t>
      </w:r>
      <w:r w:rsidRPr="00F05461">
        <w:rPr>
          <w:lang w:val="es-ES"/>
        </w:rPr>
        <w:t>millones de escuelas en 140</w:t>
      </w:r>
      <w:r w:rsidR="002B22EB" w:rsidRPr="00F05461">
        <w:rPr>
          <w:lang w:val="es-ES"/>
        </w:rPr>
        <w:t> </w:t>
      </w:r>
      <w:r w:rsidRPr="00F05461">
        <w:rPr>
          <w:lang w:val="es-ES"/>
        </w:rPr>
        <w:t>países para apoyar la conectividad escolar universal. La</w:t>
      </w:r>
      <w:r w:rsidR="002B22EB" w:rsidRPr="00F05461">
        <w:rPr>
          <w:lang w:val="es-ES"/>
        </w:rPr>
        <w:t xml:space="preserve"> </w:t>
      </w:r>
      <w:hyperlink r:id="rId37" w:history="1">
        <w:r w:rsidRPr="00F05461">
          <w:rPr>
            <w:rStyle w:val="Hyperlink"/>
            <w:rFonts w:eastAsia="Times New Roman" w:cs="Times New Roman"/>
            <w:szCs w:val="20"/>
            <w:lang w:val="es-ES"/>
          </w:rPr>
          <w:t>Comisión de Banda Ancha</w:t>
        </w:r>
      </w:hyperlink>
      <w:r w:rsidR="002B22EB" w:rsidRPr="00F05461">
        <w:rPr>
          <w:lang w:val="es-ES"/>
        </w:rPr>
        <w:t xml:space="preserve"> </w:t>
      </w:r>
      <w:r w:rsidRPr="00F05461">
        <w:rPr>
          <w:lang w:val="es-ES"/>
        </w:rPr>
        <w:t>amplió su alcance, mientras que la</w:t>
      </w:r>
      <w:r w:rsidR="002B22EB" w:rsidRPr="00F05461">
        <w:rPr>
          <w:lang w:val="es-ES"/>
        </w:rPr>
        <w:t xml:space="preserve"> </w:t>
      </w:r>
      <w:hyperlink r:id="rId38" w:history="1">
        <w:r w:rsidRPr="00F05461">
          <w:rPr>
            <w:rStyle w:val="Hyperlink"/>
            <w:rFonts w:eastAsia="Times New Roman" w:cs="Times New Roman"/>
            <w:szCs w:val="20"/>
            <w:lang w:val="es-ES"/>
          </w:rPr>
          <w:t xml:space="preserve">Alianza </w:t>
        </w:r>
        <w:r w:rsidR="00F92837" w:rsidRPr="00F05461">
          <w:rPr>
            <w:rStyle w:val="Hyperlink"/>
            <w:rFonts w:eastAsia="Times New Roman" w:cs="Times New Roman"/>
            <w:szCs w:val="20"/>
            <w:lang w:val="es-ES"/>
          </w:rPr>
          <w:t>M</w:t>
        </w:r>
        <w:r w:rsidR="002132CE" w:rsidRPr="00F05461">
          <w:rPr>
            <w:rStyle w:val="Hyperlink"/>
            <w:rFonts w:eastAsia="Times New Roman" w:cs="Times New Roman"/>
            <w:szCs w:val="20"/>
            <w:lang w:val="es-ES"/>
          </w:rPr>
          <w:t>undi</w:t>
        </w:r>
        <w:r w:rsidRPr="00F05461">
          <w:rPr>
            <w:rStyle w:val="Hyperlink"/>
            <w:rFonts w:eastAsia="Times New Roman" w:cs="Times New Roman"/>
            <w:szCs w:val="20"/>
            <w:lang w:val="es-ES"/>
          </w:rPr>
          <w:t>al EQUALS</w:t>
        </w:r>
      </w:hyperlink>
      <w:r w:rsidR="002B22EB" w:rsidRPr="00F05461">
        <w:rPr>
          <w:lang w:val="es-ES"/>
        </w:rPr>
        <w:t xml:space="preserve"> </w:t>
      </w:r>
      <w:r w:rsidRPr="00F05461">
        <w:rPr>
          <w:lang w:val="es-ES"/>
        </w:rPr>
        <w:t>promovió la igualdad de las mujeres a través de iniciativas de capacitación digital y empoderamiento.</w:t>
      </w:r>
    </w:p>
    <w:p w14:paraId="4DBEC00A" w14:textId="04E5499D" w:rsidR="005D7B2C" w:rsidRPr="00F05461" w:rsidRDefault="00296F03" w:rsidP="005D7B2C">
      <w:pPr>
        <w:rPr>
          <w:lang w:val="es-ES"/>
        </w:rPr>
      </w:pPr>
      <w:r w:rsidRPr="00F05461">
        <w:rPr>
          <w:lang w:val="es-ES"/>
        </w:rPr>
        <w:t>La UIT</w:t>
      </w:r>
      <w:r w:rsidR="005D7B2C" w:rsidRPr="00F05461">
        <w:rPr>
          <w:lang w:val="es-ES"/>
        </w:rPr>
        <w:t xml:space="preserve"> movilizó a sus asociados para la vía de</w:t>
      </w:r>
      <w:r w:rsidR="00F14F82" w:rsidRPr="00F05461">
        <w:rPr>
          <w:lang w:val="es-ES"/>
        </w:rPr>
        <w:t xml:space="preserve"> la</w:t>
      </w:r>
      <w:r w:rsidR="002B22EB" w:rsidRPr="00F05461">
        <w:rPr>
          <w:lang w:val="es-ES"/>
        </w:rPr>
        <w:t xml:space="preserve"> </w:t>
      </w:r>
      <w:hyperlink r:id="rId39" w:history="1">
        <w:r w:rsidR="00EF6A42" w:rsidRPr="00F05461">
          <w:rPr>
            <w:rStyle w:val="Hyperlink"/>
            <w:rFonts w:eastAsia="Times New Roman" w:cs="Times New Roman"/>
            <w:szCs w:val="20"/>
            <w:lang w:val="es-ES"/>
          </w:rPr>
          <w:t>Acción Digital Ecológica</w:t>
        </w:r>
      </w:hyperlink>
      <w:r w:rsidR="002B22EB" w:rsidRPr="00F05461">
        <w:rPr>
          <w:lang w:val="es-ES"/>
        </w:rPr>
        <w:t xml:space="preserve"> </w:t>
      </w:r>
      <w:r w:rsidR="005D7B2C" w:rsidRPr="00F05461">
        <w:rPr>
          <w:lang w:val="es-ES"/>
        </w:rPr>
        <w:t xml:space="preserve">(véase la </w:t>
      </w:r>
      <w:hyperlink w:anchor="_5.5_Asociaciones_y" w:history="1">
        <w:r w:rsidR="005D7B2C" w:rsidRPr="00F05461">
          <w:rPr>
            <w:rStyle w:val="Hyperlink"/>
            <w:rFonts w:eastAsia="Times New Roman" w:cs="Times New Roman"/>
            <w:szCs w:val="20"/>
            <w:lang w:val="es-ES"/>
          </w:rPr>
          <w:t>sección</w:t>
        </w:r>
        <w:r w:rsidR="002B22EB" w:rsidRPr="00F05461">
          <w:rPr>
            <w:rStyle w:val="Hyperlink"/>
            <w:rFonts w:eastAsia="Times New Roman" w:cs="Times New Roman"/>
            <w:szCs w:val="20"/>
            <w:lang w:val="es-ES"/>
          </w:rPr>
          <w:t> </w:t>
        </w:r>
        <w:r w:rsidR="005D7B2C" w:rsidRPr="00F05461">
          <w:rPr>
            <w:rStyle w:val="Hyperlink"/>
            <w:rFonts w:eastAsia="Times New Roman" w:cs="Times New Roman"/>
            <w:szCs w:val="20"/>
            <w:lang w:val="es-ES"/>
          </w:rPr>
          <w:t>5.5</w:t>
        </w:r>
      </w:hyperlink>
      <w:r w:rsidR="005D7B2C" w:rsidRPr="00F05461">
        <w:rPr>
          <w:lang w:val="es-ES"/>
        </w:rPr>
        <w:t>) en sucesivas conferencias de las Naciones Unidas sobre el cambio climático, desde la</w:t>
      </w:r>
      <w:r w:rsidR="002B22EB" w:rsidRPr="00F05461">
        <w:rPr>
          <w:lang w:val="es-ES"/>
        </w:rPr>
        <w:t> </w:t>
      </w:r>
      <w:r w:rsidR="005D7B2C" w:rsidRPr="00F05461">
        <w:rPr>
          <w:lang w:val="es-ES"/>
        </w:rPr>
        <w:t xml:space="preserve">COP28 celebrada en Dubái en 2023. El nuevo Centro de Acción Digital </w:t>
      </w:r>
      <w:r w:rsidR="00EF6A42" w:rsidRPr="00F05461">
        <w:rPr>
          <w:lang w:val="es-ES"/>
        </w:rPr>
        <w:t>Ecológica</w:t>
      </w:r>
      <w:r w:rsidR="005D7B2C" w:rsidRPr="00F05461">
        <w:rPr>
          <w:lang w:val="es-ES"/>
        </w:rPr>
        <w:t>, que se puso en marcha en la</w:t>
      </w:r>
      <w:r w:rsidR="002B22EB" w:rsidRPr="00F05461">
        <w:rPr>
          <w:lang w:val="es-ES"/>
        </w:rPr>
        <w:t> </w:t>
      </w:r>
      <w:r w:rsidR="005D7B2C" w:rsidRPr="00F05461">
        <w:rPr>
          <w:lang w:val="es-ES"/>
        </w:rPr>
        <w:t>COP30 en Brasil, tiene por objeto facilitar un análisis en profundidad del impacto ambiental y ayudar a los países en desarrollo a aprovechar tecnologías como la</w:t>
      </w:r>
      <w:r w:rsidR="002B22EB" w:rsidRPr="00F05461">
        <w:rPr>
          <w:lang w:val="es-ES"/>
        </w:rPr>
        <w:t> </w:t>
      </w:r>
      <w:r w:rsidR="005D7B2C" w:rsidRPr="00F05461">
        <w:rPr>
          <w:lang w:val="es-ES"/>
        </w:rPr>
        <w:t xml:space="preserve">IA para la acción climática. Otros trabajos analíticos de </w:t>
      </w:r>
      <w:r w:rsidRPr="00F05461">
        <w:rPr>
          <w:lang w:val="es-ES"/>
        </w:rPr>
        <w:t>la UIT</w:t>
      </w:r>
      <w:r w:rsidR="005D7B2C" w:rsidRPr="00F05461">
        <w:rPr>
          <w:lang w:val="es-ES"/>
        </w:rPr>
        <w:t xml:space="preserve"> y sus asociados ponen de relieve las tendencias en las emisiones de gases de efecto invernadero</w:t>
      </w:r>
      <w:r w:rsidR="000E0FEC" w:rsidRPr="00F05461">
        <w:rPr>
          <w:lang w:val="es-ES"/>
        </w:rPr>
        <w:t xml:space="preserve"> (GEI)</w:t>
      </w:r>
      <w:r w:rsidR="005D7B2C" w:rsidRPr="00F05461">
        <w:rPr>
          <w:lang w:val="es-ES"/>
        </w:rPr>
        <w:t xml:space="preserve"> de las principales empresas digitales, lo que refuerza la base empírica para una descarbonización efectiva en todo el sector.</w:t>
      </w:r>
    </w:p>
    <w:p w14:paraId="29DA2084" w14:textId="1D5C9DD4" w:rsidR="005D7B2C" w:rsidRPr="00F05461" w:rsidRDefault="005D7B2C" w:rsidP="005D7B2C">
      <w:pPr>
        <w:rPr>
          <w:lang w:val="es-ES"/>
        </w:rPr>
      </w:pPr>
      <w:r w:rsidRPr="00F05461">
        <w:rPr>
          <w:lang w:val="es-ES"/>
        </w:rPr>
        <w:t>El Órgano Consultivo Internacional sobre la resiliencia de los cables submarinos se creó en</w:t>
      </w:r>
      <w:r w:rsidR="002B22EB" w:rsidRPr="00F05461">
        <w:rPr>
          <w:lang w:val="es-ES"/>
        </w:rPr>
        <w:t> </w:t>
      </w:r>
      <w:r w:rsidRPr="00F05461">
        <w:rPr>
          <w:lang w:val="es-ES"/>
        </w:rPr>
        <w:t xml:space="preserve">2024 junto con el Comité Internacional de </w:t>
      </w:r>
      <w:r w:rsidR="00F14F82" w:rsidRPr="00F05461">
        <w:rPr>
          <w:lang w:val="es-ES"/>
        </w:rPr>
        <w:t>p</w:t>
      </w:r>
      <w:r w:rsidRPr="00F05461">
        <w:rPr>
          <w:lang w:val="es-ES"/>
        </w:rPr>
        <w:t xml:space="preserve">rotección de </w:t>
      </w:r>
      <w:r w:rsidR="00F14F82" w:rsidRPr="00F05461">
        <w:rPr>
          <w:lang w:val="es-ES"/>
        </w:rPr>
        <w:t>c</w:t>
      </w:r>
      <w:r w:rsidRPr="00F05461">
        <w:rPr>
          <w:lang w:val="es-ES"/>
        </w:rPr>
        <w:t>ables con el fin de compartir y promover prácticas idóneas entre gobiernos y actores del sector para mejorar la resiliencia de los cables en todo el mundo. En la Cumbre de Abuja de 2025 se pusieron en marcha tres Grupos de Trabajo para abordar la gestión de riesgos, la conectividad y la diversidad de rutas, así como el despliegue y la reparación oportunos de los cables.</w:t>
      </w:r>
    </w:p>
    <w:p w14:paraId="301E3C79" w14:textId="588506B7" w:rsidR="005D7B2C" w:rsidRPr="00F05461" w:rsidRDefault="005D7B2C" w:rsidP="005D7B2C">
      <w:pPr>
        <w:rPr>
          <w:lang w:val="es-ES"/>
        </w:rPr>
      </w:pPr>
      <w:r w:rsidRPr="00F05461">
        <w:rPr>
          <w:lang w:val="es-ES"/>
        </w:rPr>
        <w:t xml:space="preserve">En la </w:t>
      </w:r>
      <w:r w:rsidR="00F74838" w:rsidRPr="00F05461">
        <w:rPr>
          <w:lang w:val="es-ES"/>
        </w:rPr>
        <w:t xml:space="preserve">Segunda </w:t>
      </w:r>
      <w:r w:rsidRPr="00F05461">
        <w:rPr>
          <w:lang w:val="es-ES"/>
        </w:rPr>
        <w:t xml:space="preserve">Cumbre sobre la </w:t>
      </w:r>
      <w:r w:rsidR="00FF52A6" w:rsidRPr="00F05461">
        <w:rPr>
          <w:lang w:val="es-ES"/>
        </w:rPr>
        <w:t xml:space="preserve">Resiliencia </w:t>
      </w:r>
      <w:r w:rsidRPr="00F05461">
        <w:rPr>
          <w:lang w:val="es-ES"/>
        </w:rPr>
        <w:t xml:space="preserve">de los </w:t>
      </w:r>
      <w:r w:rsidR="00FF52A6" w:rsidRPr="00F05461">
        <w:rPr>
          <w:lang w:val="es-ES"/>
        </w:rPr>
        <w:t>Cables Submarinos</w:t>
      </w:r>
      <w:r w:rsidRPr="00F05461">
        <w:rPr>
          <w:lang w:val="es-ES"/>
        </w:rPr>
        <w:t>, celebrada los días 2 y 3 de febrero</w:t>
      </w:r>
      <w:r w:rsidR="00F14F82" w:rsidRPr="00F05461">
        <w:rPr>
          <w:lang w:val="es-ES"/>
        </w:rPr>
        <w:t xml:space="preserve"> de</w:t>
      </w:r>
      <w:r w:rsidRPr="00F05461">
        <w:rPr>
          <w:lang w:val="es-ES"/>
        </w:rPr>
        <w:t> </w:t>
      </w:r>
      <w:hyperlink r:id="rId40" w:history="1">
        <w:r w:rsidR="00F14F82" w:rsidRPr="00F05461">
          <w:rPr>
            <w:rStyle w:val="Hyperlink"/>
            <w:rFonts w:eastAsia="Times New Roman" w:cs="Times New Roman"/>
            <w:szCs w:val="20"/>
            <w:lang w:val="es-ES"/>
          </w:rPr>
          <w:t>2026 en Oporto</w:t>
        </w:r>
      </w:hyperlink>
      <w:r w:rsidRPr="00F05461">
        <w:rPr>
          <w:lang w:val="es-ES"/>
        </w:rPr>
        <w:t xml:space="preserve"> </w:t>
      </w:r>
      <w:r w:rsidR="002B22EB" w:rsidRPr="00F05461">
        <w:rPr>
          <w:lang w:val="es-ES"/>
        </w:rPr>
        <w:t>(</w:t>
      </w:r>
      <w:r w:rsidRPr="00F05461">
        <w:rPr>
          <w:lang w:val="es-ES"/>
        </w:rPr>
        <w:t>Portugal</w:t>
      </w:r>
      <w:r w:rsidR="002B22EB" w:rsidRPr="00F05461">
        <w:rPr>
          <w:lang w:val="es-ES"/>
        </w:rPr>
        <w:t>)</w:t>
      </w:r>
      <w:r w:rsidRPr="00F05461">
        <w:rPr>
          <w:lang w:val="es-ES"/>
        </w:rPr>
        <w:t>, el Órgano Consultivo aprobó las recomendaciones de los Grupos de Trabajo y respaldó la Declaración de Oporto, reforzando así los esfuerzos internacionales para fortalecer la infraestructura de cables submarinos.</w:t>
      </w:r>
    </w:p>
    <w:p w14:paraId="1302C39A" w14:textId="4633E948" w:rsidR="005D7B2C" w:rsidRPr="00F05461" w:rsidRDefault="005D7B2C" w:rsidP="005D7B2C">
      <w:pPr>
        <w:rPr>
          <w:lang w:val="es-ES"/>
        </w:rPr>
      </w:pPr>
      <w:r w:rsidRPr="00F05461">
        <w:rPr>
          <w:lang w:val="es-ES"/>
        </w:rPr>
        <w:t xml:space="preserve">La Iniciativa de </w:t>
      </w:r>
      <w:r w:rsidR="00FF52A6" w:rsidRPr="00F05461">
        <w:rPr>
          <w:lang w:val="es-ES"/>
        </w:rPr>
        <w:t xml:space="preserve">Inversión </w:t>
      </w:r>
      <w:r w:rsidRPr="00F05461">
        <w:rPr>
          <w:lang w:val="es-ES"/>
        </w:rPr>
        <w:t xml:space="preserve">en </w:t>
      </w:r>
      <w:r w:rsidR="00FF52A6" w:rsidRPr="00F05461">
        <w:rPr>
          <w:lang w:val="es-ES"/>
        </w:rPr>
        <w:t xml:space="preserve">Infraestructura Digital </w:t>
      </w:r>
      <w:r w:rsidRPr="00F05461">
        <w:rPr>
          <w:lang w:val="es-ES"/>
        </w:rPr>
        <w:t>(III</w:t>
      </w:r>
      <w:r w:rsidR="00385D87" w:rsidRPr="00F05461">
        <w:rPr>
          <w:lang w:val="es-ES"/>
        </w:rPr>
        <w:t>D</w:t>
      </w:r>
      <w:r w:rsidRPr="00F05461">
        <w:rPr>
          <w:lang w:val="es-ES"/>
        </w:rPr>
        <w:t xml:space="preserve">), liderada por </w:t>
      </w:r>
      <w:r w:rsidR="00296F03" w:rsidRPr="00F05461">
        <w:rPr>
          <w:lang w:val="es-ES"/>
        </w:rPr>
        <w:t>la UIT</w:t>
      </w:r>
      <w:r w:rsidRPr="00F05461">
        <w:rPr>
          <w:lang w:val="es-ES"/>
        </w:rPr>
        <w:t xml:space="preserve"> junto con los </w:t>
      </w:r>
      <w:bookmarkStart w:id="7" w:name="_Hlk226723674"/>
      <w:r w:rsidRPr="00F05461">
        <w:rPr>
          <w:lang w:val="es-ES"/>
        </w:rPr>
        <w:t xml:space="preserve">bancos multilaterales de desarrollo </w:t>
      </w:r>
      <w:bookmarkEnd w:id="7"/>
      <w:r w:rsidRPr="00F05461">
        <w:rPr>
          <w:lang w:val="es-ES"/>
        </w:rPr>
        <w:t>(BMD), ha estimado que conectar a todo el mundo de manera significativa costaría 1,6</w:t>
      </w:r>
      <w:r w:rsidR="002B22EB" w:rsidRPr="00F05461">
        <w:rPr>
          <w:lang w:val="es-ES"/>
        </w:rPr>
        <w:t> </w:t>
      </w:r>
      <w:r w:rsidRPr="00F05461">
        <w:rPr>
          <w:lang w:val="es-ES"/>
        </w:rPr>
        <w:t>billones</w:t>
      </w:r>
      <w:r w:rsidR="002B22EB" w:rsidRPr="00F05461">
        <w:rPr>
          <w:lang w:val="es-ES"/>
        </w:rPr>
        <w:t> </w:t>
      </w:r>
      <w:r w:rsidRPr="00F05461">
        <w:rPr>
          <w:lang w:val="es-ES"/>
        </w:rPr>
        <w:t xml:space="preserve">USD de aquí a 2030 solo en infraestructura física. El Plan de Acción «Conectando a la </w:t>
      </w:r>
      <w:r w:rsidR="00F14F82" w:rsidRPr="00F05461">
        <w:rPr>
          <w:lang w:val="es-ES"/>
        </w:rPr>
        <w:t>h</w:t>
      </w:r>
      <w:r w:rsidRPr="00F05461">
        <w:rPr>
          <w:lang w:val="es-ES"/>
        </w:rPr>
        <w:t>umanidad» (2025), elaborado en colaboración con el Reino de Arabia Saudita, estima que el coste total ascenderá a entre 2,6 y 2,8</w:t>
      </w:r>
      <w:r w:rsidR="002B22EB" w:rsidRPr="00F05461">
        <w:rPr>
          <w:lang w:val="es-ES"/>
        </w:rPr>
        <w:t> </w:t>
      </w:r>
      <w:r w:rsidRPr="00F05461">
        <w:rPr>
          <w:lang w:val="es-ES"/>
        </w:rPr>
        <w:t>billones</w:t>
      </w:r>
      <w:r w:rsidR="002B22EB" w:rsidRPr="00F05461">
        <w:rPr>
          <w:lang w:val="es-ES"/>
        </w:rPr>
        <w:t> </w:t>
      </w:r>
      <w:r w:rsidRPr="00F05461">
        <w:rPr>
          <w:lang w:val="es-ES"/>
        </w:rPr>
        <w:t xml:space="preserve">USD si se tienen en cuenta la demanda, las competencias, la asequibilidad y las políticas. </w:t>
      </w:r>
      <w:r w:rsidR="000C74EB" w:rsidRPr="00F05461">
        <w:rPr>
          <w:lang w:val="es-ES"/>
        </w:rPr>
        <w:t>Catalizador de</w:t>
      </w:r>
      <w:r w:rsidR="00400698" w:rsidRPr="00F05461">
        <w:rPr>
          <w:lang w:val="es-ES"/>
        </w:rPr>
        <w:t xml:space="preserve"> Inversión en Infraestructura Digital (IID)</w:t>
      </w:r>
      <w:r w:rsidRPr="00F05461">
        <w:rPr>
          <w:lang w:val="es-ES"/>
        </w:rPr>
        <w:t xml:space="preserve">, una iniciativa conjunta de </w:t>
      </w:r>
      <w:r w:rsidR="00296F03" w:rsidRPr="00F05461">
        <w:rPr>
          <w:lang w:val="es-ES"/>
        </w:rPr>
        <w:t>la UIT</w:t>
      </w:r>
      <w:r w:rsidRPr="00F05461">
        <w:rPr>
          <w:lang w:val="es-ES"/>
        </w:rPr>
        <w:t xml:space="preserve"> y la</w:t>
      </w:r>
      <w:r w:rsidR="00F14F82" w:rsidRPr="00F05461">
        <w:rPr>
          <w:lang w:val="es-ES"/>
        </w:rPr>
        <w:t xml:space="preserve"> </w:t>
      </w:r>
      <w:r w:rsidR="00F14F82" w:rsidRPr="00F05461">
        <w:rPr>
          <w:lang w:val="es-ES"/>
        </w:rPr>
        <w:lastRenderedPageBreak/>
        <w:t>Conferencia de las Naciones Unidas sobre Comercio y Desarrollo (</w:t>
      </w:r>
      <w:r w:rsidRPr="00F05461">
        <w:rPr>
          <w:lang w:val="es-ES"/>
        </w:rPr>
        <w:t>UNCTAD</w:t>
      </w:r>
      <w:r w:rsidR="00F14F82" w:rsidRPr="00F05461">
        <w:rPr>
          <w:lang w:val="es-ES"/>
        </w:rPr>
        <w:t>)</w:t>
      </w:r>
      <w:r w:rsidRPr="00F05461">
        <w:rPr>
          <w:lang w:val="es-ES"/>
        </w:rPr>
        <w:t xml:space="preserve"> con los</w:t>
      </w:r>
      <w:r w:rsidR="002B22EB" w:rsidRPr="00F05461">
        <w:rPr>
          <w:lang w:val="es-ES"/>
        </w:rPr>
        <w:t> </w:t>
      </w:r>
      <w:r w:rsidRPr="00F05461">
        <w:rPr>
          <w:lang w:val="es-ES"/>
        </w:rPr>
        <w:t>BMD, está movilizando a los socios para acelerar la inversión en infraestructura digital con financiación a escala mundial.</w:t>
      </w:r>
    </w:p>
    <w:p w14:paraId="6C16B605" w14:textId="77777777" w:rsidR="005D7B2C" w:rsidRPr="00F05461" w:rsidRDefault="005D7B2C" w:rsidP="00312480">
      <w:pPr>
        <w:pStyle w:val="Headingb"/>
      </w:pPr>
      <w:r w:rsidRPr="00F05461">
        <w:t>Preparación para el futuro</w:t>
      </w:r>
    </w:p>
    <w:p w14:paraId="3E51DE2B" w14:textId="4B2F2DE2" w:rsidR="005D7B2C" w:rsidRPr="00F05461" w:rsidRDefault="005D7B2C" w:rsidP="005D7B2C">
      <w:pPr>
        <w:rPr>
          <w:lang w:val="es-ES"/>
        </w:rPr>
      </w:pPr>
      <w:r w:rsidRPr="00F05461">
        <w:rPr>
          <w:lang w:val="es-ES"/>
        </w:rPr>
        <w:t xml:space="preserve">Desde 2023, </w:t>
      </w:r>
      <w:r w:rsidR="00296F03" w:rsidRPr="00F05461">
        <w:rPr>
          <w:lang w:val="es-ES"/>
        </w:rPr>
        <w:t>la UIT</w:t>
      </w:r>
      <w:r w:rsidRPr="00F05461">
        <w:rPr>
          <w:lang w:val="es-ES"/>
        </w:rPr>
        <w:t xml:space="preserve"> ha emprendido una transformación interna integral para reforzar la gobernanza institucional, la rendición de cuentas y la eficacia operativa.</w:t>
      </w:r>
    </w:p>
    <w:p w14:paraId="65C4F74D" w14:textId="1FCEF7BC" w:rsidR="005D7B2C" w:rsidRPr="00F05461" w:rsidRDefault="005D7B2C" w:rsidP="00323FDB">
      <w:pPr>
        <w:rPr>
          <w:lang w:val="es-ES"/>
        </w:rPr>
      </w:pPr>
      <w:r w:rsidRPr="00F05461">
        <w:rPr>
          <w:lang w:val="es-ES"/>
        </w:rPr>
        <w:t xml:space="preserve">La reestructuración financiera consistió en convertir los déficits presupuestarios persistentes en superávits constantes, sanear la gestión financiera y volver a encauzar el proceso de auditoría externa, así como rediseñar el proyecto del nuevo edificio de la sede con el fin de garantizar que se ajuste al presupuesto previsto y, a su vez, satisfaga las necesidades futuras de </w:t>
      </w:r>
      <w:r w:rsidR="00296F03" w:rsidRPr="00F05461">
        <w:rPr>
          <w:lang w:val="es-ES"/>
        </w:rPr>
        <w:t>la UIT</w:t>
      </w:r>
      <w:r w:rsidRPr="00F05461">
        <w:rPr>
          <w:lang w:val="es-ES"/>
        </w:rPr>
        <w:t>.</w:t>
      </w:r>
    </w:p>
    <w:p w14:paraId="50504373" w14:textId="77777777" w:rsidR="005D7B2C" w:rsidRPr="00F05461" w:rsidRDefault="005D7B2C" w:rsidP="005D7B2C">
      <w:pPr>
        <w:rPr>
          <w:lang w:val="es-ES"/>
        </w:rPr>
      </w:pPr>
      <w:r w:rsidRPr="00F05461">
        <w:rPr>
          <w:lang w:val="es-ES"/>
        </w:rPr>
        <w:t>Entre los principales logros figuran además la creación de una Unidad de Supervisión y de la figura del mediador (ómbudsman), el rediseño de los procesos de planificación operativa, el pleno cumplimiento de las normas internacionales de contabilidad del sector público y los avances en las reformas de tesorería y recursos humanos.</w:t>
      </w:r>
    </w:p>
    <w:p w14:paraId="323883FF" w14:textId="3B0742B9" w:rsidR="005D7B2C" w:rsidRPr="00F05461" w:rsidRDefault="005D7B2C" w:rsidP="005D7B2C">
      <w:pPr>
        <w:rPr>
          <w:lang w:val="es-ES"/>
        </w:rPr>
      </w:pPr>
      <w:r w:rsidRPr="00F05461">
        <w:rPr>
          <w:lang w:val="es-ES"/>
        </w:rPr>
        <w:t xml:space="preserve">La modernización de los recursos humanos se centró en el aprendizaje, la gestión del rendimiento, la formación de líderes, la paridad de género, la salud mental y las modalidades de trabajo flexibles. </w:t>
      </w:r>
      <w:r w:rsidR="00296F03" w:rsidRPr="00F05461">
        <w:rPr>
          <w:lang w:val="es-ES"/>
        </w:rPr>
        <w:t>La UIT</w:t>
      </w:r>
      <w:r w:rsidRPr="00F05461">
        <w:rPr>
          <w:lang w:val="es-ES"/>
        </w:rPr>
        <w:t xml:space="preserve"> también adoptó directrices organizativas sobre el uso responsable de la</w:t>
      </w:r>
      <w:r w:rsidR="005B7661" w:rsidRPr="00F05461">
        <w:rPr>
          <w:lang w:val="es-ES"/>
        </w:rPr>
        <w:t> </w:t>
      </w:r>
      <w:r w:rsidRPr="00F05461">
        <w:rPr>
          <w:lang w:val="es-ES"/>
        </w:rPr>
        <w:t>IA generativa y nombró a un nuevo director de sistemas de información para acelerar la modernización digital.</w:t>
      </w:r>
    </w:p>
    <w:p w14:paraId="3D2C92B9" w14:textId="77777777" w:rsidR="005D7B2C" w:rsidRPr="00F05461" w:rsidRDefault="005D7B2C" w:rsidP="005D7B2C">
      <w:pPr>
        <w:rPr>
          <w:lang w:val="es-ES"/>
        </w:rPr>
      </w:pPr>
      <w:r w:rsidRPr="00F05461">
        <w:rPr>
          <w:lang w:val="es-ES"/>
        </w:rPr>
        <w:t>La nueva estrategia de movilización de recursos adoptada en 2024 se centró en reforzar la participación de los miembros, mejorar los productos y servicios, y aumentar las contribuciones voluntarias.</w:t>
      </w:r>
    </w:p>
    <w:p w14:paraId="720588D0" w14:textId="7CA3D6C1" w:rsidR="005D7B2C" w:rsidRPr="00F05461" w:rsidRDefault="005D7B2C" w:rsidP="005D7B2C">
      <w:pPr>
        <w:rPr>
          <w:lang w:val="es-ES"/>
        </w:rPr>
      </w:pPr>
      <w:r w:rsidRPr="00F05461">
        <w:rPr>
          <w:lang w:val="es-ES"/>
        </w:rPr>
        <w:t xml:space="preserve">Entre las prioridades más destacadas figuraban la modernización de las notificaciones de redes de satélite, la ampliación de los productos digitales, la mejora de los modelos de ingresos derivados de eventos y las nuevas estrategias de colaboración para maximizar los resultados de </w:t>
      </w:r>
      <w:r w:rsidR="00296F03" w:rsidRPr="00F05461">
        <w:rPr>
          <w:lang w:val="es-ES"/>
        </w:rPr>
        <w:t>la UIT</w:t>
      </w:r>
      <w:r w:rsidRPr="00F05461">
        <w:rPr>
          <w:lang w:val="es-ES"/>
        </w:rPr>
        <w:t>, preservando a la vez la integridad institucional.</w:t>
      </w:r>
    </w:p>
    <w:p w14:paraId="595E89F3" w14:textId="6C291374" w:rsidR="005D7B2C" w:rsidRPr="00F05461" w:rsidRDefault="005D7B2C" w:rsidP="005D7B2C">
      <w:pPr>
        <w:rPr>
          <w:lang w:val="es-ES"/>
        </w:rPr>
      </w:pPr>
      <w:r w:rsidRPr="00F05461">
        <w:rPr>
          <w:lang w:val="es-ES"/>
        </w:rPr>
        <w:t xml:space="preserve">A mitad de su actual plan estratégico, la organización había alcanzado una posición más sólida para hacer frente a los retos globales actuales e incipientes. De cara al futuro, </w:t>
      </w:r>
      <w:r w:rsidR="00296F03" w:rsidRPr="00F05461">
        <w:rPr>
          <w:lang w:val="es-ES"/>
        </w:rPr>
        <w:t>la UIT</w:t>
      </w:r>
      <w:r w:rsidRPr="00F05461">
        <w:rPr>
          <w:lang w:val="es-ES"/>
        </w:rPr>
        <w:t xml:space="preserve"> seguirá evolucionando con las tecnologías y prestando apoyo a los países y las comunidades en su calidad de plataforma internacional para la cooperación técnica, con el fin de garantizar resultados reales y duraderos para todos.</w:t>
      </w:r>
    </w:p>
    <w:p w14:paraId="7EDC308A" w14:textId="425EA764" w:rsidR="00041A1C" w:rsidRPr="00F05461" w:rsidRDefault="00041A1C">
      <w:pPr>
        <w:tabs>
          <w:tab w:val="clear" w:pos="567"/>
          <w:tab w:val="clear" w:pos="1134"/>
          <w:tab w:val="clear" w:pos="1701"/>
          <w:tab w:val="clear" w:pos="2268"/>
          <w:tab w:val="clear" w:pos="2835"/>
        </w:tabs>
        <w:overflowPunct/>
        <w:autoSpaceDE/>
        <w:autoSpaceDN/>
        <w:adjustRightInd/>
        <w:spacing w:before="0"/>
        <w:textAlignment w:val="auto"/>
        <w:rPr>
          <w:lang w:val="es-ES"/>
        </w:rPr>
      </w:pPr>
      <w:r w:rsidRPr="00F05461">
        <w:rPr>
          <w:lang w:val="es-ES"/>
        </w:rPr>
        <w:br w:type="page"/>
      </w:r>
    </w:p>
    <w:p w14:paraId="79621616" w14:textId="21BCA624" w:rsidR="005D7B2C" w:rsidRPr="00C8537E" w:rsidRDefault="00312480" w:rsidP="00312480">
      <w:pPr>
        <w:pStyle w:val="Heading1"/>
        <w:rPr>
          <w:color w:val="1F497D"/>
          <w:lang w:val="es-ES"/>
        </w:rPr>
      </w:pPr>
      <w:bookmarkStart w:id="8" w:name="_Toc224288788"/>
      <w:bookmarkStart w:id="9" w:name="_Toc227137448"/>
      <w:r w:rsidRPr="00C8537E">
        <w:rPr>
          <w:color w:val="1F497D"/>
          <w:lang w:val="es-ES"/>
        </w:rPr>
        <w:lastRenderedPageBreak/>
        <w:t>ii</w:t>
      </w:r>
      <w:r w:rsidRPr="00C8537E">
        <w:rPr>
          <w:color w:val="1F497D"/>
          <w:lang w:val="es-ES"/>
        </w:rPr>
        <w:tab/>
      </w:r>
      <w:r w:rsidR="005D7B2C" w:rsidRPr="00C8537E">
        <w:rPr>
          <w:color w:val="1F497D"/>
          <w:lang w:val="es-ES"/>
        </w:rPr>
        <w:t>Reflexiones y conclusiones sobre el periodo 2022-2025</w:t>
      </w:r>
      <w:bookmarkEnd w:id="8"/>
      <w:bookmarkEnd w:id="9"/>
    </w:p>
    <w:p w14:paraId="42F633DE" w14:textId="77777777" w:rsidR="005D7B2C" w:rsidRPr="00F05461" w:rsidRDefault="005D7B2C" w:rsidP="00312480">
      <w:pPr>
        <w:pStyle w:val="Headingb"/>
      </w:pPr>
      <w:r w:rsidRPr="00F05461">
        <w:t>Principales conclusiones y consideraciones</w:t>
      </w:r>
    </w:p>
    <w:p w14:paraId="7A309872" w14:textId="6C0009AC" w:rsidR="005D7B2C" w:rsidRPr="00F05461" w:rsidRDefault="005D7B2C" w:rsidP="00312480">
      <w:pPr>
        <w:pStyle w:val="Headingb"/>
      </w:pPr>
      <w:r w:rsidRPr="00F05461">
        <w:t>Conectividad, asequibilidad y tendencias digitales</w:t>
      </w:r>
    </w:p>
    <w:p w14:paraId="35555496" w14:textId="7308E13D"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El uso de Internet a nivel mundial aumentó del </w:t>
      </w:r>
      <w:r w:rsidR="005D7B2C" w:rsidRPr="00F05461">
        <w:rPr>
          <w:b/>
          <w:bCs/>
          <w:lang w:val="es-ES"/>
        </w:rPr>
        <w:t>67</w:t>
      </w:r>
      <w:r w:rsidR="002B22EB" w:rsidRPr="00F05461">
        <w:rPr>
          <w:b/>
          <w:bCs/>
          <w:lang w:val="es-ES"/>
        </w:rPr>
        <w:t> </w:t>
      </w:r>
      <w:r w:rsidR="00BF0FFC" w:rsidRPr="00F05461">
        <w:rPr>
          <w:b/>
          <w:bCs/>
          <w:lang w:val="es-ES"/>
        </w:rPr>
        <w:t>por ciento</w:t>
      </w:r>
      <w:r w:rsidR="005D7B2C" w:rsidRPr="00F05461">
        <w:rPr>
          <w:b/>
          <w:bCs/>
          <w:lang w:val="es-ES"/>
        </w:rPr>
        <w:t xml:space="preserve"> en 2022 al 74</w:t>
      </w:r>
      <w:r w:rsidR="002B22EB" w:rsidRPr="00F05461">
        <w:rPr>
          <w:b/>
          <w:bCs/>
          <w:lang w:val="es-ES"/>
        </w:rPr>
        <w:t> </w:t>
      </w:r>
      <w:r w:rsidR="00BF0FFC" w:rsidRPr="00F05461">
        <w:rPr>
          <w:b/>
          <w:bCs/>
          <w:lang w:val="es-ES"/>
        </w:rPr>
        <w:t>por ciento</w:t>
      </w:r>
      <w:r w:rsidR="005D7B2C" w:rsidRPr="00F05461">
        <w:rPr>
          <w:b/>
          <w:bCs/>
          <w:lang w:val="es-ES"/>
        </w:rPr>
        <w:t xml:space="preserve"> en 2025</w:t>
      </w:r>
      <w:r w:rsidR="005D7B2C" w:rsidRPr="00F05461">
        <w:rPr>
          <w:lang w:val="es-ES"/>
        </w:rPr>
        <w:t xml:space="preserve"> (de </w:t>
      </w:r>
      <w:r w:rsidR="005D7B2C" w:rsidRPr="00F05461">
        <w:rPr>
          <w:b/>
          <w:bCs/>
          <w:lang w:val="es-ES"/>
        </w:rPr>
        <w:t>5 400 a 6 000</w:t>
      </w:r>
      <w:r w:rsidR="002B22EB" w:rsidRPr="00F05461">
        <w:rPr>
          <w:b/>
          <w:bCs/>
          <w:lang w:val="es-ES"/>
        </w:rPr>
        <w:t> </w:t>
      </w:r>
      <w:r w:rsidR="005D7B2C" w:rsidRPr="00F05461">
        <w:rPr>
          <w:b/>
          <w:bCs/>
          <w:lang w:val="es-ES"/>
        </w:rPr>
        <w:t>millones de usuarios</w:t>
      </w:r>
      <w:r w:rsidR="005D7B2C" w:rsidRPr="00F05461">
        <w:rPr>
          <w:lang w:val="es-ES"/>
        </w:rPr>
        <w:t>), quedando todavía 2</w:t>
      </w:r>
      <w:r w:rsidR="002B22EB" w:rsidRPr="00F05461">
        <w:rPr>
          <w:lang w:val="es-ES"/>
        </w:rPr>
        <w:t> </w:t>
      </w:r>
      <w:r w:rsidR="005D7B2C" w:rsidRPr="00F05461">
        <w:rPr>
          <w:lang w:val="es-ES"/>
        </w:rPr>
        <w:t>200</w:t>
      </w:r>
      <w:r w:rsidR="002B22EB" w:rsidRPr="00F05461">
        <w:rPr>
          <w:lang w:val="es-ES"/>
        </w:rPr>
        <w:t> </w:t>
      </w:r>
      <w:r w:rsidR="005D7B2C" w:rsidRPr="00F05461">
        <w:rPr>
          <w:lang w:val="es-ES"/>
        </w:rPr>
        <w:t>millones de personas sin conexión.</w:t>
      </w:r>
    </w:p>
    <w:p w14:paraId="259ACC0B" w14:textId="5157A744"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Las brechas de conectividad persistieron, con un </w:t>
      </w:r>
      <w:r w:rsidR="005D7B2C" w:rsidRPr="00F05461">
        <w:rPr>
          <w:b/>
          <w:bCs/>
          <w:lang w:val="es-ES"/>
        </w:rPr>
        <w:t>94</w:t>
      </w:r>
      <w:r w:rsidR="002B22EB" w:rsidRPr="00F05461">
        <w:rPr>
          <w:b/>
          <w:bCs/>
          <w:lang w:val="es-ES"/>
        </w:rPr>
        <w:t> </w:t>
      </w:r>
      <w:r w:rsidR="00BF0FFC" w:rsidRPr="00F05461">
        <w:rPr>
          <w:b/>
          <w:bCs/>
          <w:lang w:val="es-ES"/>
        </w:rPr>
        <w:t>por ciento</w:t>
      </w:r>
      <w:r w:rsidR="005D7B2C" w:rsidRPr="00F05461">
        <w:rPr>
          <w:lang w:val="es-ES"/>
        </w:rPr>
        <w:t xml:space="preserve"> de personas conectadas en los países de renta alta y un </w:t>
      </w:r>
      <w:r w:rsidR="005D7B2C" w:rsidRPr="00F05461">
        <w:rPr>
          <w:b/>
          <w:bCs/>
          <w:lang w:val="es-ES"/>
        </w:rPr>
        <w:t>23</w:t>
      </w:r>
      <w:r w:rsidR="002B22EB" w:rsidRPr="00F05461">
        <w:rPr>
          <w:b/>
          <w:bCs/>
          <w:lang w:val="es-ES"/>
        </w:rPr>
        <w:t> </w:t>
      </w:r>
      <w:r w:rsidR="00BF0FFC" w:rsidRPr="00F05461">
        <w:rPr>
          <w:b/>
          <w:bCs/>
          <w:lang w:val="es-ES"/>
        </w:rPr>
        <w:t>por ciento</w:t>
      </w:r>
      <w:r w:rsidR="005D7B2C" w:rsidRPr="00F05461">
        <w:rPr>
          <w:lang w:val="es-ES"/>
        </w:rPr>
        <w:t xml:space="preserve"> en los de renta baja.</w:t>
      </w:r>
    </w:p>
    <w:p w14:paraId="3E929BC3" w14:textId="5F892B1F"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Los precios medios de la banda ancha móvil descendieron del </w:t>
      </w:r>
      <w:r w:rsidR="005D7B2C" w:rsidRPr="00F05461">
        <w:rPr>
          <w:b/>
          <w:bCs/>
          <w:lang w:val="es-ES"/>
        </w:rPr>
        <w:t>2,0</w:t>
      </w:r>
      <w:r w:rsidR="002B22EB" w:rsidRPr="00F05461">
        <w:rPr>
          <w:b/>
          <w:bCs/>
          <w:lang w:val="es-ES"/>
        </w:rPr>
        <w:t> </w:t>
      </w:r>
      <w:r w:rsidR="00BF0FFC" w:rsidRPr="00F05461">
        <w:rPr>
          <w:b/>
          <w:bCs/>
          <w:lang w:val="es-ES"/>
        </w:rPr>
        <w:t>por ciento</w:t>
      </w:r>
      <w:r w:rsidR="005D7B2C" w:rsidRPr="00F05461">
        <w:rPr>
          <w:b/>
          <w:bCs/>
          <w:lang w:val="es-ES"/>
        </w:rPr>
        <w:t xml:space="preserve"> al 1,4</w:t>
      </w:r>
      <w:r w:rsidR="002B22EB" w:rsidRPr="00F05461">
        <w:rPr>
          <w:b/>
          <w:bCs/>
          <w:lang w:val="es-ES"/>
        </w:rPr>
        <w:t> </w:t>
      </w:r>
      <w:r w:rsidR="00BF0FFC" w:rsidRPr="00F05461">
        <w:rPr>
          <w:b/>
          <w:bCs/>
          <w:lang w:val="es-ES"/>
        </w:rPr>
        <w:t>por ciento</w:t>
      </w:r>
      <w:r w:rsidR="005D7B2C" w:rsidRPr="00F05461">
        <w:rPr>
          <w:lang w:val="es-ES"/>
        </w:rPr>
        <w:t xml:space="preserve"> de la</w:t>
      </w:r>
      <w:r w:rsidR="002B22EB" w:rsidRPr="00F05461">
        <w:rPr>
          <w:lang w:val="es-ES"/>
        </w:rPr>
        <w:t> </w:t>
      </w:r>
      <w:r w:rsidR="005D7B2C" w:rsidRPr="00F05461">
        <w:rPr>
          <w:lang w:val="es-ES"/>
        </w:rPr>
        <w:t xml:space="preserve">RNB per cápita, y los de la banda ancha fija, del </w:t>
      </w:r>
      <w:r w:rsidR="005D7B2C" w:rsidRPr="00F05461">
        <w:rPr>
          <w:b/>
          <w:bCs/>
          <w:lang w:val="es-ES"/>
        </w:rPr>
        <w:t>3,1</w:t>
      </w:r>
      <w:r w:rsidR="002B22EB" w:rsidRPr="00F05461">
        <w:rPr>
          <w:b/>
          <w:bCs/>
          <w:lang w:val="es-ES"/>
        </w:rPr>
        <w:t> </w:t>
      </w:r>
      <w:r w:rsidR="00BF0FFC" w:rsidRPr="00F05461">
        <w:rPr>
          <w:b/>
          <w:bCs/>
          <w:lang w:val="es-ES"/>
        </w:rPr>
        <w:t>por ciento</w:t>
      </w:r>
      <w:r w:rsidR="005D7B2C" w:rsidRPr="00F05461">
        <w:rPr>
          <w:b/>
          <w:bCs/>
          <w:lang w:val="es-ES"/>
        </w:rPr>
        <w:t xml:space="preserve"> al 2,5</w:t>
      </w:r>
      <w:r w:rsidR="002B22EB" w:rsidRPr="00F05461">
        <w:rPr>
          <w:b/>
          <w:bCs/>
          <w:lang w:val="es-ES"/>
        </w:rPr>
        <w:t> </w:t>
      </w:r>
      <w:r w:rsidR="00BF0FFC" w:rsidRPr="00F05461">
        <w:rPr>
          <w:b/>
          <w:bCs/>
          <w:lang w:val="es-ES"/>
        </w:rPr>
        <w:t>por ciento</w:t>
      </w:r>
      <w:r w:rsidR="005D7B2C" w:rsidRPr="00F05461">
        <w:rPr>
          <w:lang w:val="es-ES"/>
        </w:rPr>
        <w:t xml:space="preserve"> (2022</w:t>
      </w:r>
      <w:r w:rsidR="00BF0FFC" w:rsidRPr="00F05461">
        <w:rPr>
          <w:lang w:val="es-ES"/>
        </w:rPr>
        <w:noBreakHyphen/>
      </w:r>
      <w:r w:rsidR="005D7B2C" w:rsidRPr="00F05461">
        <w:rPr>
          <w:lang w:val="es-ES"/>
        </w:rPr>
        <w:t>2025).</w:t>
      </w:r>
    </w:p>
    <w:p w14:paraId="196E528C" w14:textId="5CD55AEC"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w:t>
      </w:r>
      <w:r w:rsidR="005D7B2C" w:rsidRPr="00F05461">
        <w:rPr>
          <w:b/>
          <w:bCs/>
          <w:lang w:val="es-ES"/>
        </w:rPr>
        <w:t>cobertura 5G alcanzó al 55</w:t>
      </w:r>
      <w:r w:rsidR="002B22EB" w:rsidRPr="00F05461">
        <w:rPr>
          <w:b/>
          <w:bCs/>
          <w:lang w:val="es-ES"/>
        </w:rPr>
        <w:t> </w:t>
      </w:r>
      <w:r w:rsidR="00BF0FFC" w:rsidRPr="00F05461">
        <w:rPr>
          <w:b/>
          <w:bCs/>
          <w:lang w:val="es-ES"/>
        </w:rPr>
        <w:t>por ciento</w:t>
      </w:r>
      <w:r w:rsidR="005D7B2C" w:rsidRPr="00F05461">
        <w:rPr>
          <w:lang w:val="es-ES"/>
        </w:rPr>
        <w:t xml:space="preserve"> de la población mundial en 2025, en comparación con el </w:t>
      </w:r>
      <w:r w:rsidR="005D7B2C" w:rsidRPr="00F05461">
        <w:rPr>
          <w:b/>
          <w:bCs/>
          <w:lang w:val="es-ES"/>
        </w:rPr>
        <w:t>39</w:t>
      </w:r>
      <w:r w:rsidR="002B22EB" w:rsidRPr="00F05461">
        <w:rPr>
          <w:b/>
          <w:bCs/>
          <w:lang w:val="es-ES"/>
        </w:rPr>
        <w:t> </w:t>
      </w:r>
      <w:r w:rsidR="00BF0FFC" w:rsidRPr="00F05461">
        <w:rPr>
          <w:b/>
          <w:bCs/>
          <w:lang w:val="es-ES"/>
        </w:rPr>
        <w:t>por ciento</w:t>
      </w:r>
      <w:r w:rsidR="005D7B2C" w:rsidRPr="00F05461">
        <w:rPr>
          <w:lang w:val="es-ES"/>
        </w:rPr>
        <w:t xml:space="preserve"> en 2022, pero solo al </w:t>
      </w:r>
      <w:r w:rsidR="00BF0FFC" w:rsidRPr="00F05461">
        <w:rPr>
          <w:b/>
          <w:bCs/>
          <w:lang w:val="es-ES"/>
        </w:rPr>
        <w:t>cuatro</w:t>
      </w:r>
      <w:r w:rsidR="002B22EB" w:rsidRPr="00F05461">
        <w:rPr>
          <w:b/>
          <w:bCs/>
          <w:lang w:val="es-ES"/>
        </w:rPr>
        <w:t> </w:t>
      </w:r>
      <w:r w:rsidR="00BF0FFC" w:rsidRPr="00F05461">
        <w:rPr>
          <w:b/>
          <w:bCs/>
          <w:lang w:val="es-ES"/>
        </w:rPr>
        <w:t>por ciento</w:t>
      </w:r>
      <w:r w:rsidR="005D7B2C" w:rsidRPr="00F05461">
        <w:rPr>
          <w:lang w:val="es-ES"/>
        </w:rPr>
        <w:t xml:space="preserve"> en los países de renta baja.</w:t>
      </w:r>
    </w:p>
    <w:p w14:paraId="38617C02" w14:textId="02982E0A"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El porcentaje de personas de entre 15 y 24</w:t>
      </w:r>
      <w:r w:rsidR="002B22EB" w:rsidRPr="00F05461">
        <w:rPr>
          <w:lang w:val="es-ES"/>
        </w:rPr>
        <w:t> </w:t>
      </w:r>
      <w:r w:rsidR="005D7B2C" w:rsidRPr="00F05461">
        <w:rPr>
          <w:lang w:val="es-ES"/>
        </w:rPr>
        <w:t xml:space="preserve">años que utilizaron Internet en 2025 fue del </w:t>
      </w:r>
      <w:r w:rsidR="005D7B2C" w:rsidRPr="00F05461">
        <w:rPr>
          <w:b/>
          <w:bCs/>
          <w:lang w:val="es-ES"/>
        </w:rPr>
        <w:t>82</w:t>
      </w:r>
      <w:r w:rsidR="002B22EB" w:rsidRPr="00F05461">
        <w:rPr>
          <w:b/>
          <w:bCs/>
          <w:lang w:val="es-ES"/>
        </w:rPr>
        <w:t> </w:t>
      </w:r>
      <w:r w:rsidR="00BF0FFC" w:rsidRPr="00F05461">
        <w:rPr>
          <w:b/>
          <w:bCs/>
          <w:lang w:val="es-ES"/>
        </w:rPr>
        <w:t>por ciento</w:t>
      </w:r>
      <w:r w:rsidR="005D7B2C" w:rsidRPr="00F05461">
        <w:rPr>
          <w:lang w:val="es-ES"/>
        </w:rPr>
        <w:t xml:space="preserve">, mientras que el del resto de la población fue del </w:t>
      </w:r>
      <w:r w:rsidR="005D7B2C" w:rsidRPr="00F05461">
        <w:rPr>
          <w:b/>
          <w:bCs/>
          <w:lang w:val="es-ES"/>
        </w:rPr>
        <w:t>72</w:t>
      </w:r>
      <w:r w:rsidR="002B22EB" w:rsidRPr="00F05461">
        <w:rPr>
          <w:b/>
          <w:bCs/>
          <w:lang w:val="es-ES"/>
        </w:rPr>
        <w:t> </w:t>
      </w:r>
      <w:r w:rsidR="00BF0FFC" w:rsidRPr="00F05461">
        <w:rPr>
          <w:b/>
          <w:bCs/>
          <w:lang w:val="es-ES"/>
        </w:rPr>
        <w:t>por ciento</w:t>
      </w:r>
      <w:r w:rsidR="005D7B2C" w:rsidRPr="00F05461">
        <w:rPr>
          <w:lang w:val="es-ES"/>
        </w:rPr>
        <w:t>.</w:t>
      </w:r>
    </w:p>
    <w:p w14:paraId="0EDF2695" w14:textId="6AAED03D"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brecha de uso de Internet entre zonas urbanas y rurales se redujo levemente de </w:t>
      </w:r>
      <w:r w:rsidR="005D7B2C" w:rsidRPr="00F05461">
        <w:rPr>
          <w:b/>
          <w:bCs/>
          <w:lang w:val="es-ES"/>
        </w:rPr>
        <w:t>1,6 a 1,5</w:t>
      </w:r>
      <w:r w:rsidR="005D7B2C" w:rsidRPr="00F05461">
        <w:rPr>
          <w:lang w:val="es-ES"/>
        </w:rPr>
        <w:t xml:space="preserve">, con un </w:t>
      </w:r>
      <w:r w:rsidR="005D7B2C" w:rsidRPr="00F05461">
        <w:rPr>
          <w:b/>
          <w:bCs/>
          <w:lang w:val="es-ES"/>
        </w:rPr>
        <w:t>85</w:t>
      </w:r>
      <w:r w:rsidR="002B22EB" w:rsidRPr="00F05461">
        <w:rPr>
          <w:b/>
          <w:bCs/>
          <w:lang w:val="es-ES"/>
        </w:rPr>
        <w:t> </w:t>
      </w:r>
      <w:r w:rsidR="00BF0FFC" w:rsidRPr="00F05461">
        <w:rPr>
          <w:b/>
          <w:bCs/>
          <w:lang w:val="es-ES"/>
        </w:rPr>
        <w:t>por ciento</w:t>
      </w:r>
      <w:r w:rsidR="005D7B2C" w:rsidRPr="00F05461">
        <w:rPr>
          <w:b/>
          <w:bCs/>
          <w:lang w:val="es-ES"/>
        </w:rPr>
        <w:t xml:space="preserve"> de los residentes en zonas urbanas</w:t>
      </w:r>
      <w:r w:rsidR="005D7B2C" w:rsidRPr="00F05461">
        <w:rPr>
          <w:lang w:val="es-ES"/>
        </w:rPr>
        <w:t xml:space="preserve"> y un </w:t>
      </w:r>
      <w:r w:rsidR="005D7B2C" w:rsidRPr="00F05461">
        <w:rPr>
          <w:b/>
          <w:bCs/>
          <w:lang w:val="es-ES"/>
        </w:rPr>
        <w:t>58</w:t>
      </w:r>
      <w:r w:rsidR="002B22EB" w:rsidRPr="00F05461">
        <w:rPr>
          <w:b/>
          <w:bCs/>
          <w:lang w:val="es-ES"/>
        </w:rPr>
        <w:t> </w:t>
      </w:r>
      <w:r w:rsidR="00BF0FFC" w:rsidRPr="00F05461">
        <w:rPr>
          <w:b/>
          <w:bCs/>
          <w:lang w:val="es-ES"/>
        </w:rPr>
        <w:t>por ciento</w:t>
      </w:r>
      <w:r w:rsidR="005D7B2C" w:rsidRPr="00F05461">
        <w:rPr>
          <w:b/>
          <w:bCs/>
          <w:lang w:val="es-ES"/>
        </w:rPr>
        <w:t xml:space="preserve"> de los residentes en zonas rurales</w:t>
      </w:r>
      <w:r w:rsidR="005D7B2C" w:rsidRPr="00F05461">
        <w:rPr>
          <w:lang w:val="es-ES"/>
        </w:rPr>
        <w:t xml:space="preserve"> en 2025.</w:t>
      </w:r>
    </w:p>
    <w:p w14:paraId="21D7CB0B" w14:textId="1BF018D9" w:rsidR="005D7B2C" w:rsidRPr="00F05461" w:rsidRDefault="005D7B2C" w:rsidP="00312480">
      <w:pPr>
        <w:pStyle w:val="Headingb"/>
      </w:pPr>
      <w:r w:rsidRPr="00F05461">
        <w:t>Recopilación de datos e información sobre políticas</w:t>
      </w:r>
    </w:p>
    <w:p w14:paraId="6E951F36" w14:textId="33042697"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La</w:t>
      </w:r>
      <w:r w:rsidR="00C45DDD" w:rsidRPr="00F05461">
        <w:rPr>
          <w:lang w:val="es-ES"/>
        </w:rPr>
        <w:t> </w:t>
      </w:r>
      <w:r w:rsidR="005D7B2C" w:rsidRPr="00F05461">
        <w:rPr>
          <w:lang w:val="es-ES"/>
        </w:rPr>
        <w:t xml:space="preserve">UIT recopiló estadísticas sobre TIC de </w:t>
      </w:r>
      <w:r w:rsidR="005D7B2C" w:rsidRPr="00F05461">
        <w:rPr>
          <w:b/>
          <w:bCs/>
          <w:lang w:val="es-ES"/>
        </w:rPr>
        <w:t>más de 200</w:t>
      </w:r>
      <w:r w:rsidR="005B7661" w:rsidRPr="00F05461">
        <w:rPr>
          <w:b/>
          <w:bCs/>
          <w:lang w:val="es-ES"/>
        </w:rPr>
        <w:t> </w:t>
      </w:r>
      <w:r w:rsidR="00EF6A42" w:rsidRPr="00F05461">
        <w:rPr>
          <w:b/>
          <w:bCs/>
          <w:lang w:val="es-ES"/>
        </w:rPr>
        <w:t>economías</w:t>
      </w:r>
      <w:r w:rsidR="005D7B2C" w:rsidRPr="00F05461">
        <w:rPr>
          <w:lang w:val="es-ES"/>
        </w:rPr>
        <w:t xml:space="preserve">, consolidando los métodos basados en macrodatos y publicando ediciones anuales de </w:t>
      </w:r>
      <w:r w:rsidR="00F96EF3" w:rsidRPr="00F05461">
        <w:rPr>
          <w:b/>
          <w:bCs/>
          <w:i/>
          <w:iCs/>
          <w:lang w:val="es-ES"/>
        </w:rPr>
        <w:t xml:space="preserve">Facts </w:t>
      </w:r>
      <w:r w:rsidR="00F53F64" w:rsidRPr="00F05461">
        <w:rPr>
          <w:b/>
          <w:bCs/>
          <w:i/>
          <w:iCs/>
          <w:lang w:val="es-ES"/>
        </w:rPr>
        <w:t>and</w:t>
      </w:r>
      <w:r w:rsidR="00F96EF3" w:rsidRPr="00F05461">
        <w:rPr>
          <w:b/>
          <w:bCs/>
          <w:i/>
          <w:iCs/>
          <w:lang w:val="es-ES"/>
        </w:rPr>
        <w:t xml:space="preserve"> Figures</w:t>
      </w:r>
      <w:r w:rsidR="005D7B2C" w:rsidRPr="00F05461">
        <w:rPr>
          <w:lang w:val="es-ES"/>
        </w:rPr>
        <w:t xml:space="preserve"> y del </w:t>
      </w:r>
      <w:r w:rsidR="005D7B2C" w:rsidRPr="00F05461">
        <w:rPr>
          <w:b/>
          <w:bCs/>
          <w:i/>
          <w:iCs/>
          <w:lang w:val="es-ES"/>
        </w:rPr>
        <w:t>Informe sobre la conectividad mundial</w:t>
      </w:r>
      <w:r w:rsidR="005D7B2C" w:rsidRPr="00F05461">
        <w:rPr>
          <w:lang w:val="es-ES"/>
        </w:rPr>
        <w:t>.</w:t>
      </w:r>
    </w:p>
    <w:p w14:paraId="69DB5FFD" w14:textId="4D0F3ECD"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El número de países con marcos nacionales de accesibilidad a las</w:t>
      </w:r>
      <w:r w:rsidR="005B7661" w:rsidRPr="00F05461">
        <w:rPr>
          <w:lang w:val="es-ES"/>
        </w:rPr>
        <w:t> </w:t>
      </w:r>
      <w:r w:rsidR="005D7B2C" w:rsidRPr="00F05461">
        <w:rPr>
          <w:lang w:val="es-ES"/>
        </w:rPr>
        <w:t xml:space="preserve">TIC aumentó de </w:t>
      </w:r>
      <w:r w:rsidR="005D7B2C" w:rsidRPr="00F05461">
        <w:rPr>
          <w:b/>
          <w:bCs/>
          <w:lang w:val="es-ES"/>
        </w:rPr>
        <w:t>61 a 100</w:t>
      </w:r>
      <w:r w:rsidR="005D7B2C" w:rsidRPr="00F05461">
        <w:rPr>
          <w:lang w:val="es-ES"/>
        </w:rPr>
        <w:t xml:space="preserve"> (2018-2023) hasta alcanzar los </w:t>
      </w:r>
      <w:r w:rsidR="005D7B2C" w:rsidRPr="00F05461">
        <w:rPr>
          <w:b/>
          <w:bCs/>
          <w:lang w:val="es-ES"/>
        </w:rPr>
        <w:t>101</w:t>
      </w:r>
      <w:r w:rsidR="005D7B2C" w:rsidRPr="00F05461">
        <w:rPr>
          <w:lang w:val="es-ES"/>
        </w:rPr>
        <w:t xml:space="preserve"> en 2025.</w:t>
      </w:r>
    </w:p>
    <w:p w14:paraId="1FFE530A" w14:textId="5E0108F0"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El número de países con EII</w:t>
      </w:r>
      <w:r w:rsidR="00EB55B0" w:rsidRPr="00F05461">
        <w:rPr>
          <w:lang w:val="es-ES"/>
        </w:rPr>
        <w:t>I</w:t>
      </w:r>
      <w:r w:rsidR="005D7B2C" w:rsidRPr="00F05461">
        <w:rPr>
          <w:lang w:val="es-ES"/>
        </w:rPr>
        <w:t xml:space="preserve"> pasó de </w:t>
      </w:r>
      <w:r w:rsidR="005D7B2C" w:rsidRPr="00F05461">
        <w:rPr>
          <w:b/>
          <w:bCs/>
          <w:lang w:val="es-ES"/>
        </w:rPr>
        <w:t>109 (2020)</w:t>
      </w:r>
      <w:r w:rsidR="005D7B2C" w:rsidRPr="00F05461">
        <w:rPr>
          <w:lang w:val="es-ES"/>
        </w:rPr>
        <w:t xml:space="preserve"> a </w:t>
      </w:r>
      <w:r w:rsidR="005D7B2C" w:rsidRPr="00F05461">
        <w:rPr>
          <w:b/>
          <w:bCs/>
          <w:lang w:val="es-ES"/>
        </w:rPr>
        <w:t>132 (2024)</w:t>
      </w:r>
      <w:r w:rsidR="005D7B2C" w:rsidRPr="00F05461">
        <w:rPr>
          <w:lang w:val="es-ES"/>
        </w:rPr>
        <w:t xml:space="preserve">, y el número de los que cuentan con estrategias nacionales en materia de ciberseguridad aumentó de </w:t>
      </w:r>
      <w:r w:rsidR="005D7B2C" w:rsidRPr="00F05461">
        <w:rPr>
          <w:b/>
          <w:bCs/>
          <w:lang w:val="es-ES"/>
        </w:rPr>
        <w:t>107</w:t>
      </w:r>
      <w:r w:rsidR="005D7B2C" w:rsidRPr="00F05461">
        <w:rPr>
          <w:lang w:val="es-ES"/>
        </w:rPr>
        <w:t xml:space="preserve"> a </w:t>
      </w:r>
      <w:r w:rsidR="005D7B2C" w:rsidRPr="00F05461">
        <w:rPr>
          <w:b/>
          <w:bCs/>
          <w:lang w:val="es-ES"/>
        </w:rPr>
        <w:t>148</w:t>
      </w:r>
      <w:r w:rsidR="005D7B2C" w:rsidRPr="00F05461">
        <w:rPr>
          <w:lang w:val="es-ES"/>
        </w:rPr>
        <w:t>.</w:t>
      </w:r>
    </w:p>
    <w:p w14:paraId="7AC47036" w14:textId="41C6E594"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El ancho de banda internacional por usuario de Internet se duplicó con creces (2020</w:t>
      </w:r>
      <w:r w:rsidR="005B7661" w:rsidRPr="00F05461">
        <w:rPr>
          <w:lang w:val="es-ES"/>
        </w:rPr>
        <w:noBreakHyphen/>
      </w:r>
      <w:r w:rsidR="005D7B2C" w:rsidRPr="00F05461">
        <w:rPr>
          <w:lang w:val="es-ES"/>
        </w:rPr>
        <w:t xml:space="preserve">2024) hasta alcanzar los </w:t>
      </w:r>
      <w:r w:rsidR="005D7B2C" w:rsidRPr="00F05461">
        <w:rPr>
          <w:b/>
          <w:bCs/>
          <w:lang w:val="es-ES"/>
        </w:rPr>
        <w:t>322,8</w:t>
      </w:r>
      <w:r w:rsidR="005B7661" w:rsidRPr="00F05461">
        <w:rPr>
          <w:b/>
          <w:bCs/>
          <w:lang w:val="es-ES"/>
        </w:rPr>
        <w:t> </w:t>
      </w:r>
      <w:r w:rsidR="005D7B2C" w:rsidRPr="00F05461">
        <w:rPr>
          <w:b/>
          <w:bCs/>
          <w:lang w:val="es-ES"/>
        </w:rPr>
        <w:t>kilobits por segundo (kbit/s)</w:t>
      </w:r>
      <w:r w:rsidR="005D7B2C" w:rsidRPr="00F05461">
        <w:rPr>
          <w:lang w:val="es-ES"/>
        </w:rPr>
        <w:t xml:space="preserve">, con un ancho de banda global total de </w:t>
      </w:r>
      <w:r w:rsidR="005D7B2C" w:rsidRPr="00F05461">
        <w:rPr>
          <w:b/>
          <w:bCs/>
          <w:lang w:val="es-ES"/>
        </w:rPr>
        <w:t>1,78</w:t>
      </w:r>
      <w:r w:rsidR="005B7661" w:rsidRPr="00F05461">
        <w:rPr>
          <w:b/>
          <w:bCs/>
          <w:lang w:val="es-ES"/>
        </w:rPr>
        <w:t> </w:t>
      </w:r>
      <w:r w:rsidR="005D7B2C" w:rsidRPr="00F05461">
        <w:rPr>
          <w:b/>
          <w:bCs/>
          <w:lang w:val="es-ES"/>
        </w:rPr>
        <w:t>terabits por segundo (Tbit/s)</w:t>
      </w:r>
      <w:r w:rsidR="005D7B2C" w:rsidRPr="00F05461">
        <w:rPr>
          <w:lang w:val="es-ES"/>
        </w:rPr>
        <w:t>.</w:t>
      </w:r>
    </w:p>
    <w:p w14:paraId="5D11AFB1" w14:textId="02F9CEC6" w:rsidR="005D7B2C" w:rsidRPr="00F05461" w:rsidRDefault="005D7B2C" w:rsidP="00312480">
      <w:pPr>
        <w:pStyle w:val="Headingb"/>
      </w:pPr>
      <w:r w:rsidRPr="00F05461">
        <w:t xml:space="preserve">Conferencias mundiales estatutarias de </w:t>
      </w:r>
      <w:r w:rsidR="00296F03" w:rsidRPr="00F05461">
        <w:t>la UIT</w:t>
      </w:r>
      <w:r w:rsidRPr="00F05461">
        <w:t xml:space="preserve"> (2022</w:t>
      </w:r>
      <w:r w:rsidR="005B7661" w:rsidRPr="00F05461">
        <w:noBreakHyphen/>
      </w:r>
      <w:r w:rsidRPr="00F05461">
        <w:t>2025)</w:t>
      </w:r>
    </w:p>
    <w:p w14:paraId="0A8DFEAF" w14:textId="429E6E0C"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La</w:t>
      </w:r>
      <w:r w:rsidR="00E20416">
        <w:rPr>
          <w:lang w:val="es-ES"/>
        </w:rPr>
        <w:t> </w:t>
      </w:r>
      <w:r w:rsidR="005D7B2C" w:rsidRPr="00F05461">
        <w:rPr>
          <w:lang w:val="es-ES"/>
        </w:rPr>
        <w:t xml:space="preserve">PP-22 modificó </w:t>
      </w:r>
      <w:r w:rsidR="005D7B2C" w:rsidRPr="00F05461">
        <w:rPr>
          <w:b/>
          <w:bCs/>
          <w:lang w:val="es-ES"/>
        </w:rPr>
        <w:t>56</w:t>
      </w:r>
      <w:r w:rsidR="005B7661" w:rsidRPr="00F05461">
        <w:rPr>
          <w:b/>
          <w:bCs/>
          <w:lang w:val="es-ES"/>
        </w:rPr>
        <w:t> </w:t>
      </w:r>
      <w:r w:rsidR="005D7B2C" w:rsidRPr="00F05461">
        <w:rPr>
          <w:b/>
          <w:bCs/>
          <w:lang w:val="es-ES"/>
        </w:rPr>
        <w:t>Resoluciones</w:t>
      </w:r>
      <w:r w:rsidR="005D7B2C" w:rsidRPr="00F05461">
        <w:rPr>
          <w:lang w:val="es-ES"/>
        </w:rPr>
        <w:t xml:space="preserve">, aprobó seis nuevas y puso en marcha importantes programas de trabajo sobre </w:t>
      </w:r>
      <w:r w:rsidR="005D7B2C" w:rsidRPr="00F05461">
        <w:rPr>
          <w:b/>
          <w:bCs/>
          <w:lang w:val="es-ES"/>
        </w:rPr>
        <w:t>IA</w:t>
      </w:r>
      <w:r w:rsidR="005D7B2C" w:rsidRPr="00F05461">
        <w:rPr>
          <w:lang w:val="es-ES"/>
        </w:rPr>
        <w:t xml:space="preserve">, </w:t>
      </w:r>
      <w:r w:rsidR="005D7B2C" w:rsidRPr="00F05461">
        <w:rPr>
          <w:b/>
          <w:bCs/>
          <w:lang w:val="es-ES"/>
        </w:rPr>
        <w:t>sostenibilidad del espacio ultraterrestre</w:t>
      </w:r>
      <w:r w:rsidR="005D7B2C" w:rsidRPr="00F05461">
        <w:rPr>
          <w:lang w:val="es-ES"/>
        </w:rPr>
        <w:t xml:space="preserve">, </w:t>
      </w:r>
      <w:r w:rsidR="005D7B2C" w:rsidRPr="00F05461">
        <w:rPr>
          <w:b/>
          <w:bCs/>
          <w:lang w:val="es-ES"/>
        </w:rPr>
        <w:t>igualdad de género</w:t>
      </w:r>
      <w:r w:rsidR="005D7B2C" w:rsidRPr="00F05461">
        <w:rPr>
          <w:lang w:val="es-ES"/>
        </w:rPr>
        <w:t xml:space="preserve">, </w:t>
      </w:r>
      <w:r w:rsidR="005D7B2C" w:rsidRPr="00F05461">
        <w:rPr>
          <w:b/>
          <w:bCs/>
          <w:lang w:val="es-ES"/>
        </w:rPr>
        <w:t>acción climática</w:t>
      </w:r>
      <w:r w:rsidR="005D7B2C" w:rsidRPr="00F05461">
        <w:rPr>
          <w:lang w:val="es-ES"/>
        </w:rPr>
        <w:t xml:space="preserve">, </w:t>
      </w:r>
      <w:r w:rsidR="005D7B2C" w:rsidRPr="00F05461">
        <w:rPr>
          <w:b/>
          <w:bCs/>
          <w:lang w:val="es-ES"/>
        </w:rPr>
        <w:t>preparación ante pandemias</w:t>
      </w:r>
      <w:r w:rsidR="005D7B2C" w:rsidRPr="00F05461">
        <w:rPr>
          <w:lang w:val="es-ES"/>
        </w:rPr>
        <w:t xml:space="preserve"> y </w:t>
      </w:r>
      <w:r w:rsidR="005D7B2C" w:rsidRPr="00F05461">
        <w:rPr>
          <w:b/>
          <w:bCs/>
          <w:lang w:val="es-ES"/>
        </w:rPr>
        <w:t>ciudades inteligentes</w:t>
      </w:r>
      <w:r w:rsidR="005D7B2C" w:rsidRPr="00F05461">
        <w:rPr>
          <w:lang w:val="es-ES"/>
        </w:rPr>
        <w:t>.</w:t>
      </w:r>
    </w:p>
    <w:p w14:paraId="047029D6" w14:textId="4D760872"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PP-22 eligió a la </w:t>
      </w:r>
      <w:r w:rsidR="005D7B2C" w:rsidRPr="00F05461">
        <w:rPr>
          <w:b/>
          <w:bCs/>
          <w:lang w:val="es-ES"/>
        </w:rPr>
        <w:t>Sra.</w:t>
      </w:r>
      <w:r w:rsidR="009C61B5" w:rsidRPr="00F05461">
        <w:rPr>
          <w:b/>
          <w:bCs/>
          <w:lang w:val="es-ES"/>
        </w:rPr>
        <w:t> </w:t>
      </w:r>
      <w:r w:rsidR="005D7B2C" w:rsidRPr="00F05461">
        <w:rPr>
          <w:b/>
          <w:bCs/>
          <w:lang w:val="es-ES"/>
        </w:rPr>
        <w:t>Doreen Bogdan-Martin</w:t>
      </w:r>
      <w:r w:rsidR="005D7B2C" w:rsidRPr="00F05461">
        <w:rPr>
          <w:lang w:val="es-ES"/>
        </w:rPr>
        <w:t xml:space="preserve"> como </w:t>
      </w:r>
      <w:r w:rsidR="005D7B2C" w:rsidRPr="00F05461">
        <w:rPr>
          <w:b/>
          <w:bCs/>
          <w:lang w:val="es-ES"/>
        </w:rPr>
        <w:t>Secretaria General</w:t>
      </w:r>
      <w:r w:rsidR="005D7B2C" w:rsidRPr="00F05461">
        <w:rPr>
          <w:lang w:val="es-ES"/>
        </w:rPr>
        <w:t xml:space="preserve"> de </w:t>
      </w:r>
      <w:r w:rsidR="00296F03" w:rsidRPr="00F05461">
        <w:rPr>
          <w:lang w:val="es-ES"/>
        </w:rPr>
        <w:t>la UIT</w:t>
      </w:r>
      <w:r w:rsidR="005D7B2C" w:rsidRPr="00F05461">
        <w:rPr>
          <w:lang w:val="es-ES"/>
        </w:rPr>
        <w:t xml:space="preserve">, </w:t>
      </w:r>
      <w:r w:rsidR="005D7B2C" w:rsidRPr="00F05461">
        <w:rPr>
          <w:b/>
          <w:bCs/>
          <w:lang w:val="es-ES"/>
        </w:rPr>
        <w:t>la primera mujer</w:t>
      </w:r>
      <w:r w:rsidR="005D7B2C" w:rsidRPr="00F05461">
        <w:rPr>
          <w:lang w:val="es-ES"/>
        </w:rPr>
        <w:t xml:space="preserve"> en ocupar este cargo.</w:t>
      </w:r>
    </w:p>
    <w:p w14:paraId="5E01BB4D" w14:textId="46835DAE"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CMR-23 reunió a </w:t>
      </w:r>
      <w:r w:rsidR="005D7B2C" w:rsidRPr="00F05461">
        <w:rPr>
          <w:b/>
          <w:bCs/>
          <w:lang w:val="es-ES"/>
        </w:rPr>
        <w:t>3 982</w:t>
      </w:r>
      <w:r w:rsidR="00572AC5" w:rsidRPr="00F05461">
        <w:rPr>
          <w:b/>
          <w:bCs/>
          <w:lang w:val="es-ES"/>
        </w:rPr>
        <w:t> </w:t>
      </w:r>
      <w:r w:rsidR="005D7B2C" w:rsidRPr="00F05461">
        <w:rPr>
          <w:b/>
          <w:bCs/>
          <w:lang w:val="es-ES"/>
        </w:rPr>
        <w:t>participantes</w:t>
      </w:r>
      <w:r w:rsidR="005D7B2C" w:rsidRPr="00F05461">
        <w:rPr>
          <w:lang w:val="es-ES"/>
        </w:rPr>
        <w:t xml:space="preserve"> </w:t>
      </w:r>
      <w:r w:rsidR="005D7B2C" w:rsidRPr="00F05461">
        <w:rPr>
          <w:b/>
          <w:bCs/>
          <w:lang w:val="es-ES"/>
        </w:rPr>
        <w:t>de 163</w:t>
      </w:r>
      <w:r w:rsidR="009C61B5" w:rsidRPr="00F05461">
        <w:rPr>
          <w:b/>
          <w:bCs/>
          <w:lang w:val="es-ES"/>
        </w:rPr>
        <w:t> </w:t>
      </w:r>
      <w:r w:rsidR="005D7B2C" w:rsidRPr="00F05461">
        <w:rPr>
          <w:b/>
          <w:bCs/>
          <w:lang w:val="es-ES"/>
        </w:rPr>
        <w:t>Estados Miembros</w:t>
      </w:r>
      <w:r w:rsidR="005D7B2C" w:rsidRPr="00F05461">
        <w:rPr>
          <w:lang w:val="es-ES"/>
        </w:rPr>
        <w:t xml:space="preserve">, con una participación femenina que alcanzó el </w:t>
      </w:r>
      <w:r w:rsidR="005D7B2C" w:rsidRPr="00F05461">
        <w:rPr>
          <w:b/>
          <w:bCs/>
          <w:lang w:val="es-ES"/>
        </w:rPr>
        <w:t>22</w:t>
      </w:r>
      <w:r w:rsidR="00296F03" w:rsidRPr="00F05461">
        <w:rPr>
          <w:b/>
          <w:bCs/>
          <w:lang w:val="es-ES"/>
        </w:rPr>
        <w:t> </w:t>
      </w:r>
      <w:r w:rsidR="00BF0FFC" w:rsidRPr="00F05461">
        <w:rPr>
          <w:b/>
          <w:bCs/>
          <w:lang w:val="es-ES"/>
        </w:rPr>
        <w:t>por ciento</w:t>
      </w:r>
      <w:r w:rsidR="005D7B2C" w:rsidRPr="00F05461">
        <w:rPr>
          <w:lang w:val="es-ES"/>
        </w:rPr>
        <w:t xml:space="preserve">, y resolvió </w:t>
      </w:r>
      <w:r w:rsidR="005D7B2C" w:rsidRPr="00F05461">
        <w:rPr>
          <w:b/>
          <w:bCs/>
          <w:lang w:val="es-ES"/>
        </w:rPr>
        <w:t>más de 30</w:t>
      </w:r>
      <w:r w:rsidR="005B7661" w:rsidRPr="00F05461">
        <w:rPr>
          <w:b/>
          <w:bCs/>
          <w:lang w:val="es-ES"/>
        </w:rPr>
        <w:t> </w:t>
      </w:r>
      <w:r w:rsidR="005D7B2C" w:rsidRPr="00F05461">
        <w:rPr>
          <w:b/>
          <w:bCs/>
          <w:lang w:val="es-ES"/>
        </w:rPr>
        <w:t>puntos del orden del día</w:t>
      </w:r>
      <w:r w:rsidR="005D7B2C" w:rsidRPr="00F05461">
        <w:rPr>
          <w:lang w:val="es-ES"/>
        </w:rPr>
        <w:t xml:space="preserve"> relacionados con los servicios de IMT, de satélite, marítimos, aeronáuticos y científicos.</w:t>
      </w:r>
    </w:p>
    <w:p w14:paraId="037B5A89" w14:textId="207DB762" w:rsidR="005D7B2C" w:rsidRPr="00F05461" w:rsidRDefault="00312480" w:rsidP="00312480">
      <w:pPr>
        <w:pStyle w:val="enumlev1"/>
        <w:rPr>
          <w:lang w:val="es-ES"/>
        </w:rPr>
      </w:pPr>
      <w:r w:rsidRPr="00F05461">
        <w:rPr>
          <w:lang w:val="es-ES"/>
        </w:rPr>
        <w:lastRenderedPageBreak/>
        <w:t>•</w:t>
      </w:r>
      <w:r w:rsidRPr="00F05461">
        <w:rPr>
          <w:lang w:val="es-ES"/>
        </w:rPr>
        <w:tab/>
      </w:r>
      <w:r w:rsidR="005D7B2C" w:rsidRPr="00F05461">
        <w:rPr>
          <w:lang w:val="es-ES"/>
        </w:rPr>
        <w:t xml:space="preserve">La </w:t>
      </w:r>
      <w:r w:rsidR="00CF01E9" w:rsidRPr="00F05461">
        <w:rPr>
          <w:lang w:val="es-ES"/>
        </w:rPr>
        <w:t>A</w:t>
      </w:r>
      <w:r w:rsidR="005D7B2C" w:rsidRPr="00F05461">
        <w:rPr>
          <w:lang w:val="es-ES"/>
        </w:rPr>
        <w:t>R</w:t>
      </w:r>
      <w:r w:rsidR="0076535C" w:rsidRPr="00F05461">
        <w:rPr>
          <w:lang w:val="es-ES"/>
        </w:rPr>
        <w:t>-</w:t>
      </w:r>
      <w:r w:rsidR="005D7B2C" w:rsidRPr="00F05461">
        <w:rPr>
          <w:lang w:val="es-ES"/>
        </w:rPr>
        <w:t xml:space="preserve">23 adoptó el </w:t>
      </w:r>
      <w:r w:rsidR="005D7B2C" w:rsidRPr="00F05461">
        <w:rPr>
          <w:b/>
          <w:bCs/>
          <w:lang w:val="es-ES"/>
        </w:rPr>
        <w:t>marco de las IMT-2030</w:t>
      </w:r>
      <w:r w:rsidR="005D7B2C" w:rsidRPr="00F05461">
        <w:rPr>
          <w:lang w:val="es-ES"/>
        </w:rPr>
        <w:t xml:space="preserve"> para las redes de telecomunicaciones 6G, revisó </w:t>
      </w:r>
      <w:r w:rsidR="005D7B2C" w:rsidRPr="00F05461">
        <w:rPr>
          <w:b/>
          <w:bCs/>
          <w:lang w:val="es-ES"/>
        </w:rPr>
        <w:t>26</w:t>
      </w:r>
      <w:r w:rsidR="009C61B5" w:rsidRPr="00F05461">
        <w:rPr>
          <w:b/>
          <w:bCs/>
          <w:lang w:val="es-ES"/>
        </w:rPr>
        <w:t> </w:t>
      </w:r>
      <w:r w:rsidR="005D7B2C" w:rsidRPr="00F05461">
        <w:rPr>
          <w:b/>
          <w:bCs/>
          <w:lang w:val="es-ES"/>
        </w:rPr>
        <w:t>Resoluciones</w:t>
      </w:r>
      <w:r w:rsidR="005D7B2C" w:rsidRPr="00F05461">
        <w:rPr>
          <w:lang w:val="es-ES"/>
        </w:rPr>
        <w:t xml:space="preserve"> del</w:t>
      </w:r>
      <w:r w:rsidR="00C45DDD" w:rsidRPr="00F05461">
        <w:rPr>
          <w:lang w:val="es-ES"/>
        </w:rPr>
        <w:t> </w:t>
      </w:r>
      <w:r w:rsidR="005D7B2C" w:rsidRPr="00F05461">
        <w:rPr>
          <w:lang w:val="es-ES"/>
        </w:rPr>
        <w:t>UIT</w:t>
      </w:r>
      <w:r w:rsidR="00C45DDD" w:rsidRPr="00F05461">
        <w:rPr>
          <w:lang w:val="es-ES"/>
        </w:rPr>
        <w:noBreakHyphen/>
      </w:r>
      <w:r w:rsidR="005D7B2C" w:rsidRPr="00F05461">
        <w:rPr>
          <w:lang w:val="es-ES"/>
        </w:rPr>
        <w:t xml:space="preserve">R y aprobó nuevas Resoluciones relativas a la </w:t>
      </w:r>
      <w:r w:rsidR="005D7B2C" w:rsidRPr="00F05461">
        <w:rPr>
          <w:b/>
          <w:bCs/>
          <w:lang w:val="es-ES"/>
        </w:rPr>
        <w:t>igualdad de género</w:t>
      </w:r>
      <w:r w:rsidR="005D7B2C" w:rsidRPr="00F05461">
        <w:rPr>
          <w:lang w:val="es-ES"/>
        </w:rPr>
        <w:t>, la</w:t>
      </w:r>
      <w:r w:rsidR="005D7B2C" w:rsidRPr="00F05461">
        <w:rPr>
          <w:b/>
          <w:bCs/>
          <w:lang w:val="es-ES"/>
        </w:rPr>
        <w:t xml:space="preserve"> banda ancha</w:t>
      </w:r>
      <w:r w:rsidR="005D7B2C" w:rsidRPr="00F05461">
        <w:rPr>
          <w:lang w:val="es-ES"/>
        </w:rPr>
        <w:t>, la</w:t>
      </w:r>
      <w:r w:rsidR="005D7B2C" w:rsidRPr="00F05461">
        <w:rPr>
          <w:b/>
          <w:bCs/>
          <w:lang w:val="es-ES"/>
        </w:rPr>
        <w:t xml:space="preserve"> sostenibilidad del espectro</w:t>
      </w:r>
      <w:r w:rsidR="005D7B2C" w:rsidRPr="00F05461">
        <w:rPr>
          <w:lang w:val="es-ES"/>
        </w:rPr>
        <w:t xml:space="preserve"> y la </w:t>
      </w:r>
      <w:r w:rsidR="005D7B2C" w:rsidRPr="00F05461">
        <w:rPr>
          <w:b/>
          <w:bCs/>
          <w:lang w:val="es-ES"/>
        </w:rPr>
        <w:t>coordinación intersectorial</w:t>
      </w:r>
      <w:r w:rsidR="005D7B2C" w:rsidRPr="00F05461">
        <w:rPr>
          <w:lang w:val="es-ES"/>
        </w:rPr>
        <w:t>.</w:t>
      </w:r>
    </w:p>
    <w:p w14:paraId="2E4CD9EA" w14:textId="2806F99F"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AMNT-24 contó con la participación de </w:t>
      </w:r>
      <w:r w:rsidR="005D7B2C" w:rsidRPr="00F05461">
        <w:rPr>
          <w:b/>
          <w:bCs/>
          <w:lang w:val="es-ES"/>
        </w:rPr>
        <w:t>3 700</w:t>
      </w:r>
      <w:r w:rsidR="005B7661" w:rsidRPr="00F05461">
        <w:rPr>
          <w:b/>
          <w:bCs/>
          <w:lang w:val="es-ES"/>
        </w:rPr>
        <w:t> </w:t>
      </w:r>
      <w:r w:rsidR="005D7B2C" w:rsidRPr="00F05461">
        <w:rPr>
          <w:b/>
          <w:bCs/>
          <w:lang w:val="es-ES"/>
        </w:rPr>
        <w:t>delegados (el 27</w:t>
      </w:r>
      <w:r w:rsidR="009C61B5" w:rsidRPr="00F05461">
        <w:rPr>
          <w:b/>
          <w:bCs/>
          <w:lang w:val="es-ES"/>
        </w:rPr>
        <w:t> </w:t>
      </w:r>
      <w:r w:rsidR="00BF0FFC" w:rsidRPr="00F05461">
        <w:rPr>
          <w:b/>
          <w:bCs/>
          <w:lang w:val="es-ES"/>
        </w:rPr>
        <w:t>por ciento</w:t>
      </w:r>
      <w:r w:rsidR="005B7661" w:rsidRPr="00F05461">
        <w:rPr>
          <w:b/>
          <w:bCs/>
          <w:lang w:val="es-ES"/>
        </w:rPr>
        <w:t> </w:t>
      </w:r>
      <w:r w:rsidR="005D7B2C" w:rsidRPr="00F05461">
        <w:rPr>
          <w:b/>
          <w:bCs/>
          <w:lang w:val="es-ES"/>
        </w:rPr>
        <w:t>mujeres)</w:t>
      </w:r>
      <w:r w:rsidR="005D7B2C" w:rsidRPr="00F05461">
        <w:rPr>
          <w:lang w:val="es-ES"/>
        </w:rPr>
        <w:t>, fusionó las Comisiones de Estudio</w:t>
      </w:r>
      <w:r w:rsidR="005B7661" w:rsidRPr="00F05461">
        <w:rPr>
          <w:lang w:val="es-ES"/>
        </w:rPr>
        <w:t> </w:t>
      </w:r>
      <w:r w:rsidR="005D7B2C" w:rsidRPr="00F05461">
        <w:rPr>
          <w:lang w:val="es-ES"/>
        </w:rPr>
        <w:t xml:space="preserve">9 y 16 en la </w:t>
      </w:r>
      <w:r w:rsidR="005D7B2C" w:rsidRPr="00F05461">
        <w:rPr>
          <w:b/>
          <w:bCs/>
          <w:lang w:val="es-ES"/>
        </w:rPr>
        <w:t>Comisión de Estudio</w:t>
      </w:r>
      <w:r w:rsidR="009C61B5" w:rsidRPr="00F05461">
        <w:rPr>
          <w:b/>
          <w:bCs/>
          <w:lang w:val="es-ES"/>
        </w:rPr>
        <w:t> </w:t>
      </w:r>
      <w:r w:rsidR="005D7B2C" w:rsidRPr="00F05461">
        <w:rPr>
          <w:b/>
          <w:bCs/>
          <w:lang w:val="es-ES"/>
        </w:rPr>
        <w:t>21</w:t>
      </w:r>
      <w:r w:rsidR="005D7B2C" w:rsidRPr="00F05461">
        <w:rPr>
          <w:lang w:val="es-ES"/>
        </w:rPr>
        <w:t xml:space="preserve"> y adoptó </w:t>
      </w:r>
      <w:r w:rsidR="005D7B2C" w:rsidRPr="00F05461">
        <w:rPr>
          <w:b/>
          <w:bCs/>
          <w:lang w:val="es-ES"/>
        </w:rPr>
        <w:t>8</w:t>
      </w:r>
      <w:r w:rsidR="009C61B5" w:rsidRPr="00F05461">
        <w:rPr>
          <w:b/>
          <w:bCs/>
          <w:lang w:val="es-ES"/>
        </w:rPr>
        <w:t> </w:t>
      </w:r>
      <w:r w:rsidR="005D7B2C" w:rsidRPr="00F05461">
        <w:rPr>
          <w:b/>
          <w:bCs/>
          <w:lang w:val="es-ES"/>
        </w:rPr>
        <w:t>Resoluciones nuevas y 44</w:t>
      </w:r>
      <w:r w:rsidR="009C61B5" w:rsidRPr="00F05461">
        <w:rPr>
          <w:b/>
          <w:bCs/>
          <w:lang w:val="es-ES"/>
        </w:rPr>
        <w:t> </w:t>
      </w:r>
      <w:r w:rsidR="005D7B2C" w:rsidRPr="00F05461">
        <w:rPr>
          <w:b/>
          <w:bCs/>
          <w:lang w:val="es-ES"/>
        </w:rPr>
        <w:t>revisadas</w:t>
      </w:r>
      <w:r w:rsidR="005D7B2C" w:rsidRPr="00F05461">
        <w:rPr>
          <w:lang w:val="es-ES"/>
        </w:rPr>
        <w:t>.</w:t>
      </w:r>
    </w:p>
    <w:p w14:paraId="5550BCEC" w14:textId="55F212E9"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CMDT-25 adoptó la </w:t>
      </w:r>
      <w:r w:rsidR="005D7B2C" w:rsidRPr="00F05461">
        <w:rPr>
          <w:b/>
          <w:bCs/>
          <w:lang w:val="es-ES"/>
        </w:rPr>
        <w:t>Declaración de Bakú</w:t>
      </w:r>
      <w:r w:rsidR="005D7B2C" w:rsidRPr="00F05461">
        <w:rPr>
          <w:lang w:val="es-ES"/>
        </w:rPr>
        <w:t xml:space="preserve">, el </w:t>
      </w:r>
      <w:r w:rsidR="005D7B2C" w:rsidRPr="00F05461">
        <w:rPr>
          <w:b/>
          <w:bCs/>
          <w:lang w:val="es-ES"/>
        </w:rPr>
        <w:t>Plan de Acción de Bakú</w:t>
      </w:r>
      <w:r w:rsidR="005D7B2C" w:rsidRPr="00F05461">
        <w:rPr>
          <w:lang w:val="es-ES"/>
        </w:rPr>
        <w:t xml:space="preserve"> y actualizó las </w:t>
      </w:r>
      <w:r w:rsidR="005D7B2C" w:rsidRPr="00F05461">
        <w:rPr>
          <w:b/>
          <w:bCs/>
          <w:lang w:val="es-ES"/>
        </w:rPr>
        <w:t>Iniciativas Regionales para el per</w:t>
      </w:r>
      <w:r w:rsidR="003E0321" w:rsidRPr="00F05461">
        <w:rPr>
          <w:b/>
          <w:bCs/>
          <w:lang w:val="es-ES"/>
        </w:rPr>
        <w:t>i</w:t>
      </w:r>
      <w:r w:rsidR="005D7B2C" w:rsidRPr="00F05461">
        <w:rPr>
          <w:b/>
          <w:bCs/>
          <w:lang w:val="es-ES"/>
        </w:rPr>
        <w:t>odo 2026-2029</w:t>
      </w:r>
      <w:r w:rsidR="005D7B2C" w:rsidRPr="00F05461">
        <w:rPr>
          <w:lang w:val="es-ES"/>
        </w:rPr>
        <w:t>.</w:t>
      </w:r>
    </w:p>
    <w:p w14:paraId="156C9E8D" w14:textId="70FEC9DE" w:rsidR="005D7B2C" w:rsidRPr="00F05461" w:rsidRDefault="005D7B2C" w:rsidP="00312480">
      <w:pPr>
        <w:pStyle w:val="Headingb"/>
      </w:pPr>
      <w:r w:rsidRPr="00F05461">
        <w:t>Liderazgo en materia de normas y tecnología</w:t>
      </w:r>
    </w:p>
    <w:p w14:paraId="030B4185" w14:textId="13B8E7DA"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Los Sectores de Normalización de las Telecomunicaciones de </w:t>
      </w:r>
      <w:r w:rsidR="00296F03" w:rsidRPr="00F05461">
        <w:rPr>
          <w:lang w:val="es-ES"/>
        </w:rPr>
        <w:t>la UIT</w:t>
      </w:r>
      <w:r w:rsidR="005D7B2C" w:rsidRPr="00F05461">
        <w:rPr>
          <w:lang w:val="es-ES"/>
        </w:rPr>
        <w:t xml:space="preserve"> (UIT</w:t>
      </w:r>
      <w:r w:rsidR="005D7B2C" w:rsidRPr="00F05461">
        <w:rPr>
          <w:lang w:val="es-ES"/>
        </w:rPr>
        <w:noBreakHyphen/>
        <w:t>T) y de Radiocomunicaciones (UIT</w:t>
      </w:r>
      <w:r w:rsidR="005D7B2C" w:rsidRPr="00F05461">
        <w:rPr>
          <w:lang w:val="es-ES"/>
        </w:rPr>
        <w:noBreakHyphen/>
        <w:t xml:space="preserve">R) aprobaron en total </w:t>
      </w:r>
      <w:r w:rsidR="005D7B2C" w:rsidRPr="00F05461">
        <w:rPr>
          <w:b/>
          <w:bCs/>
          <w:lang w:val="es-ES"/>
        </w:rPr>
        <w:t>1 225</w:t>
      </w:r>
      <w:r w:rsidR="009D324F" w:rsidRPr="00F05461">
        <w:rPr>
          <w:lang w:val="es-ES"/>
        </w:rPr>
        <w:t> </w:t>
      </w:r>
      <w:r w:rsidR="005D7B2C" w:rsidRPr="00F05461">
        <w:rPr>
          <w:lang w:val="es-ES"/>
        </w:rPr>
        <w:t>normas entre 2022 y 2025.</w:t>
      </w:r>
    </w:p>
    <w:p w14:paraId="61DD4AEE" w14:textId="117521E0"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El número de</w:t>
      </w:r>
      <w:r w:rsidR="005D7B2C" w:rsidRPr="00F05461">
        <w:rPr>
          <w:b/>
          <w:bCs/>
          <w:lang w:val="es-ES"/>
        </w:rPr>
        <w:t xml:space="preserve"> Recomendaciones UIT</w:t>
      </w:r>
      <w:r w:rsidR="005D7B2C" w:rsidRPr="00F05461">
        <w:rPr>
          <w:b/>
          <w:bCs/>
          <w:lang w:val="es-ES"/>
        </w:rPr>
        <w:noBreakHyphen/>
        <w:t>R</w:t>
      </w:r>
      <w:r w:rsidR="005D7B2C" w:rsidRPr="00F05461">
        <w:rPr>
          <w:lang w:val="es-ES"/>
        </w:rPr>
        <w:t xml:space="preserve"> en vigor a finales de 2025 ascendían a </w:t>
      </w:r>
      <w:r w:rsidR="005D7B2C" w:rsidRPr="00F05461">
        <w:rPr>
          <w:b/>
          <w:bCs/>
          <w:lang w:val="es-ES"/>
        </w:rPr>
        <w:t>1 161</w:t>
      </w:r>
      <w:r w:rsidR="005D7B2C" w:rsidRPr="00F05461">
        <w:rPr>
          <w:lang w:val="es-ES"/>
        </w:rPr>
        <w:t>.</w:t>
      </w:r>
    </w:p>
    <w:p w14:paraId="01906E79" w14:textId="632AA034"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w:t>
      </w:r>
      <w:r w:rsidR="005D7B2C" w:rsidRPr="00F05461">
        <w:rPr>
          <w:b/>
          <w:bCs/>
          <w:lang w:val="es-ES"/>
        </w:rPr>
        <w:t>base de datos de normas cuánticas</w:t>
      </w:r>
      <w:r w:rsidR="005D7B2C" w:rsidRPr="00F05461">
        <w:rPr>
          <w:lang w:val="es-ES"/>
        </w:rPr>
        <w:t xml:space="preserve"> de </w:t>
      </w:r>
      <w:r w:rsidR="00296F03" w:rsidRPr="00F05461">
        <w:rPr>
          <w:lang w:val="es-ES"/>
        </w:rPr>
        <w:t>la UIT</w:t>
      </w:r>
      <w:r w:rsidR="005D7B2C" w:rsidRPr="00F05461">
        <w:rPr>
          <w:lang w:val="es-ES"/>
        </w:rPr>
        <w:t xml:space="preserve"> contenía alrededor de </w:t>
      </w:r>
      <w:r w:rsidR="005D7B2C" w:rsidRPr="00F05461">
        <w:rPr>
          <w:b/>
          <w:bCs/>
          <w:lang w:val="es-ES"/>
        </w:rPr>
        <w:t>50</w:t>
      </w:r>
      <w:r w:rsidR="0076535C" w:rsidRPr="00F05461">
        <w:rPr>
          <w:b/>
          <w:bCs/>
          <w:lang w:val="es-ES"/>
        </w:rPr>
        <w:t> </w:t>
      </w:r>
      <w:r w:rsidR="005D7B2C" w:rsidRPr="00F05461">
        <w:rPr>
          <w:b/>
          <w:bCs/>
          <w:lang w:val="es-ES"/>
        </w:rPr>
        <w:t>normas de tecnología cuántica</w:t>
      </w:r>
      <w:r w:rsidR="005D7B2C" w:rsidRPr="00F05461">
        <w:rPr>
          <w:lang w:val="es-ES"/>
        </w:rPr>
        <w:t xml:space="preserve"> y </w:t>
      </w:r>
      <w:r w:rsidR="005D7B2C" w:rsidRPr="00F05461">
        <w:rPr>
          <w:b/>
          <w:bCs/>
          <w:lang w:val="es-ES"/>
        </w:rPr>
        <w:t>más de 30 se encuentran en fase de desarrollo</w:t>
      </w:r>
      <w:r w:rsidR="005D7B2C" w:rsidRPr="00F05461">
        <w:rPr>
          <w:lang w:val="es-ES"/>
        </w:rPr>
        <w:t>.</w:t>
      </w:r>
    </w:p>
    <w:p w14:paraId="1CEAD28E" w14:textId="03C23135"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El Grupo Temático sobre el </w:t>
      </w:r>
      <w:r w:rsidR="008227D3" w:rsidRPr="00F05461">
        <w:rPr>
          <w:lang w:val="es-ES"/>
        </w:rPr>
        <w:t xml:space="preserve">Metaverso </w:t>
      </w:r>
      <w:r w:rsidR="005D7B2C" w:rsidRPr="00F05461">
        <w:rPr>
          <w:lang w:val="es-ES"/>
        </w:rPr>
        <w:t>(FG</w:t>
      </w:r>
      <w:r w:rsidR="005D7B2C" w:rsidRPr="00F05461">
        <w:rPr>
          <w:lang w:val="es-ES"/>
        </w:rPr>
        <w:noBreakHyphen/>
        <w:t xml:space="preserve">MV) contó con la colaboración de </w:t>
      </w:r>
      <w:r w:rsidR="005D7B2C" w:rsidRPr="00F05461">
        <w:rPr>
          <w:b/>
          <w:bCs/>
          <w:lang w:val="es-ES"/>
        </w:rPr>
        <w:t>más de</w:t>
      </w:r>
      <w:r w:rsidR="005D7B2C" w:rsidRPr="00F05461">
        <w:rPr>
          <w:lang w:val="es-ES"/>
        </w:rPr>
        <w:t xml:space="preserve"> </w:t>
      </w:r>
      <w:r w:rsidR="005D7B2C" w:rsidRPr="00F05461">
        <w:rPr>
          <w:b/>
          <w:bCs/>
          <w:lang w:val="es-ES"/>
        </w:rPr>
        <w:t>17 000</w:t>
      </w:r>
      <w:r w:rsidR="009D324F" w:rsidRPr="00F05461">
        <w:rPr>
          <w:b/>
          <w:bCs/>
          <w:lang w:val="es-ES"/>
        </w:rPr>
        <w:t> </w:t>
      </w:r>
      <w:r w:rsidR="005D7B2C" w:rsidRPr="00F05461">
        <w:rPr>
          <w:b/>
          <w:bCs/>
          <w:lang w:val="es-ES"/>
        </w:rPr>
        <w:t>participantes</w:t>
      </w:r>
      <w:r w:rsidR="005D7B2C" w:rsidRPr="00F05461">
        <w:rPr>
          <w:lang w:val="es-ES"/>
        </w:rPr>
        <w:t xml:space="preserve"> y elaboraron </w:t>
      </w:r>
      <w:r w:rsidR="005D7B2C" w:rsidRPr="00F05461">
        <w:rPr>
          <w:b/>
          <w:bCs/>
          <w:lang w:val="es-ES"/>
        </w:rPr>
        <w:t xml:space="preserve">52 productos </w:t>
      </w:r>
      <w:r w:rsidR="005D7B2C" w:rsidRPr="00F05461">
        <w:rPr>
          <w:lang w:val="es-ES"/>
        </w:rPr>
        <w:t>antes de transferir sus trabajos a las Comisiones de Estudio.</w:t>
      </w:r>
    </w:p>
    <w:p w14:paraId="779C46B5" w14:textId="7C8BCF45"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w:t>
      </w:r>
      <w:r w:rsidR="00FF67C6" w:rsidRPr="00F05461">
        <w:rPr>
          <w:b/>
          <w:bCs/>
          <w:lang w:val="es-ES"/>
        </w:rPr>
        <w:t xml:space="preserve">Base </w:t>
      </w:r>
      <w:r w:rsidR="005D7B2C" w:rsidRPr="00F05461">
        <w:rPr>
          <w:b/>
          <w:bCs/>
          <w:lang w:val="es-ES"/>
        </w:rPr>
        <w:t>de datos central de normas sobre</w:t>
      </w:r>
      <w:r w:rsidR="00FF67C6">
        <w:rPr>
          <w:b/>
          <w:bCs/>
          <w:lang w:val="es-ES"/>
        </w:rPr>
        <w:t> </w:t>
      </w:r>
      <w:r w:rsidR="005D7B2C" w:rsidRPr="00F05461">
        <w:rPr>
          <w:b/>
          <w:bCs/>
          <w:lang w:val="es-ES"/>
        </w:rPr>
        <w:t>IA</w:t>
      </w:r>
      <w:r w:rsidR="005D7B2C" w:rsidRPr="00F05461">
        <w:rPr>
          <w:lang w:val="es-ES"/>
        </w:rPr>
        <w:t xml:space="preserve"> se puso en marcha en 2025 y contiene </w:t>
      </w:r>
      <w:r w:rsidR="005D7B2C" w:rsidRPr="00F05461">
        <w:rPr>
          <w:b/>
          <w:bCs/>
          <w:lang w:val="es-ES"/>
        </w:rPr>
        <w:t>más de 700</w:t>
      </w:r>
      <w:r w:rsidR="009D324F" w:rsidRPr="00F05461">
        <w:rPr>
          <w:b/>
          <w:bCs/>
          <w:lang w:val="es-ES"/>
        </w:rPr>
        <w:t> </w:t>
      </w:r>
      <w:r w:rsidR="005D7B2C" w:rsidRPr="00F05461">
        <w:rPr>
          <w:b/>
          <w:bCs/>
          <w:lang w:val="es-ES"/>
        </w:rPr>
        <w:t>normas sobre IA</w:t>
      </w:r>
      <w:r w:rsidR="005D7B2C" w:rsidRPr="00F05461">
        <w:rPr>
          <w:lang w:val="es-ES"/>
        </w:rPr>
        <w:t xml:space="preserve">, de las cuales </w:t>
      </w:r>
      <w:r w:rsidR="005D7B2C" w:rsidRPr="00F05461">
        <w:rPr>
          <w:b/>
          <w:bCs/>
          <w:lang w:val="es-ES"/>
        </w:rPr>
        <w:t xml:space="preserve">más de 200 se han publicado </w:t>
      </w:r>
      <w:r w:rsidR="005D7B2C" w:rsidRPr="00F05461">
        <w:rPr>
          <w:lang w:val="es-ES"/>
        </w:rPr>
        <w:t>y otras</w:t>
      </w:r>
      <w:r w:rsidR="005D7B2C" w:rsidRPr="00F05461">
        <w:rPr>
          <w:b/>
          <w:bCs/>
          <w:lang w:val="es-ES"/>
        </w:rPr>
        <w:t xml:space="preserve"> 200 están en fase de desarrollo</w:t>
      </w:r>
      <w:r w:rsidR="005D7B2C" w:rsidRPr="00F05461">
        <w:rPr>
          <w:lang w:val="es-ES"/>
        </w:rPr>
        <w:t>.</w:t>
      </w:r>
    </w:p>
    <w:p w14:paraId="41519124" w14:textId="75502657"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El UIT</w:t>
      </w:r>
      <w:r w:rsidR="005D7B2C" w:rsidRPr="00F05461">
        <w:rPr>
          <w:lang w:val="es-ES"/>
        </w:rPr>
        <w:noBreakHyphen/>
        <w:t xml:space="preserve">R fue galardonado con el </w:t>
      </w:r>
      <w:r w:rsidR="005D7B2C" w:rsidRPr="00F05461">
        <w:rPr>
          <w:b/>
          <w:bCs/>
          <w:lang w:val="es-ES"/>
        </w:rPr>
        <w:t xml:space="preserve">Premio Emmy de </w:t>
      </w:r>
      <w:r w:rsidR="008227D3" w:rsidRPr="00F05461">
        <w:rPr>
          <w:b/>
          <w:bCs/>
          <w:lang w:val="es-ES"/>
        </w:rPr>
        <w:t>Ingeniería</w:t>
      </w:r>
      <w:r w:rsidR="005D7B2C" w:rsidRPr="00F05461">
        <w:rPr>
          <w:b/>
          <w:bCs/>
          <w:lang w:val="es-ES"/>
        </w:rPr>
        <w:t xml:space="preserve">, </w:t>
      </w:r>
      <w:r w:rsidR="008227D3" w:rsidRPr="00F05461">
        <w:rPr>
          <w:b/>
          <w:bCs/>
          <w:lang w:val="es-ES"/>
        </w:rPr>
        <w:t xml:space="preserve">Ciencia </w:t>
      </w:r>
      <w:r w:rsidR="005D7B2C" w:rsidRPr="00F05461">
        <w:rPr>
          <w:b/>
          <w:bCs/>
          <w:lang w:val="es-ES"/>
        </w:rPr>
        <w:t xml:space="preserve">y </w:t>
      </w:r>
      <w:r w:rsidR="008227D3" w:rsidRPr="00F05461">
        <w:rPr>
          <w:b/>
          <w:bCs/>
          <w:lang w:val="es-ES"/>
        </w:rPr>
        <w:t>Tecnología</w:t>
      </w:r>
      <w:r w:rsidR="008227D3" w:rsidRPr="00F05461">
        <w:rPr>
          <w:lang w:val="es-ES"/>
        </w:rPr>
        <w:t xml:space="preserve"> </w:t>
      </w:r>
      <w:r w:rsidR="005D7B2C" w:rsidRPr="00F05461">
        <w:rPr>
          <w:lang w:val="es-ES"/>
        </w:rPr>
        <w:t>en</w:t>
      </w:r>
      <w:r w:rsidR="009D324F" w:rsidRPr="00F05461">
        <w:rPr>
          <w:lang w:val="es-ES"/>
        </w:rPr>
        <w:t> </w:t>
      </w:r>
      <w:r w:rsidR="005D7B2C" w:rsidRPr="00F05461">
        <w:rPr>
          <w:lang w:val="es-ES"/>
        </w:rPr>
        <w:t xml:space="preserve">2023 por la norma mundial sobre </w:t>
      </w:r>
      <w:r w:rsidR="005D7B2C" w:rsidRPr="00F05461">
        <w:rPr>
          <w:b/>
          <w:bCs/>
          <w:lang w:val="es-ES"/>
        </w:rPr>
        <w:t>televisión de elevada gama dinámica (HDR-TV)</w:t>
      </w:r>
      <w:r w:rsidR="005D7B2C" w:rsidRPr="00F05461">
        <w:rPr>
          <w:lang w:val="es-ES"/>
        </w:rPr>
        <w:t>.</w:t>
      </w:r>
    </w:p>
    <w:p w14:paraId="7139EC37" w14:textId="29876FB6" w:rsidR="005D7B2C" w:rsidRPr="00F05461" w:rsidRDefault="005D7B2C" w:rsidP="00312480">
      <w:pPr>
        <w:pStyle w:val="Headingb"/>
      </w:pPr>
      <w:r w:rsidRPr="00F05461">
        <w:t>Capacitación y competencias digitales</w:t>
      </w:r>
    </w:p>
    <w:p w14:paraId="5627E786" w14:textId="561BE175"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Academia de </w:t>
      </w:r>
      <w:r w:rsidR="00296F03" w:rsidRPr="00F05461">
        <w:rPr>
          <w:lang w:val="es-ES"/>
        </w:rPr>
        <w:t>la UIT</w:t>
      </w:r>
      <w:r w:rsidR="005D7B2C" w:rsidRPr="00F05461">
        <w:rPr>
          <w:lang w:val="es-ES"/>
        </w:rPr>
        <w:t xml:space="preserve"> aumentó su número de alumnos de </w:t>
      </w:r>
      <w:r w:rsidR="005D7B2C" w:rsidRPr="00F05461">
        <w:rPr>
          <w:b/>
          <w:bCs/>
          <w:lang w:val="es-ES"/>
        </w:rPr>
        <w:t xml:space="preserve">26 000 a 83 000 </w:t>
      </w:r>
      <w:r w:rsidR="005D7B2C" w:rsidRPr="00F05461">
        <w:rPr>
          <w:lang w:val="es-ES"/>
        </w:rPr>
        <w:t>(2022</w:t>
      </w:r>
      <w:r w:rsidR="009D324F" w:rsidRPr="00F05461">
        <w:rPr>
          <w:lang w:val="es-ES"/>
        </w:rPr>
        <w:noBreakHyphen/>
      </w:r>
      <w:r w:rsidR="005D7B2C" w:rsidRPr="00F05461">
        <w:rPr>
          <w:lang w:val="es-ES"/>
        </w:rPr>
        <w:t xml:space="preserve">2025), siendo el </w:t>
      </w:r>
      <w:r w:rsidR="005D7B2C" w:rsidRPr="00F05461">
        <w:rPr>
          <w:b/>
          <w:bCs/>
          <w:lang w:val="es-ES"/>
        </w:rPr>
        <w:t>40</w:t>
      </w:r>
      <w:r w:rsidR="009D324F" w:rsidRPr="00F05461">
        <w:rPr>
          <w:b/>
          <w:bCs/>
          <w:lang w:val="es-ES"/>
        </w:rPr>
        <w:t> </w:t>
      </w:r>
      <w:r w:rsidR="00BF0FFC" w:rsidRPr="00F05461">
        <w:rPr>
          <w:b/>
          <w:bCs/>
          <w:lang w:val="es-ES"/>
        </w:rPr>
        <w:t>por ciento</w:t>
      </w:r>
      <w:r w:rsidR="009D324F" w:rsidRPr="00F05461">
        <w:rPr>
          <w:b/>
          <w:bCs/>
          <w:lang w:val="es-ES"/>
        </w:rPr>
        <w:t> </w:t>
      </w:r>
      <w:r w:rsidR="005D7B2C" w:rsidRPr="00F05461">
        <w:rPr>
          <w:b/>
          <w:bCs/>
          <w:lang w:val="es-ES"/>
        </w:rPr>
        <w:t>mujeres</w:t>
      </w:r>
      <w:r w:rsidR="005D7B2C" w:rsidRPr="00F05461">
        <w:rPr>
          <w:lang w:val="es-ES"/>
        </w:rPr>
        <w:t xml:space="preserve">, impartió unos </w:t>
      </w:r>
      <w:r w:rsidR="005D7B2C" w:rsidRPr="00F05461">
        <w:rPr>
          <w:b/>
          <w:bCs/>
          <w:lang w:val="es-ES"/>
        </w:rPr>
        <w:t>150</w:t>
      </w:r>
      <w:r w:rsidR="009D324F" w:rsidRPr="00F05461">
        <w:rPr>
          <w:b/>
          <w:bCs/>
          <w:lang w:val="es-ES"/>
        </w:rPr>
        <w:t> </w:t>
      </w:r>
      <w:r w:rsidR="005D7B2C" w:rsidRPr="00F05461">
        <w:rPr>
          <w:b/>
          <w:bCs/>
          <w:lang w:val="es-ES"/>
        </w:rPr>
        <w:t xml:space="preserve">cursos al año </w:t>
      </w:r>
      <w:r w:rsidR="005D7B2C" w:rsidRPr="00F05461">
        <w:rPr>
          <w:lang w:val="es-ES"/>
        </w:rPr>
        <w:t xml:space="preserve">y otorgó </w:t>
      </w:r>
      <w:r w:rsidR="005D7B2C" w:rsidRPr="00F05461">
        <w:rPr>
          <w:b/>
          <w:bCs/>
          <w:lang w:val="es-ES"/>
        </w:rPr>
        <w:t>más de</w:t>
      </w:r>
      <w:r w:rsidR="005D7B2C" w:rsidRPr="00F05461">
        <w:rPr>
          <w:lang w:val="es-ES"/>
        </w:rPr>
        <w:t xml:space="preserve"> </w:t>
      </w:r>
      <w:r w:rsidR="005D7B2C" w:rsidRPr="00F05461">
        <w:rPr>
          <w:b/>
          <w:bCs/>
          <w:lang w:val="es-ES"/>
        </w:rPr>
        <w:t>17 500</w:t>
      </w:r>
      <w:r w:rsidR="000675DC" w:rsidRPr="00F05461">
        <w:rPr>
          <w:b/>
          <w:bCs/>
          <w:lang w:val="es-ES"/>
        </w:rPr>
        <w:t> </w:t>
      </w:r>
      <w:r w:rsidR="005D7B2C" w:rsidRPr="00F05461">
        <w:rPr>
          <w:b/>
          <w:bCs/>
          <w:lang w:val="es-ES"/>
        </w:rPr>
        <w:t>certificados</w:t>
      </w:r>
      <w:r w:rsidR="005D7B2C" w:rsidRPr="00F05461">
        <w:rPr>
          <w:lang w:val="es-ES"/>
        </w:rPr>
        <w:t xml:space="preserve"> desde 2023.</w:t>
      </w:r>
    </w:p>
    <w:p w14:paraId="53E9EF19" w14:textId="6142AD7D"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Los centros de formación acreditados de la Academia de </w:t>
      </w:r>
      <w:r w:rsidR="00296F03" w:rsidRPr="00F05461">
        <w:rPr>
          <w:lang w:val="es-ES"/>
        </w:rPr>
        <w:t>la UIT</w:t>
      </w:r>
      <w:r w:rsidR="005D7B2C" w:rsidRPr="00F05461">
        <w:rPr>
          <w:lang w:val="es-ES"/>
        </w:rPr>
        <w:t xml:space="preserve"> impartieron </w:t>
      </w:r>
      <w:r w:rsidR="005D7B2C" w:rsidRPr="00F05461">
        <w:rPr>
          <w:b/>
          <w:bCs/>
          <w:lang w:val="es-ES"/>
        </w:rPr>
        <w:t>159</w:t>
      </w:r>
      <w:r w:rsidR="000675DC" w:rsidRPr="00F05461">
        <w:rPr>
          <w:b/>
          <w:bCs/>
          <w:lang w:val="es-ES"/>
        </w:rPr>
        <w:t> </w:t>
      </w:r>
      <w:r w:rsidR="005D7B2C" w:rsidRPr="00F05461">
        <w:rPr>
          <w:b/>
          <w:bCs/>
          <w:lang w:val="es-ES"/>
        </w:rPr>
        <w:t xml:space="preserve">cursos </w:t>
      </w:r>
      <w:r w:rsidR="005D7B2C" w:rsidRPr="00F05461">
        <w:rPr>
          <w:lang w:val="es-ES"/>
        </w:rPr>
        <w:t xml:space="preserve">a </w:t>
      </w:r>
      <w:r w:rsidR="005D7B2C" w:rsidRPr="00F05461">
        <w:rPr>
          <w:b/>
          <w:bCs/>
          <w:lang w:val="es-ES"/>
        </w:rPr>
        <w:t>4 048</w:t>
      </w:r>
      <w:r w:rsidR="009D324F" w:rsidRPr="00F05461">
        <w:rPr>
          <w:b/>
          <w:bCs/>
          <w:lang w:val="es-ES"/>
        </w:rPr>
        <w:t> </w:t>
      </w:r>
      <w:r w:rsidR="005D7B2C" w:rsidRPr="00F05461">
        <w:rPr>
          <w:b/>
          <w:bCs/>
          <w:lang w:val="es-ES"/>
        </w:rPr>
        <w:t>participantes</w:t>
      </w:r>
      <w:r w:rsidR="005D7B2C" w:rsidRPr="00F05461">
        <w:rPr>
          <w:lang w:val="es-ES"/>
        </w:rPr>
        <w:t xml:space="preserve"> (2023</w:t>
      </w:r>
      <w:r w:rsidR="000675DC" w:rsidRPr="00F05461">
        <w:rPr>
          <w:lang w:val="es-ES"/>
        </w:rPr>
        <w:noBreakHyphen/>
      </w:r>
      <w:r w:rsidR="005D7B2C" w:rsidRPr="00F05461">
        <w:rPr>
          <w:lang w:val="es-ES"/>
        </w:rPr>
        <w:t>2025), el 86</w:t>
      </w:r>
      <w:r w:rsidR="009D324F" w:rsidRPr="00F05461">
        <w:rPr>
          <w:lang w:val="es-ES"/>
        </w:rPr>
        <w:t> </w:t>
      </w:r>
      <w:r w:rsidR="001D269F" w:rsidRPr="00F05461">
        <w:rPr>
          <w:lang w:val="es-ES"/>
        </w:rPr>
        <w:t>por ciento</w:t>
      </w:r>
      <w:r w:rsidR="005D7B2C" w:rsidRPr="00F05461">
        <w:rPr>
          <w:lang w:val="es-ES"/>
        </w:rPr>
        <w:t xml:space="preserve"> de los cuales procedía de países en desarrollo.</w:t>
      </w:r>
    </w:p>
    <w:p w14:paraId="50866FBE" w14:textId="07F70AF8"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Los Centros de Transformación Digital </w:t>
      </w:r>
      <w:r w:rsidR="00BF2B18" w:rsidRPr="00F05461">
        <w:rPr>
          <w:lang w:val="es-ES"/>
        </w:rPr>
        <w:t>de la U</w:t>
      </w:r>
      <w:r w:rsidR="005D7B2C" w:rsidRPr="00F05461">
        <w:rPr>
          <w:lang w:val="es-ES"/>
        </w:rPr>
        <w:t xml:space="preserve">IT-Cisco formaron a </w:t>
      </w:r>
      <w:r w:rsidR="005D7B2C" w:rsidRPr="00F05461">
        <w:rPr>
          <w:b/>
          <w:bCs/>
          <w:lang w:val="es-ES"/>
        </w:rPr>
        <w:t>más de</w:t>
      </w:r>
      <w:r w:rsidR="005D7B2C" w:rsidRPr="00F05461">
        <w:rPr>
          <w:lang w:val="es-ES"/>
        </w:rPr>
        <w:t xml:space="preserve"> </w:t>
      </w:r>
      <w:r w:rsidR="005D7B2C" w:rsidRPr="00F05461">
        <w:rPr>
          <w:b/>
          <w:bCs/>
          <w:lang w:val="es-ES"/>
        </w:rPr>
        <w:t>610 000</w:t>
      </w:r>
      <w:r w:rsidR="000675DC" w:rsidRPr="00F05461">
        <w:rPr>
          <w:b/>
          <w:bCs/>
          <w:lang w:val="es-ES"/>
        </w:rPr>
        <w:t> </w:t>
      </w:r>
      <w:r w:rsidR="005D7B2C" w:rsidRPr="00F05461">
        <w:rPr>
          <w:b/>
          <w:bCs/>
          <w:lang w:val="es-ES"/>
        </w:rPr>
        <w:t>participantes</w:t>
      </w:r>
      <w:r w:rsidR="005D7B2C" w:rsidRPr="00F05461">
        <w:rPr>
          <w:lang w:val="es-ES"/>
        </w:rPr>
        <w:t xml:space="preserve">, siendo el </w:t>
      </w:r>
      <w:r w:rsidR="005D7B2C" w:rsidRPr="00F05461">
        <w:rPr>
          <w:b/>
          <w:bCs/>
          <w:lang w:val="es-ES"/>
        </w:rPr>
        <w:t>53</w:t>
      </w:r>
      <w:r w:rsidR="000675DC" w:rsidRPr="00F05461">
        <w:rPr>
          <w:b/>
          <w:bCs/>
          <w:lang w:val="es-ES"/>
        </w:rPr>
        <w:t> </w:t>
      </w:r>
      <w:r w:rsidR="00BF0FFC" w:rsidRPr="00F05461">
        <w:rPr>
          <w:b/>
          <w:bCs/>
          <w:lang w:val="es-ES"/>
        </w:rPr>
        <w:t>por ciento</w:t>
      </w:r>
      <w:r w:rsidR="000675DC" w:rsidRPr="00F05461">
        <w:rPr>
          <w:b/>
          <w:bCs/>
          <w:lang w:val="es-ES"/>
        </w:rPr>
        <w:t> </w:t>
      </w:r>
      <w:r w:rsidR="005D7B2C" w:rsidRPr="00F05461">
        <w:rPr>
          <w:b/>
          <w:bCs/>
          <w:lang w:val="es-ES"/>
        </w:rPr>
        <w:t>mujeres</w:t>
      </w:r>
      <w:r w:rsidR="005D7B2C" w:rsidRPr="00F05461">
        <w:rPr>
          <w:lang w:val="es-ES"/>
        </w:rPr>
        <w:t>, en las cuatro regiones.</w:t>
      </w:r>
    </w:p>
    <w:p w14:paraId="5079A7CF" w14:textId="77777777" w:rsidR="005D7B2C" w:rsidRPr="00F05461" w:rsidRDefault="005D7B2C" w:rsidP="00312480">
      <w:pPr>
        <w:pStyle w:val="Headingb"/>
      </w:pPr>
      <w:r w:rsidRPr="00F05461">
        <w:t>Asistencia técnica y ejecución de proyectos</w:t>
      </w:r>
    </w:p>
    <w:p w14:paraId="66279D98" w14:textId="48605C31" w:rsidR="005D7B2C" w:rsidRPr="00F05461" w:rsidRDefault="00312480" w:rsidP="00312480">
      <w:pPr>
        <w:pStyle w:val="enumlev1"/>
        <w:rPr>
          <w:lang w:val="es-ES"/>
        </w:rPr>
      </w:pPr>
      <w:r w:rsidRPr="00F05461">
        <w:rPr>
          <w:lang w:val="es-ES"/>
        </w:rPr>
        <w:t>•</w:t>
      </w:r>
      <w:r w:rsidRPr="00F05461">
        <w:rPr>
          <w:lang w:val="es-ES"/>
        </w:rPr>
        <w:tab/>
      </w:r>
      <w:r w:rsidR="00BF2B18" w:rsidRPr="00F05461">
        <w:rPr>
          <w:lang w:val="es-ES"/>
        </w:rPr>
        <w:t>En el UIT-D se</w:t>
      </w:r>
      <w:r w:rsidR="005D7B2C" w:rsidRPr="00F05461">
        <w:rPr>
          <w:lang w:val="es-ES"/>
        </w:rPr>
        <w:t xml:space="preserve"> ejecut</w:t>
      </w:r>
      <w:r w:rsidR="00BF2B18" w:rsidRPr="00F05461">
        <w:rPr>
          <w:lang w:val="es-ES"/>
        </w:rPr>
        <w:t>aron</w:t>
      </w:r>
      <w:r w:rsidR="005D7B2C" w:rsidRPr="00F05461">
        <w:rPr>
          <w:lang w:val="es-ES"/>
        </w:rPr>
        <w:t xml:space="preserve"> </w:t>
      </w:r>
      <w:r w:rsidR="005D7B2C" w:rsidRPr="00F05461">
        <w:rPr>
          <w:b/>
          <w:bCs/>
          <w:lang w:val="es-ES"/>
        </w:rPr>
        <w:t>106</w:t>
      </w:r>
      <w:r w:rsidR="000675DC" w:rsidRPr="00F05461">
        <w:rPr>
          <w:b/>
          <w:bCs/>
          <w:lang w:val="es-ES"/>
        </w:rPr>
        <w:t> </w:t>
      </w:r>
      <w:r w:rsidR="005D7B2C" w:rsidRPr="00F05461">
        <w:rPr>
          <w:b/>
          <w:bCs/>
          <w:lang w:val="es-ES"/>
        </w:rPr>
        <w:t>proyectos</w:t>
      </w:r>
      <w:r w:rsidR="005D7B2C" w:rsidRPr="00F05461">
        <w:rPr>
          <w:lang w:val="es-ES"/>
        </w:rPr>
        <w:t xml:space="preserve"> en 2025</w:t>
      </w:r>
      <w:r w:rsidR="00BF2B18" w:rsidRPr="00F05461">
        <w:rPr>
          <w:lang w:val="es-ES"/>
        </w:rPr>
        <w:t>,</w:t>
      </w:r>
      <w:r w:rsidR="005D7B2C" w:rsidRPr="00F05461">
        <w:rPr>
          <w:lang w:val="es-ES"/>
        </w:rPr>
        <w:t xml:space="preserve"> por un valor de </w:t>
      </w:r>
      <w:r w:rsidR="005D7B2C" w:rsidRPr="00F05461">
        <w:rPr>
          <w:b/>
          <w:bCs/>
          <w:lang w:val="es-ES"/>
        </w:rPr>
        <w:t>79,7</w:t>
      </w:r>
      <w:r w:rsidR="000675DC" w:rsidRPr="00F05461">
        <w:rPr>
          <w:b/>
          <w:bCs/>
          <w:lang w:val="es-ES"/>
        </w:rPr>
        <w:t> </w:t>
      </w:r>
      <w:r w:rsidR="005D7B2C" w:rsidRPr="00F05461">
        <w:rPr>
          <w:b/>
          <w:bCs/>
          <w:lang w:val="es-ES"/>
        </w:rPr>
        <w:t>millones</w:t>
      </w:r>
      <w:r w:rsidR="000675DC" w:rsidRPr="00F05461">
        <w:rPr>
          <w:b/>
          <w:bCs/>
          <w:lang w:val="es-ES"/>
        </w:rPr>
        <w:t> </w:t>
      </w:r>
      <w:r w:rsidR="005D7B2C" w:rsidRPr="00F05461">
        <w:rPr>
          <w:b/>
          <w:bCs/>
          <w:lang w:val="es-ES"/>
        </w:rPr>
        <w:t>CHF</w:t>
      </w:r>
      <w:r w:rsidR="005D7B2C" w:rsidRPr="00F05461">
        <w:rPr>
          <w:lang w:val="es-ES"/>
        </w:rPr>
        <w:t xml:space="preserve">, el </w:t>
      </w:r>
      <w:r w:rsidR="005D7B2C" w:rsidRPr="00F05461">
        <w:rPr>
          <w:b/>
          <w:bCs/>
          <w:lang w:val="es-ES"/>
        </w:rPr>
        <w:t>90</w:t>
      </w:r>
      <w:r w:rsidR="000675DC" w:rsidRPr="00F05461">
        <w:rPr>
          <w:b/>
          <w:bCs/>
          <w:lang w:val="es-ES"/>
        </w:rPr>
        <w:t> </w:t>
      </w:r>
      <w:r w:rsidR="00BF0FFC" w:rsidRPr="00F05461">
        <w:rPr>
          <w:b/>
          <w:bCs/>
          <w:lang w:val="es-ES"/>
        </w:rPr>
        <w:t>por ciento</w:t>
      </w:r>
      <w:r w:rsidR="005D7B2C" w:rsidRPr="00F05461">
        <w:rPr>
          <w:lang w:val="es-ES"/>
        </w:rPr>
        <w:t xml:space="preserve"> de los proyectos fueron financiados por asociados externos.</w:t>
      </w:r>
    </w:p>
    <w:p w14:paraId="18D5B18E" w14:textId="53237B09"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Los nuevos acuerdos en el</w:t>
      </w:r>
      <w:r w:rsidR="009D324F" w:rsidRPr="00F05461">
        <w:rPr>
          <w:lang w:val="es-ES"/>
        </w:rPr>
        <w:t> </w:t>
      </w:r>
      <w:r w:rsidR="005D7B2C" w:rsidRPr="00F05461">
        <w:rPr>
          <w:lang w:val="es-ES"/>
        </w:rPr>
        <w:t xml:space="preserve">UIT-D en 2025 sufragaron </w:t>
      </w:r>
      <w:r w:rsidR="005D7B2C" w:rsidRPr="00F05461">
        <w:rPr>
          <w:b/>
          <w:bCs/>
          <w:lang w:val="es-ES"/>
        </w:rPr>
        <w:t>26 proyectos</w:t>
      </w:r>
      <w:r w:rsidR="005D7B2C" w:rsidRPr="00F05461">
        <w:rPr>
          <w:lang w:val="es-ES"/>
        </w:rPr>
        <w:t xml:space="preserve"> por un valor de </w:t>
      </w:r>
      <w:r w:rsidR="005D7B2C" w:rsidRPr="00F05461">
        <w:rPr>
          <w:b/>
          <w:bCs/>
          <w:lang w:val="es-ES"/>
        </w:rPr>
        <w:t>4,3</w:t>
      </w:r>
      <w:r w:rsidR="000675DC" w:rsidRPr="00F05461">
        <w:rPr>
          <w:b/>
          <w:bCs/>
          <w:lang w:val="es-ES"/>
        </w:rPr>
        <w:t> </w:t>
      </w:r>
      <w:r w:rsidR="005D7B2C" w:rsidRPr="00F05461">
        <w:rPr>
          <w:b/>
          <w:bCs/>
          <w:lang w:val="es-ES"/>
        </w:rPr>
        <w:t>millones</w:t>
      </w:r>
      <w:r w:rsidR="000675DC" w:rsidRPr="00F05461">
        <w:rPr>
          <w:b/>
          <w:bCs/>
          <w:lang w:val="es-ES"/>
        </w:rPr>
        <w:t> </w:t>
      </w:r>
      <w:r w:rsidR="005D7B2C" w:rsidRPr="00F05461">
        <w:rPr>
          <w:b/>
          <w:bCs/>
          <w:lang w:val="es-ES"/>
        </w:rPr>
        <w:t>CHF</w:t>
      </w:r>
      <w:r w:rsidR="005D7B2C" w:rsidRPr="00F05461">
        <w:rPr>
          <w:lang w:val="es-ES"/>
        </w:rPr>
        <w:t>.</w:t>
      </w:r>
    </w:p>
    <w:p w14:paraId="59094630" w14:textId="77777777" w:rsidR="005D7B2C" w:rsidRPr="00F05461" w:rsidRDefault="005D7B2C" w:rsidP="00312480">
      <w:pPr>
        <w:pStyle w:val="Headingb"/>
      </w:pPr>
      <w:r w:rsidRPr="00F05461">
        <w:t>Plataformas mundiales y asociaciones</w:t>
      </w:r>
    </w:p>
    <w:p w14:paraId="53D682B7" w14:textId="3FF71663"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El inventario de la</w:t>
      </w:r>
      <w:r w:rsidR="009D324F" w:rsidRPr="00F05461">
        <w:rPr>
          <w:lang w:val="es-ES"/>
        </w:rPr>
        <w:t> </w:t>
      </w:r>
      <w:r w:rsidR="005D7B2C" w:rsidRPr="00F05461">
        <w:rPr>
          <w:lang w:val="es-ES"/>
        </w:rPr>
        <w:t xml:space="preserve">CMSI superó las </w:t>
      </w:r>
      <w:r w:rsidR="005D7B2C" w:rsidRPr="00F05461">
        <w:rPr>
          <w:b/>
          <w:bCs/>
          <w:lang w:val="es-ES"/>
        </w:rPr>
        <w:t>21</w:t>
      </w:r>
      <w:r w:rsidR="009D324F" w:rsidRPr="00F05461">
        <w:rPr>
          <w:b/>
          <w:bCs/>
          <w:lang w:val="es-ES"/>
        </w:rPr>
        <w:t> </w:t>
      </w:r>
      <w:r w:rsidR="005D7B2C" w:rsidRPr="00F05461">
        <w:rPr>
          <w:b/>
          <w:bCs/>
          <w:lang w:val="es-ES"/>
        </w:rPr>
        <w:t>000</w:t>
      </w:r>
      <w:r w:rsidR="009D324F" w:rsidRPr="00F05461">
        <w:rPr>
          <w:b/>
          <w:bCs/>
          <w:lang w:val="es-ES"/>
        </w:rPr>
        <w:t> </w:t>
      </w:r>
      <w:r w:rsidR="005D7B2C" w:rsidRPr="00F05461">
        <w:rPr>
          <w:b/>
          <w:bCs/>
          <w:lang w:val="es-ES"/>
        </w:rPr>
        <w:t>iniciativas de las</w:t>
      </w:r>
      <w:r w:rsidR="009D324F" w:rsidRPr="00F05461">
        <w:rPr>
          <w:b/>
          <w:bCs/>
          <w:lang w:val="es-ES"/>
        </w:rPr>
        <w:t> </w:t>
      </w:r>
      <w:r w:rsidR="005D7B2C" w:rsidRPr="00F05461">
        <w:rPr>
          <w:b/>
          <w:bCs/>
          <w:lang w:val="es-ES"/>
        </w:rPr>
        <w:t>TIC para el desarrollo (ICT4D)</w:t>
      </w:r>
      <w:r w:rsidR="005D7B2C" w:rsidRPr="00F05461">
        <w:rPr>
          <w:lang w:val="es-ES"/>
        </w:rPr>
        <w:t>, y los Premios de la</w:t>
      </w:r>
      <w:r w:rsidR="009D324F" w:rsidRPr="00F05461">
        <w:rPr>
          <w:lang w:val="es-ES"/>
        </w:rPr>
        <w:t> </w:t>
      </w:r>
      <w:r w:rsidR="005D7B2C" w:rsidRPr="00F05461">
        <w:rPr>
          <w:lang w:val="es-ES"/>
        </w:rPr>
        <w:t xml:space="preserve">CMSI recibieron </w:t>
      </w:r>
      <w:r w:rsidR="005D7B2C" w:rsidRPr="00F05461">
        <w:rPr>
          <w:b/>
          <w:bCs/>
          <w:lang w:val="es-ES"/>
        </w:rPr>
        <w:t>más de</w:t>
      </w:r>
      <w:r w:rsidR="005D7B2C" w:rsidRPr="00F05461">
        <w:rPr>
          <w:lang w:val="es-ES"/>
        </w:rPr>
        <w:t xml:space="preserve"> </w:t>
      </w:r>
      <w:r w:rsidR="005D7B2C" w:rsidRPr="00F05461">
        <w:rPr>
          <w:b/>
          <w:bCs/>
          <w:lang w:val="es-ES"/>
        </w:rPr>
        <w:t>3</w:t>
      </w:r>
      <w:r w:rsidR="009D324F" w:rsidRPr="00F05461">
        <w:rPr>
          <w:b/>
          <w:bCs/>
          <w:lang w:val="es-ES"/>
        </w:rPr>
        <w:t> </w:t>
      </w:r>
      <w:r w:rsidR="005D7B2C" w:rsidRPr="00F05461">
        <w:rPr>
          <w:b/>
          <w:bCs/>
          <w:lang w:val="es-ES"/>
        </w:rPr>
        <w:t>000</w:t>
      </w:r>
      <w:r w:rsidR="009D324F" w:rsidRPr="00F05461">
        <w:rPr>
          <w:b/>
          <w:bCs/>
          <w:lang w:val="es-ES"/>
        </w:rPr>
        <w:t> </w:t>
      </w:r>
      <w:r w:rsidR="005D7B2C" w:rsidRPr="00F05461">
        <w:rPr>
          <w:b/>
          <w:bCs/>
          <w:lang w:val="es-ES"/>
        </w:rPr>
        <w:t>candidaturas</w:t>
      </w:r>
      <w:r w:rsidR="005D7B2C" w:rsidRPr="00F05461">
        <w:rPr>
          <w:lang w:val="es-ES"/>
        </w:rPr>
        <w:t xml:space="preserve"> a lo largo de tres años.</w:t>
      </w:r>
    </w:p>
    <w:p w14:paraId="67619A2B" w14:textId="7503800E" w:rsidR="005D7B2C" w:rsidRPr="00F05461" w:rsidRDefault="00312480" w:rsidP="00312480">
      <w:pPr>
        <w:pStyle w:val="enumlev1"/>
        <w:rPr>
          <w:lang w:val="es-ES"/>
        </w:rPr>
      </w:pPr>
      <w:r w:rsidRPr="00F05461">
        <w:rPr>
          <w:lang w:val="es-ES"/>
        </w:rPr>
        <w:lastRenderedPageBreak/>
        <w:t>•</w:t>
      </w:r>
      <w:r w:rsidRPr="00F05461">
        <w:rPr>
          <w:lang w:val="es-ES"/>
        </w:rPr>
        <w:tab/>
      </w:r>
      <w:r w:rsidR="005D7B2C" w:rsidRPr="00F05461">
        <w:rPr>
          <w:lang w:val="es-ES"/>
        </w:rPr>
        <w:t xml:space="preserve">La comunidad de redes neuronales de AI for Good creció hasta alcanzar los </w:t>
      </w:r>
      <w:r w:rsidR="005D7B2C" w:rsidRPr="00F05461">
        <w:rPr>
          <w:b/>
          <w:bCs/>
          <w:lang w:val="es-ES"/>
        </w:rPr>
        <w:t>35 000</w:t>
      </w:r>
      <w:r w:rsidR="009D324F" w:rsidRPr="00F05461">
        <w:rPr>
          <w:b/>
          <w:bCs/>
          <w:lang w:val="es-ES"/>
        </w:rPr>
        <w:t> </w:t>
      </w:r>
      <w:r w:rsidR="005D7B2C" w:rsidRPr="00F05461">
        <w:rPr>
          <w:b/>
          <w:bCs/>
          <w:lang w:val="es-ES"/>
        </w:rPr>
        <w:t>miembros</w:t>
      </w:r>
      <w:r w:rsidR="005D7B2C" w:rsidRPr="00F05461">
        <w:rPr>
          <w:lang w:val="es-ES"/>
        </w:rPr>
        <w:t xml:space="preserve"> (137 000</w:t>
      </w:r>
      <w:r w:rsidR="009D324F" w:rsidRPr="00F05461">
        <w:rPr>
          <w:lang w:val="es-ES"/>
        </w:rPr>
        <w:t> </w:t>
      </w:r>
      <w:r w:rsidR="005D7B2C" w:rsidRPr="00F05461">
        <w:rPr>
          <w:lang w:val="es-ES"/>
        </w:rPr>
        <w:t xml:space="preserve">participantes en línea); la Cumbre de 2025 contó con </w:t>
      </w:r>
      <w:r w:rsidR="005D7B2C" w:rsidRPr="00F05461">
        <w:rPr>
          <w:b/>
          <w:bCs/>
          <w:lang w:val="es-ES"/>
        </w:rPr>
        <w:t>11 000</w:t>
      </w:r>
      <w:r w:rsidR="009D324F" w:rsidRPr="00F05461">
        <w:rPr>
          <w:b/>
          <w:bCs/>
          <w:lang w:val="es-ES"/>
        </w:rPr>
        <w:t> </w:t>
      </w:r>
      <w:r w:rsidR="005D7B2C" w:rsidRPr="00F05461">
        <w:rPr>
          <w:b/>
          <w:bCs/>
          <w:lang w:val="es-ES"/>
        </w:rPr>
        <w:t>visitantes presenciales</w:t>
      </w:r>
      <w:r w:rsidR="005D7B2C" w:rsidRPr="00F05461">
        <w:rPr>
          <w:lang w:val="es-ES"/>
        </w:rPr>
        <w:t>.</w:t>
      </w:r>
    </w:p>
    <w:p w14:paraId="26644ED8" w14:textId="6FCBB8AE"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Declaración de la COP29 sobre la Acción Digital </w:t>
      </w:r>
      <w:r w:rsidR="00EF6A42" w:rsidRPr="00F05461">
        <w:rPr>
          <w:lang w:val="es-ES"/>
        </w:rPr>
        <w:t>Ecológica</w:t>
      </w:r>
      <w:r w:rsidR="005D7B2C" w:rsidRPr="00F05461">
        <w:rPr>
          <w:lang w:val="es-ES"/>
        </w:rPr>
        <w:t xml:space="preserve"> recibió el respaldo de </w:t>
      </w:r>
      <w:r w:rsidR="005D7B2C" w:rsidRPr="00F05461">
        <w:rPr>
          <w:b/>
          <w:bCs/>
          <w:lang w:val="es-ES"/>
        </w:rPr>
        <w:t>más de 80</w:t>
      </w:r>
      <w:r w:rsidR="009D324F" w:rsidRPr="00F05461">
        <w:rPr>
          <w:b/>
          <w:bCs/>
          <w:lang w:val="es-ES"/>
        </w:rPr>
        <w:t> </w:t>
      </w:r>
      <w:r w:rsidR="005D7B2C" w:rsidRPr="00F05461">
        <w:rPr>
          <w:b/>
          <w:bCs/>
          <w:lang w:val="es-ES"/>
        </w:rPr>
        <w:t>países</w:t>
      </w:r>
      <w:r w:rsidR="009D324F" w:rsidRPr="00F05461">
        <w:rPr>
          <w:lang w:val="es-ES"/>
        </w:rPr>
        <w:t xml:space="preserve"> </w:t>
      </w:r>
      <w:r w:rsidR="005D7B2C" w:rsidRPr="00F05461">
        <w:rPr>
          <w:lang w:val="es-ES"/>
        </w:rPr>
        <w:t>y cerca de </w:t>
      </w:r>
      <w:r w:rsidR="005D7B2C" w:rsidRPr="00F05461">
        <w:rPr>
          <w:b/>
          <w:bCs/>
          <w:lang w:val="es-ES"/>
        </w:rPr>
        <w:t>1</w:t>
      </w:r>
      <w:r w:rsidR="009D324F" w:rsidRPr="00F05461">
        <w:rPr>
          <w:b/>
          <w:bCs/>
          <w:lang w:val="es-ES"/>
        </w:rPr>
        <w:t> </w:t>
      </w:r>
      <w:r w:rsidR="005D7B2C" w:rsidRPr="00F05461">
        <w:rPr>
          <w:b/>
          <w:bCs/>
          <w:lang w:val="es-ES"/>
        </w:rPr>
        <w:t>800</w:t>
      </w:r>
      <w:r w:rsidR="009D324F" w:rsidRPr="00F05461">
        <w:rPr>
          <w:b/>
          <w:bCs/>
          <w:lang w:val="es-ES"/>
        </w:rPr>
        <w:t> </w:t>
      </w:r>
      <w:r w:rsidR="005D7B2C" w:rsidRPr="00F05461">
        <w:rPr>
          <w:b/>
          <w:bCs/>
          <w:lang w:val="es-ES"/>
        </w:rPr>
        <w:t>empresas y organizaciones</w:t>
      </w:r>
      <w:r w:rsidR="005D7B2C" w:rsidRPr="00F05461">
        <w:rPr>
          <w:lang w:val="es-ES"/>
        </w:rPr>
        <w:t>, lo que sienta las bases para poner en marcha el </w:t>
      </w:r>
      <w:r w:rsidR="005D7B2C" w:rsidRPr="00F05461">
        <w:rPr>
          <w:b/>
          <w:bCs/>
          <w:lang w:val="es-ES"/>
        </w:rPr>
        <w:t xml:space="preserve">Centro de Acción Digital </w:t>
      </w:r>
      <w:r w:rsidR="00EF6A42" w:rsidRPr="00F05461">
        <w:rPr>
          <w:b/>
          <w:bCs/>
          <w:lang w:val="es-ES"/>
        </w:rPr>
        <w:t>Ecológica</w:t>
      </w:r>
      <w:r w:rsidR="009D324F" w:rsidRPr="00F05461">
        <w:rPr>
          <w:lang w:val="es-ES"/>
        </w:rPr>
        <w:t xml:space="preserve"> </w:t>
      </w:r>
      <w:r w:rsidR="005D7B2C" w:rsidRPr="00F05461">
        <w:rPr>
          <w:lang w:val="es-ES"/>
        </w:rPr>
        <w:t>y el</w:t>
      </w:r>
      <w:r w:rsidR="009D324F" w:rsidRPr="00F05461">
        <w:rPr>
          <w:lang w:val="es-ES"/>
        </w:rPr>
        <w:t xml:space="preserve"> </w:t>
      </w:r>
      <w:r w:rsidR="005D7B2C" w:rsidRPr="00F05461">
        <w:rPr>
          <w:b/>
          <w:bCs/>
          <w:lang w:val="es-ES"/>
        </w:rPr>
        <w:t>Instituto Climático de</w:t>
      </w:r>
      <w:r w:rsidR="007922E7">
        <w:rPr>
          <w:b/>
          <w:bCs/>
          <w:lang w:val="es-ES"/>
        </w:rPr>
        <w:t> </w:t>
      </w:r>
      <w:r w:rsidR="005D7B2C" w:rsidRPr="00F05461">
        <w:rPr>
          <w:b/>
          <w:bCs/>
          <w:lang w:val="es-ES"/>
        </w:rPr>
        <w:t>IA</w:t>
      </w:r>
      <w:r w:rsidR="009D324F" w:rsidRPr="00F05461">
        <w:rPr>
          <w:lang w:val="es-ES"/>
        </w:rPr>
        <w:t xml:space="preserve"> </w:t>
      </w:r>
      <w:r w:rsidR="005D7B2C" w:rsidRPr="00F05461">
        <w:rPr>
          <w:lang w:val="es-ES"/>
        </w:rPr>
        <w:t>en la próxima conferencia de las Naciones Unidas sobre el cambio climático, la</w:t>
      </w:r>
      <w:r w:rsidR="009D324F" w:rsidRPr="00F05461">
        <w:rPr>
          <w:lang w:val="es-ES"/>
        </w:rPr>
        <w:t> </w:t>
      </w:r>
      <w:r w:rsidR="005D7B2C" w:rsidRPr="00F05461">
        <w:rPr>
          <w:lang w:val="es-ES"/>
        </w:rPr>
        <w:t>COP30</w:t>
      </w:r>
      <w:r w:rsidR="009D324F" w:rsidRPr="00F05461">
        <w:rPr>
          <w:lang w:val="es-ES"/>
        </w:rPr>
        <w:t>.</w:t>
      </w:r>
    </w:p>
    <w:p w14:paraId="71318B88" w14:textId="6AD4FCA5" w:rsidR="005D7B2C" w:rsidRPr="00F05461" w:rsidRDefault="00312480" w:rsidP="00312480">
      <w:pPr>
        <w:pStyle w:val="enumlev1"/>
        <w:rPr>
          <w:lang w:val="es-ES"/>
        </w:rPr>
      </w:pPr>
      <w:r w:rsidRPr="00F05461">
        <w:rPr>
          <w:lang w:val="es-ES"/>
        </w:rPr>
        <w:t>•</w:t>
      </w:r>
      <w:r w:rsidRPr="00F05461">
        <w:rPr>
          <w:lang w:val="es-ES"/>
        </w:rPr>
        <w:tab/>
      </w:r>
      <w:r w:rsidR="005D7B2C" w:rsidRPr="00F05461">
        <w:rPr>
          <w:lang w:val="es-ES"/>
        </w:rPr>
        <w:t xml:space="preserve">La iniciativa Partner2Connect movilizó </w:t>
      </w:r>
      <w:r w:rsidR="005D7B2C" w:rsidRPr="00F05461">
        <w:rPr>
          <w:b/>
          <w:bCs/>
          <w:lang w:val="es-ES"/>
        </w:rPr>
        <w:t>1 060</w:t>
      </w:r>
      <w:r w:rsidR="009D324F" w:rsidRPr="00F05461">
        <w:rPr>
          <w:b/>
          <w:bCs/>
          <w:lang w:val="es-ES"/>
        </w:rPr>
        <w:t> </w:t>
      </w:r>
      <w:r w:rsidR="005D7B2C" w:rsidRPr="00F05461">
        <w:rPr>
          <w:b/>
          <w:bCs/>
          <w:lang w:val="es-ES"/>
        </w:rPr>
        <w:t>compromisos por valor de 80</w:t>
      </w:r>
      <w:r w:rsidR="009D324F" w:rsidRPr="00F05461">
        <w:rPr>
          <w:b/>
          <w:bCs/>
          <w:lang w:val="es-ES"/>
        </w:rPr>
        <w:t> </w:t>
      </w:r>
      <w:r w:rsidR="005D7B2C" w:rsidRPr="00F05461">
        <w:rPr>
          <w:b/>
          <w:bCs/>
          <w:lang w:val="es-ES"/>
        </w:rPr>
        <w:t>720</w:t>
      </w:r>
      <w:r w:rsidR="009D324F" w:rsidRPr="00F05461">
        <w:rPr>
          <w:b/>
          <w:bCs/>
          <w:lang w:val="es-ES"/>
        </w:rPr>
        <w:t> </w:t>
      </w:r>
      <w:r w:rsidR="005D7B2C" w:rsidRPr="00F05461">
        <w:rPr>
          <w:b/>
          <w:bCs/>
          <w:lang w:val="es-ES"/>
        </w:rPr>
        <w:t>millones</w:t>
      </w:r>
      <w:r w:rsidR="009D324F" w:rsidRPr="00F05461">
        <w:rPr>
          <w:b/>
          <w:bCs/>
          <w:lang w:val="es-ES"/>
        </w:rPr>
        <w:t> </w:t>
      </w:r>
      <w:r w:rsidR="005D7B2C" w:rsidRPr="00F05461">
        <w:rPr>
          <w:b/>
          <w:bCs/>
          <w:lang w:val="es-ES"/>
        </w:rPr>
        <w:t>USD</w:t>
      </w:r>
      <w:r w:rsidR="005D7B2C" w:rsidRPr="00F05461">
        <w:rPr>
          <w:lang w:val="es-ES"/>
        </w:rPr>
        <w:t xml:space="preserve"> en </w:t>
      </w:r>
      <w:r w:rsidR="005D7B2C" w:rsidRPr="00F05461">
        <w:rPr>
          <w:b/>
          <w:bCs/>
          <w:lang w:val="es-ES"/>
        </w:rPr>
        <w:t>149</w:t>
      </w:r>
      <w:r w:rsidR="009D324F" w:rsidRPr="00F05461">
        <w:rPr>
          <w:b/>
          <w:bCs/>
          <w:lang w:val="es-ES"/>
        </w:rPr>
        <w:t> </w:t>
      </w:r>
      <w:r w:rsidR="005D7B2C" w:rsidRPr="00F05461">
        <w:rPr>
          <w:b/>
          <w:bCs/>
          <w:lang w:val="es-ES"/>
        </w:rPr>
        <w:t>países</w:t>
      </w:r>
      <w:r w:rsidR="005D7B2C" w:rsidRPr="00F05461">
        <w:rPr>
          <w:lang w:val="es-ES"/>
        </w:rPr>
        <w:t xml:space="preserve">, avanzando hacia el objetivo de </w:t>
      </w:r>
      <w:r w:rsidR="005D7B2C" w:rsidRPr="00F05461">
        <w:rPr>
          <w:b/>
          <w:bCs/>
          <w:lang w:val="es-ES"/>
        </w:rPr>
        <w:t>100 000</w:t>
      </w:r>
      <w:r w:rsidR="009D324F" w:rsidRPr="00F05461">
        <w:rPr>
          <w:b/>
          <w:bCs/>
          <w:lang w:val="es-ES"/>
        </w:rPr>
        <w:t> </w:t>
      </w:r>
      <w:r w:rsidR="005D7B2C" w:rsidRPr="00F05461">
        <w:rPr>
          <w:b/>
          <w:bCs/>
          <w:lang w:val="es-ES"/>
        </w:rPr>
        <w:t>millones</w:t>
      </w:r>
      <w:r w:rsidR="009D324F" w:rsidRPr="00F05461">
        <w:rPr>
          <w:b/>
          <w:bCs/>
          <w:lang w:val="es-ES"/>
        </w:rPr>
        <w:t> </w:t>
      </w:r>
      <w:r w:rsidR="005D7B2C" w:rsidRPr="00F05461">
        <w:rPr>
          <w:b/>
          <w:bCs/>
          <w:lang w:val="es-ES"/>
        </w:rPr>
        <w:t xml:space="preserve">USD </w:t>
      </w:r>
      <w:r w:rsidR="005D7B2C" w:rsidRPr="00F05461">
        <w:rPr>
          <w:lang w:val="es-ES"/>
        </w:rPr>
        <w:t>para 2026.</w:t>
      </w:r>
    </w:p>
    <w:p w14:paraId="14C2E329" w14:textId="140FBBF1" w:rsidR="005D7B2C" w:rsidRPr="00F05461" w:rsidRDefault="00312480" w:rsidP="00312480">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y sus asociados crearon en 2024 el Órgano Consultivo Internacional sobre la resiliencia de los cables submarinos, que reúne a más de 40</w:t>
      </w:r>
      <w:r w:rsidR="009D324F" w:rsidRPr="00F05461">
        <w:rPr>
          <w:lang w:val="es-ES"/>
        </w:rPr>
        <w:t> </w:t>
      </w:r>
      <w:r w:rsidR="005D7B2C" w:rsidRPr="00F05461">
        <w:rPr>
          <w:lang w:val="es-ES"/>
        </w:rPr>
        <w:t>expertos gubernamentales y del sector con el fin de reforzar la cooperación en materia de cables de telecomunicaciones submarinos e impulsar la resiliencia digital a escala mundial.</w:t>
      </w:r>
    </w:p>
    <w:p w14:paraId="13914E06" w14:textId="3D6074B5" w:rsidR="005D7B2C" w:rsidRPr="00F05461" w:rsidRDefault="00312480" w:rsidP="00572AC5">
      <w:pPr>
        <w:pStyle w:val="enumlev1"/>
        <w:rPr>
          <w:lang w:val="es-ES"/>
        </w:rPr>
      </w:pPr>
      <w:r w:rsidRPr="00F05461">
        <w:rPr>
          <w:lang w:val="es-ES"/>
        </w:rPr>
        <w:t>•</w:t>
      </w:r>
      <w:r w:rsidRPr="00F05461">
        <w:rPr>
          <w:lang w:val="es-ES"/>
        </w:rPr>
        <w:tab/>
      </w:r>
      <w:r w:rsidR="00400698" w:rsidRPr="00F05461">
        <w:rPr>
          <w:lang w:val="es-ES"/>
        </w:rPr>
        <w:t>El</w:t>
      </w:r>
      <w:r w:rsidR="005D7B2C" w:rsidRPr="00F05461">
        <w:rPr>
          <w:lang w:val="es-ES"/>
        </w:rPr>
        <w:t xml:space="preserve"> </w:t>
      </w:r>
      <w:bookmarkStart w:id="10" w:name="_Hlk227073204"/>
      <w:r w:rsidR="00400698" w:rsidRPr="00F05461">
        <w:rPr>
          <w:b/>
          <w:bCs/>
          <w:lang w:val="es-ES"/>
        </w:rPr>
        <w:t>Catalizador</w:t>
      </w:r>
      <w:r w:rsidR="005D7B2C" w:rsidRPr="00F05461">
        <w:rPr>
          <w:b/>
          <w:bCs/>
          <w:lang w:val="es-ES"/>
        </w:rPr>
        <w:t xml:space="preserve"> </w:t>
      </w:r>
      <w:r w:rsidR="00E249BD" w:rsidRPr="00F05461">
        <w:rPr>
          <w:b/>
          <w:bCs/>
          <w:lang w:val="es-ES"/>
        </w:rPr>
        <w:t>de</w:t>
      </w:r>
      <w:r w:rsidR="005D7B2C" w:rsidRPr="00F05461">
        <w:rPr>
          <w:b/>
          <w:bCs/>
          <w:lang w:val="es-ES"/>
        </w:rPr>
        <w:t xml:space="preserve"> </w:t>
      </w:r>
      <w:r w:rsidR="00400698" w:rsidRPr="00F05461">
        <w:rPr>
          <w:b/>
          <w:bCs/>
          <w:lang w:val="es-ES"/>
        </w:rPr>
        <w:t>IID</w:t>
      </w:r>
      <w:r w:rsidR="005D7B2C" w:rsidRPr="00F05461">
        <w:rPr>
          <w:lang w:val="es-ES"/>
        </w:rPr>
        <w:t xml:space="preserve"> </w:t>
      </w:r>
      <w:bookmarkEnd w:id="10"/>
      <w:r w:rsidR="005D7B2C" w:rsidRPr="00F05461">
        <w:rPr>
          <w:lang w:val="es-ES"/>
        </w:rPr>
        <w:t>fue puest</w:t>
      </w:r>
      <w:r w:rsidR="00400698" w:rsidRPr="00F05461">
        <w:rPr>
          <w:lang w:val="es-ES"/>
        </w:rPr>
        <w:t>o</w:t>
      </w:r>
      <w:r w:rsidR="005D7B2C" w:rsidRPr="00F05461">
        <w:rPr>
          <w:lang w:val="es-ES"/>
        </w:rPr>
        <w:t xml:space="preserve"> en marcha por </w:t>
      </w:r>
      <w:r w:rsidR="00296F03" w:rsidRPr="00F05461">
        <w:rPr>
          <w:lang w:val="es-ES"/>
        </w:rPr>
        <w:t>la UIT</w:t>
      </w:r>
      <w:r w:rsidR="005D7B2C" w:rsidRPr="00F05461">
        <w:rPr>
          <w:lang w:val="es-ES"/>
        </w:rPr>
        <w:t xml:space="preserve"> y la</w:t>
      </w:r>
      <w:r w:rsidR="009D324F" w:rsidRPr="00F05461">
        <w:rPr>
          <w:lang w:val="es-ES"/>
        </w:rPr>
        <w:t> </w:t>
      </w:r>
      <w:r w:rsidR="005D7B2C" w:rsidRPr="00F05461">
        <w:rPr>
          <w:lang w:val="es-ES"/>
        </w:rPr>
        <w:t>UNCTAD, y está codirigid</w:t>
      </w:r>
      <w:r w:rsidR="00400698" w:rsidRPr="00F05461">
        <w:rPr>
          <w:lang w:val="es-ES"/>
        </w:rPr>
        <w:t>o</w:t>
      </w:r>
      <w:r w:rsidR="005D7B2C" w:rsidRPr="00F05461">
        <w:rPr>
          <w:lang w:val="es-ES"/>
        </w:rPr>
        <w:t xml:space="preserve"> por ocho</w:t>
      </w:r>
      <w:r w:rsidR="00BE69CC" w:rsidRPr="00F05461">
        <w:rPr>
          <w:lang w:val="es-ES"/>
        </w:rPr>
        <w:t> </w:t>
      </w:r>
      <w:r w:rsidR="00BE69CC" w:rsidRPr="00F05461">
        <w:rPr>
          <w:b/>
          <w:bCs/>
          <w:lang w:val="es-ES"/>
        </w:rPr>
        <w:t>BMD</w:t>
      </w:r>
      <w:r w:rsidR="005D7B2C" w:rsidRPr="00F05461">
        <w:rPr>
          <w:lang w:val="es-ES"/>
        </w:rPr>
        <w:t xml:space="preserve"> con el objetivo de subsanar el déficit de inversión en infraestructuras digitales, que asciende a </w:t>
      </w:r>
      <w:r w:rsidR="005D7B2C" w:rsidRPr="00F05461">
        <w:rPr>
          <w:b/>
          <w:bCs/>
          <w:lang w:val="es-ES"/>
        </w:rPr>
        <w:t>1,6</w:t>
      </w:r>
      <w:r w:rsidR="009D324F" w:rsidRPr="00F05461">
        <w:rPr>
          <w:b/>
          <w:bCs/>
          <w:lang w:val="es-ES"/>
        </w:rPr>
        <w:t> </w:t>
      </w:r>
      <w:r w:rsidR="005D7B2C" w:rsidRPr="00F05461">
        <w:rPr>
          <w:b/>
          <w:bCs/>
          <w:lang w:val="es-ES"/>
        </w:rPr>
        <w:t>billones</w:t>
      </w:r>
      <w:r w:rsidR="009D324F" w:rsidRPr="00F05461">
        <w:rPr>
          <w:b/>
          <w:bCs/>
          <w:lang w:val="es-ES"/>
        </w:rPr>
        <w:t> </w:t>
      </w:r>
      <w:r w:rsidR="005D7B2C" w:rsidRPr="00F05461">
        <w:rPr>
          <w:b/>
          <w:bCs/>
          <w:lang w:val="es-ES"/>
        </w:rPr>
        <w:t>USD</w:t>
      </w:r>
      <w:r w:rsidR="005D7B2C" w:rsidRPr="00F05461">
        <w:rPr>
          <w:lang w:val="es-ES"/>
        </w:rPr>
        <w:t xml:space="preserve">, a través de un grupo de trabajo integrado por </w:t>
      </w:r>
      <w:r w:rsidR="005D7B2C" w:rsidRPr="00F05461">
        <w:rPr>
          <w:b/>
          <w:bCs/>
          <w:lang w:val="es-ES"/>
        </w:rPr>
        <w:t>más de 50</w:t>
      </w:r>
      <w:r w:rsidR="009D324F" w:rsidRPr="00F05461">
        <w:rPr>
          <w:b/>
          <w:bCs/>
          <w:lang w:val="es-ES"/>
        </w:rPr>
        <w:t> </w:t>
      </w:r>
      <w:r w:rsidR="005D7B2C" w:rsidRPr="00F05461">
        <w:rPr>
          <w:b/>
          <w:bCs/>
          <w:lang w:val="es-ES"/>
        </w:rPr>
        <w:t>organizaciones</w:t>
      </w:r>
      <w:r w:rsidR="005D7B2C" w:rsidRPr="00F05461">
        <w:rPr>
          <w:lang w:val="es-ES"/>
        </w:rPr>
        <w:t>.</w:t>
      </w:r>
    </w:p>
    <w:p w14:paraId="486B0383" w14:textId="77777777" w:rsidR="005D7B2C" w:rsidRPr="00F05461" w:rsidRDefault="005D7B2C" w:rsidP="00312480">
      <w:pPr>
        <w:pStyle w:val="Headingb"/>
      </w:pPr>
      <w:r w:rsidRPr="00F05461">
        <w:t>Beneficios para todos</w:t>
      </w:r>
    </w:p>
    <w:p w14:paraId="4C728F6E" w14:textId="080AE976"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 xml:space="preserve">En 2025, el </w:t>
      </w:r>
      <w:r w:rsidR="005D7B2C" w:rsidRPr="00F05461">
        <w:rPr>
          <w:b/>
          <w:bCs/>
          <w:lang w:val="es-ES"/>
        </w:rPr>
        <w:t>77</w:t>
      </w:r>
      <w:r w:rsidR="009D324F" w:rsidRPr="00F05461">
        <w:rPr>
          <w:b/>
          <w:bCs/>
          <w:lang w:val="es-ES"/>
        </w:rPr>
        <w:t> </w:t>
      </w:r>
      <w:r w:rsidR="00BF0FFC" w:rsidRPr="00F05461">
        <w:rPr>
          <w:b/>
          <w:bCs/>
          <w:lang w:val="es-ES"/>
        </w:rPr>
        <w:t>por ciento</w:t>
      </w:r>
      <w:r w:rsidR="005D7B2C" w:rsidRPr="00F05461">
        <w:rPr>
          <w:b/>
          <w:bCs/>
          <w:lang w:val="es-ES"/>
        </w:rPr>
        <w:t xml:space="preserve"> de los hombres</w:t>
      </w:r>
      <w:r w:rsidR="005D7B2C" w:rsidRPr="00F05461">
        <w:rPr>
          <w:lang w:val="es-ES"/>
        </w:rPr>
        <w:t xml:space="preserve"> y el </w:t>
      </w:r>
      <w:r w:rsidR="005D7B2C" w:rsidRPr="00F05461">
        <w:rPr>
          <w:b/>
          <w:bCs/>
          <w:lang w:val="es-ES"/>
        </w:rPr>
        <w:t>71</w:t>
      </w:r>
      <w:r w:rsidR="009D324F" w:rsidRPr="00F05461">
        <w:rPr>
          <w:b/>
          <w:bCs/>
          <w:lang w:val="es-ES"/>
        </w:rPr>
        <w:t> </w:t>
      </w:r>
      <w:r w:rsidR="00BF0FFC" w:rsidRPr="00F05461">
        <w:rPr>
          <w:b/>
          <w:bCs/>
          <w:lang w:val="es-ES"/>
        </w:rPr>
        <w:t>por ciento</w:t>
      </w:r>
      <w:r w:rsidR="005D7B2C" w:rsidRPr="00F05461">
        <w:rPr>
          <w:b/>
          <w:bCs/>
          <w:lang w:val="es-ES"/>
        </w:rPr>
        <w:t xml:space="preserve"> de las mujeres</w:t>
      </w:r>
      <w:r w:rsidR="005D7B2C" w:rsidRPr="00F05461">
        <w:rPr>
          <w:lang w:val="es-ES"/>
        </w:rPr>
        <w:t xml:space="preserve"> tenían acceso a Internet, lo que situó el índice mundial de paridad de género en </w:t>
      </w:r>
      <w:r w:rsidR="005D7B2C" w:rsidRPr="00F05461">
        <w:rPr>
          <w:b/>
          <w:bCs/>
          <w:lang w:val="es-ES"/>
        </w:rPr>
        <w:t>0,92</w:t>
      </w:r>
      <w:r w:rsidR="005D7B2C" w:rsidRPr="00F05461">
        <w:rPr>
          <w:lang w:val="es-ES"/>
        </w:rPr>
        <w:t>, sin cambios desde 2019.</w:t>
      </w:r>
    </w:p>
    <w:p w14:paraId="61F55CCE" w14:textId="0CC5C0BD"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 xml:space="preserve">Las actividades del Día Internacional de las Niñas en las TIC (2023-2025) contaron con la participación de </w:t>
      </w:r>
      <w:r w:rsidR="005D7B2C" w:rsidRPr="00F05461">
        <w:rPr>
          <w:b/>
          <w:bCs/>
          <w:lang w:val="es-ES"/>
        </w:rPr>
        <w:t>76</w:t>
      </w:r>
      <w:r w:rsidR="009D324F" w:rsidRPr="00F05461">
        <w:rPr>
          <w:b/>
          <w:bCs/>
          <w:lang w:val="es-ES"/>
        </w:rPr>
        <w:t> </w:t>
      </w:r>
      <w:r w:rsidR="005D7B2C" w:rsidRPr="00F05461">
        <w:rPr>
          <w:b/>
          <w:bCs/>
          <w:lang w:val="es-ES"/>
        </w:rPr>
        <w:t>000</w:t>
      </w:r>
      <w:r w:rsidR="009D324F" w:rsidRPr="00F05461">
        <w:rPr>
          <w:b/>
          <w:bCs/>
          <w:lang w:val="es-ES"/>
        </w:rPr>
        <w:t> </w:t>
      </w:r>
      <w:r w:rsidR="005D7B2C" w:rsidRPr="00F05461">
        <w:rPr>
          <w:b/>
          <w:bCs/>
          <w:lang w:val="es-ES"/>
        </w:rPr>
        <w:t>niñas</w:t>
      </w:r>
      <w:r w:rsidR="005D7B2C" w:rsidRPr="00F05461">
        <w:rPr>
          <w:lang w:val="es-ES"/>
        </w:rPr>
        <w:t xml:space="preserve"> en un total de </w:t>
      </w:r>
      <w:r w:rsidR="005D7B2C" w:rsidRPr="00F05461">
        <w:rPr>
          <w:b/>
          <w:bCs/>
          <w:lang w:val="es-ES"/>
        </w:rPr>
        <w:t>472</w:t>
      </w:r>
      <w:r w:rsidR="009D324F" w:rsidRPr="00F05461">
        <w:rPr>
          <w:b/>
          <w:bCs/>
          <w:lang w:val="es-ES"/>
        </w:rPr>
        <w:t> </w:t>
      </w:r>
      <w:r w:rsidR="005D7B2C" w:rsidRPr="00F05461">
        <w:rPr>
          <w:b/>
          <w:bCs/>
          <w:lang w:val="es-ES"/>
        </w:rPr>
        <w:t>eventos</w:t>
      </w:r>
      <w:r w:rsidR="005D7B2C" w:rsidRPr="00F05461">
        <w:rPr>
          <w:lang w:val="es-ES"/>
        </w:rPr>
        <w:t>.</w:t>
      </w:r>
    </w:p>
    <w:p w14:paraId="1CF62F9E" w14:textId="7ED36AC5"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 xml:space="preserve">El </w:t>
      </w:r>
      <w:r w:rsidR="00860A7F" w:rsidRPr="00F05461">
        <w:rPr>
          <w:lang w:val="es-ES"/>
        </w:rPr>
        <w:t>p</w:t>
      </w:r>
      <w:r w:rsidR="005D7B2C" w:rsidRPr="00F05461">
        <w:rPr>
          <w:lang w:val="es-ES"/>
        </w:rPr>
        <w:t xml:space="preserve">rograma de </w:t>
      </w:r>
      <w:r w:rsidR="002F0A87" w:rsidRPr="00F05461">
        <w:rPr>
          <w:lang w:val="es-ES"/>
        </w:rPr>
        <w:t xml:space="preserve">Aceleración </w:t>
      </w:r>
      <w:r w:rsidR="005D7B2C" w:rsidRPr="00F05461">
        <w:rPr>
          <w:lang w:val="es-ES"/>
        </w:rPr>
        <w:t xml:space="preserve">de </w:t>
      </w:r>
      <w:r w:rsidR="002F0A87" w:rsidRPr="00F05461">
        <w:rPr>
          <w:lang w:val="es-ES"/>
        </w:rPr>
        <w:t xml:space="preserve">Competencias </w:t>
      </w:r>
      <w:r w:rsidR="005D7B2C" w:rsidRPr="00F05461">
        <w:rPr>
          <w:lang w:val="es-ES"/>
        </w:rPr>
        <w:t xml:space="preserve">en IA para </w:t>
      </w:r>
      <w:r w:rsidR="002F0A87" w:rsidRPr="00F05461">
        <w:rPr>
          <w:lang w:val="es-ES"/>
        </w:rPr>
        <w:t xml:space="preserve">Niñas </w:t>
      </w:r>
      <w:r w:rsidR="005D7B2C" w:rsidRPr="00F05461">
        <w:rPr>
          <w:lang w:val="es-ES"/>
        </w:rPr>
        <w:t xml:space="preserve">se extendió a </w:t>
      </w:r>
      <w:r w:rsidR="005D7B2C" w:rsidRPr="00F05461">
        <w:rPr>
          <w:b/>
          <w:bCs/>
          <w:lang w:val="es-ES"/>
        </w:rPr>
        <w:t>820</w:t>
      </w:r>
      <w:r w:rsidR="009D324F" w:rsidRPr="00F05461">
        <w:rPr>
          <w:b/>
          <w:bCs/>
          <w:lang w:val="es-ES"/>
        </w:rPr>
        <w:t> </w:t>
      </w:r>
      <w:r w:rsidR="005D7B2C" w:rsidRPr="00F05461">
        <w:rPr>
          <w:b/>
          <w:bCs/>
          <w:lang w:val="es-ES"/>
        </w:rPr>
        <w:t>jóvenes</w:t>
      </w:r>
      <w:r w:rsidR="005D7B2C" w:rsidRPr="00F05461">
        <w:rPr>
          <w:lang w:val="es-ES"/>
        </w:rPr>
        <w:t xml:space="preserve"> en </w:t>
      </w:r>
      <w:r w:rsidR="005D7B2C" w:rsidRPr="00F05461">
        <w:rPr>
          <w:b/>
          <w:bCs/>
          <w:lang w:val="es-ES"/>
        </w:rPr>
        <w:t>seis regiones</w:t>
      </w:r>
      <w:r w:rsidR="005D7B2C" w:rsidRPr="00F05461">
        <w:rPr>
          <w:lang w:val="es-ES"/>
        </w:rPr>
        <w:t>.</w:t>
      </w:r>
    </w:p>
    <w:p w14:paraId="2B8D7FA4" w14:textId="02EB4474"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 xml:space="preserve">El número de jóvenes embajadores aumentó hasta alcanzar los </w:t>
      </w:r>
      <w:r w:rsidR="005D7B2C" w:rsidRPr="00F05461">
        <w:rPr>
          <w:b/>
          <w:bCs/>
          <w:lang w:val="es-ES"/>
        </w:rPr>
        <w:t>180 en 120</w:t>
      </w:r>
      <w:r w:rsidR="009D324F" w:rsidRPr="00F05461">
        <w:rPr>
          <w:b/>
          <w:bCs/>
          <w:lang w:val="es-ES"/>
        </w:rPr>
        <w:t> </w:t>
      </w:r>
      <w:r w:rsidR="005D7B2C" w:rsidRPr="00F05461">
        <w:rPr>
          <w:b/>
          <w:bCs/>
          <w:lang w:val="es-ES"/>
        </w:rPr>
        <w:t>países</w:t>
      </w:r>
      <w:r w:rsidR="005D7B2C" w:rsidRPr="00F05461">
        <w:rPr>
          <w:lang w:val="es-ES"/>
        </w:rPr>
        <w:t xml:space="preserve">, y la Cumbre Mundial de la Juventud de </w:t>
      </w:r>
      <w:r w:rsidR="00296F03" w:rsidRPr="00F05461">
        <w:rPr>
          <w:lang w:val="es-ES"/>
        </w:rPr>
        <w:t>la UIT</w:t>
      </w:r>
      <w:r w:rsidR="005D7B2C" w:rsidRPr="00F05461">
        <w:rPr>
          <w:lang w:val="es-ES"/>
        </w:rPr>
        <w:t xml:space="preserve"> (GYS-25) reunió a </w:t>
      </w:r>
      <w:r w:rsidR="005D7B2C" w:rsidRPr="00F05461">
        <w:rPr>
          <w:b/>
          <w:bCs/>
          <w:lang w:val="es-ES"/>
        </w:rPr>
        <w:t>400</w:t>
      </w:r>
      <w:r w:rsidR="009D324F" w:rsidRPr="00F05461">
        <w:rPr>
          <w:b/>
          <w:bCs/>
          <w:lang w:val="es-ES"/>
        </w:rPr>
        <w:t> </w:t>
      </w:r>
      <w:r w:rsidR="005D7B2C" w:rsidRPr="00F05461">
        <w:rPr>
          <w:b/>
          <w:bCs/>
          <w:lang w:val="es-ES"/>
        </w:rPr>
        <w:t>participantes</w:t>
      </w:r>
      <w:r w:rsidR="005D7B2C" w:rsidRPr="00F05461">
        <w:rPr>
          <w:lang w:val="es-ES"/>
        </w:rPr>
        <w:t xml:space="preserve"> de </w:t>
      </w:r>
      <w:r w:rsidR="005D7B2C" w:rsidRPr="00F05461">
        <w:rPr>
          <w:b/>
          <w:bCs/>
          <w:lang w:val="es-ES"/>
        </w:rPr>
        <w:t>31</w:t>
      </w:r>
      <w:r w:rsidR="009D324F" w:rsidRPr="00F05461">
        <w:rPr>
          <w:b/>
          <w:bCs/>
          <w:lang w:val="es-ES"/>
        </w:rPr>
        <w:t> </w:t>
      </w:r>
      <w:r w:rsidR="005D7B2C" w:rsidRPr="00F05461">
        <w:rPr>
          <w:b/>
          <w:bCs/>
          <w:lang w:val="es-ES"/>
        </w:rPr>
        <w:t>países</w:t>
      </w:r>
      <w:r w:rsidR="005D7B2C" w:rsidRPr="00F05461">
        <w:rPr>
          <w:lang w:val="es-ES"/>
        </w:rPr>
        <w:t>.</w:t>
      </w:r>
    </w:p>
    <w:p w14:paraId="6E6675BD" w14:textId="6E5A468C"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El número de países con marcos de accesibilidad a las</w:t>
      </w:r>
      <w:r w:rsidR="00E233D6" w:rsidRPr="00F05461">
        <w:rPr>
          <w:lang w:val="es-ES"/>
        </w:rPr>
        <w:t> </w:t>
      </w:r>
      <w:r w:rsidR="005D7B2C" w:rsidRPr="00F05461">
        <w:rPr>
          <w:lang w:val="es-ES"/>
        </w:rPr>
        <w:t xml:space="preserve">TIC ascendió a </w:t>
      </w:r>
      <w:r w:rsidR="005D7B2C" w:rsidRPr="00F05461">
        <w:rPr>
          <w:b/>
          <w:bCs/>
          <w:lang w:val="es-ES"/>
        </w:rPr>
        <w:t>101</w:t>
      </w:r>
      <w:r w:rsidR="005D7B2C" w:rsidRPr="00F05461">
        <w:rPr>
          <w:lang w:val="es-ES"/>
        </w:rPr>
        <w:t>, y el</w:t>
      </w:r>
      <w:r w:rsidR="009D324F" w:rsidRPr="00F05461">
        <w:rPr>
          <w:lang w:val="es-ES"/>
        </w:rPr>
        <w:t> </w:t>
      </w:r>
      <w:r w:rsidR="005D7B2C" w:rsidRPr="00F05461">
        <w:rPr>
          <w:lang w:val="es-ES"/>
        </w:rPr>
        <w:t>UIT</w:t>
      </w:r>
      <w:r w:rsidR="009D324F" w:rsidRPr="00F05461">
        <w:rPr>
          <w:lang w:val="es-ES"/>
        </w:rPr>
        <w:noBreakHyphen/>
      </w:r>
      <w:r w:rsidR="005D7B2C" w:rsidRPr="00F05461">
        <w:rPr>
          <w:lang w:val="es-ES"/>
        </w:rPr>
        <w:t>R aprobó actualizaciones de cinco publicaciones relacionadas con la accesibilidad.</w:t>
      </w:r>
    </w:p>
    <w:p w14:paraId="6BBFD895" w14:textId="5A073C3E"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 xml:space="preserve">Los programas de formación para comunidades indígenas se ampliaron a </w:t>
      </w:r>
      <w:r w:rsidR="005D7B2C" w:rsidRPr="00F05461">
        <w:rPr>
          <w:b/>
          <w:bCs/>
          <w:lang w:val="es-ES"/>
        </w:rPr>
        <w:t>América Latina</w:t>
      </w:r>
      <w:r w:rsidR="005D7B2C" w:rsidRPr="00F05461">
        <w:rPr>
          <w:lang w:val="es-ES"/>
        </w:rPr>
        <w:t xml:space="preserve">, </w:t>
      </w:r>
      <w:r w:rsidR="005D7B2C" w:rsidRPr="00F05461">
        <w:rPr>
          <w:b/>
          <w:bCs/>
          <w:lang w:val="es-ES"/>
        </w:rPr>
        <w:t>África</w:t>
      </w:r>
      <w:r w:rsidR="005D7B2C" w:rsidRPr="00F05461">
        <w:rPr>
          <w:lang w:val="es-ES"/>
        </w:rPr>
        <w:t xml:space="preserve"> y el </w:t>
      </w:r>
      <w:r w:rsidR="005D7B2C" w:rsidRPr="00F05461">
        <w:rPr>
          <w:b/>
          <w:bCs/>
          <w:lang w:val="es-ES"/>
        </w:rPr>
        <w:t>Caribe</w:t>
      </w:r>
      <w:r w:rsidR="005D7B2C" w:rsidRPr="00F05461">
        <w:rPr>
          <w:lang w:val="es-ES"/>
        </w:rPr>
        <w:t>, formando a cientos de administradores de redes locales.</w:t>
      </w:r>
    </w:p>
    <w:p w14:paraId="39E4AEF6" w14:textId="5C825306" w:rsidR="005D7B2C" w:rsidRPr="00F05461" w:rsidRDefault="005D7B2C" w:rsidP="00572AC5">
      <w:pPr>
        <w:pStyle w:val="Headingb"/>
      </w:pPr>
      <w:r w:rsidRPr="00F05461">
        <w:t>Sostenibilidad ambiental, acción climática y circularidad</w:t>
      </w:r>
    </w:p>
    <w:p w14:paraId="1518DD53" w14:textId="09C800F5"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 xml:space="preserve">Los residuos electrónicos generados a escala mundial alcanzaron los </w:t>
      </w:r>
      <w:r w:rsidR="005D7B2C" w:rsidRPr="00F05461">
        <w:rPr>
          <w:b/>
          <w:bCs/>
          <w:lang w:val="es-ES"/>
        </w:rPr>
        <w:t>62 000</w:t>
      </w:r>
      <w:r w:rsidR="009D324F" w:rsidRPr="00F05461">
        <w:rPr>
          <w:b/>
          <w:bCs/>
          <w:lang w:val="es-ES"/>
        </w:rPr>
        <w:t> </w:t>
      </w:r>
      <w:r w:rsidR="005D7B2C" w:rsidRPr="00F05461">
        <w:rPr>
          <w:b/>
          <w:bCs/>
          <w:lang w:val="es-ES"/>
        </w:rPr>
        <w:t>millones de kg</w:t>
      </w:r>
      <w:r w:rsidR="005D7B2C" w:rsidRPr="00F05461">
        <w:rPr>
          <w:lang w:val="es-ES"/>
        </w:rPr>
        <w:t xml:space="preserve"> en 2022, mientras que la tasa de reciclaje se mantuvo en el </w:t>
      </w:r>
      <w:r w:rsidR="005D7B2C" w:rsidRPr="00F05461">
        <w:rPr>
          <w:b/>
          <w:bCs/>
          <w:lang w:val="es-ES"/>
        </w:rPr>
        <w:t>22,3</w:t>
      </w:r>
      <w:r w:rsidR="009D324F" w:rsidRPr="00F05461">
        <w:rPr>
          <w:b/>
          <w:bCs/>
          <w:lang w:val="es-ES"/>
        </w:rPr>
        <w:t> </w:t>
      </w:r>
      <w:r w:rsidR="00BF0FFC" w:rsidRPr="00F05461">
        <w:rPr>
          <w:b/>
          <w:bCs/>
          <w:lang w:val="es-ES"/>
        </w:rPr>
        <w:t>por ciento</w:t>
      </w:r>
      <w:r w:rsidR="005D7B2C" w:rsidRPr="00F05461">
        <w:rPr>
          <w:lang w:val="es-ES"/>
        </w:rPr>
        <w:t xml:space="preserve">; se prevé que la generación de residuos electrónicos alcance los </w:t>
      </w:r>
      <w:r w:rsidR="005D7B2C" w:rsidRPr="00F05461">
        <w:rPr>
          <w:b/>
          <w:bCs/>
          <w:lang w:val="es-ES"/>
        </w:rPr>
        <w:t>82 000</w:t>
      </w:r>
      <w:r w:rsidR="009D324F" w:rsidRPr="00F05461">
        <w:rPr>
          <w:b/>
          <w:bCs/>
          <w:lang w:val="es-ES"/>
        </w:rPr>
        <w:t> </w:t>
      </w:r>
      <w:r w:rsidR="005D7B2C" w:rsidRPr="00F05461">
        <w:rPr>
          <w:b/>
          <w:bCs/>
          <w:lang w:val="es-ES"/>
        </w:rPr>
        <w:t>millones de kg para 2030</w:t>
      </w:r>
      <w:r w:rsidR="005D7B2C" w:rsidRPr="00F05461">
        <w:rPr>
          <w:lang w:val="es-ES"/>
        </w:rPr>
        <w:t>.</w:t>
      </w:r>
    </w:p>
    <w:p w14:paraId="75EF7757" w14:textId="75B721CA" w:rsidR="005D7B2C" w:rsidRPr="00F05461" w:rsidRDefault="00312480" w:rsidP="00572AC5">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prestó apoyo a </w:t>
      </w:r>
      <w:r w:rsidR="005D7B2C" w:rsidRPr="00F05461">
        <w:rPr>
          <w:b/>
          <w:bCs/>
          <w:lang w:val="es-ES"/>
        </w:rPr>
        <w:t>14</w:t>
      </w:r>
      <w:r w:rsidR="009D324F" w:rsidRPr="00F05461">
        <w:rPr>
          <w:b/>
          <w:bCs/>
          <w:lang w:val="es-ES"/>
        </w:rPr>
        <w:t> </w:t>
      </w:r>
      <w:r w:rsidR="005D7B2C" w:rsidRPr="00F05461">
        <w:rPr>
          <w:b/>
          <w:bCs/>
          <w:lang w:val="es-ES"/>
        </w:rPr>
        <w:t>países</w:t>
      </w:r>
      <w:r w:rsidR="005D7B2C" w:rsidRPr="00F05461">
        <w:rPr>
          <w:lang w:val="es-ES"/>
        </w:rPr>
        <w:t xml:space="preserve"> (2023-2025) en materia de reglamentación de la responsabilidad del productor y políticas de economía circular.</w:t>
      </w:r>
    </w:p>
    <w:p w14:paraId="7EC23BAA" w14:textId="5A02888B" w:rsidR="005D7B2C" w:rsidRPr="00F05461" w:rsidRDefault="00312480" w:rsidP="004E1F8D">
      <w:pPr>
        <w:pStyle w:val="enumlev1"/>
        <w:keepNext/>
        <w:keepLines/>
        <w:rPr>
          <w:lang w:val="es-ES"/>
        </w:rPr>
      </w:pPr>
      <w:r w:rsidRPr="00F05461">
        <w:rPr>
          <w:lang w:val="es-ES"/>
        </w:rPr>
        <w:lastRenderedPageBreak/>
        <w:t>•</w:t>
      </w:r>
      <w:r w:rsidRPr="00F05461">
        <w:rPr>
          <w:lang w:val="es-ES"/>
        </w:rPr>
        <w:tab/>
      </w:r>
      <w:r w:rsidR="005D7B2C" w:rsidRPr="00F05461">
        <w:rPr>
          <w:lang w:val="es-ES"/>
        </w:rPr>
        <w:t xml:space="preserve">El Panel de control de sostenibilidad digital de </w:t>
      </w:r>
      <w:r w:rsidR="00296F03" w:rsidRPr="00F05461">
        <w:rPr>
          <w:lang w:val="es-ES"/>
        </w:rPr>
        <w:t>la UIT</w:t>
      </w:r>
      <w:r w:rsidR="005D7B2C" w:rsidRPr="00F05461">
        <w:rPr>
          <w:lang w:val="es-ES"/>
        </w:rPr>
        <w:t xml:space="preserve"> abarcó </w:t>
      </w:r>
      <w:r w:rsidR="005D7B2C" w:rsidRPr="00F05461">
        <w:rPr>
          <w:b/>
          <w:bCs/>
          <w:lang w:val="es-ES"/>
        </w:rPr>
        <w:t>200</w:t>
      </w:r>
      <w:r w:rsidR="009D324F" w:rsidRPr="00F05461">
        <w:rPr>
          <w:b/>
          <w:bCs/>
          <w:lang w:val="es-ES"/>
        </w:rPr>
        <w:t> </w:t>
      </w:r>
      <w:r w:rsidR="005D7B2C" w:rsidRPr="00F05461">
        <w:rPr>
          <w:b/>
          <w:bCs/>
          <w:lang w:val="es-ES"/>
        </w:rPr>
        <w:t>empresas digitales</w:t>
      </w:r>
      <w:r w:rsidR="005D7B2C" w:rsidRPr="00F05461">
        <w:rPr>
          <w:lang w:val="es-ES"/>
        </w:rPr>
        <w:t xml:space="preserve">, mostrando </w:t>
      </w:r>
      <w:r w:rsidR="005D7B2C" w:rsidRPr="00F05461">
        <w:rPr>
          <w:b/>
          <w:bCs/>
          <w:lang w:val="es-ES"/>
        </w:rPr>
        <w:t>297,3</w:t>
      </w:r>
      <w:r w:rsidR="009D324F" w:rsidRPr="00F05461">
        <w:rPr>
          <w:b/>
          <w:bCs/>
          <w:lang w:val="es-ES"/>
        </w:rPr>
        <w:t> </w:t>
      </w:r>
      <w:r w:rsidR="005D7B2C" w:rsidRPr="00F05461">
        <w:rPr>
          <w:b/>
          <w:bCs/>
          <w:lang w:val="es-ES"/>
        </w:rPr>
        <w:t>millones de toneladas de emisiones equivalentes de CO₂ (tCO₂e)</w:t>
      </w:r>
      <w:r w:rsidR="005D7B2C" w:rsidRPr="00F05461">
        <w:rPr>
          <w:lang w:val="es-ES"/>
        </w:rPr>
        <w:t xml:space="preserve"> en</w:t>
      </w:r>
      <w:r w:rsidR="00E233D6" w:rsidRPr="00F05461">
        <w:rPr>
          <w:lang w:val="es-ES"/>
        </w:rPr>
        <w:t> </w:t>
      </w:r>
      <w:r w:rsidR="005D7B2C" w:rsidRPr="00F05461">
        <w:rPr>
          <w:lang w:val="es-ES"/>
        </w:rPr>
        <w:t>2023, lo que representa el 0,8</w:t>
      </w:r>
      <w:r w:rsidR="009D324F" w:rsidRPr="00F05461">
        <w:rPr>
          <w:lang w:val="es-ES"/>
        </w:rPr>
        <w:t> </w:t>
      </w:r>
      <w:r w:rsidR="001D269F" w:rsidRPr="00F05461">
        <w:rPr>
          <w:lang w:val="es-ES"/>
        </w:rPr>
        <w:t>por ciento</w:t>
      </w:r>
      <w:r w:rsidR="005D7B2C" w:rsidRPr="00F05461">
        <w:rPr>
          <w:lang w:val="es-ES"/>
        </w:rPr>
        <w:t xml:space="preserve"> de las emisiones mundiales relacionadas con la energía.</w:t>
      </w:r>
    </w:p>
    <w:p w14:paraId="7C77DAB8" w14:textId="01CE70FD"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La Comisión de Estudio</w:t>
      </w:r>
      <w:r w:rsidR="009D324F" w:rsidRPr="00F05461">
        <w:rPr>
          <w:lang w:val="es-ES"/>
        </w:rPr>
        <w:t> </w:t>
      </w:r>
      <w:r w:rsidR="005D7B2C" w:rsidRPr="00F05461">
        <w:rPr>
          <w:lang w:val="es-ES"/>
        </w:rPr>
        <w:t xml:space="preserve">5 del UIT-T aprobó </w:t>
      </w:r>
      <w:r w:rsidR="005D7B2C" w:rsidRPr="00F05461">
        <w:rPr>
          <w:b/>
          <w:bCs/>
          <w:lang w:val="es-ES"/>
        </w:rPr>
        <w:t>110</w:t>
      </w:r>
      <w:r w:rsidR="009D324F" w:rsidRPr="00F05461">
        <w:rPr>
          <w:b/>
          <w:bCs/>
          <w:lang w:val="es-ES"/>
        </w:rPr>
        <w:t> </w:t>
      </w:r>
      <w:r w:rsidR="005D7B2C" w:rsidRPr="00F05461">
        <w:rPr>
          <w:b/>
          <w:bCs/>
          <w:lang w:val="es-ES"/>
        </w:rPr>
        <w:t>Recomendaciones</w:t>
      </w:r>
      <w:r w:rsidR="005D7B2C" w:rsidRPr="00F05461">
        <w:rPr>
          <w:lang w:val="es-ES"/>
        </w:rPr>
        <w:t xml:space="preserve"> sobre sostenibilidad medioambiental entre 2022 y 2025.</w:t>
      </w:r>
    </w:p>
    <w:p w14:paraId="1D0ECFB0" w14:textId="258913AA"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 xml:space="preserve">La iniciativa Acción Digital </w:t>
      </w:r>
      <w:r w:rsidR="00EF6A42" w:rsidRPr="00F05461">
        <w:rPr>
          <w:lang w:val="es-ES"/>
        </w:rPr>
        <w:t>Ecológica</w:t>
      </w:r>
      <w:r w:rsidR="005D7B2C" w:rsidRPr="00F05461">
        <w:rPr>
          <w:lang w:val="es-ES"/>
        </w:rPr>
        <w:t xml:space="preserve"> de </w:t>
      </w:r>
      <w:r w:rsidR="00296F03" w:rsidRPr="00F05461">
        <w:rPr>
          <w:lang w:val="es-ES"/>
        </w:rPr>
        <w:t>la UIT</w:t>
      </w:r>
      <w:r w:rsidR="005D7B2C" w:rsidRPr="00F05461">
        <w:rPr>
          <w:lang w:val="es-ES"/>
        </w:rPr>
        <w:t xml:space="preserve"> movilizó a </w:t>
      </w:r>
      <w:r w:rsidR="005D7B2C" w:rsidRPr="00F05461">
        <w:rPr>
          <w:b/>
          <w:bCs/>
          <w:lang w:val="es-ES"/>
        </w:rPr>
        <w:t>82</w:t>
      </w:r>
      <w:r w:rsidR="009D324F" w:rsidRPr="00F05461">
        <w:rPr>
          <w:b/>
          <w:bCs/>
          <w:lang w:val="es-ES"/>
        </w:rPr>
        <w:t> </w:t>
      </w:r>
      <w:r w:rsidR="005D7B2C" w:rsidRPr="00F05461">
        <w:rPr>
          <w:b/>
          <w:bCs/>
          <w:lang w:val="es-ES"/>
        </w:rPr>
        <w:t>países</w:t>
      </w:r>
      <w:r w:rsidR="005D7B2C" w:rsidRPr="00F05461">
        <w:rPr>
          <w:lang w:val="es-ES"/>
        </w:rPr>
        <w:t xml:space="preserve"> y a cerca de </w:t>
      </w:r>
      <w:r w:rsidR="005D7B2C" w:rsidRPr="00F05461">
        <w:rPr>
          <w:b/>
          <w:bCs/>
          <w:lang w:val="es-ES"/>
        </w:rPr>
        <w:t>1</w:t>
      </w:r>
      <w:r w:rsidR="009D324F" w:rsidRPr="00F05461">
        <w:rPr>
          <w:b/>
          <w:bCs/>
          <w:lang w:val="es-ES"/>
        </w:rPr>
        <w:t> </w:t>
      </w:r>
      <w:r w:rsidR="005D7B2C" w:rsidRPr="00F05461">
        <w:rPr>
          <w:b/>
          <w:bCs/>
          <w:lang w:val="es-ES"/>
        </w:rPr>
        <w:t>800</w:t>
      </w:r>
      <w:r w:rsidR="009D324F" w:rsidRPr="00F05461">
        <w:rPr>
          <w:b/>
          <w:bCs/>
          <w:lang w:val="es-ES"/>
        </w:rPr>
        <w:t> </w:t>
      </w:r>
      <w:r w:rsidR="005D7B2C" w:rsidRPr="00F05461">
        <w:rPr>
          <w:b/>
          <w:bCs/>
          <w:lang w:val="es-ES"/>
        </w:rPr>
        <w:t>actores no estatales</w:t>
      </w:r>
      <w:r w:rsidR="005D7B2C" w:rsidRPr="00F05461">
        <w:rPr>
          <w:lang w:val="es-ES"/>
        </w:rPr>
        <w:t xml:space="preserve"> para respaldar la Declaración de la Presidencia de la</w:t>
      </w:r>
      <w:r w:rsidR="009D324F" w:rsidRPr="00F05461">
        <w:rPr>
          <w:lang w:val="es-ES"/>
        </w:rPr>
        <w:t> </w:t>
      </w:r>
      <w:r w:rsidR="005D7B2C" w:rsidRPr="00F05461">
        <w:rPr>
          <w:lang w:val="es-ES"/>
        </w:rPr>
        <w:t xml:space="preserve">COP29 sobre la Acción Digital </w:t>
      </w:r>
      <w:r w:rsidR="00EF6A42" w:rsidRPr="00F05461">
        <w:rPr>
          <w:lang w:val="es-ES"/>
        </w:rPr>
        <w:t>Ecológica</w:t>
      </w:r>
      <w:r w:rsidR="005D7B2C" w:rsidRPr="00F05461">
        <w:rPr>
          <w:lang w:val="es-ES"/>
        </w:rPr>
        <w:t>.</w:t>
      </w:r>
    </w:p>
    <w:p w14:paraId="5C425CBE" w14:textId="15F11369" w:rsidR="005D7B2C" w:rsidRPr="00F05461" w:rsidRDefault="005D7B2C" w:rsidP="00572AC5">
      <w:pPr>
        <w:pStyle w:val="Headingb"/>
      </w:pPr>
      <w:r w:rsidRPr="00F05461">
        <w:t>Miembros</w:t>
      </w:r>
    </w:p>
    <w:p w14:paraId="78ECBBA3" w14:textId="38052897" w:rsidR="005D7B2C" w:rsidRPr="00F05461" w:rsidRDefault="00312480" w:rsidP="00572AC5">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alcanzó las</w:t>
      </w:r>
      <w:r w:rsidR="00296F03" w:rsidRPr="00F05461">
        <w:rPr>
          <w:lang w:val="es-ES"/>
        </w:rPr>
        <w:t xml:space="preserve"> </w:t>
      </w:r>
      <w:r w:rsidR="005D7B2C" w:rsidRPr="00F05461">
        <w:rPr>
          <w:b/>
          <w:bCs/>
          <w:lang w:val="es-ES"/>
        </w:rPr>
        <w:t>1</w:t>
      </w:r>
      <w:r w:rsidR="00296F03" w:rsidRPr="00F05461">
        <w:rPr>
          <w:b/>
          <w:bCs/>
          <w:lang w:val="es-ES"/>
        </w:rPr>
        <w:t> </w:t>
      </w:r>
      <w:r w:rsidR="005D7B2C" w:rsidRPr="00F05461">
        <w:rPr>
          <w:b/>
          <w:bCs/>
          <w:lang w:val="es-ES"/>
        </w:rPr>
        <w:t>048</w:t>
      </w:r>
      <w:r w:rsidR="00296F03" w:rsidRPr="00F05461">
        <w:rPr>
          <w:b/>
          <w:bCs/>
          <w:lang w:val="es-ES"/>
        </w:rPr>
        <w:t> </w:t>
      </w:r>
      <w:r w:rsidR="005D7B2C" w:rsidRPr="00F05461">
        <w:rPr>
          <w:b/>
          <w:bCs/>
          <w:lang w:val="es-ES"/>
        </w:rPr>
        <w:t>entidades miembros</w:t>
      </w:r>
      <w:r w:rsidR="004E1F8D">
        <w:rPr>
          <w:lang w:val="es-ES"/>
        </w:rPr>
        <w:t xml:space="preserve"> </w:t>
      </w:r>
      <w:r w:rsidR="005D7B2C" w:rsidRPr="00F05461">
        <w:rPr>
          <w:lang w:val="es-ES"/>
        </w:rPr>
        <w:t>en 2025, lo que supone un incremento neto de</w:t>
      </w:r>
      <w:r w:rsidR="00296F03" w:rsidRPr="00F05461">
        <w:rPr>
          <w:lang w:val="es-ES"/>
        </w:rPr>
        <w:t xml:space="preserve"> </w:t>
      </w:r>
      <w:r w:rsidR="005D7B2C" w:rsidRPr="00F05461">
        <w:rPr>
          <w:b/>
          <w:bCs/>
          <w:lang w:val="es-ES"/>
        </w:rPr>
        <w:t>139</w:t>
      </w:r>
      <w:r w:rsidR="005D7B2C" w:rsidRPr="00F05461">
        <w:rPr>
          <w:lang w:val="es-ES"/>
        </w:rPr>
        <w:t> miembros (402</w:t>
      </w:r>
      <w:r w:rsidR="009D324F" w:rsidRPr="00F05461">
        <w:rPr>
          <w:lang w:val="es-ES"/>
        </w:rPr>
        <w:t> </w:t>
      </w:r>
      <w:r w:rsidR="005D7B2C" w:rsidRPr="00F05461">
        <w:rPr>
          <w:lang w:val="es-ES"/>
        </w:rPr>
        <w:t>incorporaciones y 263</w:t>
      </w:r>
      <w:r w:rsidR="009D324F" w:rsidRPr="00F05461">
        <w:rPr>
          <w:lang w:val="es-ES"/>
        </w:rPr>
        <w:t> </w:t>
      </w:r>
      <w:r w:rsidR="005D7B2C" w:rsidRPr="00F05461">
        <w:rPr>
          <w:lang w:val="es-ES"/>
        </w:rPr>
        <w:t>bajas) desde 2022.</w:t>
      </w:r>
    </w:p>
    <w:p w14:paraId="2CE75B85" w14:textId="0D38082E"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 xml:space="preserve">Los miembros asociados con cuota reducida para </w:t>
      </w:r>
      <w:r w:rsidR="00296F03" w:rsidRPr="00F05461">
        <w:rPr>
          <w:lang w:val="es-ES"/>
        </w:rPr>
        <w:t>pequeñas y medianas empresas (</w:t>
      </w:r>
      <w:r w:rsidR="005D7B2C" w:rsidRPr="00F05461">
        <w:rPr>
          <w:lang w:val="es-ES"/>
        </w:rPr>
        <w:t>pymes</w:t>
      </w:r>
      <w:r w:rsidR="00296F03" w:rsidRPr="00F05461">
        <w:rPr>
          <w:lang w:val="es-ES"/>
        </w:rPr>
        <w:t>)</w:t>
      </w:r>
      <w:r w:rsidR="005D7B2C" w:rsidRPr="00F05461">
        <w:rPr>
          <w:lang w:val="es-ES"/>
        </w:rPr>
        <w:t xml:space="preserve"> alcanzaron las </w:t>
      </w:r>
      <w:r w:rsidR="005D7B2C" w:rsidRPr="00F05461">
        <w:rPr>
          <w:b/>
          <w:bCs/>
          <w:lang w:val="es-ES"/>
        </w:rPr>
        <w:t>120 afiliaciones</w:t>
      </w:r>
      <w:r w:rsidR="005D7B2C" w:rsidRPr="00F05461">
        <w:rPr>
          <w:lang w:val="es-ES"/>
        </w:rPr>
        <w:t>, con</w:t>
      </w:r>
      <w:r w:rsidR="009D324F" w:rsidRPr="00F05461">
        <w:rPr>
          <w:lang w:val="es-ES"/>
        </w:rPr>
        <w:t xml:space="preserve"> </w:t>
      </w:r>
      <w:r w:rsidR="004C293A" w:rsidRPr="00F05461">
        <w:rPr>
          <w:b/>
          <w:bCs/>
          <w:lang w:val="es-ES"/>
        </w:rPr>
        <w:t>más de</w:t>
      </w:r>
      <w:r w:rsidR="004C293A" w:rsidRPr="00F05461">
        <w:rPr>
          <w:lang w:val="es-ES"/>
        </w:rPr>
        <w:t xml:space="preserve"> </w:t>
      </w:r>
      <w:r w:rsidR="005D7B2C" w:rsidRPr="00F05461">
        <w:rPr>
          <w:b/>
          <w:bCs/>
          <w:lang w:val="es-ES"/>
        </w:rPr>
        <w:t>26</w:t>
      </w:r>
      <w:r w:rsidR="009D324F" w:rsidRPr="00F05461">
        <w:rPr>
          <w:b/>
          <w:bCs/>
          <w:lang w:val="es-ES"/>
        </w:rPr>
        <w:t> </w:t>
      </w:r>
      <w:r w:rsidR="005D7B2C" w:rsidRPr="00F05461">
        <w:rPr>
          <w:b/>
          <w:bCs/>
          <w:lang w:val="es-ES"/>
        </w:rPr>
        <w:t>nuevas afiliaciones netas</w:t>
      </w:r>
      <w:r w:rsidR="009D324F" w:rsidRPr="00F05461">
        <w:rPr>
          <w:lang w:val="es-ES"/>
        </w:rPr>
        <w:t xml:space="preserve"> </w:t>
      </w:r>
      <w:r w:rsidR="005D7B2C" w:rsidRPr="00F05461">
        <w:rPr>
          <w:lang w:val="es-ES"/>
        </w:rPr>
        <w:t>en</w:t>
      </w:r>
      <w:r w:rsidR="004C293A" w:rsidRPr="00F05461">
        <w:rPr>
          <w:lang w:val="es-ES"/>
        </w:rPr>
        <w:t> </w:t>
      </w:r>
      <w:r w:rsidR="005D7B2C" w:rsidRPr="00F05461">
        <w:rPr>
          <w:lang w:val="es-ES"/>
        </w:rPr>
        <w:t>2025.</w:t>
      </w:r>
    </w:p>
    <w:p w14:paraId="42AEC82C" w14:textId="36102C9E" w:rsidR="005D7B2C" w:rsidRPr="00F05461" w:rsidRDefault="005D7B2C" w:rsidP="00572AC5">
      <w:pPr>
        <w:pStyle w:val="Headingb"/>
      </w:pPr>
      <w:r w:rsidRPr="00F05461">
        <w:t>Transformación institucional</w:t>
      </w:r>
    </w:p>
    <w:p w14:paraId="6DC94925" w14:textId="4B51B7DB" w:rsidR="005D7B2C" w:rsidRPr="00F05461" w:rsidRDefault="00312480" w:rsidP="00572AC5">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logró superar una serie de dictámenes de auditoría sin reservas, logrando el </w:t>
      </w:r>
      <w:r w:rsidR="005D7B2C" w:rsidRPr="00F05461">
        <w:rPr>
          <w:b/>
          <w:bCs/>
          <w:lang w:val="es-ES"/>
        </w:rPr>
        <w:t>pleno cumplimiento de las</w:t>
      </w:r>
      <w:r w:rsidR="009D324F" w:rsidRPr="00F05461">
        <w:rPr>
          <w:b/>
          <w:bCs/>
          <w:lang w:val="es-ES"/>
        </w:rPr>
        <w:t> </w:t>
      </w:r>
      <w:r w:rsidR="005D7B2C" w:rsidRPr="00F05461">
        <w:rPr>
          <w:b/>
          <w:bCs/>
          <w:lang w:val="es-ES"/>
        </w:rPr>
        <w:t>NICSP</w:t>
      </w:r>
      <w:r w:rsidR="005D7B2C" w:rsidRPr="00F05461">
        <w:rPr>
          <w:lang w:val="es-ES"/>
        </w:rPr>
        <w:t xml:space="preserve"> gracias a las mejoras introducidas en los sistemas de tesorería, fondos extrapresupuestarios y asignación presupuestaria.</w:t>
      </w:r>
    </w:p>
    <w:p w14:paraId="5E0806D4" w14:textId="3F20C258" w:rsidR="005D7B2C" w:rsidRPr="00F05461" w:rsidRDefault="00312480" w:rsidP="00572AC5">
      <w:pPr>
        <w:pStyle w:val="enumlev1"/>
        <w:rPr>
          <w:lang w:val="es-ES"/>
        </w:rPr>
      </w:pPr>
      <w:r w:rsidRPr="00F05461">
        <w:rPr>
          <w:lang w:val="es-ES"/>
        </w:rPr>
        <w:t>•</w:t>
      </w:r>
      <w:r w:rsidRPr="00F05461">
        <w:rPr>
          <w:lang w:val="es-ES"/>
        </w:rPr>
        <w:tab/>
      </w:r>
      <w:r w:rsidR="005D7B2C" w:rsidRPr="00F05461">
        <w:rPr>
          <w:lang w:val="es-ES"/>
        </w:rPr>
        <w:t xml:space="preserve">Gracias a una gestión financiera proactiva y disciplinada, </w:t>
      </w:r>
      <w:r w:rsidR="00296F03" w:rsidRPr="00F05461">
        <w:rPr>
          <w:lang w:val="es-ES"/>
        </w:rPr>
        <w:t>la UIT</w:t>
      </w:r>
      <w:r w:rsidR="005D7B2C" w:rsidRPr="00F05461">
        <w:rPr>
          <w:lang w:val="es-ES"/>
        </w:rPr>
        <w:t xml:space="preserve"> logró un </w:t>
      </w:r>
      <w:r w:rsidR="005D7B2C" w:rsidRPr="00F05461">
        <w:rPr>
          <w:b/>
          <w:bCs/>
          <w:lang w:val="es-ES"/>
        </w:rPr>
        <w:t>superávit presupuestario del 3</w:t>
      </w:r>
      <w:r w:rsidR="009D324F" w:rsidRPr="00F05461">
        <w:rPr>
          <w:b/>
          <w:bCs/>
          <w:lang w:val="es-ES"/>
        </w:rPr>
        <w:t> </w:t>
      </w:r>
      <w:r w:rsidR="00BF0FFC" w:rsidRPr="00F05461">
        <w:rPr>
          <w:b/>
          <w:bCs/>
          <w:lang w:val="es-ES"/>
        </w:rPr>
        <w:t>por ciento</w:t>
      </w:r>
      <w:r w:rsidR="005D7B2C" w:rsidRPr="00F05461">
        <w:rPr>
          <w:lang w:val="es-ES"/>
        </w:rPr>
        <w:t xml:space="preserve"> en 2024 y del </w:t>
      </w:r>
      <w:r w:rsidR="005D7B2C" w:rsidRPr="00F05461">
        <w:rPr>
          <w:b/>
          <w:bCs/>
          <w:lang w:val="es-ES"/>
        </w:rPr>
        <w:t>7</w:t>
      </w:r>
      <w:r w:rsidR="009D324F" w:rsidRPr="00F05461">
        <w:rPr>
          <w:b/>
          <w:bCs/>
          <w:lang w:val="es-ES"/>
        </w:rPr>
        <w:t> </w:t>
      </w:r>
      <w:r w:rsidR="00BF0FFC" w:rsidRPr="00F05461">
        <w:rPr>
          <w:b/>
          <w:bCs/>
          <w:lang w:val="es-ES"/>
        </w:rPr>
        <w:t>por ciento</w:t>
      </w:r>
      <w:r w:rsidR="005D7B2C" w:rsidRPr="00F05461">
        <w:rPr>
          <w:lang w:val="es-ES"/>
        </w:rPr>
        <w:t xml:space="preserve"> en 2025.</w:t>
      </w:r>
    </w:p>
    <w:p w14:paraId="74FACC8D" w14:textId="71C1CF36" w:rsidR="005D7B2C" w:rsidRPr="00F05461" w:rsidRDefault="00312480" w:rsidP="00572AC5">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dio prioridad a la transformación de las personas y la cultura, mediante la puesta en marcha de la primera </w:t>
      </w:r>
      <w:r w:rsidR="005D7B2C" w:rsidRPr="00F05461">
        <w:rPr>
          <w:b/>
          <w:bCs/>
          <w:lang w:val="es-ES"/>
        </w:rPr>
        <w:t>encuesta sobre el grado de compromiso del personal</w:t>
      </w:r>
      <w:r w:rsidR="005D7B2C" w:rsidRPr="00F05461">
        <w:rPr>
          <w:lang w:val="es-ES"/>
        </w:rPr>
        <w:t xml:space="preserve"> y los planes de acción de seguimiento, el </w:t>
      </w:r>
      <w:r w:rsidR="005D7B2C" w:rsidRPr="00F05461">
        <w:rPr>
          <w:b/>
          <w:bCs/>
          <w:lang w:val="es-ES"/>
        </w:rPr>
        <w:t>programa de liderazgo adaptativo</w:t>
      </w:r>
      <w:r w:rsidR="005D7B2C" w:rsidRPr="00F05461">
        <w:rPr>
          <w:lang w:val="es-ES"/>
        </w:rPr>
        <w:t xml:space="preserve"> en curso y la puesta en marcha del programa de </w:t>
      </w:r>
      <w:r w:rsidR="005D7B2C" w:rsidRPr="00F05461">
        <w:rPr>
          <w:b/>
          <w:bCs/>
          <w:lang w:val="es-ES"/>
        </w:rPr>
        <w:t>reconocimiento y recompensas</w:t>
      </w:r>
      <w:r w:rsidR="005D7B2C" w:rsidRPr="00F05461">
        <w:rPr>
          <w:lang w:val="es-ES"/>
        </w:rPr>
        <w:t>.</w:t>
      </w:r>
    </w:p>
    <w:p w14:paraId="54863FBF" w14:textId="7BA2DD88" w:rsidR="005D7B2C" w:rsidRPr="00F05461" w:rsidRDefault="00312480" w:rsidP="00572AC5">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reforzó de manera considerable su gobernanza y supervisión, gracias a la creación de la </w:t>
      </w:r>
      <w:r w:rsidR="005D7B2C" w:rsidRPr="00F05461">
        <w:rPr>
          <w:b/>
          <w:bCs/>
          <w:lang w:val="es-ES"/>
        </w:rPr>
        <w:t>Unidad de Supervisión</w:t>
      </w:r>
      <w:r w:rsidR="005D7B2C" w:rsidRPr="00F05461">
        <w:rPr>
          <w:lang w:val="es-ES"/>
        </w:rPr>
        <w:t xml:space="preserve"> (que contará con una plantilla completa en enero de 2026), el establecimiento de la </w:t>
      </w:r>
      <w:r w:rsidR="005D7B2C" w:rsidRPr="00F05461">
        <w:rPr>
          <w:b/>
          <w:bCs/>
          <w:lang w:val="es-ES"/>
        </w:rPr>
        <w:t>Función de Evaluación</w:t>
      </w:r>
      <w:r w:rsidR="005D7B2C" w:rsidRPr="00F05461">
        <w:rPr>
          <w:lang w:val="es-ES"/>
        </w:rPr>
        <w:t xml:space="preserve">, la formalización de la </w:t>
      </w:r>
      <w:r w:rsidR="005D7B2C" w:rsidRPr="00F05461">
        <w:rPr>
          <w:b/>
          <w:bCs/>
          <w:lang w:val="es-ES"/>
        </w:rPr>
        <w:t>Carta de Ética</w:t>
      </w:r>
      <w:r w:rsidR="005D7B2C" w:rsidRPr="00F05461">
        <w:rPr>
          <w:lang w:val="es-ES"/>
        </w:rPr>
        <w:t xml:space="preserve"> y la creación de la función de </w:t>
      </w:r>
      <w:r w:rsidR="005D7B2C" w:rsidRPr="00F05461">
        <w:rPr>
          <w:b/>
          <w:bCs/>
          <w:lang w:val="es-ES"/>
        </w:rPr>
        <w:t>mediador</w:t>
      </w:r>
      <w:r w:rsidR="005D7B2C" w:rsidRPr="00F05461">
        <w:rPr>
          <w:lang w:val="es-ES"/>
        </w:rPr>
        <w:t xml:space="preserve"> independiente, así como la formación en evaluación impartida al personal para fomentar el espíritu de comunidad y los conocimientos especializados.</w:t>
      </w:r>
    </w:p>
    <w:p w14:paraId="3D486C69" w14:textId="1D7880FE" w:rsidR="005D7B2C" w:rsidRPr="00F05461" w:rsidRDefault="00312480" w:rsidP="00572AC5">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mejoró considerablemente su eficiencia al aprovechar las herramientas de traducción y edición basadas en la</w:t>
      </w:r>
      <w:r w:rsidR="004E1F8D">
        <w:rPr>
          <w:lang w:val="es-ES"/>
        </w:rPr>
        <w:t> IA</w:t>
      </w:r>
      <w:r w:rsidR="005D7B2C" w:rsidRPr="00F05461">
        <w:rPr>
          <w:lang w:val="es-ES"/>
        </w:rPr>
        <w:t xml:space="preserve">, logrando un </w:t>
      </w:r>
      <w:r w:rsidR="005D7B2C" w:rsidRPr="00F05461">
        <w:rPr>
          <w:b/>
          <w:bCs/>
          <w:lang w:val="es-ES"/>
        </w:rPr>
        <w:t>aumento del 20</w:t>
      </w:r>
      <w:r w:rsidR="009D324F" w:rsidRPr="00F05461">
        <w:rPr>
          <w:b/>
          <w:bCs/>
          <w:lang w:val="es-ES"/>
        </w:rPr>
        <w:t> </w:t>
      </w:r>
      <w:r w:rsidR="005D7B2C" w:rsidRPr="00F05461">
        <w:rPr>
          <w:b/>
          <w:bCs/>
          <w:lang w:val="es-ES"/>
        </w:rPr>
        <w:t>por ciento en la productividad</w:t>
      </w:r>
      <w:r w:rsidR="005D7B2C" w:rsidRPr="00F05461">
        <w:rPr>
          <w:lang w:val="es-ES"/>
        </w:rPr>
        <w:t xml:space="preserve"> de la traducción.</w:t>
      </w:r>
    </w:p>
    <w:p w14:paraId="1E73D2CF" w14:textId="2BA24E52" w:rsidR="005D7B2C" w:rsidRPr="00F05461" w:rsidRDefault="00312480" w:rsidP="00572AC5">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ha registrado ahorros en los costes de electricidad, incluida una </w:t>
      </w:r>
      <w:r w:rsidR="005D7B2C" w:rsidRPr="00F05461">
        <w:rPr>
          <w:b/>
          <w:bCs/>
          <w:lang w:val="es-ES"/>
        </w:rPr>
        <w:t>reducción del 40</w:t>
      </w:r>
      <w:r w:rsidR="009D324F" w:rsidRPr="00F05461">
        <w:rPr>
          <w:b/>
          <w:bCs/>
          <w:lang w:val="es-ES"/>
        </w:rPr>
        <w:t> </w:t>
      </w:r>
      <w:r w:rsidR="005D7B2C" w:rsidRPr="00F05461">
        <w:rPr>
          <w:b/>
          <w:bCs/>
          <w:lang w:val="es-ES"/>
        </w:rPr>
        <w:t>por ciento</w:t>
      </w:r>
      <w:r w:rsidR="005D7B2C" w:rsidRPr="00F05461">
        <w:rPr>
          <w:lang w:val="es-ES"/>
        </w:rPr>
        <w:t xml:space="preserve"> en 2024 con respecto a 2023 (unos 650</w:t>
      </w:r>
      <w:r w:rsidR="009D324F" w:rsidRPr="00F05461">
        <w:rPr>
          <w:lang w:val="es-ES"/>
        </w:rPr>
        <w:t> </w:t>
      </w:r>
      <w:r w:rsidR="005D7B2C" w:rsidRPr="00F05461">
        <w:rPr>
          <w:lang w:val="es-ES"/>
        </w:rPr>
        <w:t>000</w:t>
      </w:r>
      <w:r w:rsidR="009D324F" w:rsidRPr="00F05461">
        <w:rPr>
          <w:lang w:val="es-ES"/>
        </w:rPr>
        <w:t> </w:t>
      </w:r>
      <w:r w:rsidR="005D7B2C" w:rsidRPr="00F05461">
        <w:rPr>
          <w:lang w:val="es-ES"/>
        </w:rPr>
        <w:t xml:space="preserve">CHF) y otra </w:t>
      </w:r>
      <w:r w:rsidR="005D7B2C" w:rsidRPr="00F05461">
        <w:rPr>
          <w:b/>
          <w:bCs/>
          <w:lang w:val="es-ES"/>
        </w:rPr>
        <w:t>reducción del 20</w:t>
      </w:r>
      <w:r w:rsidR="009D324F" w:rsidRPr="00F05461">
        <w:rPr>
          <w:b/>
          <w:bCs/>
          <w:lang w:val="es-ES"/>
        </w:rPr>
        <w:t> </w:t>
      </w:r>
      <w:r w:rsidR="005D7B2C" w:rsidRPr="00F05461">
        <w:rPr>
          <w:b/>
          <w:bCs/>
          <w:lang w:val="es-ES"/>
        </w:rPr>
        <w:t>por ciento</w:t>
      </w:r>
      <w:r w:rsidR="005D7B2C" w:rsidRPr="00F05461">
        <w:rPr>
          <w:lang w:val="es-ES"/>
        </w:rPr>
        <w:t xml:space="preserve"> en 2025 (unos 200</w:t>
      </w:r>
      <w:r w:rsidR="009D324F" w:rsidRPr="00F05461">
        <w:rPr>
          <w:lang w:val="es-ES"/>
        </w:rPr>
        <w:t> </w:t>
      </w:r>
      <w:r w:rsidR="005D7B2C" w:rsidRPr="00F05461">
        <w:rPr>
          <w:lang w:val="es-ES"/>
        </w:rPr>
        <w:t>000</w:t>
      </w:r>
      <w:r w:rsidR="009D324F" w:rsidRPr="00F05461">
        <w:rPr>
          <w:lang w:val="es-ES"/>
        </w:rPr>
        <w:t> </w:t>
      </w:r>
      <w:r w:rsidR="005D7B2C" w:rsidRPr="00F05461">
        <w:rPr>
          <w:lang w:val="es-ES"/>
        </w:rPr>
        <w:t>CHF).</w:t>
      </w:r>
    </w:p>
    <w:p w14:paraId="5C6B20CB" w14:textId="38E30F8E" w:rsidR="005D7B2C" w:rsidRPr="00F05461" w:rsidRDefault="00312480" w:rsidP="00572AC5">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ha rediseñado el </w:t>
      </w:r>
      <w:r w:rsidR="005D7B2C" w:rsidRPr="00F05461">
        <w:rPr>
          <w:b/>
          <w:bCs/>
          <w:lang w:val="es-ES"/>
        </w:rPr>
        <w:t>proyecto del nuevo edificio</w:t>
      </w:r>
      <w:r w:rsidR="005D7B2C" w:rsidRPr="00F05461">
        <w:rPr>
          <w:lang w:val="es-ES"/>
        </w:rPr>
        <w:t>, reforzando la gobernanza mediante un proceso iterativo en el que participan las principales partes interesadas y teniendo en cuenta la financiación disponible.</w:t>
      </w:r>
    </w:p>
    <w:p w14:paraId="14D60489" w14:textId="5795326E" w:rsidR="005D7B2C" w:rsidRPr="00F05461" w:rsidRDefault="00312480" w:rsidP="004E1F8D">
      <w:pPr>
        <w:pStyle w:val="enumlev1"/>
        <w:keepNext/>
        <w:keepLines/>
        <w:rPr>
          <w:lang w:val="es-ES"/>
        </w:rPr>
      </w:pPr>
      <w:r w:rsidRPr="00F05461">
        <w:rPr>
          <w:lang w:val="es-ES"/>
        </w:rPr>
        <w:lastRenderedPageBreak/>
        <w:t>•</w:t>
      </w:r>
      <w:r w:rsidRPr="00F05461">
        <w:rPr>
          <w:lang w:val="es-ES"/>
        </w:rPr>
        <w:tab/>
      </w:r>
      <w:r w:rsidR="005D7B2C" w:rsidRPr="00F05461">
        <w:rPr>
          <w:lang w:val="es-ES"/>
        </w:rPr>
        <w:t xml:space="preserve">Una nueva </w:t>
      </w:r>
      <w:r w:rsidR="005D7B2C" w:rsidRPr="00F05461">
        <w:rPr>
          <w:b/>
          <w:bCs/>
          <w:lang w:val="es-ES"/>
        </w:rPr>
        <w:t>estrategia de transformación digital</w:t>
      </w:r>
      <w:r w:rsidR="005D7B2C" w:rsidRPr="00F05461">
        <w:rPr>
          <w:lang w:val="es-ES"/>
        </w:rPr>
        <w:t xml:space="preserve">, el </w:t>
      </w:r>
      <w:r w:rsidR="005D7B2C" w:rsidRPr="00F05461">
        <w:rPr>
          <w:b/>
          <w:bCs/>
          <w:lang w:val="es-ES"/>
        </w:rPr>
        <w:t xml:space="preserve">sitio web de </w:t>
      </w:r>
      <w:r w:rsidR="00296F03" w:rsidRPr="00F05461">
        <w:rPr>
          <w:b/>
          <w:bCs/>
          <w:lang w:val="es-ES"/>
        </w:rPr>
        <w:t>la UIT</w:t>
      </w:r>
      <w:r w:rsidR="005D7B2C" w:rsidRPr="00F05461">
        <w:rPr>
          <w:b/>
          <w:bCs/>
          <w:lang w:val="es-ES"/>
        </w:rPr>
        <w:t xml:space="preserve"> basado en IA </w:t>
      </w:r>
      <w:r w:rsidR="005D7B2C" w:rsidRPr="00F05461">
        <w:rPr>
          <w:lang w:val="es-ES"/>
        </w:rPr>
        <w:t xml:space="preserve">y el </w:t>
      </w:r>
      <w:r w:rsidR="005D7B2C" w:rsidRPr="00F05461">
        <w:rPr>
          <w:b/>
          <w:bCs/>
          <w:lang w:val="es-ES"/>
        </w:rPr>
        <w:t xml:space="preserve">programa de mejora de competencias en IA </w:t>
      </w:r>
      <w:r w:rsidR="005D7B2C" w:rsidRPr="00F05461">
        <w:rPr>
          <w:lang w:val="es-ES"/>
        </w:rPr>
        <w:t xml:space="preserve">para el personal ponen de manifiesto las mejoras del sistema tanto para los miembros como para el personal de </w:t>
      </w:r>
      <w:r w:rsidR="00296F03" w:rsidRPr="00F05461">
        <w:rPr>
          <w:lang w:val="es-ES"/>
        </w:rPr>
        <w:t>la UIT</w:t>
      </w:r>
    </w:p>
    <w:p w14:paraId="7178A7C0" w14:textId="233479A8" w:rsidR="005D7B2C" w:rsidRPr="00F05461" w:rsidRDefault="00312480" w:rsidP="00572AC5">
      <w:pPr>
        <w:pStyle w:val="enumlev1"/>
        <w:rPr>
          <w:lang w:val="es-ES"/>
        </w:rPr>
      </w:pPr>
      <w:r w:rsidRPr="00F05461">
        <w:rPr>
          <w:lang w:val="es-ES"/>
        </w:rPr>
        <w:t>•</w:t>
      </w:r>
      <w:r w:rsidRPr="00F05461">
        <w:rPr>
          <w:lang w:val="es-ES"/>
        </w:rPr>
        <w:tab/>
      </w:r>
      <w:r w:rsidR="00296F03" w:rsidRPr="00F05461">
        <w:rPr>
          <w:lang w:val="es-ES"/>
        </w:rPr>
        <w:t>La UIT</w:t>
      </w:r>
      <w:r w:rsidR="005D7B2C" w:rsidRPr="00F05461">
        <w:rPr>
          <w:lang w:val="es-ES"/>
        </w:rPr>
        <w:t xml:space="preserve"> puso en marcha un sistema de gestión medioambiental conforme a la norma ISO</w:t>
      </w:r>
      <w:r w:rsidR="004866FF" w:rsidRPr="00F05461">
        <w:rPr>
          <w:lang w:val="es-ES"/>
        </w:rPr>
        <w:noBreakHyphen/>
      </w:r>
      <w:r w:rsidR="005D7B2C" w:rsidRPr="00F05461">
        <w:rPr>
          <w:lang w:val="es-ES"/>
        </w:rPr>
        <w:t>14001 en todas sus actividades.</w:t>
      </w:r>
    </w:p>
    <w:p w14:paraId="3CC8627E" w14:textId="77777777" w:rsidR="005D7B2C" w:rsidRPr="00F05461" w:rsidRDefault="005D7B2C" w:rsidP="005D7B2C">
      <w:pPr>
        <w:rPr>
          <w:lang w:val="es-ES"/>
        </w:rPr>
      </w:pPr>
      <w:r w:rsidRPr="00F05461">
        <w:rPr>
          <w:lang w:val="es-ES"/>
        </w:rPr>
        <w:br w:type="page"/>
      </w:r>
    </w:p>
    <w:p w14:paraId="71954B4B" w14:textId="254B5806" w:rsidR="005D7B2C" w:rsidRPr="004E1F8D" w:rsidRDefault="00FD0E79" w:rsidP="00FD0E79">
      <w:pPr>
        <w:pStyle w:val="Heading1"/>
        <w:rPr>
          <w:color w:val="1F497D"/>
          <w:lang w:val="es-ES"/>
        </w:rPr>
      </w:pPr>
      <w:bookmarkStart w:id="11" w:name="_Toc227137449"/>
      <w:r w:rsidRPr="004E1F8D">
        <w:rPr>
          <w:color w:val="1F497D"/>
          <w:lang w:val="es-ES"/>
        </w:rPr>
        <w:lastRenderedPageBreak/>
        <w:t>1</w:t>
      </w:r>
      <w:r w:rsidRPr="004E1F8D">
        <w:rPr>
          <w:color w:val="1F497D"/>
          <w:lang w:val="es-ES"/>
        </w:rPr>
        <w:tab/>
      </w:r>
      <w:r w:rsidR="005D7B2C" w:rsidRPr="004E1F8D">
        <w:rPr>
          <w:color w:val="1F497D"/>
          <w:lang w:val="es-ES"/>
        </w:rPr>
        <w:t>Introducción</w:t>
      </w:r>
      <w:bookmarkEnd w:id="11"/>
    </w:p>
    <w:p w14:paraId="07766D2B" w14:textId="05ACD1FF" w:rsidR="005D7B2C" w:rsidRPr="00F05461" w:rsidRDefault="005D7B2C" w:rsidP="005D7B2C">
      <w:pPr>
        <w:rPr>
          <w:lang w:val="es-ES"/>
        </w:rPr>
      </w:pPr>
      <w:bookmarkStart w:id="12" w:name="_Toc137211288"/>
      <w:bookmarkStart w:id="13" w:name="_Toc224288795"/>
      <w:bookmarkEnd w:id="2"/>
      <w:r w:rsidRPr="00F05461">
        <w:rPr>
          <w:lang w:val="es-ES"/>
        </w:rPr>
        <w:t>La</w:t>
      </w:r>
      <w:r w:rsidR="00C45DDD" w:rsidRPr="00F05461">
        <w:rPr>
          <w:lang w:val="es-ES"/>
        </w:rPr>
        <w:t> </w:t>
      </w:r>
      <w:r w:rsidRPr="00F05461">
        <w:rPr>
          <w:lang w:val="es-ES"/>
        </w:rPr>
        <w:t xml:space="preserve">UIT se esfuerza por garantizar que las tecnologías digitales reporten beneficios significativos y duraderos a todas las personas del mundo. En cumplimiento de su mandato y en calidad de organismo especializado de las Naciones Unidas, </w:t>
      </w:r>
      <w:r w:rsidR="00296F03" w:rsidRPr="00F05461">
        <w:rPr>
          <w:lang w:val="es-ES"/>
        </w:rPr>
        <w:t>la UIT</w:t>
      </w:r>
      <w:r w:rsidRPr="00F05461">
        <w:rPr>
          <w:lang w:val="es-ES"/>
        </w:rPr>
        <w:t xml:space="preserve"> promueve la coordinación del espectro radioeléctrico, la normalización técnica y el desarrollo tecnológico centrado en las personas con el fin de construir un futuro digital mejor para todos.</w:t>
      </w:r>
    </w:p>
    <w:p w14:paraId="6546B3E8" w14:textId="34335A9C" w:rsidR="005D7B2C" w:rsidRPr="00F05461" w:rsidRDefault="005D7B2C" w:rsidP="005D7B2C">
      <w:pPr>
        <w:rPr>
          <w:lang w:val="es-ES"/>
        </w:rPr>
      </w:pPr>
      <w:r w:rsidRPr="00F05461">
        <w:rPr>
          <w:lang w:val="es-ES"/>
        </w:rPr>
        <w:t xml:space="preserve">El presente informe al Consejo de </w:t>
      </w:r>
      <w:r w:rsidR="00296F03" w:rsidRPr="00F05461">
        <w:rPr>
          <w:lang w:val="es-ES"/>
        </w:rPr>
        <w:t>la UIT</w:t>
      </w:r>
      <w:r w:rsidRPr="00F05461">
        <w:rPr>
          <w:lang w:val="es-ES"/>
        </w:rPr>
        <w:t xml:space="preserve"> de 2026 sobre la ejecución del Plan Estratégico y las actividades de la organización abarca el periodo 2022-2025 y debería servir de base para el informe cuatrienal a la Conferencia de Plenipotenciarios (</w:t>
      </w:r>
      <w:hyperlink r:id="rId41" w:history="1">
        <w:r w:rsidRPr="00F05461">
          <w:rPr>
            <w:rStyle w:val="Hyperlink"/>
            <w:rFonts w:eastAsia="Times New Roman" w:cs="Times New Roman"/>
            <w:szCs w:val="20"/>
            <w:lang w:val="es-ES"/>
          </w:rPr>
          <w:t>PP-26</w:t>
        </w:r>
      </w:hyperlink>
      <w:r w:rsidRPr="00F05461">
        <w:rPr>
          <w:lang w:val="es-ES"/>
        </w:rPr>
        <w:t>) (</w:t>
      </w:r>
      <w:hyperlink r:id="rId42" w:history="1">
        <w:r w:rsidRPr="00F05461">
          <w:rPr>
            <w:rStyle w:val="Hyperlink"/>
            <w:rFonts w:eastAsia="Times New Roman" w:cs="Times New Roman"/>
            <w:szCs w:val="20"/>
            <w:lang w:val="es-ES"/>
          </w:rPr>
          <w:t>Documento</w:t>
        </w:r>
        <w:r w:rsidR="00FF52A6" w:rsidRPr="00F05461">
          <w:rPr>
            <w:rStyle w:val="Hyperlink"/>
            <w:rFonts w:eastAsia="Times New Roman" w:cs="Times New Roman"/>
            <w:szCs w:val="20"/>
            <w:lang w:val="es-ES"/>
          </w:rPr>
          <w:t> </w:t>
        </w:r>
        <w:r w:rsidRPr="00F05461">
          <w:rPr>
            <w:rStyle w:val="Hyperlink"/>
            <w:rFonts w:eastAsia="Times New Roman" w:cs="Times New Roman"/>
            <w:szCs w:val="20"/>
            <w:lang w:val="es-ES"/>
          </w:rPr>
          <w:t>20</w:t>
        </w:r>
      </w:hyperlink>
      <w:r w:rsidRPr="00F05461">
        <w:rPr>
          <w:lang w:val="es-ES"/>
        </w:rPr>
        <w:t xml:space="preserve">) en 2026. El informe se basa en el marco de resultados que sustenta el Plan Estratégico de </w:t>
      </w:r>
      <w:r w:rsidR="00296F03" w:rsidRPr="00F05461">
        <w:rPr>
          <w:lang w:val="es-ES"/>
        </w:rPr>
        <w:t>la UIT</w:t>
      </w:r>
      <w:r w:rsidRPr="00F05461">
        <w:rPr>
          <w:lang w:val="es-ES"/>
        </w:rPr>
        <w:t>.</w:t>
      </w:r>
    </w:p>
    <w:p w14:paraId="6470A857" w14:textId="36C65DF4" w:rsidR="005D7B2C" w:rsidRPr="00F05461" w:rsidRDefault="005D7B2C" w:rsidP="005D7B2C">
      <w:pPr>
        <w:rPr>
          <w:lang w:val="es-ES"/>
        </w:rPr>
      </w:pPr>
      <w:r w:rsidRPr="00F05461">
        <w:rPr>
          <w:lang w:val="es-ES"/>
        </w:rPr>
        <w:t xml:space="preserve">Si bien los dos primeros años estaban contemplados en el anterior </w:t>
      </w:r>
      <w:hyperlink r:id="rId43" w:history="1">
        <w:r w:rsidR="009D324F" w:rsidRPr="00F05461">
          <w:rPr>
            <w:rStyle w:val="Hyperlink"/>
            <w:rFonts w:eastAsia="Times New Roman" w:cs="Times New Roman"/>
            <w:szCs w:val="20"/>
            <w:lang w:val="es-ES"/>
          </w:rPr>
          <w:t>Plan Estratégico (2020</w:t>
        </w:r>
        <w:r w:rsidR="009D324F" w:rsidRPr="00F05461">
          <w:rPr>
            <w:rStyle w:val="Hyperlink"/>
            <w:rFonts w:eastAsia="Times New Roman" w:cs="Times New Roman"/>
            <w:szCs w:val="20"/>
            <w:lang w:val="es-ES"/>
          </w:rPr>
          <w:noBreakHyphen/>
          <w:t>2023)</w:t>
        </w:r>
      </w:hyperlink>
      <w:r w:rsidR="009D324F" w:rsidRPr="00F05461">
        <w:rPr>
          <w:lang w:val="es-ES"/>
        </w:rPr>
        <w:t xml:space="preserve">, </w:t>
      </w:r>
      <w:r w:rsidRPr="00F05461">
        <w:rPr>
          <w:lang w:val="es-ES"/>
        </w:rPr>
        <w:t xml:space="preserve">en el presente informe se toma en consideración el marco del actual </w:t>
      </w:r>
      <w:hyperlink r:id="rId44" w:history="1">
        <w:r w:rsidRPr="00F05461">
          <w:rPr>
            <w:rStyle w:val="Hyperlink"/>
            <w:rFonts w:eastAsia="Times New Roman" w:cs="Times New Roman"/>
            <w:szCs w:val="20"/>
            <w:lang w:val="es-ES"/>
          </w:rPr>
          <w:t>Plan Estratégico (2024-2027)</w:t>
        </w:r>
      </w:hyperlink>
      <w:r w:rsidRPr="00F05461">
        <w:rPr>
          <w:lang w:val="es-ES"/>
        </w:rPr>
        <w:t>, estableciéndose una minuciosa correspondencia de las actividades entre ambos periodos.</w:t>
      </w:r>
    </w:p>
    <w:p w14:paraId="50F7025F" w14:textId="0445BA74" w:rsidR="005D7B2C" w:rsidRPr="00F05461" w:rsidRDefault="005D7B2C" w:rsidP="005D7B2C">
      <w:pPr>
        <w:rPr>
          <w:lang w:val="es-ES"/>
        </w:rPr>
      </w:pPr>
      <w:r w:rsidRPr="00F05461">
        <w:rPr>
          <w:lang w:val="es-ES"/>
        </w:rPr>
        <w:t xml:space="preserve">Ese marco de resultados vincula el suministro de productos y servicios con las principales prioridades temáticas, las metas estratégicas, la misión y la visión de </w:t>
      </w:r>
      <w:r w:rsidR="00296F03" w:rsidRPr="00F05461">
        <w:rPr>
          <w:lang w:val="es-ES"/>
        </w:rPr>
        <w:t>la UIT</w:t>
      </w:r>
      <w:r w:rsidRPr="00F05461">
        <w:rPr>
          <w:lang w:val="es-ES"/>
        </w:rPr>
        <w:t xml:space="preserve"> y los objetivos mundiales de desarrollo:</w:t>
      </w:r>
    </w:p>
    <w:p w14:paraId="2F22DE83" w14:textId="4462D070" w:rsidR="005D7B2C" w:rsidRPr="004E1F8D" w:rsidRDefault="00713EB4" w:rsidP="004E1F8D">
      <w:pPr>
        <w:pStyle w:val="Figure"/>
        <w:spacing w:after="200"/>
      </w:pPr>
      <w:r w:rsidRPr="004E1F8D">
        <w:rPr>
          <w:noProof/>
        </w:rPr>
        <w:drawing>
          <wp:inline distT="0" distB="0" distL="0" distR="0" wp14:anchorId="1DE33CCB" wp14:editId="35CE7C29">
            <wp:extent cx="5400000" cy="330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00" cy="3301200"/>
                    </a:xfrm>
                    <a:prstGeom prst="rect">
                      <a:avLst/>
                    </a:prstGeom>
                  </pic:spPr>
                </pic:pic>
              </a:graphicData>
            </a:graphic>
          </wp:inline>
        </w:drawing>
      </w:r>
    </w:p>
    <w:p w14:paraId="67BF25EC" w14:textId="2E6F00C7" w:rsidR="005D7B2C" w:rsidRPr="00F05461" w:rsidRDefault="005D7B2C" w:rsidP="009603DE">
      <w:pPr>
        <w:pStyle w:val="Figurelegend"/>
        <w:rPr>
          <w:lang w:val="es-ES"/>
        </w:rPr>
      </w:pPr>
      <w:r w:rsidRPr="00F05461">
        <w:rPr>
          <w:i/>
          <w:iCs/>
          <w:color w:val="1F497D"/>
          <w:lang w:val="es-ES"/>
        </w:rPr>
        <w:t>Figura</w:t>
      </w:r>
      <w:r w:rsidR="009D324F" w:rsidRPr="00F05461">
        <w:rPr>
          <w:i/>
          <w:iCs/>
          <w:color w:val="1F497D"/>
          <w:lang w:val="es-ES"/>
        </w:rPr>
        <w:t> </w:t>
      </w:r>
      <w:r w:rsidRPr="00F05461">
        <w:rPr>
          <w:i/>
          <w:iCs/>
          <w:color w:val="1F497D"/>
          <w:lang w:val="es-ES"/>
        </w:rPr>
        <w:t xml:space="preserve">1. Plan Estratégico de </w:t>
      </w:r>
      <w:r w:rsidR="00296F03" w:rsidRPr="00F05461">
        <w:rPr>
          <w:i/>
          <w:iCs/>
          <w:color w:val="1F497D"/>
          <w:lang w:val="es-ES"/>
        </w:rPr>
        <w:t>la UIT</w:t>
      </w:r>
      <w:r w:rsidRPr="00F05461">
        <w:rPr>
          <w:i/>
          <w:iCs/>
          <w:color w:val="1F497D"/>
          <w:lang w:val="es-ES"/>
        </w:rPr>
        <w:t xml:space="preserve"> para 2024-2027. Marco </w:t>
      </w:r>
      <w:r w:rsidR="005672E4" w:rsidRPr="00F05461">
        <w:rPr>
          <w:i/>
          <w:iCs/>
          <w:color w:val="1F497D"/>
          <w:lang w:val="es-ES"/>
        </w:rPr>
        <w:t>e</w:t>
      </w:r>
      <w:r w:rsidRPr="00F05461">
        <w:rPr>
          <w:i/>
          <w:iCs/>
          <w:color w:val="1F497D"/>
          <w:lang w:val="es-ES"/>
        </w:rPr>
        <w:t xml:space="preserve">stratégico </w:t>
      </w:r>
      <w:r w:rsidR="005672E4" w:rsidRPr="00F05461">
        <w:rPr>
          <w:i/>
          <w:iCs/>
          <w:color w:val="1F497D"/>
          <w:lang w:val="es-ES"/>
        </w:rPr>
        <w:t>g</w:t>
      </w:r>
      <w:r w:rsidRPr="00F05461">
        <w:rPr>
          <w:i/>
          <w:iCs/>
          <w:color w:val="1F497D"/>
          <w:lang w:val="es-ES"/>
        </w:rPr>
        <w:t>eneral</w:t>
      </w:r>
      <w:r w:rsidRPr="00F05461">
        <w:rPr>
          <w:color w:val="1F497D"/>
          <w:lang w:val="es-ES"/>
        </w:rPr>
        <w:t xml:space="preserve">. </w:t>
      </w:r>
      <w:r w:rsidRPr="00F05461">
        <w:rPr>
          <w:color w:val="7F7F7F"/>
          <w:lang w:val="es-ES"/>
        </w:rPr>
        <w:t>En la figura anterior se muestran los principales componentes del marco estratégico, a saber, la visión, la misión, las metas y finalidades estratégicas, las prioridades temáticas y las realizaciones, las ofertas de productos y servicios, y los factores habilitadores.</w:t>
      </w:r>
    </w:p>
    <w:p w14:paraId="2B1EC2E0" w14:textId="53986FC9" w:rsidR="005D7B2C" w:rsidRPr="00F05461" w:rsidRDefault="005D7B2C" w:rsidP="004E1F8D">
      <w:pPr>
        <w:pStyle w:val="Normalaftertitle"/>
        <w:rPr>
          <w:lang w:val="es-ES"/>
        </w:rPr>
      </w:pPr>
      <w:r w:rsidRPr="00F05461">
        <w:rPr>
          <w:lang w:val="es-ES"/>
        </w:rPr>
        <w:t xml:space="preserve">En las siguientes secciones se presenta un resumen general de las conferencias estatutarias de </w:t>
      </w:r>
      <w:r w:rsidR="00296F03" w:rsidRPr="00F05461">
        <w:rPr>
          <w:lang w:val="es-ES"/>
        </w:rPr>
        <w:t>la UIT</w:t>
      </w:r>
      <w:r w:rsidRPr="00F05461">
        <w:rPr>
          <w:lang w:val="es-ES"/>
        </w:rPr>
        <w:t xml:space="preserve"> celebradas durante el periodo que abarca el informe, se resumen los resultados del Plan Estratégico para 2020-2023 y los progresos logrados en la consecución de los objetivos de conectividad universal y transformación digital sostenible en el periodo 2024-2027, se destacan los principales logros relacionados con los productos y servicios de </w:t>
      </w:r>
      <w:r w:rsidR="00296F03" w:rsidRPr="00F05461">
        <w:rPr>
          <w:lang w:val="es-ES"/>
        </w:rPr>
        <w:t>la UIT</w:t>
      </w:r>
      <w:r w:rsidRPr="00F05461">
        <w:rPr>
          <w:lang w:val="es-ES"/>
        </w:rPr>
        <w:t>, y se describen los factores habilitadores institucionales que facilitan los trabajos de la organización y su repercusión general.</w:t>
      </w:r>
    </w:p>
    <w:p w14:paraId="5626D3AE" w14:textId="3E05C995" w:rsidR="005D7B2C" w:rsidRPr="004E1F8D" w:rsidRDefault="005D7B2C" w:rsidP="00FD0E79">
      <w:pPr>
        <w:pStyle w:val="Heading1"/>
        <w:rPr>
          <w:color w:val="1F497D"/>
          <w:lang w:val="es-ES"/>
        </w:rPr>
      </w:pPr>
      <w:bookmarkStart w:id="14" w:name="_Toc224288790"/>
      <w:bookmarkStart w:id="15" w:name="_Toc227137450"/>
      <w:r w:rsidRPr="004E1F8D">
        <w:rPr>
          <w:color w:val="1F497D"/>
          <w:lang w:val="es-ES"/>
        </w:rPr>
        <w:lastRenderedPageBreak/>
        <w:t>2</w:t>
      </w:r>
      <w:r w:rsidR="00FD0E79" w:rsidRPr="004E1F8D">
        <w:rPr>
          <w:color w:val="1F497D"/>
          <w:lang w:val="es-ES"/>
        </w:rPr>
        <w:tab/>
      </w:r>
      <w:r w:rsidRPr="004E1F8D">
        <w:rPr>
          <w:color w:val="1F497D"/>
          <w:lang w:val="es-ES"/>
        </w:rPr>
        <w:t>Conferencias estatutarias mundiales en 2022-2025</w:t>
      </w:r>
      <w:bookmarkEnd w:id="14"/>
      <w:bookmarkEnd w:id="15"/>
    </w:p>
    <w:p w14:paraId="2A939EEB" w14:textId="589DDB33" w:rsidR="005D7B2C" w:rsidRPr="00F05461" w:rsidRDefault="005D7B2C" w:rsidP="00FD0E79">
      <w:pPr>
        <w:pStyle w:val="Heading2"/>
        <w:rPr>
          <w:lang w:val="es-ES"/>
        </w:rPr>
      </w:pPr>
      <w:bookmarkStart w:id="16" w:name="_Toc224288791"/>
      <w:bookmarkStart w:id="17" w:name="_Toc227137451"/>
      <w:r w:rsidRPr="00F05461">
        <w:rPr>
          <w:lang w:val="es-ES"/>
        </w:rPr>
        <w:t>2.1</w:t>
      </w:r>
      <w:r w:rsidRPr="00F05461">
        <w:rPr>
          <w:lang w:val="es-ES"/>
        </w:rPr>
        <w:tab/>
        <w:t xml:space="preserve">Conferencia de Plenipotenciarios de </w:t>
      </w:r>
      <w:r w:rsidR="00296F03" w:rsidRPr="00F05461">
        <w:rPr>
          <w:lang w:val="es-ES"/>
        </w:rPr>
        <w:t>la UIT</w:t>
      </w:r>
      <w:r w:rsidRPr="00F05461">
        <w:rPr>
          <w:lang w:val="es-ES"/>
        </w:rPr>
        <w:t xml:space="preserve"> (PP-22)</w:t>
      </w:r>
      <w:bookmarkEnd w:id="16"/>
      <w:bookmarkEnd w:id="17"/>
    </w:p>
    <w:p w14:paraId="7C4455A4" w14:textId="602B377B" w:rsidR="005D7B2C" w:rsidRPr="00F05461" w:rsidRDefault="005D7B2C" w:rsidP="005D7B2C">
      <w:pPr>
        <w:rPr>
          <w:lang w:val="es-ES"/>
        </w:rPr>
      </w:pPr>
      <w:r w:rsidRPr="00F05461">
        <w:rPr>
          <w:lang w:val="es-ES"/>
        </w:rPr>
        <w:t>La 21</w:t>
      </w:r>
      <w:r w:rsidR="00FD0E79" w:rsidRPr="00F05461">
        <w:rPr>
          <w:lang w:val="es-ES"/>
        </w:rPr>
        <w:t>.ª</w:t>
      </w:r>
      <w:r w:rsidRPr="00F05461">
        <w:rPr>
          <w:lang w:val="es-ES"/>
        </w:rPr>
        <w:t xml:space="preserve"> Conferencia de Plenipotenciarios de </w:t>
      </w:r>
      <w:r w:rsidR="00296F03" w:rsidRPr="00F05461">
        <w:rPr>
          <w:lang w:val="es-ES"/>
        </w:rPr>
        <w:t>la UIT</w:t>
      </w:r>
      <w:r w:rsidRPr="00F05461">
        <w:rPr>
          <w:lang w:val="es-ES"/>
        </w:rPr>
        <w:t xml:space="preserve"> (</w:t>
      </w:r>
      <w:hyperlink r:id="rId46" w:history="1">
        <w:r w:rsidRPr="00F05461">
          <w:rPr>
            <w:rStyle w:val="Hyperlink"/>
            <w:rFonts w:eastAsia="Times New Roman" w:cs="Times New Roman"/>
            <w:szCs w:val="20"/>
            <w:lang w:val="es-ES"/>
          </w:rPr>
          <w:t>PP-22</w:t>
        </w:r>
      </w:hyperlink>
      <w:r w:rsidRPr="00F05461">
        <w:rPr>
          <w:lang w:val="es-ES"/>
        </w:rPr>
        <w:t>), celebrada el 26 de septiembre al 14 de octubre de</w:t>
      </w:r>
      <w:r w:rsidR="00443C6F" w:rsidRPr="00F05461">
        <w:rPr>
          <w:lang w:val="es-ES"/>
        </w:rPr>
        <w:t> </w:t>
      </w:r>
      <w:r w:rsidRPr="00F05461">
        <w:rPr>
          <w:lang w:val="es-ES"/>
        </w:rPr>
        <w:t>2022 en el Palacio del Parlamento de Bucarest (Rumania), estuvo presidida por el Sr</w:t>
      </w:r>
      <w:r w:rsidR="009603DE" w:rsidRPr="00F05461">
        <w:rPr>
          <w:lang w:val="es-ES"/>
        </w:rPr>
        <w:t>. </w:t>
      </w:r>
      <w:r w:rsidRPr="00F05461">
        <w:rPr>
          <w:lang w:val="es-ES"/>
        </w:rPr>
        <w:t>Sabin Sărmaș, presidente de la Comisión de Tecnología de la Información y Comunicaciones de la Cámara de Diputados de Rumania. La</w:t>
      </w:r>
      <w:r w:rsidR="00443C6F" w:rsidRPr="00F05461">
        <w:rPr>
          <w:lang w:val="es-ES"/>
        </w:rPr>
        <w:t> </w:t>
      </w:r>
      <w:r w:rsidRPr="00F05461">
        <w:rPr>
          <w:lang w:val="es-ES"/>
        </w:rPr>
        <w:t xml:space="preserve">PP-22 estableció las políticas generales y la orientación estratégica de </w:t>
      </w:r>
      <w:r w:rsidR="00296F03" w:rsidRPr="00F05461">
        <w:rPr>
          <w:lang w:val="es-ES"/>
        </w:rPr>
        <w:t>la UIT</w:t>
      </w:r>
      <w:r w:rsidRPr="00F05461">
        <w:rPr>
          <w:lang w:val="es-ES"/>
        </w:rPr>
        <w:t xml:space="preserve"> para el siguiente per</w:t>
      </w:r>
      <w:r w:rsidR="003E0321" w:rsidRPr="00F05461">
        <w:rPr>
          <w:lang w:val="es-ES"/>
        </w:rPr>
        <w:t>i</w:t>
      </w:r>
      <w:r w:rsidRPr="00F05461">
        <w:rPr>
          <w:lang w:val="es-ES"/>
        </w:rPr>
        <w:t>odo, aprobó el Plan Estratégico cuatrienal (</w:t>
      </w:r>
      <w:hyperlink r:id="rId47" w:history="1">
        <w:r w:rsidRPr="00F05461">
          <w:rPr>
            <w:rStyle w:val="Hyperlink"/>
            <w:rFonts w:eastAsia="Times New Roman" w:cs="Times New Roman"/>
            <w:szCs w:val="20"/>
            <w:lang w:val="es-ES"/>
          </w:rPr>
          <w:t>Resolución</w:t>
        </w:r>
        <w:r w:rsidR="009603DE" w:rsidRPr="00F05461">
          <w:rPr>
            <w:rStyle w:val="Hyperlink"/>
            <w:rFonts w:eastAsia="Times New Roman" w:cs="Times New Roman"/>
            <w:szCs w:val="20"/>
            <w:lang w:val="es-ES"/>
          </w:rPr>
          <w:t> </w:t>
        </w:r>
        <w:r w:rsidRPr="00F05461">
          <w:rPr>
            <w:rStyle w:val="Hyperlink"/>
            <w:rFonts w:eastAsia="Times New Roman" w:cs="Times New Roman"/>
            <w:szCs w:val="20"/>
            <w:lang w:val="es-ES"/>
          </w:rPr>
          <w:t>71</w:t>
        </w:r>
      </w:hyperlink>
      <w:r w:rsidRPr="00F05461">
        <w:rPr>
          <w:lang w:val="es-ES"/>
        </w:rPr>
        <w:t>) y el Plan Financiero (</w:t>
      </w:r>
      <w:hyperlink r:id="rId48" w:history="1">
        <w:r w:rsidRPr="00F05461">
          <w:rPr>
            <w:rStyle w:val="Hyperlink"/>
            <w:rFonts w:eastAsia="Times New Roman" w:cs="Times New Roman"/>
            <w:szCs w:val="20"/>
            <w:lang w:val="es-ES"/>
          </w:rPr>
          <w:t>Resolución</w:t>
        </w:r>
        <w:r w:rsidR="00FF52A6" w:rsidRPr="00F05461">
          <w:rPr>
            <w:rStyle w:val="Hyperlink"/>
            <w:rFonts w:eastAsia="Times New Roman" w:cs="Times New Roman"/>
            <w:szCs w:val="20"/>
            <w:lang w:val="es-ES"/>
          </w:rPr>
          <w:t> </w:t>
        </w:r>
        <w:r w:rsidRPr="00F05461">
          <w:rPr>
            <w:rStyle w:val="Hyperlink"/>
            <w:rFonts w:eastAsia="Times New Roman" w:cs="Times New Roman"/>
            <w:szCs w:val="20"/>
            <w:lang w:val="es-ES"/>
          </w:rPr>
          <w:t>71</w:t>
        </w:r>
      </w:hyperlink>
      <w:r w:rsidRPr="00F05461">
        <w:rPr>
          <w:lang w:val="es-ES"/>
        </w:rPr>
        <w:t>, </w:t>
      </w:r>
      <w:hyperlink r:id="rId49" w:history="1">
        <w:r w:rsidRPr="00F05461">
          <w:rPr>
            <w:rStyle w:val="Hyperlink"/>
            <w:rFonts w:eastAsia="Times New Roman" w:cs="Times New Roman"/>
            <w:szCs w:val="20"/>
            <w:lang w:val="es-ES"/>
          </w:rPr>
          <w:t>Decisión</w:t>
        </w:r>
        <w:r w:rsidR="009603DE" w:rsidRPr="00F05461">
          <w:rPr>
            <w:rStyle w:val="Hyperlink"/>
            <w:rFonts w:eastAsia="Times New Roman" w:cs="Times New Roman"/>
            <w:szCs w:val="20"/>
            <w:lang w:val="es-ES"/>
          </w:rPr>
          <w:t> </w:t>
        </w:r>
        <w:r w:rsidRPr="00F05461">
          <w:rPr>
            <w:rStyle w:val="Hyperlink"/>
            <w:rFonts w:eastAsia="Times New Roman" w:cs="Times New Roman"/>
            <w:szCs w:val="20"/>
            <w:lang w:val="es-ES"/>
          </w:rPr>
          <w:t>5</w:t>
        </w:r>
      </w:hyperlink>
      <w:r w:rsidRPr="00F05461">
        <w:rPr>
          <w:lang w:val="es-ES"/>
        </w:rPr>
        <w:t>), y examinó asuntos importantes relacionados con las</w:t>
      </w:r>
      <w:r w:rsidR="00C45DDD" w:rsidRPr="00F05461">
        <w:rPr>
          <w:lang w:val="es-ES"/>
        </w:rPr>
        <w:t> </w:t>
      </w:r>
      <w:r w:rsidRPr="00F05461">
        <w:rPr>
          <w:lang w:val="es-ES"/>
        </w:rPr>
        <w:t xml:space="preserve">TIC conforme a lo solicitado por los </w:t>
      </w:r>
      <w:r w:rsidR="00443C6F" w:rsidRPr="00F05461">
        <w:rPr>
          <w:lang w:val="es-ES"/>
        </w:rPr>
        <w:t>m</w:t>
      </w:r>
      <w:r w:rsidRPr="00F05461">
        <w:rPr>
          <w:lang w:val="es-ES"/>
        </w:rPr>
        <w:t xml:space="preserve">iembros de </w:t>
      </w:r>
      <w:r w:rsidR="00296F03" w:rsidRPr="00F05461">
        <w:rPr>
          <w:lang w:val="es-ES"/>
        </w:rPr>
        <w:t>la UIT</w:t>
      </w:r>
      <w:r w:rsidRPr="00F05461">
        <w:rPr>
          <w:lang w:val="es-ES"/>
        </w:rPr>
        <w:t>.</w:t>
      </w:r>
    </w:p>
    <w:p w14:paraId="64965E3A" w14:textId="6273D966" w:rsidR="005D7B2C" w:rsidRPr="00F05461" w:rsidRDefault="005D7B2C" w:rsidP="005D7B2C">
      <w:pPr>
        <w:rPr>
          <w:lang w:val="es-ES"/>
        </w:rPr>
      </w:pPr>
      <w:r w:rsidRPr="00F05461">
        <w:rPr>
          <w:lang w:val="es-ES"/>
        </w:rPr>
        <w:t xml:space="preserve">La estrategia de </w:t>
      </w:r>
      <w:r w:rsidR="00296F03" w:rsidRPr="00F05461">
        <w:rPr>
          <w:lang w:val="es-ES"/>
        </w:rPr>
        <w:t>la UIT</w:t>
      </w:r>
      <w:r w:rsidRPr="00F05461">
        <w:rPr>
          <w:lang w:val="es-ES"/>
        </w:rPr>
        <w:t xml:space="preserve"> para los próximos cuatro años hace hincapié en las principales prioridades en materia de radiocomunicaciones, normalización y desarrollo, destinadas a conectar el mundo, impulsar una transformación digital global inclusiva y contribuir a la consecución de los Objetivos de Desarrollo Sostenible (ODS) definidos por las Naciones Unidas para 2030. L</w:t>
      </w:r>
      <w:r w:rsidR="00443C6F" w:rsidRPr="00F05461">
        <w:rPr>
          <w:lang w:val="es-ES"/>
        </w:rPr>
        <w:t>a</w:t>
      </w:r>
      <w:r w:rsidRPr="00F05461">
        <w:rPr>
          <w:lang w:val="es-ES"/>
        </w:rPr>
        <w:t>s </w:t>
      </w:r>
      <w:hyperlink r:id="rId50" w:history="1">
        <w:r w:rsidR="000A466D" w:rsidRPr="00F05461">
          <w:rPr>
            <w:rStyle w:val="Hyperlink"/>
            <w:rFonts w:eastAsia="Times New Roman" w:cs="Times New Roman"/>
            <w:szCs w:val="20"/>
            <w:lang w:val="es-ES"/>
          </w:rPr>
          <w:t>Actas finales de la Conferencia de Plenipotenciarios (Bucarest, 2022)</w:t>
        </w:r>
      </w:hyperlink>
      <w:r w:rsidRPr="00F05461">
        <w:rPr>
          <w:lang w:val="es-ES"/>
        </w:rPr>
        <w:t>, fueron firmadas por 159</w:t>
      </w:r>
      <w:r w:rsidR="009603DE" w:rsidRPr="00F05461">
        <w:rPr>
          <w:lang w:val="es-ES"/>
        </w:rPr>
        <w:t> </w:t>
      </w:r>
      <w:r w:rsidRPr="00F05461">
        <w:rPr>
          <w:lang w:val="es-ES"/>
        </w:rPr>
        <w:t>Estados Miembros. Se modificaron 56</w:t>
      </w:r>
      <w:r w:rsidR="009603DE" w:rsidRPr="00F05461">
        <w:rPr>
          <w:lang w:val="es-ES"/>
        </w:rPr>
        <w:t> </w:t>
      </w:r>
      <w:r w:rsidRPr="00F05461">
        <w:rPr>
          <w:lang w:val="es-ES"/>
        </w:rPr>
        <w:t>Resoluciones y dos Decisiones, se adoptaron seis nuevas Resoluciones y se suprimi</w:t>
      </w:r>
      <w:r w:rsidR="00443C6F" w:rsidRPr="00F05461">
        <w:rPr>
          <w:lang w:val="es-ES"/>
        </w:rPr>
        <w:t>ó</w:t>
      </w:r>
      <w:r w:rsidRPr="00F05461">
        <w:rPr>
          <w:lang w:val="es-ES"/>
        </w:rPr>
        <w:t xml:space="preserve"> una.</w:t>
      </w:r>
    </w:p>
    <w:p w14:paraId="77A9B567" w14:textId="77777777" w:rsidR="005D7B2C" w:rsidRPr="00F05461" w:rsidRDefault="005D7B2C" w:rsidP="005D7B2C">
      <w:pPr>
        <w:rPr>
          <w:lang w:val="es-ES"/>
        </w:rPr>
      </w:pPr>
      <w:r w:rsidRPr="00F05461">
        <w:rPr>
          <w:lang w:val="es-ES"/>
        </w:rPr>
        <w:t>Entre las principales decisiones aprobadas en la Conferencia figuran las siguientes:</w:t>
      </w:r>
    </w:p>
    <w:p w14:paraId="44A1248F" w14:textId="382EB2D0" w:rsidR="005D7B2C" w:rsidRPr="00F05461" w:rsidRDefault="00FD0E79" w:rsidP="00FD0E79">
      <w:pPr>
        <w:pStyle w:val="enumlev1"/>
        <w:rPr>
          <w:lang w:val="es-ES"/>
        </w:rPr>
      </w:pPr>
      <w:r w:rsidRPr="00F05461">
        <w:rPr>
          <w:lang w:val="es-ES"/>
        </w:rPr>
        <w:t>•</w:t>
      </w:r>
      <w:r w:rsidRPr="00F05461">
        <w:rPr>
          <w:lang w:val="es-ES"/>
        </w:rPr>
        <w:tab/>
      </w:r>
      <w:r w:rsidR="009603DE" w:rsidRPr="00F05461">
        <w:rPr>
          <w:lang w:val="es-ES"/>
        </w:rPr>
        <w:t>a</w:t>
      </w:r>
      <w:r w:rsidR="005D7B2C" w:rsidRPr="00F05461">
        <w:rPr>
          <w:lang w:val="es-ES"/>
        </w:rPr>
        <w:t>plicar las tecnologías de</w:t>
      </w:r>
      <w:r w:rsidR="007922E7">
        <w:rPr>
          <w:lang w:val="es-ES"/>
        </w:rPr>
        <w:t> </w:t>
      </w:r>
      <w:r w:rsidR="005D7B2C" w:rsidRPr="00F05461">
        <w:rPr>
          <w:lang w:val="es-ES"/>
        </w:rPr>
        <w:t>IA para el bien</w:t>
      </w:r>
      <w:r w:rsidR="009603DE" w:rsidRPr="00F05461">
        <w:rPr>
          <w:lang w:val="es-ES"/>
        </w:rPr>
        <w:t>;</w:t>
      </w:r>
    </w:p>
    <w:p w14:paraId="75044A67" w14:textId="1D5F67BD" w:rsidR="005D7B2C" w:rsidRPr="00F05461" w:rsidRDefault="00FD0E79" w:rsidP="00FD0E79">
      <w:pPr>
        <w:pStyle w:val="enumlev1"/>
        <w:rPr>
          <w:lang w:val="es-ES"/>
        </w:rPr>
      </w:pPr>
      <w:r w:rsidRPr="00F05461">
        <w:rPr>
          <w:lang w:val="es-ES"/>
        </w:rPr>
        <w:t>•</w:t>
      </w:r>
      <w:r w:rsidRPr="00F05461">
        <w:rPr>
          <w:lang w:val="es-ES"/>
        </w:rPr>
        <w:tab/>
      </w:r>
      <w:r w:rsidR="009603DE" w:rsidRPr="00F05461">
        <w:rPr>
          <w:lang w:val="es-ES"/>
        </w:rPr>
        <w:t>f</w:t>
      </w:r>
      <w:r w:rsidR="005D7B2C" w:rsidRPr="00F05461">
        <w:rPr>
          <w:lang w:val="es-ES"/>
        </w:rPr>
        <w:t>omentar la confianza y el desarrollo sostenible en el espacio ultraterrestre</w:t>
      </w:r>
      <w:r w:rsidR="009603DE" w:rsidRPr="00F05461">
        <w:rPr>
          <w:lang w:val="es-ES"/>
        </w:rPr>
        <w:t>;</w:t>
      </w:r>
    </w:p>
    <w:p w14:paraId="40A7440F" w14:textId="6A2BC23A" w:rsidR="005D7B2C" w:rsidRPr="00F05461" w:rsidRDefault="00FD0E79" w:rsidP="00FD0E79">
      <w:pPr>
        <w:pStyle w:val="enumlev1"/>
        <w:rPr>
          <w:lang w:val="es-ES"/>
        </w:rPr>
      </w:pPr>
      <w:r w:rsidRPr="00F05461">
        <w:rPr>
          <w:lang w:val="es-ES"/>
        </w:rPr>
        <w:t>•</w:t>
      </w:r>
      <w:r w:rsidRPr="00F05461">
        <w:rPr>
          <w:lang w:val="es-ES"/>
        </w:rPr>
        <w:tab/>
      </w:r>
      <w:r w:rsidR="009603DE" w:rsidRPr="00F05461">
        <w:rPr>
          <w:lang w:val="es-ES"/>
        </w:rPr>
        <w:t>e</w:t>
      </w:r>
      <w:r w:rsidR="005D7B2C" w:rsidRPr="00F05461">
        <w:rPr>
          <w:lang w:val="es-ES"/>
        </w:rPr>
        <w:t>mpoderar a las mujeres y las niñas a través de la transformación digital</w:t>
      </w:r>
      <w:r w:rsidR="009603DE" w:rsidRPr="00F05461">
        <w:rPr>
          <w:lang w:val="es-ES"/>
        </w:rPr>
        <w:t>;</w:t>
      </w:r>
    </w:p>
    <w:p w14:paraId="6BEAC9FD" w14:textId="0F8C93DE" w:rsidR="005D7B2C" w:rsidRPr="00F05461" w:rsidRDefault="00FD0E79" w:rsidP="00FD0E79">
      <w:pPr>
        <w:pStyle w:val="enumlev1"/>
        <w:rPr>
          <w:lang w:val="es-ES"/>
        </w:rPr>
      </w:pPr>
      <w:r w:rsidRPr="00F05461">
        <w:rPr>
          <w:lang w:val="es-ES"/>
        </w:rPr>
        <w:t>•</w:t>
      </w:r>
      <w:r w:rsidRPr="00F05461">
        <w:rPr>
          <w:lang w:val="es-ES"/>
        </w:rPr>
        <w:tab/>
      </w:r>
      <w:r w:rsidR="009603DE" w:rsidRPr="00F05461">
        <w:rPr>
          <w:lang w:val="es-ES"/>
        </w:rPr>
        <w:t>a</w:t>
      </w:r>
      <w:r w:rsidR="005D7B2C" w:rsidRPr="00F05461">
        <w:rPr>
          <w:lang w:val="es-ES"/>
        </w:rPr>
        <w:t>signar frecuencias a instalaciones de radiocomunicaciones militares para los servicios de defensa nacional</w:t>
      </w:r>
      <w:r w:rsidR="009603DE" w:rsidRPr="00F05461">
        <w:rPr>
          <w:lang w:val="es-ES"/>
        </w:rPr>
        <w:t>;</w:t>
      </w:r>
    </w:p>
    <w:p w14:paraId="2953E73F" w14:textId="51E6EADC" w:rsidR="005D7B2C" w:rsidRPr="00F05461" w:rsidRDefault="00FD0E79" w:rsidP="00FD0E79">
      <w:pPr>
        <w:pStyle w:val="enumlev1"/>
        <w:rPr>
          <w:lang w:val="es-ES"/>
        </w:rPr>
      </w:pPr>
      <w:r w:rsidRPr="00F05461">
        <w:rPr>
          <w:lang w:val="es-ES"/>
        </w:rPr>
        <w:t>•</w:t>
      </w:r>
      <w:r w:rsidRPr="00F05461">
        <w:rPr>
          <w:lang w:val="es-ES"/>
        </w:rPr>
        <w:tab/>
      </w:r>
      <w:r w:rsidR="009603DE" w:rsidRPr="00F05461">
        <w:rPr>
          <w:lang w:val="es-ES"/>
        </w:rPr>
        <w:t>d</w:t>
      </w:r>
      <w:r w:rsidR="005D7B2C" w:rsidRPr="00F05461">
        <w:rPr>
          <w:lang w:val="es-ES"/>
        </w:rPr>
        <w:t xml:space="preserve">eterminar cómo las nuevas tecnologías </w:t>
      </w:r>
      <w:r w:rsidR="002C63D2" w:rsidRPr="00F05461">
        <w:rPr>
          <w:lang w:val="es-ES"/>
        </w:rPr>
        <w:t xml:space="preserve">pueden </w:t>
      </w:r>
      <w:r w:rsidR="005D7B2C" w:rsidRPr="00F05461">
        <w:rPr>
          <w:lang w:val="es-ES"/>
        </w:rPr>
        <w:t>mitigar, en lugar de exacerbar, la crisis climática</w:t>
      </w:r>
      <w:r w:rsidR="009603DE" w:rsidRPr="00F05461">
        <w:rPr>
          <w:lang w:val="es-ES"/>
        </w:rPr>
        <w:t>;</w:t>
      </w:r>
    </w:p>
    <w:p w14:paraId="12DB2AF0" w14:textId="43761C34" w:rsidR="005D7B2C" w:rsidRPr="00F05461" w:rsidRDefault="00FD0E79" w:rsidP="00FD0E79">
      <w:pPr>
        <w:pStyle w:val="enumlev1"/>
        <w:rPr>
          <w:lang w:val="es-ES"/>
        </w:rPr>
      </w:pPr>
      <w:r w:rsidRPr="00F05461">
        <w:rPr>
          <w:lang w:val="es-ES"/>
        </w:rPr>
        <w:t>•</w:t>
      </w:r>
      <w:r w:rsidRPr="00F05461">
        <w:rPr>
          <w:lang w:val="es-ES"/>
        </w:rPr>
        <w:tab/>
      </w:r>
      <w:r w:rsidR="009603DE" w:rsidRPr="00F05461">
        <w:rPr>
          <w:lang w:val="es-ES"/>
        </w:rPr>
        <w:t>e</w:t>
      </w:r>
      <w:r w:rsidR="005D7B2C" w:rsidRPr="00F05461">
        <w:rPr>
          <w:lang w:val="es-ES"/>
        </w:rPr>
        <w:t>studiar cómo la tecnología puede proteger contra las pandemias mundiales</w:t>
      </w:r>
      <w:r w:rsidR="009603DE" w:rsidRPr="00F05461">
        <w:rPr>
          <w:lang w:val="es-ES"/>
        </w:rPr>
        <w:t>;</w:t>
      </w:r>
    </w:p>
    <w:p w14:paraId="7D0B04DD" w14:textId="30D41D7A"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IoT para las ciudades y comunidades inteligentes y sostenibles</w:t>
      </w:r>
      <w:r w:rsidR="009603DE" w:rsidRPr="00F05461">
        <w:rPr>
          <w:lang w:val="es-ES"/>
        </w:rPr>
        <w:t>.</w:t>
      </w:r>
    </w:p>
    <w:p w14:paraId="2AC67DA9" w14:textId="56396481" w:rsidR="005D7B2C" w:rsidRPr="00F05461" w:rsidRDefault="005D7B2C" w:rsidP="00FD0E79">
      <w:pPr>
        <w:pStyle w:val="Heading3"/>
      </w:pPr>
      <w:bookmarkStart w:id="18" w:name="_Toc224288792"/>
      <w:bookmarkStart w:id="19" w:name="_Toc227137452"/>
      <w:r w:rsidRPr="00F05461">
        <w:t>2.1.1</w:t>
      </w:r>
      <w:r w:rsidR="00FD0E79" w:rsidRPr="00F05461">
        <w:tab/>
      </w:r>
      <w:r w:rsidRPr="00F05461">
        <w:t xml:space="preserve">Elecciones de </w:t>
      </w:r>
      <w:r w:rsidR="00296F03" w:rsidRPr="00F05461">
        <w:t>la UIT</w:t>
      </w:r>
      <w:bookmarkEnd w:id="18"/>
      <w:bookmarkEnd w:id="19"/>
    </w:p>
    <w:p w14:paraId="1BCF7B1D" w14:textId="28587FC7" w:rsidR="005D7B2C" w:rsidRPr="00F05461" w:rsidRDefault="005D7B2C" w:rsidP="005D7B2C">
      <w:pPr>
        <w:rPr>
          <w:lang w:val="es-ES"/>
        </w:rPr>
      </w:pPr>
      <w:r w:rsidRPr="00F05461">
        <w:rPr>
          <w:lang w:val="es-ES"/>
        </w:rPr>
        <w:t>En la</w:t>
      </w:r>
      <w:r w:rsidR="009603DE" w:rsidRPr="00F05461">
        <w:rPr>
          <w:lang w:val="es-ES"/>
        </w:rPr>
        <w:t> </w:t>
      </w:r>
      <w:r w:rsidRPr="00F05461">
        <w:rPr>
          <w:lang w:val="es-ES"/>
        </w:rPr>
        <w:t xml:space="preserve">PP-22 también se celebraron elecciones para los puestos de alta dirección de </w:t>
      </w:r>
      <w:r w:rsidR="00296F03" w:rsidRPr="00F05461">
        <w:rPr>
          <w:lang w:val="es-ES"/>
        </w:rPr>
        <w:t>la UIT</w:t>
      </w:r>
      <w:r w:rsidRPr="00F05461">
        <w:rPr>
          <w:lang w:val="es-ES"/>
        </w:rPr>
        <w:t>. Los delegados hicieron historia con la elección de la Sra.</w:t>
      </w:r>
      <w:r w:rsidR="009603DE" w:rsidRPr="00F05461">
        <w:rPr>
          <w:lang w:val="es-ES"/>
        </w:rPr>
        <w:t> </w:t>
      </w:r>
      <w:r w:rsidRPr="00F05461">
        <w:rPr>
          <w:lang w:val="es-ES"/>
        </w:rPr>
        <w:t xml:space="preserve">Doreen Bogdan-Martin (Estados Unidos) como próxima Secretaria General de </w:t>
      </w:r>
      <w:r w:rsidR="00296F03" w:rsidRPr="00F05461">
        <w:rPr>
          <w:lang w:val="es-ES"/>
        </w:rPr>
        <w:t>la UIT</w:t>
      </w:r>
      <w:r w:rsidRPr="00F05461">
        <w:rPr>
          <w:lang w:val="es-ES"/>
        </w:rPr>
        <w:t>. La Sra.</w:t>
      </w:r>
      <w:r w:rsidR="000675DC" w:rsidRPr="00F05461">
        <w:rPr>
          <w:lang w:val="es-ES"/>
        </w:rPr>
        <w:t> </w:t>
      </w:r>
      <w:r w:rsidRPr="00F05461">
        <w:rPr>
          <w:lang w:val="es-ES"/>
        </w:rPr>
        <w:t>Bogdan-Martin se ha convertido en la primera mujer en dirigir la organización, que a la sazón tenía 157</w:t>
      </w:r>
      <w:r w:rsidR="000675DC" w:rsidRPr="00F05461">
        <w:rPr>
          <w:lang w:val="es-ES"/>
        </w:rPr>
        <w:t> </w:t>
      </w:r>
      <w:r w:rsidRPr="00F05461">
        <w:rPr>
          <w:lang w:val="es-ES"/>
        </w:rPr>
        <w:t>años de antigüedad. El Sr.</w:t>
      </w:r>
      <w:r w:rsidR="000675DC" w:rsidRPr="00F05461">
        <w:rPr>
          <w:lang w:val="es-ES"/>
        </w:rPr>
        <w:t> </w:t>
      </w:r>
      <w:r w:rsidRPr="00F05461">
        <w:rPr>
          <w:lang w:val="es-ES"/>
        </w:rPr>
        <w:t xml:space="preserve">Tomas Lamanauskas (Lituania) fue elegido Vicesecretario General de </w:t>
      </w:r>
      <w:r w:rsidR="000675DC" w:rsidRPr="00F05461">
        <w:rPr>
          <w:lang w:val="es-ES"/>
        </w:rPr>
        <w:t>la </w:t>
      </w:r>
      <w:r w:rsidRPr="00F05461">
        <w:rPr>
          <w:lang w:val="es-ES"/>
        </w:rPr>
        <w:t>UIT; el Sr.</w:t>
      </w:r>
      <w:r w:rsidR="000675DC" w:rsidRPr="00F05461">
        <w:rPr>
          <w:lang w:val="es-ES"/>
        </w:rPr>
        <w:t> </w:t>
      </w:r>
      <w:r w:rsidRPr="00F05461">
        <w:rPr>
          <w:lang w:val="es-ES"/>
        </w:rPr>
        <w:t xml:space="preserve">Mario Maniewicz (Uruguay) fue reelegido para un segundo mandato como Director de la Oficina de Radiocomunicaciones de </w:t>
      </w:r>
      <w:r w:rsidR="00296F03" w:rsidRPr="00F05461">
        <w:rPr>
          <w:lang w:val="es-ES"/>
        </w:rPr>
        <w:t>la UIT</w:t>
      </w:r>
      <w:r w:rsidRPr="00F05461">
        <w:rPr>
          <w:lang w:val="es-ES"/>
        </w:rPr>
        <w:t xml:space="preserve"> (BR); el Sr.</w:t>
      </w:r>
      <w:r w:rsidR="000675DC" w:rsidRPr="00F05461">
        <w:rPr>
          <w:lang w:val="es-ES"/>
        </w:rPr>
        <w:t> </w:t>
      </w:r>
      <w:r w:rsidRPr="00F05461">
        <w:rPr>
          <w:lang w:val="es-ES"/>
        </w:rPr>
        <w:t xml:space="preserve">Seizo Onoe (Japón) fue elegido Director de la Oficina de Normalización de las Telecomunicaciones de </w:t>
      </w:r>
      <w:r w:rsidR="002C63D2" w:rsidRPr="00F05461">
        <w:rPr>
          <w:lang w:val="es-ES"/>
        </w:rPr>
        <w:t>la </w:t>
      </w:r>
      <w:r w:rsidRPr="00F05461">
        <w:rPr>
          <w:lang w:val="es-ES"/>
        </w:rPr>
        <w:t>UIT (TSB) y el Sr. Cosmas Zavazava (Zimbabwe) fue elegido Director de la</w:t>
      </w:r>
      <w:r w:rsidR="000675DC" w:rsidRPr="00F05461">
        <w:rPr>
          <w:lang w:val="es-ES"/>
        </w:rPr>
        <w:t> </w:t>
      </w:r>
      <w:r w:rsidRPr="00F05461">
        <w:rPr>
          <w:lang w:val="es-ES"/>
        </w:rPr>
        <w:t>BDT.</w:t>
      </w:r>
      <w:bookmarkStart w:id="20" w:name="_Int_oL9KljHB"/>
      <w:bookmarkStart w:id="21" w:name="_Int_ZtBYgXe9"/>
      <w:bookmarkEnd w:id="20"/>
      <w:bookmarkEnd w:id="21"/>
      <w:r w:rsidR="000675DC" w:rsidRPr="00F05461">
        <w:rPr>
          <w:lang w:val="es-ES"/>
        </w:rPr>
        <w:t xml:space="preserve"> </w:t>
      </w:r>
      <w:r w:rsidRPr="00F05461">
        <w:rPr>
          <w:lang w:val="es-ES"/>
        </w:rPr>
        <w:t>También se eligió a los 12</w:t>
      </w:r>
      <w:r w:rsidR="000675DC" w:rsidRPr="00F05461">
        <w:rPr>
          <w:lang w:val="es-ES"/>
        </w:rPr>
        <w:t> </w:t>
      </w:r>
      <w:r w:rsidRPr="00F05461">
        <w:rPr>
          <w:lang w:val="es-ES"/>
        </w:rPr>
        <w:t>miembros de la Junta del Reglamento de Radiocomunicaciones y a los 48</w:t>
      </w:r>
      <w:r w:rsidR="000675DC" w:rsidRPr="00F05461">
        <w:rPr>
          <w:lang w:val="es-ES"/>
        </w:rPr>
        <w:t> </w:t>
      </w:r>
      <w:r w:rsidRPr="00F05461">
        <w:rPr>
          <w:lang w:val="es-ES"/>
        </w:rPr>
        <w:t xml:space="preserve">miembros del Consejo de </w:t>
      </w:r>
      <w:r w:rsidR="00296F03" w:rsidRPr="00F05461">
        <w:rPr>
          <w:lang w:val="es-ES"/>
        </w:rPr>
        <w:t>la UIT</w:t>
      </w:r>
      <w:r w:rsidRPr="00F05461">
        <w:rPr>
          <w:lang w:val="es-ES"/>
        </w:rPr>
        <w:t xml:space="preserve"> (</w:t>
      </w:r>
      <w:hyperlink r:id="rId51" w:history="1">
        <w:r w:rsidRPr="00F05461">
          <w:rPr>
            <w:rStyle w:val="Hyperlink"/>
            <w:rFonts w:eastAsia="Times New Roman" w:cs="Times New Roman"/>
            <w:szCs w:val="20"/>
            <w:lang w:val="es-ES"/>
          </w:rPr>
          <w:t>consulte en este enlace los resultados completos de las elecciones de la</w:t>
        </w:r>
        <w:r w:rsidR="009603DE" w:rsidRPr="00F05461">
          <w:rPr>
            <w:rStyle w:val="Hyperlink"/>
            <w:rFonts w:eastAsia="Times New Roman" w:cs="Times New Roman"/>
            <w:szCs w:val="20"/>
            <w:lang w:val="es-ES"/>
          </w:rPr>
          <w:t> </w:t>
        </w:r>
        <w:r w:rsidRPr="00F05461">
          <w:rPr>
            <w:rStyle w:val="Hyperlink"/>
            <w:rFonts w:eastAsia="Times New Roman" w:cs="Times New Roman"/>
            <w:szCs w:val="20"/>
            <w:lang w:val="es-ES"/>
          </w:rPr>
          <w:t>PP-22</w:t>
        </w:r>
        <w:bookmarkStart w:id="22" w:name="_Hlt220489526"/>
        <w:bookmarkEnd w:id="22"/>
      </w:hyperlink>
      <w:r w:rsidRPr="00F05461">
        <w:rPr>
          <w:lang w:val="es-ES"/>
        </w:rPr>
        <w:t>).</w:t>
      </w:r>
    </w:p>
    <w:p w14:paraId="01B2BC4A" w14:textId="77777777" w:rsidR="005D7B2C" w:rsidRPr="00F05461" w:rsidRDefault="005D7B2C" w:rsidP="00FD0E79">
      <w:pPr>
        <w:pStyle w:val="Heading2"/>
        <w:rPr>
          <w:lang w:val="es-ES"/>
        </w:rPr>
      </w:pPr>
      <w:bookmarkStart w:id="23" w:name="_Toc224288793"/>
      <w:bookmarkStart w:id="24" w:name="_Toc227137453"/>
      <w:r w:rsidRPr="00F05461">
        <w:rPr>
          <w:lang w:val="es-ES"/>
        </w:rPr>
        <w:lastRenderedPageBreak/>
        <w:t>2.2</w:t>
      </w:r>
      <w:r w:rsidRPr="00F05461">
        <w:rPr>
          <w:lang w:val="es-ES"/>
        </w:rPr>
        <w:tab/>
        <w:t>CMR-23 y AR-23</w:t>
      </w:r>
      <w:bookmarkEnd w:id="23"/>
      <w:bookmarkEnd w:id="24"/>
    </w:p>
    <w:p w14:paraId="40EE1190" w14:textId="1F20BCBC" w:rsidR="005D7B2C" w:rsidRPr="00F05461" w:rsidRDefault="005D7B2C" w:rsidP="00FD0E79">
      <w:pPr>
        <w:pStyle w:val="Heading3"/>
      </w:pPr>
      <w:bookmarkStart w:id="25" w:name="_Toc224288794"/>
      <w:bookmarkStart w:id="26" w:name="_Toc227137454"/>
      <w:r w:rsidRPr="00F05461">
        <w:t>2.2.1</w:t>
      </w:r>
      <w:r w:rsidRPr="00F05461">
        <w:tab/>
        <w:t>Conferencia Mundial de Radiocomunicaciones de 2023</w:t>
      </w:r>
      <w:bookmarkEnd w:id="25"/>
      <w:bookmarkEnd w:id="26"/>
    </w:p>
    <w:p w14:paraId="0824A160" w14:textId="521272FF" w:rsidR="005D7B2C" w:rsidRPr="00F05461" w:rsidRDefault="005D7B2C" w:rsidP="005D7B2C">
      <w:pPr>
        <w:rPr>
          <w:lang w:val="es-ES"/>
        </w:rPr>
      </w:pPr>
      <w:r w:rsidRPr="00F05461">
        <w:rPr>
          <w:lang w:val="es-ES"/>
        </w:rPr>
        <w:t>La Conferencia Mundial de Radiocomunicaciones (</w:t>
      </w:r>
      <w:hyperlink r:id="rId52" w:history="1">
        <w:r w:rsidRPr="00F05461">
          <w:rPr>
            <w:rStyle w:val="Hyperlink"/>
            <w:rFonts w:eastAsia="Times New Roman" w:cs="Times New Roman"/>
            <w:szCs w:val="20"/>
            <w:lang w:val="es-ES"/>
          </w:rPr>
          <w:t>CMR-23</w:t>
        </w:r>
      </w:hyperlink>
      <w:r w:rsidRPr="00F05461">
        <w:rPr>
          <w:lang w:val="es-ES"/>
        </w:rPr>
        <w:t>) se celebró en Dubái (Emiratos Árabes Unidos) del 20 de noviembre al 15 de diciembre de</w:t>
      </w:r>
      <w:r w:rsidR="009603DE" w:rsidRPr="00F05461">
        <w:rPr>
          <w:lang w:val="es-ES"/>
        </w:rPr>
        <w:t> </w:t>
      </w:r>
      <w:r w:rsidRPr="00F05461">
        <w:rPr>
          <w:lang w:val="es-ES"/>
        </w:rPr>
        <w:t>2023. La Conferencia, presidida por el Excmo.</w:t>
      </w:r>
      <w:r w:rsidR="009603DE" w:rsidRPr="00F05461">
        <w:rPr>
          <w:lang w:val="es-ES"/>
        </w:rPr>
        <w:t> </w:t>
      </w:r>
      <w:r w:rsidRPr="00F05461">
        <w:rPr>
          <w:lang w:val="es-ES"/>
        </w:rPr>
        <w:t>Sr.</w:t>
      </w:r>
      <w:r w:rsidR="009603DE" w:rsidRPr="00F05461">
        <w:rPr>
          <w:lang w:val="es-ES"/>
        </w:rPr>
        <w:t> </w:t>
      </w:r>
      <w:r w:rsidRPr="00F05461">
        <w:rPr>
          <w:lang w:val="es-ES"/>
        </w:rPr>
        <w:t>Mohammed Al Ramsi (EAU), congregó a la comunidad mundial de radiocomunicaciones con el fin de actualizar y reforzar el marco reglamentario internacional que rige la gestión del espectro de radiofrecuencias, con miras a lograr la conectividad universal y una transformación digital sostenible. La Conferencia reunió a 3 982</w:t>
      </w:r>
      <w:r w:rsidR="009603DE" w:rsidRPr="00F05461">
        <w:rPr>
          <w:lang w:val="es-ES"/>
        </w:rPr>
        <w:t> </w:t>
      </w:r>
      <w:r w:rsidRPr="00F05461">
        <w:rPr>
          <w:lang w:val="es-ES"/>
        </w:rPr>
        <w:t>participantes de 163</w:t>
      </w:r>
      <w:r w:rsidR="009603DE" w:rsidRPr="00F05461">
        <w:rPr>
          <w:lang w:val="es-ES"/>
        </w:rPr>
        <w:t> </w:t>
      </w:r>
      <w:r w:rsidRPr="00F05461">
        <w:rPr>
          <w:lang w:val="es-ES"/>
        </w:rPr>
        <w:t xml:space="preserve">Estados Miembros de </w:t>
      </w:r>
      <w:r w:rsidR="00296F03" w:rsidRPr="00F05461">
        <w:rPr>
          <w:lang w:val="es-ES"/>
        </w:rPr>
        <w:t>la UIT</w:t>
      </w:r>
      <w:r w:rsidRPr="00F05461">
        <w:rPr>
          <w:lang w:val="es-ES"/>
        </w:rPr>
        <w:t>. Cabe destacar que las mujeres representan el 22 por ciento de los delegados, lo que supone un aumento con respecto al 18 por ciento registrado en la CMR-19.</w:t>
      </w:r>
    </w:p>
    <w:p w14:paraId="004FA51D" w14:textId="6FD6A8B9" w:rsidR="005D7B2C" w:rsidRPr="00F05461" w:rsidRDefault="005D7B2C" w:rsidP="005D7B2C">
      <w:pPr>
        <w:rPr>
          <w:lang w:val="es-ES"/>
        </w:rPr>
      </w:pPr>
      <w:r w:rsidRPr="00F05461">
        <w:rPr>
          <w:lang w:val="es-ES"/>
        </w:rPr>
        <w:t>La CMR-23 examinó más de 30</w:t>
      </w:r>
      <w:r w:rsidR="009603DE" w:rsidRPr="00F05461">
        <w:rPr>
          <w:lang w:val="es-ES"/>
        </w:rPr>
        <w:t> </w:t>
      </w:r>
      <w:r w:rsidRPr="00F05461">
        <w:rPr>
          <w:lang w:val="es-ES"/>
        </w:rPr>
        <w:t>puntos del orden del día relativos a la atribución y compartición del espectro, lográndose importantes avances reglamentarios en las comunicaciones móviles, los sistemas de satélite, la seguridad marítima y aeronáutica y los servicios científicos.</w:t>
      </w:r>
    </w:p>
    <w:p w14:paraId="0A7DF6B8" w14:textId="039254D7" w:rsidR="005D7B2C" w:rsidRPr="00F05461" w:rsidRDefault="005D7B2C" w:rsidP="005D7B2C">
      <w:pPr>
        <w:rPr>
          <w:lang w:val="es-ES"/>
        </w:rPr>
      </w:pPr>
      <w:r w:rsidRPr="00F05461">
        <w:rPr>
          <w:lang w:val="es-ES"/>
        </w:rPr>
        <w:t xml:space="preserve">Las </w:t>
      </w:r>
      <w:hyperlink r:id="rId53" w:history="1">
        <w:r w:rsidRPr="00F05461">
          <w:rPr>
            <w:rStyle w:val="Hyperlink"/>
            <w:rFonts w:eastAsia="Times New Roman" w:cs="Times New Roman"/>
            <w:szCs w:val="20"/>
            <w:lang w:val="es-ES"/>
          </w:rPr>
          <w:t>Actas finales de la CMR-23</w:t>
        </w:r>
      </w:hyperlink>
      <w:r w:rsidRPr="00F05461">
        <w:rPr>
          <w:lang w:val="es-ES"/>
        </w:rPr>
        <w:t xml:space="preserve"> recogen los principales resultados de la Conferencia acerca de todos los principales puntos del orden del día, concretamente:</w:t>
      </w:r>
    </w:p>
    <w:p w14:paraId="1D6EB8A1" w14:textId="5F725C24"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La identificación de espectro para las</w:t>
      </w:r>
      <w:r w:rsidR="0062089E" w:rsidRPr="00F05461">
        <w:rPr>
          <w:lang w:val="es-ES"/>
        </w:rPr>
        <w:t> </w:t>
      </w:r>
      <w:r w:rsidR="005D7B2C" w:rsidRPr="00F05461">
        <w:rPr>
          <w:lang w:val="es-ES"/>
        </w:rPr>
        <w:t>IMT, que es fundamental para ampliar la conectividad de banda ancha y desarrollar los servicios móviles IMT. Asimismo, la identificación de espectro para estaciones en plataformas a gran altitud como estaciones base IMT (HIBS), que permiten suministrar banda ancha móvil con una infraestructura mínima.</w:t>
      </w:r>
    </w:p>
    <w:p w14:paraId="3BADBACB" w14:textId="6194D5F1"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 xml:space="preserve">Mejora de la seguridad marítima mediante la modernización del </w:t>
      </w:r>
      <w:r w:rsidR="00F92837" w:rsidRPr="00F05461">
        <w:rPr>
          <w:lang w:val="es-ES"/>
        </w:rPr>
        <w:t xml:space="preserve">Sistema Mundial </w:t>
      </w:r>
      <w:r w:rsidR="005D7B2C" w:rsidRPr="00F05461">
        <w:rPr>
          <w:lang w:val="es-ES"/>
        </w:rPr>
        <w:t xml:space="preserve">de </w:t>
      </w:r>
      <w:r w:rsidR="00F92837" w:rsidRPr="00F05461">
        <w:rPr>
          <w:lang w:val="es-ES"/>
        </w:rPr>
        <w:t xml:space="preserve">Socorro </w:t>
      </w:r>
      <w:r w:rsidR="005D7B2C" w:rsidRPr="00F05461">
        <w:rPr>
          <w:lang w:val="es-ES"/>
        </w:rPr>
        <w:t xml:space="preserve">y </w:t>
      </w:r>
      <w:r w:rsidR="00F92837" w:rsidRPr="00F05461">
        <w:rPr>
          <w:lang w:val="es-ES"/>
        </w:rPr>
        <w:t xml:space="preserve">Seguridad Marítimos </w:t>
      </w:r>
      <w:r w:rsidR="005D7B2C" w:rsidRPr="00F05461">
        <w:rPr>
          <w:lang w:val="es-ES"/>
        </w:rPr>
        <w:t>(SMSSM).</w:t>
      </w:r>
    </w:p>
    <w:p w14:paraId="12E3BED3" w14:textId="69DDF885"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Digitalización de los sistemas de ondas decamétricas y nuevas atribuciones a los servicios aeronáuticos no relacionadas con la seguridad.</w:t>
      </w:r>
    </w:p>
    <w:p w14:paraId="461C61F2" w14:textId="41904D9D"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Servicios de satélite mejorados, incluida la adopción de medidas reglamentarias para el suministro de enlaces entre satélites. Funcionamiento mejorado de las estaciones terrenas en movimiento (ETEM) para proporcionar banda ancha de alta velocidad a bordo de aeronaves, buques, trenes y vehículos, y normas más precisas para las constelaciones no</w:t>
      </w:r>
      <w:r w:rsidR="009603DE" w:rsidRPr="00F05461">
        <w:rPr>
          <w:lang w:val="es-ES"/>
        </w:rPr>
        <w:t> </w:t>
      </w:r>
      <w:r w:rsidR="005D7B2C" w:rsidRPr="00F05461">
        <w:rPr>
          <w:lang w:val="es-ES"/>
        </w:rPr>
        <w:t>OSG.</w:t>
      </w:r>
    </w:p>
    <w:p w14:paraId="49E64AB8" w14:textId="09169CC3"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 xml:space="preserve">Servicios científicos (atribuciones nuevas y mejoradas para los servicios de observación de la Tierra, </w:t>
      </w:r>
      <w:proofErr w:type="gramStart"/>
      <w:r w:rsidR="005D7B2C" w:rsidRPr="00F05461">
        <w:rPr>
          <w:lang w:val="es-ES"/>
        </w:rPr>
        <w:t>investigación espacial y meteorología espacial</w:t>
      </w:r>
      <w:proofErr w:type="gramEnd"/>
      <w:r w:rsidR="005D7B2C" w:rsidRPr="00F05461">
        <w:rPr>
          <w:lang w:val="es-ES"/>
        </w:rPr>
        <w:t>)</w:t>
      </w:r>
      <w:r w:rsidR="0062089E" w:rsidRPr="00F05461">
        <w:rPr>
          <w:lang w:val="es-ES"/>
        </w:rPr>
        <w:t>.</w:t>
      </w:r>
    </w:p>
    <w:p w14:paraId="22CD4B77" w14:textId="0B9072EA"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Apoyo al Estado de Palestina en la gestión del espectro y el despliegue de redes de telecomunicaciones avanzadas.</w:t>
      </w:r>
    </w:p>
    <w:p w14:paraId="38D4C6CF" w14:textId="7B752F98" w:rsidR="005D7B2C" w:rsidRPr="00F05461" w:rsidRDefault="005D7B2C" w:rsidP="005D7B2C">
      <w:pPr>
        <w:rPr>
          <w:lang w:val="es-ES"/>
        </w:rPr>
      </w:pPr>
      <w:r w:rsidRPr="00F05461">
        <w:rPr>
          <w:lang w:val="es-ES"/>
        </w:rPr>
        <w:t xml:space="preserve">La edición de 2024 del Reglamento de Radiocomunicaciones está disponible en </w:t>
      </w:r>
      <w:hyperlink r:id="rId54" w:history="1">
        <w:r w:rsidRPr="00F05461">
          <w:rPr>
            <w:rStyle w:val="Hyperlink"/>
            <w:rFonts w:eastAsia="Times New Roman" w:cs="Times New Roman"/>
            <w:szCs w:val="20"/>
            <w:lang w:val="es-ES"/>
          </w:rPr>
          <w:t>este enlace</w:t>
        </w:r>
      </w:hyperlink>
      <w:r w:rsidRPr="00F05461">
        <w:rPr>
          <w:lang w:val="es-ES"/>
        </w:rPr>
        <w:t>.</w:t>
      </w:r>
    </w:p>
    <w:p w14:paraId="55DBBDFA" w14:textId="23CBDA34" w:rsidR="005D7B2C" w:rsidRPr="00F05461" w:rsidRDefault="005D7B2C" w:rsidP="00FD0E79">
      <w:pPr>
        <w:pStyle w:val="Heading3"/>
      </w:pPr>
      <w:bookmarkStart w:id="27" w:name="_Toc227137455"/>
      <w:r w:rsidRPr="00F05461">
        <w:t>2.2.2</w:t>
      </w:r>
      <w:r w:rsidRPr="00F05461">
        <w:tab/>
        <w:t>Asamblea de Radiocomunicaciones de 2023</w:t>
      </w:r>
      <w:bookmarkEnd w:id="27"/>
    </w:p>
    <w:p w14:paraId="6A14044C" w14:textId="45DD03BD" w:rsidR="005D7B2C" w:rsidRPr="00F05461" w:rsidRDefault="005D7B2C" w:rsidP="005D7B2C">
      <w:pPr>
        <w:rPr>
          <w:lang w:val="es-ES"/>
        </w:rPr>
      </w:pPr>
      <w:r w:rsidRPr="00F05461">
        <w:rPr>
          <w:lang w:val="es-ES"/>
        </w:rPr>
        <w:t>La Asamblea de Radiocomunicaciones (</w:t>
      </w:r>
      <w:hyperlink r:id="rId55" w:history="1">
        <w:r w:rsidRPr="00F05461">
          <w:rPr>
            <w:rStyle w:val="Hyperlink"/>
            <w:rFonts w:eastAsia="Times New Roman" w:cs="Times New Roman"/>
            <w:szCs w:val="20"/>
            <w:lang w:val="es-ES"/>
          </w:rPr>
          <w:t>AR-23</w:t>
        </w:r>
      </w:hyperlink>
      <w:r w:rsidRPr="00F05461">
        <w:rPr>
          <w:lang w:val="es-ES"/>
        </w:rPr>
        <w:t>) se celebró del 13 al 17 de noviembre de</w:t>
      </w:r>
      <w:r w:rsidR="009603DE" w:rsidRPr="00F05461">
        <w:rPr>
          <w:lang w:val="es-ES"/>
        </w:rPr>
        <w:t> </w:t>
      </w:r>
      <w:r w:rsidRPr="00F05461">
        <w:rPr>
          <w:lang w:val="es-ES"/>
        </w:rPr>
        <w:t>2023, justo antes de la CMR-23. La Asamblea congregó a 566</w:t>
      </w:r>
      <w:r w:rsidR="009603DE" w:rsidRPr="00F05461">
        <w:rPr>
          <w:lang w:val="es-ES"/>
        </w:rPr>
        <w:t> </w:t>
      </w:r>
      <w:r w:rsidRPr="00F05461">
        <w:rPr>
          <w:lang w:val="es-ES"/>
        </w:rPr>
        <w:t>participantes de 95</w:t>
      </w:r>
      <w:r w:rsidR="009603DE" w:rsidRPr="00F05461">
        <w:rPr>
          <w:lang w:val="es-ES"/>
        </w:rPr>
        <w:t> </w:t>
      </w:r>
      <w:r w:rsidRPr="00F05461">
        <w:rPr>
          <w:lang w:val="es-ES"/>
        </w:rPr>
        <w:t>administraciones, además de 41</w:t>
      </w:r>
      <w:r w:rsidR="00C45DDD" w:rsidRPr="00F05461">
        <w:rPr>
          <w:lang w:val="es-ES"/>
        </w:rPr>
        <w:t> </w:t>
      </w:r>
      <w:r w:rsidRPr="00F05461">
        <w:rPr>
          <w:lang w:val="es-ES"/>
        </w:rPr>
        <w:t xml:space="preserve">Miembros de Sector, </w:t>
      </w:r>
      <w:r w:rsidR="0062089E" w:rsidRPr="00F05461">
        <w:rPr>
          <w:lang w:val="es-ES"/>
        </w:rPr>
        <w:t>una</w:t>
      </w:r>
      <w:r w:rsidR="00C45DDD" w:rsidRPr="00F05461">
        <w:rPr>
          <w:lang w:val="es-ES"/>
        </w:rPr>
        <w:t> </w:t>
      </w:r>
      <w:r w:rsidRPr="00F05461">
        <w:rPr>
          <w:lang w:val="es-ES"/>
        </w:rPr>
        <w:t xml:space="preserve">institución académica y </w:t>
      </w:r>
      <w:r w:rsidR="0062089E" w:rsidRPr="00F05461">
        <w:rPr>
          <w:lang w:val="es-ES"/>
        </w:rPr>
        <w:t>dos</w:t>
      </w:r>
      <w:r w:rsidR="00C45DDD" w:rsidRPr="00F05461">
        <w:rPr>
          <w:lang w:val="es-ES"/>
        </w:rPr>
        <w:t> </w:t>
      </w:r>
      <w:r w:rsidRPr="00F05461">
        <w:rPr>
          <w:lang w:val="es-ES"/>
        </w:rPr>
        <w:t>organismos especializados de las Naciones Unidas. En consonancia con su mandato, trazó las futuras orientaciones de los sistemas de radiocomunicaciones y las</w:t>
      </w:r>
      <w:r w:rsidR="009603DE" w:rsidRPr="00F05461">
        <w:rPr>
          <w:lang w:val="es-ES"/>
        </w:rPr>
        <w:t> </w:t>
      </w:r>
      <w:r w:rsidRPr="00F05461">
        <w:rPr>
          <w:lang w:val="es-ES"/>
        </w:rPr>
        <w:t xml:space="preserve">TIC mediante el establecimiento </w:t>
      </w:r>
      <w:r w:rsidRPr="00F05461">
        <w:rPr>
          <w:lang w:val="es-ES"/>
        </w:rPr>
        <w:lastRenderedPageBreak/>
        <w:t>del futuro programa de trabajo del</w:t>
      </w:r>
      <w:r w:rsidR="00C45DDD" w:rsidRPr="00F05461">
        <w:rPr>
          <w:lang w:val="es-ES"/>
        </w:rPr>
        <w:t> </w:t>
      </w:r>
      <w:r w:rsidRPr="00F05461">
        <w:rPr>
          <w:lang w:val="es-ES"/>
        </w:rPr>
        <w:t>UIT-R y aprobó una serie de Recomendaciones y Resoluciones</w:t>
      </w:r>
      <w:r w:rsidR="009603DE" w:rsidRPr="00F05461">
        <w:rPr>
          <w:lang w:val="es-ES"/>
        </w:rPr>
        <w:t> </w:t>
      </w:r>
      <w:r w:rsidRPr="00F05461">
        <w:rPr>
          <w:lang w:val="es-ES"/>
        </w:rPr>
        <w:t>UIT-R que tendrán repercusiones mundiales en las futuras tecnologías de radiocomunicaciones.</w:t>
      </w:r>
    </w:p>
    <w:p w14:paraId="1CF5C7B4" w14:textId="000A96ED" w:rsidR="005D7B2C" w:rsidRPr="00F05461" w:rsidRDefault="005D7B2C" w:rsidP="009603DE">
      <w:pPr>
        <w:rPr>
          <w:lang w:val="es-ES"/>
        </w:rPr>
      </w:pPr>
      <w:r w:rsidRPr="00F05461">
        <w:rPr>
          <w:lang w:val="es-ES"/>
        </w:rPr>
        <w:t>Los principales resultados de la</w:t>
      </w:r>
      <w:r w:rsidR="009603DE" w:rsidRPr="00F05461">
        <w:rPr>
          <w:lang w:val="es-ES"/>
        </w:rPr>
        <w:t> </w:t>
      </w:r>
      <w:r w:rsidRPr="00F05461">
        <w:rPr>
          <w:lang w:val="es-ES"/>
        </w:rPr>
        <w:t>AR-23 que definen la labor futura del</w:t>
      </w:r>
      <w:r w:rsidR="009603DE" w:rsidRPr="00F05461">
        <w:rPr>
          <w:lang w:val="es-ES"/>
        </w:rPr>
        <w:t> </w:t>
      </w:r>
      <w:r w:rsidRPr="00F05461">
        <w:rPr>
          <w:lang w:val="es-ES"/>
        </w:rPr>
        <w:t>UIT-R son, entre otros:</w:t>
      </w:r>
    </w:p>
    <w:p w14:paraId="1BFB140B" w14:textId="61BEDB6E" w:rsidR="005D7B2C" w:rsidRPr="00F05461" w:rsidRDefault="00FD0E79" w:rsidP="00FD0E79">
      <w:pPr>
        <w:pStyle w:val="enumlev1"/>
        <w:rPr>
          <w:lang w:val="es-ES"/>
        </w:rPr>
      </w:pPr>
      <w:r w:rsidRPr="00F05461">
        <w:rPr>
          <w:lang w:val="es-ES"/>
        </w:rPr>
        <w:t>•</w:t>
      </w:r>
      <w:r w:rsidRPr="00F05461">
        <w:rPr>
          <w:lang w:val="es-ES"/>
        </w:rPr>
        <w:tab/>
      </w:r>
      <w:r w:rsidR="003E3381" w:rsidRPr="00F05461">
        <w:rPr>
          <w:lang w:val="es-ES"/>
        </w:rPr>
        <w:t xml:space="preserve">La </w:t>
      </w:r>
      <w:r w:rsidR="005D7B2C" w:rsidRPr="00F05461">
        <w:rPr>
          <w:lang w:val="es-ES"/>
        </w:rPr>
        <w:t>revisión de 26</w:t>
      </w:r>
      <w:r w:rsidR="00C45DDD" w:rsidRPr="00F05461">
        <w:rPr>
          <w:lang w:val="es-ES"/>
        </w:rPr>
        <w:t> </w:t>
      </w:r>
      <w:r w:rsidR="005D7B2C" w:rsidRPr="00F05461">
        <w:rPr>
          <w:lang w:val="es-ES"/>
        </w:rPr>
        <w:t>Resoluciones</w:t>
      </w:r>
      <w:r w:rsidR="004B43AF" w:rsidRPr="00F05461">
        <w:rPr>
          <w:lang w:val="es-ES"/>
        </w:rPr>
        <w:t> </w:t>
      </w:r>
      <w:r w:rsidR="005D7B2C" w:rsidRPr="00F05461">
        <w:rPr>
          <w:lang w:val="es-ES"/>
        </w:rPr>
        <w:t>UIT-R, en particular la actualización de los métodos de trabajo de los órganos del</w:t>
      </w:r>
      <w:r w:rsidR="004B43AF" w:rsidRPr="00F05461">
        <w:rPr>
          <w:lang w:val="es-ES"/>
        </w:rPr>
        <w:t> </w:t>
      </w:r>
      <w:r w:rsidR="005D7B2C" w:rsidRPr="00F05461">
        <w:rPr>
          <w:lang w:val="es-ES"/>
        </w:rPr>
        <w:t>UIT-R (</w:t>
      </w:r>
      <w:hyperlink r:id="rId56" w:history="1">
        <w:r w:rsidR="0062089E" w:rsidRPr="00F05461">
          <w:rPr>
            <w:rStyle w:val="Hyperlink"/>
            <w:rFonts w:eastAsia="Times New Roman" w:cs="Times New Roman"/>
            <w:szCs w:val="20"/>
            <w:lang w:val="es-ES"/>
          </w:rPr>
          <w:t>Resolución 1-9</w:t>
        </w:r>
      </w:hyperlink>
      <w:r w:rsidR="005D7B2C" w:rsidRPr="00F05461">
        <w:rPr>
          <w:lang w:val="es-ES"/>
        </w:rPr>
        <w:t>)</w:t>
      </w:r>
      <w:r w:rsidR="003E3381" w:rsidRPr="00F05461">
        <w:rPr>
          <w:lang w:val="es-ES"/>
        </w:rPr>
        <w:t>.</w:t>
      </w:r>
    </w:p>
    <w:p w14:paraId="0A3CA0B3" w14:textId="683E9093" w:rsidR="005D7B2C" w:rsidRPr="00F05461" w:rsidRDefault="00FD0E79" w:rsidP="00FD0E79">
      <w:pPr>
        <w:pStyle w:val="enumlev1"/>
        <w:rPr>
          <w:lang w:val="es-ES"/>
        </w:rPr>
      </w:pPr>
      <w:r w:rsidRPr="00F05461">
        <w:rPr>
          <w:lang w:val="es-ES"/>
        </w:rPr>
        <w:t>•</w:t>
      </w:r>
      <w:r w:rsidRPr="00F05461">
        <w:rPr>
          <w:lang w:val="es-ES"/>
        </w:rPr>
        <w:tab/>
      </w:r>
      <w:r w:rsidR="003E3381" w:rsidRPr="00F05461">
        <w:rPr>
          <w:lang w:val="es-ES"/>
        </w:rPr>
        <w:t xml:space="preserve">La </w:t>
      </w:r>
      <w:r w:rsidR="005D7B2C" w:rsidRPr="00F05461">
        <w:rPr>
          <w:lang w:val="es-ES"/>
        </w:rPr>
        <w:t>confirmación de la estructura actual de las Comisiones de Estudio y la aprobación del programa de trabajo y las Cuestiones de las Comisiones de Estudio, junto con cuatro nuevas Recomendaciones</w:t>
      </w:r>
      <w:r w:rsidR="004B43AF" w:rsidRPr="00F05461">
        <w:rPr>
          <w:lang w:val="es-ES"/>
        </w:rPr>
        <w:t> </w:t>
      </w:r>
      <w:r w:rsidR="005D7B2C" w:rsidRPr="00F05461">
        <w:rPr>
          <w:lang w:val="es-ES"/>
        </w:rPr>
        <w:t>UIT-R (</w:t>
      </w:r>
      <w:hyperlink r:id="rId57" w:history="1">
        <w:r w:rsidR="0062089E" w:rsidRPr="00F05461">
          <w:rPr>
            <w:rStyle w:val="Hyperlink"/>
            <w:rFonts w:eastAsia="Times New Roman" w:cs="Times New Roman"/>
            <w:szCs w:val="20"/>
            <w:lang w:val="es-ES"/>
          </w:rPr>
          <w:t>Resolución 5-9</w:t>
        </w:r>
      </w:hyperlink>
      <w:r w:rsidR="005D7B2C" w:rsidRPr="00F05461">
        <w:rPr>
          <w:lang w:val="es-ES"/>
        </w:rPr>
        <w:t>)</w:t>
      </w:r>
      <w:r w:rsidR="003E3381" w:rsidRPr="00F05461">
        <w:rPr>
          <w:lang w:val="es-ES"/>
        </w:rPr>
        <w:t>.</w:t>
      </w:r>
    </w:p>
    <w:p w14:paraId="52ED9711" w14:textId="7D2C762F" w:rsidR="005D7B2C" w:rsidRPr="00F05461" w:rsidRDefault="00FD0E79" w:rsidP="00FD0E79">
      <w:pPr>
        <w:pStyle w:val="enumlev1"/>
        <w:rPr>
          <w:lang w:val="es-ES"/>
        </w:rPr>
      </w:pPr>
      <w:r w:rsidRPr="00F05461">
        <w:rPr>
          <w:lang w:val="es-ES"/>
        </w:rPr>
        <w:t>•</w:t>
      </w:r>
      <w:r w:rsidRPr="00F05461">
        <w:rPr>
          <w:lang w:val="es-ES"/>
        </w:rPr>
        <w:tab/>
      </w:r>
      <w:r w:rsidR="003E3381" w:rsidRPr="00F05461">
        <w:rPr>
          <w:lang w:val="es-ES"/>
        </w:rPr>
        <w:t xml:space="preserve">La </w:t>
      </w:r>
      <w:r w:rsidR="005D7B2C" w:rsidRPr="00F05461">
        <w:rPr>
          <w:lang w:val="es-ES"/>
        </w:rPr>
        <w:t>actualización considerable del marco para la evolución de las</w:t>
      </w:r>
      <w:r w:rsidR="003E3381" w:rsidRPr="00F05461">
        <w:rPr>
          <w:lang w:val="es-ES"/>
        </w:rPr>
        <w:t> IMT</w:t>
      </w:r>
      <w:r w:rsidR="005D7B2C" w:rsidRPr="00F05461">
        <w:rPr>
          <w:lang w:val="es-ES"/>
        </w:rPr>
        <w:t>, en el que se introduce el concepto de IMT-2030 (</w:t>
      </w:r>
      <w:hyperlink r:id="rId58" w:history="1">
        <w:r w:rsidR="005D7B2C" w:rsidRPr="00F05461">
          <w:rPr>
            <w:rStyle w:val="Hyperlink"/>
            <w:rFonts w:eastAsia="Times New Roman" w:cs="Times New Roman"/>
            <w:szCs w:val="20"/>
            <w:lang w:val="es-ES"/>
          </w:rPr>
          <w:t>Resolución</w:t>
        </w:r>
        <w:r w:rsidR="004B43AF" w:rsidRPr="00F05461">
          <w:rPr>
            <w:rStyle w:val="Hyperlink"/>
            <w:rFonts w:eastAsia="Times New Roman" w:cs="Times New Roman"/>
            <w:szCs w:val="20"/>
            <w:lang w:val="es-ES"/>
          </w:rPr>
          <w:t> </w:t>
        </w:r>
        <w:r w:rsidR="005D7B2C" w:rsidRPr="00F05461">
          <w:rPr>
            <w:rStyle w:val="Hyperlink"/>
            <w:rFonts w:eastAsia="Times New Roman" w:cs="Times New Roman"/>
            <w:szCs w:val="20"/>
            <w:lang w:val="es-ES"/>
          </w:rPr>
          <w:t>56-3</w:t>
        </w:r>
      </w:hyperlink>
      <w:r w:rsidR="005D7B2C" w:rsidRPr="00F05461">
        <w:rPr>
          <w:lang w:val="es-ES"/>
        </w:rPr>
        <w:t>) y se armonizan en consecuencia los futuros principios de desarrollo (</w:t>
      </w:r>
      <w:hyperlink r:id="rId59" w:history="1">
        <w:r w:rsidR="005D7B2C" w:rsidRPr="00F05461">
          <w:rPr>
            <w:rStyle w:val="Hyperlink"/>
            <w:rFonts w:eastAsia="Times New Roman" w:cs="Times New Roman"/>
            <w:szCs w:val="20"/>
            <w:lang w:val="es-ES"/>
          </w:rPr>
          <w:t>Resolución</w:t>
        </w:r>
        <w:r w:rsidR="004B43AF" w:rsidRPr="00F05461">
          <w:rPr>
            <w:rStyle w:val="Hyperlink"/>
            <w:rFonts w:eastAsia="Times New Roman" w:cs="Times New Roman"/>
            <w:szCs w:val="20"/>
            <w:lang w:val="es-ES"/>
          </w:rPr>
          <w:t> </w:t>
        </w:r>
        <w:r w:rsidR="005D7B2C" w:rsidRPr="00F05461">
          <w:rPr>
            <w:rStyle w:val="Hyperlink"/>
            <w:rFonts w:eastAsia="Times New Roman" w:cs="Times New Roman"/>
            <w:szCs w:val="20"/>
            <w:lang w:val="es-ES"/>
          </w:rPr>
          <w:t>65-1</w:t>
        </w:r>
      </w:hyperlink>
      <w:r w:rsidR="005D7B2C" w:rsidRPr="00F05461">
        <w:rPr>
          <w:lang w:val="es-ES"/>
        </w:rPr>
        <w:t>)</w:t>
      </w:r>
      <w:r w:rsidR="003E3381" w:rsidRPr="00F05461">
        <w:rPr>
          <w:lang w:val="es-ES"/>
        </w:rPr>
        <w:t>.</w:t>
      </w:r>
    </w:p>
    <w:p w14:paraId="7FC94F2C" w14:textId="31DD8922" w:rsidR="005D7B2C" w:rsidRPr="00F05461" w:rsidRDefault="00FD0E79" w:rsidP="00FD0E79">
      <w:pPr>
        <w:pStyle w:val="enumlev1"/>
        <w:rPr>
          <w:lang w:val="es-ES"/>
        </w:rPr>
      </w:pPr>
      <w:r w:rsidRPr="00F05461">
        <w:rPr>
          <w:lang w:val="es-ES"/>
        </w:rPr>
        <w:t>•</w:t>
      </w:r>
      <w:r w:rsidRPr="00F05461">
        <w:rPr>
          <w:lang w:val="es-ES"/>
        </w:rPr>
        <w:tab/>
      </w:r>
      <w:r w:rsidR="003E3381" w:rsidRPr="00F05461">
        <w:rPr>
          <w:lang w:val="es-ES"/>
        </w:rPr>
        <w:t xml:space="preserve">La </w:t>
      </w:r>
      <w:r w:rsidR="005D7B2C" w:rsidRPr="00F05461">
        <w:rPr>
          <w:lang w:val="es-ES"/>
        </w:rPr>
        <w:t>adopción de cuatro nuevas Resoluciones centradas en la promoción de la igualdad de género en las actividades del</w:t>
      </w:r>
      <w:r w:rsidR="004B43AF" w:rsidRPr="00F05461">
        <w:rPr>
          <w:lang w:val="es-ES"/>
        </w:rPr>
        <w:t> </w:t>
      </w:r>
      <w:r w:rsidR="005D7B2C" w:rsidRPr="00F05461">
        <w:rPr>
          <w:lang w:val="es-ES"/>
        </w:rPr>
        <w:t>UIT-R (</w:t>
      </w:r>
      <w:hyperlink r:id="rId60" w:history="1">
        <w:r w:rsidR="003E3381" w:rsidRPr="00F05461">
          <w:rPr>
            <w:rStyle w:val="Hyperlink"/>
            <w:rFonts w:eastAsia="Times New Roman" w:cs="Times New Roman"/>
            <w:szCs w:val="20"/>
            <w:lang w:val="es-ES"/>
          </w:rPr>
          <w:t>Resolución 72</w:t>
        </w:r>
      </w:hyperlink>
      <w:r w:rsidR="005D7B2C" w:rsidRPr="00F05461">
        <w:rPr>
          <w:lang w:val="es-ES"/>
        </w:rPr>
        <w:t>), el fomento de la utilización de las tecnologías IMT para la banda ancha inalámbrica fija (</w:t>
      </w:r>
      <w:hyperlink r:id="rId61" w:history="1">
        <w:r w:rsidR="003E3381" w:rsidRPr="00F05461">
          <w:rPr>
            <w:rStyle w:val="Hyperlink"/>
            <w:rFonts w:eastAsia="Times New Roman" w:cs="Times New Roman"/>
            <w:szCs w:val="20"/>
            <w:lang w:val="es-ES"/>
          </w:rPr>
          <w:t>Resolución 73</w:t>
        </w:r>
      </w:hyperlink>
      <w:r w:rsidR="005D7B2C" w:rsidRPr="00F05461">
        <w:rPr>
          <w:lang w:val="es-ES"/>
        </w:rPr>
        <w:t>) y la promoción de la utilización sostenible de los recursos espectrales y orbitales (</w:t>
      </w:r>
      <w:hyperlink r:id="rId62" w:history="1">
        <w:r w:rsidR="003E3381" w:rsidRPr="00F05461">
          <w:rPr>
            <w:rStyle w:val="Hyperlink"/>
            <w:rFonts w:eastAsia="Times New Roman" w:cs="Times New Roman"/>
            <w:szCs w:val="20"/>
            <w:lang w:val="es-ES"/>
          </w:rPr>
          <w:t>Resolución 74</w:t>
        </w:r>
      </w:hyperlink>
      <w:r w:rsidR="005D7B2C" w:rsidRPr="00F05461">
        <w:rPr>
          <w:lang w:val="es-ES"/>
        </w:rPr>
        <w:t>)</w:t>
      </w:r>
      <w:r w:rsidR="003E3381" w:rsidRPr="00F05461">
        <w:rPr>
          <w:lang w:val="es-ES"/>
        </w:rPr>
        <w:t>.</w:t>
      </w:r>
    </w:p>
    <w:p w14:paraId="68EF4FAE" w14:textId="3DEAAEEC" w:rsidR="005D7B2C" w:rsidRPr="00F05461" w:rsidRDefault="00FD0E79" w:rsidP="00FD0E79">
      <w:pPr>
        <w:pStyle w:val="enumlev1"/>
        <w:rPr>
          <w:lang w:val="es-ES"/>
        </w:rPr>
      </w:pPr>
      <w:r w:rsidRPr="00F05461">
        <w:rPr>
          <w:lang w:val="es-ES"/>
        </w:rPr>
        <w:t>•</w:t>
      </w:r>
      <w:r w:rsidRPr="00F05461">
        <w:rPr>
          <w:lang w:val="es-ES"/>
        </w:rPr>
        <w:tab/>
      </w:r>
      <w:r w:rsidR="003E3381" w:rsidRPr="00F05461">
        <w:rPr>
          <w:lang w:val="es-ES"/>
        </w:rPr>
        <w:t xml:space="preserve">Fortalecimiento </w:t>
      </w:r>
      <w:r w:rsidR="005D7B2C" w:rsidRPr="00F05461">
        <w:rPr>
          <w:lang w:val="es-ES"/>
        </w:rPr>
        <w:t xml:space="preserve">de la coordinación intersectorial en toda </w:t>
      </w:r>
      <w:r w:rsidR="00296F03" w:rsidRPr="00F05461">
        <w:rPr>
          <w:lang w:val="es-ES"/>
        </w:rPr>
        <w:t>la UIT</w:t>
      </w:r>
      <w:r w:rsidR="005D7B2C" w:rsidRPr="00F05461">
        <w:rPr>
          <w:lang w:val="es-ES"/>
        </w:rPr>
        <w:t xml:space="preserve"> (</w:t>
      </w:r>
      <w:hyperlink r:id="rId63" w:history="1">
        <w:r w:rsidR="003E3381" w:rsidRPr="00F05461">
          <w:rPr>
            <w:rStyle w:val="Hyperlink"/>
            <w:rFonts w:eastAsia="Times New Roman" w:cs="Times New Roman"/>
            <w:szCs w:val="20"/>
            <w:lang w:val="es-ES"/>
          </w:rPr>
          <w:t>Resolución 75</w:t>
        </w:r>
      </w:hyperlink>
      <w:r w:rsidR="005D7B2C" w:rsidRPr="00F05461">
        <w:rPr>
          <w:lang w:val="es-ES"/>
        </w:rPr>
        <w:t xml:space="preserve">), refundiendo textos anteriores. Las decisiones pertinentes para la CMR-23 se transmitieron posteriormente en el </w:t>
      </w:r>
      <w:hyperlink r:id="rId64" w:history="1">
        <w:r w:rsidR="005D7B2C" w:rsidRPr="00F05461">
          <w:rPr>
            <w:rStyle w:val="Hyperlink"/>
            <w:rFonts w:eastAsia="Times New Roman" w:cs="Times New Roman"/>
            <w:szCs w:val="20"/>
            <w:lang w:val="es-ES"/>
          </w:rPr>
          <w:t>Documento</w:t>
        </w:r>
        <w:r w:rsidR="004B43AF" w:rsidRPr="00F05461">
          <w:rPr>
            <w:rStyle w:val="Hyperlink"/>
            <w:rFonts w:eastAsia="Times New Roman" w:cs="Times New Roman"/>
            <w:szCs w:val="20"/>
            <w:lang w:val="es-ES"/>
          </w:rPr>
          <w:t> WRC</w:t>
        </w:r>
        <w:r w:rsidR="005D7B2C" w:rsidRPr="00F05461">
          <w:rPr>
            <w:rStyle w:val="Hyperlink"/>
            <w:rFonts w:eastAsia="Times New Roman" w:cs="Times New Roman"/>
            <w:szCs w:val="20"/>
            <w:lang w:val="es-ES"/>
          </w:rPr>
          <w:t>-23/217</w:t>
        </w:r>
      </w:hyperlink>
      <w:r w:rsidR="005D7B2C" w:rsidRPr="00F05461">
        <w:rPr>
          <w:lang w:val="es-ES"/>
        </w:rPr>
        <w:t>.</w:t>
      </w:r>
    </w:p>
    <w:p w14:paraId="3FD0BA6D" w14:textId="0E1E17E7" w:rsidR="005D7B2C" w:rsidRPr="00F05461" w:rsidRDefault="005D7B2C" w:rsidP="00FD0E79">
      <w:pPr>
        <w:pStyle w:val="Heading2"/>
        <w:rPr>
          <w:lang w:val="es-ES"/>
        </w:rPr>
      </w:pPr>
      <w:bookmarkStart w:id="28" w:name="_Toc227137456"/>
      <w:r w:rsidRPr="00F05461">
        <w:rPr>
          <w:lang w:val="es-ES"/>
        </w:rPr>
        <w:t>2.3</w:t>
      </w:r>
      <w:r w:rsidRPr="00F05461">
        <w:rPr>
          <w:lang w:val="es-ES"/>
        </w:rPr>
        <w:tab/>
        <w:t xml:space="preserve">Asamblea Mundial de Normalización de las Telecomunicaciones </w:t>
      </w:r>
      <w:r w:rsidR="00D0679E">
        <w:rPr>
          <w:lang w:val="es-ES"/>
        </w:rPr>
        <w:t xml:space="preserve">de </w:t>
      </w:r>
      <w:r w:rsidRPr="00F05461">
        <w:rPr>
          <w:lang w:val="es-ES"/>
        </w:rPr>
        <w:t>2024</w:t>
      </w:r>
      <w:bookmarkEnd w:id="28"/>
    </w:p>
    <w:p w14:paraId="458CB6DF" w14:textId="7F2C7E5D" w:rsidR="005D7B2C" w:rsidRPr="00F05461" w:rsidRDefault="005D7B2C" w:rsidP="005D7B2C">
      <w:pPr>
        <w:rPr>
          <w:lang w:val="es-ES"/>
        </w:rPr>
      </w:pPr>
      <w:r w:rsidRPr="00F05461">
        <w:rPr>
          <w:lang w:val="es-ES"/>
        </w:rPr>
        <w:t>La</w:t>
      </w:r>
      <w:r w:rsidR="00D0679E">
        <w:rPr>
          <w:lang w:val="es-ES"/>
        </w:rPr>
        <w:t xml:space="preserve"> </w:t>
      </w:r>
      <w:r w:rsidR="00D0679E" w:rsidRPr="00D0679E">
        <w:rPr>
          <w:lang w:val="es-ES"/>
        </w:rPr>
        <w:t>Asamblea Mundial de Normalización de las Telecomunicaciones</w:t>
      </w:r>
      <w:r w:rsidR="00D0679E">
        <w:rPr>
          <w:lang w:val="es-ES"/>
        </w:rPr>
        <w:t xml:space="preserve"> (</w:t>
      </w:r>
      <w:hyperlink r:id="rId65" w:history="1">
        <w:r w:rsidRPr="00F05461">
          <w:rPr>
            <w:rStyle w:val="Hyperlink"/>
            <w:rFonts w:eastAsia="Times New Roman" w:cs="Times New Roman"/>
            <w:szCs w:val="20"/>
            <w:lang w:val="es-ES"/>
          </w:rPr>
          <w:t>AMNT-24</w:t>
        </w:r>
      </w:hyperlink>
      <w:r w:rsidR="00D0679E">
        <w:rPr>
          <w:lang w:val="es-ES"/>
        </w:rPr>
        <w:t xml:space="preserve">) </w:t>
      </w:r>
      <w:r w:rsidRPr="00F05461">
        <w:rPr>
          <w:lang w:val="es-ES"/>
        </w:rPr>
        <w:t>se celebró del 15 al 24 de octubre de 2024 en Nueva Delhi (India). Esta fue la primera AMNT celebrada en Asia. Fue precedida por el Simposio Mundial de Normalización (</w:t>
      </w:r>
      <w:hyperlink r:id="rId66" w:history="1">
        <w:r w:rsidRPr="00F05461">
          <w:rPr>
            <w:rStyle w:val="Hyperlink"/>
            <w:rFonts w:eastAsia="Times New Roman" w:cs="Times New Roman"/>
            <w:szCs w:val="20"/>
            <w:lang w:val="es-ES"/>
          </w:rPr>
          <w:t>SMN-24</w:t>
        </w:r>
      </w:hyperlink>
      <w:r w:rsidRPr="00F05461">
        <w:rPr>
          <w:lang w:val="es-ES"/>
        </w:rPr>
        <w:t>) el 14 de octubre de</w:t>
      </w:r>
      <w:r w:rsidR="00824F3D" w:rsidRPr="00F05461">
        <w:rPr>
          <w:lang w:val="es-ES"/>
        </w:rPr>
        <w:t> </w:t>
      </w:r>
      <w:r w:rsidRPr="00F05461">
        <w:rPr>
          <w:lang w:val="es-ES"/>
        </w:rPr>
        <w:t>2024 y seguida por la formación de líderes, que se impartió a los presidentes y vicepresidentes recién nombrados. La Asamblea dio la bienvenida al Excmo.</w:t>
      </w:r>
      <w:r w:rsidR="003E3381" w:rsidRPr="00F05461">
        <w:rPr>
          <w:lang w:val="es-ES"/>
        </w:rPr>
        <w:t> </w:t>
      </w:r>
      <w:r w:rsidRPr="00F05461">
        <w:rPr>
          <w:lang w:val="es-ES"/>
        </w:rPr>
        <w:t>Sr.</w:t>
      </w:r>
      <w:r w:rsidR="00824F3D" w:rsidRPr="00F05461">
        <w:rPr>
          <w:lang w:val="es-ES"/>
        </w:rPr>
        <w:t> </w:t>
      </w:r>
      <w:r w:rsidRPr="00F05461">
        <w:rPr>
          <w:lang w:val="es-ES"/>
        </w:rPr>
        <w:t>Narendra Modi, Primer Ministro de la India, en su ceremonia de apertura. Presidió la Asamblea el Sr.</w:t>
      </w:r>
      <w:r w:rsidR="00824F3D" w:rsidRPr="00F05461">
        <w:rPr>
          <w:lang w:val="es-ES"/>
        </w:rPr>
        <w:t> </w:t>
      </w:r>
      <w:r w:rsidRPr="00F05461">
        <w:rPr>
          <w:lang w:val="es-ES"/>
        </w:rPr>
        <w:t>Ritu Ranjan Mittar (India). Con una asistencia de 3 700</w:t>
      </w:r>
      <w:r w:rsidR="00824F3D" w:rsidRPr="00F05461">
        <w:rPr>
          <w:lang w:val="es-ES"/>
        </w:rPr>
        <w:t> </w:t>
      </w:r>
      <w:r w:rsidRPr="00F05461">
        <w:rPr>
          <w:lang w:val="es-ES"/>
        </w:rPr>
        <w:t>delegados de 164</w:t>
      </w:r>
      <w:r w:rsidR="00824F3D" w:rsidRPr="00F05461">
        <w:rPr>
          <w:lang w:val="es-ES"/>
        </w:rPr>
        <w:t> </w:t>
      </w:r>
      <w:r w:rsidRPr="00F05461">
        <w:rPr>
          <w:lang w:val="es-ES"/>
        </w:rPr>
        <w:t xml:space="preserve">países, alcanzó el 27 por ciento de representación femenina, la cifra más alta hasta la fecha en una conferencia de </w:t>
      </w:r>
      <w:r w:rsidR="00296F03" w:rsidRPr="00F05461">
        <w:rPr>
          <w:lang w:val="es-ES"/>
        </w:rPr>
        <w:t>la UIT</w:t>
      </w:r>
      <w:r w:rsidRPr="00F05461">
        <w:rPr>
          <w:lang w:val="es-ES"/>
        </w:rPr>
        <w:t xml:space="preserve"> celebrada fuera de Ginebra. También registró la participación de más alto nivel, con la asistencia de ministros de 37</w:t>
      </w:r>
      <w:r w:rsidR="00824F3D" w:rsidRPr="00F05461">
        <w:rPr>
          <w:lang w:val="es-ES"/>
        </w:rPr>
        <w:t> </w:t>
      </w:r>
      <w:r w:rsidRPr="00F05461">
        <w:rPr>
          <w:lang w:val="es-ES"/>
        </w:rPr>
        <w:t>Estados Miembros. Durante la</w:t>
      </w:r>
      <w:r w:rsidR="003E3381" w:rsidRPr="00F05461">
        <w:rPr>
          <w:lang w:val="es-ES"/>
        </w:rPr>
        <w:t> </w:t>
      </w:r>
      <w:r w:rsidRPr="00F05461">
        <w:rPr>
          <w:lang w:val="es-ES"/>
        </w:rPr>
        <w:t>AMNT-24 se celebraron más de 20</w:t>
      </w:r>
      <w:r w:rsidR="00824F3D" w:rsidRPr="00F05461">
        <w:rPr>
          <w:lang w:val="es-ES"/>
        </w:rPr>
        <w:t> </w:t>
      </w:r>
      <w:r w:rsidRPr="00F05461">
        <w:rPr>
          <w:lang w:val="es-ES"/>
        </w:rPr>
        <w:t>eventos paralelos.</w:t>
      </w:r>
    </w:p>
    <w:p w14:paraId="42506998" w14:textId="3431F961" w:rsidR="005D7B2C" w:rsidRPr="00F05461" w:rsidRDefault="005D7B2C" w:rsidP="005D7B2C">
      <w:pPr>
        <w:rPr>
          <w:lang w:val="es-ES"/>
        </w:rPr>
      </w:pPr>
      <w:r w:rsidRPr="00F05461">
        <w:rPr>
          <w:lang w:val="es-ES"/>
        </w:rPr>
        <w:t>Los principales resultados de la</w:t>
      </w:r>
      <w:r w:rsidR="00824F3D" w:rsidRPr="00F05461">
        <w:rPr>
          <w:lang w:val="es-ES"/>
        </w:rPr>
        <w:t> </w:t>
      </w:r>
      <w:r w:rsidRPr="00F05461">
        <w:rPr>
          <w:lang w:val="es-ES"/>
        </w:rPr>
        <w:t>AMNT-24 incluyen:</w:t>
      </w:r>
    </w:p>
    <w:p w14:paraId="21EFCB3B" w14:textId="2B4B0F32"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 xml:space="preserve">La fusión de la </w:t>
      </w:r>
      <w:hyperlink r:id="rId67" w:history="1">
        <w:r w:rsidR="005D7B2C" w:rsidRPr="00F05461">
          <w:rPr>
            <w:rStyle w:val="Hyperlink"/>
            <w:rFonts w:eastAsia="Times New Roman" w:cs="Times New Roman"/>
            <w:szCs w:val="20"/>
            <w:lang w:val="es-ES"/>
          </w:rPr>
          <w:t>Comisión de Estudio</w:t>
        </w:r>
        <w:r w:rsidR="00824F3D" w:rsidRPr="00F05461">
          <w:rPr>
            <w:rStyle w:val="Hyperlink"/>
            <w:rFonts w:eastAsia="Times New Roman" w:cs="Times New Roman"/>
            <w:szCs w:val="20"/>
            <w:lang w:val="es-ES"/>
          </w:rPr>
          <w:t> </w:t>
        </w:r>
        <w:r w:rsidR="005D7B2C" w:rsidRPr="00F05461">
          <w:rPr>
            <w:rStyle w:val="Hyperlink"/>
            <w:rFonts w:eastAsia="Times New Roman" w:cs="Times New Roman"/>
            <w:szCs w:val="20"/>
            <w:lang w:val="es-ES"/>
          </w:rPr>
          <w:t>9</w:t>
        </w:r>
      </w:hyperlink>
      <w:r w:rsidR="005D7B2C" w:rsidRPr="00F05461">
        <w:rPr>
          <w:lang w:val="es-ES"/>
        </w:rPr>
        <w:t xml:space="preserve"> y la </w:t>
      </w:r>
      <w:hyperlink r:id="rId68" w:history="1">
        <w:r w:rsidR="005D7B2C" w:rsidRPr="00F05461">
          <w:rPr>
            <w:rStyle w:val="Hyperlink"/>
            <w:rFonts w:eastAsia="Times New Roman" w:cs="Times New Roman"/>
            <w:szCs w:val="20"/>
            <w:lang w:val="es-ES"/>
          </w:rPr>
          <w:t>Comisión de Estudio</w:t>
        </w:r>
        <w:r w:rsidR="00824F3D" w:rsidRPr="00F05461">
          <w:rPr>
            <w:rStyle w:val="Hyperlink"/>
            <w:rFonts w:eastAsia="Times New Roman" w:cs="Times New Roman"/>
            <w:szCs w:val="20"/>
            <w:lang w:val="es-ES"/>
          </w:rPr>
          <w:t> </w:t>
        </w:r>
        <w:r w:rsidR="005D7B2C" w:rsidRPr="00F05461">
          <w:rPr>
            <w:rStyle w:val="Hyperlink"/>
            <w:rFonts w:eastAsia="Times New Roman" w:cs="Times New Roman"/>
            <w:szCs w:val="20"/>
            <w:lang w:val="es-ES"/>
          </w:rPr>
          <w:t>16</w:t>
        </w:r>
      </w:hyperlink>
      <w:r w:rsidR="005D7B2C" w:rsidRPr="00F05461">
        <w:rPr>
          <w:lang w:val="es-ES"/>
        </w:rPr>
        <w:t xml:space="preserve"> en el</w:t>
      </w:r>
      <w:r w:rsidR="00C45DDD" w:rsidRPr="00F05461">
        <w:rPr>
          <w:lang w:val="es-ES"/>
        </w:rPr>
        <w:t> </w:t>
      </w:r>
      <w:r w:rsidR="005D7B2C" w:rsidRPr="00F05461">
        <w:rPr>
          <w:lang w:val="es-ES"/>
        </w:rPr>
        <w:t xml:space="preserve">UIT-T en un nuevo órgano, la </w:t>
      </w:r>
      <w:hyperlink r:id="rId69" w:history="1">
        <w:r w:rsidR="005D7B2C" w:rsidRPr="00F05461">
          <w:rPr>
            <w:rStyle w:val="Hyperlink"/>
            <w:rFonts w:eastAsia="Times New Roman" w:cs="Times New Roman"/>
            <w:szCs w:val="20"/>
            <w:lang w:val="es-ES"/>
          </w:rPr>
          <w:t>Comisión de Estudio</w:t>
        </w:r>
        <w:r w:rsidR="003E3381" w:rsidRPr="00F05461">
          <w:rPr>
            <w:rStyle w:val="Hyperlink"/>
            <w:rFonts w:eastAsia="Times New Roman" w:cs="Times New Roman"/>
            <w:szCs w:val="20"/>
            <w:lang w:val="es-ES"/>
          </w:rPr>
          <w:t> </w:t>
        </w:r>
        <w:r w:rsidR="005D7B2C" w:rsidRPr="00F05461">
          <w:rPr>
            <w:rStyle w:val="Hyperlink"/>
            <w:rFonts w:eastAsia="Times New Roman" w:cs="Times New Roman"/>
            <w:szCs w:val="20"/>
            <w:lang w:val="es-ES"/>
          </w:rPr>
          <w:t>21</w:t>
        </w:r>
      </w:hyperlink>
      <w:r w:rsidR="005D7B2C" w:rsidRPr="00F05461">
        <w:rPr>
          <w:lang w:val="es-ES"/>
        </w:rPr>
        <w:t>, encargada de tecnologías para multimedios, suministro de contenido y televisión por cable.</w:t>
      </w:r>
    </w:p>
    <w:p w14:paraId="07545634" w14:textId="14FE14FA"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 xml:space="preserve">La Asamblea nombró a los nuevos </w:t>
      </w:r>
      <w:hyperlink r:id="rId70" w:history="1">
        <w:r w:rsidR="005D7B2C" w:rsidRPr="00F05461">
          <w:rPr>
            <w:rStyle w:val="Hyperlink"/>
            <w:rFonts w:eastAsia="Times New Roman" w:cs="Times New Roman"/>
            <w:szCs w:val="20"/>
            <w:lang w:val="es-ES"/>
          </w:rPr>
          <w:t>Presidentes y Vicepresidentes</w:t>
        </w:r>
      </w:hyperlink>
      <w:r w:rsidR="005D7B2C" w:rsidRPr="00F05461">
        <w:rPr>
          <w:lang w:val="es-ES"/>
        </w:rPr>
        <w:t xml:space="preserve"> de 10</w:t>
      </w:r>
      <w:r w:rsidR="00824F3D" w:rsidRPr="00F05461">
        <w:rPr>
          <w:lang w:val="es-ES"/>
        </w:rPr>
        <w:t> </w:t>
      </w:r>
      <w:r w:rsidR="005D7B2C" w:rsidRPr="00F05461">
        <w:rPr>
          <w:lang w:val="es-ES"/>
        </w:rPr>
        <w:t>Comisiones de Estudio, así como del Grupo Asesor de Normalización de las Telecomunicaciones y del Comité para la Normalización del Vocabulario.</w:t>
      </w:r>
    </w:p>
    <w:p w14:paraId="497BAC1B" w14:textId="4576629A"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 xml:space="preserve">También se actualizó el mandato contenido en la </w:t>
      </w:r>
      <w:hyperlink r:id="rId71" w:history="1">
        <w:r w:rsidR="005D7B2C" w:rsidRPr="00F05461">
          <w:rPr>
            <w:rStyle w:val="Hyperlink"/>
            <w:rFonts w:eastAsia="Times New Roman" w:cs="Times New Roman"/>
            <w:szCs w:val="20"/>
            <w:lang w:val="es-ES"/>
          </w:rPr>
          <w:t>Resolución</w:t>
        </w:r>
        <w:r w:rsidR="00824F3D" w:rsidRPr="00F05461">
          <w:rPr>
            <w:rStyle w:val="Hyperlink"/>
            <w:rFonts w:eastAsia="Times New Roman" w:cs="Times New Roman"/>
            <w:szCs w:val="20"/>
            <w:lang w:val="es-ES"/>
          </w:rPr>
          <w:t> </w:t>
        </w:r>
        <w:r w:rsidR="005D7B2C" w:rsidRPr="00F05461">
          <w:rPr>
            <w:rStyle w:val="Hyperlink"/>
            <w:rFonts w:eastAsia="Times New Roman" w:cs="Times New Roman"/>
            <w:szCs w:val="20"/>
            <w:lang w:val="es-ES"/>
          </w:rPr>
          <w:t>2</w:t>
        </w:r>
      </w:hyperlink>
      <w:r w:rsidR="005D7B2C" w:rsidRPr="00F05461">
        <w:rPr>
          <w:lang w:val="es-ES"/>
        </w:rPr>
        <w:t>, se adoptaron nuevas Cuestiones para las 10</w:t>
      </w:r>
      <w:r w:rsidR="00824F3D" w:rsidRPr="00F05461">
        <w:rPr>
          <w:lang w:val="es-ES"/>
        </w:rPr>
        <w:t> </w:t>
      </w:r>
      <w:r w:rsidR="005D7B2C" w:rsidRPr="00F05461">
        <w:rPr>
          <w:lang w:val="es-ES"/>
        </w:rPr>
        <w:t xml:space="preserve">Comisiones de Estudio del </w:t>
      </w:r>
      <w:r w:rsidR="003E3381" w:rsidRPr="00F05461">
        <w:rPr>
          <w:lang w:val="es-ES"/>
        </w:rPr>
        <w:t xml:space="preserve">sector </w:t>
      </w:r>
      <w:r w:rsidR="005D7B2C" w:rsidRPr="00F05461">
        <w:rPr>
          <w:lang w:val="es-ES"/>
        </w:rPr>
        <w:t>y se aprobó un importante conjunto de productos, en particular ocho nuevas Resoluciones, 44</w:t>
      </w:r>
      <w:r w:rsidR="00824F3D" w:rsidRPr="00F05461">
        <w:rPr>
          <w:lang w:val="es-ES"/>
        </w:rPr>
        <w:t> </w:t>
      </w:r>
      <w:r w:rsidR="005D7B2C" w:rsidRPr="00F05461">
        <w:rPr>
          <w:lang w:val="es-ES"/>
        </w:rPr>
        <w:t>Resoluciones revisadas y una Recomendación</w:t>
      </w:r>
      <w:r w:rsidR="003E3381" w:rsidRPr="00F05461">
        <w:rPr>
          <w:lang w:val="es-ES"/>
        </w:rPr>
        <w:t> </w:t>
      </w:r>
      <w:r w:rsidR="005D7B2C" w:rsidRPr="00F05461">
        <w:rPr>
          <w:lang w:val="es-ES"/>
        </w:rPr>
        <w:t>UIT-T revisada (</w:t>
      </w:r>
      <w:hyperlink r:id="rId72" w:history="1">
        <w:r w:rsidR="005D7B2C" w:rsidRPr="00F05461">
          <w:rPr>
            <w:rStyle w:val="Hyperlink"/>
            <w:rFonts w:eastAsia="Times New Roman" w:cs="Times New Roman"/>
            <w:szCs w:val="20"/>
            <w:lang w:val="es-ES"/>
          </w:rPr>
          <w:t>A.25</w:t>
        </w:r>
      </w:hyperlink>
      <w:r w:rsidR="005D7B2C" w:rsidRPr="00F05461">
        <w:rPr>
          <w:lang w:val="es-ES"/>
        </w:rPr>
        <w:t>).</w:t>
      </w:r>
    </w:p>
    <w:p w14:paraId="28866FE3" w14:textId="382EED56" w:rsidR="005D7B2C" w:rsidRPr="00F05461" w:rsidRDefault="005D7B2C" w:rsidP="00FD0E79">
      <w:pPr>
        <w:pStyle w:val="Heading2"/>
        <w:rPr>
          <w:lang w:val="es-ES"/>
        </w:rPr>
      </w:pPr>
      <w:bookmarkStart w:id="29" w:name="_Toc227137457"/>
      <w:r w:rsidRPr="00F05461">
        <w:rPr>
          <w:lang w:val="es-ES"/>
        </w:rPr>
        <w:lastRenderedPageBreak/>
        <w:t>2.4</w:t>
      </w:r>
      <w:r w:rsidRPr="00F05461">
        <w:rPr>
          <w:lang w:val="es-ES"/>
        </w:rPr>
        <w:tab/>
        <w:t>Conferencia Mundial de Desarrollo de las Telecomunicaciones de 2025</w:t>
      </w:r>
      <w:bookmarkEnd w:id="29"/>
    </w:p>
    <w:p w14:paraId="487F1668" w14:textId="7B53C6CB" w:rsidR="005D7B2C" w:rsidRPr="00F05461" w:rsidRDefault="005D7B2C" w:rsidP="005D7B2C">
      <w:pPr>
        <w:rPr>
          <w:lang w:val="es-ES"/>
        </w:rPr>
      </w:pPr>
      <w:r w:rsidRPr="00F05461">
        <w:rPr>
          <w:lang w:val="es-ES"/>
        </w:rPr>
        <w:t>La 9</w:t>
      </w:r>
      <w:r w:rsidR="00FD0E79" w:rsidRPr="00F05461">
        <w:rPr>
          <w:lang w:val="es-ES"/>
        </w:rPr>
        <w:t>.</w:t>
      </w:r>
      <w:r w:rsidRPr="00F05461">
        <w:rPr>
          <w:lang w:val="es-ES"/>
        </w:rPr>
        <w:t>ª</w:t>
      </w:r>
      <w:r w:rsidR="00FD0E79" w:rsidRPr="00F05461">
        <w:rPr>
          <w:lang w:val="es-ES"/>
        </w:rPr>
        <w:t> </w:t>
      </w:r>
      <w:r w:rsidRPr="00F05461">
        <w:rPr>
          <w:lang w:val="es-ES"/>
        </w:rPr>
        <w:t>Conferencia Mundial de Desarrollo de las Telecomunicaciones (</w:t>
      </w:r>
      <w:hyperlink r:id="rId73" w:history="1">
        <w:r w:rsidRPr="00F05461">
          <w:rPr>
            <w:rStyle w:val="Hyperlink"/>
            <w:rFonts w:eastAsia="Times New Roman" w:cs="Times New Roman"/>
            <w:szCs w:val="20"/>
            <w:lang w:val="es-ES"/>
          </w:rPr>
          <w:t>CMDT-25</w:t>
        </w:r>
      </w:hyperlink>
      <w:r w:rsidRPr="00F05461">
        <w:rPr>
          <w:lang w:val="es-ES"/>
        </w:rPr>
        <w:t>), celebrada del 17 al 28 de noviembre de 2025 en Bakú (Azerbaiyán), marcó un hito importante para la conectividad mundial y el desarrollo digital. La CMDT-25 estuvo presidida por el Excmo.</w:t>
      </w:r>
      <w:r w:rsidR="00824F3D" w:rsidRPr="00F05461">
        <w:rPr>
          <w:lang w:val="es-ES"/>
        </w:rPr>
        <w:t> </w:t>
      </w:r>
      <w:r w:rsidRPr="00F05461">
        <w:rPr>
          <w:lang w:val="es-ES"/>
        </w:rPr>
        <w:t>Sr.</w:t>
      </w:r>
      <w:r w:rsidR="00824F3D" w:rsidRPr="00F05461">
        <w:rPr>
          <w:lang w:val="es-ES"/>
        </w:rPr>
        <w:t> </w:t>
      </w:r>
      <w:r w:rsidRPr="00F05461">
        <w:rPr>
          <w:lang w:val="es-ES"/>
        </w:rPr>
        <w:t>Samaddin Asadov, Viceministro de Desarrollo Digital y Transporte de la República de Azerbaiyán. La Conferencia se centró en un tema importante: «Conectividad universal, significativa y asequible para un futuro digital inclusivo y sostenible».</w:t>
      </w:r>
    </w:p>
    <w:p w14:paraId="4E8B5D6F" w14:textId="1A9F33B3" w:rsidR="005D7B2C" w:rsidRPr="00F05461" w:rsidRDefault="005D7B2C" w:rsidP="005D7B2C">
      <w:pPr>
        <w:rPr>
          <w:lang w:val="es-ES"/>
        </w:rPr>
      </w:pPr>
      <w:r w:rsidRPr="00F05461">
        <w:rPr>
          <w:lang w:val="es-ES"/>
        </w:rPr>
        <w:t>La CMDT-25 congregó a unos 2</w:t>
      </w:r>
      <w:r w:rsidR="00824F3D" w:rsidRPr="00F05461">
        <w:rPr>
          <w:lang w:val="es-ES"/>
        </w:rPr>
        <w:t> </w:t>
      </w:r>
      <w:r w:rsidRPr="00F05461">
        <w:rPr>
          <w:lang w:val="es-ES"/>
        </w:rPr>
        <w:t>000</w:t>
      </w:r>
      <w:r w:rsidR="00824F3D" w:rsidRPr="00F05461">
        <w:rPr>
          <w:lang w:val="es-ES"/>
        </w:rPr>
        <w:t> </w:t>
      </w:r>
      <w:r w:rsidRPr="00F05461">
        <w:rPr>
          <w:lang w:val="es-ES"/>
        </w:rPr>
        <w:t>participantes, entre los que figuraban Estados Miembros, Miembros de Sector, Asociados e Instituciones Académicas de más de 150</w:t>
      </w:r>
      <w:r w:rsidR="00824F3D" w:rsidRPr="00F05461">
        <w:rPr>
          <w:lang w:val="es-ES"/>
        </w:rPr>
        <w:t> </w:t>
      </w:r>
      <w:r w:rsidRPr="00F05461">
        <w:rPr>
          <w:lang w:val="es-ES"/>
        </w:rPr>
        <w:t>países. A través del diálogo colaborativo y la negociación, la Conferencia obtuvo varios resultados importantes.</w:t>
      </w:r>
    </w:p>
    <w:p w14:paraId="538C5A5E" w14:textId="77777777" w:rsidR="005D7B2C" w:rsidRPr="00F05461" w:rsidRDefault="005D7B2C" w:rsidP="005D7B2C">
      <w:pPr>
        <w:rPr>
          <w:lang w:val="es-ES"/>
        </w:rPr>
      </w:pPr>
      <w:r w:rsidRPr="00F05461">
        <w:rPr>
          <w:lang w:val="es-ES"/>
        </w:rPr>
        <w:t>Entre los resultados cabe destacar:</w:t>
      </w:r>
    </w:p>
    <w:p w14:paraId="4A73A955" w14:textId="1304A618"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 xml:space="preserve">La </w:t>
      </w:r>
      <w:hyperlink r:id="rId74" w:history="1">
        <w:r w:rsidR="005D7B2C" w:rsidRPr="00F05461">
          <w:rPr>
            <w:rStyle w:val="Hyperlink"/>
            <w:rFonts w:eastAsia="Times New Roman" w:cs="Times New Roman"/>
            <w:szCs w:val="20"/>
            <w:lang w:val="es-ES"/>
          </w:rPr>
          <w:t>Declaración de Bakú</w:t>
        </w:r>
      </w:hyperlink>
      <w:r w:rsidR="005D7B2C" w:rsidRPr="00F05461">
        <w:rPr>
          <w:lang w:val="es-ES"/>
        </w:rPr>
        <w:t xml:space="preserve">: </w:t>
      </w:r>
      <w:r w:rsidR="00296F03" w:rsidRPr="00F05461">
        <w:rPr>
          <w:lang w:val="es-ES"/>
        </w:rPr>
        <w:t>l</w:t>
      </w:r>
      <w:r w:rsidR="005D7B2C" w:rsidRPr="00F05461">
        <w:rPr>
          <w:lang w:val="es-ES"/>
        </w:rPr>
        <w:t>a Conferencia adoptó la Declaración de Bakú, en la que se reafirma el compromiso de los miembros del</w:t>
      </w:r>
      <w:r w:rsidR="00C45DDD" w:rsidRPr="00F05461">
        <w:rPr>
          <w:lang w:val="es-ES"/>
        </w:rPr>
        <w:t> </w:t>
      </w:r>
      <w:r w:rsidR="005D7B2C" w:rsidRPr="00F05461">
        <w:rPr>
          <w:lang w:val="es-ES"/>
        </w:rPr>
        <w:t>UIT-D de reducir la brecha digital, mejorar la conectividad y empoderar a las comunidades a través de las</w:t>
      </w:r>
      <w:r w:rsidR="00824F3D" w:rsidRPr="00F05461">
        <w:rPr>
          <w:lang w:val="es-ES"/>
        </w:rPr>
        <w:t> </w:t>
      </w:r>
      <w:r w:rsidR="005D7B2C" w:rsidRPr="00F05461">
        <w:rPr>
          <w:lang w:val="es-ES"/>
        </w:rPr>
        <w:t>TIC. La Declaración sirve de documento orientativo sobre los valores y las prioridades de la labor del</w:t>
      </w:r>
      <w:r w:rsidR="00824F3D" w:rsidRPr="00F05461">
        <w:rPr>
          <w:lang w:val="es-ES"/>
        </w:rPr>
        <w:t> </w:t>
      </w:r>
      <w:r w:rsidR="005D7B2C" w:rsidRPr="00F05461">
        <w:rPr>
          <w:lang w:val="es-ES"/>
        </w:rPr>
        <w:t>UIT-D.</w:t>
      </w:r>
    </w:p>
    <w:p w14:paraId="5233EBE8" w14:textId="06A24554" w:rsidR="005D7B2C" w:rsidRPr="00F05461" w:rsidRDefault="00FD0E79" w:rsidP="00FD0E79">
      <w:pPr>
        <w:pStyle w:val="enumlev1"/>
        <w:rPr>
          <w:lang w:val="es-ES"/>
        </w:rPr>
      </w:pPr>
      <w:r w:rsidRPr="00F05461">
        <w:rPr>
          <w:lang w:val="es-ES"/>
        </w:rPr>
        <w:t>•</w:t>
      </w:r>
      <w:r w:rsidRPr="00F05461">
        <w:rPr>
          <w:lang w:val="es-ES"/>
        </w:rPr>
        <w:tab/>
      </w:r>
      <w:r w:rsidR="005D7B2C" w:rsidRPr="00F05461">
        <w:rPr>
          <w:lang w:val="es-ES"/>
        </w:rPr>
        <w:t xml:space="preserve">El </w:t>
      </w:r>
      <w:hyperlink r:id="rId75" w:history="1">
        <w:r w:rsidR="005D7B2C" w:rsidRPr="00F05461">
          <w:rPr>
            <w:rStyle w:val="Hyperlink"/>
            <w:rFonts w:eastAsia="Times New Roman" w:cs="Times New Roman"/>
            <w:szCs w:val="20"/>
            <w:lang w:val="es-ES"/>
          </w:rPr>
          <w:t>Plan de Acción de Bakú</w:t>
        </w:r>
      </w:hyperlink>
      <w:r w:rsidR="005D7B2C" w:rsidRPr="00F05461">
        <w:rPr>
          <w:lang w:val="es-ES"/>
        </w:rPr>
        <w:t xml:space="preserve">: </w:t>
      </w:r>
      <w:r w:rsidR="00296F03" w:rsidRPr="00F05461">
        <w:rPr>
          <w:lang w:val="es-ES"/>
        </w:rPr>
        <w:t>e</w:t>
      </w:r>
      <w:r w:rsidR="005D7B2C" w:rsidRPr="00F05461">
        <w:rPr>
          <w:lang w:val="es-ES"/>
        </w:rPr>
        <w:t>n consonancia con los objetivos de la Conferencia, la CMDT-25 estableció las prioridades del</w:t>
      </w:r>
      <w:r w:rsidR="005D6A1E" w:rsidRPr="00F05461">
        <w:rPr>
          <w:lang w:val="es-ES"/>
        </w:rPr>
        <w:t> </w:t>
      </w:r>
      <w:r w:rsidR="005D7B2C" w:rsidRPr="00F05461">
        <w:rPr>
          <w:lang w:val="es-ES"/>
        </w:rPr>
        <w:t>UIT-D para los próximos cuatro años (2026</w:t>
      </w:r>
      <w:r w:rsidR="00824F3D" w:rsidRPr="00F05461">
        <w:rPr>
          <w:lang w:val="es-ES"/>
        </w:rPr>
        <w:noBreakHyphen/>
      </w:r>
      <w:r w:rsidR="005D7B2C" w:rsidRPr="00F05461">
        <w:rPr>
          <w:lang w:val="es-ES"/>
        </w:rPr>
        <w:t xml:space="preserve">2029) y también aprobó un Plan de Acción de Bakú detallado, que orientará las iniciativas de desarrollo digital de </w:t>
      </w:r>
      <w:r w:rsidR="00296F03" w:rsidRPr="00F05461">
        <w:rPr>
          <w:lang w:val="es-ES"/>
        </w:rPr>
        <w:t>la UIT</w:t>
      </w:r>
      <w:r w:rsidR="005D7B2C" w:rsidRPr="00F05461">
        <w:rPr>
          <w:lang w:val="es-ES"/>
        </w:rPr>
        <w:t>. En estas iniciativas se prestará especial atención a las zonas más vulnerables del planeta, como los</w:t>
      </w:r>
      <w:r w:rsidR="00EB55B0" w:rsidRPr="00F05461">
        <w:rPr>
          <w:lang w:val="es-ES"/>
        </w:rPr>
        <w:t> </w:t>
      </w:r>
      <w:r w:rsidR="005D7B2C" w:rsidRPr="00F05461">
        <w:rPr>
          <w:lang w:val="es-ES"/>
        </w:rPr>
        <w:t>PMA, los</w:t>
      </w:r>
      <w:r w:rsidR="00EB55B0" w:rsidRPr="00F05461">
        <w:rPr>
          <w:lang w:val="es-ES"/>
        </w:rPr>
        <w:t> </w:t>
      </w:r>
      <w:r w:rsidR="005D7B2C" w:rsidRPr="00F05461">
        <w:rPr>
          <w:lang w:val="es-ES"/>
        </w:rPr>
        <w:t>PDSL y los</w:t>
      </w:r>
      <w:r w:rsidR="00EB55B0" w:rsidRPr="00F05461">
        <w:rPr>
          <w:lang w:val="es-ES"/>
        </w:rPr>
        <w:t> </w:t>
      </w:r>
      <w:r w:rsidR="005D7B2C" w:rsidRPr="00F05461">
        <w:rPr>
          <w:lang w:val="es-ES"/>
        </w:rPr>
        <w:t>PEID. La Conferencia mantuvo las prioridades del</w:t>
      </w:r>
      <w:r w:rsidR="005D6A1E" w:rsidRPr="00F05461">
        <w:rPr>
          <w:lang w:val="es-ES"/>
        </w:rPr>
        <w:t> </w:t>
      </w:r>
      <w:r w:rsidR="005D7B2C" w:rsidRPr="00F05461">
        <w:rPr>
          <w:lang w:val="es-ES"/>
        </w:rPr>
        <w:t>UIT</w:t>
      </w:r>
      <w:r w:rsidR="005D6A1E" w:rsidRPr="00F05461">
        <w:rPr>
          <w:lang w:val="es-ES"/>
        </w:rPr>
        <w:noBreakHyphen/>
      </w:r>
      <w:r w:rsidR="005D7B2C" w:rsidRPr="00F05461">
        <w:rPr>
          <w:lang w:val="es-ES"/>
        </w:rPr>
        <w:t>D que ya se habían establecido en el ciclo anterior:</w:t>
      </w:r>
    </w:p>
    <w:p w14:paraId="2CEE0ECE" w14:textId="74053669" w:rsidR="005D7B2C" w:rsidRPr="00F05461" w:rsidRDefault="00FD0E79" w:rsidP="00FD0E79">
      <w:pPr>
        <w:pStyle w:val="enumlev2"/>
        <w:rPr>
          <w:lang w:val="es-ES"/>
        </w:rPr>
      </w:pPr>
      <w:r w:rsidRPr="00F05461">
        <w:rPr>
          <w:lang w:val="es-ES"/>
        </w:rPr>
        <w:t>–</w:t>
      </w:r>
      <w:r w:rsidRPr="00F05461">
        <w:rPr>
          <w:lang w:val="es-ES"/>
        </w:rPr>
        <w:tab/>
      </w:r>
      <w:r w:rsidR="00394833" w:rsidRPr="00F05461">
        <w:rPr>
          <w:lang w:val="es-ES"/>
        </w:rPr>
        <w:t>c</w:t>
      </w:r>
      <w:r w:rsidR="005D7B2C" w:rsidRPr="00F05461">
        <w:rPr>
          <w:lang w:val="es-ES"/>
        </w:rPr>
        <w:t>onectividad asequible</w:t>
      </w:r>
      <w:r w:rsidR="00394833" w:rsidRPr="00F05461">
        <w:rPr>
          <w:lang w:val="es-ES"/>
        </w:rPr>
        <w:t>;</w:t>
      </w:r>
    </w:p>
    <w:p w14:paraId="43BAC16A" w14:textId="716DF0D6" w:rsidR="005D7B2C" w:rsidRPr="00F05461" w:rsidRDefault="00FD0E79" w:rsidP="00FD0E79">
      <w:pPr>
        <w:pStyle w:val="enumlev2"/>
        <w:rPr>
          <w:lang w:val="es-ES"/>
        </w:rPr>
      </w:pPr>
      <w:r w:rsidRPr="00F05461">
        <w:rPr>
          <w:lang w:val="es-ES"/>
        </w:rPr>
        <w:t>–</w:t>
      </w:r>
      <w:r w:rsidRPr="00F05461">
        <w:rPr>
          <w:lang w:val="es-ES"/>
        </w:rPr>
        <w:tab/>
      </w:r>
      <w:r w:rsidR="00394833" w:rsidRPr="00F05461">
        <w:rPr>
          <w:lang w:val="es-ES"/>
        </w:rPr>
        <w:t>t</w:t>
      </w:r>
      <w:r w:rsidR="005D7B2C" w:rsidRPr="00F05461">
        <w:rPr>
          <w:lang w:val="es-ES"/>
        </w:rPr>
        <w:t>ransformación digital</w:t>
      </w:r>
      <w:r w:rsidR="00394833" w:rsidRPr="00F05461">
        <w:rPr>
          <w:lang w:val="es-ES"/>
        </w:rPr>
        <w:t>;</w:t>
      </w:r>
    </w:p>
    <w:p w14:paraId="6E9ACB68" w14:textId="7507CDB0" w:rsidR="005D7B2C" w:rsidRPr="00F05461" w:rsidRDefault="00FD0E79" w:rsidP="00FD0E79">
      <w:pPr>
        <w:pStyle w:val="enumlev2"/>
        <w:rPr>
          <w:lang w:val="es-ES"/>
        </w:rPr>
      </w:pPr>
      <w:r w:rsidRPr="00F05461">
        <w:rPr>
          <w:lang w:val="es-ES"/>
        </w:rPr>
        <w:t>–</w:t>
      </w:r>
      <w:r w:rsidRPr="00F05461">
        <w:rPr>
          <w:lang w:val="es-ES"/>
        </w:rPr>
        <w:tab/>
      </w:r>
      <w:r w:rsidR="00394833" w:rsidRPr="00F05461">
        <w:rPr>
          <w:lang w:val="es-ES"/>
        </w:rPr>
        <w:t>e</w:t>
      </w:r>
      <w:r w:rsidR="005D7B2C" w:rsidRPr="00F05461">
        <w:rPr>
          <w:lang w:val="es-ES"/>
        </w:rPr>
        <w:t>ntorno político y reglamentario propicio</w:t>
      </w:r>
      <w:r w:rsidR="00394833" w:rsidRPr="00F05461">
        <w:rPr>
          <w:lang w:val="es-ES"/>
        </w:rPr>
        <w:t>;</w:t>
      </w:r>
    </w:p>
    <w:p w14:paraId="437A550F" w14:textId="6A07A12A" w:rsidR="005D7B2C" w:rsidRPr="00F05461" w:rsidRDefault="00FD0E79" w:rsidP="00FD0E79">
      <w:pPr>
        <w:pStyle w:val="enumlev2"/>
        <w:rPr>
          <w:lang w:val="es-ES"/>
        </w:rPr>
      </w:pPr>
      <w:r w:rsidRPr="00F05461">
        <w:rPr>
          <w:lang w:val="es-ES"/>
        </w:rPr>
        <w:t>–</w:t>
      </w:r>
      <w:r w:rsidRPr="00F05461">
        <w:rPr>
          <w:lang w:val="es-ES"/>
        </w:rPr>
        <w:tab/>
      </w:r>
      <w:r w:rsidR="00394833" w:rsidRPr="00F05461">
        <w:rPr>
          <w:lang w:val="es-ES"/>
        </w:rPr>
        <w:t>m</w:t>
      </w:r>
      <w:r w:rsidR="005D7B2C" w:rsidRPr="00F05461">
        <w:rPr>
          <w:lang w:val="es-ES"/>
        </w:rPr>
        <w:t>ovilización de recursos y cooperación internacional</w:t>
      </w:r>
      <w:r w:rsidR="00394833" w:rsidRPr="00F05461">
        <w:rPr>
          <w:lang w:val="es-ES"/>
        </w:rPr>
        <w:t>;</w:t>
      </w:r>
    </w:p>
    <w:p w14:paraId="471DF917" w14:textId="4BDE6DEA" w:rsidR="005D7B2C" w:rsidRPr="00F05461" w:rsidRDefault="00FD0E79" w:rsidP="00FD0E79">
      <w:pPr>
        <w:pStyle w:val="enumlev2"/>
        <w:rPr>
          <w:lang w:val="es-ES"/>
        </w:rPr>
      </w:pPr>
      <w:r w:rsidRPr="00F05461">
        <w:rPr>
          <w:lang w:val="es-ES"/>
        </w:rPr>
        <w:t>–</w:t>
      </w:r>
      <w:r w:rsidRPr="00F05461">
        <w:rPr>
          <w:lang w:val="es-ES"/>
        </w:rPr>
        <w:tab/>
      </w:r>
      <w:r w:rsidR="00394833" w:rsidRPr="00F05461">
        <w:rPr>
          <w:lang w:val="es-ES"/>
        </w:rPr>
        <w:t>t</w:t>
      </w:r>
      <w:r w:rsidR="005D7B2C" w:rsidRPr="00F05461">
        <w:rPr>
          <w:lang w:val="es-ES"/>
        </w:rPr>
        <w:t>elecomunicaciones/TIC inclusivas, seguras y protegidas para el desarrollo sostenible</w:t>
      </w:r>
      <w:r w:rsidR="00394833" w:rsidRPr="00F05461">
        <w:rPr>
          <w:lang w:val="es-ES"/>
        </w:rPr>
        <w:t>.</w:t>
      </w:r>
    </w:p>
    <w:p w14:paraId="63E9BC9F" w14:textId="4BF9205C" w:rsidR="005D7B2C" w:rsidRPr="00F05461" w:rsidRDefault="00FD0E79" w:rsidP="00FD0E79">
      <w:pPr>
        <w:pStyle w:val="enumlev1"/>
        <w:rPr>
          <w:lang w:val="es-ES"/>
        </w:rPr>
      </w:pPr>
      <w:r w:rsidRPr="00F05461">
        <w:rPr>
          <w:lang w:val="es-ES"/>
        </w:rPr>
        <w:t>•</w:t>
      </w:r>
      <w:r w:rsidRPr="00F05461">
        <w:rPr>
          <w:lang w:val="es-ES"/>
        </w:rPr>
        <w:tab/>
      </w:r>
      <w:hyperlink r:id="rId76" w:history="1">
        <w:r w:rsidR="005D7B2C" w:rsidRPr="00F05461">
          <w:rPr>
            <w:rStyle w:val="Hyperlink"/>
            <w:rFonts w:eastAsia="Times New Roman" w:cs="Times New Roman"/>
            <w:szCs w:val="20"/>
            <w:lang w:val="es-ES"/>
          </w:rPr>
          <w:t>Iniciativas Regionales 2026-2029</w:t>
        </w:r>
      </w:hyperlink>
      <w:r w:rsidR="005D7B2C" w:rsidRPr="00F05461">
        <w:rPr>
          <w:lang w:val="es-ES"/>
        </w:rPr>
        <w:t xml:space="preserve">: </w:t>
      </w:r>
      <w:r w:rsidR="00C45DDD" w:rsidRPr="00F05461">
        <w:rPr>
          <w:lang w:val="es-ES"/>
        </w:rPr>
        <w:t>l</w:t>
      </w:r>
      <w:r w:rsidR="005D7B2C" w:rsidRPr="00F05461">
        <w:rPr>
          <w:lang w:val="es-ES"/>
        </w:rPr>
        <w:t>a</w:t>
      </w:r>
      <w:r w:rsidR="00FF52A6" w:rsidRPr="00F05461">
        <w:rPr>
          <w:lang w:val="es-ES"/>
        </w:rPr>
        <w:t> </w:t>
      </w:r>
      <w:r w:rsidR="005D7B2C" w:rsidRPr="00F05461">
        <w:rPr>
          <w:lang w:val="es-ES"/>
        </w:rPr>
        <w:t xml:space="preserve">CMDT-25 refrendó un conjunto renovado de Iniciativas Regionales, adaptadas para abordar las necesidades y prioridades específicas de cada una de las seis regiones. Estas iniciativas permitirán ejecutar proyectos específicos, fomentarán asociaciones y velarán por que la labor de desarrollo de </w:t>
      </w:r>
      <w:r w:rsidR="00296F03" w:rsidRPr="00F05461">
        <w:rPr>
          <w:lang w:val="es-ES"/>
        </w:rPr>
        <w:t>la UIT</w:t>
      </w:r>
      <w:r w:rsidR="005D7B2C" w:rsidRPr="00F05461">
        <w:rPr>
          <w:lang w:val="es-ES"/>
        </w:rPr>
        <w:t xml:space="preserve"> siga siendo pertinente y tenga repercusión en el plano local.</w:t>
      </w:r>
    </w:p>
    <w:p w14:paraId="18F614BA" w14:textId="5FB6E047" w:rsidR="005D7B2C" w:rsidRPr="00F05461" w:rsidRDefault="00FD0E79" w:rsidP="00FD0E79">
      <w:pPr>
        <w:pStyle w:val="enumlev1"/>
        <w:rPr>
          <w:lang w:val="es-ES"/>
        </w:rPr>
      </w:pPr>
      <w:r w:rsidRPr="00F05461">
        <w:rPr>
          <w:lang w:val="es-ES"/>
        </w:rPr>
        <w:t>•</w:t>
      </w:r>
      <w:r w:rsidRPr="00F05461">
        <w:rPr>
          <w:lang w:val="es-ES"/>
        </w:rPr>
        <w:tab/>
      </w:r>
      <w:hyperlink r:id="rId77" w:history="1">
        <w:r w:rsidR="005D7B2C" w:rsidRPr="00F05461">
          <w:rPr>
            <w:rStyle w:val="Hyperlink"/>
            <w:rFonts w:eastAsia="Times New Roman" w:cs="Times New Roman"/>
            <w:szCs w:val="20"/>
            <w:lang w:val="es-ES"/>
          </w:rPr>
          <w:t>Resoluciones</w:t>
        </w:r>
      </w:hyperlink>
      <w:r w:rsidR="005D7B2C" w:rsidRPr="00F05461">
        <w:rPr>
          <w:lang w:val="es-ES"/>
        </w:rPr>
        <w:t xml:space="preserve">: </w:t>
      </w:r>
      <w:r w:rsidR="00394833" w:rsidRPr="00F05461">
        <w:rPr>
          <w:lang w:val="es-ES"/>
        </w:rPr>
        <w:t>a</w:t>
      </w:r>
      <w:r w:rsidR="005D7B2C" w:rsidRPr="00F05461">
        <w:rPr>
          <w:lang w:val="es-ES"/>
        </w:rPr>
        <w:t>demás de modificar 44</w:t>
      </w:r>
      <w:r w:rsidR="00394833" w:rsidRPr="00F05461">
        <w:rPr>
          <w:lang w:val="es-ES"/>
        </w:rPr>
        <w:t> </w:t>
      </w:r>
      <w:r w:rsidR="005D7B2C" w:rsidRPr="00F05461">
        <w:rPr>
          <w:lang w:val="es-ES"/>
        </w:rPr>
        <w:t>Resoluciones, en la</w:t>
      </w:r>
      <w:r w:rsidR="007922E7">
        <w:rPr>
          <w:lang w:val="es-ES"/>
        </w:rPr>
        <w:t> </w:t>
      </w:r>
      <w:r w:rsidR="005D7B2C" w:rsidRPr="00F05461">
        <w:rPr>
          <w:lang w:val="es-ES"/>
        </w:rPr>
        <w:t>CMDT-25 se añadieron cuatro nuevas Resoluciones, relativas a los siguientes temas:</w:t>
      </w:r>
    </w:p>
    <w:p w14:paraId="3385EBCD" w14:textId="635F7CF4" w:rsidR="005D7B2C" w:rsidRPr="00F05461" w:rsidRDefault="00FD0E79" w:rsidP="00FD0E79">
      <w:pPr>
        <w:pStyle w:val="enumlev2"/>
        <w:rPr>
          <w:lang w:val="es-ES"/>
        </w:rPr>
      </w:pPr>
      <w:r w:rsidRPr="00F05461">
        <w:rPr>
          <w:lang w:val="es-ES"/>
        </w:rPr>
        <w:t>–</w:t>
      </w:r>
      <w:r w:rsidRPr="00F05461">
        <w:rPr>
          <w:lang w:val="es-ES"/>
        </w:rPr>
        <w:tab/>
      </w:r>
      <w:r w:rsidR="00BC436E" w:rsidRPr="00F05461">
        <w:rPr>
          <w:lang w:val="es-ES"/>
        </w:rPr>
        <w:t>t</w:t>
      </w:r>
      <w:r w:rsidR="005D7B2C" w:rsidRPr="00F05461">
        <w:rPr>
          <w:lang w:val="es-ES"/>
        </w:rPr>
        <w:t>ecnologías de</w:t>
      </w:r>
      <w:r w:rsidR="007922E7">
        <w:rPr>
          <w:lang w:val="es-ES"/>
        </w:rPr>
        <w:t> </w:t>
      </w:r>
      <w:r w:rsidR="00BC436E" w:rsidRPr="00F05461">
        <w:rPr>
          <w:lang w:val="es-ES"/>
        </w:rPr>
        <w:t>IA</w:t>
      </w:r>
      <w:r w:rsidR="005D7B2C" w:rsidRPr="00F05461">
        <w:rPr>
          <w:lang w:val="es-ES"/>
        </w:rPr>
        <w:t xml:space="preserve"> en el desarrollo de las telecomunicaciones</w:t>
      </w:r>
      <w:r w:rsidR="00BC436E" w:rsidRPr="00F05461">
        <w:rPr>
          <w:lang w:val="es-ES"/>
        </w:rPr>
        <w:t>;</w:t>
      </w:r>
    </w:p>
    <w:p w14:paraId="33B3F536" w14:textId="3C5C8502" w:rsidR="005D7B2C" w:rsidRPr="00F05461" w:rsidRDefault="00FD0E79" w:rsidP="00FD0E79">
      <w:pPr>
        <w:pStyle w:val="enumlev2"/>
        <w:rPr>
          <w:lang w:val="es-ES"/>
        </w:rPr>
      </w:pPr>
      <w:r w:rsidRPr="00F05461">
        <w:rPr>
          <w:lang w:val="es-ES"/>
        </w:rPr>
        <w:t>–</w:t>
      </w:r>
      <w:r w:rsidRPr="00F05461">
        <w:rPr>
          <w:lang w:val="es-ES"/>
        </w:rPr>
        <w:tab/>
      </w:r>
      <w:r w:rsidR="00BC436E" w:rsidRPr="00F05461">
        <w:rPr>
          <w:lang w:val="es-ES"/>
        </w:rPr>
        <w:t>f</w:t>
      </w:r>
      <w:r w:rsidR="005D7B2C" w:rsidRPr="00F05461">
        <w:rPr>
          <w:lang w:val="es-ES"/>
        </w:rPr>
        <w:t xml:space="preserve">ortalecimiento del papel de las Oficinas Regionales de </w:t>
      </w:r>
      <w:r w:rsidR="00296F03" w:rsidRPr="00F05461">
        <w:rPr>
          <w:lang w:val="es-ES"/>
        </w:rPr>
        <w:t>la UIT</w:t>
      </w:r>
      <w:r w:rsidR="005D7B2C" w:rsidRPr="00F05461">
        <w:rPr>
          <w:lang w:val="es-ES"/>
        </w:rPr>
        <w:t xml:space="preserve"> en la aceleración de la transformación digital y el aprovechamiento de las alianzas</w:t>
      </w:r>
      <w:r w:rsidR="00BC436E" w:rsidRPr="00F05461">
        <w:rPr>
          <w:lang w:val="es-ES"/>
        </w:rPr>
        <w:t>;</w:t>
      </w:r>
    </w:p>
    <w:p w14:paraId="19D2D503" w14:textId="2D1DA1C5" w:rsidR="005D7B2C" w:rsidRPr="00F05461" w:rsidRDefault="00FD0E79" w:rsidP="00FD0E79">
      <w:pPr>
        <w:pStyle w:val="enumlev2"/>
        <w:rPr>
          <w:lang w:val="es-ES"/>
        </w:rPr>
      </w:pPr>
      <w:r w:rsidRPr="00F05461">
        <w:rPr>
          <w:lang w:val="es-ES"/>
        </w:rPr>
        <w:t>–</w:t>
      </w:r>
      <w:r w:rsidRPr="00F05461">
        <w:rPr>
          <w:lang w:val="es-ES"/>
        </w:rPr>
        <w:tab/>
      </w:r>
      <w:r w:rsidR="00BC436E" w:rsidRPr="00F05461">
        <w:rPr>
          <w:lang w:val="es-ES"/>
        </w:rPr>
        <w:t>a</w:t>
      </w:r>
      <w:r w:rsidR="005D7B2C" w:rsidRPr="00F05461">
        <w:rPr>
          <w:lang w:val="es-ES"/>
        </w:rPr>
        <w:t>sistencia y apoyo al Sudán para reconstruir la infraestructura dañada de telecomunicaciones/TIC y reducir la brecha digital</w:t>
      </w:r>
      <w:r w:rsidR="00BC436E" w:rsidRPr="00F05461">
        <w:rPr>
          <w:lang w:val="es-ES"/>
        </w:rPr>
        <w:t>;</w:t>
      </w:r>
    </w:p>
    <w:p w14:paraId="48429700" w14:textId="2EB29D9F" w:rsidR="005D7B2C" w:rsidRPr="00F05461" w:rsidRDefault="00FD0E79" w:rsidP="00FD0E79">
      <w:pPr>
        <w:pStyle w:val="enumlev2"/>
        <w:rPr>
          <w:lang w:val="es-ES"/>
        </w:rPr>
      </w:pPr>
      <w:r w:rsidRPr="00F05461">
        <w:rPr>
          <w:lang w:val="es-ES"/>
        </w:rPr>
        <w:lastRenderedPageBreak/>
        <w:t>–</w:t>
      </w:r>
      <w:r w:rsidRPr="00F05461">
        <w:rPr>
          <w:lang w:val="es-ES"/>
        </w:rPr>
        <w:tab/>
      </w:r>
      <w:r w:rsidR="00BC436E" w:rsidRPr="00F05461">
        <w:rPr>
          <w:lang w:val="es-ES"/>
        </w:rPr>
        <w:t>a</w:t>
      </w:r>
      <w:r w:rsidR="005D7B2C" w:rsidRPr="00F05461">
        <w:rPr>
          <w:lang w:val="es-ES"/>
        </w:rPr>
        <w:t>poyo a la transformación digital de los países insulares del Pacífico en el marco de la Declaración de Lagatoi.</w:t>
      </w:r>
    </w:p>
    <w:p w14:paraId="3DA7BCB5" w14:textId="6179C8E3" w:rsidR="005D7B2C" w:rsidRPr="00F05461" w:rsidRDefault="00FD0E79" w:rsidP="00FD0E79">
      <w:pPr>
        <w:pStyle w:val="enumlev1"/>
        <w:rPr>
          <w:lang w:val="es-ES"/>
        </w:rPr>
      </w:pPr>
      <w:r w:rsidRPr="00F05461">
        <w:rPr>
          <w:lang w:val="es-ES"/>
        </w:rPr>
        <w:t>•</w:t>
      </w:r>
      <w:r w:rsidRPr="00F05461">
        <w:rPr>
          <w:lang w:val="es-ES"/>
        </w:rPr>
        <w:tab/>
      </w:r>
      <w:hyperlink r:id="rId78" w:history="1">
        <w:r w:rsidR="005D7B2C" w:rsidRPr="00F05461">
          <w:rPr>
            <w:rStyle w:val="Hyperlink"/>
            <w:rFonts w:eastAsia="Times New Roman" w:cs="Times New Roman"/>
            <w:szCs w:val="20"/>
            <w:lang w:val="es-ES"/>
          </w:rPr>
          <w:t>Cuestiones de las Comisiones de Estudio para el periodo 2026-2029</w:t>
        </w:r>
      </w:hyperlink>
      <w:r w:rsidR="005D7B2C" w:rsidRPr="00F05461">
        <w:rPr>
          <w:lang w:val="es-ES"/>
        </w:rPr>
        <w:t xml:space="preserve">: </w:t>
      </w:r>
      <w:r w:rsidR="00394833" w:rsidRPr="00F05461">
        <w:rPr>
          <w:lang w:val="es-ES"/>
        </w:rPr>
        <w:t>s</w:t>
      </w:r>
      <w:r w:rsidR="005D7B2C" w:rsidRPr="00F05461">
        <w:rPr>
          <w:lang w:val="es-ES"/>
        </w:rPr>
        <w:t>e aprobaron Cuestiones de Comisiones de Estudio nuevas y revisadas, que corresponden con el panorama cambiante de las tecnologías digitales, los retos reglamentarios y las necesidades de capacitación. Estas Cuestiones orientarán la labor técnica del</w:t>
      </w:r>
      <w:r w:rsidR="00BC436E" w:rsidRPr="00F05461">
        <w:rPr>
          <w:lang w:val="es-ES"/>
        </w:rPr>
        <w:t> </w:t>
      </w:r>
      <w:r w:rsidR="005D7B2C" w:rsidRPr="00F05461">
        <w:rPr>
          <w:lang w:val="es-ES"/>
        </w:rPr>
        <w:t>UIT-D y las actividades de investigación, con el fin de desarrollar políticas basadas en datos empíricos y el intercambio de prácticas idóneas.</w:t>
      </w:r>
    </w:p>
    <w:p w14:paraId="66FF4032" w14:textId="7E391D79" w:rsidR="005D7B2C" w:rsidRDefault="005D7B2C" w:rsidP="005D7B2C">
      <w:pPr>
        <w:rPr>
          <w:lang w:val="es-ES"/>
        </w:rPr>
      </w:pPr>
      <w:r w:rsidRPr="00F05461">
        <w:rPr>
          <w:lang w:val="es-ES"/>
        </w:rPr>
        <w:t xml:space="preserve">La CMDT-25 también recibió con agradecimiento el </w:t>
      </w:r>
      <w:hyperlink r:id="rId79" w:history="1">
        <w:r w:rsidRPr="00F05461">
          <w:rPr>
            <w:rStyle w:val="Hyperlink"/>
            <w:rFonts w:eastAsia="Times New Roman" w:cs="Times New Roman"/>
            <w:szCs w:val="20"/>
            <w:lang w:val="es-ES"/>
          </w:rPr>
          <w:t>informe</w:t>
        </w:r>
      </w:hyperlink>
      <w:r w:rsidRPr="00F05461">
        <w:rPr>
          <w:lang w:val="es-ES"/>
        </w:rPr>
        <w:t xml:space="preserve"> y la </w:t>
      </w:r>
      <w:hyperlink r:id="rId80" w:history="1">
        <w:r w:rsidRPr="00F05461">
          <w:rPr>
            <w:rStyle w:val="Hyperlink"/>
            <w:rFonts w:eastAsia="Times New Roman" w:cs="Times New Roman"/>
            <w:szCs w:val="20"/>
            <w:lang w:val="es-ES"/>
          </w:rPr>
          <w:t>presentación</w:t>
        </w:r>
      </w:hyperlink>
      <w:r w:rsidRPr="00F05461">
        <w:rPr>
          <w:lang w:val="es-ES"/>
        </w:rPr>
        <w:t xml:space="preserve"> de la Secretaría sobre la ejecución del Plan de Acción de Kigali. El informe detallado y la presentación figuran en el </w:t>
      </w:r>
      <w:hyperlink r:id="rId81" w:history="1">
        <w:r w:rsidRPr="00F05461">
          <w:rPr>
            <w:rStyle w:val="Hyperlink"/>
            <w:rFonts w:eastAsia="Times New Roman" w:cs="Times New Roman"/>
            <w:szCs w:val="20"/>
            <w:lang w:val="es-ES"/>
          </w:rPr>
          <w:t>sitio web de la CMDT-25</w:t>
        </w:r>
      </w:hyperlink>
      <w:r w:rsidRPr="00F05461">
        <w:rPr>
          <w:lang w:val="es-ES"/>
        </w:rPr>
        <w:t>.</w:t>
      </w:r>
    </w:p>
    <w:p w14:paraId="702CB6FF" w14:textId="7E754134" w:rsidR="003153D3" w:rsidRDefault="003153D3" w:rsidP="003153D3">
      <w:pPr>
        <w:rPr>
          <w:lang w:val="es-ES"/>
        </w:rPr>
      </w:pPr>
      <w:r>
        <w:rPr>
          <w:lang w:val="es-ES"/>
        </w:rPr>
        <w:br w:type="page"/>
      </w:r>
    </w:p>
    <w:p w14:paraId="694EB333" w14:textId="32A80BC0" w:rsidR="005D7B2C" w:rsidRPr="003153D3" w:rsidRDefault="00FD0E79" w:rsidP="00FD0E79">
      <w:pPr>
        <w:pStyle w:val="Heading1"/>
        <w:rPr>
          <w:color w:val="1F497D"/>
          <w:lang w:val="es-ES"/>
        </w:rPr>
      </w:pPr>
      <w:bookmarkStart w:id="30" w:name="_Toc227137458"/>
      <w:r w:rsidRPr="003153D3">
        <w:rPr>
          <w:color w:val="1F497D"/>
          <w:lang w:val="es-ES"/>
        </w:rPr>
        <w:lastRenderedPageBreak/>
        <w:t>3</w:t>
      </w:r>
      <w:r w:rsidRPr="003153D3">
        <w:rPr>
          <w:color w:val="1F497D"/>
          <w:lang w:val="es-ES"/>
        </w:rPr>
        <w:tab/>
      </w:r>
      <w:r w:rsidR="005D7B2C" w:rsidRPr="003153D3">
        <w:rPr>
          <w:color w:val="1F497D"/>
          <w:lang w:val="es-ES"/>
        </w:rPr>
        <w:t xml:space="preserve">Repercusión de los trabajos de </w:t>
      </w:r>
      <w:r w:rsidR="00296F03" w:rsidRPr="003153D3">
        <w:rPr>
          <w:color w:val="1F497D"/>
          <w:lang w:val="es-ES"/>
        </w:rPr>
        <w:t>la UIT</w:t>
      </w:r>
      <w:bookmarkEnd w:id="30"/>
    </w:p>
    <w:p w14:paraId="0B3DA118" w14:textId="53E3740E" w:rsidR="005D7B2C" w:rsidRPr="00F05461" w:rsidRDefault="005D7B2C" w:rsidP="005D7B2C">
      <w:pPr>
        <w:rPr>
          <w:lang w:val="es-ES"/>
        </w:rPr>
      </w:pPr>
      <w:r w:rsidRPr="00F05461">
        <w:rPr>
          <w:lang w:val="es-ES"/>
        </w:rPr>
        <w:t xml:space="preserve">La evaluación final de la ejecución del Plan Estratégico 2020-2023 y los progresos logrados en la ejecución del Plan Estratégico 2024-2027 pueden consultarse en el tablero de control que figura en </w:t>
      </w:r>
      <w:hyperlink r:id="rId82" w:history="1">
        <w:r w:rsidRPr="00F05461">
          <w:rPr>
            <w:rStyle w:val="Hyperlink"/>
            <w:rFonts w:eastAsia="Times New Roman" w:cs="Times New Roman"/>
            <w:szCs w:val="20"/>
            <w:lang w:val="es-ES"/>
          </w:rPr>
          <w:t>este enlace</w:t>
        </w:r>
      </w:hyperlink>
      <w:r w:rsidRPr="00F05461">
        <w:rPr>
          <w:lang w:val="es-ES"/>
        </w:rPr>
        <w:t>:</w:t>
      </w:r>
      <w:hyperlink r:id="rId83" w:history="1"/>
    </w:p>
    <w:p w14:paraId="4D7FB539" w14:textId="77777777" w:rsidR="005D7B2C" w:rsidRPr="00F05461" w:rsidRDefault="005D7B2C" w:rsidP="00FD0E79">
      <w:pPr>
        <w:pStyle w:val="Figure"/>
        <w:rPr>
          <w:lang w:val="es-ES"/>
        </w:rPr>
      </w:pPr>
      <w:r w:rsidRPr="00F05461">
        <w:rPr>
          <w:noProof/>
          <w:lang w:val="es-ES"/>
        </w:rPr>
        <w:drawing>
          <wp:inline distT="0" distB="0" distL="0" distR="0" wp14:anchorId="0635472F" wp14:editId="250AD3DD">
            <wp:extent cx="5173200" cy="2649600"/>
            <wp:effectExtent l="0" t="0" r="8890" b="0"/>
            <wp:docPr id="504257898" name="Picture 1" descr="Captura de pantalla de un ordenad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6147" name="Picture 1" descr="A screenshot of a computer&#10;&#10;AI-generated content may be incorrect."/>
                    <pic:cNvPicPr/>
                  </pic:nvPicPr>
                  <pic:blipFill>
                    <a:blip r:embed="rId84"/>
                    <a:stretch>
                      <a:fillRect/>
                    </a:stretch>
                  </pic:blipFill>
                  <pic:spPr>
                    <a:xfrm>
                      <a:off x="0" y="0"/>
                      <a:ext cx="5173200" cy="2649600"/>
                    </a:xfrm>
                    <a:prstGeom prst="rect">
                      <a:avLst/>
                    </a:prstGeom>
                  </pic:spPr>
                </pic:pic>
              </a:graphicData>
            </a:graphic>
          </wp:inline>
        </w:drawing>
      </w:r>
    </w:p>
    <w:p w14:paraId="37583176" w14:textId="09CAFD8F" w:rsidR="005D7B2C" w:rsidRPr="00F05461" w:rsidRDefault="005D7B2C" w:rsidP="00EE496A">
      <w:pPr>
        <w:pStyle w:val="Figurelegend"/>
        <w:jc w:val="center"/>
        <w:rPr>
          <w:i/>
          <w:iCs/>
          <w:color w:val="1F497D"/>
          <w:lang w:val="es-ES"/>
        </w:rPr>
      </w:pPr>
      <w:bookmarkStart w:id="31" w:name="Figure_21"/>
      <w:bookmarkStart w:id="32" w:name="Figure_2"/>
      <w:bookmarkEnd w:id="31"/>
      <w:r w:rsidRPr="00F05461">
        <w:rPr>
          <w:i/>
          <w:iCs/>
          <w:color w:val="1F497D"/>
          <w:lang w:val="es-ES"/>
        </w:rPr>
        <w:t>Figura</w:t>
      </w:r>
      <w:r w:rsidR="00394833" w:rsidRPr="00F05461">
        <w:rPr>
          <w:i/>
          <w:iCs/>
          <w:color w:val="1F497D"/>
          <w:lang w:val="es-ES"/>
        </w:rPr>
        <w:t> </w:t>
      </w:r>
      <w:r w:rsidRPr="00F05461">
        <w:rPr>
          <w:i/>
          <w:iCs/>
          <w:color w:val="1F497D"/>
          <w:lang w:val="es-ES"/>
        </w:rPr>
        <w:t>2. Agenda Conectar 2030</w:t>
      </w:r>
    </w:p>
    <w:p w14:paraId="4D6E48F8" w14:textId="77777777" w:rsidR="005D7B2C" w:rsidRPr="00F05461" w:rsidRDefault="005D7B2C" w:rsidP="00FD0E79">
      <w:pPr>
        <w:pStyle w:val="Heading2"/>
        <w:rPr>
          <w:lang w:val="es-ES"/>
        </w:rPr>
      </w:pPr>
      <w:bookmarkStart w:id="33" w:name="_Toc227137459"/>
      <w:bookmarkEnd w:id="32"/>
      <w:r w:rsidRPr="00F05461">
        <w:rPr>
          <w:lang w:val="es-ES"/>
        </w:rPr>
        <w:t>3.1</w:t>
      </w:r>
      <w:r w:rsidRPr="00F05461">
        <w:rPr>
          <w:lang w:val="es-ES"/>
        </w:rPr>
        <w:tab/>
        <w:t>Plan Estratégico 2020-2023: resultados finales</w:t>
      </w:r>
      <w:bookmarkEnd w:id="33"/>
    </w:p>
    <w:p w14:paraId="1AF2286A" w14:textId="1B993C4B" w:rsidR="005D7B2C" w:rsidRPr="00F05461" w:rsidRDefault="005D7B2C" w:rsidP="00394833">
      <w:pPr>
        <w:rPr>
          <w:lang w:val="es-ES"/>
        </w:rPr>
      </w:pPr>
      <w:r w:rsidRPr="00F05461">
        <w:rPr>
          <w:lang w:val="es-ES"/>
        </w:rPr>
        <w:t xml:space="preserve">La evaluación final del Plan Estratégico para 2020-2023 muestra un progreso constante hacia el cumplimiento de la </w:t>
      </w:r>
      <w:hyperlink r:id="rId85" w:history="1">
        <w:r w:rsidRPr="00F05461">
          <w:rPr>
            <w:rStyle w:val="Hyperlink"/>
            <w:rFonts w:eastAsia="Times New Roman" w:cs="Times New Roman"/>
            <w:szCs w:val="20"/>
            <w:lang w:val="es-ES"/>
          </w:rPr>
          <w:t>Agenda Conectar</w:t>
        </w:r>
        <w:r w:rsidR="00EE496A" w:rsidRPr="00F05461">
          <w:rPr>
            <w:rStyle w:val="Hyperlink"/>
            <w:rFonts w:eastAsia="Times New Roman" w:cs="Times New Roman"/>
            <w:szCs w:val="20"/>
            <w:lang w:val="es-ES"/>
          </w:rPr>
          <w:t> </w:t>
        </w:r>
        <w:r w:rsidRPr="00F05461">
          <w:rPr>
            <w:rStyle w:val="Hyperlink"/>
            <w:rFonts w:eastAsia="Times New Roman" w:cs="Times New Roman"/>
            <w:szCs w:val="20"/>
            <w:lang w:val="es-ES"/>
          </w:rPr>
          <w:t>2030</w:t>
        </w:r>
      </w:hyperlink>
      <w:r w:rsidRPr="00F05461">
        <w:rPr>
          <w:lang w:val="es-ES"/>
        </w:rPr>
        <w:t xml:space="preserve"> (véase la </w:t>
      </w:r>
      <w:hyperlink w:anchor="Figure_2" w:history="1">
        <w:r w:rsidRPr="00F05461">
          <w:rPr>
            <w:rStyle w:val="Hyperlink"/>
            <w:rFonts w:eastAsia="Times New Roman" w:cs="Times New Roman"/>
            <w:szCs w:val="20"/>
            <w:lang w:val="es-ES"/>
          </w:rPr>
          <w:t>Figura</w:t>
        </w:r>
        <w:r w:rsidR="00394833" w:rsidRPr="00F05461">
          <w:rPr>
            <w:rStyle w:val="Hyperlink"/>
            <w:rFonts w:eastAsia="Times New Roman" w:cs="Times New Roman"/>
            <w:szCs w:val="20"/>
            <w:lang w:val="es-ES"/>
          </w:rPr>
          <w:t> </w:t>
        </w:r>
        <w:r w:rsidRPr="00F05461">
          <w:rPr>
            <w:rStyle w:val="Hyperlink"/>
            <w:rFonts w:eastAsia="Times New Roman" w:cs="Times New Roman"/>
            <w:szCs w:val="20"/>
            <w:lang w:val="es-ES"/>
          </w:rPr>
          <w:t>2</w:t>
        </w:r>
      </w:hyperlink>
      <w:r w:rsidRPr="00F05461">
        <w:rPr>
          <w:lang w:val="es-ES"/>
        </w:rPr>
        <w:t>), con notables mejoras en materia de acceso, asequibilidad, inclusión y entorno político propicio, mientras que siguen existiendo importantes brechas que exigirán esfuerzos sostenidos en los próximos años. A finales de</w:t>
      </w:r>
      <w:r w:rsidR="00EE496A" w:rsidRPr="00F05461">
        <w:rPr>
          <w:lang w:val="es-ES"/>
        </w:rPr>
        <w:t> </w:t>
      </w:r>
      <w:r w:rsidRPr="00F05461">
        <w:rPr>
          <w:lang w:val="es-ES"/>
        </w:rPr>
        <w:t>2023, la utilización mundial de Internet alcanzaba al 69</w:t>
      </w:r>
      <w:r w:rsidR="00394833" w:rsidRPr="00F05461">
        <w:rPr>
          <w:lang w:val="es-ES"/>
        </w:rPr>
        <w:t> </w:t>
      </w:r>
      <w:r w:rsidR="00EE496A" w:rsidRPr="00F05461">
        <w:rPr>
          <w:lang w:val="es-ES"/>
        </w:rPr>
        <w:t>por ciento</w:t>
      </w:r>
      <w:r w:rsidRPr="00F05461">
        <w:rPr>
          <w:lang w:val="es-ES"/>
        </w:rPr>
        <w:t xml:space="preserve"> de la población mundial (5 600</w:t>
      </w:r>
      <w:r w:rsidR="00394833" w:rsidRPr="00F05461">
        <w:rPr>
          <w:lang w:val="es-ES"/>
        </w:rPr>
        <w:t> </w:t>
      </w:r>
      <w:r w:rsidRPr="00F05461">
        <w:rPr>
          <w:lang w:val="es-ES"/>
        </w:rPr>
        <w:t>millones de personas), reduciéndose el número de personas sin conexión a unos 2 500</w:t>
      </w:r>
      <w:r w:rsidR="002B22EB" w:rsidRPr="00F05461">
        <w:rPr>
          <w:lang w:val="es-ES"/>
        </w:rPr>
        <w:t> </w:t>
      </w:r>
      <w:r w:rsidRPr="00F05461">
        <w:rPr>
          <w:lang w:val="es-ES"/>
        </w:rPr>
        <w:t>millones. Los países de renta alta se acercaron a la conectividad casi universal en un 92</w:t>
      </w:r>
      <w:r w:rsidR="002B22EB" w:rsidRPr="00F05461">
        <w:rPr>
          <w:lang w:val="es-ES"/>
        </w:rPr>
        <w:t> </w:t>
      </w:r>
      <w:r w:rsidR="00EE496A" w:rsidRPr="00F05461">
        <w:rPr>
          <w:lang w:val="es-ES"/>
        </w:rPr>
        <w:t>por ciento</w:t>
      </w:r>
      <w:r w:rsidRPr="00F05461">
        <w:rPr>
          <w:lang w:val="es-ES"/>
        </w:rPr>
        <w:t>, aunque el número de países con planes de banda ancha quedó estancado en 167, una reducción respecto de los 170 en 2022. La asequibilidad siguió mejorando y el precio de los datos móviles como porcentaje de la</w:t>
      </w:r>
      <w:r w:rsidR="002B22EB" w:rsidRPr="00F05461">
        <w:rPr>
          <w:lang w:val="es-ES"/>
        </w:rPr>
        <w:t> </w:t>
      </w:r>
      <w:r w:rsidRPr="00F05461">
        <w:rPr>
          <w:lang w:val="es-ES"/>
        </w:rPr>
        <w:t>RNB por habitante disminuyó un 36</w:t>
      </w:r>
      <w:r w:rsidR="002B22EB" w:rsidRPr="00F05461">
        <w:rPr>
          <w:lang w:val="es-ES"/>
        </w:rPr>
        <w:t> </w:t>
      </w:r>
      <w:r w:rsidR="00EE496A" w:rsidRPr="00F05461">
        <w:rPr>
          <w:lang w:val="es-ES"/>
        </w:rPr>
        <w:t>por ciento</w:t>
      </w:r>
      <w:r w:rsidRPr="00F05461">
        <w:rPr>
          <w:lang w:val="es-ES"/>
        </w:rPr>
        <w:t xml:space="preserve"> entre 2017 y 2023. El número de abonos a la banda ancha aumentó considerablemente —un 19,2 </w:t>
      </w:r>
      <w:r w:rsidR="00EE496A" w:rsidRPr="00F05461">
        <w:rPr>
          <w:lang w:val="es-ES"/>
        </w:rPr>
        <w:t>por ciento</w:t>
      </w:r>
      <w:r w:rsidRPr="00F05461">
        <w:rPr>
          <w:lang w:val="es-ES"/>
        </w:rPr>
        <w:t xml:space="preserve"> la banda ancha fija y un 21,0 </w:t>
      </w:r>
      <w:r w:rsidR="00EE496A" w:rsidRPr="00F05461">
        <w:rPr>
          <w:lang w:val="es-ES"/>
        </w:rPr>
        <w:t>por ciento</w:t>
      </w:r>
      <w:r w:rsidRPr="00F05461">
        <w:rPr>
          <w:lang w:val="es-ES"/>
        </w:rPr>
        <w:t xml:space="preserve"> la banda ancha móvil</w:t>
      </w:r>
      <w:r w:rsidR="00EE496A" w:rsidRPr="00F05461">
        <w:rPr>
          <w:lang w:val="es-ES"/>
        </w:rPr>
        <w:t>—</w:t>
      </w:r>
      <w:r w:rsidRPr="00F05461">
        <w:rPr>
          <w:lang w:val="es-ES"/>
        </w:rPr>
        <w:t>, registrándose el crecimiento más rápido en los países de renta baja, aunque no se pudo alcanzar plenamente el objetivo de un incremento del 50 </w:t>
      </w:r>
      <w:r w:rsidR="00EE496A" w:rsidRPr="00F05461">
        <w:rPr>
          <w:lang w:val="es-ES"/>
        </w:rPr>
        <w:t>por ciento</w:t>
      </w:r>
      <w:r w:rsidRPr="00F05461">
        <w:rPr>
          <w:lang w:val="es-ES"/>
        </w:rPr>
        <w:t>.</w:t>
      </w:r>
    </w:p>
    <w:p w14:paraId="57052793" w14:textId="6CB82503" w:rsidR="005D7B2C" w:rsidRPr="00F05461" w:rsidRDefault="005D7B2C" w:rsidP="005D7B2C">
      <w:pPr>
        <w:rPr>
          <w:lang w:val="es-ES"/>
        </w:rPr>
      </w:pPr>
      <w:r w:rsidRPr="00F05461">
        <w:rPr>
          <w:lang w:val="es-ES"/>
        </w:rPr>
        <w:t>A pesar de los progresos logrados, la inclusión sigue siendo un reto. Solo el 22 </w:t>
      </w:r>
      <w:r w:rsidR="00EE496A" w:rsidRPr="00F05461">
        <w:rPr>
          <w:lang w:val="es-ES"/>
        </w:rPr>
        <w:t>por ciento</w:t>
      </w:r>
      <w:r w:rsidRPr="00F05461">
        <w:rPr>
          <w:lang w:val="es-ES"/>
        </w:rPr>
        <w:t xml:space="preserve"> de la población de los países de renta baja utilizaba Internet en 2023, lo que representa un aumento del 25 </w:t>
      </w:r>
      <w:r w:rsidR="00EE496A" w:rsidRPr="00F05461">
        <w:rPr>
          <w:lang w:val="es-ES"/>
        </w:rPr>
        <w:t>por ciento</w:t>
      </w:r>
      <w:r w:rsidRPr="00F05461">
        <w:rPr>
          <w:lang w:val="es-ES"/>
        </w:rPr>
        <w:t xml:space="preserve"> desde 2020. Sigue habiendo disparidades regionales: África registra s</w:t>
      </w:r>
      <w:r w:rsidR="00BF0FFC" w:rsidRPr="00F05461">
        <w:rPr>
          <w:lang w:val="es-ES"/>
        </w:rPr>
        <w:t>o</w:t>
      </w:r>
      <w:r w:rsidRPr="00F05461">
        <w:rPr>
          <w:lang w:val="es-ES"/>
        </w:rPr>
        <w:t>lo el 36 </w:t>
      </w:r>
      <w:r w:rsidR="00EE496A" w:rsidRPr="00F05461">
        <w:rPr>
          <w:lang w:val="es-ES"/>
        </w:rPr>
        <w:t>por ciento</w:t>
      </w:r>
      <w:r w:rsidRPr="00F05461">
        <w:rPr>
          <w:lang w:val="es-ES"/>
        </w:rPr>
        <w:t xml:space="preserve"> de utilización y los</w:t>
      </w:r>
      <w:r w:rsidR="00394833" w:rsidRPr="00F05461">
        <w:rPr>
          <w:lang w:val="es-ES"/>
        </w:rPr>
        <w:t> </w:t>
      </w:r>
      <w:r w:rsidRPr="00F05461">
        <w:rPr>
          <w:lang w:val="es-ES"/>
        </w:rPr>
        <w:t>PMA y los</w:t>
      </w:r>
      <w:r w:rsidR="00394833" w:rsidRPr="00F05461">
        <w:rPr>
          <w:lang w:val="es-ES"/>
        </w:rPr>
        <w:t> </w:t>
      </w:r>
      <w:r w:rsidRPr="00F05461">
        <w:rPr>
          <w:lang w:val="es-ES"/>
        </w:rPr>
        <w:t>PDSL el 30 </w:t>
      </w:r>
      <w:r w:rsidR="00EE496A" w:rsidRPr="00F05461">
        <w:rPr>
          <w:lang w:val="es-ES"/>
        </w:rPr>
        <w:t>por ciento</w:t>
      </w:r>
      <w:r w:rsidRPr="00F05461">
        <w:rPr>
          <w:lang w:val="es-ES"/>
        </w:rPr>
        <w:t xml:space="preserve"> y el 35</w:t>
      </w:r>
      <w:r w:rsidR="007249E6" w:rsidRPr="00F05461">
        <w:rPr>
          <w:lang w:val="es-ES"/>
        </w:rPr>
        <w:t> </w:t>
      </w:r>
      <w:r w:rsidR="00EE496A" w:rsidRPr="00F05461">
        <w:rPr>
          <w:lang w:val="es-ES"/>
        </w:rPr>
        <w:t>por ciento</w:t>
      </w:r>
      <w:r w:rsidRPr="00F05461">
        <w:rPr>
          <w:lang w:val="es-ES"/>
        </w:rPr>
        <w:t>, respectivamente. La asequibilidad sigue siendo un obstáculo para las economías de renta baja, aunque la brecha entre los países de renta alta y los de renta media-baja se ha reducido en un 42</w:t>
      </w:r>
      <w:r w:rsidR="00394833" w:rsidRPr="00F05461">
        <w:rPr>
          <w:lang w:val="es-ES"/>
        </w:rPr>
        <w:t> </w:t>
      </w:r>
      <w:r w:rsidR="00EE496A" w:rsidRPr="00F05461">
        <w:rPr>
          <w:lang w:val="es-ES"/>
        </w:rPr>
        <w:t>por ciento</w:t>
      </w:r>
      <w:r w:rsidRPr="00F05461">
        <w:rPr>
          <w:lang w:val="es-ES"/>
        </w:rPr>
        <w:t xml:space="preserve"> desde 2017. Las desigualdades de género continúan: el 72</w:t>
      </w:r>
      <w:r w:rsidR="00394833" w:rsidRPr="00F05461">
        <w:rPr>
          <w:lang w:val="es-ES"/>
        </w:rPr>
        <w:t> </w:t>
      </w:r>
      <w:r w:rsidR="00EE496A" w:rsidRPr="00F05461">
        <w:rPr>
          <w:lang w:val="es-ES"/>
        </w:rPr>
        <w:t>por ciento</w:t>
      </w:r>
      <w:r w:rsidRPr="00F05461">
        <w:rPr>
          <w:lang w:val="es-ES"/>
        </w:rPr>
        <w:t xml:space="preserve"> de los hombres y el 66</w:t>
      </w:r>
      <w:r w:rsidR="00394833" w:rsidRPr="00F05461">
        <w:rPr>
          <w:lang w:val="es-ES"/>
        </w:rPr>
        <w:t> </w:t>
      </w:r>
      <w:r w:rsidR="00EE496A" w:rsidRPr="00F05461">
        <w:rPr>
          <w:lang w:val="es-ES"/>
        </w:rPr>
        <w:t>por ciento</w:t>
      </w:r>
      <w:r w:rsidRPr="00F05461">
        <w:rPr>
          <w:lang w:val="es-ES"/>
        </w:rPr>
        <w:t xml:space="preserve"> de las mujeres estaban en línea en 2023, lo que deja conectados a más de 260 millones de hombres, y las mujeres siguen teniendo un 10 </w:t>
      </w:r>
      <w:r w:rsidR="00EE496A" w:rsidRPr="00F05461">
        <w:rPr>
          <w:lang w:val="es-ES"/>
        </w:rPr>
        <w:t>por ciento</w:t>
      </w:r>
      <w:r w:rsidRPr="00F05461">
        <w:rPr>
          <w:lang w:val="es-ES"/>
        </w:rPr>
        <w:t xml:space="preserve"> menos de probabilidades de poseer un teléfono móvil. Sin embargo, los marcos de </w:t>
      </w:r>
      <w:r w:rsidRPr="00F05461">
        <w:rPr>
          <w:lang w:val="es-ES"/>
        </w:rPr>
        <w:lastRenderedPageBreak/>
        <w:t>accesibilidad para las personas con discapacidad aumentaron de manera considerable, pasando de 61</w:t>
      </w:r>
      <w:r w:rsidR="00394833" w:rsidRPr="00F05461">
        <w:rPr>
          <w:lang w:val="es-ES"/>
        </w:rPr>
        <w:t> </w:t>
      </w:r>
      <w:r w:rsidRPr="00F05461">
        <w:rPr>
          <w:lang w:val="es-ES"/>
        </w:rPr>
        <w:t>países a finales de 2022 a 127 a finales de</w:t>
      </w:r>
      <w:r w:rsidR="00394833" w:rsidRPr="00F05461">
        <w:rPr>
          <w:lang w:val="es-ES"/>
        </w:rPr>
        <w:t> </w:t>
      </w:r>
      <w:r w:rsidRPr="00F05461">
        <w:rPr>
          <w:lang w:val="es-ES"/>
        </w:rPr>
        <w:t>2024.</w:t>
      </w:r>
    </w:p>
    <w:p w14:paraId="7BCC0DA9" w14:textId="3ECC998F" w:rsidR="005D7B2C" w:rsidRPr="00F05461" w:rsidRDefault="005D7B2C" w:rsidP="007D3D33">
      <w:pPr>
        <w:rPr>
          <w:lang w:val="es-ES"/>
        </w:rPr>
      </w:pPr>
      <w:r w:rsidRPr="00F05461">
        <w:rPr>
          <w:lang w:val="es-ES"/>
        </w:rPr>
        <w:t>La tasa mundial de reciclaje de residuos electrónicos aumentó del 20 </w:t>
      </w:r>
      <w:r w:rsidR="00EE496A" w:rsidRPr="00F05461">
        <w:rPr>
          <w:lang w:val="es-ES"/>
        </w:rPr>
        <w:t>por ciento</w:t>
      </w:r>
      <w:r w:rsidRPr="00F05461">
        <w:rPr>
          <w:lang w:val="es-ES"/>
        </w:rPr>
        <w:t xml:space="preserve"> en 2017 al 22,3 </w:t>
      </w:r>
      <w:r w:rsidR="00EE496A" w:rsidRPr="00F05461">
        <w:rPr>
          <w:lang w:val="es-ES"/>
        </w:rPr>
        <w:t>por ciento</w:t>
      </w:r>
      <w:r w:rsidRPr="00F05461">
        <w:rPr>
          <w:lang w:val="es-ES"/>
        </w:rPr>
        <w:t xml:space="preserve"> en</w:t>
      </w:r>
      <w:r w:rsidR="00394833" w:rsidRPr="00F05461">
        <w:rPr>
          <w:lang w:val="es-ES"/>
        </w:rPr>
        <w:t> </w:t>
      </w:r>
      <w:r w:rsidRPr="00F05461">
        <w:rPr>
          <w:lang w:val="es-ES"/>
        </w:rPr>
        <w:t>2022, todavía muy por debajo del objetivo del 30 </w:t>
      </w:r>
      <w:r w:rsidR="00EE496A" w:rsidRPr="00F05461">
        <w:rPr>
          <w:lang w:val="es-ES"/>
        </w:rPr>
        <w:t>por ciento</w:t>
      </w:r>
      <w:r w:rsidRPr="00F05461">
        <w:rPr>
          <w:lang w:val="es-ES"/>
        </w:rPr>
        <w:t xml:space="preserve">, mientras que la generación de residuos electrónicos sigue creciendo rápidamente y se espera que alcance </w:t>
      </w:r>
      <w:proofErr w:type="gramStart"/>
      <w:r w:rsidRPr="00F05461">
        <w:rPr>
          <w:lang w:val="es-ES"/>
        </w:rPr>
        <w:t>los 82 megatoneladas</w:t>
      </w:r>
      <w:proofErr w:type="gramEnd"/>
      <w:r w:rsidRPr="00F05461">
        <w:rPr>
          <w:lang w:val="es-ES"/>
        </w:rPr>
        <w:t xml:space="preserve"> (Mt) en 2030. Los países con legislación en materia de residuos electrónicos aumentaron a 81 en 2023, acercándose al objetivo de 97. Los trabajos relativos al impacto climático avanzaron gracias a la elaboración por </w:t>
      </w:r>
      <w:r w:rsidR="00296F03" w:rsidRPr="00F05461">
        <w:rPr>
          <w:lang w:val="es-ES"/>
        </w:rPr>
        <w:t>la UIT</w:t>
      </w:r>
      <w:r w:rsidRPr="00F05461">
        <w:rPr>
          <w:lang w:val="es-ES"/>
        </w:rPr>
        <w:t xml:space="preserve"> de normas mundiales sobre emisiones netas cero de las</w:t>
      </w:r>
      <w:r w:rsidR="00394833" w:rsidRPr="00F05461">
        <w:rPr>
          <w:lang w:val="es-ES"/>
        </w:rPr>
        <w:t> </w:t>
      </w:r>
      <w:r w:rsidRPr="00F05461">
        <w:rPr>
          <w:lang w:val="es-ES"/>
        </w:rPr>
        <w:t>TIC, mientras que las emisiones del sector se mantuvieron estables en torno a las 133</w:t>
      </w:r>
      <w:r w:rsidR="00394833" w:rsidRPr="00F05461">
        <w:rPr>
          <w:lang w:val="es-ES"/>
        </w:rPr>
        <w:t> </w:t>
      </w:r>
      <w:r w:rsidRPr="00F05461">
        <w:rPr>
          <w:lang w:val="es-ES"/>
        </w:rPr>
        <w:t>megatoneladas de dióxido de carbono (MtCO₂) en</w:t>
      </w:r>
      <w:r w:rsidR="00EE496A" w:rsidRPr="00F05461">
        <w:rPr>
          <w:lang w:val="es-ES"/>
        </w:rPr>
        <w:t> </w:t>
      </w:r>
      <w:r w:rsidRPr="00F05461">
        <w:rPr>
          <w:lang w:val="es-ES"/>
        </w:rPr>
        <w:t>2023. También mejoró la preparación en materia de ciberseguridad: la proporción de países con EIII/EIEI nacionales aumentó de alrededor del 55 </w:t>
      </w:r>
      <w:r w:rsidR="00EE496A" w:rsidRPr="00F05461">
        <w:rPr>
          <w:lang w:val="es-ES"/>
        </w:rPr>
        <w:t>por ciento</w:t>
      </w:r>
      <w:r w:rsidRPr="00F05461">
        <w:rPr>
          <w:lang w:val="es-ES"/>
        </w:rPr>
        <w:t xml:space="preserve"> en 2018 al 65 </w:t>
      </w:r>
      <w:r w:rsidR="00EE496A" w:rsidRPr="00F05461">
        <w:rPr>
          <w:lang w:val="es-ES"/>
        </w:rPr>
        <w:t>por ciento</w:t>
      </w:r>
      <w:r w:rsidRPr="00F05461">
        <w:rPr>
          <w:lang w:val="es-ES"/>
        </w:rPr>
        <w:t xml:space="preserve"> en 2023, y 127</w:t>
      </w:r>
      <w:r w:rsidR="00EE496A" w:rsidRPr="00F05461">
        <w:rPr>
          <w:lang w:val="es-ES"/>
        </w:rPr>
        <w:t> </w:t>
      </w:r>
      <w:r w:rsidRPr="00F05461">
        <w:rPr>
          <w:lang w:val="es-ES"/>
        </w:rPr>
        <w:t>países cuentan ahora con estrategias nacionales de ciberseguridad. La planificación de las telecomunicaciones de emergencia también ha avanzado, ya que el 83 </w:t>
      </w:r>
      <w:r w:rsidR="00EE496A" w:rsidRPr="00F05461">
        <w:rPr>
          <w:lang w:val="es-ES"/>
        </w:rPr>
        <w:t>por ciento</w:t>
      </w:r>
      <w:r w:rsidRPr="00F05461">
        <w:rPr>
          <w:lang w:val="es-ES"/>
        </w:rPr>
        <w:t xml:space="preserve"> de los países han adoptado planes nacionales para 2023.</w:t>
      </w:r>
    </w:p>
    <w:p w14:paraId="5E3515BD" w14:textId="77777777" w:rsidR="005D7B2C" w:rsidRPr="00F05461" w:rsidRDefault="005D7B2C" w:rsidP="005D7B2C">
      <w:pPr>
        <w:rPr>
          <w:lang w:val="es-ES"/>
        </w:rPr>
      </w:pPr>
      <w:r w:rsidRPr="00F05461">
        <w:rPr>
          <w:lang w:val="es-ES"/>
        </w:rPr>
        <w:t>La innovación y las asociaciones siguieron fortaleciendo el ecosistema. El número de países que comunicaron políticas nacionales de innovación en 2023 se elevó a 97, comparado con 66 en 2016, aunque todavía queda mucho para alcanzar la adopción universal. Las encuestas a los miembros muestran que cada vez se reconoce más la importancia de la colaboración, un 61 por ciento de los cuales afirma su importancia y alrededor del 70 por ciento considera beneficiosa la colaboración con asociados. En el nuevo Plan Estratégico para 2024-2027, la innovación y las asociaciones se posicionan como factores habilitadores transversales en lugar de objetivos independientes.</w:t>
      </w:r>
    </w:p>
    <w:p w14:paraId="358FCB8D" w14:textId="0DF4B804" w:rsidR="005D7B2C" w:rsidRPr="00F05461" w:rsidRDefault="005D7B2C" w:rsidP="00FD0E79">
      <w:pPr>
        <w:pStyle w:val="Heading2"/>
        <w:rPr>
          <w:lang w:val="es-ES"/>
        </w:rPr>
      </w:pPr>
      <w:bookmarkStart w:id="34" w:name="_Toc227137460"/>
      <w:r w:rsidRPr="00F05461">
        <w:rPr>
          <w:lang w:val="es-ES"/>
        </w:rPr>
        <w:t>3.2</w:t>
      </w:r>
      <w:r w:rsidRPr="00F05461">
        <w:rPr>
          <w:lang w:val="es-ES"/>
        </w:rPr>
        <w:tab/>
        <w:t xml:space="preserve">Incidencia de los trabajos de </w:t>
      </w:r>
      <w:r w:rsidR="00296F03" w:rsidRPr="00F05461">
        <w:rPr>
          <w:lang w:val="es-ES"/>
        </w:rPr>
        <w:t>la UIT</w:t>
      </w:r>
      <w:r w:rsidRPr="00F05461">
        <w:rPr>
          <w:lang w:val="es-ES"/>
        </w:rPr>
        <w:t xml:space="preserve"> entre 2024 y 2025 (los dos primeros años del Plan Estratégico para 2024-2027)</w:t>
      </w:r>
      <w:bookmarkEnd w:id="34"/>
    </w:p>
    <w:p w14:paraId="6880BC88" w14:textId="7D2C555A" w:rsidR="005D7B2C" w:rsidRPr="00F05461" w:rsidRDefault="005D7B2C" w:rsidP="005D7B2C">
      <w:pPr>
        <w:rPr>
          <w:lang w:val="es-ES"/>
        </w:rPr>
      </w:pPr>
      <w:r w:rsidRPr="00F05461">
        <w:rPr>
          <w:lang w:val="es-ES"/>
        </w:rPr>
        <w:t>En esta sección se evalúa el estado más reciente de los indicadores de las finalidades correspondientes a las dos metas del Plan Estratégico 2024-2027, a saber, conectividad universal (</w:t>
      </w:r>
      <w:hyperlink w:anchor="_3.2.1_Conectividad_universal" w:history="1">
        <w:r w:rsidRPr="00F05461">
          <w:rPr>
            <w:rStyle w:val="Hyperlink"/>
            <w:rFonts w:eastAsia="Times New Roman" w:cs="Times New Roman"/>
            <w:szCs w:val="20"/>
            <w:lang w:val="es-ES"/>
          </w:rPr>
          <w:t>sección</w:t>
        </w:r>
        <w:r w:rsidR="00EE496A" w:rsidRPr="00F05461">
          <w:rPr>
            <w:rStyle w:val="Hyperlink"/>
            <w:rFonts w:eastAsia="Times New Roman" w:cs="Times New Roman"/>
            <w:szCs w:val="20"/>
            <w:lang w:val="es-ES"/>
          </w:rPr>
          <w:t> </w:t>
        </w:r>
        <w:r w:rsidRPr="00F05461">
          <w:rPr>
            <w:rStyle w:val="Hyperlink"/>
            <w:rFonts w:eastAsia="Times New Roman" w:cs="Times New Roman"/>
            <w:szCs w:val="20"/>
            <w:lang w:val="es-ES"/>
          </w:rPr>
          <w:t>3.2.1</w:t>
        </w:r>
      </w:hyperlink>
      <w:r w:rsidRPr="00F05461">
        <w:rPr>
          <w:lang w:val="es-ES"/>
        </w:rPr>
        <w:t>) y transformación digital sostenible (</w:t>
      </w:r>
      <w:hyperlink w:anchor="_3.2.2_Transformación_digital" w:history="1">
        <w:r w:rsidRPr="00F05461">
          <w:rPr>
            <w:rStyle w:val="Hyperlink"/>
            <w:rFonts w:eastAsia="Times New Roman" w:cs="Times New Roman"/>
            <w:szCs w:val="20"/>
            <w:lang w:val="es-ES"/>
          </w:rPr>
          <w:t>sección</w:t>
        </w:r>
        <w:r w:rsidR="00EE496A" w:rsidRPr="00F05461">
          <w:rPr>
            <w:rStyle w:val="Hyperlink"/>
            <w:rFonts w:eastAsia="Times New Roman" w:cs="Times New Roman"/>
            <w:szCs w:val="20"/>
            <w:lang w:val="es-ES"/>
          </w:rPr>
          <w:t> </w:t>
        </w:r>
        <w:r w:rsidRPr="00F05461">
          <w:rPr>
            <w:rStyle w:val="Hyperlink"/>
            <w:rFonts w:eastAsia="Times New Roman" w:cs="Times New Roman"/>
            <w:szCs w:val="20"/>
            <w:lang w:val="es-ES"/>
          </w:rPr>
          <w:t>3.2.2</w:t>
        </w:r>
      </w:hyperlink>
      <w:r w:rsidRPr="00F05461">
        <w:rPr>
          <w:lang w:val="es-ES"/>
        </w:rPr>
        <w:t>). Se analiza, teniendo en cuenta los datos disponibles, los progresos logrados a lo largo del periodo desde</w:t>
      </w:r>
      <w:r w:rsidR="00EE496A" w:rsidRPr="00F05461">
        <w:rPr>
          <w:lang w:val="es-ES"/>
        </w:rPr>
        <w:t> </w:t>
      </w:r>
      <w:r w:rsidRPr="00F05461">
        <w:rPr>
          <w:lang w:val="es-ES"/>
        </w:rPr>
        <w:t xml:space="preserve">2022. La evaluación se basa principalmente en el informe de </w:t>
      </w:r>
      <w:r w:rsidR="00296F03" w:rsidRPr="00F05461">
        <w:rPr>
          <w:lang w:val="es-ES"/>
        </w:rPr>
        <w:t>la UIT</w:t>
      </w:r>
      <w:r w:rsidRPr="00F05461">
        <w:rPr>
          <w:lang w:val="es-ES"/>
        </w:rPr>
        <w:t xml:space="preserve"> </w:t>
      </w:r>
      <w:hyperlink r:id="rId86" w:history="1">
        <w:r w:rsidRPr="00F05461">
          <w:rPr>
            <w:rStyle w:val="Hyperlink"/>
            <w:rFonts w:eastAsia="Times New Roman" w:cs="Times New Roman"/>
            <w:i/>
            <w:iCs/>
            <w:szCs w:val="20"/>
            <w:lang w:val="es-ES"/>
          </w:rPr>
          <w:t>Measuring digital development: Facts and Figures 2025</w:t>
        </w:r>
      </w:hyperlink>
      <w:r w:rsidRPr="00F05461">
        <w:rPr>
          <w:lang w:val="es-ES"/>
        </w:rPr>
        <w:t xml:space="preserve">, donde figuran las estimaciones más recientes para varios indicadores básicos de conectividad, así como en conjuntos de datos de </w:t>
      </w:r>
      <w:r w:rsidR="00296F03" w:rsidRPr="00F05461">
        <w:rPr>
          <w:lang w:val="es-ES"/>
        </w:rPr>
        <w:t>la UIT</w:t>
      </w:r>
      <w:r w:rsidRPr="00F05461">
        <w:rPr>
          <w:lang w:val="es-ES"/>
        </w:rPr>
        <w:t xml:space="preserve"> sobre residuos electrónicos, emisiones de </w:t>
      </w:r>
      <w:r w:rsidR="000E0FEC" w:rsidRPr="00F05461">
        <w:rPr>
          <w:lang w:val="es-ES"/>
        </w:rPr>
        <w:t>GEI</w:t>
      </w:r>
      <w:r w:rsidRPr="00F05461">
        <w:rPr>
          <w:lang w:val="es-ES"/>
        </w:rPr>
        <w:t>, reglamentación y ciberseguridad. Se han empleado, cuando procedía, datos adicionales de otros organismos de las Naciones Unidas.</w:t>
      </w:r>
    </w:p>
    <w:p w14:paraId="2DCDA538" w14:textId="2D4AE053" w:rsidR="005D7B2C" w:rsidRPr="00F05461" w:rsidRDefault="005D7B2C" w:rsidP="005D7B2C">
      <w:pPr>
        <w:rPr>
          <w:lang w:val="es-ES"/>
        </w:rPr>
      </w:pPr>
      <w:r w:rsidRPr="00F05461">
        <w:rPr>
          <w:lang w:val="es-ES"/>
        </w:rPr>
        <w:t xml:space="preserve">La evaluación sigue siendo parcial, </w:t>
      </w:r>
      <w:proofErr w:type="gramStart"/>
      <w:r w:rsidRPr="00F05461">
        <w:rPr>
          <w:lang w:val="es-ES"/>
        </w:rPr>
        <w:t>ya que</w:t>
      </w:r>
      <w:proofErr w:type="gramEnd"/>
      <w:r w:rsidRPr="00F05461">
        <w:rPr>
          <w:lang w:val="es-ES"/>
        </w:rPr>
        <w:t xml:space="preserve"> para varias metas e indicadores definidos en el Plan Estratégico, la disponibilidad de datos sigue siendo insuficiente para producir agregados globales o regionales sólidos. Si bien los progresos observados reflejan, en parte, los esfuerzos de </w:t>
      </w:r>
      <w:r w:rsidR="00296F03" w:rsidRPr="00F05461">
        <w:rPr>
          <w:lang w:val="es-ES"/>
        </w:rPr>
        <w:t>la UIT</w:t>
      </w:r>
      <w:r w:rsidRPr="00F05461">
        <w:rPr>
          <w:lang w:val="es-ES"/>
        </w:rPr>
        <w:t xml:space="preserve">, los resultados también dependen de una amplia gama de factores externos y de las medidas adoptadas por los gobiernos, el sector privado y otras partes interesadas. Por ese motivo, </w:t>
      </w:r>
      <w:r w:rsidR="00296F03" w:rsidRPr="00F05461">
        <w:rPr>
          <w:lang w:val="es-ES"/>
        </w:rPr>
        <w:t>la UIT</w:t>
      </w:r>
      <w:r w:rsidRPr="00F05461">
        <w:rPr>
          <w:lang w:val="es-ES"/>
        </w:rPr>
        <w:t xml:space="preserve"> no puede considerarse como el único catalizador de los resultados presentados.</w:t>
      </w:r>
    </w:p>
    <w:p w14:paraId="454819D4" w14:textId="77777777" w:rsidR="005D7B2C" w:rsidRPr="00F05461" w:rsidRDefault="005D7B2C" w:rsidP="00FD0E79">
      <w:pPr>
        <w:pStyle w:val="Heading3"/>
      </w:pPr>
      <w:bookmarkStart w:id="35" w:name="_3.2.1_Conectividad_universal"/>
      <w:bookmarkStart w:id="36" w:name="_Toc227137461"/>
      <w:bookmarkEnd w:id="35"/>
      <w:r w:rsidRPr="00F05461">
        <w:lastRenderedPageBreak/>
        <w:t>3.2.1</w:t>
      </w:r>
      <w:r w:rsidRPr="00F05461">
        <w:tab/>
        <w:t>Conectividad universal</w:t>
      </w:r>
      <w:bookmarkEnd w:id="36"/>
    </w:p>
    <w:p w14:paraId="7A13B49A" w14:textId="77777777" w:rsidR="005D7B2C" w:rsidRPr="00F05461" w:rsidRDefault="005D7B2C" w:rsidP="005D7B2C">
      <w:pPr>
        <w:rPr>
          <w:lang w:val="es-ES"/>
        </w:rPr>
      </w:pPr>
      <w:r w:rsidRPr="00F05461">
        <w:rPr>
          <w:lang w:val="es-ES"/>
        </w:rPr>
        <w:t>Esta subsección abarca las principales dimensiones de la conectividad universal, incluida la cobertura de banda ancha, la asequibilidad, el acceso a dispositivos, la utilización de Internet y las condiciones propicias conexas.</w:t>
      </w:r>
    </w:p>
    <w:p w14:paraId="610468EF" w14:textId="6BA005E4" w:rsidR="005D7B2C" w:rsidRPr="00F05461" w:rsidRDefault="005D7B2C" w:rsidP="00FD0E79">
      <w:pPr>
        <w:pStyle w:val="Headingb"/>
      </w:pPr>
      <w:r w:rsidRPr="00F05461">
        <w:t xml:space="preserve">Finalidad 1.1: </w:t>
      </w:r>
      <w:r w:rsidR="007F2DD9" w:rsidRPr="00F05461">
        <w:t>c</w:t>
      </w:r>
      <w:r w:rsidRPr="00F05461">
        <w:t>obertura universal de banda ancha</w:t>
      </w:r>
    </w:p>
    <w:p w14:paraId="013A95BC" w14:textId="55160F7B" w:rsidR="005D7B2C" w:rsidRPr="00F05461" w:rsidRDefault="005D7B2C" w:rsidP="005D7B2C">
      <w:pPr>
        <w:rPr>
          <w:lang w:val="es-ES"/>
        </w:rPr>
      </w:pPr>
      <w:r w:rsidRPr="00F05461">
        <w:rPr>
          <w:lang w:val="es-ES"/>
        </w:rPr>
        <w:t>La cobertura 5G se ha expandido rápidamente en los últimos años y en 2025 alcanzó el 55 </w:t>
      </w:r>
      <w:r w:rsidR="007F2DD9" w:rsidRPr="00F05461">
        <w:rPr>
          <w:lang w:val="es-ES"/>
        </w:rPr>
        <w:t>por ciento</w:t>
      </w:r>
      <w:r w:rsidRPr="00F05461">
        <w:rPr>
          <w:lang w:val="es-ES"/>
        </w:rPr>
        <w:t xml:space="preserve"> de la población mundial, frente al 39 </w:t>
      </w:r>
      <w:r w:rsidR="007F2DD9" w:rsidRPr="00F05461">
        <w:rPr>
          <w:lang w:val="es-ES"/>
        </w:rPr>
        <w:t>por ciento</w:t>
      </w:r>
      <w:r w:rsidRPr="00F05461">
        <w:rPr>
          <w:lang w:val="es-ES"/>
        </w:rPr>
        <w:t xml:space="preserve"> en 2022. El 84 </w:t>
      </w:r>
      <w:r w:rsidR="007F2DD9" w:rsidRPr="00F05461">
        <w:rPr>
          <w:lang w:val="es-ES"/>
        </w:rPr>
        <w:t>por ciento</w:t>
      </w:r>
      <w:r w:rsidRPr="00F05461">
        <w:rPr>
          <w:lang w:val="es-ES"/>
        </w:rPr>
        <w:t xml:space="preserve"> de la población de los países de renta alta dispone de cobertura 5G, pero s</w:t>
      </w:r>
      <w:r w:rsidR="00BF0FFC" w:rsidRPr="00F05461">
        <w:rPr>
          <w:lang w:val="es-ES"/>
        </w:rPr>
        <w:t>o</w:t>
      </w:r>
      <w:r w:rsidRPr="00F05461">
        <w:rPr>
          <w:lang w:val="es-ES"/>
        </w:rPr>
        <w:t>lo el 4 </w:t>
      </w:r>
      <w:r w:rsidR="007F2DD9" w:rsidRPr="00F05461">
        <w:rPr>
          <w:lang w:val="es-ES"/>
        </w:rPr>
        <w:t>por ciento</w:t>
      </w:r>
      <w:r w:rsidRPr="00F05461">
        <w:rPr>
          <w:lang w:val="es-ES"/>
        </w:rPr>
        <w:t xml:space="preserve"> de los habitantes de los países de renta baja.</w:t>
      </w:r>
    </w:p>
    <w:p w14:paraId="3F8EF8E8" w14:textId="634ACD13" w:rsidR="005D7B2C" w:rsidRPr="00F05461" w:rsidRDefault="005D7B2C" w:rsidP="005D7B2C">
      <w:pPr>
        <w:rPr>
          <w:lang w:val="es-ES"/>
        </w:rPr>
      </w:pPr>
      <w:r w:rsidRPr="00F05461">
        <w:rPr>
          <w:lang w:val="es-ES"/>
        </w:rPr>
        <w:t>Si bien la 5G aún se está desplegando en muchas regiones, la 4G sigue siendo una solución de conectividad fiable, disponible actualmente para el 93</w:t>
      </w:r>
      <w:r w:rsidR="00394833" w:rsidRPr="00F05461">
        <w:rPr>
          <w:lang w:val="es-ES"/>
        </w:rPr>
        <w:t> </w:t>
      </w:r>
      <w:r w:rsidR="007F2DD9" w:rsidRPr="00F05461">
        <w:rPr>
          <w:lang w:val="es-ES"/>
        </w:rPr>
        <w:t>por ciento</w:t>
      </w:r>
      <w:r w:rsidRPr="00F05461">
        <w:rPr>
          <w:lang w:val="es-ES"/>
        </w:rPr>
        <w:t xml:space="preserve"> de la población mundial. En 2025, el 96 </w:t>
      </w:r>
      <w:r w:rsidR="007F2DD9" w:rsidRPr="00F05461">
        <w:rPr>
          <w:lang w:val="es-ES"/>
        </w:rPr>
        <w:t>por ciento</w:t>
      </w:r>
      <w:r w:rsidRPr="00F05461">
        <w:rPr>
          <w:lang w:val="es-ES"/>
        </w:rPr>
        <w:t xml:space="preserve"> de la población mundial disponía de cobertura de tecnología 3G o superior (véase la </w:t>
      </w:r>
      <w:hyperlink w:anchor="Figure_3" w:history="1">
        <w:r w:rsidRPr="00F05461">
          <w:rPr>
            <w:rStyle w:val="Hyperlink"/>
            <w:rFonts w:eastAsia="Times New Roman" w:cs="Times New Roman"/>
            <w:szCs w:val="20"/>
            <w:lang w:val="es-ES"/>
          </w:rPr>
          <w:t>Figura</w:t>
        </w:r>
        <w:r w:rsidR="00394833" w:rsidRPr="00F05461">
          <w:rPr>
            <w:rStyle w:val="Hyperlink"/>
            <w:rFonts w:eastAsia="Times New Roman" w:cs="Times New Roman"/>
            <w:szCs w:val="20"/>
            <w:lang w:val="es-ES"/>
          </w:rPr>
          <w:t> </w:t>
        </w:r>
        <w:r w:rsidRPr="00F05461">
          <w:rPr>
            <w:rStyle w:val="Hyperlink"/>
            <w:rFonts w:eastAsia="Times New Roman" w:cs="Times New Roman"/>
            <w:szCs w:val="20"/>
            <w:lang w:val="es-ES"/>
          </w:rPr>
          <w:t>3</w:t>
        </w:r>
      </w:hyperlink>
      <w:r w:rsidRPr="00F05461">
        <w:rPr>
          <w:lang w:val="es-ES"/>
        </w:rPr>
        <w:t>). Sin embargo, ampliar las redes al 4 </w:t>
      </w:r>
      <w:r w:rsidR="007F2DD9" w:rsidRPr="00F05461">
        <w:rPr>
          <w:lang w:val="es-ES"/>
        </w:rPr>
        <w:t>por ciento</w:t>
      </w:r>
      <w:r w:rsidRPr="00F05461">
        <w:rPr>
          <w:lang w:val="es-ES"/>
        </w:rPr>
        <w:t xml:space="preserve"> restante —unos 312</w:t>
      </w:r>
      <w:r w:rsidR="00394833" w:rsidRPr="00F05461">
        <w:rPr>
          <w:lang w:val="es-ES"/>
        </w:rPr>
        <w:t> </w:t>
      </w:r>
      <w:r w:rsidRPr="00F05461">
        <w:rPr>
          <w:lang w:val="es-ES"/>
        </w:rPr>
        <w:t>millones de personas aproximadamente— ha resultado difícil, debido a la infraestructura deficiente, la asequibilidad limitada y la tasa reducida de posesión de dispositivos. Desde 2018, año en que la cobertura superó por vez primera el 90 </w:t>
      </w:r>
      <w:r w:rsidR="007F2DD9" w:rsidRPr="00F05461">
        <w:rPr>
          <w:lang w:val="es-ES"/>
        </w:rPr>
        <w:t>por ciento</w:t>
      </w:r>
      <w:r w:rsidRPr="00F05461">
        <w:rPr>
          <w:lang w:val="es-ES"/>
        </w:rPr>
        <w:t>, se ha registrado un aumento a nivel mundial de s</w:t>
      </w:r>
      <w:r w:rsidR="00BF0FFC" w:rsidRPr="00F05461">
        <w:rPr>
          <w:lang w:val="es-ES"/>
        </w:rPr>
        <w:t>o</w:t>
      </w:r>
      <w:r w:rsidRPr="00F05461">
        <w:rPr>
          <w:lang w:val="es-ES"/>
        </w:rPr>
        <w:t xml:space="preserve">lo seis puntos porcentuales. Casi la mitad de la población que sigue sin acceso a una red de banda ancha móvil se encuentra en África (véase la </w:t>
      </w:r>
      <w:hyperlink w:anchor="Figure_4" w:history="1">
        <w:r w:rsidRPr="00F05461">
          <w:rPr>
            <w:rStyle w:val="Hyperlink"/>
            <w:rFonts w:eastAsia="Times New Roman" w:cs="Times New Roman"/>
            <w:szCs w:val="20"/>
            <w:lang w:val="es-ES"/>
          </w:rPr>
          <w:t>Figura</w:t>
        </w:r>
        <w:r w:rsidR="00394833" w:rsidRPr="00F05461">
          <w:rPr>
            <w:rStyle w:val="Hyperlink"/>
            <w:rFonts w:eastAsia="Times New Roman" w:cs="Times New Roman"/>
            <w:szCs w:val="20"/>
            <w:lang w:val="es-ES"/>
          </w:rPr>
          <w:t> </w:t>
        </w:r>
        <w:r w:rsidRPr="00F05461">
          <w:rPr>
            <w:rStyle w:val="Hyperlink"/>
            <w:rFonts w:eastAsia="Times New Roman" w:cs="Times New Roman"/>
            <w:szCs w:val="20"/>
            <w:lang w:val="es-ES"/>
          </w:rPr>
          <w:t>4</w:t>
        </w:r>
      </w:hyperlink>
      <w:r w:rsidRPr="00F05461">
        <w:rPr>
          <w:lang w:val="es-ES"/>
        </w:rPr>
        <w:t>).</w:t>
      </w:r>
    </w:p>
    <w:p w14:paraId="0786F348" w14:textId="77777777" w:rsidR="005D7B2C" w:rsidRPr="00F05461" w:rsidRDefault="005D7B2C" w:rsidP="007F2DD9">
      <w:pPr>
        <w:pStyle w:val="Figuretitle"/>
        <w:rPr>
          <w:lang w:val="es-ES"/>
        </w:rPr>
      </w:pPr>
      <w:r w:rsidRPr="00F05461">
        <w:rPr>
          <w:lang w:val="es-ES"/>
        </w:rPr>
        <w:t>Cobertura de población por tipo de red móvil, 2015-2025</w:t>
      </w:r>
    </w:p>
    <w:p w14:paraId="5F2FD677" w14:textId="77777777" w:rsidR="005D7B2C" w:rsidRPr="00F05461" w:rsidRDefault="005D7B2C" w:rsidP="00D0679E">
      <w:pPr>
        <w:pStyle w:val="Figure"/>
        <w:keepNext/>
        <w:keepLines/>
        <w:rPr>
          <w:lang w:val="es-ES"/>
        </w:rPr>
      </w:pPr>
      <w:r w:rsidRPr="00F05461">
        <w:rPr>
          <w:noProof/>
          <w:lang w:val="es-ES"/>
        </w:rPr>
        <w:drawing>
          <wp:inline distT="0" distB="0" distL="0" distR="0" wp14:anchorId="0DB91849" wp14:editId="79FB4D2F">
            <wp:extent cx="4532400" cy="2646000"/>
            <wp:effectExtent l="0" t="0" r="1905" b="2540"/>
            <wp:docPr id="2045369364" name="Graphic 1" descr="Gráfico de datos que muestra diferentes colore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482291823" name="Graphic 1" descr="A graph of data showing different colors&#10;&#10;AI-generated content may be incorrect."/>
                    <pic:cNvPicPr/>
                  </pic:nvPicPr>
                  <pic:blipFill>
                    <a:blip r:embed="rId87"/>
                    <a:stretch>
                      <a:fillRect/>
                    </a:stretch>
                  </pic:blipFill>
                  <pic:spPr>
                    <a:xfrm>
                      <a:off x="0" y="0"/>
                      <a:ext cx="4532400" cy="2646000"/>
                    </a:xfrm>
                    <a:prstGeom prst="rect">
                      <a:avLst/>
                    </a:prstGeom>
                    <a:noFill/>
                    <a:ln>
                      <a:noFill/>
                      <a:prstDash/>
                    </a:ln>
                  </pic:spPr>
                </pic:pic>
              </a:graphicData>
            </a:graphic>
          </wp:inline>
        </w:drawing>
      </w:r>
    </w:p>
    <w:p w14:paraId="49436DBE" w14:textId="341FBC5B" w:rsidR="005D7B2C" w:rsidRPr="00F05461" w:rsidRDefault="005D7B2C" w:rsidP="003153D3">
      <w:pPr>
        <w:pStyle w:val="Figurelegend"/>
        <w:rPr>
          <w:i/>
          <w:iCs/>
          <w:color w:val="1F497D"/>
          <w:lang w:val="es-ES"/>
        </w:rPr>
      </w:pPr>
      <w:bookmarkStart w:id="37" w:name="Figure_3"/>
      <w:r w:rsidRPr="00F05461">
        <w:rPr>
          <w:i/>
          <w:iCs/>
          <w:color w:val="1F497D"/>
          <w:lang w:val="es-ES"/>
        </w:rPr>
        <w:t>Figura</w:t>
      </w:r>
      <w:r w:rsidR="007249E6" w:rsidRPr="00F05461">
        <w:rPr>
          <w:i/>
          <w:iCs/>
          <w:color w:val="1F497D"/>
          <w:lang w:val="es-ES"/>
        </w:rPr>
        <w:t> </w:t>
      </w:r>
      <w:r w:rsidRPr="00F05461">
        <w:rPr>
          <w:i/>
          <w:iCs/>
          <w:color w:val="1F497D"/>
          <w:lang w:val="es-ES"/>
        </w:rPr>
        <w:t>3. Cobertura de población por tipo de red móvil, 2015-2025</w:t>
      </w:r>
      <w:bookmarkEnd w:id="37"/>
      <w:r w:rsidRPr="00F05461">
        <w:rPr>
          <w:i/>
          <w:iCs/>
          <w:color w:val="1F497D"/>
          <w:lang w:val="es-ES"/>
        </w:rPr>
        <w:t xml:space="preserve">. </w:t>
      </w:r>
      <w:r w:rsidR="007D3D33">
        <w:rPr>
          <w:i/>
          <w:iCs/>
          <w:color w:val="1F497D"/>
          <w:lang w:val="es-ES"/>
        </w:rPr>
        <w:t>Informe</w:t>
      </w:r>
      <w:r w:rsidRPr="00F05461">
        <w:rPr>
          <w:i/>
          <w:iCs/>
          <w:color w:val="1F497D"/>
          <w:lang w:val="es-ES"/>
        </w:rPr>
        <w:t xml:space="preserve"> Facts and Figures </w:t>
      </w:r>
      <w:r w:rsidR="007D3D33">
        <w:rPr>
          <w:i/>
          <w:iCs/>
          <w:color w:val="1F497D"/>
          <w:lang w:val="es-ES"/>
        </w:rPr>
        <w:t>de </w:t>
      </w:r>
      <w:r w:rsidRPr="00F05461">
        <w:rPr>
          <w:i/>
          <w:iCs/>
          <w:color w:val="1F497D"/>
          <w:lang w:val="es-ES"/>
        </w:rPr>
        <w:t>2025</w:t>
      </w:r>
      <w:r w:rsidR="007D3D33">
        <w:rPr>
          <w:i/>
          <w:iCs/>
          <w:color w:val="1F497D"/>
          <w:lang w:val="es-ES"/>
        </w:rPr>
        <w:t xml:space="preserve"> de la UIT</w:t>
      </w:r>
      <w:r w:rsidRPr="00F05461">
        <w:rPr>
          <w:i/>
          <w:iCs/>
          <w:color w:val="1F497D"/>
          <w:lang w:val="es-ES"/>
        </w:rPr>
        <w:t xml:space="preserve"> (pág.</w:t>
      </w:r>
      <w:r w:rsidR="007F2DD9" w:rsidRPr="00F05461">
        <w:rPr>
          <w:i/>
          <w:iCs/>
          <w:color w:val="1F497D"/>
          <w:lang w:val="es-ES"/>
        </w:rPr>
        <w:t> </w:t>
      </w:r>
      <w:r w:rsidRPr="00F05461">
        <w:rPr>
          <w:i/>
          <w:iCs/>
          <w:color w:val="1F497D"/>
          <w:lang w:val="es-ES"/>
        </w:rPr>
        <w:t xml:space="preserve">9). </w:t>
      </w:r>
      <w:r w:rsidRPr="00F05461">
        <w:rPr>
          <w:i/>
          <w:iCs/>
          <w:color w:val="7F7F7F"/>
          <w:lang w:val="es-ES"/>
        </w:rPr>
        <w:t>Los valores correspondientes a las redes 2G, 3G y 4G muestran el porcentaje incremental de población que no dispone de cobertura de una red de tecnología más avanzada (por ejemplo, en 2025, el 96</w:t>
      </w:r>
      <w:r w:rsidR="007249E6" w:rsidRPr="00F05461">
        <w:rPr>
          <w:i/>
          <w:iCs/>
          <w:color w:val="7F7F7F"/>
          <w:lang w:val="es-ES"/>
        </w:rPr>
        <w:t> </w:t>
      </w:r>
      <w:r w:rsidRPr="00F05461">
        <w:rPr>
          <w:i/>
          <w:iCs/>
          <w:color w:val="7F7F7F"/>
          <w:lang w:val="es-ES"/>
        </w:rPr>
        <w:t>% de la población mundial disponía cobertura de al menos una red 3G o superior, el 3,6</w:t>
      </w:r>
      <w:r w:rsidR="007249E6" w:rsidRPr="00F05461">
        <w:rPr>
          <w:i/>
          <w:iCs/>
          <w:color w:val="7F7F7F"/>
          <w:lang w:val="es-ES"/>
        </w:rPr>
        <w:t> </w:t>
      </w:r>
      <w:r w:rsidRPr="00F05461">
        <w:rPr>
          <w:i/>
          <w:iCs/>
          <w:color w:val="7F7F7F"/>
          <w:lang w:val="es-ES"/>
        </w:rPr>
        <w:t xml:space="preserve">% </w:t>
      </w:r>
      <w:r w:rsidR="0020239C" w:rsidRPr="00F05461">
        <w:rPr>
          <w:i/>
          <w:iCs/>
          <w:color w:val="7F7F7F"/>
          <w:lang w:val="es-ES"/>
        </w:rPr>
        <w:t>disponía de</w:t>
      </w:r>
      <w:r w:rsidRPr="00F05461">
        <w:rPr>
          <w:i/>
          <w:iCs/>
          <w:color w:val="7F7F7F"/>
          <w:lang w:val="es-ES"/>
        </w:rPr>
        <w:t xml:space="preserve"> solo 3G, el 37,6</w:t>
      </w:r>
      <w:r w:rsidR="007F2DD9" w:rsidRPr="00F05461">
        <w:rPr>
          <w:i/>
          <w:iCs/>
          <w:color w:val="7F7F7F"/>
          <w:lang w:val="es-ES"/>
        </w:rPr>
        <w:t> </w:t>
      </w:r>
      <w:r w:rsidRPr="00F05461">
        <w:rPr>
          <w:i/>
          <w:iCs/>
          <w:color w:val="7F7F7F"/>
          <w:lang w:val="es-ES"/>
        </w:rPr>
        <w:t xml:space="preserve">% disponía de 4G y el 55,1 % de 5G). No se dispone de datos suficientes para realizar estimaciones de cobertura 5G antes de 2020. </w:t>
      </w:r>
      <w:hyperlink r:id="rId88" w:anchor="chart-1" w:history="1">
        <w:r w:rsidRPr="00F05461">
          <w:rPr>
            <w:rStyle w:val="Hyperlink"/>
            <w:rFonts w:eastAsia="Times New Roman" w:cs="Times New Roman"/>
            <w:i/>
            <w:iCs/>
            <w:color w:val="7F7F7F"/>
            <w:szCs w:val="20"/>
            <w:u w:val="single"/>
            <w:lang w:val="es-ES"/>
          </w:rPr>
          <w:t>Gráfico interactivo</w:t>
        </w:r>
      </w:hyperlink>
    </w:p>
    <w:p w14:paraId="3AD5FC0C" w14:textId="77777777" w:rsidR="005D7B2C" w:rsidRPr="00F05461" w:rsidRDefault="005D7B2C" w:rsidP="007F2DD9">
      <w:pPr>
        <w:pStyle w:val="Figuretitle"/>
        <w:rPr>
          <w:lang w:val="es-ES"/>
        </w:rPr>
      </w:pPr>
      <w:r w:rsidRPr="00F05461">
        <w:rPr>
          <w:lang w:val="es-ES"/>
        </w:rPr>
        <w:lastRenderedPageBreak/>
        <w:t>Cobertura de población por tipo de red móvil, 2025</w:t>
      </w:r>
    </w:p>
    <w:p w14:paraId="5297EAF5" w14:textId="48E85B3E" w:rsidR="000A60EE" w:rsidRPr="00F05461" w:rsidRDefault="000A60EE" w:rsidP="000A60EE">
      <w:pPr>
        <w:pStyle w:val="Figure"/>
        <w:rPr>
          <w:lang w:val="es-ES"/>
        </w:rPr>
      </w:pPr>
      <w:r w:rsidRPr="00F05461">
        <w:rPr>
          <w:noProof/>
          <w:lang w:val="es-ES"/>
        </w:rPr>
        <w:drawing>
          <wp:inline distT="0" distB="0" distL="0" distR="0" wp14:anchorId="7094033F" wp14:editId="1C9E78E9">
            <wp:extent cx="4698000" cy="21168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98000" cy="2116800"/>
                    </a:xfrm>
                    <a:prstGeom prst="rect">
                      <a:avLst/>
                    </a:prstGeom>
                    <a:noFill/>
                  </pic:spPr>
                </pic:pic>
              </a:graphicData>
            </a:graphic>
          </wp:inline>
        </w:drawing>
      </w:r>
    </w:p>
    <w:p w14:paraId="4D393EC7" w14:textId="6B7A7D97" w:rsidR="005D7B2C" w:rsidRPr="00F05461" w:rsidRDefault="005D7B2C" w:rsidP="007F2DD9">
      <w:pPr>
        <w:pStyle w:val="Figurelegend"/>
        <w:rPr>
          <w:i/>
          <w:iCs/>
          <w:color w:val="1F497D"/>
          <w:lang w:val="es-ES"/>
        </w:rPr>
      </w:pPr>
      <w:bookmarkStart w:id="38" w:name="Figure_4"/>
      <w:r w:rsidRPr="00F05461">
        <w:rPr>
          <w:i/>
          <w:iCs/>
          <w:color w:val="1F497D"/>
          <w:lang w:val="es-ES"/>
        </w:rPr>
        <w:t>Figura</w:t>
      </w:r>
      <w:r w:rsidR="007249E6" w:rsidRPr="00F05461">
        <w:rPr>
          <w:i/>
          <w:iCs/>
          <w:color w:val="1F497D"/>
          <w:lang w:val="es-ES"/>
        </w:rPr>
        <w:t> </w:t>
      </w:r>
      <w:r w:rsidRPr="00F05461">
        <w:rPr>
          <w:i/>
          <w:iCs/>
          <w:color w:val="1F497D"/>
          <w:lang w:val="es-ES"/>
        </w:rPr>
        <w:t>4. Cobertura de población por tipo de red móvil, 2025</w:t>
      </w:r>
      <w:bookmarkEnd w:id="38"/>
      <w:r w:rsidRPr="00F05461">
        <w:rPr>
          <w:i/>
          <w:iCs/>
          <w:color w:val="1F497D"/>
          <w:lang w:val="es-ES"/>
        </w:rPr>
        <w:t xml:space="preserve">. </w:t>
      </w:r>
      <w:r w:rsidR="007D3D33" w:rsidRPr="002E07EB">
        <w:rPr>
          <w:i/>
          <w:iCs/>
          <w:color w:val="1F497D"/>
        </w:rPr>
        <w:t>Informe</w:t>
      </w:r>
      <w:r w:rsidRPr="002E07EB">
        <w:rPr>
          <w:i/>
          <w:iCs/>
          <w:color w:val="1F497D"/>
        </w:rPr>
        <w:t xml:space="preserve"> Facts and Figures </w:t>
      </w:r>
      <w:r w:rsidR="007D3D33" w:rsidRPr="002E07EB">
        <w:rPr>
          <w:i/>
          <w:iCs/>
          <w:color w:val="1F497D"/>
        </w:rPr>
        <w:t>de </w:t>
      </w:r>
      <w:r w:rsidRPr="002E07EB">
        <w:rPr>
          <w:i/>
          <w:iCs/>
          <w:color w:val="1F497D"/>
        </w:rPr>
        <w:t>2025</w:t>
      </w:r>
      <w:r w:rsidR="007D3D33" w:rsidRPr="002E07EB">
        <w:rPr>
          <w:i/>
          <w:iCs/>
          <w:color w:val="1F497D"/>
        </w:rPr>
        <w:t xml:space="preserve"> de la UIT</w:t>
      </w:r>
      <w:r w:rsidRPr="002E07EB">
        <w:rPr>
          <w:i/>
          <w:iCs/>
          <w:color w:val="1F497D"/>
        </w:rPr>
        <w:t xml:space="preserve"> (pá</w:t>
      </w:r>
      <w:r w:rsidR="00004469" w:rsidRPr="002E07EB">
        <w:rPr>
          <w:i/>
          <w:iCs/>
          <w:color w:val="1F497D"/>
        </w:rPr>
        <w:t>g</w:t>
      </w:r>
      <w:r w:rsidRPr="002E07EB">
        <w:rPr>
          <w:i/>
          <w:iCs/>
          <w:color w:val="1F497D"/>
        </w:rPr>
        <w:t>.</w:t>
      </w:r>
      <w:r w:rsidR="007F2DD9" w:rsidRPr="002E07EB">
        <w:rPr>
          <w:i/>
          <w:iCs/>
          <w:color w:val="1F497D"/>
        </w:rPr>
        <w:t> </w:t>
      </w:r>
      <w:r w:rsidRPr="002E07EB">
        <w:rPr>
          <w:i/>
          <w:iCs/>
          <w:color w:val="1F497D"/>
        </w:rPr>
        <w:t xml:space="preserve">10). </w:t>
      </w:r>
      <w:r w:rsidRPr="00F05461">
        <w:rPr>
          <w:i/>
          <w:iCs/>
          <w:color w:val="7F7F7F"/>
          <w:lang w:val="es-ES"/>
        </w:rPr>
        <w:t xml:space="preserve">Los valores correspondientes a las redes 2G, 3G y 4G muestran el porcentaje incremental de población que no dispone de cobertura de una red de tecnología más avanzada (por ejemplo, en 2025, el 96 % de la población mundial disponía de cobertura de al menos una red 3G o superior, el 3,6 % disponía de solo 3G, el 37,6 % disponía de 4G y el 55,1 % de 5G). </w:t>
      </w:r>
      <w:hyperlink r:id="rId90" w:anchor="chart-2" w:history="1">
        <w:r w:rsidRPr="00F05461">
          <w:rPr>
            <w:rStyle w:val="Hyperlink"/>
            <w:rFonts w:eastAsia="Times New Roman" w:cs="Times New Roman"/>
            <w:i/>
            <w:iCs/>
            <w:color w:val="7F7F7F"/>
            <w:szCs w:val="20"/>
            <w:u w:val="single"/>
            <w:lang w:val="es-ES"/>
          </w:rPr>
          <w:t>Gráfico interactivo</w:t>
        </w:r>
      </w:hyperlink>
    </w:p>
    <w:p w14:paraId="282A2AB7" w14:textId="0E8E91F8" w:rsidR="005D7B2C" w:rsidRPr="00F05461" w:rsidRDefault="005D7B2C" w:rsidP="00FD0E79">
      <w:pPr>
        <w:pStyle w:val="Headingb"/>
      </w:pPr>
      <w:r w:rsidRPr="00F05461">
        <w:t xml:space="preserve">Finalidad 1.2: </w:t>
      </w:r>
      <w:r w:rsidR="007F2DD9" w:rsidRPr="00F05461">
        <w:t>s</w:t>
      </w:r>
      <w:r w:rsidRPr="00F05461">
        <w:t>ervicios de banda ancha asequibles para todos</w:t>
      </w:r>
    </w:p>
    <w:p w14:paraId="74B580D3" w14:textId="2EACDA6A" w:rsidR="005D7B2C" w:rsidRPr="00F05461" w:rsidRDefault="005D7B2C" w:rsidP="005D7B2C">
      <w:pPr>
        <w:rPr>
          <w:lang w:val="es-ES"/>
        </w:rPr>
      </w:pPr>
      <w:r w:rsidRPr="00F05461">
        <w:rPr>
          <w:lang w:val="es-ES"/>
        </w:rPr>
        <w:t>Entre 2022 y 2025, las canastas de banda ancha móvil y de banda ancha fija de s</w:t>
      </w:r>
      <w:r w:rsidR="00BF0FFC" w:rsidRPr="00F05461">
        <w:rPr>
          <w:lang w:val="es-ES"/>
        </w:rPr>
        <w:t>o</w:t>
      </w:r>
      <w:r w:rsidRPr="00F05461">
        <w:rPr>
          <w:lang w:val="es-ES"/>
        </w:rPr>
        <w:t>lo datos pasaron a ser más asequibles en todas las regiones y grupos de renta. A escala mundial, el precio medio de la cesta de banda ancha móvil, medido como porcentaje de la</w:t>
      </w:r>
      <w:r w:rsidR="002B22EB" w:rsidRPr="00F05461">
        <w:rPr>
          <w:lang w:val="es-ES"/>
        </w:rPr>
        <w:t> </w:t>
      </w:r>
      <w:r w:rsidRPr="00F05461">
        <w:rPr>
          <w:lang w:val="es-ES"/>
        </w:rPr>
        <w:t>RNB per cápita utilizando la cesta de banda ancha móvil de datos solamente con un volumen mensual de 5</w:t>
      </w:r>
      <w:r w:rsidR="002B22EB" w:rsidRPr="00F05461">
        <w:rPr>
          <w:lang w:val="es-ES"/>
        </w:rPr>
        <w:t> </w:t>
      </w:r>
      <w:r w:rsidRPr="00F05461">
        <w:rPr>
          <w:lang w:val="es-ES"/>
        </w:rPr>
        <w:t>GB (lo que permite utilizar 5</w:t>
      </w:r>
      <w:r w:rsidR="002B22EB" w:rsidRPr="00F05461">
        <w:rPr>
          <w:lang w:val="es-ES"/>
        </w:rPr>
        <w:t> </w:t>
      </w:r>
      <w:r w:rsidRPr="00F05461">
        <w:rPr>
          <w:lang w:val="es-ES"/>
        </w:rPr>
        <w:t xml:space="preserve">GB de datos al mes; véase la </w:t>
      </w:r>
      <w:hyperlink w:anchor="Figure_5" w:history="1">
        <w:r w:rsidR="002B22EB" w:rsidRPr="00F05461">
          <w:rPr>
            <w:rStyle w:val="Hyperlink"/>
            <w:rFonts w:eastAsia="Times New Roman" w:cs="Times New Roman"/>
            <w:szCs w:val="20"/>
            <w:lang w:val="es-ES"/>
          </w:rPr>
          <w:t>Figura </w:t>
        </w:r>
        <w:r w:rsidRPr="00F05461">
          <w:rPr>
            <w:rStyle w:val="Hyperlink"/>
            <w:rFonts w:eastAsia="Times New Roman" w:cs="Times New Roman"/>
            <w:szCs w:val="20"/>
            <w:lang w:val="es-ES"/>
          </w:rPr>
          <w:t>5</w:t>
        </w:r>
      </w:hyperlink>
      <w:r w:rsidRPr="00F05461">
        <w:rPr>
          <w:lang w:val="es-ES"/>
        </w:rPr>
        <w:t>) —que es la medida de referencia más reciente— disminuyó del 2,0 </w:t>
      </w:r>
      <w:r w:rsidR="00403E30" w:rsidRPr="00F05461">
        <w:rPr>
          <w:lang w:val="es-ES"/>
        </w:rPr>
        <w:t>por ciento</w:t>
      </w:r>
      <w:r w:rsidRPr="00F05461">
        <w:rPr>
          <w:lang w:val="es-ES"/>
        </w:rPr>
        <w:t xml:space="preserve"> al 1,4 </w:t>
      </w:r>
      <w:r w:rsidR="00403E30" w:rsidRPr="00F05461">
        <w:rPr>
          <w:lang w:val="es-ES"/>
        </w:rPr>
        <w:t>por ciento</w:t>
      </w:r>
      <w:r w:rsidRPr="00F05461">
        <w:rPr>
          <w:lang w:val="es-ES"/>
        </w:rPr>
        <w:t xml:space="preserve">. Asimismo, el precio medio de la cesta de banda ancha fija cayó del </w:t>
      </w:r>
      <w:r w:rsidR="00403E30" w:rsidRPr="00F05461">
        <w:rPr>
          <w:lang w:val="es-ES"/>
        </w:rPr>
        <w:t>tres</w:t>
      </w:r>
      <w:r w:rsidRPr="00F05461">
        <w:rPr>
          <w:lang w:val="es-ES"/>
        </w:rPr>
        <w:t xml:space="preserve"> por ciento al 2,5</w:t>
      </w:r>
      <w:r w:rsidR="00DE4477" w:rsidRPr="00F05461">
        <w:rPr>
          <w:lang w:val="es-ES"/>
        </w:rPr>
        <w:t> </w:t>
      </w:r>
      <w:r w:rsidRPr="00F05461">
        <w:rPr>
          <w:lang w:val="es-ES"/>
        </w:rPr>
        <w:t xml:space="preserve">por ciento (véase la </w:t>
      </w:r>
      <w:hyperlink w:anchor="Figure_6" w:history="1">
        <w:r w:rsidRPr="00F05461">
          <w:rPr>
            <w:rStyle w:val="Hyperlink"/>
            <w:rFonts w:eastAsia="Times New Roman" w:cs="Times New Roman"/>
            <w:szCs w:val="20"/>
            <w:lang w:val="es-ES"/>
          </w:rPr>
          <w:t>Figura</w:t>
        </w:r>
        <w:r w:rsidR="002B22EB" w:rsidRPr="00F05461">
          <w:rPr>
            <w:rStyle w:val="Hyperlink"/>
            <w:rFonts w:eastAsia="Times New Roman" w:cs="Times New Roman"/>
            <w:szCs w:val="20"/>
            <w:lang w:val="es-ES"/>
          </w:rPr>
          <w:t> </w:t>
        </w:r>
        <w:r w:rsidRPr="00F05461">
          <w:rPr>
            <w:rStyle w:val="Hyperlink"/>
            <w:rFonts w:eastAsia="Times New Roman" w:cs="Times New Roman"/>
            <w:szCs w:val="20"/>
            <w:lang w:val="es-ES"/>
          </w:rPr>
          <w:t>6</w:t>
        </w:r>
      </w:hyperlink>
      <w:r w:rsidRPr="00F05461">
        <w:rPr>
          <w:lang w:val="es-ES"/>
        </w:rPr>
        <w:t xml:space="preserve">). Un número sin precedentes de economías alcanza ahora el objetivo de la Comisión de la Banda Ancha de mantener los costes de la banda ancha por debajo del </w:t>
      </w:r>
      <w:r w:rsidR="00403E30" w:rsidRPr="00F05461">
        <w:rPr>
          <w:lang w:val="es-ES"/>
        </w:rPr>
        <w:t>dos</w:t>
      </w:r>
      <w:r w:rsidRPr="00F05461">
        <w:rPr>
          <w:lang w:val="es-ES"/>
        </w:rPr>
        <w:t xml:space="preserve"> por ciento de la</w:t>
      </w:r>
      <w:r w:rsidR="002B22EB" w:rsidRPr="00F05461">
        <w:rPr>
          <w:lang w:val="es-ES"/>
        </w:rPr>
        <w:t> </w:t>
      </w:r>
      <w:r w:rsidRPr="00F05461">
        <w:rPr>
          <w:lang w:val="es-ES"/>
        </w:rPr>
        <w:t>RNB per cápita.</w:t>
      </w:r>
    </w:p>
    <w:p w14:paraId="721C1064" w14:textId="70050577" w:rsidR="005D7B2C" w:rsidRPr="00F05461" w:rsidRDefault="005D7B2C" w:rsidP="005D7B2C">
      <w:pPr>
        <w:rPr>
          <w:lang w:val="es-ES"/>
        </w:rPr>
      </w:pPr>
      <w:r w:rsidRPr="00F05461">
        <w:rPr>
          <w:lang w:val="es-ES"/>
        </w:rPr>
        <w:t>Si bien la banda ancha móvil resulta cada vez más asequible, la banda ancha fija sigue siendo inasequible para muchos, especialmente en las economías de renta baja. Los abonados en economías de renta media-baja pagan por la banda ancha móvil aproximadamente ocho veces más de sus ingresos que los de las economías de renta alta, mientras que los abonados de renta baja pagan 24</w:t>
      </w:r>
      <w:r w:rsidR="0020239C" w:rsidRPr="00F05461">
        <w:rPr>
          <w:lang w:val="es-ES"/>
        </w:rPr>
        <w:t> </w:t>
      </w:r>
      <w:r w:rsidRPr="00F05461">
        <w:rPr>
          <w:lang w:val="es-ES"/>
        </w:rPr>
        <w:t>veces más. Además, en los países de renta baja donde la banda ancha fija está disponible, el coste de suscripción puede representar casi un tercio de los ingresos de una persona de renta media. Incluso en los casos en que los servicios son asequibles en promedio, siguen existiendo considerables brechas dentro de los países. La asequibilidad sigue siendo un obstáculo fundamental para la conectividad universal y significativa, y está estrechamente vinculada a una infraestructura más débil, una menor inversión y niveles de renta baja.</w:t>
      </w:r>
    </w:p>
    <w:p w14:paraId="5A0560BD" w14:textId="05A99ACD" w:rsidR="005D7B2C" w:rsidRPr="00F05461" w:rsidRDefault="005D7B2C" w:rsidP="000A60EE">
      <w:pPr>
        <w:pStyle w:val="Figuretitle"/>
        <w:rPr>
          <w:lang w:val="es-ES"/>
        </w:rPr>
      </w:pPr>
      <w:r w:rsidRPr="00F05461">
        <w:rPr>
          <w:lang w:val="es-ES"/>
        </w:rPr>
        <w:lastRenderedPageBreak/>
        <w:t>Precio de la cesta de banda ancha móvil de datos solamente (5</w:t>
      </w:r>
      <w:r w:rsidR="00394833" w:rsidRPr="00F05461">
        <w:rPr>
          <w:lang w:val="es-ES"/>
        </w:rPr>
        <w:t> </w:t>
      </w:r>
      <w:r w:rsidRPr="00F05461">
        <w:rPr>
          <w:lang w:val="es-ES"/>
        </w:rPr>
        <w:t xml:space="preserve">GB) </w:t>
      </w:r>
      <w:r w:rsidR="0020239C" w:rsidRPr="00F05461">
        <w:rPr>
          <w:lang w:val="es-ES"/>
        </w:rPr>
        <w:br/>
      </w:r>
      <w:r w:rsidRPr="00F05461">
        <w:rPr>
          <w:lang w:val="es-ES"/>
        </w:rPr>
        <w:t>en porcentaje de la renta nacional bruta per cápita, 2022-2025</w:t>
      </w:r>
    </w:p>
    <w:p w14:paraId="78B2FD7A" w14:textId="3E607CD4" w:rsidR="00C50FE8" w:rsidRPr="00F05461" w:rsidRDefault="00C50FE8" w:rsidP="00C50FE8">
      <w:pPr>
        <w:pStyle w:val="Figure"/>
        <w:rPr>
          <w:lang w:val="es-ES"/>
        </w:rPr>
      </w:pPr>
      <w:r w:rsidRPr="00F05461">
        <w:rPr>
          <w:noProof/>
          <w:lang w:val="es-ES"/>
        </w:rPr>
        <w:drawing>
          <wp:inline distT="0" distB="0" distL="0" distR="0" wp14:anchorId="7D6C8D7C" wp14:editId="15504944">
            <wp:extent cx="5364000" cy="2318400"/>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64000" cy="2318400"/>
                    </a:xfrm>
                    <a:prstGeom prst="rect">
                      <a:avLst/>
                    </a:prstGeom>
                    <a:noFill/>
                  </pic:spPr>
                </pic:pic>
              </a:graphicData>
            </a:graphic>
          </wp:inline>
        </w:drawing>
      </w:r>
    </w:p>
    <w:p w14:paraId="60304892" w14:textId="12C2F0A3" w:rsidR="005D7B2C" w:rsidRPr="00F05461" w:rsidRDefault="005D7B2C" w:rsidP="0020239C">
      <w:pPr>
        <w:pStyle w:val="Figurelegend"/>
        <w:rPr>
          <w:i/>
          <w:iCs/>
          <w:color w:val="1F497D"/>
          <w:lang w:val="es-ES"/>
        </w:rPr>
      </w:pPr>
      <w:bookmarkStart w:id="39" w:name="Figure_5"/>
      <w:r w:rsidRPr="00F05461">
        <w:rPr>
          <w:i/>
          <w:iCs/>
          <w:color w:val="1F497D"/>
          <w:lang w:val="es-ES"/>
        </w:rPr>
        <w:t>Figura 5. Precio de la cesta de banda ancha móvil de datos solamente (5</w:t>
      </w:r>
      <w:r w:rsidR="00403E30" w:rsidRPr="00F05461">
        <w:rPr>
          <w:i/>
          <w:iCs/>
          <w:color w:val="1F497D"/>
          <w:lang w:val="es-ES"/>
        </w:rPr>
        <w:t> </w:t>
      </w:r>
      <w:r w:rsidRPr="00F05461">
        <w:rPr>
          <w:i/>
          <w:iCs/>
          <w:color w:val="1F497D"/>
          <w:lang w:val="es-ES"/>
        </w:rPr>
        <w:t>GB) en porcentaje de la renta nacional bruta per cápita, 2022-2025. I</w:t>
      </w:r>
      <w:r w:rsidR="007D3D33">
        <w:rPr>
          <w:i/>
          <w:iCs/>
          <w:color w:val="1F497D"/>
          <w:lang w:val="es-ES"/>
        </w:rPr>
        <w:t>nforme</w:t>
      </w:r>
      <w:r w:rsidRPr="00F05461">
        <w:rPr>
          <w:i/>
          <w:iCs/>
          <w:color w:val="1F497D"/>
          <w:lang w:val="es-ES"/>
        </w:rPr>
        <w:t xml:space="preserve"> Facts and Figures </w:t>
      </w:r>
      <w:r w:rsidR="007D3D33">
        <w:rPr>
          <w:i/>
          <w:iCs/>
          <w:color w:val="1F497D"/>
          <w:lang w:val="es-ES"/>
        </w:rPr>
        <w:t>de </w:t>
      </w:r>
      <w:r w:rsidRPr="00F05461">
        <w:rPr>
          <w:i/>
          <w:iCs/>
          <w:color w:val="1F497D"/>
          <w:lang w:val="es-ES"/>
        </w:rPr>
        <w:t xml:space="preserve">2025 </w:t>
      </w:r>
      <w:r w:rsidR="007D3D33">
        <w:rPr>
          <w:i/>
          <w:iCs/>
          <w:color w:val="1F497D"/>
          <w:lang w:val="es-ES"/>
        </w:rPr>
        <w:t xml:space="preserve">de la UIT </w:t>
      </w:r>
      <w:r w:rsidRPr="00F05461">
        <w:rPr>
          <w:i/>
          <w:iCs/>
          <w:color w:val="1F497D"/>
          <w:lang w:val="es-ES"/>
        </w:rPr>
        <w:t>(pág.</w:t>
      </w:r>
      <w:r w:rsidR="00674F50" w:rsidRPr="00F05461">
        <w:rPr>
          <w:i/>
          <w:iCs/>
          <w:color w:val="1F497D"/>
          <w:lang w:val="es-ES"/>
        </w:rPr>
        <w:t> </w:t>
      </w:r>
      <w:r w:rsidRPr="00F05461">
        <w:rPr>
          <w:i/>
          <w:iCs/>
          <w:color w:val="1F497D"/>
          <w:lang w:val="es-ES"/>
        </w:rPr>
        <w:t>20)</w:t>
      </w:r>
      <w:bookmarkEnd w:id="39"/>
      <w:r w:rsidRPr="00F05461">
        <w:rPr>
          <w:i/>
          <w:iCs/>
          <w:color w:val="1F497D"/>
          <w:lang w:val="es-ES"/>
        </w:rPr>
        <w:t xml:space="preserve">. </w:t>
      </w:r>
      <w:r w:rsidRPr="00F05461">
        <w:rPr>
          <w:i/>
          <w:iCs/>
          <w:color w:val="7F7F7F"/>
          <w:lang w:val="es-ES"/>
        </w:rPr>
        <w:t>Desde 2025, las estadísticas de precios de la banda ancha móvil se refieren a la cesta de banda ancha móvil de datos con un volumen mínimo mensual de 5</w:t>
      </w:r>
      <w:r w:rsidR="00403E30" w:rsidRPr="00F05461">
        <w:rPr>
          <w:i/>
          <w:iCs/>
          <w:color w:val="7F7F7F"/>
          <w:lang w:val="es-ES"/>
        </w:rPr>
        <w:t> </w:t>
      </w:r>
      <w:r w:rsidRPr="00F05461">
        <w:rPr>
          <w:i/>
          <w:iCs/>
          <w:color w:val="7F7F7F"/>
          <w:lang w:val="es-ES"/>
        </w:rPr>
        <w:t xml:space="preserve">GB, que se corresponde con la metodología adoptada por el Grupo de Expertos en Indicadores de Telecomunicaciones/TIC (GEIT) en 2024. A efectos de comparación, las estadísticas de 2024 aquí presentadas se basan en la recopilación experimental de datos de </w:t>
      </w:r>
      <w:r w:rsidR="00296F03" w:rsidRPr="00F05461">
        <w:rPr>
          <w:i/>
          <w:iCs/>
          <w:color w:val="7F7F7F"/>
          <w:lang w:val="es-ES"/>
        </w:rPr>
        <w:t>la UIT</w:t>
      </w:r>
      <w:r w:rsidRPr="00F05461">
        <w:rPr>
          <w:i/>
          <w:iCs/>
          <w:color w:val="7F7F7F"/>
          <w:lang w:val="es-ES"/>
        </w:rPr>
        <w:t xml:space="preserve"> para la misma cesta de banda ancha móvil de datos solamente. </w:t>
      </w:r>
      <w:hyperlink r:id="rId92" w:history="1">
        <w:r w:rsidRPr="00F05461">
          <w:rPr>
            <w:rStyle w:val="Hyperlink"/>
            <w:rFonts w:eastAsia="Times New Roman" w:cs="Times New Roman"/>
            <w:i/>
            <w:iCs/>
            <w:color w:val="7F7F7F"/>
            <w:szCs w:val="20"/>
            <w:u w:val="single"/>
            <w:lang w:val="es-ES"/>
          </w:rPr>
          <w:t>Gráfico interactivo</w:t>
        </w:r>
      </w:hyperlink>
    </w:p>
    <w:p w14:paraId="375CE7C0" w14:textId="517F5ADD" w:rsidR="005D7B2C" w:rsidRPr="00F05461" w:rsidRDefault="005D7B2C" w:rsidP="000A60EE">
      <w:pPr>
        <w:pStyle w:val="Figuretitle"/>
        <w:rPr>
          <w:lang w:val="es-ES"/>
        </w:rPr>
      </w:pPr>
      <w:r w:rsidRPr="00F05461">
        <w:rPr>
          <w:lang w:val="es-ES"/>
        </w:rPr>
        <w:t>Precio de la cesta de banda ancha fija (5</w:t>
      </w:r>
      <w:r w:rsidR="00403E30" w:rsidRPr="00F05461">
        <w:rPr>
          <w:lang w:val="es-ES"/>
        </w:rPr>
        <w:t> </w:t>
      </w:r>
      <w:r w:rsidRPr="00F05461">
        <w:rPr>
          <w:lang w:val="es-ES"/>
        </w:rPr>
        <w:t xml:space="preserve">GB) en porcentaje </w:t>
      </w:r>
      <w:r w:rsidR="0020239C" w:rsidRPr="00F05461">
        <w:rPr>
          <w:lang w:val="es-ES"/>
        </w:rPr>
        <w:br/>
      </w:r>
      <w:r w:rsidRPr="00F05461">
        <w:rPr>
          <w:lang w:val="es-ES"/>
        </w:rPr>
        <w:t>de la renta nacional bruta per cápita, 2022-2025</w:t>
      </w:r>
    </w:p>
    <w:p w14:paraId="52698DA3" w14:textId="46BDC05F" w:rsidR="00C50FE8" w:rsidRPr="00F05461" w:rsidRDefault="00C50FE8" w:rsidP="00C50FE8">
      <w:pPr>
        <w:pStyle w:val="Figure"/>
        <w:rPr>
          <w:noProof/>
          <w:lang w:val="es-ES"/>
        </w:rPr>
      </w:pPr>
      <w:r w:rsidRPr="00F05461">
        <w:rPr>
          <w:noProof/>
          <w:lang w:val="es-ES"/>
        </w:rPr>
        <w:drawing>
          <wp:inline distT="0" distB="0" distL="0" distR="0" wp14:anchorId="55FCA312" wp14:editId="7B46FBBC">
            <wp:extent cx="5364000" cy="2260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64000" cy="2260800"/>
                    </a:xfrm>
                    <a:prstGeom prst="rect">
                      <a:avLst/>
                    </a:prstGeom>
                    <a:noFill/>
                  </pic:spPr>
                </pic:pic>
              </a:graphicData>
            </a:graphic>
          </wp:inline>
        </w:drawing>
      </w:r>
    </w:p>
    <w:p w14:paraId="0C02AF6E" w14:textId="2D8678C4" w:rsidR="005D7B2C" w:rsidRPr="00F05461" w:rsidRDefault="005D7B2C" w:rsidP="000A60EE">
      <w:pPr>
        <w:pStyle w:val="Figurelegend"/>
        <w:jc w:val="center"/>
        <w:rPr>
          <w:i/>
          <w:iCs/>
          <w:color w:val="1F497D"/>
          <w:lang w:val="es-ES"/>
        </w:rPr>
      </w:pPr>
      <w:bookmarkStart w:id="40" w:name="Figure_6"/>
      <w:r w:rsidRPr="00F05461">
        <w:rPr>
          <w:i/>
          <w:iCs/>
          <w:color w:val="1F497D"/>
          <w:lang w:val="es-ES"/>
        </w:rPr>
        <w:t>Figura 6. Precio de la cesta de banda ancha móvil de datos solamente (5</w:t>
      </w:r>
      <w:r w:rsidR="00403E30" w:rsidRPr="00F05461">
        <w:rPr>
          <w:i/>
          <w:iCs/>
          <w:color w:val="1F497D"/>
          <w:lang w:val="es-ES"/>
        </w:rPr>
        <w:t> </w:t>
      </w:r>
      <w:r w:rsidRPr="00F05461">
        <w:rPr>
          <w:i/>
          <w:iCs/>
          <w:color w:val="1F497D"/>
          <w:lang w:val="es-ES"/>
        </w:rPr>
        <w:t>GB) en porcentaje de la renta nacional bruta per cápita, 2022-2025. I</w:t>
      </w:r>
      <w:r w:rsidR="007D3D33">
        <w:rPr>
          <w:i/>
          <w:iCs/>
          <w:color w:val="1F497D"/>
          <w:lang w:val="es-ES"/>
        </w:rPr>
        <w:t>nforme</w:t>
      </w:r>
      <w:r w:rsidRPr="00F05461">
        <w:rPr>
          <w:i/>
          <w:iCs/>
          <w:color w:val="1F497D"/>
          <w:lang w:val="es-ES"/>
        </w:rPr>
        <w:t xml:space="preserve"> Facts and Figures </w:t>
      </w:r>
      <w:r w:rsidR="007D3D33">
        <w:rPr>
          <w:i/>
          <w:iCs/>
          <w:color w:val="1F497D"/>
          <w:lang w:val="es-ES"/>
        </w:rPr>
        <w:t>de</w:t>
      </w:r>
      <w:r w:rsidR="007B31AB">
        <w:rPr>
          <w:i/>
          <w:iCs/>
          <w:color w:val="1F497D"/>
          <w:lang w:val="es-ES"/>
        </w:rPr>
        <w:t> </w:t>
      </w:r>
      <w:r w:rsidRPr="00F05461">
        <w:rPr>
          <w:i/>
          <w:iCs/>
          <w:color w:val="1F497D"/>
          <w:lang w:val="es-ES"/>
        </w:rPr>
        <w:t>2025</w:t>
      </w:r>
      <w:r w:rsidR="007D3D33">
        <w:rPr>
          <w:i/>
          <w:iCs/>
          <w:color w:val="1F497D"/>
          <w:lang w:val="es-ES"/>
        </w:rPr>
        <w:t xml:space="preserve"> de la</w:t>
      </w:r>
      <w:r w:rsidR="007B31AB">
        <w:rPr>
          <w:i/>
          <w:iCs/>
          <w:color w:val="1F497D"/>
          <w:lang w:val="es-ES"/>
        </w:rPr>
        <w:t> </w:t>
      </w:r>
      <w:r w:rsidR="007D3D33">
        <w:rPr>
          <w:i/>
          <w:iCs/>
          <w:color w:val="1F497D"/>
          <w:lang w:val="es-ES"/>
        </w:rPr>
        <w:t>UIT</w:t>
      </w:r>
      <w:r w:rsidRPr="00F05461">
        <w:rPr>
          <w:i/>
          <w:iCs/>
          <w:color w:val="1F497D"/>
          <w:lang w:val="es-ES"/>
        </w:rPr>
        <w:t xml:space="preserve"> (pág.</w:t>
      </w:r>
      <w:r w:rsidR="0020239C" w:rsidRPr="00F05461">
        <w:rPr>
          <w:i/>
          <w:iCs/>
          <w:color w:val="1F497D"/>
          <w:lang w:val="es-ES"/>
        </w:rPr>
        <w:t> </w:t>
      </w:r>
      <w:r w:rsidRPr="00F05461">
        <w:rPr>
          <w:i/>
          <w:iCs/>
          <w:color w:val="1F497D"/>
          <w:lang w:val="es-ES"/>
        </w:rPr>
        <w:t xml:space="preserve">21). </w:t>
      </w:r>
      <w:hyperlink r:id="rId94" w:history="1">
        <w:r w:rsidRPr="00F05461">
          <w:rPr>
            <w:rStyle w:val="Hyperlink"/>
            <w:rFonts w:eastAsia="Times New Roman" w:cs="Times New Roman"/>
            <w:i/>
            <w:iCs/>
            <w:color w:val="1F497D"/>
            <w:szCs w:val="20"/>
            <w:u w:val="single"/>
            <w:lang w:val="es-ES"/>
          </w:rPr>
          <w:t>Gráfico interactivo</w:t>
        </w:r>
      </w:hyperlink>
    </w:p>
    <w:bookmarkEnd w:id="40"/>
    <w:p w14:paraId="5E10CF2D" w14:textId="0925DAB6" w:rsidR="005D7B2C" w:rsidRPr="00F05461" w:rsidRDefault="005D7B2C" w:rsidP="00403E30">
      <w:pPr>
        <w:pStyle w:val="Normalaftertitle"/>
        <w:rPr>
          <w:lang w:val="es-ES"/>
        </w:rPr>
      </w:pPr>
      <w:r w:rsidRPr="00F05461">
        <w:rPr>
          <w:lang w:val="es-ES"/>
        </w:rPr>
        <w:t xml:space="preserve">La asequibilidad constituye un factor esencial para lograr una conectividad significativa. El indicador actual se basa en la </w:t>
      </w:r>
      <w:hyperlink r:id="rId95" w:history="1">
        <w:r w:rsidRPr="00F05461">
          <w:rPr>
            <w:rStyle w:val="Hyperlink"/>
            <w:rFonts w:eastAsia="Times New Roman" w:cs="Times New Roman"/>
            <w:szCs w:val="20"/>
            <w:lang w:val="es-ES"/>
          </w:rPr>
          <w:t xml:space="preserve">metodología de </w:t>
        </w:r>
        <w:r w:rsidR="00296F03" w:rsidRPr="00F05461">
          <w:rPr>
            <w:rStyle w:val="Hyperlink"/>
            <w:rFonts w:eastAsia="Times New Roman" w:cs="Times New Roman"/>
            <w:szCs w:val="20"/>
            <w:lang w:val="es-ES"/>
          </w:rPr>
          <w:t>la UIT</w:t>
        </w:r>
      </w:hyperlink>
      <w:r w:rsidRPr="00F05461">
        <w:rPr>
          <w:lang w:val="es-ES"/>
        </w:rPr>
        <w:t xml:space="preserve"> establecida (</w:t>
      </w:r>
      <w:r w:rsidRPr="00F05461">
        <w:rPr>
          <w:i/>
          <w:iCs/>
          <w:lang w:val="es-ES"/>
        </w:rPr>
        <w:t>cestas de precios</w:t>
      </w:r>
      <w:r w:rsidRPr="00F05461">
        <w:rPr>
          <w:lang w:val="es-ES"/>
        </w:rPr>
        <w:t xml:space="preserve">), pero habrá de revisarse en el proceso continuo de elaboración del Plan Estratégico de </w:t>
      </w:r>
      <w:r w:rsidR="00296F03" w:rsidRPr="00F05461">
        <w:rPr>
          <w:lang w:val="es-ES"/>
        </w:rPr>
        <w:t>la UIT</w:t>
      </w:r>
      <w:r w:rsidRPr="00F05461">
        <w:rPr>
          <w:lang w:val="es-ES"/>
        </w:rPr>
        <w:t xml:space="preserve"> para 2028-2031. La referencia a los «países en desarrollo» debería eliminarse, dado que esta clasificación ya no se utiliza y la asequibilidad debería supervisarse a nivel mundial. Asimismo, la asequibilidad debería medirse por separado para los servicios de banda ancha fijos y móviles, dado que sus estructuras de costes son diferentes. Ambos deberían seguir expresándose como porcentaje </w:t>
      </w:r>
      <w:r w:rsidR="00403E30" w:rsidRPr="00F05461">
        <w:rPr>
          <w:lang w:val="es-ES"/>
        </w:rPr>
        <w:t xml:space="preserve">de </w:t>
      </w:r>
      <w:r w:rsidRPr="00F05461">
        <w:rPr>
          <w:lang w:val="es-ES"/>
        </w:rPr>
        <w:t>la</w:t>
      </w:r>
      <w:r w:rsidR="00394833" w:rsidRPr="00F05461">
        <w:rPr>
          <w:lang w:val="es-ES"/>
        </w:rPr>
        <w:t> </w:t>
      </w:r>
      <w:r w:rsidRPr="00F05461">
        <w:rPr>
          <w:lang w:val="es-ES"/>
        </w:rPr>
        <w:t>RNB per cápita.</w:t>
      </w:r>
    </w:p>
    <w:p w14:paraId="45E8D55E" w14:textId="7A07722C" w:rsidR="005D7B2C" w:rsidRPr="00F05461" w:rsidRDefault="005D7B2C" w:rsidP="00FD0E79">
      <w:pPr>
        <w:pStyle w:val="Headingb"/>
      </w:pPr>
      <w:r w:rsidRPr="00F05461">
        <w:lastRenderedPageBreak/>
        <w:t xml:space="preserve">Finalidad 1.3: </w:t>
      </w:r>
      <w:r w:rsidR="0020239C" w:rsidRPr="00F05461">
        <w:t>a</w:t>
      </w:r>
      <w:r w:rsidRPr="00F05461">
        <w:t>cceso de banda ancha en todos los hogares</w:t>
      </w:r>
    </w:p>
    <w:p w14:paraId="104E5483" w14:textId="49798A94" w:rsidR="005D7B2C" w:rsidRPr="00F05461" w:rsidRDefault="005D7B2C" w:rsidP="005D7B2C">
      <w:pPr>
        <w:rPr>
          <w:lang w:val="es-ES"/>
        </w:rPr>
      </w:pPr>
      <w:r w:rsidRPr="00F05461">
        <w:rPr>
          <w:lang w:val="es-ES"/>
        </w:rPr>
        <w:t xml:space="preserve">El acceso a Internet en los hogares sigue siendo una dimensión importante de la conectividad, pero cada vez resulta más difícil medirlo con precisión. La distinción entre acceso individual y doméstico es cada vez menos significativa debido al acceso móvil generalizado y a los dispositivos compartidos. Los encuestados suelen interpretar de forma incoherente el «acceso a Internet en el hogar», lo que dificulta cada vez más las mediciones y disminuye la disponibilidad de datos. Además, no existen datos comparables a nivel internacional sobre el número de hogares, lo cual resulta indispensable para calcular el indicador. Por consiguiente, </w:t>
      </w:r>
      <w:r w:rsidR="00296F03" w:rsidRPr="00F05461">
        <w:rPr>
          <w:lang w:val="es-ES"/>
        </w:rPr>
        <w:t>la UIT</w:t>
      </w:r>
      <w:r w:rsidRPr="00F05461">
        <w:rPr>
          <w:lang w:val="es-ES"/>
        </w:rPr>
        <w:t xml:space="preserve"> ya no produce datos agregados globales o regionales para este indicador.</w:t>
      </w:r>
    </w:p>
    <w:p w14:paraId="280CE581" w14:textId="654D113A" w:rsidR="005D7B2C" w:rsidRPr="00F05461" w:rsidRDefault="005D7B2C" w:rsidP="005D7B2C">
      <w:pPr>
        <w:rPr>
          <w:lang w:val="es-ES"/>
        </w:rPr>
      </w:pPr>
      <w:r w:rsidRPr="00F05461">
        <w:rPr>
          <w:lang w:val="es-ES"/>
        </w:rPr>
        <w:t>En 2024, 167 países habían establecido planes de banda ancha o estrategias digitales, cifra que está estancada desde 2019 y ha experimentado una reducción respecto de los 170</w:t>
      </w:r>
      <w:r w:rsidR="00394833" w:rsidRPr="00F05461">
        <w:rPr>
          <w:lang w:val="es-ES"/>
        </w:rPr>
        <w:t> </w:t>
      </w:r>
      <w:r w:rsidRPr="00F05461">
        <w:rPr>
          <w:lang w:val="es-ES"/>
        </w:rPr>
        <w:t>países en 2022. Para promover la conectividad mundial, es necesario redoblar los esfuerzos para alentar a los 20 o 30</w:t>
      </w:r>
      <w:r w:rsidR="00394833" w:rsidRPr="00F05461">
        <w:rPr>
          <w:lang w:val="es-ES"/>
        </w:rPr>
        <w:t> </w:t>
      </w:r>
      <w:r w:rsidRPr="00F05461">
        <w:rPr>
          <w:lang w:val="es-ES"/>
        </w:rPr>
        <w:t>países restantes a que elaboren y adopten sus planes nacionales de banda ancha.</w:t>
      </w:r>
    </w:p>
    <w:p w14:paraId="11CD5D62" w14:textId="04413557" w:rsidR="005D7B2C" w:rsidRPr="00F05461" w:rsidRDefault="005D7B2C" w:rsidP="00FD0E79">
      <w:pPr>
        <w:pStyle w:val="Headingb"/>
      </w:pPr>
      <w:r w:rsidRPr="00F05461">
        <w:t xml:space="preserve">Finalidad 1.4: </w:t>
      </w:r>
      <w:r w:rsidR="0020239C" w:rsidRPr="00F05461">
        <w:t>p</w:t>
      </w:r>
      <w:r w:rsidRPr="00F05461">
        <w:t>ropiedad y acceso a dispositivos habilitados para Internet</w:t>
      </w:r>
    </w:p>
    <w:p w14:paraId="0E843213" w14:textId="7873A63E" w:rsidR="005D7B2C" w:rsidRPr="00F05461" w:rsidRDefault="005D7B2C" w:rsidP="00D0679E">
      <w:pPr>
        <w:keepNext/>
        <w:keepLines/>
        <w:rPr>
          <w:lang w:val="es-ES"/>
        </w:rPr>
      </w:pPr>
      <w:r w:rsidRPr="00F05461">
        <w:rPr>
          <w:lang w:val="es-ES"/>
        </w:rPr>
        <w:t>A escala mundial, el 82 </w:t>
      </w:r>
      <w:r w:rsidR="00403E30" w:rsidRPr="00F05461">
        <w:rPr>
          <w:lang w:val="es-ES"/>
        </w:rPr>
        <w:t>por ciento</w:t>
      </w:r>
      <w:r w:rsidRPr="00F05461">
        <w:rPr>
          <w:lang w:val="es-ES"/>
        </w:rPr>
        <w:t xml:space="preserve"> de las personas de </w:t>
      </w:r>
      <w:r w:rsidR="00DE4477" w:rsidRPr="00F05461">
        <w:rPr>
          <w:lang w:val="es-ES"/>
        </w:rPr>
        <w:t>diez</w:t>
      </w:r>
      <w:r w:rsidRPr="00F05461">
        <w:rPr>
          <w:lang w:val="es-ES"/>
        </w:rPr>
        <w:t xml:space="preserve"> o más años posee un teléfono móvil. La propiedad se considera universal cuando el </w:t>
      </w:r>
      <w:r w:rsidR="00403E30" w:rsidRPr="00F05461">
        <w:rPr>
          <w:lang w:val="es-ES"/>
        </w:rPr>
        <w:t>í</w:t>
      </w:r>
      <w:r w:rsidRPr="00F05461">
        <w:rPr>
          <w:lang w:val="es-ES"/>
        </w:rPr>
        <w:t>ndice de penetración alcanza el 95</w:t>
      </w:r>
      <w:r w:rsidR="00394833" w:rsidRPr="00F05461">
        <w:rPr>
          <w:lang w:val="es-ES"/>
        </w:rPr>
        <w:t> </w:t>
      </w:r>
      <w:r w:rsidR="00403E30" w:rsidRPr="00F05461">
        <w:rPr>
          <w:lang w:val="es-ES"/>
        </w:rPr>
        <w:t>por ciento</w:t>
      </w:r>
      <w:r w:rsidRPr="00F05461">
        <w:rPr>
          <w:lang w:val="es-ES"/>
        </w:rPr>
        <w:t>. Este umbral se ha alcanzado en las economías de renta alta, mientras que las economías de renta media-alta ya han superado el umbral del 90</w:t>
      </w:r>
      <w:r w:rsidR="00DE4477" w:rsidRPr="00F05461">
        <w:rPr>
          <w:lang w:val="es-ES"/>
        </w:rPr>
        <w:t> </w:t>
      </w:r>
      <w:r w:rsidRPr="00F05461">
        <w:rPr>
          <w:lang w:val="es-ES"/>
        </w:rPr>
        <w:t>por ciento. En las economías de renta baja, s</w:t>
      </w:r>
      <w:r w:rsidR="00BF0FFC" w:rsidRPr="00F05461">
        <w:rPr>
          <w:lang w:val="es-ES"/>
        </w:rPr>
        <w:t>o</w:t>
      </w:r>
      <w:r w:rsidRPr="00F05461">
        <w:rPr>
          <w:lang w:val="es-ES"/>
        </w:rPr>
        <w:t>lo el 53 </w:t>
      </w:r>
      <w:r w:rsidR="00403E30" w:rsidRPr="00F05461">
        <w:rPr>
          <w:lang w:val="es-ES"/>
        </w:rPr>
        <w:t>por ciento</w:t>
      </w:r>
      <w:r w:rsidRPr="00F05461">
        <w:rPr>
          <w:lang w:val="es-ES"/>
        </w:rPr>
        <w:t xml:space="preserve"> de la población de </w:t>
      </w:r>
      <w:r w:rsidR="00DE4477" w:rsidRPr="00F05461">
        <w:rPr>
          <w:lang w:val="es-ES"/>
        </w:rPr>
        <w:t>diez</w:t>
      </w:r>
      <w:r w:rsidRPr="00F05461">
        <w:rPr>
          <w:lang w:val="es-ES"/>
        </w:rPr>
        <w:t xml:space="preserve"> o más años posee un teléfono móvil (véase la </w:t>
      </w:r>
      <w:hyperlink w:anchor="Figure_7" w:history="1">
        <w:r w:rsidR="00394833" w:rsidRPr="00F05461">
          <w:rPr>
            <w:rStyle w:val="Hyperlink"/>
            <w:rFonts w:eastAsia="Times New Roman" w:cs="Times New Roman"/>
            <w:szCs w:val="20"/>
            <w:lang w:val="es-ES"/>
          </w:rPr>
          <w:t>F</w:t>
        </w:r>
        <w:r w:rsidRPr="00F05461">
          <w:rPr>
            <w:rStyle w:val="Hyperlink"/>
            <w:rFonts w:eastAsia="Times New Roman" w:cs="Times New Roman"/>
            <w:szCs w:val="20"/>
            <w:lang w:val="es-ES"/>
          </w:rPr>
          <w:t>igura</w:t>
        </w:r>
        <w:r w:rsidR="00394833" w:rsidRPr="00F05461">
          <w:rPr>
            <w:rStyle w:val="Hyperlink"/>
            <w:rFonts w:eastAsia="Times New Roman" w:cs="Times New Roman"/>
            <w:szCs w:val="20"/>
            <w:lang w:val="es-ES"/>
          </w:rPr>
          <w:t> </w:t>
        </w:r>
        <w:r w:rsidRPr="00F05461">
          <w:rPr>
            <w:rStyle w:val="Hyperlink"/>
            <w:rFonts w:eastAsia="Times New Roman" w:cs="Times New Roman"/>
            <w:szCs w:val="20"/>
            <w:lang w:val="es-ES"/>
          </w:rPr>
          <w:t>7</w:t>
        </w:r>
      </w:hyperlink>
      <w:r w:rsidRPr="00F05461">
        <w:rPr>
          <w:lang w:val="es-ES"/>
        </w:rPr>
        <w:t>).</w:t>
      </w:r>
    </w:p>
    <w:p w14:paraId="0D1303D5" w14:textId="77777777" w:rsidR="005D7B2C" w:rsidRPr="00F05461" w:rsidRDefault="005D7B2C" w:rsidP="006B377D">
      <w:pPr>
        <w:pStyle w:val="Figuretitle"/>
        <w:rPr>
          <w:lang w:val="es-ES"/>
        </w:rPr>
      </w:pPr>
      <w:r w:rsidRPr="00F05461">
        <w:rPr>
          <w:lang w:val="es-ES"/>
        </w:rPr>
        <w:t>Porcentaje de personas que poseen un teléfono móvil y utilizan Internet, 2025</w:t>
      </w:r>
    </w:p>
    <w:p w14:paraId="759483A0" w14:textId="5CA3B576" w:rsidR="006B377D" w:rsidRPr="00F05461" w:rsidRDefault="006B377D" w:rsidP="006B377D">
      <w:pPr>
        <w:pStyle w:val="Figure"/>
        <w:rPr>
          <w:lang w:val="es-ES"/>
        </w:rPr>
      </w:pPr>
      <w:r w:rsidRPr="00F05461">
        <w:rPr>
          <w:noProof/>
          <w:lang w:val="es-ES"/>
        </w:rPr>
        <w:drawing>
          <wp:inline distT="0" distB="0" distL="0" distR="0" wp14:anchorId="673E3591" wp14:editId="505CCEB6">
            <wp:extent cx="5364000" cy="23472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64000" cy="2347200"/>
                    </a:xfrm>
                    <a:prstGeom prst="rect">
                      <a:avLst/>
                    </a:prstGeom>
                    <a:noFill/>
                  </pic:spPr>
                </pic:pic>
              </a:graphicData>
            </a:graphic>
          </wp:inline>
        </w:drawing>
      </w:r>
    </w:p>
    <w:p w14:paraId="26BBB00D" w14:textId="4BF175D0" w:rsidR="005D7B2C" w:rsidRPr="00F05461" w:rsidRDefault="005D7B2C" w:rsidP="007D3D33">
      <w:pPr>
        <w:pStyle w:val="Figurelegend"/>
        <w:jc w:val="center"/>
        <w:rPr>
          <w:i/>
          <w:iCs/>
          <w:color w:val="1F497D"/>
          <w:lang w:val="es-ES"/>
        </w:rPr>
      </w:pPr>
      <w:bookmarkStart w:id="41" w:name="Figure_7"/>
      <w:r w:rsidRPr="00F05461">
        <w:rPr>
          <w:i/>
          <w:iCs/>
          <w:color w:val="1F497D"/>
          <w:lang w:val="es-ES"/>
        </w:rPr>
        <w:t>Figura</w:t>
      </w:r>
      <w:r w:rsidR="00356B6E" w:rsidRPr="00F05461">
        <w:rPr>
          <w:i/>
          <w:iCs/>
          <w:color w:val="1F497D"/>
          <w:lang w:val="es-ES"/>
        </w:rPr>
        <w:t> </w:t>
      </w:r>
      <w:r w:rsidRPr="00F05461">
        <w:rPr>
          <w:i/>
          <w:iCs/>
          <w:color w:val="1F497D"/>
          <w:lang w:val="es-ES"/>
        </w:rPr>
        <w:t>7. Porcentaje de personas que poseen un teléfono móvil y utilizan Internet, 2025. I</w:t>
      </w:r>
      <w:r w:rsidR="007D3D33">
        <w:rPr>
          <w:i/>
          <w:iCs/>
          <w:color w:val="1F497D"/>
          <w:lang w:val="es-ES"/>
        </w:rPr>
        <w:t>nforme</w:t>
      </w:r>
      <w:r w:rsidRPr="00F05461">
        <w:rPr>
          <w:i/>
          <w:iCs/>
          <w:color w:val="1F497D"/>
          <w:lang w:val="es-ES"/>
        </w:rPr>
        <w:t xml:space="preserve"> Facts and Figures </w:t>
      </w:r>
      <w:r w:rsidR="007D3D33">
        <w:rPr>
          <w:i/>
          <w:iCs/>
          <w:color w:val="1F497D"/>
          <w:lang w:val="es-ES"/>
        </w:rPr>
        <w:t>de </w:t>
      </w:r>
      <w:r w:rsidRPr="00F05461">
        <w:rPr>
          <w:i/>
          <w:iCs/>
          <w:color w:val="1F497D"/>
          <w:lang w:val="es-ES"/>
        </w:rPr>
        <w:t>202</w:t>
      </w:r>
      <w:r w:rsidR="00DE4477" w:rsidRPr="00F05461">
        <w:rPr>
          <w:i/>
          <w:iCs/>
          <w:color w:val="1F497D"/>
          <w:lang w:val="es-ES"/>
        </w:rPr>
        <w:t>5</w:t>
      </w:r>
      <w:r w:rsidRPr="00F05461">
        <w:rPr>
          <w:i/>
          <w:iCs/>
          <w:color w:val="1F497D"/>
          <w:lang w:val="es-ES"/>
        </w:rPr>
        <w:t xml:space="preserve"> </w:t>
      </w:r>
      <w:r w:rsidR="007D3D33">
        <w:rPr>
          <w:i/>
          <w:iCs/>
          <w:color w:val="1F497D"/>
          <w:lang w:val="es-ES"/>
        </w:rPr>
        <w:t xml:space="preserve">de la UIT </w:t>
      </w:r>
      <w:r w:rsidRPr="00F05461">
        <w:rPr>
          <w:i/>
          <w:iCs/>
          <w:color w:val="1F497D"/>
          <w:lang w:val="es-ES"/>
        </w:rPr>
        <w:t>(pág.</w:t>
      </w:r>
      <w:r w:rsidR="00394833" w:rsidRPr="00F05461">
        <w:rPr>
          <w:i/>
          <w:iCs/>
          <w:color w:val="1F497D"/>
          <w:lang w:val="es-ES"/>
        </w:rPr>
        <w:t> </w:t>
      </w:r>
      <w:r w:rsidRPr="00F05461">
        <w:rPr>
          <w:i/>
          <w:iCs/>
          <w:color w:val="1F497D"/>
          <w:lang w:val="es-ES"/>
        </w:rPr>
        <w:t xml:space="preserve">26). </w:t>
      </w:r>
      <w:r w:rsidRPr="00F05461">
        <w:rPr>
          <w:i/>
          <w:iCs/>
          <w:color w:val="7F7F7F"/>
          <w:lang w:val="es-ES"/>
        </w:rPr>
        <w:t xml:space="preserve">La posesión de un teléfono móvil se refiere a las personas de 10 o más años. </w:t>
      </w:r>
      <w:hyperlink r:id="rId97" w:anchor="chart-2" w:history="1">
        <w:r w:rsidRPr="00F05461">
          <w:rPr>
            <w:rStyle w:val="Hyperlink"/>
            <w:rFonts w:eastAsia="Times New Roman" w:cs="Times New Roman"/>
            <w:i/>
            <w:iCs/>
            <w:color w:val="7F7F7F"/>
            <w:szCs w:val="20"/>
            <w:u w:val="single"/>
            <w:lang w:val="es-ES"/>
          </w:rPr>
          <w:t>Gráfico interactivo</w:t>
        </w:r>
      </w:hyperlink>
    </w:p>
    <w:bookmarkEnd w:id="41"/>
    <w:p w14:paraId="095D9830" w14:textId="4B6D7CF2" w:rsidR="005D7B2C" w:rsidRPr="00F05461" w:rsidRDefault="005D7B2C" w:rsidP="00FD0E79">
      <w:pPr>
        <w:pStyle w:val="Normalaftertitle"/>
        <w:rPr>
          <w:lang w:val="es-ES"/>
        </w:rPr>
      </w:pPr>
      <w:r w:rsidRPr="00F05461">
        <w:rPr>
          <w:lang w:val="es-ES"/>
        </w:rPr>
        <w:t xml:space="preserve">El acceso a dispositivos con Internet es esencial para una conectividad significativa, pero los indicadores actuales (porcentaje de personas que utilizan un teléfono inteligente y porcentaje de personas que poseen un teléfono inteligente) plantean varios problemas. Se solapan parcialmente y la disponibilidad de datos es escasa. Muchos países no recopilan periódicamente datos sobre la posesión o utilización de teléfonos inteligentes y no se dispone de datos agregados a escala mundial o regional. En el Plan Estratégico para </w:t>
      </w:r>
      <w:r w:rsidRPr="00F05461">
        <w:rPr>
          <w:lang w:val="es-ES"/>
        </w:rPr>
        <w:lastRenderedPageBreak/>
        <w:t>2028</w:t>
      </w:r>
      <w:r w:rsidR="00394833" w:rsidRPr="00F05461">
        <w:rPr>
          <w:lang w:val="es-ES"/>
        </w:rPr>
        <w:noBreakHyphen/>
      </w:r>
      <w:r w:rsidRPr="00F05461">
        <w:rPr>
          <w:lang w:val="es-ES"/>
        </w:rPr>
        <w:t>2031 debería utilizarse un indicador más sencillo y de mayor disponibilidad. El indicador de los</w:t>
      </w:r>
      <w:r w:rsidR="00394833" w:rsidRPr="00F05461">
        <w:rPr>
          <w:lang w:val="es-ES"/>
        </w:rPr>
        <w:t> </w:t>
      </w:r>
      <w:r w:rsidRPr="00F05461">
        <w:rPr>
          <w:lang w:val="es-ES"/>
        </w:rPr>
        <w:t>ODS sobre la posesión de teléfonos móviles es una alternativa adecuada, ya que es metodológicamente sólido, se recopila en más países y permite desglosarlo por género y otras características.</w:t>
      </w:r>
    </w:p>
    <w:p w14:paraId="66A420C5" w14:textId="60A3DE3C" w:rsidR="005D7B2C" w:rsidRPr="00F05461" w:rsidRDefault="005D7B2C" w:rsidP="00FD0E79">
      <w:pPr>
        <w:pStyle w:val="Headingb"/>
      </w:pPr>
      <w:r w:rsidRPr="00F05461">
        <w:t xml:space="preserve">Finalidad 1.5: </w:t>
      </w:r>
      <w:r w:rsidR="0020239C" w:rsidRPr="00F05461">
        <w:t>a</w:t>
      </w:r>
      <w:r w:rsidRPr="00F05461">
        <w:t>cceso a Internet para todas las escuelas</w:t>
      </w:r>
    </w:p>
    <w:p w14:paraId="418A1805" w14:textId="31FBCF31" w:rsidR="005D7B2C" w:rsidRPr="00F05461" w:rsidRDefault="005D7B2C" w:rsidP="005D7B2C">
      <w:pPr>
        <w:rPr>
          <w:lang w:val="es-ES"/>
        </w:rPr>
      </w:pPr>
      <w:r w:rsidRPr="00F05461">
        <w:rPr>
          <w:lang w:val="es-ES"/>
        </w:rPr>
        <w:t xml:space="preserve">Estos datos los recopila el Instituto de Estadística de la UNESCO (IEU) y los siguientes indicadores están disponibles en </w:t>
      </w:r>
      <w:hyperlink r:id="rId98" w:history="1">
        <w:r w:rsidRPr="00F05461">
          <w:rPr>
            <w:rStyle w:val="Hyperlink"/>
            <w:rFonts w:eastAsia="Times New Roman" w:cs="Times New Roman"/>
            <w:szCs w:val="20"/>
            <w:lang w:val="es-ES"/>
          </w:rPr>
          <w:t>este tablero</w:t>
        </w:r>
      </w:hyperlink>
      <w:r w:rsidRPr="00F05461">
        <w:rPr>
          <w:lang w:val="es-ES"/>
        </w:rPr>
        <w:t xml:space="preserve"> (en el Indicador</w:t>
      </w:r>
      <w:r w:rsidR="00394833" w:rsidRPr="00F05461">
        <w:rPr>
          <w:lang w:val="es-ES"/>
        </w:rPr>
        <w:t> </w:t>
      </w:r>
      <w:r w:rsidRPr="00F05461">
        <w:rPr>
          <w:lang w:val="es-ES"/>
        </w:rPr>
        <w:t>4a, Meta</w:t>
      </w:r>
      <w:r w:rsidR="00394833" w:rsidRPr="00F05461">
        <w:rPr>
          <w:lang w:val="es-ES"/>
        </w:rPr>
        <w:t> </w:t>
      </w:r>
      <w:r w:rsidRPr="00F05461">
        <w:rPr>
          <w:lang w:val="es-ES"/>
        </w:rPr>
        <w:t>4a.1):</w:t>
      </w:r>
    </w:p>
    <w:p w14:paraId="69C84FEE" w14:textId="6DC6CEB1" w:rsidR="005D7B2C" w:rsidRPr="00F05461" w:rsidRDefault="00DE66DC" w:rsidP="00DE66DC">
      <w:pPr>
        <w:pStyle w:val="enumlev1"/>
        <w:rPr>
          <w:lang w:val="es-ES"/>
        </w:rPr>
      </w:pPr>
      <w:r w:rsidRPr="00F05461">
        <w:rPr>
          <w:lang w:val="es-ES"/>
        </w:rPr>
        <w:t>•</w:t>
      </w:r>
      <w:r w:rsidRPr="00F05461">
        <w:rPr>
          <w:lang w:val="es-ES"/>
        </w:rPr>
        <w:tab/>
      </w:r>
      <w:r w:rsidR="00394833" w:rsidRPr="00F05461">
        <w:rPr>
          <w:lang w:val="es-ES"/>
        </w:rPr>
        <w:t>p</w:t>
      </w:r>
      <w:r w:rsidR="005D7B2C" w:rsidRPr="00F05461">
        <w:rPr>
          <w:lang w:val="es-ES"/>
        </w:rPr>
        <w:t>orcentaje de escuelas con acceso a Internet a efectos pedagógicos</w:t>
      </w:r>
      <w:r w:rsidR="00394833" w:rsidRPr="00F05461">
        <w:rPr>
          <w:lang w:val="es-ES"/>
        </w:rPr>
        <w:t>;</w:t>
      </w:r>
    </w:p>
    <w:p w14:paraId="44AF4EAD" w14:textId="7B186606" w:rsidR="005D7B2C" w:rsidRPr="00F05461" w:rsidRDefault="00DE66DC" w:rsidP="00DE66DC">
      <w:pPr>
        <w:pStyle w:val="enumlev1"/>
        <w:rPr>
          <w:lang w:val="es-ES"/>
        </w:rPr>
      </w:pPr>
      <w:r w:rsidRPr="00F05461">
        <w:rPr>
          <w:lang w:val="es-ES"/>
        </w:rPr>
        <w:t>•</w:t>
      </w:r>
      <w:r w:rsidRPr="00F05461">
        <w:rPr>
          <w:lang w:val="es-ES"/>
        </w:rPr>
        <w:tab/>
      </w:r>
      <w:r w:rsidR="00394833" w:rsidRPr="00F05461">
        <w:rPr>
          <w:lang w:val="es-ES"/>
        </w:rPr>
        <w:t>p</w:t>
      </w:r>
      <w:r w:rsidR="005D7B2C" w:rsidRPr="00F05461">
        <w:rPr>
          <w:lang w:val="es-ES"/>
        </w:rPr>
        <w:t>orcentaje de escuelas con acceso a computadores a efectos pedagógicos.</w:t>
      </w:r>
    </w:p>
    <w:p w14:paraId="146A2E4C" w14:textId="1576D992" w:rsidR="005D7B2C" w:rsidRPr="00F05461" w:rsidRDefault="005D7B2C" w:rsidP="005D7B2C">
      <w:pPr>
        <w:rPr>
          <w:lang w:val="es-ES"/>
        </w:rPr>
      </w:pPr>
      <w:r w:rsidRPr="00F05461">
        <w:rPr>
          <w:lang w:val="es-ES"/>
        </w:rPr>
        <w:t>Los datos están disponibles por país y desglosados por nivel (es decir, primaria, primer ciclo de secundaria, segundo ciclo de secundaria). El último año disponible es 2024. También se dispone de estimaciones regionales y mundiales.</w:t>
      </w:r>
    </w:p>
    <w:p w14:paraId="487EDF38" w14:textId="38832C21" w:rsidR="005D7B2C" w:rsidRPr="00F05461" w:rsidRDefault="005D7B2C" w:rsidP="006B377D">
      <w:pPr>
        <w:pStyle w:val="Figuretitle"/>
        <w:rPr>
          <w:lang w:val="es-ES"/>
        </w:rPr>
      </w:pPr>
      <w:r w:rsidRPr="00F05461">
        <w:rPr>
          <w:lang w:val="es-ES"/>
        </w:rPr>
        <w:t xml:space="preserve">Proporción de escuelas con acceso a computadores </w:t>
      </w:r>
      <w:r w:rsidR="006A2010" w:rsidRPr="00F05461">
        <w:rPr>
          <w:lang w:val="es-ES"/>
        </w:rPr>
        <w:br/>
      </w:r>
      <w:r w:rsidRPr="00F05461">
        <w:rPr>
          <w:lang w:val="es-ES"/>
        </w:rPr>
        <w:t>o a Internet a efectos pedagógicos (porcentaje), 2024</w:t>
      </w:r>
    </w:p>
    <w:p w14:paraId="1B40CD00" w14:textId="3BCB3C86" w:rsidR="006A2010" w:rsidRPr="00F05461" w:rsidRDefault="006A2010" w:rsidP="006A2010">
      <w:pPr>
        <w:pStyle w:val="Figure"/>
        <w:rPr>
          <w:lang w:val="es-ES"/>
        </w:rPr>
      </w:pPr>
      <w:r w:rsidRPr="00F05461">
        <w:rPr>
          <w:noProof/>
          <w:lang w:val="es-ES"/>
        </w:rPr>
        <w:drawing>
          <wp:inline distT="0" distB="0" distL="0" distR="0" wp14:anchorId="30B439D7" wp14:editId="3D3A2C43">
            <wp:extent cx="5364000" cy="1915200"/>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64000" cy="1915200"/>
                    </a:xfrm>
                    <a:prstGeom prst="rect">
                      <a:avLst/>
                    </a:prstGeom>
                    <a:noFill/>
                  </pic:spPr>
                </pic:pic>
              </a:graphicData>
            </a:graphic>
          </wp:inline>
        </w:drawing>
      </w:r>
    </w:p>
    <w:p w14:paraId="0EC6EAB1" w14:textId="71B9BC1D" w:rsidR="005D7B2C" w:rsidRPr="00F05461" w:rsidRDefault="005D7B2C" w:rsidP="006A2010">
      <w:pPr>
        <w:pStyle w:val="Figurelegend"/>
        <w:jc w:val="center"/>
        <w:rPr>
          <w:i/>
          <w:iCs/>
          <w:color w:val="1F497D"/>
          <w:lang w:val="es-ES"/>
        </w:rPr>
      </w:pPr>
      <w:bookmarkStart w:id="42" w:name="Figure_8"/>
      <w:r w:rsidRPr="00F05461">
        <w:rPr>
          <w:i/>
          <w:iCs/>
          <w:color w:val="1F497D"/>
          <w:lang w:val="es-ES"/>
        </w:rPr>
        <w:t xml:space="preserve">Figura 8. Proporción de escuelas con acceso a computadores o a Internet a efectos pedagógicos (porcentaje), 2024. </w:t>
      </w:r>
      <w:r w:rsidR="00DA0F6B">
        <w:rPr>
          <w:i/>
          <w:iCs/>
          <w:color w:val="1F497D"/>
          <w:lang w:val="es-ES"/>
        </w:rPr>
        <w:br/>
      </w:r>
      <w:r w:rsidRPr="00F05461">
        <w:rPr>
          <w:i/>
          <w:iCs/>
          <w:color w:val="1F497D"/>
          <w:lang w:val="es-ES"/>
        </w:rPr>
        <w:t xml:space="preserve">Instituto de Estadística de la UNESCO. </w:t>
      </w:r>
      <w:r w:rsidRPr="00F05461">
        <w:rPr>
          <w:i/>
          <w:iCs/>
          <w:color w:val="7F7F7F"/>
          <w:lang w:val="es-ES"/>
        </w:rPr>
        <w:t xml:space="preserve">Más información </w:t>
      </w:r>
      <w:hyperlink r:id="rId100" w:history="1">
        <w:r w:rsidRPr="00F05461">
          <w:rPr>
            <w:rStyle w:val="Hyperlink"/>
            <w:rFonts w:eastAsia="Times New Roman" w:cs="Times New Roman"/>
            <w:i/>
            <w:iCs/>
            <w:color w:val="7F7F7F"/>
            <w:szCs w:val="20"/>
            <w:u w:val="single"/>
            <w:lang w:val="es-ES"/>
          </w:rPr>
          <w:t>aquí</w:t>
        </w:r>
      </w:hyperlink>
      <w:r w:rsidRPr="00F05461">
        <w:rPr>
          <w:i/>
          <w:iCs/>
          <w:color w:val="1F497D"/>
          <w:lang w:val="es-ES"/>
        </w:rPr>
        <w:t>.</w:t>
      </w:r>
    </w:p>
    <w:bookmarkEnd w:id="42"/>
    <w:p w14:paraId="00263E1B" w14:textId="6CA22400" w:rsidR="005D7B2C" w:rsidRPr="00F05461" w:rsidRDefault="005D7B2C" w:rsidP="00A62598">
      <w:pPr>
        <w:pStyle w:val="Normalaftertitle"/>
        <w:rPr>
          <w:lang w:val="es-ES"/>
        </w:rPr>
      </w:pPr>
      <w:r w:rsidRPr="00F05461">
        <w:rPr>
          <w:lang w:val="es-ES"/>
        </w:rPr>
        <w:t>En 2024, cerca de la mitad de las escuelas primarias tenían acceso a computadores e Internet. Más del 60 </w:t>
      </w:r>
      <w:r w:rsidR="006A2010" w:rsidRPr="00F05461">
        <w:rPr>
          <w:lang w:val="es-ES"/>
        </w:rPr>
        <w:t>por ciento</w:t>
      </w:r>
      <w:r w:rsidRPr="00F05461">
        <w:rPr>
          <w:lang w:val="es-ES"/>
        </w:rPr>
        <w:t xml:space="preserve"> de las escuelas de primer ciclo de secundaria y más del 70</w:t>
      </w:r>
      <w:r w:rsidR="00394833" w:rsidRPr="00F05461">
        <w:rPr>
          <w:lang w:val="es-ES"/>
        </w:rPr>
        <w:t> </w:t>
      </w:r>
      <w:r w:rsidR="006A2010" w:rsidRPr="00F05461">
        <w:rPr>
          <w:lang w:val="es-ES"/>
        </w:rPr>
        <w:t>por ciento</w:t>
      </w:r>
      <w:r w:rsidRPr="00F05461">
        <w:rPr>
          <w:lang w:val="es-ES"/>
        </w:rPr>
        <w:t xml:space="preserve"> de las escuelas de segundo ciclo de secundaria tenían acceso a estos recursos (véase la </w:t>
      </w:r>
      <w:hyperlink w:anchor="Figure_8" w:history="1">
        <w:r w:rsidRPr="00F05461">
          <w:rPr>
            <w:rStyle w:val="Hyperlink"/>
            <w:rFonts w:eastAsia="Times New Roman" w:cs="Times New Roman"/>
            <w:szCs w:val="20"/>
            <w:lang w:val="es-ES"/>
          </w:rPr>
          <w:t>Figura</w:t>
        </w:r>
        <w:r w:rsidR="00394833" w:rsidRPr="00F05461">
          <w:rPr>
            <w:rStyle w:val="Hyperlink"/>
            <w:rFonts w:eastAsia="Times New Roman" w:cs="Times New Roman"/>
            <w:szCs w:val="20"/>
            <w:lang w:val="es-ES"/>
          </w:rPr>
          <w:t> </w:t>
        </w:r>
        <w:r w:rsidRPr="00F05461">
          <w:rPr>
            <w:rStyle w:val="Hyperlink"/>
            <w:rFonts w:eastAsia="Times New Roman" w:cs="Times New Roman"/>
            <w:szCs w:val="20"/>
            <w:lang w:val="es-ES"/>
          </w:rPr>
          <w:t>8</w:t>
        </w:r>
      </w:hyperlink>
      <w:r w:rsidRPr="00F05461">
        <w:rPr>
          <w:lang w:val="es-ES"/>
        </w:rPr>
        <w:t>).</w:t>
      </w:r>
    </w:p>
    <w:p w14:paraId="56292EF4" w14:textId="5E40CF0B" w:rsidR="005D7B2C" w:rsidRPr="00F05461" w:rsidRDefault="005D7B2C" w:rsidP="005D7B2C">
      <w:pPr>
        <w:rPr>
          <w:lang w:val="es-ES"/>
        </w:rPr>
      </w:pPr>
      <w:r w:rsidRPr="00F05461">
        <w:rPr>
          <w:lang w:val="es-ES"/>
        </w:rPr>
        <w:t>Los datos existentes no permiten aún extraer conclusiones sobre la evolución de las medias mundiales. Si bien la conectividad de las escuelas constituye un objetivo importante, el indicador actual es insuficiente. Un umbral de 500</w:t>
      </w:r>
      <w:r w:rsidR="00394833" w:rsidRPr="00F05461">
        <w:rPr>
          <w:lang w:val="es-ES"/>
        </w:rPr>
        <w:t> </w:t>
      </w:r>
      <w:r w:rsidRPr="00F05461">
        <w:rPr>
          <w:lang w:val="es-ES"/>
        </w:rPr>
        <w:t xml:space="preserve">MB por mes está muy por debajo de lo que se requiere a efectos educativos. Además, </w:t>
      </w:r>
      <w:r w:rsidR="00296F03" w:rsidRPr="00F05461">
        <w:rPr>
          <w:lang w:val="es-ES"/>
        </w:rPr>
        <w:t>la UIT</w:t>
      </w:r>
      <w:r w:rsidRPr="00F05461">
        <w:rPr>
          <w:lang w:val="es-ES"/>
        </w:rPr>
        <w:t xml:space="preserve"> no es la principal fuente de datos para este indicador. La</w:t>
      </w:r>
      <w:r w:rsidR="00394833" w:rsidRPr="00F05461">
        <w:rPr>
          <w:lang w:val="es-ES"/>
        </w:rPr>
        <w:t> </w:t>
      </w:r>
      <w:r w:rsidRPr="00F05461">
        <w:rPr>
          <w:lang w:val="es-ES"/>
        </w:rPr>
        <w:t>UNESCO recopila datos sobre las escuelas con acceso a Internet.</w:t>
      </w:r>
    </w:p>
    <w:p w14:paraId="04FB39BC" w14:textId="36690E4E" w:rsidR="005D7B2C" w:rsidRPr="00F05461" w:rsidRDefault="005D7B2C" w:rsidP="00A62598">
      <w:pPr>
        <w:pStyle w:val="Headingb"/>
      </w:pPr>
      <w:r w:rsidRPr="00F05461">
        <w:t xml:space="preserve">Finalidad 1.6: </w:t>
      </w:r>
      <w:r w:rsidR="00A55B0E" w:rsidRPr="00F05461">
        <w:t>m</w:t>
      </w:r>
      <w:r w:rsidRPr="00F05461">
        <w:t>ayor preparación de los países en materia de ciberseguridad</w:t>
      </w:r>
    </w:p>
    <w:p w14:paraId="34E2A329" w14:textId="4E50346E" w:rsidR="005D7B2C" w:rsidRPr="00F05461" w:rsidRDefault="005D7B2C" w:rsidP="005D7B2C">
      <w:pPr>
        <w:rPr>
          <w:lang w:val="es-ES"/>
        </w:rPr>
      </w:pPr>
      <w:r w:rsidRPr="00F05461">
        <w:rPr>
          <w:lang w:val="es-ES"/>
        </w:rPr>
        <w:t>En cuanto a mejorar la preparación de los países en materia de ciberseguridad, se han observado progresos notables. En 2024, 132</w:t>
      </w:r>
      <w:r w:rsidR="00394833" w:rsidRPr="00F05461">
        <w:rPr>
          <w:lang w:val="es-ES"/>
        </w:rPr>
        <w:t> </w:t>
      </w:r>
      <w:r w:rsidRPr="00F05461">
        <w:rPr>
          <w:lang w:val="es-ES"/>
        </w:rPr>
        <w:t>países habían creado EIII, lo que supone un aumento con respecto a los 109 de 2020. Además, 127</w:t>
      </w:r>
      <w:r w:rsidR="00394833" w:rsidRPr="00F05461">
        <w:rPr>
          <w:lang w:val="es-ES"/>
        </w:rPr>
        <w:t> </w:t>
      </w:r>
      <w:r w:rsidRPr="00F05461">
        <w:rPr>
          <w:lang w:val="es-ES"/>
        </w:rPr>
        <w:t>países han aplicado estrategias y planes de acción nacionales en materia de ciberseguridad, en comparación con los 107 en</w:t>
      </w:r>
      <w:r w:rsidR="00A55B0E" w:rsidRPr="00F05461">
        <w:rPr>
          <w:lang w:val="es-ES"/>
        </w:rPr>
        <w:t> </w:t>
      </w:r>
      <w:r w:rsidRPr="00F05461">
        <w:rPr>
          <w:lang w:val="es-ES"/>
        </w:rPr>
        <w:t>2020.</w:t>
      </w:r>
    </w:p>
    <w:p w14:paraId="759A28C5" w14:textId="03861117" w:rsidR="005D7B2C" w:rsidRPr="00F05461" w:rsidRDefault="005D7B2C" w:rsidP="00A62598">
      <w:pPr>
        <w:pStyle w:val="Headingb"/>
      </w:pPr>
      <w:r w:rsidRPr="00F05461">
        <w:lastRenderedPageBreak/>
        <w:t xml:space="preserve">Finalidad 1.7: </w:t>
      </w:r>
      <w:r w:rsidR="0020239C" w:rsidRPr="00F05461">
        <w:t>a</w:t>
      </w:r>
      <w:r w:rsidRPr="00F05461">
        <w:t>cceso universal a Internet para todas las personas</w:t>
      </w:r>
    </w:p>
    <w:p w14:paraId="361AF558" w14:textId="1D92A393" w:rsidR="005D7B2C" w:rsidRPr="00F05461" w:rsidRDefault="005D7B2C" w:rsidP="005D7B2C">
      <w:pPr>
        <w:rPr>
          <w:lang w:val="es-ES"/>
        </w:rPr>
      </w:pPr>
      <w:r w:rsidRPr="00F05461">
        <w:rPr>
          <w:lang w:val="es-ES"/>
        </w:rPr>
        <w:t>En 2025, el 74 </w:t>
      </w:r>
      <w:r w:rsidR="00A55B0E" w:rsidRPr="00F05461">
        <w:rPr>
          <w:lang w:val="es-ES"/>
        </w:rPr>
        <w:t>por ciento</w:t>
      </w:r>
      <w:r w:rsidRPr="00F05461">
        <w:rPr>
          <w:lang w:val="es-ES"/>
        </w:rPr>
        <w:t xml:space="preserve"> de la población mundial estaba en línea, en comparación con el 71</w:t>
      </w:r>
      <w:r w:rsidR="000C1368" w:rsidRPr="00F05461">
        <w:rPr>
          <w:lang w:val="es-ES"/>
        </w:rPr>
        <w:t> </w:t>
      </w:r>
      <w:r w:rsidR="00A55B0E" w:rsidRPr="00F05461">
        <w:rPr>
          <w:lang w:val="es-ES"/>
        </w:rPr>
        <w:t>por ciento</w:t>
      </w:r>
      <w:r w:rsidRPr="00F05461">
        <w:rPr>
          <w:lang w:val="es-ES"/>
        </w:rPr>
        <w:t xml:space="preserve"> un año antes. En cifras absolutas, esto corresponde a 6 000</w:t>
      </w:r>
      <w:r w:rsidR="000C1368" w:rsidRPr="00F05461">
        <w:rPr>
          <w:lang w:val="es-ES"/>
        </w:rPr>
        <w:t> </w:t>
      </w:r>
      <w:r w:rsidRPr="00F05461">
        <w:rPr>
          <w:lang w:val="es-ES"/>
        </w:rPr>
        <w:t>millones de personas, respecto de los 5 400</w:t>
      </w:r>
      <w:r w:rsidR="000C1368" w:rsidRPr="00F05461">
        <w:rPr>
          <w:lang w:val="es-ES"/>
        </w:rPr>
        <w:t> </w:t>
      </w:r>
      <w:r w:rsidRPr="00F05461">
        <w:rPr>
          <w:lang w:val="es-ES"/>
        </w:rPr>
        <w:t>millones de 2022, lo que representa un aumento del 13 </w:t>
      </w:r>
      <w:r w:rsidR="00A55B0E" w:rsidRPr="00F05461">
        <w:rPr>
          <w:lang w:val="es-ES"/>
        </w:rPr>
        <w:t>por ciento</w:t>
      </w:r>
      <w:r w:rsidRPr="00F05461">
        <w:rPr>
          <w:lang w:val="es-ES"/>
        </w:rPr>
        <w:t xml:space="preserve"> con respecto en todo el periodo considerado (véase la </w:t>
      </w:r>
      <w:hyperlink w:anchor="Figure_9" w:history="1">
        <w:r w:rsidRPr="00F05461">
          <w:rPr>
            <w:rStyle w:val="Hyperlink"/>
            <w:rFonts w:eastAsia="Times New Roman" w:cs="Times New Roman"/>
            <w:szCs w:val="20"/>
            <w:lang w:val="es-ES"/>
          </w:rPr>
          <w:t>Figura</w:t>
        </w:r>
        <w:r w:rsidR="000C1368" w:rsidRPr="00F05461">
          <w:rPr>
            <w:rStyle w:val="Hyperlink"/>
            <w:rFonts w:eastAsia="Times New Roman" w:cs="Times New Roman"/>
            <w:szCs w:val="20"/>
            <w:lang w:val="es-ES"/>
          </w:rPr>
          <w:t> </w:t>
        </w:r>
        <w:r w:rsidRPr="00F05461">
          <w:rPr>
            <w:rStyle w:val="Hyperlink"/>
            <w:rFonts w:eastAsia="Times New Roman" w:cs="Times New Roman"/>
            <w:szCs w:val="20"/>
            <w:lang w:val="es-ES"/>
          </w:rPr>
          <w:t>9</w:t>
        </w:r>
      </w:hyperlink>
      <w:r w:rsidRPr="00F05461">
        <w:rPr>
          <w:lang w:val="es-ES"/>
        </w:rPr>
        <w:t>). Si bien se continúa avanzando hacia la conectividad universal, más de una cuarta parte de la población mundial sigue sin estar conectada.</w:t>
      </w:r>
    </w:p>
    <w:p w14:paraId="4342FA79" w14:textId="77777777" w:rsidR="005D7B2C" w:rsidRPr="00F05461" w:rsidRDefault="005D7B2C" w:rsidP="006B377D">
      <w:pPr>
        <w:pStyle w:val="Figuretitle"/>
        <w:rPr>
          <w:lang w:val="es-ES"/>
        </w:rPr>
      </w:pPr>
      <w:r w:rsidRPr="00F05461">
        <w:rPr>
          <w:lang w:val="es-ES"/>
        </w:rPr>
        <w:t>Personas que utilizan Internet</w:t>
      </w:r>
    </w:p>
    <w:p w14:paraId="2F2D5603" w14:textId="6E8B3006" w:rsidR="00F10B38" w:rsidRPr="00F05461" w:rsidRDefault="00F10B38" w:rsidP="00F10B38">
      <w:pPr>
        <w:pStyle w:val="Figure"/>
        <w:rPr>
          <w:lang w:val="es-ES"/>
        </w:rPr>
      </w:pPr>
      <w:r w:rsidRPr="00F05461">
        <w:rPr>
          <w:noProof/>
          <w:lang w:val="es-ES"/>
        </w:rPr>
        <w:drawing>
          <wp:inline distT="0" distB="0" distL="0" distR="0" wp14:anchorId="7E1A886E" wp14:editId="7D72881D">
            <wp:extent cx="5364000" cy="2595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64000" cy="2595600"/>
                    </a:xfrm>
                    <a:prstGeom prst="rect">
                      <a:avLst/>
                    </a:prstGeom>
                    <a:noFill/>
                  </pic:spPr>
                </pic:pic>
              </a:graphicData>
            </a:graphic>
          </wp:inline>
        </w:drawing>
      </w:r>
    </w:p>
    <w:p w14:paraId="57EDB03C" w14:textId="1C17AC81" w:rsidR="005D7B2C" w:rsidRPr="00F05461" w:rsidRDefault="005D7B2C" w:rsidP="00A55B0E">
      <w:pPr>
        <w:pStyle w:val="Figurelegend"/>
        <w:jc w:val="center"/>
        <w:rPr>
          <w:i/>
          <w:iCs/>
          <w:color w:val="1F497D"/>
          <w:lang w:val="es-ES"/>
        </w:rPr>
      </w:pPr>
      <w:bookmarkStart w:id="43" w:name="Figure_9"/>
      <w:r w:rsidRPr="00F05461">
        <w:rPr>
          <w:i/>
          <w:iCs/>
          <w:color w:val="1F497D"/>
          <w:lang w:val="es-ES"/>
        </w:rPr>
        <w:t xml:space="preserve">Figura 9. Personas que utilizan Internet. </w:t>
      </w:r>
      <w:r w:rsidR="00A55B0E" w:rsidRPr="00F05461">
        <w:rPr>
          <w:i/>
          <w:iCs/>
          <w:color w:val="1F497D"/>
          <w:lang w:val="es-ES"/>
        </w:rPr>
        <w:t>I</w:t>
      </w:r>
      <w:r w:rsidR="007D3D33">
        <w:rPr>
          <w:i/>
          <w:iCs/>
          <w:color w:val="1F497D"/>
          <w:lang w:val="es-ES"/>
        </w:rPr>
        <w:t>nforme</w:t>
      </w:r>
      <w:r w:rsidR="00A55B0E" w:rsidRPr="00F05461">
        <w:rPr>
          <w:i/>
          <w:iCs/>
          <w:color w:val="1F497D"/>
          <w:lang w:val="es-ES"/>
        </w:rPr>
        <w:t xml:space="preserve"> Facts and Figures </w:t>
      </w:r>
      <w:r w:rsidR="007D3D33">
        <w:rPr>
          <w:i/>
          <w:iCs/>
          <w:color w:val="1F497D"/>
          <w:lang w:val="es-ES"/>
        </w:rPr>
        <w:t>de </w:t>
      </w:r>
      <w:r w:rsidR="00A55B0E" w:rsidRPr="00F05461">
        <w:rPr>
          <w:i/>
          <w:iCs/>
          <w:color w:val="1F497D"/>
          <w:lang w:val="es-ES"/>
        </w:rPr>
        <w:t>2025</w:t>
      </w:r>
      <w:r w:rsidR="007D3D33">
        <w:rPr>
          <w:i/>
          <w:iCs/>
          <w:color w:val="1F497D"/>
          <w:lang w:val="es-ES"/>
        </w:rPr>
        <w:t xml:space="preserve"> de la UIT</w:t>
      </w:r>
      <w:r w:rsidR="00A55B0E" w:rsidRPr="00F05461">
        <w:rPr>
          <w:i/>
          <w:iCs/>
          <w:color w:val="1F497D"/>
          <w:lang w:val="es-ES"/>
        </w:rPr>
        <w:t xml:space="preserve"> </w:t>
      </w:r>
      <w:r w:rsidRPr="00F05461">
        <w:rPr>
          <w:i/>
          <w:iCs/>
          <w:color w:val="1F497D"/>
          <w:lang w:val="es-ES"/>
        </w:rPr>
        <w:t>(p</w:t>
      </w:r>
      <w:r w:rsidR="00A55B0E" w:rsidRPr="00F05461">
        <w:rPr>
          <w:i/>
          <w:iCs/>
          <w:color w:val="1F497D"/>
          <w:lang w:val="es-ES"/>
        </w:rPr>
        <w:t>ág</w:t>
      </w:r>
      <w:r w:rsidRPr="00F05461">
        <w:rPr>
          <w:i/>
          <w:iCs/>
          <w:color w:val="1F497D"/>
          <w:lang w:val="es-ES"/>
        </w:rPr>
        <w:t>.</w:t>
      </w:r>
      <w:r w:rsidR="00A55B0E" w:rsidRPr="00F05461">
        <w:rPr>
          <w:i/>
          <w:iCs/>
          <w:color w:val="1F497D"/>
          <w:lang w:val="es-ES"/>
        </w:rPr>
        <w:t> </w:t>
      </w:r>
      <w:r w:rsidRPr="00F05461">
        <w:rPr>
          <w:i/>
          <w:iCs/>
          <w:color w:val="1F497D"/>
          <w:lang w:val="es-ES"/>
        </w:rPr>
        <w:t xml:space="preserve">1). </w:t>
      </w:r>
      <w:hyperlink r:id="rId102" w:anchor="chart-1" w:history="1">
        <w:r w:rsidRPr="00F05461">
          <w:rPr>
            <w:rStyle w:val="Hyperlink"/>
            <w:rFonts w:eastAsia="Times New Roman" w:cs="Times New Roman"/>
            <w:i/>
            <w:iCs/>
            <w:color w:val="1F497D"/>
            <w:szCs w:val="20"/>
            <w:u w:val="single"/>
            <w:lang w:val="es-ES"/>
          </w:rPr>
          <w:t>Gráfico interactivo</w:t>
        </w:r>
      </w:hyperlink>
    </w:p>
    <w:bookmarkEnd w:id="43"/>
    <w:p w14:paraId="548EDD84" w14:textId="0E55247B" w:rsidR="005D7B2C" w:rsidRPr="00F05461" w:rsidRDefault="005D7B2C" w:rsidP="00A62598">
      <w:pPr>
        <w:pStyle w:val="Normalaftertitle"/>
        <w:rPr>
          <w:lang w:val="es-ES"/>
        </w:rPr>
      </w:pPr>
      <w:r w:rsidRPr="00F05461">
        <w:rPr>
          <w:lang w:val="es-ES"/>
        </w:rPr>
        <w:t>La utilización de Internet está estrechamente relacionada con el nivel de desarrollo. Los países de renta alta están alcanzando la utilización universal de Internet, situándose en un 94 </w:t>
      </w:r>
      <w:r w:rsidR="001F0ACB" w:rsidRPr="00F05461">
        <w:rPr>
          <w:lang w:val="es-ES"/>
        </w:rPr>
        <w:t>por ciento</w:t>
      </w:r>
      <w:r w:rsidRPr="00F05461">
        <w:rPr>
          <w:lang w:val="es-ES"/>
        </w:rPr>
        <w:t xml:space="preserve"> de la población. En cambio, s</w:t>
      </w:r>
      <w:r w:rsidR="00BF0FFC" w:rsidRPr="00F05461">
        <w:rPr>
          <w:lang w:val="es-ES"/>
        </w:rPr>
        <w:t>o</w:t>
      </w:r>
      <w:r w:rsidRPr="00F05461">
        <w:rPr>
          <w:lang w:val="es-ES"/>
        </w:rPr>
        <w:t>lo el 23 </w:t>
      </w:r>
      <w:r w:rsidR="001F0ACB" w:rsidRPr="00F05461">
        <w:rPr>
          <w:lang w:val="es-ES"/>
        </w:rPr>
        <w:t>por ciento</w:t>
      </w:r>
      <w:r w:rsidRPr="00F05461">
        <w:rPr>
          <w:lang w:val="es-ES"/>
        </w:rPr>
        <w:t xml:space="preserve"> de la población de los países de renta baja utiliza Internet.</w:t>
      </w:r>
    </w:p>
    <w:p w14:paraId="07D4E421" w14:textId="6A26BB46" w:rsidR="005D7B2C" w:rsidRPr="00F05461" w:rsidRDefault="005D7B2C" w:rsidP="005D7B2C">
      <w:pPr>
        <w:rPr>
          <w:lang w:val="es-ES"/>
        </w:rPr>
      </w:pPr>
      <w:r w:rsidRPr="00F05461">
        <w:rPr>
          <w:lang w:val="es-ES"/>
        </w:rPr>
        <w:t>En la</w:t>
      </w:r>
      <w:r w:rsidR="001F0ACB" w:rsidRPr="00F05461">
        <w:rPr>
          <w:lang w:val="es-ES"/>
        </w:rPr>
        <w:t> </w:t>
      </w:r>
      <w:r w:rsidRPr="00F05461">
        <w:rPr>
          <w:lang w:val="es-ES"/>
        </w:rPr>
        <w:t>CEI, Europa y las Américas, entre el 88 y el 93</w:t>
      </w:r>
      <w:r w:rsidR="000C1368" w:rsidRPr="00F05461">
        <w:rPr>
          <w:lang w:val="es-ES"/>
        </w:rPr>
        <w:t> </w:t>
      </w:r>
      <w:r w:rsidRPr="00F05461">
        <w:rPr>
          <w:lang w:val="es-ES"/>
        </w:rPr>
        <w:t xml:space="preserve">por ciento de la población utiliza Internet. En las </w:t>
      </w:r>
      <w:r w:rsidR="000C1368" w:rsidRPr="00F05461">
        <w:rPr>
          <w:lang w:val="es-ES"/>
        </w:rPr>
        <w:t>r</w:t>
      </w:r>
      <w:r w:rsidRPr="00F05461">
        <w:rPr>
          <w:lang w:val="es-ES"/>
        </w:rPr>
        <w:t>egiones de Asia-Pacífico y los Estados Árabes, la tasa de utilización de Internet era del 77 </w:t>
      </w:r>
      <w:r w:rsidR="001F0ACB" w:rsidRPr="00F05461">
        <w:rPr>
          <w:lang w:val="es-ES"/>
        </w:rPr>
        <w:t>por ciento</w:t>
      </w:r>
      <w:r w:rsidRPr="00F05461">
        <w:rPr>
          <w:lang w:val="es-ES"/>
        </w:rPr>
        <w:t xml:space="preserve"> y el 70 </w:t>
      </w:r>
      <w:r w:rsidR="001F0ACB" w:rsidRPr="00F05461">
        <w:rPr>
          <w:lang w:val="es-ES"/>
        </w:rPr>
        <w:t>por ciento</w:t>
      </w:r>
      <w:r w:rsidRPr="00F05461">
        <w:rPr>
          <w:lang w:val="es-ES"/>
        </w:rPr>
        <w:t xml:space="preserve">, respectivamente, lo que se ajusta a la media mundial. En cambio, en la </w:t>
      </w:r>
      <w:r w:rsidR="000C1368" w:rsidRPr="00F05461">
        <w:rPr>
          <w:lang w:val="es-ES"/>
        </w:rPr>
        <w:t>r</w:t>
      </w:r>
      <w:r w:rsidRPr="00F05461">
        <w:rPr>
          <w:lang w:val="es-ES"/>
        </w:rPr>
        <w:t>egión de África el porcentaje medio de utilización de Internet es de apenas el 36 </w:t>
      </w:r>
      <w:r w:rsidR="001F0ACB" w:rsidRPr="00F05461">
        <w:rPr>
          <w:lang w:val="es-ES"/>
        </w:rPr>
        <w:t>por ciento</w:t>
      </w:r>
      <w:r w:rsidRPr="00F05461">
        <w:rPr>
          <w:lang w:val="es-ES"/>
        </w:rPr>
        <w:t>.</w:t>
      </w:r>
    </w:p>
    <w:p w14:paraId="0D406AEE" w14:textId="53AA93C3" w:rsidR="005D7B2C" w:rsidRPr="00F05461" w:rsidRDefault="005D7B2C" w:rsidP="005D7B2C">
      <w:pPr>
        <w:rPr>
          <w:lang w:val="es-ES"/>
        </w:rPr>
      </w:pPr>
      <w:r w:rsidRPr="00F05461">
        <w:rPr>
          <w:lang w:val="es-ES"/>
        </w:rPr>
        <w:t>La conectividad universal sigue siendo un objetivo aún lejano para los</w:t>
      </w:r>
      <w:r w:rsidR="00EB55B0" w:rsidRPr="00F05461">
        <w:rPr>
          <w:lang w:val="es-ES"/>
        </w:rPr>
        <w:t> </w:t>
      </w:r>
      <w:r w:rsidRPr="00F05461">
        <w:rPr>
          <w:lang w:val="es-ES"/>
        </w:rPr>
        <w:t>PMA y los</w:t>
      </w:r>
      <w:r w:rsidR="00EB55B0" w:rsidRPr="00F05461">
        <w:rPr>
          <w:lang w:val="es-ES"/>
        </w:rPr>
        <w:t> </w:t>
      </w:r>
      <w:r w:rsidRPr="00F05461">
        <w:rPr>
          <w:lang w:val="es-ES"/>
        </w:rPr>
        <w:t>PDSL, donde s</w:t>
      </w:r>
      <w:r w:rsidR="00BF0FFC" w:rsidRPr="00F05461">
        <w:rPr>
          <w:lang w:val="es-ES"/>
        </w:rPr>
        <w:t>o</w:t>
      </w:r>
      <w:r w:rsidRPr="00F05461">
        <w:rPr>
          <w:lang w:val="es-ES"/>
        </w:rPr>
        <w:t>lo el 34 </w:t>
      </w:r>
      <w:r w:rsidR="001F0ACB" w:rsidRPr="00F05461">
        <w:rPr>
          <w:lang w:val="es-ES"/>
        </w:rPr>
        <w:t>por ciento</w:t>
      </w:r>
      <w:r w:rsidRPr="00F05461">
        <w:rPr>
          <w:lang w:val="es-ES"/>
        </w:rPr>
        <w:t xml:space="preserve"> y el 38 </w:t>
      </w:r>
      <w:r w:rsidR="001F0ACB" w:rsidRPr="00F05461">
        <w:rPr>
          <w:lang w:val="es-ES"/>
        </w:rPr>
        <w:t>por ciento</w:t>
      </w:r>
      <w:r w:rsidRPr="00F05461">
        <w:rPr>
          <w:lang w:val="es-ES"/>
        </w:rPr>
        <w:t xml:space="preserve"> de la población está en línea, respectivamente. Si bien la tasa de crecimiento anual en 2025 en estos países fue de 7,4 </w:t>
      </w:r>
      <w:r w:rsidR="001F0ACB" w:rsidRPr="00F05461">
        <w:rPr>
          <w:lang w:val="es-ES"/>
        </w:rPr>
        <w:t>por ciento</w:t>
      </w:r>
      <w:r w:rsidRPr="00F05461">
        <w:rPr>
          <w:lang w:val="es-ES"/>
        </w:rPr>
        <w:t xml:space="preserve"> y 5,5 </w:t>
      </w:r>
      <w:r w:rsidR="001F0ACB" w:rsidRPr="00F05461">
        <w:rPr>
          <w:lang w:val="es-ES"/>
        </w:rPr>
        <w:t>por ciento</w:t>
      </w:r>
      <w:r w:rsidRPr="00F05461">
        <w:rPr>
          <w:lang w:val="es-ES"/>
        </w:rPr>
        <w:t xml:space="preserve">, respectivamente, más alta que en la mayoría de los otros grupos o regiones, no se espera que la brecha de conectividad se cierre pronto. (véase la </w:t>
      </w:r>
      <w:hyperlink w:anchor="Figure_10" w:history="1">
        <w:r w:rsidR="00EB55B0" w:rsidRPr="00F05461">
          <w:rPr>
            <w:rStyle w:val="Hyperlink"/>
            <w:rFonts w:eastAsia="Times New Roman" w:cs="Times New Roman"/>
            <w:szCs w:val="20"/>
            <w:lang w:val="es-ES"/>
          </w:rPr>
          <w:t>Figura</w:t>
        </w:r>
        <w:r w:rsidR="000C1368" w:rsidRPr="00F05461">
          <w:rPr>
            <w:rStyle w:val="Hyperlink"/>
            <w:rFonts w:eastAsia="Times New Roman" w:cs="Times New Roman"/>
            <w:szCs w:val="20"/>
            <w:lang w:val="es-ES"/>
          </w:rPr>
          <w:t> </w:t>
        </w:r>
        <w:r w:rsidRPr="00F05461">
          <w:rPr>
            <w:rStyle w:val="Hyperlink"/>
            <w:rFonts w:eastAsia="Times New Roman" w:cs="Times New Roman"/>
            <w:szCs w:val="20"/>
            <w:lang w:val="es-ES"/>
          </w:rPr>
          <w:t>10</w:t>
        </w:r>
      </w:hyperlink>
      <w:r w:rsidRPr="00F05461">
        <w:rPr>
          <w:lang w:val="es-ES"/>
        </w:rPr>
        <w:t>).</w:t>
      </w:r>
    </w:p>
    <w:p w14:paraId="7B52F4FD" w14:textId="77777777" w:rsidR="005D7B2C" w:rsidRPr="00F05461" w:rsidRDefault="005D7B2C" w:rsidP="006B377D">
      <w:pPr>
        <w:pStyle w:val="Figuretitle"/>
        <w:rPr>
          <w:lang w:val="es-ES"/>
        </w:rPr>
      </w:pPr>
      <w:r w:rsidRPr="00F05461">
        <w:rPr>
          <w:lang w:val="es-ES"/>
        </w:rPr>
        <w:lastRenderedPageBreak/>
        <w:t>Porcentaje de personas que utilizan Internet por región y grupos especiales, 2022 y 2025</w:t>
      </w:r>
    </w:p>
    <w:p w14:paraId="7E2AEA2B" w14:textId="2FBF1B4C" w:rsidR="006B377D" w:rsidRPr="00F05461" w:rsidRDefault="006B377D" w:rsidP="00DA0F6B">
      <w:pPr>
        <w:pStyle w:val="Figure"/>
        <w:keepNext/>
        <w:keepLines/>
        <w:rPr>
          <w:lang w:val="es-ES"/>
        </w:rPr>
      </w:pPr>
      <w:r w:rsidRPr="00F05461">
        <w:rPr>
          <w:noProof/>
          <w:lang w:val="es-ES"/>
        </w:rPr>
        <w:drawing>
          <wp:inline distT="0" distB="0" distL="0" distR="0" wp14:anchorId="64BBAC28" wp14:editId="2DDCA9D0">
            <wp:extent cx="5364000" cy="230400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64000" cy="2304000"/>
                    </a:xfrm>
                    <a:prstGeom prst="rect">
                      <a:avLst/>
                    </a:prstGeom>
                    <a:noFill/>
                  </pic:spPr>
                </pic:pic>
              </a:graphicData>
            </a:graphic>
          </wp:inline>
        </w:drawing>
      </w:r>
    </w:p>
    <w:p w14:paraId="2894CBAA" w14:textId="7293F389" w:rsidR="005D7B2C" w:rsidRPr="00F05461" w:rsidRDefault="005D7B2C" w:rsidP="00DA0F6B">
      <w:pPr>
        <w:pStyle w:val="Figurelegend"/>
        <w:keepNext/>
        <w:keepLines/>
        <w:jc w:val="center"/>
        <w:rPr>
          <w:i/>
          <w:iCs/>
          <w:color w:val="1F497D"/>
          <w:lang w:val="es-ES"/>
        </w:rPr>
      </w:pPr>
      <w:bookmarkStart w:id="44" w:name="Figure_10"/>
      <w:r w:rsidRPr="00F05461">
        <w:rPr>
          <w:i/>
          <w:iCs/>
          <w:color w:val="1F497D"/>
          <w:lang w:val="es-ES"/>
        </w:rPr>
        <w:t xml:space="preserve">Figura 10. Porcentaje de personas que utilizan Internet por región y grupos especiales, 2022 y 2025. </w:t>
      </w:r>
      <w:r w:rsidR="006B377D" w:rsidRPr="00F05461">
        <w:rPr>
          <w:i/>
          <w:iCs/>
          <w:color w:val="1F497D"/>
          <w:lang w:val="es-ES"/>
        </w:rPr>
        <w:br/>
      </w:r>
      <w:r w:rsidRPr="00F05461">
        <w:rPr>
          <w:i/>
          <w:iCs/>
          <w:color w:val="1F497D"/>
          <w:lang w:val="es-ES"/>
        </w:rPr>
        <w:t>I</w:t>
      </w:r>
      <w:r w:rsidR="007D3D33">
        <w:rPr>
          <w:i/>
          <w:iCs/>
          <w:color w:val="1F497D"/>
          <w:lang w:val="es-ES"/>
        </w:rPr>
        <w:t>nforme</w:t>
      </w:r>
      <w:r w:rsidRPr="00F05461">
        <w:rPr>
          <w:i/>
          <w:iCs/>
          <w:color w:val="1F497D"/>
          <w:lang w:val="es-ES"/>
        </w:rPr>
        <w:t xml:space="preserve"> Facts and Figures </w:t>
      </w:r>
      <w:r w:rsidR="007D3D33">
        <w:rPr>
          <w:i/>
          <w:iCs/>
          <w:color w:val="1F497D"/>
          <w:lang w:val="es-ES"/>
        </w:rPr>
        <w:t>de </w:t>
      </w:r>
      <w:r w:rsidRPr="00F05461">
        <w:rPr>
          <w:i/>
          <w:iCs/>
          <w:color w:val="1F497D"/>
          <w:lang w:val="es-ES"/>
        </w:rPr>
        <w:t>2025</w:t>
      </w:r>
      <w:r w:rsidR="007D3D33">
        <w:rPr>
          <w:i/>
          <w:iCs/>
          <w:color w:val="1F497D"/>
          <w:lang w:val="es-ES"/>
        </w:rPr>
        <w:t xml:space="preserve"> de la UIT</w:t>
      </w:r>
      <w:r w:rsidRPr="00F05461">
        <w:rPr>
          <w:i/>
          <w:iCs/>
          <w:color w:val="1F497D"/>
          <w:lang w:val="es-ES"/>
        </w:rPr>
        <w:t xml:space="preserve"> (pág.</w:t>
      </w:r>
      <w:r w:rsidR="006B377D" w:rsidRPr="00F05461">
        <w:rPr>
          <w:i/>
          <w:iCs/>
          <w:color w:val="1F497D"/>
          <w:lang w:val="es-ES"/>
        </w:rPr>
        <w:t> </w:t>
      </w:r>
      <w:r w:rsidRPr="00F05461">
        <w:rPr>
          <w:i/>
          <w:iCs/>
          <w:color w:val="1F497D"/>
          <w:lang w:val="es-ES"/>
        </w:rPr>
        <w:t>3).</w:t>
      </w:r>
      <w:hyperlink r:id="rId104" w:anchor="chart-2" w:history="1">
        <w:r w:rsidRPr="00F05461">
          <w:rPr>
            <w:rStyle w:val="Hyperlink"/>
            <w:rFonts w:eastAsia="Times New Roman" w:cs="Times New Roman"/>
            <w:i/>
            <w:iCs/>
            <w:color w:val="1F497D"/>
            <w:szCs w:val="20"/>
            <w:u w:val="single"/>
            <w:lang w:val="es-ES"/>
          </w:rPr>
          <w:t>Gráfico interactivo</w:t>
        </w:r>
      </w:hyperlink>
    </w:p>
    <w:p w14:paraId="6F751678" w14:textId="3D0365DE" w:rsidR="00B1145C" w:rsidRPr="00F05461" w:rsidRDefault="00B1145C" w:rsidP="003E558F">
      <w:pPr>
        <w:pStyle w:val="Heading3"/>
      </w:pPr>
      <w:bookmarkStart w:id="45" w:name="_3.2.2_Transformación_digital"/>
      <w:bookmarkStart w:id="46" w:name="_Toc227137462"/>
      <w:bookmarkEnd w:id="12"/>
      <w:bookmarkEnd w:id="13"/>
      <w:bookmarkEnd w:id="44"/>
      <w:bookmarkEnd w:id="45"/>
      <w:r w:rsidRPr="00F05461">
        <w:t>3.2.2</w:t>
      </w:r>
      <w:r w:rsidRPr="00F05461">
        <w:tab/>
        <w:t>Transformación digital sostenible</w:t>
      </w:r>
      <w:bookmarkEnd w:id="46"/>
    </w:p>
    <w:p w14:paraId="79EBF659" w14:textId="77777777" w:rsidR="00B1145C" w:rsidRPr="00F05461" w:rsidRDefault="00B1145C" w:rsidP="00B1145C">
      <w:pPr>
        <w:rPr>
          <w:lang w:val="es-ES"/>
        </w:rPr>
      </w:pPr>
      <w:r w:rsidRPr="00F05461">
        <w:rPr>
          <w:lang w:val="es-ES"/>
        </w:rPr>
        <w:t>En esta subsección se abordan las dimensiones más importantes de la transformación digital sostenible, como las brechas de inclusión digital, las competencias digitales, la utilización de servicios digitales, la preparación en materia de ciberseguridad y la sostenibilidad medioambiental.</w:t>
      </w:r>
    </w:p>
    <w:p w14:paraId="6C569ECE" w14:textId="5B11935B" w:rsidR="00B1145C" w:rsidRPr="00F05461" w:rsidRDefault="00F01B7B" w:rsidP="003E558F">
      <w:pPr>
        <w:pStyle w:val="Headingb"/>
      </w:pPr>
      <w:r w:rsidRPr="00F05461">
        <w:t>Finalidad</w:t>
      </w:r>
      <w:r w:rsidR="00B1145C" w:rsidRPr="00F05461">
        <w:t xml:space="preserve"> 2.1</w:t>
      </w:r>
      <w:r w:rsidRPr="00F05461">
        <w:t>:</w:t>
      </w:r>
      <w:r w:rsidR="00B1145C" w:rsidRPr="00F05461">
        <w:t xml:space="preserve"> </w:t>
      </w:r>
      <w:r w:rsidRPr="00F05461">
        <w:t>r</w:t>
      </w:r>
      <w:r w:rsidR="00B1145C" w:rsidRPr="00F05461">
        <w:t>educción de todas las brechas digitales (en particular, las de género, edad y entorno urbano/rural)</w:t>
      </w:r>
    </w:p>
    <w:p w14:paraId="52172305" w14:textId="02C3664E" w:rsidR="00B1145C" w:rsidRPr="00F05461" w:rsidRDefault="00B1145C" w:rsidP="00B1145C">
      <w:pPr>
        <w:rPr>
          <w:lang w:val="es-ES"/>
        </w:rPr>
      </w:pPr>
      <w:r w:rsidRPr="00F05461">
        <w:rPr>
          <w:lang w:val="es-ES"/>
        </w:rPr>
        <w:t>Esta meta muestra un progreso desigual en función de los criterios elegidos para el desglose, como el género, la edad y la ubicación (rural o urbana), lo que indica que los avances en materia de acceso digital no son uniformes y pone de relieve la necesidad de adoptar estrategias adaptadas para hacer frente a brechas específicas.</w:t>
      </w:r>
    </w:p>
    <w:p w14:paraId="5CA75D18" w14:textId="77777777" w:rsidR="00B1145C" w:rsidRPr="00F05461" w:rsidRDefault="00B1145C" w:rsidP="00E30153">
      <w:pPr>
        <w:pStyle w:val="Figuretitle"/>
        <w:rPr>
          <w:lang w:val="es-ES"/>
        </w:rPr>
      </w:pPr>
      <w:r w:rsidRPr="00F05461">
        <w:rPr>
          <w:lang w:val="es-ES"/>
        </w:rPr>
        <w:t>Porcentaje de mujeres y hombres que utilizan Internet, 2025</w:t>
      </w:r>
    </w:p>
    <w:p w14:paraId="399C13C5" w14:textId="2FCF731E" w:rsidR="00F51AA8" w:rsidRPr="00F05461" w:rsidRDefault="00F51AA8" w:rsidP="00F51AA8">
      <w:pPr>
        <w:pStyle w:val="Figure"/>
        <w:rPr>
          <w:noProof/>
          <w:lang w:val="es-ES"/>
        </w:rPr>
      </w:pPr>
      <w:r w:rsidRPr="00F05461">
        <w:rPr>
          <w:noProof/>
          <w:lang w:val="es-ES"/>
        </w:rPr>
        <w:drawing>
          <wp:inline distT="0" distB="0" distL="0" distR="0" wp14:anchorId="71ABBBB9" wp14:editId="40AF721B">
            <wp:extent cx="5364000" cy="2318400"/>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64000" cy="2318400"/>
                    </a:xfrm>
                    <a:prstGeom prst="rect">
                      <a:avLst/>
                    </a:prstGeom>
                    <a:noFill/>
                  </pic:spPr>
                </pic:pic>
              </a:graphicData>
            </a:graphic>
          </wp:inline>
        </w:drawing>
      </w:r>
    </w:p>
    <w:p w14:paraId="12BF92A2" w14:textId="127D3348" w:rsidR="00B1145C" w:rsidRPr="00F05461" w:rsidRDefault="00B1145C" w:rsidP="00005200">
      <w:pPr>
        <w:pStyle w:val="Figurelegend"/>
        <w:jc w:val="center"/>
        <w:rPr>
          <w:i/>
          <w:iCs/>
          <w:color w:val="1F497D"/>
          <w:lang w:val="es-ES"/>
        </w:rPr>
      </w:pPr>
      <w:bookmarkStart w:id="47" w:name="Section_1_19"/>
      <w:bookmarkStart w:id="48" w:name="Figure_11"/>
      <w:bookmarkEnd w:id="47"/>
      <w:r w:rsidRPr="00F05461">
        <w:rPr>
          <w:i/>
          <w:iCs/>
          <w:color w:val="1F497D"/>
          <w:lang w:val="es-ES"/>
        </w:rPr>
        <w:t>Figura</w:t>
      </w:r>
      <w:r w:rsidR="001473A4" w:rsidRPr="00F05461">
        <w:rPr>
          <w:i/>
          <w:iCs/>
          <w:color w:val="1F497D"/>
          <w:lang w:val="es-ES"/>
        </w:rPr>
        <w:t> </w:t>
      </w:r>
      <w:r w:rsidRPr="00F05461">
        <w:rPr>
          <w:i/>
          <w:iCs/>
          <w:color w:val="1F497D"/>
          <w:lang w:val="es-ES"/>
        </w:rPr>
        <w:t xml:space="preserve">11. Porcentaje de mujeres y hombres que utilizan Internet, 2025. </w:t>
      </w:r>
      <w:r w:rsidR="009A3B80" w:rsidRPr="00F05461">
        <w:rPr>
          <w:i/>
          <w:iCs/>
          <w:color w:val="1F497D"/>
          <w:lang w:val="es-ES"/>
        </w:rPr>
        <w:br/>
      </w:r>
      <w:r w:rsidR="007D3D33">
        <w:rPr>
          <w:i/>
          <w:iCs/>
          <w:color w:val="1F497D"/>
          <w:lang w:val="es-ES"/>
        </w:rPr>
        <w:t xml:space="preserve">Informe </w:t>
      </w:r>
      <w:r w:rsidRPr="00F05461">
        <w:rPr>
          <w:i/>
          <w:iCs/>
          <w:color w:val="1F497D"/>
          <w:lang w:val="es-ES"/>
        </w:rPr>
        <w:t xml:space="preserve">Facts and Figures </w:t>
      </w:r>
      <w:r w:rsidR="00B933C5" w:rsidRPr="00F05461">
        <w:rPr>
          <w:i/>
          <w:iCs/>
          <w:color w:val="1F497D"/>
          <w:lang w:val="es-ES"/>
        </w:rPr>
        <w:t>de 202</w:t>
      </w:r>
      <w:r w:rsidR="00711F8C" w:rsidRPr="00F05461">
        <w:rPr>
          <w:i/>
          <w:iCs/>
          <w:color w:val="1F497D"/>
          <w:lang w:val="es-ES"/>
        </w:rPr>
        <w:t>5</w:t>
      </w:r>
      <w:r w:rsidRPr="00F05461">
        <w:rPr>
          <w:i/>
          <w:iCs/>
          <w:color w:val="1F497D"/>
          <w:lang w:val="es-ES"/>
        </w:rPr>
        <w:t xml:space="preserve"> de </w:t>
      </w:r>
      <w:r w:rsidR="00296F03" w:rsidRPr="00F05461">
        <w:rPr>
          <w:i/>
          <w:iCs/>
          <w:color w:val="1F497D"/>
          <w:lang w:val="es-ES"/>
        </w:rPr>
        <w:t>la UIT</w:t>
      </w:r>
      <w:r w:rsidRPr="00F05461">
        <w:rPr>
          <w:i/>
          <w:iCs/>
          <w:color w:val="1F497D"/>
          <w:lang w:val="es-ES"/>
        </w:rPr>
        <w:t xml:space="preserve"> (pág.</w:t>
      </w:r>
      <w:r w:rsidR="001473A4" w:rsidRPr="00F05461">
        <w:rPr>
          <w:i/>
          <w:iCs/>
          <w:color w:val="1F497D"/>
          <w:lang w:val="es-ES"/>
        </w:rPr>
        <w:t> </w:t>
      </w:r>
      <w:r w:rsidRPr="00F05461">
        <w:rPr>
          <w:i/>
          <w:iCs/>
          <w:color w:val="1F497D"/>
          <w:lang w:val="es-ES"/>
        </w:rPr>
        <w:t xml:space="preserve">5). </w:t>
      </w:r>
      <w:hyperlink r:id="rId106" w:anchor="chart-1" w:history="1">
        <w:r w:rsidRPr="00F05461">
          <w:rPr>
            <w:rStyle w:val="Hyperlink"/>
            <w:rFonts w:eastAsia="Times New Roman" w:cs="Times New Roman"/>
            <w:i/>
            <w:iCs/>
            <w:color w:val="1F497D"/>
            <w:szCs w:val="20"/>
            <w:u w:val="single"/>
            <w:lang w:val="es-ES"/>
          </w:rPr>
          <w:t>Gráfico interactivo</w:t>
        </w:r>
      </w:hyperlink>
    </w:p>
    <w:bookmarkEnd w:id="48"/>
    <w:p w14:paraId="5A69108A" w14:textId="16EE9177" w:rsidR="00B1145C" w:rsidRPr="00F05461" w:rsidRDefault="00B1145C" w:rsidP="00E30153">
      <w:pPr>
        <w:pStyle w:val="Normalaftertitle"/>
        <w:rPr>
          <w:lang w:val="es-ES"/>
        </w:rPr>
      </w:pPr>
      <w:r w:rsidRPr="00F05461">
        <w:rPr>
          <w:lang w:val="es-ES"/>
        </w:rPr>
        <w:lastRenderedPageBreak/>
        <w:t>A escala mundial, el 77</w:t>
      </w:r>
      <w:r w:rsidR="002D15BD" w:rsidRPr="00F05461">
        <w:rPr>
          <w:lang w:val="es-ES"/>
        </w:rPr>
        <w:t> </w:t>
      </w:r>
      <w:r w:rsidR="00670229" w:rsidRPr="00F05461">
        <w:rPr>
          <w:lang w:val="es-ES"/>
        </w:rPr>
        <w:t>por ciento</w:t>
      </w:r>
      <w:r w:rsidRPr="00F05461">
        <w:rPr>
          <w:lang w:val="es-ES"/>
        </w:rPr>
        <w:t xml:space="preserve"> de los hombres utilizó Internet, en comparación con el 71</w:t>
      </w:r>
      <w:r w:rsidR="002D15BD" w:rsidRPr="00F05461">
        <w:rPr>
          <w:lang w:val="es-ES"/>
        </w:rPr>
        <w:t> </w:t>
      </w:r>
      <w:r w:rsidR="00670229" w:rsidRPr="00F05461">
        <w:rPr>
          <w:lang w:val="es-ES"/>
        </w:rPr>
        <w:t>por ciento</w:t>
      </w:r>
      <w:r w:rsidRPr="00F05461">
        <w:rPr>
          <w:lang w:val="es-ES"/>
        </w:rPr>
        <w:t xml:space="preserve"> de las mujeres (véase la </w:t>
      </w:r>
      <w:hyperlink w:anchor="Figure_11" w:history="1">
        <w:r w:rsidRPr="00F05461">
          <w:rPr>
            <w:rStyle w:val="Hyperlink"/>
            <w:rFonts w:eastAsia="Times New Roman" w:cs="Times New Roman"/>
            <w:szCs w:val="20"/>
            <w:lang w:val="es-ES"/>
          </w:rPr>
          <w:t>Figura</w:t>
        </w:r>
        <w:r w:rsidR="001473A4" w:rsidRPr="00F05461">
          <w:rPr>
            <w:rStyle w:val="Hyperlink"/>
            <w:rFonts w:eastAsia="Times New Roman" w:cs="Times New Roman"/>
            <w:szCs w:val="20"/>
            <w:lang w:val="es-ES"/>
          </w:rPr>
          <w:t> </w:t>
        </w:r>
        <w:r w:rsidRPr="00F05461">
          <w:rPr>
            <w:rStyle w:val="Hyperlink"/>
            <w:rFonts w:eastAsia="Times New Roman" w:cs="Times New Roman"/>
            <w:szCs w:val="20"/>
            <w:lang w:val="es-ES"/>
          </w:rPr>
          <w:t>11</w:t>
        </w:r>
      </w:hyperlink>
      <w:r w:rsidRPr="00F05461">
        <w:rPr>
          <w:lang w:val="es-ES"/>
        </w:rPr>
        <w:t>). La tasa de penetración de Internet ha crecido un 10</w:t>
      </w:r>
      <w:r w:rsidR="002D15BD" w:rsidRPr="00F05461">
        <w:rPr>
          <w:lang w:val="es-ES"/>
        </w:rPr>
        <w:t> </w:t>
      </w:r>
      <w:r w:rsidR="00670229" w:rsidRPr="00F05461">
        <w:rPr>
          <w:lang w:val="es-ES"/>
        </w:rPr>
        <w:t>por ciento</w:t>
      </w:r>
      <w:r w:rsidRPr="00F05461">
        <w:rPr>
          <w:lang w:val="es-ES"/>
        </w:rPr>
        <w:t xml:space="preserve"> entre 2022 y 2025 tanto para las mujeres como para los hombres; pese a ello, en 2025 todavía había diferencias en el uso de Internet, con unos 280</w:t>
      </w:r>
      <w:r w:rsidR="001473A4" w:rsidRPr="00F05461">
        <w:rPr>
          <w:lang w:val="es-ES"/>
        </w:rPr>
        <w:t> </w:t>
      </w:r>
      <w:r w:rsidRPr="00F05461">
        <w:rPr>
          <w:lang w:val="es-ES"/>
        </w:rPr>
        <w:t>millones más de hombres que de mujeres.</w:t>
      </w:r>
    </w:p>
    <w:p w14:paraId="0BAC671C" w14:textId="77777777" w:rsidR="00B1145C" w:rsidRPr="00F05461" w:rsidRDefault="00B1145C" w:rsidP="00B1145C">
      <w:pPr>
        <w:rPr>
          <w:lang w:val="es-ES"/>
        </w:rPr>
      </w:pPr>
      <w:r w:rsidRPr="00F05461">
        <w:rPr>
          <w:lang w:val="es-ES"/>
        </w:rPr>
        <w:t>La paridad de género se considera alcanzada cuando la puntuación de paridad de género, definida como el porcentaje femenino dividido por el porcentaje masculino, se sitúa entre 0,98 y 1,02. Al igual que en el caso del uso global de Internet, la paridad de género está estrechamente relacionada con el nivel de desarrollo. Entre 2022 y 2025, la puntuación mundial de paridad de género se ha mantenido en 0,92, lo que indica una falta de progreso hacia la paridad de género mundial.</w:t>
      </w:r>
    </w:p>
    <w:p w14:paraId="6FFC6301" w14:textId="08BE74CA" w:rsidR="00B1145C" w:rsidRPr="00F05461" w:rsidRDefault="00B1145C" w:rsidP="00FD399B">
      <w:pPr>
        <w:rPr>
          <w:lang w:val="es-ES"/>
        </w:rPr>
      </w:pPr>
      <w:r w:rsidRPr="00F05461">
        <w:rPr>
          <w:lang w:val="es-ES"/>
        </w:rPr>
        <w:t xml:space="preserve">En cuanto a las regiones de </w:t>
      </w:r>
      <w:r w:rsidR="00296F03" w:rsidRPr="00F05461">
        <w:rPr>
          <w:lang w:val="es-ES"/>
        </w:rPr>
        <w:t>la UIT</w:t>
      </w:r>
      <w:r w:rsidRPr="00F05461">
        <w:rPr>
          <w:lang w:val="es-ES"/>
        </w:rPr>
        <w:t>, se ha logrado la paridad de género en Europa, las Américas y la</w:t>
      </w:r>
      <w:r w:rsidR="00FD399B" w:rsidRPr="00F05461">
        <w:rPr>
          <w:lang w:val="es-ES"/>
        </w:rPr>
        <w:t> </w:t>
      </w:r>
      <w:r w:rsidRPr="00F05461">
        <w:rPr>
          <w:lang w:val="es-ES"/>
        </w:rPr>
        <w:t>CEI. En el grupo de PEID, entre 2022 y 2025 la puntuación de paridad de género se mantuvo en 1, e incluso superó ese valor, lo que significa que existe paridad de género. Los</w:t>
      </w:r>
      <w:r w:rsidR="00F811A4" w:rsidRPr="00F05461">
        <w:rPr>
          <w:lang w:val="es-ES"/>
        </w:rPr>
        <w:t> </w:t>
      </w:r>
      <w:r w:rsidRPr="00F05461">
        <w:rPr>
          <w:lang w:val="es-ES"/>
        </w:rPr>
        <w:t xml:space="preserve">PEID también constituyen una excepción positiva destacada a la elevada correlación entre paridad de género y uso general de Internet, dado que han conseguido la paridad de </w:t>
      </w:r>
      <w:proofErr w:type="gramStart"/>
      <w:r w:rsidRPr="00F05461">
        <w:rPr>
          <w:lang w:val="es-ES"/>
        </w:rPr>
        <w:t>género</w:t>
      </w:r>
      <w:proofErr w:type="gramEnd"/>
      <w:r w:rsidRPr="00F05461">
        <w:rPr>
          <w:lang w:val="es-ES"/>
        </w:rPr>
        <w:t xml:space="preserve"> aunque menos de dos tercios de su población utiliza Internet.</w:t>
      </w:r>
    </w:p>
    <w:p w14:paraId="406F024B" w14:textId="77777777" w:rsidR="00B1145C" w:rsidRPr="00F05461" w:rsidRDefault="00B1145C" w:rsidP="00E30153">
      <w:pPr>
        <w:pStyle w:val="Figuretitle"/>
        <w:rPr>
          <w:lang w:val="es-ES"/>
        </w:rPr>
      </w:pPr>
      <w:r w:rsidRPr="00F05461">
        <w:rPr>
          <w:lang w:val="es-ES"/>
        </w:rPr>
        <w:t>Porcentaje de personas que utilizan Internet por grupo de edad, 2025</w:t>
      </w:r>
    </w:p>
    <w:p w14:paraId="390CDC21" w14:textId="198B9836" w:rsidR="00F51AA8" w:rsidRPr="00F05461" w:rsidRDefault="00F51AA8" w:rsidP="00F51AA8">
      <w:pPr>
        <w:pStyle w:val="Figure"/>
        <w:rPr>
          <w:lang w:val="es-ES"/>
        </w:rPr>
      </w:pPr>
      <w:r w:rsidRPr="00F05461">
        <w:rPr>
          <w:noProof/>
          <w:lang w:val="es-ES"/>
        </w:rPr>
        <w:drawing>
          <wp:inline distT="0" distB="0" distL="0" distR="0" wp14:anchorId="4EFE8465" wp14:editId="25B95618">
            <wp:extent cx="5364000" cy="23112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64000" cy="2311200"/>
                    </a:xfrm>
                    <a:prstGeom prst="rect">
                      <a:avLst/>
                    </a:prstGeom>
                    <a:noFill/>
                  </pic:spPr>
                </pic:pic>
              </a:graphicData>
            </a:graphic>
          </wp:inline>
        </w:drawing>
      </w:r>
    </w:p>
    <w:p w14:paraId="4FB977AA" w14:textId="0EBF4B79" w:rsidR="00B1145C" w:rsidRPr="00F05461" w:rsidRDefault="00B1145C" w:rsidP="00EA6948">
      <w:pPr>
        <w:pStyle w:val="Figurelegend"/>
        <w:jc w:val="center"/>
        <w:rPr>
          <w:i/>
          <w:iCs/>
          <w:color w:val="1F497D"/>
          <w:lang w:val="es-ES"/>
        </w:rPr>
      </w:pPr>
      <w:bookmarkStart w:id="49" w:name="Section_1_20"/>
      <w:bookmarkStart w:id="50" w:name="Figure_12"/>
      <w:bookmarkEnd w:id="49"/>
      <w:r w:rsidRPr="00F05461">
        <w:rPr>
          <w:i/>
          <w:iCs/>
          <w:color w:val="1F497D"/>
          <w:lang w:val="es-ES"/>
        </w:rPr>
        <w:t>Figura</w:t>
      </w:r>
      <w:r w:rsidR="001473A4" w:rsidRPr="00F05461">
        <w:rPr>
          <w:i/>
          <w:iCs/>
          <w:color w:val="1F497D"/>
          <w:lang w:val="es-ES"/>
        </w:rPr>
        <w:t> </w:t>
      </w:r>
      <w:r w:rsidRPr="00F05461">
        <w:rPr>
          <w:i/>
          <w:iCs/>
          <w:color w:val="1F497D"/>
          <w:lang w:val="es-ES"/>
        </w:rPr>
        <w:t xml:space="preserve">12. Porcentaje de personas que utilizan Internet por grupo de edad, 2025. </w:t>
      </w:r>
      <w:r w:rsidR="007B31AB">
        <w:rPr>
          <w:i/>
          <w:iCs/>
          <w:color w:val="1F497D"/>
          <w:lang w:val="es-ES"/>
        </w:rPr>
        <w:t xml:space="preserve">Informe </w:t>
      </w:r>
      <w:r w:rsidRPr="00F05461">
        <w:rPr>
          <w:i/>
          <w:iCs/>
          <w:color w:val="1F497D"/>
          <w:lang w:val="es-ES"/>
        </w:rPr>
        <w:t xml:space="preserve">Facts and Figures </w:t>
      </w:r>
      <w:r w:rsidR="00B933C5" w:rsidRPr="00F05461">
        <w:rPr>
          <w:i/>
          <w:iCs/>
          <w:color w:val="1F497D"/>
          <w:lang w:val="es-ES"/>
        </w:rPr>
        <w:t>de 202</w:t>
      </w:r>
      <w:r w:rsidR="00711F8C" w:rsidRPr="00F05461">
        <w:rPr>
          <w:i/>
          <w:iCs/>
          <w:color w:val="1F497D"/>
          <w:lang w:val="es-ES"/>
        </w:rPr>
        <w:t>5</w:t>
      </w:r>
      <w:r w:rsidRPr="00F05461">
        <w:rPr>
          <w:i/>
          <w:iCs/>
          <w:color w:val="1F497D"/>
          <w:lang w:val="es-ES"/>
        </w:rPr>
        <w:t xml:space="preserve"> de </w:t>
      </w:r>
      <w:r w:rsidR="00296F03" w:rsidRPr="00F05461">
        <w:rPr>
          <w:i/>
          <w:iCs/>
          <w:color w:val="1F497D"/>
          <w:lang w:val="es-ES"/>
        </w:rPr>
        <w:t>la UIT</w:t>
      </w:r>
      <w:r w:rsidRPr="00F05461">
        <w:rPr>
          <w:i/>
          <w:iCs/>
          <w:color w:val="1F497D"/>
          <w:lang w:val="es-ES"/>
        </w:rPr>
        <w:t xml:space="preserve"> (pág.</w:t>
      </w:r>
      <w:r w:rsidR="001473A4" w:rsidRPr="00F05461">
        <w:rPr>
          <w:i/>
          <w:iCs/>
          <w:color w:val="1F497D"/>
          <w:lang w:val="es-ES"/>
        </w:rPr>
        <w:t> </w:t>
      </w:r>
      <w:r w:rsidRPr="00F05461">
        <w:rPr>
          <w:i/>
          <w:iCs/>
          <w:color w:val="1F497D"/>
          <w:lang w:val="es-ES"/>
        </w:rPr>
        <w:t>6).</w:t>
      </w:r>
      <w:r w:rsidR="00EA6948" w:rsidRPr="00F05461">
        <w:rPr>
          <w:i/>
          <w:iCs/>
          <w:color w:val="1F497D"/>
          <w:lang w:val="es-ES"/>
        </w:rPr>
        <w:t xml:space="preserve"> </w:t>
      </w:r>
      <w:r w:rsidRPr="00F05461">
        <w:rPr>
          <w:i/>
          <w:iCs/>
          <w:color w:val="7F7F7F"/>
          <w:lang w:val="es-ES"/>
        </w:rPr>
        <w:t xml:space="preserve">El grupo </w:t>
      </w:r>
      <w:r w:rsidR="007921C3" w:rsidRPr="00F05461">
        <w:rPr>
          <w:i/>
          <w:iCs/>
          <w:color w:val="7F7F7F"/>
          <w:lang w:val="es-ES"/>
        </w:rPr>
        <w:t>«</w:t>
      </w:r>
      <w:r w:rsidRPr="00F05461">
        <w:rPr>
          <w:i/>
          <w:iCs/>
          <w:color w:val="7F7F7F"/>
          <w:lang w:val="es-ES"/>
        </w:rPr>
        <w:t>Youth</w:t>
      </w:r>
      <w:r w:rsidR="007921C3" w:rsidRPr="00F05461">
        <w:rPr>
          <w:i/>
          <w:iCs/>
          <w:color w:val="7F7F7F"/>
          <w:lang w:val="es-ES"/>
        </w:rPr>
        <w:t>»</w:t>
      </w:r>
      <w:r w:rsidRPr="00F05461">
        <w:rPr>
          <w:i/>
          <w:iCs/>
          <w:color w:val="7F7F7F"/>
          <w:lang w:val="es-ES"/>
        </w:rPr>
        <w:t xml:space="preserve"> incluye a los jóvenes de 15 a 24</w:t>
      </w:r>
      <w:r w:rsidR="001473A4" w:rsidRPr="00F05461">
        <w:rPr>
          <w:i/>
          <w:iCs/>
          <w:color w:val="7F7F7F"/>
          <w:lang w:val="es-ES"/>
        </w:rPr>
        <w:t> </w:t>
      </w:r>
      <w:r w:rsidRPr="00F05461">
        <w:rPr>
          <w:i/>
          <w:iCs/>
          <w:color w:val="7F7F7F"/>
          <w:lang w:val="es-ES"/>
        </w:rPr>
        <w:t xml:space="preserve">años. </w:t>
      </w:r>
      <w:r>
        <w:fldChar w:fldCharType="begin"/>
      </w:r>
      <w:r w:rsidRPr="009A0A46">
        <w:rPr>
          <w:lang w:val="es-ES"/>
        </w:rPr>
        <w:instrText>HYPERLINK "https://www.itu.int/itu-d/reports/statistics/2025/10/15/ff25-youth-internet-use/" \l "chart-1"</w:instrText>
      </w:r>
      <w:r>
        <w:fldChar w:fldCharType="separate"/>
      </w:r>
      <w:r w:rsidRPr="00F05461">
        <w:rPr>
          <w:rStyle w:val="Hyperlink"/>
          <w:rFonts w:eastAsia="Times New Roman" w:cs="Times New Roman"/>
          <w:i/>
          <w:iCs/>
          <w:color w:val="7F7F7F"/>
          <w:szCs w:val="20"/>
          <w:u w:val="single"/>
          <w:lang w:val="es-ES"/>
        </w:rPr>
        <w:t>Gráfico interactivo</w:t>
      </w:r>
      <w:r>
        <w:fldChar w:fldCharType="end"/>
      </w:r>
    </w:p>
    <w:bookmarkEnd w:id="50"/>
    <w:p w14:paraId="19309EB6" w14:textId="251703CD" w:rsidR="00B1145C" w:rsidRPr="00F05461" w:rsidRDefault="00B1145C" w:rsidP="00B1145C">
      <w:pPr>
        <w:rPr>
          <w:lang w:val="es-ES"/>
        </w:rPr>
      </w:pPr>
      <w:r w:rsidRPr="00F05461">
        <w:rPr>
          <w:lang w:val="es-ES"/>
        </w:rPr>
        <w:t>En cuanto a la utilización de Internet por edad, en todo el mundo, el 82</w:t>
      </w:r>
      <w:r w:rsidR="002D15BD" w:rsidRPr="00F05461">
        <w:rPr>
          <w:lang w:val="es-ES"/>
        </w:rPr>
        <w:t> </w:t>
      </w:r>
      <w:r w:rsidR="00670229" w:rsidRPr="00F05461">
        <w:rPr>
          <w:lang w:val="es-ES"/>
        </w:rPr>
        <w:t>por ciento</w:t>
      </w:r>
      <w:r w:rsidRPr="00F05461">
        <w:rPr>
          <w:lang w:val="es-ES"/>
        </w:rPr>
        <w:t xml:space="preserve"> de las personas de entre 15 y 24</w:t>
      </w:r>
      <w:r w:rsidR="001473A4" w:rsidRPr="00F05461">
        <w:rPr>
          <w:lang w:val="es-ES"/>
        </w:rPr>
        <w:t> </w:t>
      </w:r>
      <w:r w:rsidRPr="00F05461">
        <w:rPr>
          <w:lang w:val="es-ES"/>
        </w:rPr>
        <w:t>años utilizan Internet, esto es, 10</w:t>
      </w:r>
      <w:r w:rsidR="001473A4" w:rsidRPr="00F05461">
        <w:rPr>
          <w:lang w:val="es-ES"/>
        </w:rPr>
        <w:t> </w:t>
      </w:r>
      <w:r w:rsidRPr="00F05461">
        <w:rPr>
          <w:lang w:val="es-ES"/>
        </w:rPr>
        <w:t>puntos porcentuales más que el resto de la población (72</w:t>
      </w:r>
      <w:r w:rsidR="002D15BD" w:rsidRPr="00F05461">
        <w:rPr>
          <w:lang w:val="es-ES"/>
        </w:rPr>
        <w:t> </w:t>
      </w:r>
      <w:r w:rsidR="00BB3432" w:rsidRPr="00F05461">
        <w:rPr>
          <w:lang w:val="es-ES"/>
        </w:rPr>
        <w:t>por ciento</w:t>
      </w:r>
      <w:r w:rsidRPr="00F05461">
        <w:rPr>
          <w:lang w:val="es-ES"/>
        </w:rPr>
        <w:t xml:space="preserve">) (véase la </w:t>
      </w:r>
      <w:hyperlink w:anchor="Figure_12" w:history="1">
        <w:r w:rsidRPr="00F05461">
          <w:rPr>
            <w:rStyle w:val="Hyperlink"/>
            <w:rFonts w:eastAsia="Times New Roman" w:cs="Times New Roman"/>
            <w:szCs w:val="20"/>
            <w:lang w:val="es-ES"/>
          </w:rPr>
          <w:t>Figura</w:t>
        </w:r>
        <w:r w:rsidR="001473A4" w:rsidRPr="00F05461">
          <w:rPr>
            <w:rStyle w:val="Hyperlink"/>
            <w:rFonts w:eastAsia="Times New Roman" w:cs="Times New Roman"/>
            <w:szCs w:val="20"/>
            <w:lang w:val="es-ES"/>
          </w:rPr>
          <w:t> </w:t>
        </w:r>
        <w:r w:rsidRPr="00F05461">
          <w:rPr>
            <w:rStyle w:val="Hyperlink"/>
            <w:rFonts w:eastAsia="Times New Roman" w:cs="Times New Roman"/>
            <w:szCs w:val="20"/>
            <w:lang w:val="es-ES"/>
          </w:rPr>
          <w:t>12</w:t>
        </w:r>
      </w:hyperlink>
      <w:r w:rsidRPr="00F05461">
        <w:rPr>
          <w:lang w:val="es-ES"/>
        </w:rPr>
        <w:t>). Esta brecha generacional, que se observa en todas las regiones, se ha ido reduciendo lentamente en los últimos cuatro</w:t>
      </w:r>
      <w:r w:rsidR="00FD399B" w:rsidRPr="00F05461">
        <w:rPr>
          <w:lang w:val="es-ES"/>
        </w:rPr>
        <w:t> </w:t>
      </w:r>
      <w:r w:rsidRPr="00F05461">
        <w:rPr>
          <w:lang w:val="es-ES"/>
        </w:rPr>
        <w:t xml:space="preserve">años. En este grupo de edad, ya se ha logrado la </w:t>
      </w:r>
      <w:r w:rsidR="007921C3" w:rsidRPr="00F05461">
        <w:rPr>
          <w:lang w:val="es-ES"/>
        </w:rPr>
        <w:t>«</w:t>
      </w:r>
      <w:r w:rsidRPr="00F05461">
        <w:rPr>
          <w:lang w:val="es-ES"/>
        </w:rPr>
        <w:t>universalidad</w:t>
      </w:r>
      <w:r w:rsidR="007921C3" w:rsidRPr="00F05461">
        <w:rPr>
          <w:lang w:val="es-ES"/>
        </w:rPr>
        <w:t>»</w:t>
      </w:r>
      <w:r w:rsidRPr="00F05461">
        <w:rPr>
          <w:lang w:val="es-ES"/>
        </w:rPr>
        <w:t xml:space="preserve"> (es decir, una tasa de penetración del 95</w:t>
      </w:r>
      <w:r w:rsidR="002D15BD" w:rsidRPr="00F05461">
        <w:rPr>
          <w:lang w:val="es-ES"/>
        </w:rPr>
        <w:t> </w:t>
      </w:r>
      <w:r w:rsidR="00BB3432" w:rsidRPr="00F05461">
        <w:rPr>
          <w:lang w:val="es-ES"/>
        </w:rPr>
        <w:t>por ciento</w:t>
      </w:r>
      <w:r w:rsidRPr="00F05461">
        <w:rPr>
          <w:lang w:val="es-ES"/>
        </w:rPr>
        <w:t xml:space="preserve"> como mínimo) en Europa, la región de la</w:t>
      </w:r>
      <w:r w:rsidR="00FD399B" w:rsidRPr="00F05461">
        <w:rPr>
          <w:lang w:val="es-ES"/>
        </w:rPr>
        <w:t> </w:t>
      </w:r>
      <w:r w:rsidRPr="00F05461">
        <w:rPr>
          <w:lang w:val="es-ES"/>
        </w:rPr>
        <w:t>CEI y la región de las Américas.</w:t>
      </w:r>
    </w:p>
    <w:p w14:paraId="79455972" w14:textId="1AC1F1C0" w:rsidR="00B1145C" w:rsidRPr="00F05461" w:rsidRDefault="00B1145C" w:rsidP="00B1145C">
      <w:pPr>
        <w:rPr>
          <w:lang w:val="es-ES"/>
        </w:rPr>
      </w:pPr>
      <w:r w:rsidRPr="00F05461">
        <w:rPr>
          <w:lang w:val="es-ES"/>
        </w:rPr>
        <w:t>En términos relativos, los jóvenes de 15 a 24</w:t>
      </w:r>
      <w:r w:rsidR="00FD399B" w:rsidRPr="00F05461">
        <w:rPr>
          <w:lang w:val="es-ES"/>
        </w:rPr>
        <w:t> </w:t>
      </w:r>
      <w:r w:rsidRPr="00F05461">
        <w:rPr>
          <w:lang w:val="es-ES"/>
        </w:rPr>
        <w:t>años de los países de ingresos bajos tienen 1,9</w:t>
      </w:r>
      <w:r w:rsidR="002D15BD" w:rsidRPr="00F05461">
        <w:rPr>
          <w:lang w:val="es-ES"/>
        </w:rPr>
        <w:t> </w:t>
      </w:r>
      <w:r w:rsidRPr="00F05461">
        <w:rPr>
          <w:lang w:val="es-ES"/>
        </w:rPr>
        <w:t>veces más probabilidades de utilizar Internet que el resto de la población. Se trata de la mayor brecha generacional de todos los grupos de ingresos, ya los jóvenes de 15 a 24</w:t>
      </w:r>
      <w:r w:rsidR="00FD399B" w:rsidRPr="00F05461">
        <w:rPr>
          <w:lang w:val="es-ES"/>
        </w:rPr>
        <w:t> </w:t>
      </w:r>
      <w:r w:rsidRPr="00F05461">
        <w:rPr>
          <w:lang w:val="es-ES"/>
        </w:rPr>
        <w:t>años de los países de ingresos altos s</w:t>
      </w:r>
      <w:r w:rsidR="00BF0FFC" w:rsidRPr="00F05461">
        <w:rPr>
          <w:lang w:val="es-ES"/>
        </w:rPr>
        <w:t>o</w:t>
      </w:r>
      <w:r w:rsidRPr="00F05461">
        <w:rPr>
          <w:lang w:val="es-ES"/>
        </w:rPr>
        <w:t>lo tienen un 5</w:t>
      </w:r>
      <w:r w:rsidR="002D15BD" w:rsidRPr="00F05461">
        <w:rPr>
          <w:lang w:val="es-ES"/>
        </w:rPr>
        <w:t> </w:t>
      </w:r>
      <w:r w:rsidR="00670229" w:rsidRPr="00F05461">
        <w:rPr>
          <w:lang w:val="es-ES"/>
        </w:rPr>
        <w:t>por ciento</w:t>
      </w:r>
      <w:r w:rsidRPr="00F05461">
        <w:rPr>
          <w:lang w:val="es-ES"/>
        </w:rPr>
        <w:t xml:space="preserve"> más de probabilidades de utilizar Internet que el resto de la población.</w:t>
      </w:r>
    </w:p>
    <w:p w14:paraId="7485667E" w14:textId="77777777" w:rsidR="00B1145C" w:rsidRPr="00F05461" w:rsidRDefault="00B1145C" w:rsidP="00E30153">
      <w:pPr>
        <w:pStyle w:val="Figuretitle"/>
        <w:rPr>
          <w:lang w:val="es-ES"/>
        </w:rPr>
      </w:pPr>
      <w:r w:rsidRPr="00F05461">
        <w:rPr>
          <w:lang w:val="es-ES"/>
        </w:rPr>
        <w:lastRenderedPageBreak/>
        <w:t>Porcentaje de personas que utilizan Internet en las zonas urbanas y rurales, 2025</w:t>
      </w:r>
    </w:p>
    <w:p w14:paraId="3A318D6A" w14:textId="30523D37" w:rsidR="00F51AA8" w:rsidRPr="00F05461" w:rsidRDefault="00F51AA8" w:rsidP="00F51AA8">
      <w:pPr>
        <w:pStyle w:val="Figure"/>
        <w:rPr>
          <w:lang w:val="es-ES"/>
        </w:rPr>
      </w:pPr>
      <w:r w:rsidRPr="00F05461">
        <w:rPr>
          <w:noProof/>
          <w:lang w:val="es-ES"/>
        </w:rPr>
        <w:drawing>
          <wp:inline distT="0" distB="0" distL="0" distR="0" wp14:anchorId="16BEE672" wp14:editId="4894A7E4">
            <wp:extent cx="5364000" cy="23256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64000" cy="2325600"/>
                    </a:xfrm>
                    <a:prstGeom prst="rect">
                      <a:avLst/>
                    </a:prstGeom>
                    <a:noFill/>
                  </pic:spPr>
                </pic:pic>
              </a:graphicData>
            </a:graphic>
          </wp:inline>
        </w:drawing>
      </w:r>
    </w:p>
    <w:p w14:paraId="430D2904" w14:textId="63E1A62E" w:rsidR="00B1145C" w:rsidRPr="00F05461" w:rsidRDefault="00B1145C" w:rsidP="00806116">
      <w:pPr>
        <w:pStyle w:val="Figurelegend"/>
        <w:jc w:val="center"/>
        <w:rPr>
          <w:i/>
          <w:iCs/>
          <w:color w:val="1F497D"/>
          <w:lang w:val="es-ES"/>
        </w:rPr>
      </w:pPr>
      <w:bookmarkStart w:id="51" w:name="Section_1_21"/>
      <w:bookmarkStart w:id="52" w:name="Figure_13"/>
      <w:bookmarkEnd w:id="51"/>
      <w:r w:rsidRPr="00F05461">
        <w:rPr>
          <w:i/>
          <w:iCs/>
          <w:color w:val="1F497D"/>
          <w:lang w:val="es-ES"/>
        </w:rPr>
        <w:t>Figura</w:t>
      </w:r>
      <w:r w:rsidR="001473A4" w:rsidRPr="00F05461">
        <w:rPr>
          <w:i/>
          <w:iCs/>
          <w:color w:val="1F497D"/>
          <w:lang w:val="es-ES"/>
        </w:rPr>
        <w:t> </w:t>
      </w:r>
      <w:r w:rsidRPr="00F05461">
        <w:rPr>
          <w:i/>
          <w:iCs/>
          <w:color w:val="1F497D"/>
          <w:lang w:val="es-ES"/>
        </w:rPr>
        <w:t xml:space="preserve">13. Porcentaje de personas que utilizan Internet en las zonas urbanas y rurales, 2025. </w:t>
      </w:r>
      <w:r w:rsidR="009A3B80" w:rsidRPr="00F05461">
        <w:rPr>
          <w:i/>
          <w:iCs/>
          <w:color w:val="1F497D"/>
          <w:lang w:val="es-ES"/>
        </w:rPr>
        <w:br/>
      </w:r>
      <w:r w:rsidR="007B31AB">
        <w:rPr>
          <w:i/>
          <w:iCs/>
          <w:color w:val="1F497D"/>
          <w:lang w:val="es-ES"/>
        </w:rPr>
        <w:t xml:space="preserve">Informe </w:t>
      </w:r>
      <w:r w:rsidRPr="00F05461">
        <w:rPr>
          <w:i/>
          <w:iCs/>
          <w:color w:val="1F497D"/>
          <w:lang w:val="es-ES"/>
        </w:rPr>
        <w:t xml:space="preserve">Facts and Figures </w:t>
      </w:r>
      <w:r w:rsidR="00B933C5" w:rsidRPr="00F05461">
        <w:rPr>
          <w:i/>
          <w:iCs/>
          <w:color w:val="1F497D"/>
          <w:lang w:val="es-ES"/>
        </w:rPr>
        <w:t>de 202</w:t>
      </w:r>
      <w:r w:rsidR="00711F8C" w:rsidRPr="00F05461">
        <w:rPr>
          <w:i/>
          <w:iCs/>
          <w:color w:val="1F497D"/>
          <w:lang w:val="es-ES"/>
        </w:rPr>
        <w:t>5</w:t>
      </w:r>
      <w:r w:rsidRPr="00F05461">
        <w:rPr>
          <w:i/>
          <w:iCs/>
          <w:color w:val="1F497D"/>
          <w:lang w:val="es-ES"/>
        </w:rPr>
        <w:t xml:space="preserve"> de </w:t>
      </w:r>
      <w:r w:rsidR="00296F03" w:rsidRPr="00F05461">
        <w:rPr>
          <w:i/>
          <w:iCs/>
          <w:color w:val="1F497D"/>
          <w:lang w:val="es-ES"/>
        </w:rPr>
        <w:t>la UIT</w:t>
      </w:r>
      <w:r w:rsidRPr="00F05461">
        <w:rPr>
          <w:i/>
          <w:iCs/>
          <w:color w:val="1F497D"/>
          <w:lang w:val="es-ES"/>
        </w:rPr>
        <w:t xml:space="preserve"> (pág.</w:t>
      </w:r>
      <w:r w:rsidR="001473A4" w:rsidRPr="00F05461">
        <w:rPr>
          <w:i/>
          <w:iCs/>
          <w:color w:val="1F497D"/>
          <w:lang w:val="es-ES"/>
        </w:rPr>
        <w:t> </w:t>
      </w:r>
      <w:r w:rsidRPr="00F05461">
        <w:rPr>
          <w:i/>
          <w:iCs/>
          <w:color w:val="1F497D"/>
          <w:lang w:val="es-ES"/>
        </w:rPr>
        <w:t xml:space="preserve">7). </w:t>
      </w:r>
      <w:hyperlink r:id="rId109" w:anchor="chart-1" w:history="1">
        <w:r w:rsidRPr="00F05461">
          <w:rPr>
            <w:rStyle w:val="Hyperlink"/>
            <w:rFonts w:eastAsia="Times New Roman" w:cs="Times New Roman"/>
            <w:i/>
            <w:iCs/>
            <w:color w:val="1F497D"/>
            <w:szCs w:val="20"/>
            <w:u w:val="single"/>
            <w:lang w:val="es-ES"/>
          </w:rPr>
          <w:t>Gráfico interactivo</w:t>
        </w:r>
      </w:hyperlink>
    </w:p>
    <w:bookmarkEnd w:id="52"/>
    <w:p w14:paraId="6AEB6567" w14:textId="64BBB84D" w:rsidR="00B1145C" w:rsidRPr="00F05461" w:rsidRDefault="00B1145C" w:rsidP="00E30153">
      <w:pPr>
        <w:pStyle w:val="Normalaftertitle"/>
        <w:rPr>
          <w:lang w:val="es-ES"/>
        </w:rPr>
      </w:pPr>
      <w:r w:rsidRPr="00F05461">
        <w:rPr>
          <w:lang w:val="es-ES"/>
        </w:rPr>
        <w:t>Se siguen observando disparidades importantes en el uso de Internet entre las zonas urbanas y rurales. A escala mundial, el 85</w:t>
      </w:r>
      <w:r w:rsidR="002D15BD" w:rsidRPr="00F05461">
        <w:rPr>
          <w:lang w:val="es-ES"/>
        </w:rPr>
        <w:t> </w:t>
      </w:r>
      <w:r w:rsidR="00670229" w:rsidRPr="00F05461">
        <w:rPr>
          <w:lang w:val="es-ES"/>
        </w:rPr>
        <w:t>por ciento</w:t>
      </w:r>
      <w:r w:rsidRPr="00F05461">
        <w:rPr>
          <w:lang w:val="es-ES"/>
        </w:rPr>
        <w:t xml:space="preserve"> de los habitantes de zonas urbanas utilizó Internet en 2025, frente a poco más de la mitad de la población rural (58</w:t>
      </w:r>
      <w:r w:rsidR="002D15BD" w:rsidRPr="00F05461">
        <w:rPr>
          <w:lang w:val="es-ES"/>
        </w:rPr>
        <w:t> </w:t>
      </w:r>
      <w:r w:rsidR="00BB3432" w:rsidRPr="00F05461">
        <w:rPr>
          <w:lang w:val="es-ES"/>
        </w:rPr>
        <w:t>por ciento</w:t>
      </w:r>
      <w:r w:rsidRPr="00F05461">
        <w:rPr>
          <w:lang w:val="es-ES"/>
        </w:rPr>
        <w:t>).</w:t>
      </w:r>
    </w:p>
    <w:p w14:paraId="639E1049" w14:textId="1D896C2A" w:rsidR="00B1145C" w:rsidRPr="00F05461" w:rsidRDefault="00B1145C" w:rsidP="00B1145C">
      <w:pPr>
        <w:rPr>
          <w:lang w:val="es-ES"/>
        </w:rPr>
      </w:pPr>
      <w:r w:rsidRPr="00F05461">
        <w:rPr>
          <w:lang w:val="es-ES"/>
        </w:rPr>
        <w:t>La brecha entre las zonas urbanas y las zonas rurales, medida como la ratio entre los dos porcentajes, ha ido disminuyendo lentamente de 1,6 a 1,5 en los últimos cuatro</w:t>
      </w:r>
      <w:r w:rsidR="00FD399B" w:rsidRPr="00F05461">
        <w:rPr>
          <w:lang w:val="es-ES"/>
        </w:rPr>
        <w:t> </w:t>
      </w:r>
      <w:r w:rsidRPr="00F05461">
        <w:rPr>
          <w:lang w:val="es-ES"/>
        </w:rPr>
        <w:t>años. Como era de esperar, es menor en las regiones con una penetración de Internet alta, especialmente Europa (1,1 frente al 2,6 de África). En todas las regiones, se han registrado progresos moderados en los últimos cuatro</w:t>
      </w:r>
      <w:r w:rsidR="00FD399B" w:rsidRPr="00F05461">
        <w:rPr>
          <w:lang w:val="es-ES"/>
        </w:rPr>
        <w:t> </w:t>
      </w:r>
      <w:r w:rsidRPr="00F05461">
        <w:rPr>
          <w:lang w:val="es-ES"/>
        </w:rPr>
        <w:t>años.</w:t>
      </w:r>
    </w:p>
    <w:p w14:paraId="41E3A1B4" w14:textId="2F9145B6" w:rsidR="00B1145C" w:rsidRPr="00F05461" w:rsidRDefault="00B1145C" w:rsidP="00B1145C">
      <w:pPr>
        <w:rPr>
          <w:lang w:val="es-ES"/>
        </w:rPr>
      </w:pPr>
      <w:r w:rsidRPr="00F05461">
        <w:rPr>
          <w:lang w:val="es-ES"/>
        </w:rPr>
        <w:t>En los países de ingresos altos, donde el 94</w:t>
      </w:r>
      <w:r w:rsidR="002D15BD" w:rsidRPr="00F05461">
        <w:rPr>
          <w:lang w:val="es-ES"/>
        </w:rPr>
        <w:t> </w:t>
      </w:r>
      <w:r w:rsidR="001D269F" w:rsidRPr="00F05461">
        <w:rPr>
          <w:lang w:val="es-ES"/>
        </w:rPr>
        <w:t>por ciento</w:t>
      </w:r>
      <w:r w:rsidRPr="00F05461">
        <w:rPr>
          <w:lang w:val="es-ES"/>
        </w:rPr>
        <w:t xml:space="preserve"> de la población utiliza Internet, prácticamente se ha eliminado la brecha entre las zonas urbanas y las zonas rurales, con una ratio media de</w:t>
      </w:r>
      <w:r w:rsidR="00806116" w:rsidRPr="00F05461">
        <w:rPr>
          <w:lang w:val="es-ES"/>
        </w:rPr>
        <w:t> </w:t>
      </w:r>
      <w:r w:rsidRPr="00F05461">
        <w:rPr>
          <w:lang w:val="es-ES"/>
        </w:rPr>
        <w:t>1,1. En cambio, en los países de ingresos bajos, la brecha entre las zonas urbanas y las zonas rurales sigue siendo grande, ya que solo uno de cada siete habitantes de zonas rurales (14</w:t>
      </w:r>
      <w:r w:rsidR="002D15BD" w:rsidRPr="00F05461">
        <w:rPr>
          <w:lang w:val="es-ES"/>
        </w:rPr>
        <w:t> </w:t>
      </w:r>
      <w:r w:rsidR="00BB3432" w:rsidRPr="00F05461">
        <w:rPr>
          <w:lang w:val="es-ES"/>
        </w:rPr>
        <w:t>por ciento</w:t>
      </w:r>
      <w:r w:rsidRPr="00F05461">
        <w:rPr>
          <w:lang w:val="es-ES"/>
        </w:rPr>
        <w:t xml:space="preserve">) está en línea, cifra que equivale a poco más de un tercio de la proporción de habitantes de zonas urbanas (véase la </w:t>
      </w:r>
      <w:hyperlink w:anchor="Figure_13" w:history="1">
        <w:r w:rsidRPr="00F05461">
          <w:rPr>
            <w:rStyle w:val="Hyperlink"/>
            <w:rFonts w:eastAsia="Times New Roman" w:cs="Times New Roman"/>
            <w:szCs w:val="20"/>
            <w:lang w:val="es-ES"/>
          </w:rPr>
          <w:t>Figura</w:t>
        </w:r>
        <w:r w:rsidR="001473A4" w:rsidRPr="00F05461">
          <w:rPr>
            <w:rStyle w:val="Hyperlink"/>
            <w:rFonts w:eastAsia="Times New Roman" w:cs="Times New Roman"/>
            <w:szCs w:val="20"/>
            <w:lang w:val="es-ES"/>
          </w:rPr>
          <w:t> </w:t>
        </w:r>
        <w:r w:rsidRPr="00F05461">
          <w:rPr>
            <w:rStyle w:val="Hyperlink"/>
            <w:rFonts w:eastAsia="Times New Roman" w:cs="Times New Roman"/>
            <w:szCs w:val="20"/>
            <w:lang w:val="es-ES"/>
          </w:rPr>
          <w:t>13</w:t>
        </w:r>
      </w:hyperlink>
      <w:r w:rsidRPr="00F05461">
        <w:rPr>
          <w:lang w:val="es-ES"/>
        </w:rPr>
        <w:t>).</w:t>
      </w:r>
    </w:p>
    <w:p w14:paraId="54BF406B" w14:textId="782DC334" w:rsidR="00B1145C" w:rsidRPr="00F05461" w:rsidRDefault="00B1145C" w:rsidP="00B1145C">
      <w:pPr>
        <w:rPr>
          <w:lang w:val="es-ES"/>
        </w:rPr>
      </w:pPr>
      <w:r w:rsidRPr="00F05461">
        <w:rPr>
          <w:lang w:val="es-ES"/>
        </w:rPr>
        <w:t xml:space="preserve">Esta meta está formulada en términos muy generales y se solapa con la </w:t>
      </w:r>
      <w:r w:rsidR="00670229" w:rsidRPr="00F05461">
        <w:rPr>
          <w:lang w:val="es-ES"/>
        </w:rPr>
        <w:t>Finalidad</w:t>
      </w:r>
      <w:r w:rsidR="001473A4" w:rsidRPr="00F05461">
        <w:rPr>
          <w:lang w:val="es-ES"/>
        </w:rPr>
        <w:t> </w:t>
      </w:r>
      <w:r w:rsidRPr="00F05461">
        <w:rPr>
          <w:lang w:val="es-ES"/>
        </w:rPr>
        <w:t xml:space="preserve">1.7 sobre el uso universal de Internet y otras metas. Ningún indicador puede medir por sí solo todas las brechas digitales. El indicador es idéntico al que ya se ha propuesto para esa meta. Por lo tanto, se recomienda no utilizar esta meta en el Plan estratégico para 2028-2031, sino consolidar todo el seguimiento de las brechas de utilización en el marco de la </w:t>
      </w:r>
      <w:r w:rsidR="00670229" w:rsidRPr="00F05461">
        <w:rPr>
          <w:lang w:val="es-ES"/>
        </w:rPr>
        <w:t>Finalidad</w:t>
      </w:r>
      <w:r w:rsidR="00806116" w:rsidRPr="00F05461">
        <w:rPr>
          <w:lang w:val="es-ES"/>
        </w:rPr>
        <w:t> </w:t>
      </w:r>
      <w:r w:rsidRPr="00F05461">
        <w:rPr>
          <w:lang w:val="es-ES"/>
        </w:rPr>
        <w:t xml:space="preserve">1.7, para la que ya se ha propuesto el desglose por género, edad y ubicación. </w:t>
      </w:r>
    </w:p>
    <w:p w14:paraId="48173465" w14:textId="1D5898F5" w:rsidR="00B1145C" w:rsidRPr="00F05461" w:rsidRDefault="00F01B7B" w:rsidP="003E558F">
      <w:pPr>
        <w:pStyle w:val="Headingb"/>
      </w:pPr>
      <w:r w:rsidRPr="00F05461">
        <w:t>Finalidad</w:t>
      </w:r>
      <w:r w:rsidR="00B1145C" w:rsidRPr="00F05461">
        <w:t xml:space="preserve"> 2.2</w:t>
      </w:r>
      <w:r w:rsidRPr="00F05461">
        <w:t>:</w:t>
      </w:r>
      <w:r w:rsidR="00B1145C" w:rsidRPr="00F05461">
        <w:t xml:space="preserve"> </w:t>
      </w:r>
      <w:r w:rsidRPr="00F05461">
        <w:t>m</w:t>
      </w:r>
      <w:r w:rsidR="00B1145C" w:rsidRPr="00F05461">
        <w:t>ayoría de personas con competencias digitales</w:t>
      </w:r>
    </w:p>
    <w:p w14:paraId="3D41D345" w14:textId="77777777" w:rsidR="00B1145C" w:rsidRPr="00F05461" w:rsidRDefault="00B1145C" w:rsidP="00B1145C">
      <w:pPr>
        <w:rPr>
          <w:lang w:val="es-ES"/>
        </w:rPr>
      </w:pPr>
      <w:r w:rsidRPr="00F05461">
        <w:rPr>
          <w:lang w:val="es-ES"/>
        </w:rPr>
        <w:t>La medición de las competencias de TIC de una persona no se realiza mediante la autoevaluación, ya que los resultados pueden ser subjetivos, sino que se pregunta a las personas si han llevado a cabo recientemente unas tareas concretas que requieren un cierto dominio de las competencias pertinentes. Estas competencias en TIC se clasifican en cinco ámbitos, a saber, comunicación y colaboración; resolución de problemas; seguridad; creación de contenido digital; y alfabetización en información y datos.</w:t>
      </w:r>
    </w:p>
    <w:p w14:paraId="2152C9F9" w14:textId="07A4997C" w:rsidR="00B1145C" w:rsidRPr="00F05461" w:rsidRDefault="00B1145C" w:rsidP="00B1145C">
      <w:pPr>
        <w:rPr>
          <w:lang w:val="es-ES"/>
        </w:rPr>
      </w:pPr>
      <w:r w:rsidRPr="00F05461">
        <w:rPr>
          <w:lang w:val="es-ES"/>
        </w:rPr>
        <w:lastRenderedPageBreak/>
        <w:t>Aunque se ha documentado adecuadamente la importancia de las competencias digitales con el fin de aprovechar las</w:t>
      </w:r>
      <w:r w:rsidR="008A4871" w:rsidRPr="00F05461">
        <w:rPr>
          <w:lang w:val="es-ES"/>
        </w:rPr>
        <w:t> </w:t>
      </w:r>
      <w:r w:rsidRPr="00F05461">
        <w:rPr>
          <w:lang w:val="es-ES"/>
        </w:rPr>
        <w:t>TIC para la prosperidad económica y el bienestar social, la información continúa siendo muy escasa. Tan solo 88</w:t>
      </w:r>
      <w:r w:rsidR="00F811A4" w:rsidRPr="00F05461">
        <w:rPr>
          <w:lang w:val="es-ES"/>
        </w:rPr>
        <w:t> </w:t>
      </w:r>
      <w:r w:rsidRPr="00F05461">
        <w:rPr>
          <w:lang w:val="es-ES"/>
        </w:rPr>
        <w:t>países han presentado datos des</w:t>
      </w:r>
      <w:r w:rsidR="00B933C5" w:rsidRPr="00F05461">
        <w:rPr>
          <w:lang w:val="es-ES"/>
        </w:rPr>
        <w:t>de 202</w:t>
      </w:r>
      <w:r w:rsidRPr="00F05461">
        <w:rPr>
          <w:lang w:val="es-ES"/>
        </w:rPr>
        <w:t>0, y rara vez para todas las áreas de competencias. De ellos, únicamente 48 proporcionan datos comparables sobre los niveles de competencias en TIC y solo ocho informaron sobre los niveles de competencias en general.</w:t>
      </w:r>
    </w:p>
    <w:p w14:paraId="001B0903" w14:textId="77777777" w:rsidR="00B1145C" w:rsidRPr="00F05461" w:rsidRDefault="00B1145C" w:rsidP="00B1145C">
      <w:pPr>
        <w:rPr>
          <w:lang w:val="es-ES"/>
        </w:rPr>
      </w:pPr>
      <w:r w:rsidRPr="00F05461">
        <w:rPr>
          <w:lang w:val="es-ES"/>
        </w:rPr>
        <w:t xml:space="preserve">A pesar de estas carencias, se observan ciertas tendencias y patrones incipientes para las competencias en materia de TIC. Los usuarios de Internet muestran sistemáticamente habilidades de comunicación sólidas. En todos los países que comunican datos sobre </w:t>
      </w:r>
      <w:r w:rsidRPr="00F05461">
        <w:rPr>
          <w:i/>
          <w:iCs/>
          <w:lang w:val="es-ES"/>
        </w:rPr>
        <w:t>comunicación y colaboración</w:t>
      </w:r>
      <w:r w:rsidRPr="00F05461">
        <w:rPr>
          <w:lang w:val="es-ES"/>
        </w:rPr>
        <w:t>, tres cuartas partes de los usuarios de Internet como mínimo poseen al menos competencias básicas en este ámbito, independientemente de los niveles de uso de Internet a nivel nacional.</w:t>
      </w:r>
    </w:p>
    <w:p w14:paraId="28356A5E" w14:textId="0AB0B451" w:rsidR="00B1145C" w:rsidRPr="00F05461" w:rsidRDefault="00B1145C" w:rsidP="00B1145C">
      <w:pPr>
        <w:rPr>
          <w:lang w:val="es-ES"/>
        </w:rPr>
      </w:pPr>
      <w:r w:rsidRPr="00F05461">
        <w:rPr>
          <w:lang w:val="es-ES"/>
        </w:rPr>
        <w:t>Los niveles de competencia en otros ámbitos son más diversos. En los países que comunican datos, la proporción de usuarios de Internet con al menos competencias básicas en alfabetización en información y datos tiende a ser mayor que en otros ámbitos, excepto en la comunicación y la colaboración. Sin embargo, siguen registrándose variaciones sustanciales en todos los ámbitos de las competencias, incluso entre países con niveles de uso de Internet similares. En los ocho países que informaron sobre sus niveles de competencias generales, la proporción de usuarios de Internet con al menos competencias básicas oscila entre el 16</w:t>
      </w:r>
      <w:r w:rsidR="002D15BD" w:rsidRPr="00F05461">
        <w:rPr>
          <w:lang w:val="es-ES"/>
        </w:rPr>
        <w:t> </w:t>
      </w:r>
      <w:r w:rsidR="001D269F" w:rsidRPr="00F05461">
        <w:rPr>
          <w:lang w:val="es-ES"/>
        </w:rPr>
        <w:t>por ciento</w:t>
      </w:r>
      <w:r w:rsidRPr="00F05461">
        <w:rPr>
          <w:lang w:val="es-ES"/>
        </w:rPr>
        <w:t xml:space="preserve"> y el 74</w:t>
      </w:r>
      <w:r w:rsidR="002D15BD" w:rsidRPr="00F05461">
        <w:rPr>
          <w:lang w:val="es-ES"/>
        </w:rPr>
        <w:t> </w:t>
      </w:r>
      <w:r w:rsidR="001D269F" w:rsidRPr="00F05461">
        <w:rPr>
          <w:lang w:val="es-ES"/>
        </w:rPr>
        <w:t>por ciento</w:t>
      </w:r>
      <w:r w:rsidRPr="00F05461">
        <w:rPr>
          <w:lang w:val="es-ES"/>
        </w:rPr>
        <w:t>, lo que representa una diferencia de casi 60</w:t>
      </w:r>
      <w:r w:rsidR="00DF6543" w:rsidRPr="00F05461">
        <w:rPr>
          <w:lang w:val="es-ES"/>
        </w:rPr>
        <w:t> </w:t>
      </w:r>
      <w:r w:rsidRPr="00F05461">
        <w:rPr>
          <w:lang w:val="es-ES"/>
        </w:rPr>
        <w:t>puntos porcentuales.</w:t>
      </w:r>
    </w:p>
    <w:p w14:paraId="243E6D6C" w14:textId="54B81462" w:rsidR="00B1145C" w:rsidRPr="00F05461" w:rsidRDefault="00B1145C" w:rsidP="00B1145C">
      <w:pPr>
        <w:rPr>
          <w:lang w:val="es-ES"/>
        </w:rPr>
      </w:pPr>
      <w:r w:rsidRPr="00F05461">
        <w:rPr>
          <w:lang w:val="es-ES"/>
        </w:rPr>
        <w:t xml:space="preserve">Las competencias digitales son un factor habilitador clave de la conectividad significativa y la transformación digital. Ya no se recopila información sobre el indicador pertinente, que fue sustituido por un indicador que utiliza una </w:t>
      </w:r>
      <w:hyperlink r:id="rId110" w:history="1">
        <w:r w:rsidRPr="00F05461">
          <w:rPr>
            <w:rStyle w:val="Hyperlink"/>
            <w:rFonts w:eastAsia="Times New Roman" w:cs="Times New Roman"/>
            <w:szCs w:val="20"/>
            <w:lang w:val="es-ES"/>
          </w:rPr>
          <w:t>metodología perfeccionada</w:t>
        </w:r>
      </w:hyperlink>
      <w:r w:rsidRPr="00F05461">
        <w:rPr>
          <w:lang w:val="es-ES"/>
        </w:rPr>
        <w:t xml:space="preserve"> introducida por </w:t>
      </w:r>
      <w:r w:rsidR="00296F03" w:rsidRPr="00F05461">
        <w:rPr>
          <w:lang w:val="es-ES"/>
        </w:rPr>
        <w:t>la UIT</w:t>
      </w:r>
      <w:r w:rsidRPr="00F05461">
        <w:rPr>
          <w:lang w:val="es-ES"/>
        </w:rPr>
        <w:t xml:space="preserve"> en 2025. La disponibilidad de datos sigue siendo limitada, aunque se espera que mejore a medida que más países utilicen la metodología perfeccionada para recopilar datos.</w:t>
      </w:r>
    </w:p>
    <w:p w14:paraId="09F87EDC" w14:textId="38594F0B" w:rsidR="00B1145C" w:rsidRPr="00F05461" w:rsidRDefault="00F01B7B" w:rsidP="003E558F">
      <w:pPr>
        <w:pStyle w:val="Headingb"/>
      </w:pPr>
      <w:r w:rsidRPr="00F05461">
        <w:t>Finalidad</w:t>
      </w:r>
      <w:r w:rsidR="00B1145C" w:rsidRPr="00F05461">
        <w:t xml:space="preserve"> 2.3</w:t>
      </w:r>
      <w:r w:rsidRPr="00F05461">
        <w:t>:</w:t>
      </w:r>
      <w:r w:rsidR="00B1145C" w:rsidRPr="00F05461">
        <w:t xml:space="preserve"> </w:t>
      </w:r>
      <w:r w:rsidRPr="00F05461">
        <w:t>u</w:t>
      </w:r>
      <w:r w:rsidR="00B1145C" w:rsidRPr="00F05461">
        <w:t>tilización universal de los servicios de Internet en las empresas</w:t>
      </w:r>
    </w:p>
    <w:p w14:paraId="1D27815C" w14:textId="5FF4F386" w:rsidR="00B1145C" w:rsidRPr="00F05461" w:rsidRDefault="00B1145C" w:rsidP="00B1145C">
      <w:pPr>
        <w:rPr>
          <w:lang w:val="es-ES"/>
        </w:rPr>
      </w:pPr>
      <w:r w:rsidRPr="00F05461">
        <w:rPr>
          <w:lang w:val="es-ES"/>
        </w:rPr>
        <w:t xml:space="preserve">El uso corporativo de Internet es una dimensión importante de la transformación digital. Sin embargo, </w:t>
      </w:r>
      <w:r w:rsidR="00296F03" w:rsidRPr="00F05461">
        <w:rPr>
          <w:lang w:val="es-ES"/>
        </w:rPr>
        <w:t>la UIT</w:t>
      </w:r>
      <w:r w:rsidRPr="00F05461">
        <w:rPr>
          <w:lang w:val="es-ES"/>
        </w:rPr>
        <w:t xml:space="preserve"> no es la fuente principal de estos datos. La</w:t>
      </w:r>
      <w:r w:rsidR="00F14F82" w:rsidRPr="00F05461">
        <w:rPr>
          <w:lang w:val="es-ES"/>
        </w:rPr>
        <w:t> </w:t>
      </w:r>
      <w:r w:rsidRPr="00F05461">
        <w:rPr>
          <w:lang w:val="es-ES"/>
        </w:rPr>
        <w:t>UNCTAD y Eurostat recopilan datos sobre la utilización de las</w:t>
      </w:r>
      <w:r w:rsidR="008A4871" w:rsidRPr="00F05461">
        <w:rPr>
          <w:lang w:val="es-ES"/>
        </w:rPr>
        <w:t> </w:t>
      </w:r>
      <w:r w:rsidRPr="00F05461">
        <w:rPr>
          <w:lang w:val="es-ES"/>
        </w:rPr>
        <w:t>TIC en las empresas. La disponibilidad de datos varía mucho de un país a otro. Sin embargo, actualmente no es posible consultar los promedios mundiales debido a la falta de datos.</w:t>
      </w:r>
    </w:p>
    <w:p w14:paraId="0F9A6C2F" w14:textId="06D6354D" w:rsidR="00B1145C" w:rsidRPr="00F05461" w:rsidRDefault="00F01B7B" w:rsidP="003E558F">
      <w:pPr>
        <w:pStyle w:val="Headingb"/>
      </w:pPr>
      <w:r w:rsidRPr="00F05461">
        <w:t>Finalidad</w:t>
      </w:r>
      <w:r w:rsidR="00B1145C" w:rsidRPr="00F05461">
        <w:t xml:space="preserve"> 2.4</w:t>
      </w:r>
      <w:r w:rsidRPr="00F05461">
        <w:t>:</w:t>
      </w:r>
      <w:r w:rsidR="00B1145C" w:rsidRPr="00F05461">
        <w:t xml:space="preserve"> </w:t>
      </w:r>
      <w:r w:rsidRPr="00F05461">
        <w:t>m</w:t>
      </w:r>
      <w:r w:rsidR="00B1145C" w:rsidRPr="00F05461">
        <w:t>ayoría de personas que acceden a servicios gubernamentales en línea</w:t>
      </w:r>
    </w:p>
    <w:p w14:paraId="3234FEAC" w14:textId="1DA54D51" w:rsidR="00B1145C" w:rsidRPr="00F05461" w:rsidRDefault="00296F03" w:rsidP="00B1145C">
      <w:pPr>
        <w:rPr>
          <w:lang w:val="es-ES"/>
        </w:rPr>
      </w:pPr>
      <w:r w:rsidRPr="00F05461">
        <w:rPr>
          <w:lang w:val="es-ES"/>
        </w:rPr>
        <w:t>La UIT</w:t>
      </w:r>
      <w:r w:rsidR="00B1145C" w:rsidRPr="00F05461">
        <w:rPr>
          <w:lang w:val="es-ES"/>
        </w:rPr>
        <w:t xml:space="preserve"> supervisa este indicador, aunque no es posible conocer los promedios mundiales porque no se dispone de datos suficientes. La utilización de servicios gubernamentales en línea es una dimensión importante de la inclusión digital, pero esta meta se centra en una aplicación específica de Internet y no tiene en cuenta otras aplicaciones, como el comercio electrónico, los pagos digitales o los servicios sanitarios. La disponibilidad de datos es baja y no se generan acumulados globales.</w:t>
      </w:r>
    </w:p>
    <w:p w14:paraId="361ADDC8" w14:textId="32CCFBF6" w:rsidR="00B1145C" w:rsidRPr="00F05461" w:rsidRDefault="00F01B7B" w:rsidP="003E558F">
      <w:pPr>
        <w:pStyle w:val="Headingb"/>
      </w:pPr>
      <w:r w:rsidRPr="00F05461">
        <w:lastRenderedPageBreak/>
        <w:t>Finalidad</w:t>
      </w:r>
      <w:r w:rsidR="00B1145C" w:rsidRPr="00F05461">
        <w:t xml:space="preserve"> 2.5</w:t>
      </w:r>
      <w:r w:rsidRPr="00F05461">
        <w:t>:</w:t>
      </w:r>
      <w:r w:rsidR="00B1145C" w:rsidRPr="00F05461">
        <w:t xml:space="preserve"> </w:t>
      </w:r>
      <w:r w:rsidRPr="00F05461">
        <w:t>a</w:t>
      </w:r>
      <w:r w:rsidR="00B1145C" w:rsidRPr="00F05461">
        <w:t>cción por el clima y el medio ambiente</w:t>
      </w:r>
    </w:p>
    <w:p w14:paraId="05835052" w14:textId="499A4977" w:rsidR="00B3079D" w:rsidRPr="00F05461" w:rsidRDefault="00B3079D" w:rsidP="00DA0F6B">
      <w:pPr>
        <w:keepNext/>
        <w:keepLines/>
        <w:rPr>
          <w:lang w:val="es-ES"/>
        </w:rPr>
      </w:pPr>
      <w:r w:rsidRPr="00F05461">
        <w:rPr>
          <w:lang w:val="es-ES"/>
        </w:rPr>
        <w:t>De los 81</w:t>
      </w:r>
      <w:r w:rsidR="00D66670" w:rsidRPr="00F05461">
        <w:rPr>
          <w:lang w:val="es-ES"/>
        </w:rPr>
        <w:t> </w:t>
      </w:r>
      <w:r w:rsidRPr="00F05461">
        <w:rPr>
          <w:lang w:val="es-ES"/>
        </w:rPr>
        <w:t>países sujetos a una política, legislación o reglamento nacional de residuos electrónicos, 67 tienen disposiciones que promueven el principio de responsabilidad ampliada del productor, 47 habían consagrado en sus reglamentos las metas nacionales de recolección de residuos electrónicos y 37 habían actuado de la misma forma con respecto a las metas nacionales de reciclaje de residuos electrónicos.</w:t>
      </w:r>
    </w:p>
    <w:p w14:paraId="2B11DC1C" w14:textId="0DAEB6F5" w:rsidR="00B1145C" w:rsidRPr="00F05461" w:rsidRDefault="00B3079D" w:rsidP="00B3079D">
      <w:pPr>
        <w:rPr>
          <w:lang w:val="es-ES"/>
        </w:rPr>
      </w:pPr>
      <w:r w:rsidRPr="00F05461">
        <w:rPr>
          <w:lang w:val="es-ES"/>
        </w:rPr>
        <w:t xml:space="preserve">Al mismo tiempo, la </w:t>
      </w:r>
      <w:r w:rsidR="00B1145C" w:rsidRPr="00F05461">
        <w:rPr>
          <w:lang w:val="es-ES"/>
        </w:rPr>
        <w:t xml:space="preserve">cuarta edición del informe </w:t>
      </w:r>
      <w:hyperlink r:id="rId111" w:history="1">
        <w:r w:rsidR="00FE285D" w:rsidRPr="00F05461">
          <w:rPr>
            <w:rStyle w:val="Hyperlink"/>
            <w:rFonts w:eastAsia="Times New Roman" w:cs="Times New Roman"/>
            <w:i/>
            <w:iCs/>
            <w:szCs w:val="20"/>
            <w:lang w:val="es-ES"/>
          </w:rPr>
          <w:t>Greening Digital Companies</w:t>
        </w:r>
      </w:hyperlink>
      <w:r w:rsidRPr="00F05461">
        <w:rPr>
          <w:i/>
          <w:iCs/>
          <w:lang w:val="es-ES"/>
        </w:rPr>
        <w:t xml:space="preserve"> </w:t>
      </w:r>
      <w:r w:rsidR="00B1145C" w:rsidRPr="00F05461">
        <w:rPr>
          <w:lang w:val="es-ES"/>
        </w:rPr>
        <w:t>muestra que las 166</w:t>
      </w:r>
      <w:r w:rsidR="00E30153" w:rsidRPr="00F05461">
        <w:rPr>
          <w:lang w:val="es-ES"/>
        </w:rPr>
        <w:t> </w:t>
      </w:r>
      <w:r w:rsidR="00B1145C" w:rsidRPr="00F05461">
        <w:rPr>
          <w:lang w:val="es-ES"/>
        </w:rPr>
        <w:t xml:space="preserve">empresas digitales que facilitan información sobre las emisiones directas e indirectas </w:t>
      </w:r>
      <w:r w:rsidRPr="00F05461">
        <w:rPr>
          <w:lang w:val="es-ES"/>
        </w:rPr>
        <w:t xml:space="preserve">de </w:t>
      </w:r>
      <w:r w:rsidR="00D66670" w:rsidRPr="00F05461">
        <w:rPr>
          <w:lang w:val="es-ES"/>
        </w:rPr>
        <w:t>gases de efecto invernadero (</w:t>
      </w:r>
      <w:r w:rsidRPr="00F05461">
        <w:rPr>
          <w:lang w:val="es-ES"/>
        </w:rPr>
        <w:t>GEI</w:t>
      </w:r>
      <w:r w:rsidR="00D66670" w:rsidRPr="00F05461">
        <w:rPr>
          <w:lang w:val="es-ES"/>
        </w:rPr>
        <w:t>)</w:t>
      </w:r>
      <w:r w:rsidRPr="00F05461">
        <w:rPr>
          <w:lang w:val="es-ES"/>
        </w:rPr>
        <w:t xml:space="preserve"> </w:t>
      </w:r>
      <w:r w:rsidR="00B1145C" w:rsidRPr="00F05461">
        <w:rPr>
          <w:lang w:val="es-ES"/>
        </w:rPr>
        <w:t>de la electricidad comprada (que representan el 94</w:t>
      </w:r>
      <w:r w:rsidR="002D15BD" w:rsidRPr="00F05461">
        <w:rPr>
          <w:lang w:val="es-ES"/>
        </w:rPr>
        <w:t> </w:t>
      </w:r>
      <w:r w:rsidR="001D269F" w:rsidRPr="00F05461">
        <w:rPr>
          <w:lang w:val="es-ES"/>
        </w:rPr>
        <w:t>por ciento</w:t>
      </w:r>
      <w:r w:rsidR="00B1145C" w:rsidRPr="00F05461">
        <w:rPr>
          <w:lang w:val="es-ES"/>
        </w:rPr>
        <w:t xml:space="preserve"> de los ingresos de las 200</w:t>
      </w:r>
      <w:r w:rsidR="00E30153" w:rsidRPr="00F05461">
        <w:rPr>
          <w:lang w:val="es-ES"/>
        </w:rPr>
        <w:t> </w:t>
      </w:r>
      <w:r w:rsidR="00B1145C" w:rsidRPr="00F05461">
        <w:rPr>
          <w:lang w:val="es-ES"/>
        </w:rPr>
        <w:t>empresas) notificaron 297,3</w:t>
      </w:r>
      <w:r w:rsidR="00E30153" w:rsidRPr="00F05461">
        <w:rPr>
          <w:lang w:val="es-ES"/>
        </w:rPr>
        <w:t> </w:t>
      </w:r>
      <w:r w:rsidR="00B1145C" w:rsidRPr="00F05461">
        <w:rPr>
          <w:lang w:val="es-ES"/>
        </w:rPr>
        <w:t>millones de toneladas de CO</w:t>
      </w:r>
      <w:r w:rsidR="00B1145C" w:rsidRPr="00F05461">
        <w:rPr>
          <w:vertAlign w:val="subscript"/>
          <w:lang w:val="es-ES"/>
        </w:rPr>
        <w:t>2</w:t>
      </w:r>
      <w:r w:rsidR="00B1145C" w:rsidRPr="00F05461">
        <w:rPr>
          <w:lang w:val="es-ES"/>
        </w:rPr>
        <w:t>e en 2023 (esto es, el 0,8</w:t>
      </w:r>
      <w:r w:rsidR="00E30153" w:rsidRPr="00F05461">
        <w:rPr>
          <w:lang w:val="es-ES"/>
        </w:rPr>
        <w:t> </w:t>
      </w:r>
      <w:r w:rsidR="00BB3432" w:rsidRPr="00F05461">
        <w:rPr>
          <w:lang w:val="es-ES"/>
        </w:rPr>
        <w:t>por ciento</w:t>
      </w:r>
      <w:r w:rsidR="00B1145C" w:rsidRPr="00F05461">
        <w:rPr>
          <w:lang w:val="es-ES"/>
        </w:rPr>
        <w:t xml:space="preserve"> del total mundial de emisiones relacionadas con la energía), lo que supone un aumento del 1,4</w:t>
      </w:r>
      <w:r w:rsidR="00E30153" w:rsidRPr="00F05461">
        <w:rPr>
          <w:lang w:val="es-ES"/>
        </w:rPr>
        <w:t> </w:t>
      </w:r>
      <w:r w:rsidR="001D269F" w:rsidRPr="00F05461">
        <w:rPr>
          <w:lang w:val="es-ES"/>
        </w:rPr>
        <w:t>por ciento</w:t>
      </w:r>
      <w:r w:rsidR="00B1145C" w:rsidRPr="00F05461">
        <w:rPr>
          <w:lang w:val="es-ES"/>
        </w:rPr>
        <w:t xml:space="preserve"> con respecto a 2022 (</w:t>
      </w:r>
      <w:r w:rsidR="004A364F" w:rsidRPr="00F05461">
        <w:rPr>
          <w:lang w:val="es-ES"/>
        </w:rPr>
        <w:t>p</w:t>
      </w:r>
      <w:r w:rsidR="00B1145C" w:rsidRPr="00F05461">
        <w:rPr>
          <w:lang w:val="es-ES"/>
        </w:rPr>
        <w:t xml:space="preserve">ara más información sobre </w:t>
      </w:r>
      <w:r w:rsidRPr="00F05461">
        <w:rPr>
          <w:lang w:val="es-ES"/>
        </w:rPr>
        <w:t>el clima y el medio ambiente</w:t>
      </w:r>
      <w:r w:rsidR="00B1145C" w:rsidRPr="00F05461">
        <w:rPr>
          <w:lang w:val="es-ES"/>
        </w:rPr>
        <w:t xml:space="preserve">, véase la </w:t>
      </w:r>
      <w:hyperlink w:anchor="_5.4_Compromiso_con" w:history="1">
        <w:r w:rsidR="00026A3E" w:rsidRPr="00F05461">
          <w:rPr>
            <w:rStyle w:val="Hyperlink"/>
            <w:rFonts w:eastAsia="Times New Roman" w:cs="Times New Roman"/>
            <w:szCs w:val="20"/>
            <w:lang w:val="es-ES"/>
          </w:rPr>
          <w:t>s</w:t>
        </w:r>
        <w:r w:rsidR="00B1145C" w:rsidRPr="00F05461">
          <w:rPr>
            <w:rStyle w:val="Hyperlink"/>
            <w:rFonts w:eastAsia="Times New Roman" w:cs="Times New Roman"/>
            <w:szCs w:val="20"/>
            <w:lang w:val="es-ES"/>
          </w:rPr>
          <w:t>ección</w:t>
        </w:r>
        <w:r w:rsidR="00E30153"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5.4</w:t>
        </w:r>
      </w:hyperlink>
      <w:r w:rsidR="00B1145C" w:rsidRPr="00F05461">
        <w:rPr>
          <w:lang w:val="es-ES"/>
        </w:rPr>
        <w:t>)</w:t>
      </w:r>
      <w:r w:rsidR="004A364F" w:rsidRPr="00F05461">
        <w:rPr>
          <w:lang w:val="es-ES"/>
        </w:rPr>
        <w:t>.</w:t>
      </w:r>
    </w:p>
    <w:p w14:paraId="38F20502" w14:textId="22668CA2" w:rsidR="00B1145C" w:rsidRPr="00F05461" w:rsidRDefault="00B1145C" w:rsidP="00B1145C">
      <w:pPr>
        <w:rPr>
          <w:lang w:val="es-ES"/>
        </w:rPr>
      </w:pPr>
      <w:r w:rsidRPr="00F05461">
        <w:rPr>
          <w:lang w:val="es-ES"/>
        </w:rPr>
        <w:t>El impacto medioambiental de las</w:t>
      </w:r>
      <w:r w:rsidR="001E7BC1" w:rsidRPr="00F05461">
        <w:rPr>
          <w:lang w:val="es-ES"/>
        </w:rPr>
        <w:t> </w:t>
      </w:r>
      <w:r w:rsidRPr="00F05461">
        <w:rPr>
          <w:lang w:val="es-ES"/>
        </w:rPr>
        <w:t>TIC está aumentando con rapidez, impulsado por el creciente número de dispositivos conectados, la expansión de los centros de datos y el ascenso de las aplicaciones de</w:t>
      </w:r>
      <w:r w:rsidR="00276E5C">
        <w:rPr>
          <w:lang w:val="es-ES"/>
        </w:rPr>
        <w:t> IA</w:t>
      </w:r>
      <w:r w:rsidRPr="00F05461">
        <w:rPr>
          <w:lang w:val="es-ES"/>
        </w:rPr>
        <w:t>. Estas tendencias están acelerando la demanda de energía y materias primas y aumentando las emisiones, la contaminación y la generación de residuos electrónicos. Por consiguiente, se debería reformular la meta en el Plan estratégico para 2028-2031 a fin de incluir explícitamente la reducción de los efectos medioambientales negativos de las</w:t>
      </w:r>
      <w:r w:rsidR="001E7BC1" w:rsidRPr="00F05461">
        <w:rPr>
          <w:lang w:val="es-ES"/>
        </w:rPr>
        <w:t> </w:t>
      </w:r>
      <w:r w:rsidRPr="00F05461">
        <w:rPr>
          <w:lang w:val="es-ES"/>
        </w:rPr>
        <w:t>TIC.</w:t>
      </w:r>
    </w:p>
    <w:p w14:paraId="1F260428" w14:textId="7E0AD841" w:rsidR="0017249C" w:rsidRPr="00F05461" w:rsidRDefault="0017249C" w:rsidP="0017249C">
      <w:pPr>
        <w:rPr>
          <w:lang w:val="es-ES"/>
        </w:rPr>
      </w:pPr>
      <w:r w:rsidRPr="00F05461">
        <w:rPr>
          <w:lang w:val="es-ES"/>
        </w:rPr>
        <w:t xml:space="preserve">Se puede encontrar información adicional </w:t>
      </w:r>
      <w:r w:rsidR="00B3079D" w:rsidRPr="00F05461">
        <w:rPr>
          <w:lang w:val="es-ES"/>
        </w:rPr>
        <w:t xml:space="preserve">de todas estas metas </w:t>
      </w:r>
      <w:r w:rsidRPr="00F05461">
        <w:rPr>
          <w:lang w:val="es-ES"/>
        </w:rPr>
        <w:t xml:space="preserve">en la última edición de los informes emblemáticos de </w:t>
      </w:r>
      <w:r w:rsidR="00296F03" w:rsidRPr="00F05461">
        <w:rPr>
          <w:lang w:val="es-ES"/>
        </w:rPr>
        <w:t>la UIT</w:t>
      </w:r>
      <w:r w:rsidRPr="00F05461">
        <w:rPr>
          <w:i/>
          <w:iCs/>
          <w:lang w:val="es-ES"/>
        </w:rPr>
        <w:t xml:space="preserve"> </w:t>
      </w:r>
      <w:r>
        <w:fldChar w:fldCharType="begin"/>
      </w:r>
      <w:r w:rsidRPr="009A0A46">
        <w:rPr>
          <w:lang w:val="es-ES"/>
        </w:rPr>
        <w:instrText>HYPERLINK "https://www.itu.int/en/ITU-D/Statistics/Pages/facts/default.aspx"</w:instrText>
      </w:r>
      <w:r>
        <w:fldChar w:fldCharType="separate"/>
      </w:r>
      <w:r w:rsidRPr="00F05461">
        <w:rPr>
          <w:rStyle w:val="Hyperlink"/>
          <w:rFonts w:eastAsia="Times New Roman" w:cs="Times New Roman"/>
          <w:i/>
          <w:iCs/>
          <w:szCs w:val="20"/>
          <w:lang w:val="es-ES"/>
        </w:rPr>
        <w:t>Measuring digital development: Facts and Figures 2024</w:t>
      </w:r>
      <w:r>
        <w:fldChar w:fldCharType="end"/>
      </w:r>
      <w:r w:rsidRPr="00F05461">
        <w:rPr>
          <w:i/>
          <w:iCs/>
          <w:lang w:val="es-ES"/>
        </w:rPr>
        <w:t xml:space="preserve"> </w:t>
      </w:r>
      <w:r w:rsidRPr="00F05461">
        <w:rPr>
          <w:lang w:val="es-ES"/>
        </w:rPr>
        <w:t xml:space="preserve">y </w:t>
      </w:r>
      <w:r>
        <w:fldChar w:fldCharType="begin"/>
      </w:r>
      <w:r w:rsidRPr="009A0A46">
        <w:rPr>
          <w:lang w:val="es-ES"/>
        </w:rPr>
        <w:instrText>HYPERLINK "https://www.itu.int/itu-d/reports/statistics/facts-figures-for-lldc/"</w:instrText>
      </w:r>
      <w:r>
        <w:fldChar w:fldCharType="separate"/>
      </w:r>
      <w:r w:rsidRPr="00F05461">
        <w:rPr>
          <w:rStyle w:val="Hyperlink"/>
          <w:rFonts w:eastAsia="Times New Roman" w:cs="Times New Roman"/>
          <w:i/>
          <w:iCs/>
          <w:szCs w:val="20"/>
          <w:lang w:val="es-ES"/>
        </w:rPr>
        <w:t>Measuring digital development: Facts and Figures: Focus on Landlocked Developing Countries July 2025</w:t>
      </w:r>
      <w:r>
        <w:fldChar w:fldCharType="end"/>
      </w:r>
      <w:r w:rsidRPr="00F05461">
        <w:rPr>
          <w:lang w:val="es-ES"/>
        </w:rPr>
        <w:t xml:space="preserve">, así como en el </w:t>
      </w:r>
      <w:r w:rsidR="00F05461">
        <w:fldChar w:fldCharType="begin"/>
      </w:r>
      <w:r w:rsidR="00F05461" w:rsidRPr="009A0A46">
        <w:rPr>
          <w:lang w:val="es-ES"/>
        </w:rPr>
        <w:instrText>HYPERLINK "https://www.itu.int/itu-d/reports/statistics/global-connectivity-report-2025/"</w:instrText>
      </w:r>
      <w:r w:rsidR="00F05461">
        <w:fldChar w:fldCharType="separate"/>
      </w:r>
      <w:r w:rsidR="00F05461" w:rsidRPr="00F05461">
        <w:rPr>
          <w:rStyle w:val="Hyperlink"/>
          <w:rFonts w:eastAsia="Times New Roman" w:cs="Times New Roman"/>
          <w:i/>
          <w:iCs/>
          <w:szCs w:val="20"/>
          <w:lang w:val="es-ES"/>
        </w:rPr>
        <w:t>Informe sobre la conectividad mundial 2025</w:t>
      </w:r>
      <w:r w:rsidR="00F05461">
        <w:fldChar w:fldCharType="end"/>
      </w:r>
      <w:r w:rsidRPr="00F05461">
        <w:rPr>
          <w:lang w:val="es-ES"/>
        </w:rPr>
        <w:t>.</w:t>
      </w:r>
      <w:r>
        <w:fldChar w:fldCharType="begin"/>
      </w:r>
      <w:r w:rsidRPr="009A0A46">
        <w:rPr>
          <w:lang w:val="es-ES"/>
        </w:rPr>
        <w:instrText>HYPERLINK "https://www.itu.int/en/ITU-D/Statistics/Pages/facts/default.aspx"</w:instrText>
      </w:r>
      <w:r>
        <w:fldChar w:fldCharType="separate"/>
      </w:r>
      <w:r>
        <w:fldChar w:fldCharType="end"/>
      </w:r>
      <w:r>
        <w:fldChar w:fldCharType="begin"/>
      </w:r>
      <w:r w:rsidRPr="009A0A46">
        <w:rPr>
          <w:lang w:val="es-ES"/>
        </w:rPr>
        <w:instrText>HYPERLINK "https://www.itu.int/itu-d/reports/statistics/facts-figures-for-lldc/"</w:instrText>
      </w:r>
      <w:r>
        <w:fldChar w:fldCharType="separate"/>
      </w:r>
      <w:r>
        <w:fldChar w:fldCharType="end"/>
      </w:r>
      <w:r>
        <w:fldChar w:fldCharType="begin"/>
      </w:r>
      <w:r w:rsidRPr="009A0A46">
        <w:rPr>
          <w:lang w:val="es-ES"/>
        </w:rPr>
        <w:instrText>HYPERLINK "https://www.itu.int/itu-d/reports/statistics/global-connectivity-report-2025/"</w:instrText>
      </w:r>
      <w:r>
        <w:fldChar w:fldCharType="separate"/>
      </w:r>
      <w:r>
        <w:fldChar w:fldCharType="end"/>
      </w:r>
    </w:p>
    <w:p w14:paraId="4B4E438D" w14:textId="77777777" w:rsidR="004A6F6F" w:rsidRPr="00F05461" w:rsidRDefault="004A6F6F" w:rsidP="004A6F6F">
      <w:pPr>
        <w:pStyle w:val="Figuretitle"/>
        <w:rPr>
          <w:lang w:val="es-ES"/>
        </w:rPr>
      </w:pPr>
      <w:r w:rsidRPr="00F05461">
        <w:rPr>
          <w:lang w:val="es-ES"/>
        </w:rPr>
        <w:t>Previsiones de generación de residuos electrónicos en el mundo, 2010-2030</w:t>
      </w:r>
    </w:p>
    <w:p w14:paraId="407AC430" w14:textId="2D1FEC5D" w:rsidR="00017D23" w:rsidRPr="00F05461" w:rsidRDefault="00017D23" w:rsidP="00017D23">
      <w:pPr>
        <w:pStyle w:val="Figure"/>
        <w:rPr>
          <w:lang w:val="es-ES"/>
        </w:rPr>
      </w:pPr>
      <w:r w:rsidRPr="00F05461">
        <w:rPr>
          <w:noProof/>
          <w:lang w:val="es-ES"/>
        </w:rPr>
        <w:drawing>
          <wp:inline distT="0" distB="0" distL="0" distR="0" wp14:anchorId="3CBB83AD" wp14:editId="00B7602A">
            <wp:extent cx="4618800" cy="254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18800" cy="2541600"/>
                    </a:xfrm>
                    <a:prstGeom prst="rect">
                      <a:avLst/>
                    </a:prstGeom>
                    <a:noFill/>
                  </pic:spPr>
                </pic:pic>
              </a:graphicData>
            </a:graphic>
          </wp:inline>
        </w:drawing>
      </w:r>
    </w:p>
    <w:p w14:paraId="65AA2BF5" w14:textId="77777777" w:rsidR="004A6F6F" w:rsidRPr="00F05461" w:rsidRDefault="004A6F6F" w:rsidP="004A6F6F">
      <w:pPr>
        <w:pStyle w:val="Figurelegend"/>
        <w:jc w:val="center"/>
        <w:rPr>
          <w:i/>
          <w:iCs/>
          <w:color w:val="1F497D"/>
          <w:lang w:val="es-ES"/>
        </w:rPr>
      </w:pPr>
      <w:r w:rsidRPr="00F05461">
        <w:rPr>
          <w:i/>
          <w:iCs/>
          <w:color w:val="1F497D"/>
          <w:lang w:val="es-ES"/>
        </w:rPr>
        <w:t xml:space="preserve">Figura 14. Previsiones de generación de residuos electrónicos en el mundo, 2010-2030. Observatorio internacional sobre residuos electrónicos 2024 (pág. 28). </w:t>
      </w:r>
      <w:r w:rsidRPr="00F05461">
        <w:rPr>
          <w:i/>
          <w:iCs/>
          <w:color w:val="7F7F7F"/>
          <w:lang w:val="es-ES"/>
        </w:rPr>
        <w:t xml:space="preserve">Figura adaptada, véase más información </w:t>
      </w:r>
      <w:hyperlink r:id="rId113" w:history="1">
        <w:r w:rsidRPr="00F05461">
          <w:rPr>
            <w:rStyle w:val="Hyperlink"/>
            <w:rFonts w:eastAsia="Times New Roman" w:cs="Times New Roman"/>
            <w:i/>
            <w:iCs/>
            <w:color w:val="7F7F7F"/>
            <w:szCs w:val="20"/>
            <w:u w:val="single"/>
            <w:lang w:val="es-ES"/>
          </w:rPr>
          <w:t>aquí</w:t>
        </w:r>
      </w:hyperlink>
      <w:r w:rsidRPr="00F05461">
        <w:rPr>
          <w:i/>
          <w:iCs/>
          <w:color w:val="7F7F7F"/>
          <w:lang w:val="es-ES"/>
        </w:rPr>
        <w:t>.</w:t>
      </w:r>
    </w:p>
    <w:p w14:paraId="049EC747" w14:textId="02B9EAA8" w:rsidR="00A55E7E" w:rsidRPr="00F05461" w:rsidRDefault="00A55E7E" w:rsidP="00A55E7E">
      <w:pPr>
        <w:rPr>
          <w:lang w:val="es-ES"/>
        </w:rPr>
      </w:pPr>
      <w:r w:rsidRPr="00F05461">
        <w:rPr>
          <w:lang w:val="es-ES"/>
        </w:rPr>
        <w:br w:type="page"/>
      </w:r>
    </w:p>
    <w:p w14:paraId="14511C2E" w14:textId="053CB2AA" w:rsidR="00B1145C" w:rsidRPr="00DA0F6B" w:rsidRDefault="00B1145C" w:rsidP="003E63FE">
      <w:pPr>
        <w:pStyle w:val="Heading1"/>
        <w:rPr>
          <w:color w:val="1F497D"/>
          <w:lang w:val="es-ES"/>
        </w:rPr>
      </w:pPr>
      <w:bookmarkStart w:id="53" w:name="_Toc227137463"/>
      <w:r w:rsidRPr="00DA0F6B">
        <w:rPr>
          <w:color w:val="1F497D"/>
          <w:lang w:val="es-ES"/>
        </w:rPr>
        <w:lastRenderedPageBreak/>
        <w:t>4</w:t>
      </w:r>
      <w:r w:rsidRPr="00DA0F6B">
        <w:rPr>
          <w:color w:val="1F497D"/>
          <w:lang w:val="es-ES"/>
        </w:rPr>
        <w:tab/>
        <w:t>Productos y servicios</w:t>
      </w:r>
      <w:bookmarkEnd w:id="53"/>
    </w:p>
    <w:p w14:paraId="06B2BDF9" w14:textId="45C93AD5" w:rsidR="00B1145C" w:rsidRPr="00F05461" w:rsidRDefault="00B1145C" w:rsidP="003E63FE">
      <w:pPr>
        <w:pStyle w:val="Heading2"/>
        <w:rPr>
          <w:lang w:val="es-ES"/>
        </w:rPr>
      </w:pPr>
      <w:bookmarkStart w:id="54" w:name="_Toc227137464"/>
      <w:r w:rsidRPr="00F05461">
        <w:rPr>
          <w:lang w:val="es-ES"/>
        </w:rPr>
        <w:t>4.1</w:t>
      </w:r>
      <w:r w:rsidRPr="00F05461">
        <w:rPr>
          <w:lang w:val="es-ES"/>
        </w:rPr>
        <w:tab/>
        <w:t xml:space="preserve">Elaboración y aplicación de los Reglamentos Administrativos de </w:t>
      </w:r>
      <w:r w:rsidR="00296F03" w:rsidRPr="00F05461">
        <w:rPr>
          <w:lang w:val="es-ES"/>
        </w:rPr>
        <w:t>la UIT</w:t>
      </w:r>
      <w:bookmarkEnd w:id="54"/>
    </w:p>
    <w:p w14:paraId="122EA1D9" w14:textId="77777777" w:rsidR="00B1145C" w:rsidRPr="00F05461" w:rsidRDefault="00B1145C" w:rsidP="003E63FE">
      <w:pPr>
        <w:pStyle w:val="Heading3"/>
      </w:pPr>
      <w:bookmarkStart w:id="55" w:name="_Toc227137465"/>
      <w:r w:rsidRPr="00F05461">
        <w:t>4.1.1</w:t>
      </w:r>
      <w:r w:rsidRPr="00F05461">
        <w:tab/>
        <w:t>Reglamento de Radiocomunicaciones</w:t>
      </w:r>
      <w:bookmarkEnd w:id="55"/>
    </w:p>
    <w:p w14:paraId="2203B1A3" w14:textId="14720250" w:rsidR="00B1145C" w:rsidRPr="00F05461" w:rsidRDefault="00296F03" w:rsidP="00B1145C">
      <w:pPr>
        <w:rPr>
          <w:lang w:val="es-ES"/>
        </w:rPr>
      </w:pPr>
      <w:r w:rsidRPr="00F05461">
        <w:rPr>
          <w:lang w:val="es-ES"/>
        </w:rPr>
        <w:t>La UIT</w:t>
      </w:r>
      <w:r w:rsidR="00B1145C" w:rsidRPr="00F05461">
        <w:rPr>
          <w:lang w:val="es-ES"/>
        </w:rPr>
        <w:t xml:space="preserve"> es responsable del mantenimiento del Reglamento de Radiocomunicaciones, que es el tratado internacional que regula el uso del espectro de radiofrecuencias y de las órbitas de satélites para todos los tipos de comunicaciones inalámbricas. Al defender las normas y facilitar la cooperación internacional conexa, la Organización apoya el acceso equitativo y el uso racional del espectro y las órbitas como recursos naturales limitados.</w:t>
      </w:r>
    </w:p>
    <w:p w14:paraId="02C28FB6" w14:textId="633A4EC8" w:rsidR="00B1145C" w:rsidRPr="00F05461" w:rsidRDefault="00B1145C" w:rsidP="00B1145C">
      <w:pPr>
        <w:rPr>
          <w:lang w:val="es-ES"/>
        </w:rPr>
      </w:pPr>
      <w:r w:rsidRPr="00F05461">
        <w:rPr>
          <w:lang w:val="es-ES"/>
        </w:rPr>
        <w:t xml:space="preserve">Por conducto de </w:t>
      </w:r>
      <w:r w:rsidR="00296F03" w:rsidRPr="00F05461">
        <w:rPr>
          <w:lang w:val="es-ES"/>
        </w:rPr>
        <w:t>la UIT</w:t>
      </w:r>
      <w:r w:rsidRPr="00F05461">
        <w:rPr>
          <w:lang w:val="es-ES"/>
        </w:rPr>
        <w:t xml:space="preserve">, las administraciones acuerdan la atribución y gestión de las radiofrecuencias, así como los procedimientos para la coordinación a fin de evitar las interferencias radioeléctricas perjudiciales. </w:t>
      </w:r>
      <w:r w:rsidR="00296F03" w:rsidRPr="00F05461">
        <w:rPr>
          <w:lang w:val="es-ES"/>
        </w:rPr>
        <w:t>La UIT</w:t>
      </w:r>
      <w:r w:rsidRPr="00F05461">
        <w:rPr>
          <w:lang w:val="es-ES"/>
        </w:rPr>
        <w:t xml:space="preserve"> y su Oficina de Radiocomunicaciones facilitan estas actividades, apoyando a los Estados Miembros de todo el mundo con conocimientos especializados sobre las comunicaciones en la tierra, el mar, el aire y el espacio.</w:t>
      </w:r>
    </w:p>
    <w:p w14:paraId="7D0FF641" w14:textId="4C74BE8F" w:rsidR="00B1145C" w:rsidRPr="00F05461" w:rsidRDefault="00B1145C" w:rsidP="00B1145C">
      <w:pPr>
        <w:rPr>
          <w:lang w:val="es-ES"/>
        </w:rPr>
      </w:pPr>
      <w:r w:rsidRPr="00F05461">
        <w:rPr>
          <w:lang w:val="es-ES"/>
        </w:rPr>
        <w:t xml:space="preserve">La Oficina de Radiocomunicaciones aplicó los resultados de la </w:t>
      </w:r>
      <w:hyperlink r:id="rId114" w:history="1">
        <w:r w:rsidRPr="00F05461">
          <w:rPr>
            <w:rStyle w:val="Hyperlink"/>
            <w:rFonts w:eastAsia="Times New Roman" w:cs="Times New Roman"/>
            <w:szCs w:val="20"/>
            <w:lang w:val="es-ES"/>
          </w:rPr>
          <w:t>CMR-23</w:t>
        </w:r>
      </w:hyperlink>
      <w:r w:rsidRPr="00F05461">
        <w:rPr>
          <w:lang w:val="es-ES"/>
        </w:rPr>
        <w:t xml:space="preserve"> y está trabajando en los preparativos para la </w:t>
      </w:r>
      <w:hyperlink r:id="rId115" w:history="1">
        <w:r w:rsidRPr="00F05461">
          <w:rPr>
            <w:rStyle w:val="Hyperlink"/>
            <w:rFonts w:eastAsia="Times New Roman" w:cs="Times New Roman"/>
            <w:szCs w:val="20"/>
            <w:lang w:val="es-ES"/>
          </w:rPr>
          <w:t>CMR-27</w:t>
        </w:r>
      </w:hyperlink>
      <w:r w:rsidRPr="00F05461">
        <w:rPr>
          <w:lang w:val="es-ES"/>
        </w:rPr>
        <w:t>.</w:t>
      </w:r>
    </w:p>
    <w:p w14:paraId="68672435" w14:textId="77777777" w:rsidR="00B1145C" w:rsidRPr="00F05461" w:rsidRDefault="00B1145C" w:rsidP="00B1145C">
      <w:pPr>
        <w:rPr>
          <w:lang w:val="es-ES"/>
        </w:rPr>
      </w:pPr>
      <w:r w:rsidRPr="00F05461">
        <w:rPr>
          <w:lang w:val="es-ES"/>
        </w:rPr>
        <w:t>En concreto:</w:t>
      </w:r>
    </w:p>
    <w:p w14:paraId="57E4FB1D" w14:textId="7F08B5D6" w:rsidR="00B1145C" w:rsidRPr="00F05461" w:rsidRDefault="00B1145C" w:rsidP="003E558F">
      <w:pPr>
        <w:pStyle w:val="enumlev1"/>
        <w:rPr>
          <w:lang w:val="es-ES"/>
        </w:rPr>
      </w:pPr>
      <w:r w:rsidRPr="00F05461">
        <w:rPr>
          <w:lang w:val="es-ES"/>
        </w:rPr>
        <w:t>•</w:t>
      </w:r>
      <w:r w:rsidRPr="00F05461">
        <w:rPr>
          <w:lang w:val="es-ES"/>
        </w:rPr>
        <w:tab/>
        <w:t xml:space="preserve">La nueva edición del </w:t>
      </w:r>
      <w:hyperlink r:id="rId116" w:history="1">
        <w:r w:rsidRPr="00F05461">
          <w:rPr>
            <w:rStyle w:val="Hyperlink"/>
            <w:rFonts w:eastAsia="Times New Roman" w:cs="Times New Roman"/>
            <w:szCs w:val="20"/>
            <w:lang w:val="es-ES"/>
          </w:rPr>
          <w:t>Reglamento de Radiocomunicaciones</w:t>
        </w:r>
      </w:hyperlink>
      <w:r w:rsidRPr="00F05461">
        <w:rPr>
          <w:lang w:val="es-ES"/>
        </w:rPr>
        <w:t xml:space="preserve">, que contiene las actas finales aprobadas por la CMR-23, se publicó en 2024 y se puede descargar gratuitamente del sitio web de </w:t>
      </w:r>
      <w:r w:rsidR="00296F03" w:rsidRPr="00F05461">
        <w:rPr>
          <w:lang w:val="es-ES"/>
        </w:rPr>
        <w:t>la UIT</w:t>
      </w:r>
      <w:r w:rsidRPr="00F05461">
        <w:rPr>
          <w:lang w:val="es-ES"/>
        </w:rPr>
        <w:t>.</w:t>
      </w:r>
    </w:p>
    <w:p w14:paraId="06827D07" w14:textId="77777777" w:rsidR="00B1145C" w:rsidRPr="00F05461" w:rsidRDefault="00B1145C" w:rsidP="003E558F">
      <w:pPr>
        <w:pStyle w:val="enumlev1"/>
        <w:rPr>
          <w:lang w:val="es-ES"/>
        </w:rPr>
      </w:pPr>
      <w:r w:rsidRPr="00F05461">
        <w:rPr>
          <w:lang w:val="es-ES"/>
        </w:rPr>
        <w:t>•</w:t>
      </w:r>
      <w:r w:rsidRPr="00F05461">
        <w:rPr>
          <w:lang w:val="es-ES"/>
        </w:rPr>
        <w:tab/>
        <w:t xml:space="preserve">La Oficina de Radiocomunicaciones sigue actualizando y manteniendo herramientas de </w:t>
      </w:r>
      <w:r w:rsidRPr="00F05461">
        <w:rPr>
          <w:i/>
          <w:iCs/>
          <w:lang w:val="es-ES"/>
        </w:rPr>
        <w:t>software</w:t>
      </w:r>
      <w:r w:rsidRPr="00F05461">
        <w:rPr>
          <w:lang w:val="es-ES"/>
        </w:rPr>
        <w:t xml:space="preserve"> para facilitar la aplicación, la utilización y el análisis del Reglamento de Radiocomunicaciones.</w:t>
      </w:r>
    </w:p>
    <w:p w14:paraId="570321D3" w14:textId="531DB526" w:rsidR="00B1145C" w:rsidRPr="00F05461" w:rsidRDefault="00B1145C" w:rsidP="003E558F">
      <w:pPr>
        <w:pStyle w:val="enumlev1"/>
        <w:rPr>
          <w:lang w:val="es-ES"/>
        </w:rPr>
      </w:pPr>
      <w:r w:rsidRPr="00F05461">
        <w:rPr>
          <w:lang w:val="es-ES"/>
        </w:rPr>
        <w:t>•</w:t>
      </w:r>
      <w:r w:rsidRPr="00F05461">
        <w:rPr>
          <w:lang w:val="es-ES"/>
        </w:rPr>
        <w:tab/>
        <w:t xml:space="preserve">Se han actualizado el </w:t>
      </w:r>
      <w:hyperlink r:id="rId117" w:history="1">
        <w:r w:rsidRPr="00F05461">
          <w:rPr>
            <w:rStyle w:val="Hyperlink"/>
            <w:rFonts w:eastAsia="Times New Roman" w:cs="Times New Roman"/>
            <w:szCs w:val="20"/>
            <w:lang w:val="es-ES"/>
          </w:rPr>
          <w:t>Cuadro de Atribución de Frecuencias del Artículo</w:t>
        </w:r>
        <w:r w:rsidR="00FD399B" w:rsidRPr="00F05461">
          <w:rPr>
            <w:rStyle w:val="Hyperlink"/>
            <w:rFonts w:eastAsia="Times New Roman" w:cs="Times New Roman"/>
            <w:szCs w:val="20"/>
            <w:lang w:val="es-ES"/>
          </w:rPr>
          <w:t> </w:t>
        </w:r>
        <w:r w:rsidRPr="00F05461">
          <w:rPr>
            <w:rStyle w:val="Hyperlink"/>
            <w:rFonts w:eastAsia="Times New Roman" w:cs="Times New Roman"/>
            <w:szCs w:val="20"/>
            <w:lang w:val="es-ES"/>
          </w:rPr>
          <w:t>5 del</w:t>
        </w:r>
        <w:r w:rsidR="00FD399B" w:rsidRPr="00F05461">
          <w:rPr>
            <w:rStyle w:val="Hyperlink"/>
            <w:rFonts w:eastAsia="Times New Roman" w:cs="Times New Roman"/>
            <w:szCs w:val="20"/>
            <w:lang w:val="es-ES"/>
          </w:rPr>
          <w:t> </w:t>
        </w:r>
        <w:r w:rsidRPr="00F05461">
          <w:rPr>
            <w:rStyle w:val="Hyperlink"/>
            <w:rFonts w:eastAsia="Times New Roman" w:cs="Times New Roman"/>
            <w:szCs w:val="20"/>
            <w:lang w:val="es-ES"/>
          </w:rPr>
          <w:t>RR</w:t>
        </w:r>
      </w:hyperlink>
      <w:r w:rsidRPr="00F05461">
        <w:rPr>
          <w:lang w:val="es-ES"/>
        </w:rPr>
        <w:t xml:space="preserve"> y la </w:t>
      </w:r>
      <w:hyperlink r:id="rId118" w:history="1">
        <w:r w:rsidRPr="00F05461">
          <w:rPr>
            <w:rStyle w:val="Hyperlink"/>
            <w:rFonts w:eastAsia="Times New Roman" w:cs="Times New Roman"/>
            <w:szCs w:val="20"/>
            <w:lang w:val="es-ES"/>
          </w:rPr>
          <w:t>Herramienta de navegación del Reglamento de Radiocomunicaciones</w:t>
        </w:r>
      </w:hyperlink>
      <w:r w:rsidRPr="00F05461">
        <w:rPr>
          <w:lang w:val="es-ES"/>
        </w:rPr>
        <w:t xml:space="preserve"> de acuerdo con la edición </w:t>
      </w:r>
      <w:r w:rsidR="00B933C5" w:rsidRPr="00F05461">
        <w:rPr>
          <w:lang w:val="es-ES"/>
        </w:rPr>
        <w:t>de 202</w:t>
      </w:r>
      <w:r w:rsidR="00711F8C" w:rsidRPr="00F05461">
        <w:rPr>
          <w:lang w:val="es-ES"/>
        </w:rPr>
        <w:t>4</w:t>
      </w:r>
      <w:r w:rsidRPr="00F05461">
        <w:rPr>
          <w:lang w:val="es-ES"/>
        </w:rPr>
        <w:t>.</w:t>
      </w:r>
    </w:p>
    <w:p w14:paraId="2E3582E8" w14:textId="10D8FB23" w:rsidR="00B1145C" w:rsidRPr="00F05461" w:rsidRDefault="00B1145C" w:rsidP="003E558F">
      <w:pPr>
        <w:pStyle w:val="enumlev1"/>
        <w:rPr>
          <w:lang w:val="es-ES"/>
        </w:rPr>
      </w:pPr>
      <w:r w:rsidRPr="00F05461">
        <w:rPr>
          <w:lang w:val="es-ES"/>
        </w:rPr>
        <w:t>•</w:t>
      </w:r>
      <w:r w:rsidRPr="00F05461">
        <w:rPr>
          <w:lang w:val="es-ES"/>
        </w:rPr>
        <w:tab/>
        <w:t xml:space="preserve">Puede encontrarse más información sobre las herramientas de </w:t>
      </w:r>
      <w:r w:rsidRPr="00F05461">
        <w:rPr>
          <w:i/>
          <w:iCs/>
          <w:lang w:val="es-ES"/>
        </w:rPr>
        <w:t>software</w:t>
      </w:r>
      <w:r w:rsidRPr="00F05461">
        <w:rPr>
          <w:lang w:val="es-ES"/>
        </w:rPr>
        <w:t xml:space="preserve"> </w:t>
      </w:r>
      <w:r w:rsidR="00A10309" w:rsidRPr="00F05461">
        <w:rPr>
          <w:lang w:val="es-ES"/>
        </w:rPr>
        <w:t>del</w:t>
      </w:r>
      <w:r w:rsidR="00C45DDD" w:rsidRPr="00F05461">
        <w:rPr>
          <w:lang w:val="es-ES"/>
        </w:rPr>
        <w:t> </w:t>
      </w:r>
      <w:r w:rsidR="00A10309" w:rsidRPr="00F05461">
        <w:rPr>
          <w:lang w:val="es-ES"/>
        </w:rPr>
        <w:t>UIT</w:t>
      </w:r>
      <w:r w:rsidR="00A10309" w:rsidRPr="00F05461">
        <w:rPr>
          <w:lang w:val="es-ES"/>
        </w:rPr>
        <w:noBreakHyphen/>
      </w:r>
      <w:r w:rsidRPr="00F05461">
        <w:rPr>
          <w:lang w:val="es-ES"/>
        </w:rPr>
        <w:t xml:space="preserve">R en la sección sobre </w:t>
      </w:r>
      <w:hyperlink r:id="rId119" w:history="1">
        <w:r w:rsidRPr="003153D3">
          <w:rPr>
            <w:rStyle w:val="Hyperlink"/>
            <w:rFonts w:eastAsia="Times New Roman" w:cs="Times New Roman"/>
            <w:szCs w:val="20"/>
            <w:lang w:val="es-ES"/>
          </w:rPr>
          <w:t xml:space="preserve">mejoras y desarrollos de </w:t>
        </w:r>
        <w:r w:rsidRPr="003153D3">
          <w:rPr>
            <w:rStyle w:val="Hyperlink"/>
            <w:rFonts w:eastAsia="Times New Roman" w:cs="Times New Roman"/>
            <w:i/>
            <w:iCs/>
            <w:szCs w:val="20"/>
            <w:lang w:val="es-ES"/>
          </w:rPr>
          <w:t>software</w:t>
        </w:r>
      </w:hyperlink>
      <w:r w:rsidRPr="00F05461">
        <w:rPr>
          <w:lang w:val="es-ES"/>
        </w:rPr>
        <w:t xml:space="preserve"> (2022-2025).</w:t>
      </w:r>
    </w:p>
    <w:p w14:paraId="55EBBD4C" w14:textId="01989052" w:rsidR="00B1145C" w:rsidRPr="00F05461" w:rsidRDefault="00B1145C" w:rsidP="003E558F">
      <w:pPr>
        <w:pStyle w:val="enumlev1"/>
        <w:rPr>
          <w:lang w:val="es-ES"/>
        </w:rPr>
      </w:pPr>
      <w:r w:rsidRPr="00F05461">
        <w:rPr>
          <w:lang w:val="es-ES"/>
        </w:rPr>
        <w:t>•</w:t>
      </w:r>
      <w:r w:rsidRPr="00F05461">
        <w:rPr>
          <w:lang w:val="es-ES"/>
        </w:rPr>
        <w:tab/>
        <w:t xml:space="preserve">El </w:t>
      </w:r>
      <w:hyperlink r:id="rId120" w:history="1">
        <w:r w:rsidRPr="00F05461">
          <w:rPr>
            <w:rStyle w:val="Hyperlink"/>
            <w:rFonts w:eastAsia="Times New Roman" w:cs="Times New Roman"/>
            <w:i/>
            <w:iCs/>
            <w:szCs w:val="20"/>
            <w:lang w:val="es-ES"/>
          </w:rPr>
          <w:t xml:space="preserve">Manual para </w:t>
        </w:r>
        <w:r w:rsidR="00273CF2" w:rsidRPr="00F05461">
          <w:rPr>
            <w:rStyle w:val="Hyperlink"/>
            <w:rFonts w:eastAsia="Times New Roman" w:cs="Times New Roman"/>
            <w:i/>
            <w:iCs/>
            <w:szCs w:val="20"/>
            <w:lang w:val="es-ES"/>
          </w:rPr>
          <w:t>u</w:t>
        </w:r>
        <w:r w:rsidRPr="00F05461">
          <w:rPr>
            <w:rStyle w:val="Hyperlink"/>
            <w:rFonts w:eastAsia="Times New Roman" w:cs="Times New Roman"/>
            <w:i/>
            <w:iCs/>
            <w:szCs w:val="20"/>
            <w:lang w:val="es-ES"/>
          </w:rPr>
          <w:t xml:space="preserve">so de los </w:t>
        </w:r>
        <w:r w:rsidR="00273CF2" w:rsidRPr="00F05461">
          <w:rPr>
            <w:rStyle w:val="Hyperlink"/>
            <w:rFonts w:eastAsia="Times New Roman" w:cs="Times New Roman"/>
            <w:i/>
            <w:iCs/>
            <w:szCs w:val="20"/>
            <w:lang w:val="es-ES"/>
          </w:rPr>
          <w:t>s</w:t>
        </w:r>
        <w:r w:rsidRPr="00F05461">
          <w:rPr>
            <w:rStyle w:val="Hyperlink"/>
            <w:rFonts w:eastAsia="Times New Roman" w:cs="Times New Roman"/>
            <w:i/>
            <w:iCs/>
            <w:szCs w:val="20"/>
            <w:lang w:val="es-ES"/>
          </w:rPr>
          <w:t xml:space="preserve">ervicios </w:t>
        </w:r>
        <w:r w:rsidR="00273CF2" w:rsidRPr="00F05461">
          <w:rPr>
            <w:rStyle w:val="Hyperlink"/>
            <w:rFonts w:eastAsia="Times New Roman" w:cs="Times New Roman"/>
            <w:i/>
            <w:iCs/>
            <w:szCs w:val="20"/>
            <w:lang w:val="es-ES"/>
          </w:rPr>
          <w:t>m</w:t>
        </w:r>
        <w:r w:rsidRPr="00F05461">
          <w:rPr>
            <w:rStyle w:val="Hyperlink"/>
            <w:rFonts w:eastAsia="Times New Roman" w:cs="Times New Roman"/>
            <w:i/>
            <w:iCs/>
            <w:szCs w:val="20"/>
            <w:lang w:val="es-ES"/>
          </w:rPr>
          <w:t xml:space="preserve">óvil </w:t>
        </w:r>
        <w:r w:rsidR="00273CF2" w:rsidRPr="00F05461">
          <w:rPr>
            <w:rStyle w:val="Hyperlink"/>
            <w:rFonts w:eastAsia="Times New Roman" w:cs="Times New Roman"/>
            <w:i/>
            <w:iCs/>
            <w:szCs w:val="20"/>
            <w:lang w:val="es-ES"/>
          </w:rPr>
          <w:t>m</w:t>
        </w:r>
        <w:r w:rsidRPr="00F05461">
          <w:rPr>
            <w:rStyle w:val="Hyperlink"/>
            <w:rFonts w:eastAsia="Times New Roman" w:cs="Times New Roman"/>
            <w:i/>
            <w:iCs/>
            <w:szCs w:val="20"/>
            <w:lang w:val="es-ES"/>
          </w:rPr>
          <w:t xml:space="preserve">arítimo y </w:t>
        </w:r>
        <w:r w:rsidR="00273CF2" w:rsidRPr="00F05461">
          <w:rPr>
            <w:rStyle w:val="Hyperlink"/>
            <w:rFonts w:eastAsia="Times New Roman" w:cs="Times New Roman"/>
            <w:i/>
            <w:iCs/>
            <w:szCs w:val="20"/>
            <w:lang w:val="es-ES"/>
          </w:rPr>
          <w:t>m</w:t>
        </w:r>
        <w:r w:rsidRPr="00F05461">
          <w:rPr>
            <w:rStyle w:val="Hyperlink"/>
            <w:rFonts w:eastAsia="Times New Roman" w:cs="Times New Roman"/>
            <w:i/>
            <w:iCs/>
            <w:szCs w:val="20"/>
            <w:lang w:val="es-ES"/>
          </w:rPr>
          <w:t xml:space="preserve">óvil </w:t>
        </w:r>
        <w:r w:rsidR="00273CF2" w:rsidRPr="00F05461">
          <w:rPr>
            <w:rStyle w:val="Hyperlink"/>
            <w:rFonts w:eastAsia="Times New Roman" w:cs="Times New Roman"/>
            <w:i/>
            <w:iCs/>
            <w:szCs w:val="20"/>
            <w:lang w:val="es-ES"/>
          </w:rPr>
          <w:t>m</w:t>
        </w:r>
        <w:r w:rsidRPr="00F05461">
          <w:rPr>
            <w:rStyle w:val="Hyperlink"/>
            <w:rFonts w:eastAsia="Times New Roman" w:cs="Times New Roman"/>
            <w:i/>
            <w:iCs/>
            <w:szCs w:val="20"/>
            <w:lang w:val="es-ES"/>
          </w:rPr>
          <w:t xml:space="preserve">arítimo por </w:t>
        </w:r>
        <w:r w:rsidR="00273CF2" w:rsidRPr="00F05461">
          <w:rPr>
            <w:rStyle w:val="Hyperlink"/>
            <w:rFonts w:eastAsia="Times New Roman" w:cs="Times New Roman"/>
            <w:i/>
            <w:iCs/>
            <w:szCs w:val="20"/>
            <w:lang w:val="es-ES"/>
          </w:rPr>
          <w:t>s</w:t>
        </w:r>
        <w:r w:rsidRPr="00F05461">
          <w:rPr>
            <w:rStyle w:val="Hyperlink"/>
            <w:rFonts w:eastAsia="Times New Roman" w:cs="Times New Roman"/>
            <w:i/>
            <w:iCs/>
            <w:szCs w:val="20"/>
            <w:lang w:val="es-ES"/>
          </w:rPr>
          <w:t>atélite</w:t>
        </w:r>
      </w:hyperlink>
      <w:r w:rsidRPr="00F05461">
        <w:rPr>
          <w:lang w:val="es-ES"/>
        </w:rPr>
        <w:t xml:space="preserve"> (Manual Marítimo), publicado en diciembre </w:t>
      </w:r>
      <w:r w:rsidR="00B933C5" w:rsidRPr="00F05461">
        <w:rPr>
          <w:lang w:val="es-ES"/>
        </w:rPr>
        <w:t>de 202</w:t>
      </w:r>
      <w:r w:rsidR="00711F8C" w:rsidRPr="00F05461">
        <w:rPr>
          <w:lang w:val="es-ES"/>
        </w:rPr>
        <w:t>4</w:t>
      </w:r>
      <w:r w:rsidRPr="00F05461">
        <w:rPr>
          <w:lang w:val="es-ES"/>
        </w:rPr>
        <w:t>, proporciona una reseña exhaustiva de las comunicaciones marítimas.</w:t>
      </w:r>
    </w:p>
    <w:p w14:paraId="4FC9DD3B" w14:textId="7DB205C6" w:rsidR="00B1145C" w:rsidRPr="00F05461" w:rsidRDefault="00B1145C" w:rsidP="003E558F">
      <w:pPr>
        <w:pStyle w:val="enumlev1"/>
        <w:rPr>
          <w:lang w:val="es-ES"/>
        </w:rPr>
      </w:pPr>
      <w:r w:rsidRPr="00F05461">
        <w:rPr>
          <w:lang w:val="es-ES"/>
        </w:rPr>
        <w:t>•</w:t>
      </w:r>
      <w:r w:rsidRPr="00F05461">
        <w:rPr>
          <w:lang w:val="es-ES"/>
        </w:rPr>
        <w:tab/>
        <w:t xml:space="preserve">El Consejo adoptó el orden del día y decidió las fechas y el lugar de celebración de la Conferencia Mundial de Radiocomunicaciones </w:t>
      </w:r>
      <w:r w:rsidR="00B933C5" w:rsidRPr="00F05461">
        <w:rPr>
          <w:lang w:val="es-ES"/>
        </w:rPr>
        <w:t>de 202</w:t>
      </w:r>
      <w:r w:rsidRPr="00F05461">
        <w:rPr>
          <w:lang w:val="es-ES"/>
        </w:rPr>
        <w:t>7 (CMR-27).</w:t>
      </w:r>
    </w:p>
    <w:p w14:paraId="0E390B5C" w14:textId="44326B3F" w:rsidR="00B1145C" w:rsidRPr="00F05461" w:rsidRDefault="00B1145C" w:rsidP="003E558F">
      <w:pPr>
        <w:pStyle w:val="enumlev1"/>
        <w:rPr>
          <w:lang w:val="es-ES"/>
        </w:rPr>
      </w:pPr>
      <w:r w:rsidRPr="00F05461">
        <w:rPr>
          <w:lang w:val="es-ES"/>
        </w:rPr>
        <w:t>•</w:t>
      </w:r>
      <w:r w:rsidRPr="00F05461">
        <w:rPr>
          <w:lang w:val="es-ES"/>
        </w:rPr>
        <w:tab/>
        <w:t>La</w:t>
      </w:r>
      <w:r w:rsidR="00033179" w:rsidRPr="00F05461">
        <w:rPr>
          <w:lang w:val="es-ES"/>
        </w:rPr>
        <w:t> </w:t>
      </w:r>
      <w:r w:rsidRPr="00F05461">
        <w:rPr>
          <w:lang w:val="es-ES"/>
        </w:rPr>
        <w:t xml:space="preserve">CMR-27 y la Asamblea de Radiocomunicaciones </w:t>
      </w:r>
      <w:r w:rsidR="00B933C5" w:rsidRPr="00F05461">
        <w:rPr>
          <w:lang w:val="es-ES"/>
        </w:rPr>
        <w:t>de 202</w:t>
      </w:r>
      <w:r w:rsidRPr="00F05461">
        <w:rPr>
          <w:lang w:val="es-ES"/>
        </w:rPr>
        <w:t xml:space="preserve">7 (AR-27) tendrán lugar en Shanghái (China), del 11 de octubre al 12 de noviembre </w:t>
      </w:r>
      <w:r w:rsidR="00B933C5" w:rsidRPr="00F05461">
        <w:rPr>
          <w:lang w:val="es-ES"/>
        </w:rPr>
        <w:t>de 202</w:t>
      </w:r>
      <w:r w:rsidRPr="00F05461">
        <w:rPr>
          <w:lang w:val="es-ES"/>
        </w:rPr>
        <w:t>7.</w:t>
      </w:r>
    </w:p>
    <w:p w14:paraId="3D75839E" w14:textId="54D89078" w:rsidR="00B1145C" w:rsidRPr="00F05461" w:rsidRDefault="00B1145C" w:rsidP="003E558F">
      <w:pPr>
        <w:pStyle w:val="enumlev1"/>
        <w:rPr>
          <w:lang w:val="es-ES"/>
        </w:rPr>
      </w:pPr>
      <w:r w:rsidRPr="00F05461">
        <w:rPr>
          <w:lang w:val="es-ES"/>
        </w:rPr>
        <w:t>•</w:t>
      </w:r>
      <w:r w:rsidRPr="00F05461">
        <w:rPr>
          <w:lang w:val="es-ES"/>
        </w:rPr>
        <w:tab/>
        <w:t>Los grupos responsables y contribuyentes de cada punto del orden del día de la</w:t>
      </w:r>
      <w:r w:rsidR="00033179" w:rsidRPr="00F05461">
        <w:rPr>
          <w:lang w:val="es-ES"/>
        </w:rPr>
        <w:t> </w:t>
      </w:r>
      <w:r w:rsidRPr="00F05461">
        <w:rPr>
          <w:lang w:val="es-ES"/>
        </w:rPr>
        <w:t>CMR</w:t>
      </w:r>
      <w:r w:rsidR="00033179" w:rsidRPr="00F05461">
        <w:rPr>
          <w:lang w:val="es-ES"/>
        </w:rPr>
        <w:noBreakHyphen/>
      </w:r>
      <w:r w:rsidRPr="00F05461">
        <w:rPr>
          <w:lang w:val="es-ES"/>
        </w:rPr>
        <w:t>27, establecidos por la</w:t>
      </w:r>
      <w:r w:rsidR="00033179" w:rsidRPr="00F05461">
        <w:rPr>
          <w:lang w:val="es-ES"/>
        </w:rPr>
        <w:t> </w:t>
      </w:r>
      <w:r w:rsidRPr="00F05461">
        <w:rPr>
          <w:lang w:val="es-ES"/>
        </w:rPr>
        <w:t>RPC27</w:t>
      </w:r>
      <w:r w:rsidR="00033179" w:rsidRPr="00F05461">
        <w:rPr>
          <w:lang w:val="es-ES"/>
        </w:rPr>
        <w:noBreakHyphen/>
      </w:r>
      <w:r w:rsidRPr="00F05461">
        <w:rPr>
          <w:lang w:val="es-ES"/>
        </w:rPr>
        <w:t>1, están realizando los estudios preparatorios para la</w:t>
      </w:r>
      <w:r w:rsidR="00033179" w:rsidRPr="00F05461">
        <w:rPr>
          <w:lang w:val="es-ES"/>
        </w:rPr>
        <w:t> </w:t>
      </w:r>
      <w:r w:rsidRPr="00F05461">
        <w:rPr>
          <w:lang w:val="es-ES"/>
        </w:rPr>
        <w:t>CMR</w:t>
      </w:r>
      <w:r w:rsidR="00033179" w:rsidRPr="00F05461">
        <w:rPr>
          <w:lang w:val="es-ES"/>
        </w:rPr>
        <w:noBreakHyphen/>
      </w:r>
      <w:r w:rsidRPr="00F05461">
        <w:rPr>
          <w:lang w:val="es-ES"/>
        </w:rPr>
        <w:t>27.</w:t>
      </w:r>
    </w:p>
    <w:p w14:paraId="60470AE8" w14:textId="77777777" w:rsidR="00B1145C" w:rsidRPr="00F05461" w:rsidRDefault="00B1145C" w:rsidP="003E558F">
      <w:pPr>
        <w:pStyle w:val="enumlev1"/>
        <w:rPr>
          <w:lang w:val="es-ES"/>
        </w:rPr>
      </w:pPr>
      <w:r w:rsidRPr="00F05461">
        <w:rPr>
          <w:lang w:val="es-ES"/>
        </w:rPr>
        <w:t>•</w:t>
      </w:r>
      <w:r w:rsidRPr="00F05461">
        <w:rPr>
          <w:lang w:val="es-ES"/>
        </w:rPr>
        <w:tab/>
        <w:t>La Oficina de Radiocomunicaciones está trabajando en la tramitación de notificaciones espaciales y terrenales.</w:t>
      </w:r>
    </w:p>
    <w:p w14:paraId="207A3D33" w14:textId="319074A4" w:rsidR="00B1145C" w:rsidRPr="00F05461" w:rsidRDefault="00B1145C" w:rsidP="003E558F">
      <w:pPr>
        <w:pStyle w:val="enumlev1"/>
        <w:rPr>
          <w:lang w:val="es-ES"/>
        </w:rPr>
      </w:pPr>
      <w:r w:rsidRPr="00F05461">
        <w:rPr>
          <w:lang w:val="es-ES"/>
        </w:rPr>
        <w:lastRenderedPageBreak/>
        <w:t>•</w:t>
      </w:r>
      <w:r w:rsidRPr="00F05461">
        <w:rPr>
          <w:lang w:val="es-ES"/>
        </w:rPr>
        <w:tab/>
        <w:t xml:space="preserve">Se puede encontrar más información sobre los resultados de estos trabajos en la sección </w:t>
      </w:r>
      <w:r w:rsidR="007921C3" w:rsidRPr="00F05461">
        <w:rPr>
          <w:lang w:val="es-ES"/>
        </w:rPr>
        <w:t>«</w:t>
      </w:r>
      <w:hyperlink w:anchor="_4.2.1_Utilización_del" w:history="1">
        <w:r w:rsidRPr="00F05461">
          <w:rPr>
            <w:rStyle w:val="Hyperlink"/>
            <w:rFonts w:eastAsia="Times New Roman" w:cs="Times New Roman"/>
            <w:szCs w:val="20"/>
            <w:lang w:val="es-ES"/>
          </w:rPr>
          <w:t>Utilización del espectro para servicios espaciales y terrenales</w:t>
        </w:r>
      </w:hyperlink>
      <w:r w:rsidR="007921C3" w:rsidRPr="00F05461">
        <w:rPr>
          <w:lang w:val="es-ES"/>
        </w:rPr>
        <w:t>»</w:t>
      </w:r>
      <w:r w:rsidRPr="00F05461">
        <w:rPr>
          <w:lang w:val="es-ES"/>
        </w:rPr>
        <w:t xml:space="preserve"> que sigue.</w:t>
      </w:r>
    </w:p>
    <w:p w14:paraId="0C8A9BFB" w14:textId="77777777" w:rsidR="00B1145C" w:rsidRPr="00F05461" w:rsidRDefault="00B1145C" w:rsidP="003E558F">
      <w:pPr>
        <w:pStyle w:val="Heading2"/>
        <w:rPr>
          <w:lang w:val="es-ES"/>
        </w:rPr>
      </w:pPr>
      <w:bookmarkStart w:id="56" w:name="_Toc227137466"/>
      <w:r w:rsidRPr="00F05461">
        <w:rPr>
          <w:lang w:val="es-ES"/>
        </w:rPr>
        <w:t>4.2</w:t>
      </w:r>
      <w:r w:rsidRPr="00F05461">
        <w:rPr>
          <w:lang w:val="es-ES"/>
        </w:rPr>
        <w:tab/>
        <w:t>Atribución y gestión de recursos</w:t>
      </w:r>
      <w:bookmarkEnd w:id="56"/>
    </w:p>
    <w:p w14:paraId="3C8EA67A" w14:textId="77777777" w:rsidR="00B1145C" w:rsidRPr="00F05461" w:rsidRDefault="00B1145C" w:rsidP="003E558F">
      <w:pPr>
        <w:pStyle w:val="Heading3"/>
      </w:pPr>
      <w:bookmarkStart w:id="57" w:name="_4.2.1_Utilización_del"/>
      <w:bookmarkStart w:id="58" w:name="_Toc227137467"/>
      <w:bookmarkEnd w:id="57"/>
      <w:r w:rsidRPr="00F05461">
        <w:t>4.2.1</w:t>
      </w:r>
      <w:r w:rsidRPr="00F05461">
        <w:tab/>
        <w:t>Utilización del espectro para servicios espaciales y terrenales</w:t>
      </w:r>
      <w:bookmarkEnd w:id="58"/>
    </w:p>
    <w:p w14:paraId="47957C4C" w14:textId="1536038D" w:rsidR="00B1145C" w:rsidRPr="00F05461" w:rsidRDefault="00B1145C" w:rsidP="00273CF2">
      <w:pPr>
        <w:pStyle w:val="Tabletitle"/>
        <w:rPr>
          <w:lang w:val="es-ES"/>
        </w:rPr>
      </w:pPr>
      <w:r w:rsidRPr="00F05461">
        <w:rPr>
          <w:lang w:val="es-ES"/>
        </w:rPr>
        <w:t xml:space="preserve">Resultados de la tramitación de notificaciones espaciales </w:t>
      </w:r>
      <w:r w:rsidR="005A00E5" w:rsidRPr="00F05461">
        <w:rPr>
          <w:lang w:val="es-ES"/>
        </w:rPr>
        <w:br/>
      </w:r>
      <w:r w:rsidRPr="00F05461">
        <w:rPr>
          <w:lang w:val="es-ES"/>
        </w:rPr>
        <w:t>y otras actividades conexas, 2022-2025</w:t>
      </w:r>
    </w:p>
    <w:tbl>
      <w:tblPr>
        <w:tblW w:w="5000" w:type="pct"/>
        <w:jc w:val="center"/>
        <w:tblLayout w:type="fixed"/>
        <w:tblLook w:val="0000" w:firstRow="0" w:lastRow="0" w:firstColumn="0" w:lastColumn="0" w:noHBand="0" w:noVBand="0"/>
      </w:tblPr>
      <w:tblGrid>
        <w:gridCol w:w="4447"/>
        <w:gridCol w:w="882"/>
        <w:gridCol w:w="867"/>
        <w:gridCol w:w="854"/>
        <w:gridCol w:w="812"/>
        <w:gridCol w:w="1199"/>
      </w:tblGrid>
      <w:tr w:rsidR="00033179" w:rsidRPr="00F05461" w14:paraId="213F7F16" w14:textId="77777777" w:rsidTr="006C3476">
        <w:trPr>
          <w:jc w:val="center"/>
        </w:trPr>
        <w:tc>
          <w:tcPr>
            <w:tcW w:w="4447" w:type="dxa"/>
            <w:tcBorders>
              <w:top w:val="single" w:sz="4" w:space="0" w:color="4BACC6"/>
              <w:left w:val="single" w:sz="4" w:space="0" w:color="4BACC6"/>
            </w:tcBorders>
            <w:tcMar>
              <w:top w:w="0" w:type="dxa"/>
              <w:left w:w="108" w:type="dxa"/>
              <w:bottom w:w="0" w:type="dxa"/>
              <w:right w:w="108" w:type="dxa"/>
            </w:tcMar>
          </w:tcPr>
          <w:p w14:paraId="2783A5E5" w14:textId="77777777" w:rsidR="00273CF2" w:rsidRPr="00F05461" w:rsidRDefault="00273CF2" w:rsidP="006C3476">
            <w:pPr>
              <w:pStyle w:val="Tablehead"/>
              <w:rPr>
                <w:lang w:val="es-ES"/>
              </w:rPr>
            </w:pPr>
            <w:r w:rsidRPr="00F05461">
              <w:rPr>
                <w:lang w:val="es-ES"/>
              </w:rPr>
              <w:t>Resultados de la tramitación de notificaciones espaciales y otras actividades conexas</w:t>
            </w:r>
          </w:p>
        </w:tc>
        <w:tc>
          <w:tcPr>
            <w:tcW w:w="882" w:type="dxa"/>
            <w:tcBorders>
              <w:top w:val="single" w:sz="4" w:space="0" w:color="4BACC6"/>
            </w:tcBorders>
            <w:tcMar>
              <w:top w:w="0" w:type="dxa"/>
              <w:left w:w="108" w:type="dxa"/>
              <w:bottom w:w="0" w:type="dxa"/>
              <w:right w:w="108" w:type="dxa"/>
            </w:tcMar>
          </w:tcPr>
          <w:p w14:paraId="007FF8BE" w14:textId="77777777" w:rsidR="00273CF2" w:rsidRPr="00F05461" w:rsidRDefault="00273CF2" w:rsidP="006C3476">
            <w:pPr>
              <w:pStyle w:val="Tablehead"/>
              <w:rPr>
                <w:lang w:val="es-ES"/>
              </w:rPr>
            </w:pPr>
            <w:r w:rsidRPr="00F05461">
              <w:rPr>
                <w:lang w:val="es-ES"/>
              </w:rPr>
              <w:t>2022</w:t>
            </w:r>
          </w:p>
        </w:tc>
        <w:tc>
          <w:tcPr>
            <w:tcW w:w="867" w:type="dxa"/>
            <w:tcBorders>
              <w:top w:val="single" w:sz="4" w:space="0" w:color="4BACC6"/>
            </w:tcBorders>
            <w:tcMar>
              <w:top w:w="0" w:type="dxa"/>
              <w:left w:w="108" w:type="dxa"/>
              <w:bottom w:w="0" w:type="dxa"/>
              <w:right w:w="108" w:type="dxa"/>
            </w:tcMar>
          </w:tcPr>
          <w:p w14:paraId="48764D7E" w14:textId="77777777" w:rsidR="00273CF2" w:rsidRPr="00F05461" w:rsidRDefault="00273CF2" w:rsidP="006C3476">
            <w:pPr>
              <w:pStyle w:val="Tablehead"/>
              <w:rPr>
                <w:lang w:val="es-ES"/>
              </w:rPr>
            </w:pPr>
            <w:r w:rsidRPr="00F05461">
              <w:rPr>
                <w:lang w:val="es-ES"/>
              </w:rPr>
              <w:t>2023</w:t>
            </w:r>
          </w:p>
        </w:tc>
        <w:tc>
          <w:tcPr>
            <w:tcW w:w="854" w:type="dxa"/>
            <w:tcBorders>
              <w:top w:val="single" w:sz="4" w:space="0" w:color="4BACC6"/>
            </w:tcBorders>
            <w:tcMar>
              <w:top w:w="0" w:type="dxa"/>
              <w:left w:w="108" w:type="dxa"/>
              <w:bottom w:w="0" w:type="dxa"/>
              <w:right w:w="108" w:type="dxa"/>
            </w:tcMar>
          </w:tcPr>
          <w:p w14:paraId="7D87A4A7" w14:textId="77777777" w:rsidR="00273CF2" w:rsidRPr="00F05461" w:rsidRDefault="00273CF2" w:rsidP="006C3476">
            <w:pPr>
              <w:pStyle w:val="Tablehead"/>
              <w:rPr>
                <w:lang w:val="es-ES"/>
              </w:rPr>
            </w:pPr>
            <w:r w:rsidRPr="00F05461">
              <w:rPr>
                <w:lang w:val="es-ES"/>
              </w:rPr>
              <w:t>2024</w:t>
            </w:r>
          </w:p>
        </w:tc>
        <w:tc>
          <w:tcPr>
            <w:tcW w:w="812" w:type="dxa"/>
            <w:tcBorders>
              <w:top w:val="single" w:sz="4" w:space="0" w:color="4BACC6"/>
            </w:tcBorders>
            <w:tcMar>
              <w:top w:w="0" w:type="dxa"/>
              <w:left w:w="108" w:type="dxa"/>
              <w:bottom w:w="0" w:type="dxa"/>
              <w:right w:w="108" w:type="dxa"/>
            </w:tcMar>
          </w:tcPr>
          <w:p w14:paraId="57C483B7" w14:textId="77777777" w:rsidR="00273CF2" w:rsidRPr="00F05461" w:rsidRDefault="00273CF2" w:rsidP="006C3476">
            <w:pPr>
              <w:pStyle w:val="Tablehead"/>
              <w:rPr>
                <w:lang w:val="es-ES"/>
              </w:rPr>
            </w:pPr>
            <w:r w:rsidRPr="00F05461">
              <w:rPr>
                <w:lang w:val="es-ES"/>
              </w:rPr>
              <w:t>2025</w:t>
            </w:r>
          </w:p>
        </w:tc>
        <w:tc>
          <w:tcPr>
            <w:tcW w:w="1199" w:type="dxa"/>
            <w:tcBorders>
              <w:top w:val="single" w:sz="4" w:space="0" w:color="4BACC6"/>
              <w:right w:val="single" w:sz="4" w:space="0" w:color="4BACC6"/>
            </w:tcBorders>
            <w:tcMar>
              <w:top w:w="0" w:type="dxa"/>
              <w:left w:w="108" w:type="dxa"/>
              <w:bottom w:w="0" w:type="dxa"/>
              <w:right w:w="108" w:type="dxa"/>
            </w:tcMar>
          </w:tcPr>
          <w:p w14:paraId="31F1B87E" w14:textId="3C658043" w:rsidR="00273CF2" w:rsidRPr="00F05461" w:rsidRDefault="00273CF2" w:rsidP="006C3476">
            <w:pPr>
              <w:pStyle w:val="Tablehead"/>
              <w:rPr>
                <w:lang w:val="es-ES"/>
              </w:rPr>
            </w:pPr>
            <w:r w:rsidRPr="00F05461">
              <w:rPr>
                <w:lang w:val="es-ES"/>
              </w:rPr>
              <w:t>Total</w:t>
            </w:r>
            <w:r w:rsidR="001616BE" w:rsidRPr="00F05461">
              <w:rPr>
                <w:lang w:val="es-ES"/>
              </w:rPr>
              <w:br/>
            </w:r>
            <w:r w:rsidRPr="00F05461">
              <w:rPr>
                <w:lang w:val="es-ES"/>
              </w:rPr>
              <w:t>2022-2025</w:t>
            </w:r>
          </w:p>
        </w:tc>
      </w:tr>
      <w:tr w:rsidR="00033179" w:rsidRPr="00F05461" w14:paraId="4F6DA75B" w14:textId="77777777" w:rsidTr="006C3476">
        <w:trPr>
          <w:jc w:val="center"/>
        </w:trPr>
        <w:tc>
          <w:tcPr>
            <w:tcW w:w="4447" w:type="dxa"/>
            <w:tcBorders>
              <w:left w:val="single" w:sz="4" w:space="0" w:color="4BACC6"/>
            </w:tcBorders>
            <w:tcMar>
              <w:top w:w="0" w:type="dxa"/>
              <w:left w:w="108" w:type="dxa"/>
              <w:bottom w:w="0" w:type="dxa"/>
              <w:right w:w="108" w:type="dxa"/>
            </w:tcMar>
            <w:vAlign w:val="center"/>
          </w:tcPr>
          <w:p w14:paraId="1BFB2325" w14:textId="77777777" w:rsidR="00273CF2" w:rsidRPr="00F05461" w:rsidRDefault="00273CF2" w:rsidP="00273CF2">
            <w:pPr>
              <w:pStyle w:val="Tabletext"/>
              <w:rPr>
                <w:lang w:val="es-ES"/>
              </w:rPr>
            </w:pPr>
            <w:r w:rsidRPr="00F05461">
              <w:rPr>
                <w:lang w:val="es-ES"/>
              </w:rPr>
              <w:t>Solicitudes de coordinación y notificación</w:t>
            </w:r>
          </w:p>
        </w:tc>
        <w:tc>
          <w:tcPr>
            <w:tcW w:w="882" w:type="dxa"/>
            <w:tcMar>
              <w:top w:w="0" w:type="dxa"/>
              <w:left w:w="108" w:type="dxa"/>
              <w:bottom w:w="0" w:type="dxa"/>
              <w:right w:w="108" w:type="dxa"/>
            </w:tcMar>
            <w:vAlign w:val="center"/>
          </w:tcPr>
          <w:p w14:paraId="0C80061B" w14:textId="77777777" w:rsidR="00273CF2" w:rsidRPr="00F05461" w:rsidRDefault="00273CF2" w:rsidP="005B7650">
            <w:pPr>
              <w:pStyle w:val="Tabletext"/>
              <w:ind w:right="57"/>
              <w:jc w:val="right"/>
              <w:rPr>
                <w:lang w:val="es-ES"/>
              </w:rPr>
            </w:pPr>
            <w:r w:rsidRPr="00F05461">
              <w:rPr>
                <w:lang w:val="es-ES"/>
              </w:rPr>
              <w:t>1 518</w:t>
            </w:r>
          </w:p>
        </w:tc>
        <w:tc>
          <w:tcPr>
            <w:tcW w:w="867" w:type="dxa"/>
            <w:tcMar>
              <w:top w:w="0" w:type="dxa"/>
              <w:left w:w="108" w:type="dxa"/>
              <w:bottom w:w="0" w:type="dxa"/>
              <w:right w:w="108" w:type="dxa"/>
            </w:tcMar>
            <w:vAlign w:val="center"/>
          </w:tcPr>
          <w:p w14:paraId="2676EE1C" w14:textId="77777777" w:rsidR="00273CF2" w:rsidRPr="00F05461" w:rsidRDefault="00273CF2" w:rsidP="005B7650">
            <w:pPr>
              <w:pStyle w:val="Tabletext"/>
              <w:ind w:right="57"/>
              <w:jc w:val="right"/>
              <w:rPr>
                <w:lang w:val="es-ES"/>
              </w:rPr>
            </w:pPr>
            <w:r w:rsidRPr="00F05461">
              <w:rPr>
                <w:lang w:val="es-ES"/>
              </w:rPr>
              <w:t>1 349</w:t>
            </w:r>
          </w:p>
        </w:tc>
        <w:tc>
          <w:tcPr>
            <w:tcW w:w="854" w:type="dxa"/>
            <w:tcMar>
              <w:top w:w="0" w:type="dxa"/>
              <w:left w:w="108" w:type="dxa"/>
              <w:bottom w:w="0" w:type="dxa"/>
              <w:right w:w="108" w:type="dxa"/>
            </w:tcMar>
            <w:vAlign w:val="center"/>
          </w:tcPr>
          <w:p w14:paraId="3B9979C5" w14:textId="77777777" w:rsidR="00273CF2" w:rsidRPr="00F05461" w:rsidRDefault="00273CF2" w:rsidP="005B7650">
            <w:pPr>
              <w:pStyle w:val="Tabletext"/>
              <w:ind w:right="57"/>
              <w:jc w:val="right"/>
              <w:rPr>
                <w:lang w:val="es-ES"/>
              </w:rPr>
            </w:pPr>
            <w:r w:rsidRPr="00F05461">
              <w:rPr>
                <w:lang w:val="es-ES"/>
              </w:rPr>
              <w:t>1 384</w:t>
            </w:r>
          </w:p>
        </w:tc>
        <w:tc>
          <w:tcPr>
            <w:tcW w:w="812" w:type="dxa"/>
            <w:tcMar>
              <w:top w:w="0" w:type="dxa"/>
              <w:left w:w="108" w:type="dxa"/>
              <w:bottom w:w="0" w:type="dxa"/>
              <w:right w:w="108" w:type="dxa"/>
            </w:tcMar>
            <w:vAlign w:val="center"/>
          </w:tcPr>
          <w:p w14:paraId="09E14CFE" w14:textId="77777777" w:rsidR="00273CF2" w:rsidRPr="00F05461" w:rsidRDefault="00273CF2" w:rsidP="005B7650">
            <w:pPr>
              <w:pStyle w:val="Tabletext"/>
              <w:ind w:right="57"/>
              <w:jc w:val="right"/>
              <w:rPr>
                <w:lang w:val="es-ES"/>
              </w:rPr>
            </w:pPr>
            <w:r w:rsidRPr="00F05461">
              <w:rPr>
                <w:lang w:val="es-ES"/>
              </w:rPr>
              <w:t>1 198</w:t>
            </w:r>
          </w:p>
        </w:tc>
        <w:tc>
          <w:tcPr>
            <w:tcW w:w="1199" w:type="dxa"/>
            <w:tcBorders>
              <w:right w:val="single" w:sz="4" w:space="0" w:color="4BACC6"/>
            </w:tcBorders>
            <w:tcMar>
              <w:top w:w="0" w:type="dxa"/>
              <w:left w:w="108" w:type="dxa"/>
              <w:bottom w:w="0" w:type="dxa"/>
              <w:right w:w="108" w:type="dxa"/>
            </w:tcMar>
            <w:vAlign w:val="center"/>
          </w:tcPr>
          <w:p w14:paraId="23535842" w14:textId="77777777" w:rsidR="00273CF2" w:rsidRPr="00F05461" w:rsidRDefault="00273CF2" w:rsidP="005B7650">
            <w:pPr>
              <w:pStyle w:val="Tabletext"/>
              <w:ind w:right="227"/>
              <w:jc w:val="right"/>
              <w:rPr>
                <w:lang w:val="es-ES"/>
              </w:rPr>
            </w:pPr>
            <w:r w:rsidRPr="00F05461">
              <w:rPr>
                <w:lang w:val="es-ES"/>
              </w:rPr>
              <w:t>5 459</w:t>
            </w:r>
          </w:p>
        </w:tc>
      </w:tr>
      <w:tr w:rsidR="00033179" w:rsidRPr="00F05461" w14:paraId="03BA3865" w14:textId="77777777" w:rsidTr="006C3476">
        <w:trPr>
          <w:jc w:val="center"/>
        </w:trPr>
        <w:tc>
          <w:tcPr>
            <w:tcW w:w="4447" w:type="dxa"/>
            <w:tcBorders>
              <w:left w:val="single" w:sz="4" w:space="0" w:color="4BACC6"/>
            </w:tcBorders>
            <w:tcMar>
              <w:top w:w="0" w:type="dxa"/>
              <w:left w:w="108" w:type="dxa"/>
              <w:bottom w:w="0" w:type="dxa"/>
              <w:right w:w="108" w:type="dxa"/>
            </w:tcMar>
            <w:vAlign w:val="center"/>
          </w:tcPr>
          <w:p w14:paraId="3CBA1D8F" w14:textId="77777777" w:rsidR="00273CF2" w:rsidRPr="00F05461" w:rsidRDefault="00273CF2" w:rsidP="00273CF2">
            <w:pPr>
              <w:pStyle w:val="Tabletext"/>
              <w:rPr>
                <w:lang w:val="es-ES"/>
              </w:rPr>
            </w:pPr>
            <w:r w:rsidRPr="00F05461">
              <w:rPr>
                <w:lang w:val="es-ES"/>
              </w:rPr>
              <w:t>Solicitudes de planes de radiodifusión por satélite y para enlaces de conexión conexos</w:t>
            </w:r>
          </w:p>
        </w:tc>
        <w:tc>
          <w:tcPr>
            <w:tcW w:w="882" w:type="dxa"/>
            <w:tcMar>
              <w:top w:w="0" w:type="dxa"/>
              <w:left w:w="108" w:type="dxa"/>
              <w:bottom w:w="0" w:type="dxa"/>
              <w:right w:w="108" w:type="dxa"/>
            </w:tcMar>
            <w:vAlign w:val="center"/>
          </w:tcPr>
          <w:p w14:paraId="4B0CC613" w14:textId="77777777" w:rsidR="00273CF2" w:rsidRPr="00F05461" w:rsidRDefault="00273CF2" w:rsidP="005B7650">
            <w:pPr>
              <w:pStyle w:val="Tabletext"/>
              <w:ind w:right="57"/>
              <w:jc w:val="right"/>
              <w:rPr>
                <w:lang w:val="es-ES"/>
              </w:rPr>
            </w:pPr>
            <w:r w:rsidRPr="00F05461">
              <w:rPr>
                <w:lang w:val="es-ES"/>
              </w:rPr>
              <w:t>134</w:t>
            </w:r>
          </w:p>
        </w:tc>
        <w:tc>
          <w:tcPr>
            <w:tcW w:w="867" w:type="dxa"/>
            <w:tcMar>
              <w:top w:w="0" w:type="dxa"/>
              <w:left w:w="108" w:type="dxa"/>
              <w:bottom w:w="0" w:type="dxa"/>
              <w:right w:w="108" w:type="dxa"/>
            </w:tcMar>
            <w:vAlign w:val="center"/>
          </w:tcPr>
          <w:p w14:paraId="4417998C" w14:textId="77777777" w:rsidR="00273CF2" w:rsidRPr="00F05461" w:rsidRDefault="00273CF2" w:rsidP="005B7650">
            <w:pPr>
              <w:pStyle w:val="Tabletext"/>
              <w:ind w:right="57"/>
              <w:jc w:val="right"/>
              <w:rPr>
                <w:lang w:val="es-ES"/>
              </w:rPr>
            </w:pPr>
            <w:r w:rsidRPr="00F05461">
              <w:rPr>
                <w:lang w:val="es-ES"/>
              </w:rPr>
              <w:t>130</w:t>
            </w:r>
            <w:r w:rsidRPr="00F05461">
              <w:rPr>
                <w:rStyle w:val="FootnoteReference"/>
                <w:lang w:val="es-ES"/>
              </w:rPr>
              <w:t>*</w:t>
            </w:r>
          </w:p>
        </w:tc>
        <w:tc>
          <w:tcPr>
            <w:tcW w:w="854" w:type="dxa"/>
            <w:tcMar>
              <w:top w:w="0" w:type="dxa"/>
              <w:left w:w="108" w:type="dxa"/>
              <w:bottom w:w="0" w:type="dxa"/>
              <w:right w:w="108" w:type="dxa"/>
            </w:tcMar>
            <w:vAlign w:val="center"/>
          </w:tcPr>
          <w:p w14:paraId="586A771C" w14:textId="77777777" w:rsidR="00273CF2" w:rsidRPr="00F05461" w:rsidRDefault="00273CF2" w:rsidP="005B7650">
            <w:pPr>
              <w:pStyle w:val="Tabletext"/>
              <w:ind w:right="57"/>
              <w:jc w:val="right"/>
              <w:rPr>
                <w:lang w:val="es-ES"/>
              </w:rPr>
            </w:pPr>
            <w:r w:rsidRPr="00F05461">
              <w:rPr>
                <w:lang w:val="es-ES"/>
              </w:rPr>
              <w:t>204</w:t>
            </w:r>
            <w:r w:rsidRPr="00F05461">
              <w:rPr>
                <w:rStyle w:val="FootnoteReference"/>
                <w:lang w:val="es-ES"/>
              </w:rPr>
              <w:t>**</w:t>
            </w:r>
          </w:p>
        </w:tc>
        <w:tc>
          <w:tcPr>
            <w:tcW w:w="812" w:type="dxa"/>
            <w:tcMar>
              <w:top w:w="0" w:type="dxa"/>
              <w:left w:w="108" w:type="dxa"/>
              <w:bottom w:w="0" w:type="dxa"/>
              <w:right w:w="108" w:type="dxa"/>
            </w:tcMar>
            <w:vAlign w:val="center"/>
          </w:tcPr>
          <w:p w14:paraId="0768528E" w14:textId="77777777" w:rsidR="00273CF2" w:rsidRPr="00F05461" w:rsidRDefault="00273CF2" w:rsidP="005B7650">
            <w:pPr>
              <w:pStyle w:val="Tabletext"/>
              <w:ind w:right="57"/>
              <w:jc w:val="right"/>
              <w:rPr>
                <w:lang w:val="es-ES"/>
              </w:rPr>
            </w:pPr>
            <w:r w:rsidRPr="00F05461">
              <w:rPr>
                <w:lang w:val="es-ES"/>
              </w:rPr>
              <w:t>90</w:t>
            </w:r>
          </w:p>
        </w:tc>
        <w:tc>
          <w:tcPr>
            <w:tcW w:w="1199" w:type="dxa"/>
            <w:tcBorders>
              <w:right w:val="single" w:sz="4" w:space="0" w:color="4BACC6"/>
            </w:tcBorders>
            <w:tcMar>
              <w:top w:w="0" w:type="dxa"/>
              <w:left w:w="108" w:type="dxa"/>
              <w:bottom w:w="0" w:type="dxa"/>
              <w:right w:w="108" w:type="dxa"/>
            </w:tcMar>
            <w:vAlign w:val="center"/>
          </w:tcPr>
          <w:p w14:paraId="4833BBD8" w14:textId="77777777" w:rsidR="00273CF2" w:rsidRPr="00F05461" w:rsidRDefault="00273CF2" w:rsidP="005B7650">
            <w:pPr>
              <w:pStyle w:val="Tabletext"/>
              <w:ind w:right="227"/>
              <w:jc w:val="right"/>
              <w:rPr>
                <w:lang w:val="es-ES"/>
              </w:rPr>
            </w:pPr>
            <w:r w:rsidRPr="00F05461">
              <w:rPr>
                <w:lang w:val="es-ES"/>
              </w:rPr>
              <w:t>558</w:t>
            </w:r>
          </w:p>
        </w:tc>
      </w:tr>
      <w:tr w:rsidR="00033179" w:rsidRPr="00F05461" w14:paraId="42D28A18" w14:textId="77777777" w:rsidTr="006C3476">
        <w:trPr>
          <w:jc w:val="center"/>
        </w:trPr>
        <w:tc>
          <w:tcPr>
            <w:tcW w:w="4447" w:type="dxa"/>
            <w:tcBorders>
              <w:left w:val="single" w:sz="4" w:space="0" w:color="4BACC6"/>
              <w:bottom w:val="single" w:sz="4" w:space="0" w:color="4BACC6"/>
            </w:tcBorders>
            <w:tcMar>
              <w:top w:w="0" w:type="dxa"/>
              <w:left w:w="108" w:type="dxa"/>
              <w:bottom w:w="0" w:type="dxa"/>
              <w:right w:w="108" w:type="dxa"/>
            </w:tcMar>
            <w:vAlign w:val="center"/>
          </w:tcPr>
          <w:p w14:paraId="1A1235E3" w14:textId="3D554684" w:rsidR="00273CF2" w:rsidRPr="00F05461" w:rsidRDefault="00273CF2" w:rsidP="00273CF2">
            <w:pPr>
              <w:pStyle w:val="Tabletext"/>
              <w:rPr>
                <w:lang w:val="es-ES"/>
              </w:rPr>
            </w:pPr>
            <w:r w:rsidRPr="00F05461">
              <w:rPr>
                <w:lang w:val="es-ES"/>
              </w:rPr>
              <w:t>Solicitudes de planes de servicio fijo por satélite Plan</w:t>
            </w:r>
          </w:p>
        </w:tc>
        <w:tc>
          <w:tcPr>
            <w:tcW w:w="882" w:type="dxa"/>
            <w:tcBorders>
              <w:bottom w:val="single" w:sz="4" w:space="0" w:color="4BACC6"/>
            </w:tcBorders>
            <w:tcMar>
              <w:top w:w="0" w:type="dxa"/>
              <w:left w:w="108" w:type="dxa"/>
              <w:bottom w:w="0" w:type="dxa"/>
              <w:right w:w="108" w:type="dxa"/>
            </w:tcMar>
            <w:vAlign w:val="center"/>
          </w:tcPr>
          <w:p w14:paraId="47AA0BF9" w14:textId="77777777" w:rsidR="00273CF2" w:rsidRPr="00F05461" w:rsidRDefault="00273CF2" w:rsidP="005B7650">
            <w:pPr>
              <w:pStyle w:val="Tabletext"/>
              <w:ind w:right="57"/>
              <w:jc w:val="right"/>
              <w:rPr>
                <w:lang w:val="es-ES"/>
              </w:rPr>
            </w:pPr>
            <w:r w:rsidRPr="00F05461">
              <w:rPr>
                <w:lang w:val="es-ES"/>
              </w:rPr>
              <w:t>134</w:t>
            </w:r>
          </w:p>
        </w:tc>
        <w:tc>
          <w:tcPr>
            <w:tcW w:w="867" w:type="dxa"/>
            <w:tcBorders>
              <w:bottom w:val="single" w:sz="4" w:space="0" w:color="4BACC6"/>
            </w:tcBorders>
            <w:tcMar>
              <w:top w:w="0" w:type="dxa"/>
              <w:left w:w="108" w:type="dxa"/>
              <w:bottom w:w="0" w:type="dxa"/>
              <w:right w:w="108" w:type="dxa"/>
            </w:tcMar>
            <w:vAlign w:val="center"/>
          </w:tcPr>
          <w:p w14:paraId="619A265F" w14:textId="77777777" w:rsidR="00273CF2" w:rsidRPr="00F05461" w:rsidRDefault="00273CF2" w:rsidP="005B7650">
            <w:pPr>
              <w:pStyle w:val="Tabletext"/>
              <w:ind w:right="57"/>
              <w:jc w:val="right"/>
              <w:rPr>
                <w:lang w:val="es-ES"/>
              </w:rPr>
            </w:pPr>
            <w:r w:rsidRPr="00F05461">
              <w:rPr>
                <w:lang w:val="es-ES"/>
              </w:rPr>
              <w:t>92</w:t>
            </w:r>
          </w:p>
        </w:tc>
        <w:tc>
          <w:tcPr>
            <w:tcW w:w="854" w:type="dxa"/>
            <w:tcBorders>
              <w:bottom w:val="single" w:sz="4" w:space="0" w:color="4BACC6"/>
            </w:tcBorders>
            <w:tcMar>
              <w:top w:w="0" w:type="dxa"/>
              <w:left w:w="108" w:type="dxa"/>
              <w:bottom w:w="0" w:type="dxa"/>
              <w:right w:w="108" w:type="dxa"/>
            </w:tcMar>
            <w:vAlign w:val="center"/>
          </w:tcPr>
          <w:p w14:paraId="71BEFF52" w14:textId="0BD4E469" w:rsidR="00273CF2" w:rsidRPr="00F05461" w:rsidRDefault="00273CF2" w:rsidP="005B7650">
            <w:pPr>
              <w:pStyle w:val="Tabletext"/>
              <w:ind w:right="57"/>
              <w:jc w:val="right"/>
              <w:rPr>
                <w:lang w:val="es-ES"/>
              </w:rPr>
            </w:pPr>
            <w:r w:rsidRPr="00F05461">
              <w:rPr>
                <w:lang w:val="es-ES"/>
              </w:rPr>
              <w:t>87</w:t>
            </w:r>
            <w:r w:rsidR="001616BE" w:rsidRPr="00F05461">
              <w:rPr>
                <w:rStyle w:val="FootnoteReference"/>
                <w:lang w:val="es-ES"/>
              </w:rPr>
              <w:t>***</w:t>
            </w:r>
          </w:p>
        </w:tc>
        <w:tc>
          <w:tcPr>
            <w:tcW w:w="812" w:type="dxa"/>
            <w:tcBorders>
              <w:bottom w:val="single" w:sz="4" w:space="0" w:color="4BACC6"/>
            </w:tcBorders>
            <w:tcMar>
              <w:top w:w="0" w:type="dxa"/>
              <w:left w:w="108" w:type="dxa"/>
              <w:bottom w:w="0" w:type="dxa"/>
              <w:right w:w="108" w:type="dxa"/>
            </w:tcMar>
            <w:vAlign w:val="center"/>
          </w:tcPr>
          <w:p w14:paraId="4755F3CF" w14:textId="77777777" w:rsidR="00273CF2" w:rsidRPr="00F05461" w:rsidRDefault="00273CF2" w:rsidP="005B7650">
            <w:pPr>
              <w:pStyle w:val="Tabletext"/>
              <w:ind w:right="57"/>
              <w:jc w:val="right"/>
              <w:rPr>
                <w:lang w:val="es-ES"/>
              </w:rPr>
            </w:pPr>
            <w:r w:rsidRPr="00F05461">
              <w:rPr>
                <w:lang w:val="es-ES"/>
              </w:rPr>
              <w:t>53</w:t>
            </w:r>
          </w:p>
        </w:tc>
        <w:tc>
          <w:tcPr>
            <w:tcW w:w="1199" w:type="dxa"/>
            <w:tcBorders>
              <w:bottom w:val="single" w:sz="4" w:space="0" w:color="4BACC6"/>
              <w:right w:val="single" w:sz="4" w:space="0" w:color="4BACC6"/>
            </w:tcBorders>
            <w:tcMar>
              <w:top w:w="0" w:type="dxa"/>
              <w:left w:w="108" w:type="dxa"/>
              <w:bottom w:w="0" w:type="dxa"/>
              <w:right w:w="108" w:type="dxa"/>
            </w:tcMar>
            <w:vAlign w:val="center"/>
          </w:tcPr>
          <w:p w14:paraId="47773254" w14:textId="77777777" w:rsidR="00273CF2" w:rsidRPr="00F05461" w:rsidRDefault="00273CF2" w:rsidP="005B7650">
            <w:pPr>
              <w:pStyle w:val="Tabletext"/>
              <w:ind w:right="227"/>
              <w:jc w:val="right"/>
              <w:rPr>
                <w:lang w:val="es-ES"/>
              </w:rPr>
            </w:pPr>
            <w:r w:rsidRPr="00F05461">
              <w:rPr>
                <w:lang w:val="es-ES"/>
              </w:rPr>
              <w:t>366</w:t>
            </w:r>
          </w:p>
        </w:tc>
      </w:tr>
    </w:tbl>
    <w:p w14:paraId="405A2B0D" w14:textId="0C0FD4C1" w:rsidR="00273CF2" w:rsidRPr="00F05461" w:rsidRDefault="00273CF2" w:rsidP="005A00E5">
      <w:pPr>
        <w:pStyle w:val="Tablelegend"/>
        <w:spacing w:before="120"/>
        <w:jc w:val="center"/>
        <w:rPr>
          <w:i/>
          <w:iCs/>
          <w:color w:val="1F497D"/>
          <w:lang w:val="es-ES"/>
        </w:rPr>
      </w:pPr>
      <w:r w:rsidRPr="00F05461">
        <w:rPr>
          <w:i/>
          <w:iCs/>
          <w:color w:val="1F497D"/>
          <w:lang w:val="es-ES"/>
        </w:rPr>
        <w:t>Cuadro</w:t>
      </w:r>
      <w:r w:rsidR="00FD399B" w:rsidRPr="00F05461">
        <w:rPr>
          <w:i/>
          <w:iCs/>
          <w:color w:val="1F497D"/>
          <w:lang w:val="es-ES"/>
        </w:rPr>
        <w:t> </w:t>
      </w:r>
      <w:r w:rsidRPr="00F05461">
        <w:rPr>
          <w:i/>
          <w:iCs/>
          <w:color w:val="1F497D"/>
          <w:lang w:val="es-ES"/>
        </w:rPr>
        <w:t>1. Resultados de la tramitación de notificaciones espaciales y otras actividades conexas, 2022-2025</w:t>
      </w:r>
    </w:p>
    <w:p w14:paraId="5E325B60" w14:textId="514B69E8" w:rsidR="00273CF2" w:rsidRPr="00F05461" w:rsidRDefault="00273CF2" w:rsidP="00273CF2">
      <w:pPr>
        <w:pStyle w:val="Tablelegend"/>
        <w:rPr>
          <w:i/>
          <w:iCs/>
          <w:color w:val="7F7F7F"/>
          <w:lang w:val="es-ES"/>
        </w:rPr>
      </w:pPr>
      <w:r w:rsidRPr="00F05461">
        <w:rPr>
          <w:rStyle w:val="FootnoteReference"/>
          <w:i/>
          <w:iCs/>
          <w:color w:val="7F7F7F"/>
          <w:lang w:val="es-ES"/>
        </w:rPr>
        <w:t>*</w:t>
      </w:r>
      <w:r w:rsidRPr="00F05461">
        <w:rPr>
          <w:i/>
          <w:iCs/>
          <w:color w:val="7F7F7F"/>
          <w:lang w:val="es-ES"/>
        </w:rPr>
        <w:tab/>
        <w:t>Incluye 90</w:t>
      </w:r>
      <w:r w:rsidR="00FD399B" w:rsidRPr="00F05461">
        <w:rPr>
          <w:i/>
          <w:iCs/>
          <w:color w:val="7F7F7F"/>
          <w:lang w:val="es-ES"/>
        </w:rPr>
        <w:t> </w:t>
      </w:r>
      <w:r w:rsidRPr="00F05461">
        <w:rPr>
          <w:i/>
          <w:iCs/>
          <w:color w:val="7F7F7F"/>
          <w:lang w:val="es-ES"/>
        </w:rPr>
        <w:t>inscripciones en la Lista de las Regiones</w:t>
      </w:r>
      <w:r w:rsidR="00FD399B" w:rsidRPr="00F05461">
        <w:rPr>
          <w:i/>
          <w:iCs/>
          <w:color w:val="7F7F7F"/>
          <w:lang w:val="es-ES"/>
        </w:rPr>
        <w:t> </w:t>
      </w:r>
      <w:r w:rsidRPr="00F05461">
        <w:rPr>
          <w:i/>
          <w:iCs/>
          <w:color w:val="7F7F7F"/>
          <w:lang w:val="es-ES"/>
        </w:rPr>
        <w:t>1 y 3 en aplicación de la Resolución</w:t>
      </w:r>
      <w:r w:rsidR="00FD399B" w:rsidRPr="00F05461">
        <w:rPr>
          <w:i/>
          <w:iCs/>
          <w:color w:val="7F7F7F"/>
          <w:lang w:val="es-ES"/>
        </w:rPr>
        <w:t> </w:t>
      </w:r>
      <w:r w:rsidRPr="00F05461">
        <w:rPr>
          <w:i/>
          <w:iCs/>
          <w:color w:val="7F7F7F"/>
          <w:lang w:val="es-ES"/>
        </w:rPr>
        <w:t>559 (CMR-19) por parte de 45</w:t>
      </w:r>
      <w:r w:rsidR="00FD399B" w:rsidRPr="00F05461">
        <w:rPr>
          <w:i/>
          <w:iCs/>
          <w:color w:val="7F7F7F"/>
          <w:lang w:val="es-ES"/>
        </w:rPr>
        <w:t> </w:t>
      </w:r>
      <w:r w:rsidRPr="00F05461">
        <w:rPr>
          <w:i/>
          <w:iCs/>
          <w:color w:val="7F7F7F"/>
          <w:lang w:val="es-ES"/>
        </w:rPr>
        <w:t>países</w:t>
      </w:r>
      <w:r w:rsidR="005A00E5" w:rsidRPr="00F05461">
        <w:rPr>
          <w:i/>
          <w:iCs/>
          <w:color w:val="7F7F7F"/>
          <w:lang w:val="es-ES"/>
        </w:rPr>
        <w:t>.</w:t>
      </w:r>
    </w:p>
    <w:p w14:paraId="4CE860EB" w14:textId="552AD22E" w:rsidR="00273CF2" w:rsidRPr="00F05461" w:rsidRDefault="00273CF2" w:rsidP="00273CF2">
      <w:pPr>
        <w:pStyle w:val="Tablelegend"/>
        <w:rPr>
          <w:i/>
          <w:iCs/>
          <w:color w:val="7F7F7F"/>
          <w:lang w:val="es-ES"/>
        </w:rPr>
      </w:pPr>
      <w:r w:rsidRPr="00F05461">
        <w:rPr>
          <w:rStyle w:val="FootnoteReference"/>
          <w:i/>
          <w:iCs/>
          <w:color w:val="7F7F7F"/>
          <w:lang w:val="es-ES"/>
        </w:rPr>
        <w:t>**</w:t>
      </w:r>
      <w:r w:rsidRPr="00F05461">
        <w:rPr>
          <w:i/>
          <w:iCs/>
          <w:color w:val="7F7F7F"/>
          <w:lang w:val="es-ES"/>
        </w:rPr>
        <w:tab/>
        <w:t>Incluye 82</w:t>
      </w:r>
      <w:r w:rsidR="001616BE" w:rsidRPr="00F05461">
        <w:rPr>
          <w:i/>
          <w:iCs/>
          <w:color w:val="7F7F7F"/>
          <w:lang w:val="es-ES"/>
        </w:rPr>
        <w:t> </w:t>
      </w:r>
      <w:r w:rsidRPr="00F05461">
        <w:rPr>
          <w:i/>
          <w:iCs/>
          <w:color w:val="7F7F7F"/>
          <w:lang w:val="es-ES"/>
        </w:rPr>
        <w:t>inscripciones en los Planes de las Regiones</w:t>
      </w:r>
      <w:r w:rsidR="00FD399B" w:rsidRPr="00F05461">
        <w:rPr>
          <w:i/>
          <w:iCs/>
          <w:color w:val="7F7F7F"/>
          <w:lang w:val="es-ES"/>
        </w:rPr>
        <w:t> </w:t>
      </w:r>
      <w:r w:rsidRPr="00F05461">
        <w:rPr>
          <w:i/>
          <w:iCs/>
          <w:color w:val="7F7F7F"/>
          <w:lang w:val="es-ES"/>
        </w:rPr>
        <w:t>1 y 3 una vez completada correctamente la ejecución de la Resolución</w:t>
      </w:r>
      <w:r w:rsidR="00FD399B" w:rsidRPr="00F05461">
        <w:rPr>
          <w:i/>
          <w:iCs/>
          <w:color w:val="7F7F7F"/>
          <w:lang w:val="es-ES"/>
        </w:rPr>
        <w:t> </w:t>
      </w:r>
      <w:r w:rsidRPr="00F05461">
        <w:rPr>
          <w:i/>
          <w:iCs/>
          <w:color w:val="7F7F7F"/>
          <w:lang w:val="es-ES"/>
        </w:rPr>
        <w:t>559 (CMR-19) por parte de 41</w:t>
      </w:r>
      <w:r w:rsidR="00FD399B" w:rsidRPr="00F05461">
        <w:rPr>
          <w:i/>
          <w:iCs/>
          <w:color w:val="7F7F7F"/>
          <w:lang w:val="es-ES"/>
        </w:rPr>
        <w:t> </w:t>
      </w:r>
      <w:r w:rsidRPr="00F05461">
        <w:rPr>
          <w:i/>
          <w:iCs/>
          <w:color w:val="7F7F7F"/>
          <w:lang w:val="es-ES"/>
        </w:rPr>
        <w:t>países</w:t>
      </w:r>
      <w:r w:rsidR="005A00E5" w:rsidRPr="00F05461">
        <w:rPr>
          <w:i/>
          <w:iCs/>
          <w:color w:val="7F7F7F"/>
          <w:lang w:val="es-ES"/>
        </w:rPr>
        <w:t>.</w:t>
      </w:r>
    </w:p>
    <w:p w14:paraId="09DAF88F" w14:textId="66CE13F0" w:rsidR="00273CF2" w:rsidRPr="00F05461" w:rsidRDefault="00273CF2" w:rsidP="00273CF2">
      <w:pPr>
        <w:pStyle w:val="Tablelegend"/>
        <w:rPr>
          <w:i/>
          <w:iCs/>
          <w:color w:val="7F7F7F"/>
          <w:lang w:val="es-ES"/>
        </w:rPr>
      </w:pPr>
      <w:r w:rsidRPr="00F05461">
        <w:rPr>
          <w:rStyle w:val="FootnoteReference"/>
          <w:i/>
          <w:iCs/>
          <w:color w:val="7F7F7F"/>
          <w:lang w:val="es-ES"/>
        </w:rPr>
        <w:t>***</w:t>
      </w:r>
      <w:r w:rsidRPr="00F05461">
        <w:rPr>
          <w:i/>
          <w:iCs/>
          <w:color w:val="7F7F7F"/>
          <w:lang w:val="es-ES"/>
        </w:rPr>
        <w:tab/>
        <w:t xml:space="preserve">Incluye siete inscripciones nuevas en el Plan para los Estados Miembros de </w:t>
      </w:r>
      <w:r w:rsidR="00296F03" w:rsidRPr="00F05461">
        <w:rPr>
          <w:i/>
          <w:iCs/>
          <w:color w:val="7F7F7F"/>
          <w:lang w:val="es-ES"/>
        </w:rPr>
        <w:t>la UIT</w:t>
      </w:r>
      <w:r w:rsidRPr="00F05461">
        <w:rPr>
          <w:i/>
          <w:iCs/>
          <w:color w:val="7F7F7F"/>
          <w:lang w:val="es-ES"/>
        </w:rPr>
        <w:t xml:space="preserve"> que aún no tienen una adjudicación</w:t>
      </w:r>
      <w:r w:rsidR="005A00E5" w:rsidRPr="00F05461">
        <w:rPr>
          <w:i/>
          <w:iCs/>
          <w:color w:val="7F7F7F"/>
          <w:lang w:val="es-ES"/>
        </w:rPr>
        <w:t>.</w:t>
      </w:r>
    </w:p>
    <w:p w14:paraId="2A3419B3" w14:textId="77777777" w:rsidR="00B1145C" w:rsidRPr="00F05461" w:rsidRDefault="00B1145C" w:rsidP="00B52B95">
      <w:pPr>
        <w:pStyle w:val="Tabletitle"/>
        <w:rPr>
          <w:lang w:val="es-ES"/>
        </w:rPr>
      </w:pPr>
      <w:r w:rsidRPr="00F05461">
        <w:rPr>
          <w:lang w:val="es-ES"/>
        </w:rPr>
        <w:t>Notificaciones terrenales, 2022-2025</w:t>
      </w:r>
    </w:p>
    <w:tbl>
      <w:tblPr>
        <w:tblW w:w="5000" w:type="pct"/>
        <w:jc w:val="center"/>
        <w:tblLayout w:type="fixed"/>
        <w:tblLook w:val="0000" w:firstRow="0" w:lastRow="0" w:firstColumn="0" w:lastColumn="0" w:noHBand="0" w:noVBand="0"/>
      </w:tblPr>
      <w:tblGrid>
        <w:gridCol w:w="4097"/>
        <w:gridCol w:w="966"/>
        <w:gridCol w:w="937"/>
        <w:gridCol w:w="924"/>
        <w:gridCol w:w="924"/>
        <w:gridCol w:w="1213"/>
      </w:tblGrid>
      <w:tr w:rsidR="00033179" w:rsidRPr="00F05461" w14:paraId="593C78D8" w14:textId="77777777" w:rsidTr="006C3476">
        <w:trPr>
          <w:jc w:val="center"/>
        </w:trPr>
        <w:tc>
          <w:tcPr>
            <w:tcW w:w="4097" w:type="dxa"/>
            <w:tcBorders>
              <w:top w:val="single" w:sz="4" w:space="0" w:color="4BACC6"/>
              <w:left w:val="single" w:sz="4" w:space="0" w:color="4BACC6"/>
            </w:tcBorders>
            <w:tcMar>
              <w:top w:w="0" w:type="dxa"/>
              <w:left w:w="108" w:type="dxa"/>
              <w:bottom w:w="0" w:type="dxa"/>
              <w:right w:w="108" w:type="dxa"/>
            </w:tcMar>
          </w:tcPr>
          <w:p w14:paraId="253DE71E" w14:textId="77777777" w:rsidR="00B52B95" w:rsidRPr="00F05461" w:rsidRDefault="00B52B95" w:rsidP="006C3476">
            <w:pPr>
              <w:pStyle w:val="Tablehead"/>
              <w:rPr>
                <w:lang w:val="es-ES"/>
              </w:rPr>
            </w:pPr>
            <w:r w:rsidRPr="00F05461">
              <w:rPr>
                <w:lang w:val="es-ES"/>
              </w:rPr>
              <w:t>Notificaciones terrenales</w:t>
            </w:r>
          </w:p>
        </w:tc>
        <w:tc>
          <w:tcPr>
            <w:tcW w:w="966" w:type="dxa"/>
            <w:tcBorders>
              <w:top w:val="single" w:sz="4" w:space="0" w:color="4BACC6"/>
            </w:tcBorders>
            <w:tcMar>
              <w:top w:w="0" w:type="dxa"/>
              <w:left w:w="108" w:type="dxa"/>
              <w:bottom w:w="0" w:type="dxa"/>
              <w:right w:w="108" w:type="dxa"/>
            </w:tcMar>
          </w:tcPr>
          <w:p w14:paraId="52D82637" w14:textId="77777777" w:rsidR="00B52B95" w:rsidRPr="00F05461" w:rsidRDefault="00B52B95" w:rsidP="006C3476">
            <w:pPr>
              <w:pStyle w:val="Tablehead"/>
              <w:rPr>
                <w:lang w:val="es-ES"/>
              </w:rPr>
            </w:pPr>
            <w:r w:rsidRPr="00F05461">
              <w:rPr>
                <w:lang w:val="es-ES"/>
              </w:rPr>
              <w:t>2022</w:t>
            </w:r>
          </w:p>
        </w:tc>
        <w:tc>
          <w:tcPr>
            <w:tcW w:w="937" w:type="dxa"/>
            <w:tcBorders>
              <w:top w:val="single" w:sz="4" w:space="0" w:color="4BACC6"/>
            </w:tcBorders>
            <w:tcMar>
              <w:top w:w="0" w:type="dxa"/>
              <w:left w:w="108" w:type="dxa"/>
              <w:bottom w:w="0" w:type="dxa"/>
              <w:right w:w="108" w:type="dxa"/>
            </w:tcMar>
          </w:tcPr>
          <w:p w14:paraId="493EEE49" w14:textId="77777777" w:rsidR="00B52B95" w:rsidRPr="00F05461" w:rsidRDefault="00B52B95" w:rsidP="006C3476">
            <w:pPr>
              <w:pStyle w:val="Tablehead"/>
              <w:rPr>
                <w:lang w:val="es-ES"/>
              </w:rPr>
            </w:pPr>
            <w:r w:rsidRPr="00F05461">
              <w:rPr>
                <w:lang w:val="es-ES"/>
              </w:rPr>
              <w:t>2023</w:t>
            </w:r>
          </w:p>
        </w:tc>
        <w:tc>
          <w:tcPr>
            <w:tcW w:w="924" w:type="dxa"/>
            <w:tcBorders>
              <w:top w:val="single" w:sz="4" w:space="0" w:color="4BACC6"/>
            </w:tcBorders>
            <w:tcMar>
              <w:top w:w="0" w:type="dxa"/>
              <w:left w:w="108" w:type="dxa"/>
              <w:bottom w:w="0" w:type="dxa"/>
              <w:right w:w="108" w:type="dxa"/>
            </w:tcMar>
          </w:tcPr>
          <w:p w14:paraId="0E484C5A" w14:textId="77777777" w:rsidR="00B52B95" w:rsidRPr="00F05461" w:rsidRDefault="00B52B95" w:rsidP="006C3476">
            <w:pPr>
              <w:pStyle w:val="Tablehead"/>
              <w:rPr>
                <w:lang w:val="es-ES"/>
              </w:rPr>
            </w:pPr>
            <w:r w:rsidRPr="00F05461">
              <w:rPr>
                <w:lang w:val="es-ES"/>
              </w:rPr>
              <w:t>2024</w:t>
            </w:r>
          </w:p>
        </w:tc>
        <w:tc>
          <w:tcPr>
            <w:tcW w:w="924" w:type="dxa"/>
            <w:tcBorders>
              <w:top w:val="single" w:sz="4" w:space="0" w:color="4BACC6"/>
            </w:tcBorders>
            <w:tcMar>
              <w:top w:w="0" w:type="dxa"/>
              <w:left w:w="108" w:type="dxa"/>
              <w:bottom w:w="0" w:type="dxa"/>
              <w:right w:w="108" w:type="dxa"/>
            </w:tcMar>
          </w:tcPr>
          <w:p w14:paraId="06A5C668" w14:textId="77777777" w:rsidR="00B52B95" w:rsidRPr="00F05461" w:rsidRDefault="00B52B95" w:rsidP="006C3476">
            <w:pPr>
              <w:pStyle w:val="Tablehead"/>
              <w:rPr>
                <w:lang w:val="es-ES"/>
              </w:rPr>
            </w:pPr>
            <w:r w:rsidRPr="00F05461">
              <w:rPr>
                <w:lang w:val="es-ES"/>
              </w:rPr>
              <w:t>2025</w:t>
            </w:r>
          </w:p>
        </w:tc>
        <w:tc>
          <w:tcPr>
            <w:tcW w:w="1213" w:type="dxa"/>
            <w:tcBorders>
              <w:top w:val="single" w:sz="4" w:space="0" w:color="4BACC6"/>
              <w:right w:val="single" w:sz="4" w:space="0" w:color="4BACC6"/>
            </w:tcBorders>
            <w:tcMar>
              <w:top w:w="0" w:type="dxa"/>
              <w:left w:w="108" w:type="dxa"/>
              <w:bottom w:w="0" w:type="dxa"/>
              <w:right w:w="108" w:type="dxa"/>
            </w:tcMar>
          </w:tcPr>
          <w:p w14:paraId="7B647DD6" w14:textId="082E164E" w:rsidR="00B52B95" w:rsidRPr="00F05461" w:rsidRDefault="00B52B95" w:rsidP="006C3476">
            <w:pPr>
              <w:pStyle w:val="Tablehead"/>
              <w:rPr>
                <w:lang w:val="es-ES"/>
              </w:rPr>
            </w:pPr>
            <w:r w:rsidRPr="00F05461">
              <w:rPr>
                <w:lang w:val="es-ES"/>
              </w:rPr>
              <w:t>Total</w:t>
            </w:r>
            <w:r w:rsidR="00711F8C" w:rsidRPr="00F05461">
              <w:rPr>
                <w:lang w:val="es-ES"/>
              </w:rPr>
              <w:br/>
            </w:r>
            <w:r w:rsidRPr="00F05461">
              <w:rPr>
                <w:lang w:val="es-ES"/>
              </w:rPr>
              <w:t>2022-2025</w:t>
            </w:r>
          </w:p>
        </w:tc>
      </w:tr>
      <w:tr w:rsidR="00033179" w:rsidRPr="00F05461" w14:paraId="24E7949B" w14:textId="77777777" w:rsidTr="006C3476">
        <w:trPr>
          <w:jc w:val="center"/>
        </w:trPr>
        <w:tc>
          <w:tcPr>
            <w:tcW w:w="4097" w:type="dxa"/>
            <w:tcBorders>
              <w:left w:val="single" w:sz="4" w:space="0" w:color="4BACC6"/>
            </w:tcBorders>
            <w:tcMar>
              <w:top w:w="0" w:type="dxa"/>
              <w:left w:w="108" w:type="dxa"/>
              <w:bottom w:w="0" w:type="dxa"/>
              <w:right w:w="108" w:type="dxa"/>
            </w:tcMar>
            <w:vAlign w:val="center"/>
          </w:tcPr>
          <w:p w14:paraId="7FF4EB47" w14:textId="7399E4E5" w:rsidR="00B52B95" w:rsidRPr="00F05461" w:rsidRDefault="00B52B95" w:rsidP="00711F8C">
            <w:pPr>
              <w:pStyle w:val="Tabletext"/>
              <w:rPr>
                <w:lang w:val="es-ES"/>
              </w:rPr>
            </w:pPr>
            <w:r w:rsidRPr="00F05461">
              <w:rPr>
                <w:lang w:val="es-ES"/>
              </w:rPr>
              <w:t>Notificaciones inscritas en el</w:t>
            </w:r>
            <w:r w:rsidR="005A00E5" w:rsidRPr="00F05461">
              <w:rPr>
                <w:lang w:val="es-ES"/>
              </w:rPr>
              <w:t> </w:t>
            </w:r>
            <w:r w:rsidRPr="00F05461">
              <w:rPr>
                <w:lang w:val="es-ES"/>
              </w:rPr>
              <w:t>MIFR/Planes</w:t>
            </w:r>
          </w:p>
        </w:tc>
        <w:tc>
          <w:tcPr>
            <w:tcW w:w="966" w:type="dxa"/>
            <w:tcMar>
              <w:top w:w="0" w:type="dxa"/>
              <w:left w:w="108" w:type="dxa"/>
              <w:bottom w:w="0" w:type="dxa"/>
              <w:right w:w="108" w:type="dxa"/>
            </w:tcMar>
            <w:vAlign w:val="center"/>
          </w:tcPr>
          <w:p w14:paraId="13CC56B1" w14:textId="55B593FB" w:rsidR="00B52B95" w:rsidRPr="00F05461" w:rsidRDefault="00B52B95" w:rsidP="001616BE">
            <w:pPr>
              <w:pStyle w:val="Tabletext"/>
              <w:jc w:val="center"/>
              <w:rPr>
                <w:lang w:val="es-ES"/>
              </w:rPr>
            </w:pPr>
            <w:r w:rsidRPr="00F05461">
              <w:rPr>
                <w:lang w:val="es-ES"/>
              </w:rPr>
              <w:t>63</w:t>
            </w:r>
            <w:r w:rsidR="001E7BC1" w:rsidRPr="00F05461">
              <w:rPr>
                <w:lang w:val="es-ES"/>
              </w:rPr>
              <w:t> </w:t>
            </w:r>
            <w:r w:rsidRPr="00F05461">
              <w:rPr>
                <w:lang w:val="es-ES"/>
              </w:rPr>
              <w:t>893/</w:t>
            </w:r>
            <w:r w:rsidR="001616BE" w:rsidRPr="00F05461">
              <w:rPr>
                <w:lang w:val="es-ES"/>
              </w:rPr>
              <w:br/>
            </w:r>
            <w:r w:rsidRPr="00F05461">
              <w:rPr>
                <w:lang w:val="es-ES"/>
              </w:rPr>
              <w:t>16</w:t>
            </w:r>
            <w:r w:rsidR="001E7BC1" w:rsidRPr="00F05461">
              <w:rPr>
                <w:lang w:val="es-ES"/>
              </w:rPr>
              <w:t> </w:t>
            </w:r>
            <w:r w:rsidRPr="00F05461">
              <w:rPr>
                <w:lang w:val="es-ES"/>
              </w:rPr>
              <w:t>250</w:t>
            </w:r>
          </w:p>
        </w:tc>
        <w:tc>
          <w:tcPr>
            <w:tcW w:w="937" w:type="dxa"/>
            <w:tcMar>
              <w:top w:w="0" w:type="dxa"/>
              <w:left w:w="108" w:type="dxa"/>
              <w:bottom w:w="0" w:type="dxa"/>
              <w:right w:w="108" w:type="dxa"/>
            </w:tcMar>
            <w:vAlign w:val="center"/>
          </w:tcPr>
          <w:p w14:paraId="5F20B8AF" w14:textId="16B09297" w:rsidR="00B52B95" w:rsidRPr="00F05461" w:rsidRDefault="00B52B95" w:rsidP="00005200">
            <w:pPr>
              <w:pStyle w:val="Tabletext"/>
              <w:jc w:val="center"/>
              <w:rPr>
                <w:lang w:val="es-ES"/>
              </w:rPr>
            </w:pPr>
            <w:r w:rsidRPr="00F05461">
              <w:rPr>
                <w:lang w:val="es-ES"/>
              </w:rPr>
              <w:t>71</w:t>
            </w:r>
            <w:r w:rsidR="001E7BC1" w:rsidRPr="00F05461">
              <w:rPr>
                <w:lang w:val="es-ES"/>
              </w:rPr>
              <w:t> </w:t>
            </w:r>
            <w:r w:rsidRPr="00F05461">
              <w:rPr>
                <w:lang w:val="es-ES"/>
              </w:rPr>
              <w:t>083/</w:t>
            </w:r>
            <w:r w:rsidR="00005200" w:rsidRPr="00F05461">
              <w:rPr>
                <w:lang w:val="es-ES"/>
              </w:rPr>
              <w:br/>
            </w:r>
            <w:r w:rsidRPr="00F05461">
              <w:rPr>
                <w:lang w:val="es-ES"/>
              </w:rPr>
              <w:t>28</w:t>
            </w:r>
            <w:r w:rsidR="001E7BC1" w:rsidRPr="00F05461">
              <w:rPr>
                <w:lang w:val="es-ES"/>
              </w:rPr>
              <w:t> </w:t>
            </w:r>
            <w:r w:rsidRPr="00F05461">
              <w:rPr>
                <w:lang w:val="es-ES"/>
              </w:rPr>
              <w:t>076</w:t>
            </w:r>
          </w:p>
        </w:tc>
        <w:tc>
          <w:tcPr>
            <w:tcW w:w="924" w:type="dxa"/>
            <w:tcMar>
              <w:top w:w="0" w:type="dxa"/>
              <w:left w:w="108" w:type="dxa"/>
              <w:bottom w:w="0" w:type="dxa"/>
              <w:right w:w="108" w:type="dxa"/>
            </w:tcMar>
            <w:vAlign w:val="center"/>
          </w:tcPr>
          <w:p w14:paraId="66C2C681" w14:textId="501B9151" w:rsidR="00B52B95" w:rsidRPr="00F05461" w:rsidRDefault="00B52B95" w:rsidP="00005200">
            <w:pPr>
              <w:pStyle w:val="Tabletext"/>
              <w:jc w:val="center"/>
              <w:rPr>
                <w:lang w:val="es-ES"/>
              </w:rPr>
            </w:pPr>
            <w:r w:rsidRPr="00F05461">
              <w:rPr>
                <w:lang w:val="es-ES"/>
              </w:rPr>
              <w:t>71</w:t>
            </w:r>
            <w:r w:rsidR="001E7BC1" w:rsidRPr="00F05461">
              <w:rPr>
                <w:lang w:val="es-ES"/>
              </w:rPr>
              <w:t> </w:t>
            </w:r>
            <w:r w:rsidRPr="00F05461">
              <w:rPr>
                <w:lang w:val="es-ES"/>
              </w:rPr>
              <w:t>072/</w:t>
            </w:r>
            <w:r w:rsidR="00005200" w:rsidRPr="00F05461">
              <w:rPr>
                <w:lang w:val="es-ES"/>
              </w:rPr>
              <w:br/>
            </w:r>
            <w:r w:rsidRPr="00F05461">
              <w:rPr>
                <w:lang w:val="es-ES"/>
              </w:rPr>
              <w:t>16</w:t>
            </w:r>
            <w:r w:rsidR="001E7BC1" w:rsidRPr="00F05461">
              <w:rPr>
                <w:lang w:val="es-ES"/>
              </w:rPr>
              <w:t> </w:t>
            </w:r>
            <w:r w:rsidRPr="00F05461">
              <w:rPr>
                <w:lang w:val="es-ES"/>
              </w:rPr>
              <w:t>878</w:t>
            </w:r>
          </w:p>
        </w:tc>
        <w:tc>
          <w:tcPr>
            <w:tcW w:w="924" w:type="dxa"/>
            <w:tcMar>
              <w:top w:w="0" w:type="dxa"/>
              <w:left w:w="108" w:type="dxa"/>
              <w:bottom w:w="0" w:type="dxa"/>
              <w:right w:w="108" w:type="dxa"/>
            </w:tcMar>
            <w:vAlign w:val="center"/>
          </w:tcPr>
          <w:p w14:paraId="746E588A" w14:textId="19285055" w:rsidR="00B52B95" w:rsidRPr="00F05461" w:rsidRDefault="00B52B95" w:rsidP="00005200">
            <w:pPr>
              <w:pStyle w:val="Tabletext"/>
              <w:jc w:val="center"/>
              <w:rPr>
                <w:lang w:val="es-ES"/>
              </w:rPr>
            </w:pPr>
            <w:r w:rsidRPr="00F05461">
              <w:rPr>
                <w:lang w:val="es-ES"/>
              </w:rPr>
              <w:t>45</w:t>
            </w:r>
            <w:r w:rsidR="001E7BC1" w:rsidRPr="00F05461">
              <w:rPr>
                <w:lang w:val="es-ES"/>
              </w:rPr>
              <w:t> </w:t>
            </w:r>
            <w:r w:rsidRPr="00F05461">
              <w:rPr>
                <w:lang w:val="es-ES"/>
              </w:rPr>
              <w:t>109/</w:t>
            </w:r>
            <w:r w:rsidR="00005200" w:rsidRPr="00F05461">
              <w:rPr>
                <w:lang w:val="es-ES"/>
              </w:rPr>
              <w:br/>
            </w:r>
            <w:r w:rsidRPr="00F05461">
              <w:rPr>
                <w:lang w:val="es-ES"/>
              </w:rPr>
              <w:t>21</w:t>
            </w:r>
            <w:r w:rsidR="001E7BC1" w:rsidRPr="00F05461">
              <w:rPr>
                <w:lang w:val="es-ES"/>
              </w:rPr>
              <w:t> </w:t>
            </w:r>
            <w:r w:rsidRPr="00F05461">
              <w:rPr>
                <w:lang w:val="es-ES"/>
              </w:rPr>
              <w:t>998</w:t>
            </w:r>
          </w:p>
        </w:tc>
        <w:tc>
          <w:tcPr>
            <w:tcW w:w="1213" w:type="dxa"/>
            <w:tcBorders>
              <w:right w:val="single" w:sz="4" w:space="0" w:color="4BACC6"/>
            </w:tcBorders>
            <w:tcMar>
              <w:top w:w="0" w:type="dxa"/>
              <w:left w:w="108" w:type="dxa"/>
              <w:bottom w:w="0" w:type="dxa"/>
              <w:right w:w="108" w:type="dxa"/>
            </w:tcMar>
            <w:vAlign w:val="center"/>
          </w:tcPr>
          <w:p w14:paraId="7DAE5B0A" w14:textId="31BDF229" w:rsidR="00B52B95" w:rsidRPr="00F05461" w:rsidRDefault="00B52B95" w:rsidP="00005200">
            <w:pPr>
              <w:pStyle w:val="Tabletext"/>
              <w:jc w:val="center"/>
              <w:rPr>
                <w:lang w:val="es-ES"/>
              </w:rPr>
            </w:pPr>
            <w:r w:rsidRPr="00F05461">
              <w:rPr>
                <w:lang w:val="es-ES"/>
              </w:rPr>
              <w:t>251</w:t>
            </w:r>
            <w:r w:rsidR="001E7BC1" w:rsidRPr="00F05461">
              <w:rPr>
                <w:lang w:val="es-ES"/>
              </w:rPr>
              <w:t> </w:t>
            </w:r>
            <w:r w:rsidRPr="00F05461">
              <w:rPr>
                <w:lang w:val="es-ES"/>
              </w:rPr>
              <w:t>157/</w:t>
            </w:r>
            <w:r w:rsidR="00005200" w:rsidRPr="00F05461">
              <w:rPr>
                <w:lang w:val="es-ES"/>
              </w:rPr>
              <w:br/>
            </w:r>
            <w:r w:rsidRPr="00F05461">
              <w:rPr>
                <w:lang w:val="es-ES"/>
              </w:rPr>
              <w:t>83</w:t>
            </w:r>
            <w:r w:rsidR="001E7BC1" w:rsidRPr="00F05461">
              <w:rPr>
                <w:lang w:val="es-ES"/>
              </w:rPr>
              <w:t> </w:t>
            </w:r>
            <w:r w:rsidRPr="00F05461">
              <w:rPr>
                <w:lang w:val="es-ES"/>
              </w:rPr>
              <w:t>202</w:t>
            </w:r>
          </w:p>
        </w:tc>
      </w:tr>
      <w:tr w:rsidR="00033179" w:rsidRPr="00F05461" w14:paraId="1AB9F20B" w14:textId="77777777" w:rsidTr="006C3476">
        <w:trPr>
          <w:jc w:val="center"/>
        </w:trPr>
        <w:tc>
          <w:tcPr>
            <w:tcW w:w="4097" w:type="dxa"/>
            <w:tcBorders>
              <w:left w:val="single" w:sz="4" w:space="0" w:color="4BACC6"/>
            </w:tcBorders>
            <w:tcMar>
              <w:top w:w="0" w:type="dxa"/>
              <w:left w:w="108" w:type="dxa"/>
              <w:bottom w:w="0" w:type="dxa"/>
              <w:right w:w="108" w:type="dxa"/>
            </w:tcMar>
            <w:vAlign w:val="center"/>
          </w:tcPr>
          <w:p w14:paraId="633CCF74" w14:textId="45EB3BF6" w:rsidR="00B52B95" w:rsidRPr="00F05461" w:rsidRDefault="00B52B95" w:rsidP="00711F8C">
            <w:pPr>
              <w:pStyle w:val="Tabletext"/>
              <w:rPr>
                <w:lang w:val="es-ES"/>
              </w:rPr>
            </w:pPr>
            <w:r w:rsidRPr="00F05461">
              <w:rPr>
                <w:lang w:val="es-ES"/>
              </w:rPr>
              <w:t>Examen de las conclusiones de las asignaciones a estaciones terrenales inscritas en el</w:t>
            </w:r>
            <w:r w:rsidR="005A00E5" w:rsidRPr="00F05461">
              <w:rPr>
                <w:lang w:val="es-ES"/>
              </w:rPr>
              <w:t> </w:t>
            </w:r>
            <w:r w:rsidRPr="00F05461">
              <w:rPr>
                <w:lang w:val="es-ES"/>
              </w:rPr>
              <w:t>MIFR</w:t>
            </w:r>
          </w:p>
        </w:tc>
        <w:tc>
          <w:tcPr>
            <w:tcW w:w="966" w:type="dxa"/>
            <w:tcMar>
              <w:top w:w="0" w:type="dxa"/>
              <w:left w:w="108" w:type="dxa"/>
              <w:bottom w:w="0" w:type="dxa"/>
              <w:right w:w="108" w:type="dxa"/>
            </w:tcMar>
            <w:vAlign w:val="center"/>
          </w:tcPr>
          <w:p w14:paraId="2EEF8A7B" w14:textId="4046060B" w:rsidR="00B52B95" w:rsidRPr="00F05461" w:rsidRDefault="00B52B95" w:rsidP="001616BE">
            <w:pPr>
              <w:pStyle w:val="Tabletext"/>
              <w:jc w:val="center"/>
              <w:rPr>
                <w:lang w:val="es-ES"/>
              </w:rPr>
            </w:pPr>
            <w:r w:rsidRPr="00F05461">
              <w:rPr>
                <w:lang w:val="es-ES"/>
              </w:rPr>
              <w:t>1</w:t>
            </w:r>
            <w:r w:rsidR="001E7BC1" w:rsidRPr="00F05461">
              <w:rPr>
                <w:lang w:val="es-ES"/>
              </w:rPr>
              <w:t> </w:t>
            </w:r>
            <w:r w:rsidRPr="00F05461">
              <w:rPr>
                <w:lang w:val="es-ES"/>
              </w:rPr>
              <w:t>562</w:t>
            </w:r>
          </w:p>
        </w:tc>
        <w:tc>
          <w:tcPr>
            <w:tcW w:w="937" w:type="dxa"/>
            <w:tcMar>
              <w:top w:w="0" w:type="dxa"/>
              <w:left w:w="108" w:type="dxa"/>
              <w:bottom w:w="0" w:type="dxa"/>
              <w:right w:w="108" w:type="dxa"/>
            </w:tcMar>
            <w:vAlign w:val="center"/>
          </w:tcPr>
          <w:p w14:paraId="36A05565" w14:textId="77777777" w:rsidR="00B52B95" w:rsidRPr="00F05461" w:rsidRDefault="00B52B95" w:rsidP="001616BE">
            <w:pPr>
              <w:pStyle w:val="Tabletext"/>
              <w:jc w:val="center"/>
              <w:rPr>
                <w:lang w:val="es-ES"/>
              </w:rPr>
            </w:pPr>
            <w:r w:rsidRPr="00F05461">
              <w:rPr>
                <w:lang w:val="es-ES"/>
              </w:rPr>
              <w:t>11</w:t>
            </w:r>
          </w:p>
        </w:tc>
        <w:tc>
          <w:tcPr>
            <w:tcW w:w="924" w:type="dxa"/>
            <w:tcMar>
              <w:top w:w="0" w:type="dxa"/>
              <w:left w:w="108" w:type="dxa"/>
              <w:bottom w:w="0" w:type="dxa"/>
              <w:right w:w="108" w:type="dxa"/>
            </w:tcMar>
            <w:vAlign w:val="center"/>
          </w:tcPr>
          <w:p w14:paraId="3FF8CCD2" w14:textId="10F839BE" w:rsidR="00B52B95" w:rsidRPr="00F05461" w:rsidRDefault="001E7BC1" w:rsidP="001616BE">
            <w:pPr>
              <w:pStyle w:val="Tabletext"/>
              <w:jc w:val="center"/>
              <w:rPr>
                <w:lang w:val="es-ES"/>
              </w:rPr>
            </w:pPr>
            <w:r w:rsidRPr="00F05461">
              <w:rPr>
                <w:lang w:val="es-ES"/>
              </w:rPr>
              <w:t>–</w:t>
            </w:r>
          </w:p>
        </w:tc>
        <w:tc>
          <w:tcPr>
            <w:tcW w:w="924" w:type="dxa"/>
            <w:tcMar>
              <w:top w:w="0" w:type="dxa"/>
              <w:left w:w="108" w:type="dxa"/>
              <w:bottom w:w="0" w:type="dxa"/>
              <w:right w:w="108" w:type="dxa"/>
            </w:tcMar>
            <w:vAlign w:val="center"/>
          </w:tcPr>
          <w:p w14:paraId="46D678EB" w14:textId="6E5C1EDF" w:rsidR="00B52B95" w:rsidRPr="00F05461" w:rsidRDefault="00B52B95" w:rsidP="001616BE">
            <w:pPr>
              <w:pStyle w:val="Tabletext"/>
              <w:jc w:val="center"/>
              <w:rPr>
                <w:lang w:val="es-ES"/>
              </w:rPr>
            </w:pPr>
            <w:r w:rsidRPr="00F05461">
              <w:rPr>
                <w:lang w:val="es-ES"/>
              </w:rPr>
              <w:t>6</w:t>
            </w:r>
            <w:r w:rsidR="001E7BC1" w:rsidRPr="00F05461">
              <w:rPr>
                <w:lang w:val="es-ES"/>
              </w:rPr>
              <w:t> </w:t>
            </w:r>
            <w:r w:rsidRPr="00F05461">
              <w:rPr>
                <w:lang w:val="es-ES"/>
              </w:rPr>
              <w:t>490</w:t>
            </w:r>
          </w:p>
        </w:tc>
        <w:tc>
          <w:tcPr>
            <w:tcW w:w="1213" w:type="dxa"/>
            <w:tcBorders>
              <w:right w:val="single" w:sz="4" w:space="0" w:color="4BACC6"/>
            </w:tcBorders>
            <w:tcMar>
              <w:top w:w="0" w:type="dxa"/>
              <w:left w:w="108" w:type="dxa"/>
              <w:bottom w:w="0" w:type="dxa"/>
              <w:right w:w="108" w:type="dxa"/>
            </w:tcMar>
            <w:vAlign w:val="center"/>
          </w:tcPr>
          <w:p w14:paraId="2CE9A70A" w14:textId="5BE22A2B" w:rsidR="00B52B95" w:rsidRPr="00F05461" w:rsidRDefault="00B52B95" w:rsidP="001616BE">
            <w:pPr>
              <w:pStyle w:val="Tabletext"/>
              <w:jc w:val="center"/>
              <w:rPr>
                <w:lang w:val="es-ES"/>
              </w:rPr>
            </w:pPr>
            <w:r w:rsidRPr="00F05461">
              <w:rPr>
                <w:lang w:val="es-ES"/>
              </w:rPr>
              <w:t>8</w:t>
            </w:r>
            <w:r w:rsidR="001E7BC1" w:rsidRPr="00F05461">
              <w:rPr>
                <w:lang w:val="es-ES"/>
              </w:rPr>
              <w:t> </w:t>
            </w:r>
            <w:r w:rsidRPr="00F05461">
              <w:rPr>
                <w:lang w:val="es-ES"/>
              </w:rPr>
              <w:t>063</w:t>
            </w:r>
          </w:p>
        </w:tc>
      </w:tr>
      <w:tr w:rsidR="00033179" w:rsidRPr="00F05461" w14:paraId="6F03B73F" w14:textId="77777777" w:rsidTr="006C3476">
        <w:trPr>
          <w:jc w:val="center"/>
        </w:trPr>
        <w:tc>
          <w:tcPr>
            <w:tcW w:w="4097" w:type="dxa"/>
            <w:tcBorders>
              <w:left w:val="single" w:sz="4" w:space="0" w:color="4BACC6"/>
            </w:tcBorders>
            <w:tcMar>
              <w:top w:w="0" w:type="dxa"/>
              <w:left w:w="108" w:type="dxa"/>
              <w:bottom w:w="0" w:type="dxa"/>
              <w:right w:w="108" w:type="dxa"/>
            </w:tcMar>
            <w:vAlign w:val="center"/>
          </w:tcPr>
          <w:p w14:paraId="6A874771" w14:textId="50D6406F" w:rsidR="00B52B95" w:rsidRPr="00F05461" w:rsidRDefault="00B52B95" w:rsidP="00711F8C">
            <w:pPr>
              <w:pStyle w:val="Tabletext"/>
              <w:rPr>
                <w:lang w:val="es-ES"/>
              </w:rPr>
            </w:pPr>
            <w:r w:rsidRPr="00F05461">
              <w:rPr>
                <w:lang w:val="es-ES"/>
              </w:rPr>
              <w:t xml:space="preserve">Notificaciones de estaciones costeras y de barco para su inclusión en la base de datos de servicios marítimos de </w:t>
            </w:r>
            <w:r w:rsidR="00296F03" w:rsidRPr="00F05461">
              <w:rPr>
                <w:lang w:val="es-ES"/>
              </w:rPr>
              <w:t>la UIT</w:t>
            </w:r>
          </w:p>
        </w:tc>
        <w:tc>
          <w:tcPr>
            <w:tcW w:w="966" w:type="dxa"/>
            <w:tcMar>
              <w:top w:w="0" w:type="dxa"/>
              <w:left w:w="108" w:type="dxa"/>
              <w:bottom w:w="0" w:type="dxa"/>
              <w:right w:w="108" w:type="dxa"/>
            </w:tcMar>
            <w:vAlign w:val="center"/>
          </w:tcPr>
          <w:p w14:paraId="62CCA3C6" w14:textId="6CBE0245" w:rsidR="00B52B95" w:rsidRPr="00F05461" w:rsidRDefault="00B52B95" w:rsidP="001616BE">
            <w:pPr>
              <w:pStyle w:val="Tabletext"/>
              <w:jc w:val="center"/>
              <w:rPr>
                <w:lang w:val="es-ES"/>
              </w:rPr>
            </w:pPr>
            <w:r w:rsidRPr="00F05461">
              <w:rPr>
                <w:lang w:val="es-ES"/>
              </w:rPr>
              <w:t>1</w:t>
            </w:r>
            <w:r w:rsidR="001E7BC1" w:rsidRPr="00F05461">
              <w:rPr>
                <w:lang w:val="es-ES"/>
              </w:rPr>
              <w:t> </w:t>
            </w:r>
            <w:r w:rsidRPr="00F05461">
              <w:rPr>
                <w:lang w:val="es-ES"/>
              </w:rPr>
              <w:t>854</w:t>
            </w:r>
          </w:p>
        </w:tc>
        <w:tc>
          <w:tcPr>
            <w:tcW w:w="937" w:type="dxa"/>
            <w:tcMar>
              <w:top w:w="0" w:type="dxa"/>
              <w:left w:w="108" w:type="dxa"/>
              <w:bottom w:w="0" w:type="dxa"/>
              <w:right w:w="108" w:type="dxa"/>
            </w:tcMar>
            <w:vAlign w:val="center"/>
          </w:tcPr>
          <w:p w14:paraId="5FB3C815" w14:textId="1F0F3AB0" w:rsidR="00B52B95" w:rsidRPr="00F05461" w:rsidRDefault="00B52B95" w:rsidP="001616BE">
            <w:pPr>
              <w:pStyle w:val="Tabletext"/>
              <w:jc w:val="center"/>
              <w:rPr>
                <w:lang w:val="es-ES"/>
              </w:rPr>
            </w:pPr>
            <w:r w:rsidRPr="00F05461">
              <w:rPr>
                <w:lang w:val="es-ES"/>
              </w:rPr>
              <w:t>1</w:t>
            </w:r>
            <w:r w:rsidR="001E7BC1" w:rsidRPr="00F05461">
              <w:rPr>
                <w:lang w:val="es-ES"/>
              </w:rPr>
              <w:t> </w:t>
            </w:r>
            <w:r w:rsidRPr="00F05461">
              <w:rPr>
                <w:lang w:val="es-ES"/>
              </w:rPr>
              <w:t>818</w:t>
            </w:r>
          </w:p>
        </w:tc>
        <w:tc>
          <w:tcPr>
            <w:tcW w:w="924" w:type="dxa"/>
            <w:tcMar>
              <w:top w:w="0" w:type="dxa"/>
              <w:left w:w="108" w:type="dxa"/>
              <w:bottom w:w="0" w:type="dxa"/>
              <w:right w:w="108" w:type="dxa"/>
            </w:tcMar>
            <w:vAlign w:val="center"/>
          </w:tcPr>
          <w:p w14:paraId="0F0FAFB7" w14:textId="77777777" w:rsidR="00B52B95" w:rsidRPr="00F05461" w:rsidRDefault="00B52B95" w:rsidP="001616BE">
            <w:pPr>
              <w:pStyle w:val="Tabletext"/>
              <w:jc w:val="center"/>
              <w:rPr>
                <w:lang w:val="es-ES"/>
              </w:rPr>
            </w:pPr>
            <w:r w:rsidRPr="00F05461">
              <w:rPr>
                <w:lang w:val="es-ES"/>
              </w:rPr>
              <w:t>683</w:t>
            </w:r>
          </w:p>
        </w:tc>
        <w:tc>
          <w:tcPr>
            <w:tcW w:w="924" w:type="dxa"/>
            <w:tcMar>
              <w:top w:w="0" w:type="dxa"/>
              <w:left w:w="108" w:type="dxa"/>
              <w:bottom w:w="0" w:type="dxa"/>
              <w:right w:w="108" w:type="dxa"/>
            </w:tcMar>
            <w:vAlign w:val="center"/>
          </w:tcPr>
          <w:p w14:paraId="67D4AA0A" w14:textId="78DAD2F1" w:rsidR="00B52B95" w:rsidRPr="00F05461" w:rsidRDefault="00B52B95" w:rsidP="001616BE">
            <w:pPr>
              <w:pStyle w:val="Tabletext"/>
              <w:jc w:val="center"/>
              <w:rPr>
                <w:lang w:val="es-ES"/>
              </w:rPr>
            </w:pPr>
            <w:r w:rsidRPr="00F05461">
              <w:rPr>
                <w:lang w:val="es-ES"/>
              </w:rPr>
              <w:t>1</w:t>
            </w:r>
            <w:r w:rsidR="001E7BC1" w:rsidRPr="00F05461">
              <w:rPr>
                <w:lang w:val="es-ES"/>
              </w:rPr>
              <w:t> </w:t>
            </w:r>
            <w:r w:rsidRPr="00F05461">
              <w:rPr>
                <w:lang w:val="es-ES"/>
              </w:rPr>
              <w:t>957</w:t>
            </w:r>
          </w:p>
        </w:tc>
        <w:tc>
          <w:tcPr>
            <w:tcW w:w="1213" w:type="dxa"/>
            <w:tcBorders>
              <w:right w:val="single" w:sz="4" w:space="0" w:color="4BACC6"/>
            </w:tcBorders>
            <w:tcMar>
              <w:top w:w="0" w:type="dxa"/>
              <w:left w:w="108" w:type="dxa"/>
              <w:bottom w:w="0" w:type="dxa"/>
              <w:right w:w="108" w:type="dxa"/>
            </w:tcMar>
            <w:vAlign w:val="center"/>
          </w:tcPr>
          <w:p w14:paraId="648C2210" w14:textId="21B16A75" w:rsidR="00B52B95" w:rsidRPr="00F05461" w:rsidRDefault="00B52B95" w:rsidP="001616BE">
            <w:pPr>
              <w:pStyle w:val="Tabletext"/>
              <w:jc w:val="center"/>
              <w:rPr>
                <w:lang w:val="es-ES"/>
              </w:rPr>
            </w:pPr>
            <w:r w:rsidRPr="00F05461">
              <w:rPr>
                <w:lang w:val="es-ES"/>
              </w:rPr>
              <w:t>7</w:t>
            </w:r>
            <w:r w:rsidR="001E7BC1" w:rsidRPr="00F05461">
              <w:rPr>
                <w:lang w:val="es-ES"/>
              </w:rPr>
              <w:t> </w:t>
            </w:r>
            <w:r w:rsidRPr="00F05461">
              <w:rPr>
                <w:lang w:val="es-ES"/>
              </w:rPr>
              <w:t>312</w:t>
            </w:r>
          </w:p>
        </w:tc>
      </w:tr>
      <w:tr w:rsidR="00033179" w:rsidRPr="00F05461" w14:paraId="445D3C02" w14:textId="77777777" w:rsidTr="006C3476">
        <w:trPr>
          <w:jc w:val="center"/>
        </w:trPr>
        <w:tc>
          <w:tcPr>
            <w:tcW w:w="4097" w:type="dxa"/>
            <w:tcBorders>
              <w:left w:val="single" w:sz="4" w:space="0" w:color="4BACC6"/>
            </w:tcBorders>
            <w:tcMar>
              <w:top w:w="0" w:type="dxa"/>
              <w:left w:w="108" w:type="dxa"/>
              <w:bottom w:w="0" w:type="dxa"/>
              <w:right w:w="108" w:type="dxa"/>
            </w:tcMar>
            <w:vAlign w:val="center"/>
          </w:tcPr>
          <w:p w14:paraId="7C99DA41" w14:textId="3B803934" w:rsidR="00B52B95" w:rsidRPr="00F05461" w:rsidRDefault="00B52B95" w:rsidP="00711F8C">
            <w:pPr>
              <w:pStyle w:val="Tabletext"/>
              <w:rPr>
                <w:lang w:val="es-ES"/>
              </w:rPr>
            </w:pPr>
            <w:r w:rsidRPr="00F05461">
              <w:rPr>
                <w:lang w:val="es-ES"/>
              </w:rPr>
              <w:t>Requisitos de radiodifusión por ondas decamétricas</w:t>
            </w:r>
          </w:p>
        </w:tc>
        <w:tc>
          <w:tcPr>
            <w:tcW w:w="966" w:type="dxa"/>
            <w:tcMar>
              <w:top w:w="0" w:type="dxa"/>
              <w:left w:w="108" w:type="dxa"/>
              <w:bottom w:w="0" w:type="dxa"/>
              <w:right w:w="108" w:type="dxa"/>
            </w:tcMar>
            <w:vAlign w:val="center"/>
          </w:tcPr>
          <w:p w14:paraId="3556DEE2" w14:textId="22DA57F3" w:rsidR="00B52B95" w:rsidRPr="00F05461" w:rsidRDefault="00B52B95" w:rsidP="001616BE">
            <w:pPr>
              <w:pStyle w:val="Tabletext"/>
              <w:jc w:val="center"/>
              <w:rPr>
                <w:lang w:val="es-ES"/>
              </w:rPr>
            </w:pPr>
            <w:r w:rsidRPr="00F05461">
              <w:rPr>
                <w:lang w:val="es-ES"/>
              </w:rPr>
              <w:t>11</w:t>
            </w:r>
            <w:r w:rsidR="001E7BC1" w:rsidRPr="00F05461">
              <w:rPr>
                <w:lang w:val="es-ES"/>
              </w:rPr>
              <w:t> </w:t>
            </w:r>
            <w:r w:rsidRPr="00F05461">
              <w:rPr>
                <w:lang w:val="es-ES"/>
              </w:rPr>
              <w:t>311</w:t>
            </w:r>
          </w:p>
        </w:tc>
        <w:tc>
          <w:tcPr>
            <w:tcW w:w="937" w:type="dxa"/>
            <w:tcMar>
              <w:top w:w="0" w:type="dxa"/>
              <w:left w:w="108" w:type="dxa"/>
              <w:bottom w:w="0" w:type="dxa"/>
              <w:right w:w="108" w:type="dxa"/>
            </w:tcMar>
            <w:vAlign w:val="center"/>
          </w:tcPr>
          <w:p w14:paraId="60B153E6" w14:textId="449E5926" w:rsidR="00B52B95" w:rsidRPr="00F05461" w:rsidRDefault="00B52B95" w:rsidP="001616BE">
            <w:pPr>
              <w:pStyle w:val="Tabletext"/>
              <w:jc w:val="center"/>
              <w:rPr>
                <w:lang w:val="es-ES"/>
              </w:rPr>
            </w:pPr>
            <w:r w:rsidRPr="00F05461">
              <w:rPr>
                <w:lang w:val="es-ES"/>
              </w:rPr>
              <w:t>7</w:t>
            </w:r>
            <w:r w:rsidR="001E7BC1" w:rsidRPr="00F05461">
              <w:rPr>
                <w:lang w:val="es-ES"/>
              </w:rPr>
              <w:t> </w:t>
            </w:r>
            <w:r w:rsidRPr="00F05461">
              <w:rPr>
                <w:lang w:val="es-ES"/>
              </w:rPr>
              <w:t>969</w:t>
            </w:r>
          </w:p>
        </w:tc>
        <w:tc>
          <w:tcPr>
            <w:tcW w:w="924" w:type="dxa"/>
            <w:tcMar>
              <w:top w:w="0" w:type="dxa"/>
              <w:left w:w="108" w:type="dxa"/>
              <w:bottom w:w="0" w:type="dxa"/>
              <w:right w:w="108" w:type="dxa"/>
            </w:tcMar>
            <w:vAlign w:val="center"/>
          </w:tcPr>
          <w:p w14:paraId="0DEC898E" w14:textId="7B7B10D4" w:rsidR="00B52B95" w:rsidRPr="00F05461" w:rsidRDefault="00B52B95" w:rsidP="001616BE">
            <w:pPr>
              <w:pStyle w:val="Tabletext"/>
              <w:jc w:val="center"/>
              <w:rPr>
                <w:lang w:val="es-ES"/>
              </w:rPr>
            </w:pPr>
            <w:r w:rsidRPr="00F05461">
              <w:rPr>
                <w:lang w:val="es-ES"/>
              </w:rPr>
              <w:t>10</w:t>
            </w:r>
            <w:r w:rsidR="001E7BC1" w:rsidRPr="00F05461">
              <w:rPr>
                <w:lang w:val="es-ES"/>
              </w:rPr>
              <w:t> </w:t>
            </w:r>
            <w:r w:rsidRPr="00F05461">
              <w:rPr>
                <w:lang w:val="es-ES"/>
              </w:rPr>
              <w:t>195</w:t>
            </w:r>
          </w:p>
        </w:tc>
        <w:tc>
          <w:tcPr>
            <w:tcW w:w="924" w:type="dxa"/>
            <w:tcMar>
              <w:top w:w="0" w:type="dxa"/>
              <w:left w:w="108" w:type="dxa"/>
              <w:bottom w:w="0" w:type="dxa"/>
              <w:right w:w="108" w:type="dxa"/>
            </w:tcMar>
            <w:vAlign w:val="center"/>
          </w:tcPr>
          <w:p w14:paraId="4665CEBF" w14:textId="17ACD630" w:rsidR="00B52B95" w:rsidRPr="00F05461" w:rsidRDefault="00B52B95" w:rsidP="001616BE">
            <w:pPr>
              <w:pStyle w:val="Tabletext"/>
              <w:jc w:val="center"/>
              <w:rPr>
                <w:lang w:val="es-ES"/>
              </w:rPr>
            </w:pPr>
            <w:r w:rsidRPr="00F05461">
              <w:rPr>
                <w:lang w:val="es-ES"/>
              </w:rPr>
              <w:t>10</w:t>
            </w:r>
            <w:r w:rsidR="001E7BC1" w:rsidRPr="00F05461">
              <w:rPr>
                <w:lang w:val="es-ES"/>
              </w:rPr>
              <w:t> </w:t>
            </w:r>
            <w:r w:rsidRPr="00F05461">
              <w:rPr>
                <w:lang w:val="es-ES"/>
              </w:rPr>
              <w:t>470</w:t>
            </w:r>
          </w:p>
        </w:tc>
        <w:tc>
          <w:tcPr>
            <w:tcW w:w="1213" w:type="dxa"/>
            <w:tcBorders>
              <w:right w:val="single" w:sz="4" w:space="0" w:color="4BACC6"/>
            </w:tcBorders>
            <w:tcMar>
              <w:top w:w="0" w:type="dxa"/>
              <w:left w:w="108" w:type="dxa"/>
              <w:bottom w:w="0" w:type="dxa"/>
              <w:right w:w="108" w:type="dxa"/>
            </w:tcMar>
            <w:vAlign w:val="center"/>
          </w:tcPr>
          <w:p w14:paraId="4AB95E23" w14:textId="1DEC9971" w:rsidR="00B52B95" w:rsidRPr="00F05461" w:rsidRDefault="00B52B95" w:rsidP="001616BE">
            <w:pPr>
              <w:pStyle w:val="Tabletext"/>
              <w:jc w:val="center"/>
              <w:rPr>
                <w:lang w:val="es-ES"/>
              </w:rPr>
            </w:pPr>
            <w:r w:rsidRPr="00F05461">
              <w:rPr>
                <w:lang w:val="es-ES"/>
              </w:rPr>
              <w:t>39</w:t>
            </w:r>
            <w:r w:rsidR="001E7BC1" w:rsidRPr="00F05461">
              <w:rPr>
                <w:lang w:val="es-ES"/>
              </w:rPr>
              <w:t> </w:t>
            </w:r>
            <w:r w:rsidRPr="00F05461">
              <w:rPr>
                <w:lang w:val="es-ES"/>
              </w:rPr>
              <w:t>945</w:t>
            </w:r>
          </w:p>
        </w:tc>
      </w:tr>
      <w:tr w:rsidR="00033179" w:rsidRPr="00F05461" w14:paraId="3C97DB7E" w14:textId="77777777" w:rsidTr="006C3476">
        <w:trPr>
          <w:jc w:val="center"/>
        </w:trPr>
        <w:tc>
          <w:tcPr>
            <w:tcW w:w="4097" w:type="dxa"/>
            <w:tcBorders>
              <w:left w:val="single" w:sz="4" w:space="0" w:color="4BACC6"/>
            </w:tcBorders>
            <w:tcMar>
              <w:top w:w="0" w:type="dxa"/>
              <w:left w:w="108" w:type="dxa"/>
              <w:bottom w:w="0" w:type="dxa"/>
              <w:right w:w="108" w:type="dxa"/>
            </w:tcMar>
            <w:vAlign w:val="center"/>
          </w:tcPr>
          <w:p w14:paraId="47D3E3A8" w14:textId="193E51BF" w:rsidR="00B52B95" w:rsidRPr="00F05461" w:rsidRDefault="00B52B95" w:rsidP="00711F8C">
            <w:pPr>
              <w:pStyle w:val="Tabletext"/>
              <w:rPr>
                <w:lang w:val="es-ES"/>
              </w:rPr>
            </w:pPr>
            <w:r w:rsidRPr="00F05461">
              <w:rPr>
                <w:lang w:val="es-ES"/>
              </w:rPr>
              <w:t>Observaciones relativas a la comprobación técnica en relación con el programa de comprobación en las bandas 2 850</w:t>
            </w:r>
            <w:r w:rsidR="001E7BC1" w:rsidRPr="00F05461">
              <w:rPr>
                <w:lang w:val="es-ES"/>
              </w:rPr>
              <w:noBreakHyphen/>
            </w:r>
            <w:r w:rsidRPr="00F05461">
              <w:rPr>
                <w:lang w:val="es-ES"/>
              </w:rPr>
              <w:t>28 000</w:t>
            </w:r>
            <w:r w:rsidR="001E7BC1" w:rsidRPr="00F05461">
              <w:rPr>
                <w:lang w:val="es-ES"/>
              </w:rPr>
              <w:t> </w:t>
            </w:r>
            <w:r w:rsidRPr="00F05461">
              <w:rPr>
                <w:lang w:val="es-ES"/>
              </w:rPr>
              <w:t>kHz y 406</w:t>
            </w:r>
            <w:r w:rsidR="001E7BC1" w:rsidRPr="00F05461">
              <w:rPr>
                <w:lang w:val="es-ES"/>
              </w:rPr>
              <w:noBreakHyphen/>
            </w:r>
            <w:r w:rsidRPr="00F05461">
              <w:rPr>
                <w:lang w:val="es-ES"/>
              </w:rPr>
              <w:t>406,1</w:t>
            </w:r>
            <w:r w:rsidR="001E7BC1" w:rsidRPr="00F05461">
              <w:rPr>
                <w:lang w:val="es-ES"/>
              </w:rPr>
              <w:t> </w:t>
            </w:r>
            <w:r w:rsidRPr="00F05461">
              <w:rPr>
                <w:lang w:val="es-ES"/>
              </w:rPr>
              <w:t>MHz</w:t>
            </w:r>
          </w:p>
        </w:tc>
        <w:tc>
          <w:tcPr>
            <w:tcW w:w="966" w:type="dxa"/>
            <w:tcMar>
              <w:top w:w="0" w:type="dxa"/>
              <w:left w:w="108" w:type="dxa"/>
              <w:bottom w:w="0" w:type="dxa"/>
              <w:right w:w="108" w:type="dxa"/>
            </w:tcMar>
            <w:vAlign w:val="center"/>
          </w:tcPr>
          <w:p w14:paraId="26D17016" w14:textId="34EA180B" w:rsidR="00B52B95" w:rsidRPr="00F05461" w:rsidRDefault="00B52B95" w:rsidP="001616BE">
            <w:pPr>
              <w:pStyle w:val="Tabletext"/>
              <w:jc w:val="center"/>
              <w:rPr>
                <w:lang w:val="es-ES"/>
              </w:rPr>
            </w:pPr>
            <w:r w:rsidRPr="00F05461">
              <w:rPr>
                <w:lang w:val="es-ES"/>
              </w:rPr>
              <w:t>25</w:t>
            </w:r>
            <w:r w:rsidR="001E7BC1" w:rsidRPr="00F05461">
              <w:rPr>
                <w:lang w:val="es-ES"/>
              </w:rPr>
              <w:t> </w:t>
            </w:r>
            <w:r w:rsidRPr="00F05461">
              <w:rPr>
                <w:lang w:val="es-ES"/>
              </w:rPr>
              <w:t>530/</w:t>
            </w:r>
            <w:r w:rsidR="001616BE" w:rsidRPr="00F05461">
              <w:rPr>
                <w:lang w:val="es-ES"/>
              </w:rPr>
              <w:br/>
            </w:r>
            <w:r w:rsidRPr="00F05461">
              <w:rPr>
                <w:lang w:val="es-ES"/>
              </w:rPr>
              <w:t>407</w:t>
            </w:r>
          </w:p>
        </w:tc>
        <w:tc>
          <w:tcPr>
            <w:tcW w:w="937" w:type="dxa"/>
            <w:tcMar>
              <w:top w:w="0" w:type="dxa"/>
              <w:left w:w="108" w:type="dxa"/>
              <w:bottom w:w="0" w:type="dxa"/>
              <w:right w:w="108" w:type="dxa"/>
            </w:tcMar>
            <w:vAlign w:val="center"/>
          </w:tcPr>
          <w:p w14:paraId="7C02E814" w14:textId="57DC2E53" w:rsidR="00B52B95" w:rsidRPr="00F05461" w:rsidRDefault="00B52B95" w:rsidP="001616BE">
            <w:pPr>
              <w:pStyle w:val="Tabletext"/>
              <w:jc w:val="center"/>
              <w:rPr>
                <w:lang w:val="es-ES"/>
              </w:rPr>
            </w:pPr>
            <w:r w:rsidRPr="00F05461">
              <w:rPr>
                <w:lang w:val="es-ES"/>
              </w:rPr>
              <w:t>29</w:t>
            </w:r>
            <w:r w:rsidR="001E7BC1" w:rsidRPr="00F05461">
              <w:rPr>
                <w:lang w:val="es-ES"/>
              </w:rPr>
              <w:t> </w:t>
            </w:r>
            <w:r w:rsidRPr="00F05461">
              <w:rPr>
                <w:lang w:val="es-ES"/>
              </w:rPr>
              <w:t>909/</w:t>
            </w:r>
            <w:r w:rsidR="001616BE" w:rsidRPr="00F05461">
              <w:rPr>
                <w:lang w:val="es-ES"/>
              </w:rPr>
              <w:br/>
            </w:r>
            <w:r w:rsidRPr="00F05461">
              <w:rPr>
                <w:lang w:val="es-ES"/>
              </w:rPr>
              <w:t>612</w:t>
            </w:r>
          </w:p>
        </w:tc>
        <w:tc>
          <w:tcPr>
            <w:tcW w:w="924" w:type="dxa"/>
            <w:tcMar>
              <w:top w:w="0" w:type="dxa"/>
              <w:left w:w="108" w:type="dxa"/>
              <w:bottom w:w="0" w:type="dxa"/>
              <w:right w:w="108" w:type="dxa"/>
            </w:tcMar>
            <w:vAlign w:val="center"/>
          </w:tcPr>
          <w:p w14:paraId="6AC5FEDC" w14:textId="7F106A43" w:rsidR="00B52B95" w:rsidRPr="00F05461" w:rsidRDefault="00B52B95" w:rsidP="001616BE">
            <w:pPr>
              <w:pStyle w:val="Tabletext"/>
              <w:jc w:val="center"/>
              <w:rPr>
                <w:lang w:val="es-ES"/>
              </w:rPr>
            </w:pPr>
            <w:r w:rsidRPr="00F05461">
              <w:rPr>
                <w:lang w:val="es-ES"/>
              </w:rPr>
              <w:t>27</w:t>
            </w:r>
            <w:r w:rsidR="001E7BC1" w:rsidRPr="00F05461">
              <w:rPr>
                <w:lang w:val="es-ES"/>
              </w:rPr>
              <w:t> </w:t>
            </w:r>
            <w:r w:rsidRPr="00F05461">
              <w:rPr>
                <w:lang w:val="es-ES"/>
              </w:rPr>
              <w:t>854/</w:t>
            </w:r>
            <w:r w:rsidR="001616BE" w:rsidRPr="00F05461">
              <w:rPr>
                <w:lang w:val="es-ES"/>
              </w:rPr>
              <w:br/>
            </w:r>
            <w:r w:rsidRPr="00F05461">
              <w:rPr>
                <w:lang w:val="es-ES"/>
              </w:rPr>
              <w:t>920</w:t>
            </w:r>
          </w:p>
        </w:tc>
        <w:tc>
          <w:tcPr>
            <w:tcW w:w="924" w:type="dxa"/>
            <w:tcMar>
              <w:top w:w="0" w:type="dxa"/>
              <w:left w:w="108" w:type="dxa"/>
              <w:bottom w:w="0" w:type="dxa"/>
              <w:right w:w="108" w:type="dxa"/>
            </w:tcMar>
            <w:vAlign w:val="center"/>
          </w:tcPr>
          <w:p w14:paraId="4E7E66C1" w14:textId="17CB8C84" w:rsidR="00B52B95" w:rsidRPr="00F05461" w:rsidRDefault="00B52B95" w:rsidP="001616BE">
            <w:pPr>
              <w:pStyle w:val="Tabletext"/>
              <w:jc w:val="center"/>
              <w:rPr>
                <w:lang w:val="es-ES"/>
              </w:rPr>
            </w:pPr>
            <w:r w:rsidRPr="00F05461">
              <w:rPr>
                <w:lang w:val="es-ES"/>
              </w:rPr>
              <w:t>33</w:t>
            </w:r>
            <w:r w:rsidR="001E7BC1" w:rsidRPr="00F05461">
              <w:rPr>
                <w:lang w:val="es-ES"/>
              </w:rPr>
              <w:t> </w:t>
            </w:r>
            <w:r w:rsidRPr="00F05461">
              <w:rPr>
                <w:lang w:val="es-ES"/>
              </w:rPr>
              <w:t>406/</w:t>
            </w:r>
            <w:r w:rsidR="001616BE" w:rsidRPr="00F05461">
              <w:rPr>
                <w:lang w:val="es-ES"/>
              </w:rPr>
              <w:br/>
            </w:r>
            <w:r w:rsidRPr="00F05461">
              <w:rPr>
                <w:lang w:val="es-ES"/>
              </w:rPr>
              <w:t>1</w:t>
            </w:r>
            <w:r w:rsidR="001616BE" w:rsidRPr="00F05461">
              <w:rPr>
                <w:lang w:val="es-ES"/>
              </w:rPr>
              <w:t> </w:t>
            </w:r>
            <w:r w:rsidRPr="00F05461">
              <w:rPr>
                <w:lang w:val="es-ES"/>
              </w:rPr>
              <w:t>114</w:t>
            </w:r>
          </w:p>
        </w:tc>
        <w:tc>
          <w:tcPr>
            <w:tcW w:w="1213" w:type="dxa"/>
            <w:tcBorders>
              <w:right w:val="single" w:sz="4" w:space="0" w:color="4BACC6"/>
            </w:tcBorders>
            <w:tcMar>
              <w:top w:w="0" w:type="dxa"/>
              <w:left w:w="108" w:type="dxa"/>
              <w:bottom w:w="0" w:type="dxa"/>
              <w:right w:w="108" w:type="dxa"/>
            </w:tcMar>
            <w:vAlign w:val="center"/>
          </w:tcPr>
          <w:p w14:paraId="374DBEA7" w14:textId="09372DC1" w:rsidR="00B52B95" w:rsidRPr="00F05461" w:rsidRDefault="00B52B95" w:rsidP="00005200">
            <w:pPr>
              <w:pStyle w:val="Tabletext"/>
              <w:jc w:val="center"/>
              <w:rPr>
                <w:lang w:val="es-ES"/>
              </w:rPr>
            </w:pPr>
            <w:r w:rsidRPr="00F05461">
              <w:rPr>
                <w:lang w:val="es-ES"/>
              </w:rPr>
              <w:t>116</w:t>
            </w:r>
            <w:r w:rsidR="001E7BC1" w:rsidRPr="00F05461">
              <w:rPr>
                <w:lang w:val="es-ES"/>
              </w:rPr>
              <w:t> </w:t>
            </w:r>
            <w:r w:rsidRPr="00F05461">
              <w:rPr>
                <w:lang w:val="es-ES"/>
              </w:rPr>
              <w:t>699/</w:t>
            </w:r>
            <w:r w:rsidR="00005200" w:rsidRPr="00F05461">
              <w:rPr>
                <w:lang w:val="es-ES"/>
              </w:rPr>
              <w:br/>
            </w:r>
            <w:r w:rsidRPr="00F05461">
              <w:rPr>
                <w:lang w:val="es-ES"/>
              </w:rPr>
              <w:t>3</w:t>
            </w:r>
            <w:r w:rsidR="001E7BC1" w:rsidRPr="00F05461">
              <w:rPr>
                <w:lang w:val="es-ES"/>
              </w:rPr>
              <w:t> </w:t>
            </w:r>
            <w:r w:rsidRPr="00F05461">
              <w:rPr>
                <w:lang w:val="es-ES"/>
              </w:rPr>
              <w:t>053</w:t>
            </w:r>
          </w:p>
        </w:tc>
      </w:tr>
      <w:tr w:rsidR="00033179" w:rsidRPr="00F05461" w14:paraId="2B87E860" w14:textId="77777777" w:rsidTr="006C3476">
        <w:trPr>
          <w:jc w:val="center"/>
        </w:trPr>
        <w:tc>
          <w:tcPr>
            <w:tcW w:w="4097" w:type="dxa"/>
            <w:tcBorders>
              <w:left w:val="single" w:sz="4" w:space="0" w:color="4BACC6"/>
              <w:bottom w:val="single" w:sz="4" w:space="0" w:color="4BACC6"/>
            </w:tcBorders>
            <w:tcMar>
              <w:top w:w="0" w:type="dxa"/>
              <w:left w:w="108" w:type="dxa"/>
              <w:bottom w:w="0" w:type="dxa"/>
              <w:right w:w="108" w:type="dxa"/>
            </w:tcMar>
            <w:vAlign w:val="center"/>
          </w:tcPr>
          <w:p w14:paraId="28CC4DE9" w14:textId="06D2DC57" w:rsidR="00B52B95" w:rsidRPr="00F05461" w:rsidRDefault="00B52B95" w:rsidP="00711F8C">
            <w:pPr>
              <w:pStyle w:val="Tabletext"/>
              <w:rPr>
                <w:lang w:val="es-ES"/>
              </w:rPr>
            </w:pPr>
            <w:r w:rsidRPr="00F05461">
              <w:rPr>
                <w:lang w:val="es-ES"/>
              </w:rPr>
              <w:t>Informes sobre interferencia perjudicial</w:t>
            </w:r>
          </w:p>
        </w:tc>
        <w:tc>
          <w:tcPr>
            <w:tcW w:w="966" w:type="dxa"/>
            <w:tcBorders>
              <w:bottom w:val="single" w:sz="4" w:space="0" w:color="4BACC6"/>
            </w:tcBorders>
            <w:tcMar>
              <w:top w:w="0" w:type="dxa"/>
              <w:left w:w="108" w:type="dxa"/>
              <w:bottom w:w="0" w:type="dxa"/>
              <w:right w:w="108" w:type="dxa"/>
            </w:tcMar>
            <w:vAlign w:val="center"/>
          </w:tcPr>
          <w:p w14:paraId="40D5B504" w14:textId="79607076" w:rsidR="00B52B95" w:rsidRPr="00F05461" w:rsidRDefault="00B52B95" w:rsidP="001616BE">
            <w:pPr>
              <w:pStyle w:val="Tabletext"/>
              <w:jc w:val="center"/>
              <w:rPr>
                <w:lang w:val="es-ES"/>
              </w:rPr>
            </w:pPr>
            <w:r w:rsidRPr="00F05461">
              <w:rPr>
                <w:lang w:val="es-ES"/>
              </w:rPr>
              <w:t>1</w:t>
            </w:r>
            <w:r w:rsidR="001E7BC1" w:rsidRPr="00F05461">
              <w:rPr>
                <w:lang w:val="es-ES"/>
              </w:rPr>
              <w:t> </w:t>
            </w:r>
            <w:r w:rsidRPr="00F05461">
              <w:rPr>
                <w:lang w:val="es-ES"/>
              </w:rPr>
              <w:t>007</w:t>
            </w:r>
          </w:p>
        </w:tc>
        <w:tc>
          <w:tcPr>
            <w:tcW w:w="937" w:type="dxa"/>
            <w:tcBorders>
              <w:bottom w:val="single" w:sz="4" w:space="0" w:color="4BACC6"/>
            </w:tcBorders>
            <w:tcMar>
              <w:top w:w="0" w:type="dxa"/>
              <w:left w:w="108" w:type="dxa"/>
              <w:bottom w:w="0" w:type="dxa"/>
              <w:right w:w="108" w:type="dxa"/>
            </w:tcMar>
            <w:vAlign w:val="center"/>
          </w:tcPr>
          <w:p w14:paraId="618E3E55" w14:textId="22F2E37B" w:rsidR="00B52B95" w:rsidRPr="00F05461" w:rsidRDefault="00B52B95" w:rsidP="001616BE">
            <w:pPr>
              <w:pStyle w:val="Tabletext"/>
              <w:jc w:val="center"/>
              <w:rPr>
                <w:lang w:val="es-ES"/>
              </w:rPr>
            </w:pPr>
            <w:r w:rsidRPr="00F05461">
              <w:rPr>
                <w:lang w:val="es-ES"/>
              </w:rPr>
              <w:t>1</w:t>
            </w:r>
            <w:r w:rsidR="001E7BC1" w:rsidRPr="00F05461">
              <w:rPr>
                <w:lang w:val="es-ES"/>
              </w:rPr>
              <w:t> </w:t>
            </w:r>
            <w:r w:rsidRPr="00F05461">
              <w:rPr>
                <w:lang w:val="es-ES"/>
              </w:rPr>
              <w:t>110</w:t>
            </w:r>
          </w:p>
        </w:tc>
        <w:tc>
          <w:tcPr>
            <w:tcW w:w="924" w:type="dxa"/>
            <w:tcBorders>
              <w:bottom w:val="single" w:sz="4" w:space="0" w:color="4BACC6"/>
            </w:tcBorders>
            <w:tcMar>
              <w:top w:w="0" w:type="dxa"/>
              <w:left w:w="108" w:type="dxa"/>
              <w:bottom w:w="0" w:type="dxa"/>
              <w:right w:w="108" w:type="dxa"/>
            </w:tcMar>
            <w:vAlign w:val="center"/>
          </w:tcPr>
          <w:p w14:paraId="28FA2197" w14:textId="2BB9C1D7" w:rsidR="00B52B95" w:rsidRPr="00F05461" w:rsidRDefault="00B52B95" w:rsidP="001616BE">
            <w:pPr>
              <w:pStyle w:val="Tabletext"/>
              <w:jc w:val="center"/>
              <w:rPr>
                <w:lang w:val="es-ES"/>
              </w:rPr>
            </w:pPr>
            <w:r w:rsidRPr="00F05461">
              <w:rPr>
                <w:lang w:val="es-ES"/>
              </w:rPr>
              <w:t>1</w:t>
            </w:r>
            <w:r w:rsidR="001E7BC1" w:rsidRPr="00F05461">
              <w:rPr>
                <w:lang w:val="es-ES"/>
              </w:rPr>
              <w:t> </w:t>
            </w:r>
            <w:r w:rsidRPr="00F05461">
              <w:rPr>
                <w:lang w:val="es-ES"/>
              </w:rPr>
              <w:t>100</w:t>
            </w:r>
          </w:p>
        </w:tc>
        <w:tc>
          <w:tcPr>
            <w:tcW w:w="924" w:type="dxa"/>
            <w:tcBorders>
              <w:bottom w:val="single" w:sz="4" w:space="0" w:color="4BACC6"/>
            </w:tcBorders>
            <w:tcMar>
              <w:top w:w="0" w:type="dxa"/>
              <w:left w:w="108" w:type="dxa"/>
              <w:bottom w:w="0" w:type="dxa"/>
              <w:right w:w="108" w:type="dxa"/>
            </w:tcMar>
            <w:vAlign w:val="center"/>
          </w:tcPr>
          <w:p w14:paraId="1EE7681D" w14:textId="2C5BB099" w:rsidR="00B52B95" w:rsidRPr="00F05461" w:rsidRDefault="00B52B95" w:rsidP="001616BE">
            <w:pPr>
              <w:pStyle w:val="Tabletext"/>
              <w:jc w:val="center"/>
              <w:rPr>
                <w:lang w:val="es-ES"/>
              </w:rPr>
            </w:pPr>
            <w:r w:rsidRPr="00F05461">
              <w:rPr>
                <w:lang w:val="es-ES"/>
              </w:rPr>
              <w:t>1</w:t>
            </w:r>
            <w:r w:rsidR="001E7BC1" w:rsidRPr="00F05461">
              <w:rPr>
                <w:lang w:val="es-ES"/>
              </w:rPr>
              <w:t> </w:t>
            </w:r>
            <w:r w:rsidRPr="00F05461">
              <w:rPr>
                <w:lang w:val="es-ES"/>
              </w:rPr>
              <w:t>140</w:t>
            </w:r>
          </w:p>
        </w:tc>
        <w:tc>
          <w:tcPr>
            <w:tcW w:w="1213" w:type="dxa"/>
            <w:tcBorders>
              <w:bottom w:val="single" w:sz="4" w:space="0" w:color="4BACC6"/>
              <w:right w:val="single" w:sz="4" w:space="0" w:color="4BACC6"/>
            </w:tcBorders>
            <w:tcMar>
              <w:top w:w="0" w:type="dxa"/>
              <w:left w:w="108" w:type="dxa"/>
              <w:bottom w:w="0" w:type="dxa"/>
              <w:right w:w="108" w:type="dxa"/>
            </w:tcMar>
            <w:vAlign w:val="center"/>
          </w:tcPr>
          <w:p w14:paraId="2E91D43D" w14:textId="0BAC7CDE" w:rsidR="00B52B95" w:rsidRPr="00F05461" w:rsidRDefault="00B52B95" w:rsidP="001616BE">
            <w:pPr>
              <w:pStyle w:val="Tabletext"/>
              <w:jc w:val="center"/>
              <w:rPr>
                <w:lang w:val="es-ES"/>
              </w:rPr>
            </w:pPr>
            <w:r w:rsidRPr="00F05461">
              <w:rPr>
                <w:lang w:val="es-ES"/>
              </w:rPr>
              <w:t>4</w:t>
            </w:r>
            <w:r w:rsidR="001E7BC1" w:rsidRPr="00F05461">
              <w:rPr>
                <w:lang w:val="es-ES"/>
              </w:rPr>
              <w:t> </w:t>
            </w:r>
            <w:r w:rsidRPr="00F05461">
              <w:rPr>
                <w:lang w:val="es-ES"/>
              </w:rPr>
              <w:t>357</w:t>
            </w:r>
          </w:p>
        </w:tc>
      </w:tr>
    </w:tbl>
    <w:p w14:paraId="44442F89" w14:textId="705B88D8" w:rsidR="00B1145C" w:rsidRPr="00F05461" w:rsidRDefault="00B1145C" w:rsidP="005A00E5">
      <w:pPr>
        <w:pStyle w:val="Tablelegend"/>
        <w:spacing w:before="120"/>
        <w:jc w:val="center"/>
        <w:rPr>
          <w:i/>
          <w:iCs/>
          <w:color w:val="1F497D"/>
          <w:lang w:val="es-ES"/>
        </w:rPr>
      </w:pPr>
      <w:r w:rsidRPr="00F05461">
        <w:rPr>
          <w:i/>
          <w:iCs/>
          <w:color w:val="1F497D"/>
          <w:lang w:val="es-ES"/>
        </w:rPr>
        <w:t>Cuadro</w:t>
      </w:r>
      <w:r w:rsidR="001E7BC1" w:rsidRPr="00F05461">
        <w:rPr>
          <w:i/>
          <w:iCs/>
          <w:color w:val="1F497D"/>
          <w:lang w:val="es-ES"/>
        </w:rPr>
        <w:t> </w:t>
      </w:r>
      <w:r w:rsidRPr="00F05461">
        <w:rPr>
          <w:i/>
          <w:iCs/>
          <w:color w:val="1F497D"/>
          <w:lang w:val="es-ES"/>
        </w:rPr>
        <w:t>2. Notificaciones terrenales, 2022-2025</w:t>
      </w:r>
    </w:p>
    <w:p w14:paraId="06E082B3" w14:textId="60E1FB45" w:rsidR="00B1145C" w:rsidRPr="00F05461" w:rsidRDefault="00B1145C" w:rsidP="00033179">
      <w:pPr>
        <w:pStyle w:val="Headingb"/>
      </w:pPr>
      <w:r w:rsidRPr="00F05461">
        <w:lastRenderedPageBreak/>
        <w:t xml:space="preserve">Mejoras y desarrollos del </w:t>
      </w:r>
      <w:r w:rsidRPr="00F05461">
        <w:rPr>
          <w:i/>
          <w:iCs/>
        </w:rPr>
        <w:t>software</w:t>
      </w:r>
      <w:r w:rsidRPr="00F05461">
        <w:t xml:space="preserve"> </w:t>
      </w:r>
      <w:r w:rsidR="00A10309" w:rsidRPr="00F05461">
        <w:t>del UIT</w:t>
      </w:r>
      <w:r w:rsidR="00A10309" w:rsidRPr="00F05461">
        <w:noBreakHyphen/>
      </w:r>
      <w:r w:rsidRPr="00F05461">
        <w:t>R (2022-2025)</w:t>
      </w:r>
    </w:p>
    <w:p w14:paraId="6E02BE07" w14:textId="67B3F287" w:rsidR="00B1145C" w:rsidRPr="00F05461" w:rsidRDefault="00B1145C" w:rsidP="00F75A8E">
      <w:pPr>
        <w:rPr>
          <w:lang w:val="es-ES"/>
        </w:rPr>
      </w:pPr>
      <w:r w:rsidRPr="00F05461">
        <w:rPr>
          <w:lang w:val="es-ES"/>
        </w:rPr>
        <w:t xml:space="preserve">Entre 2022 y 2025, </w:t>
      </w:r>
      <w:r w:rsidR="00B3079D" w:rsidRPr="00F05461">
        <w:rPr>
          <w:lang w:val="es-ES"/>
        </w:rPr>
        <w:t xml:space="preserve">se </w:t>
      </w:r>
      <w:r w:rsidRPr="00F05461">
        <w:rPr>
          <w:lang w:val="es-ES"/>
        </w:rPr>
        <w:t>ha</w:t>
      </w:r>
      <w:r w:rsidR="00B3079D" w:rsidRPr="00F05461">
        <w:rPr>
          <w:lang w:val="es-ES"/>
        </w:rPr>
        <w:t>n</w:t>
      </w:r>
      <w:r w:rsidRPr="00F05461">
        <w:rPr>
          <w:lang w:val="es-ES"/>
        </w:rPr>
        <w:t xml:space="preserve"> realizado avances significativos en aplicaciones y herramientas de </w:t>
      </w:r>
      <w:r w:rsidRPr="00F05461">
        <w:rPr>
          <w:i/>
          <w:iCs/>
          <w:lang w:val="es-ES"/>
        </w:rPr>
        <w:t>software</w:t>
      </w:r>
      <w:r w:rsidRPr="00F05461">
        <w:rPr>
          <w:lang w:val="es-ES"/>
        </w:rPr>
        <w:t xml:space="preserve">, centrándose en la mejora del acceso de los usuarios a los productos </w:t>
      </w:r>
      <w:r w:rsidR="00A10309" w:rsidRPr="00F05461">
        <w:rPr>
          <w:lang w:val="es-ES"/>
        </w:rPr>
        <w:t>del UIT</w:t>
      </w:r>
      <w:r w:rsidR="00A10309" w:rsidRPr="00F05461">
        <w:rPr>
          <w:lang w:val="es-ES"/>
        </w:rPr>
        <w:noBreakHyphen/>
      </w:r>
      <w:r w:rsidRPr="00F05461">
        <w:rPr>
          <w:lang w:val="es-ES"/>
        </w:rPr>
        <w:t>R y en el incremento de la eficiencia global de los servicios de radiocomunicaciones.</w:t>
      </w:r>
    </w:p>
    <w:p w14:paraId="7A410ACD" w14:textId="3AE8E32F" w:rsidR="00B1145C" w:rsidRPr="00F05461" w:rsidRDefault="00B1145C" w:rsidP="00B1145C">
      <w:pPr>
        <w:rPr>
          <w:lang w:val="es-ES"/>
        </w:rPr>
      </w:pPr>
      <w:r w:rsidRPr="00F05461">
        <w:rPr>
          <w:lang w:val="es-ES"/>
        </w:rPr>
        <w:t>En 2022, la</w:t>
      </w:r>
      <w:r w:rsidR="00BE5909" w:rsidRPr="00F05461">
        <w:rPr>
          <w:lang w:val="es-ES"/>
        </w:rPr>
        <w:t> </w:t>
      </w:r>
      <w:r w:rsidRPr="00F05461">
        <w:rPr>
          <w:lang w:val="es-ES"/>
        </w:rPr>
        <w:t xml:space="preserve">BR se focalizó en la actualización de aplicaciones informáticas clave que permiten a los usuarios consultar y analizar el Cuadro de atribución de bandas de frecuencias (AFC) y los textos reglamentarios conexos. Entre las principales mejoras cabe citar el desarrollo de herramientas para tramitar solicitudes de coordinación y notificaciones de estaciones en plataformas a gran altitud (HAPS). Otros logros relevantes fueron la migración de la base de datos TerRaSys al servidor SQL (lenguaje de consulta estructurado) y la integración de herramientas web eTerrestrial en diferentes servicios terrenales. Además, se mejoraron las herramientas en línea para la compatibilidad con GE84 y se rediseñó el </w:t>
      </w:r>
      <w:r w:rsidRPr="00F05461">
        <w:rPr>
          <w:i/>
          <w:iCs/>
          <w:lang w:val="es-ES"/>
        </w:rPr>
        <w:t>software</w:t>
      </w:r>
      <w:r w:rsidRPr="00F05461">
        <w:rPr>
          <w:lang w:val="es-ES"/>
        </w:rPr>
        <w:t xml:space="preserve"> de radiodifusión en ondas decamétricas para mejorar la experiencia del usuario. Se creó un nuevo sistema de seguimiento de la interferencia perjudicial (HITS) en línea para tramitar los informes de interferencia perjudicial, y se trabajó en la modernización de los sistemas de información espacial y en la puesta en marcha de sistemas de comunicaciones electrónicas para las notificaciones de redes de satélites.</w:t>
      </w:r>
    </w:p>
    <w:p w14:paraId="2C4848D8" w14:textId="7B77E586" w:rsidR="00B1145C" w:rsidRPr="00F05461" w:rsidRDefault="00B1145C" w:rsidP="00726DA4">
      <w:pPr>
        <w:rPr>
          <w:lang w:val="es-ES"/>
        </w:rPr>
      </w:pPr>
      <w:r w:rsidRPr="00F05461">
        <w:rPr>
          <w:lang w:val="es-ES"/>
        </w:rPr>
        <w:t xml:space="preserve">En 2023, </w:t>
      </w:r>
      <w:r w:rsidR="00B3079D" w:rsidRPr="00F05461">
        <w:rPr>
          <w:lang w:val="es-ES"/>
        </w:rPr>
        <w:t>se</w:t>
      </w:r>
      <w:r w:rsidRPr="00F05461">
        <w:rPr>
          <w:lang w:val="es-ES"/>
        </w:rPr>
        <w:t xml:space="preserve"> sigui</w:t>
      </w:r>
      <w:r w:rsidR="00D66670" w:rsidRPr="00F05461">
        <w:rPr>
          <w:lang w:val="es-ES"/>
        </w:rPr>
        <w:t>eron</w:t>
      </w:r>
      <w:r w:rsidRPr="00F05461">
        <w:rPr>
          <w:lang w:val="es-ES"/>
        </w:rPr>
        <w:t xml:space="preserve"> desarrollando las aplicaciones de </w:t>
      </w:r>
      <w:r w:rsidRPr="00F05461">
        <w:rPr>
          <w:i/>
          <w:iCs/>
          <w:lang w:val="es-ES"/>
        </w:rPr>
        <w:t>software</w:t>
      </w:r>
      <w:r w:rsidRPr="00F05461">
        <w:rPr>
          <w:lang w:val="es-ES"/>
        </w:rPr>
        <w:t>, centrándose en el sistema de información espacial de la</w:t>
      </w:r>
      <w:r w:rsidR="00BE5909" w:rsidRPr="00F05461">
        <w:rPr>
          <w:lang w:val="es-ES"/>
        </w:rPr>
        <w:t> </w:t>
      </w:r>
      <w:r w:rsidRPr="00F05461">
        <w:rPr>
          <w:lang w:val="es-ES"/>
        </w:rPr>
        <w:t xml:space="preserve">BR. Entre los principales logros cabe destacar la realización de pruebas de aceptación por parte de los usuarios del </w:t>
      </w:r>
      <w:r w:rsidRPr="00F05461">
        <w:rPr>
          <w:i/>
          <w:iCs/>
          <w:lang w:val="es-ES"/>
        </w:rPr>
        <w:t>software</w:t>
      </w:r>
      <w:r w:rsidRPr="00F05461">
        <w:rPr>
          <w:lang w:val="es-ES"/>
        </w:rPr>
        <w:t xml:space="preserve"> PXT modernizado y el progreso continuado del sistema de presentación electrónica, garantizando el cumplimiento de los textos más recientes de las Resoluciones de la</w:t>
      </w:r>
      <w:r w:rsidR="001368A3" w:rsidRPr="00F05461">
        <w:rPr>
          <w:lang w:val="es-ES"/>
        </w:rPr>
        <w:t> </w:t>
      </w:r>
      <w:r w:rsidRPr="00F05461">
        <w:rPr>
          <w:lang w:val="es-ES"/>
        </w:rPr>
        <w:t>CMR-23. Una novedad importante fue la introducción de una herramienta de examen en línea diseñada para ayudar a las administraciones a verificar el cumplimiento de las notificaciones de satélites. Además, la Circular Internacional de Información sobre Frecuencias de la</w:t>
      </w:r>
      <w:r w:rsidR="00BE5909" w:rsidRPr="00F05461">
        <w:rPr>
          <w:lang w:val="es-ES"/>
        </w:rPr>
        <w:t> </w:t>
      </w:r>
      <w:r w:rsidRPr="00F05461">
        <w:rPr>
          <w:lang w:val="es-ES"/>
        </w:rPr>
        <w:t>BR (BR</w:t>
      </w:r>
      <w:r w:rsidR="00BE5909" w:rsidRPr="00F05461">
        <w:rPr>
          <w:lang w:val="es-ES"/>
        </w:rPr>
        <w:t> </w:t>
      </w:r>
      <w:r w:rsidRPr="00F05461">
        <w:rPr>
          <w:lang w:val="es-ES"/>
        </w:rPr>
        <w:t>IFIC) para los Servicios Espaciales descartó el formato DVD y adaptó la forma de aplicación web más accesible, mejorando así la interacción de los usuarios con la información esencial de los servicios espaciales.</w:t>
      </w:r>
    </w:p>
    <w:p w14:paraId="6C1F4F5F" w14:textId="3789C793" w:rsidR="00B1145C" w:rsidRPr="00F05461" w:rsidRDefault="00B1145C" w:rsidP="00B1145C">
      <w:pPr>
        <w:rPr>
          <w:lang w:val="es-ES"/>
        </w:rPr>
      </w:pPr>
      <w:r w:rsidRPr="00F05461">
        <w:rPr>
          <w:lang w:val="es-ES"/>
        </w:rPr>
        <w:t>En 2024, la</w:t>
      </w:r>
      <w:r w:rsidR="00BE5909" w:rsidRPr="00F05461">
        <w:rPr>
          <w:lang w:val="es-ES"/>
        </w:rPr>
        <w:t> </w:t>
      </w:r>
      <w:r w:rsidRPr="00F05461">
        <w:rPr>
          <w:lang w:val="es-ES"/>
        </w:rPr>
        <w:t xml:space="preserve">BR lanzó oficialmente la aplicación en línea </w:t>
      </w:r>
      <w:hyperlink r:id="rId121" w:history="1">
        <w:r w:rsidRPr="00F05461">
          <w:rPr>
            <w:rStyle w:val="Hyperlink"/>
            <w:rFonts w:eastAsia="Times New Roman" w:cs="Times New Roman"/>
            <w:szCs w:val="20"/>
            <w:lang w:val="es-ES"/>
          </w:rPr>
          <w:t>BR</w:t>
        </w:r>
        <w:r w:rsidR="00BE5909" w:rsidRPr="00F05461">
          <w:rPr>
            <w:rStyle w:val="Hyperlink"/>
            <w:rFonts w:eastAsia="Times New Roman" w:cs="Times New Roman"/>
            <w:szCs w:val="20"/>
            <w:lang w:val="es-ES"/>
          </w:rPr>
          <w:t> </w:t>
        </w:r>
        <w:r w:rsidRPr="00F05461">
          <w:rPr>
            <w:rStyle w:val="Hyperlink"/>
            <w:rFonts w:eastAsia="Times New Roman" w:cs="Times New Roman"/>
            <w:szCs w:val="20"/>
            <w:lang w:val="es-ES"/>
          </w:rPr>
          <w:t>IFIC (Servicios espaciales)</w:t>
        </w:r>
      </w:hyperlink>
      <w:r w:rsidRPr="00F05461">
        <w:rPr>
          <w:lang w:val="es-ES"/>
        </w:rPr>
        <w:t xml:space="preserve">, que ofrece acceso ininterrumpido a información crucial sobre frecuencias. Entre las iniciativas importantes del año cabe citar la puesta en marcha de la aplicación web Space Explorer de </w:t>
      </w:r>
      <w:r w:rsidR="00296F03" w:rsidRPr="00F05461">
        <w:rPr>
          <w:lang w:val="es-ES"/>
        </w:rPr>
        <w:t>la UIT</w:t>
      </w:r>
      <w:r w:rsidRPr="00F05461">
        <w:rPr>
          <w:lang w:val="es-ES"/>
        </w:rPr>
        <w:t xml:space="preserve"> para optimizar las comunicaciones de redes de satélites y la introducción de mejoras en el sistema e-Submission para permitir la carga de archivos con el nuevo formato SNS v10 y propiciar una gestión mejorada de la correspondencia mediante la integración con el sistema e-Communications.</w:t>
      </w:r>
    </w:p>
    <w:p w14:paraId="0834E59A" w14:textId="6AF10CEE" w:rsidR="00B1145C" w:rsidRPr="00F05461" w:rsidRDefault="00B1145C" w:rsidP="00B1145C">
      <w:pPr>
        <w:rPr>
          <w:lang w:val="es-ES"/>
        </w:rPr>
      </w:pPr>
      <w:r w:rsidRPr="00F05461">
        <w:rPr>
          <w:lang w:val="es-ES"/>
        </w:rPr>
        <w:t>Además, la</w:t>
      </w:r>
      <w:r w:rsidR="00BE5909" w:rsidRPr="00F05461">
        <w:rPr>
          <w:lang w:val="es-ES"/>
        </w:rPr>
        <w:t> </w:t>
      </w:r>
      <w:r w:rsidRPr="00F05461">
        <w:rPr>
          <w:lang w:val="es-ES"/>
        </w:rPr>
        <w:t xml:space="preserve">BR ha realizado progresos considerables en el ámbito de las </w:t>
      </w:r>
      <w:hyperlink r:id="rId122" w:history="1">
        <w:r w:rsidRPr="00F05461">
          <w:rPr>
            <w:rStyle w:val="Hyperlink"/>
            <w:rFonts w:eastAsia="Times New Roman" w:cs="Times New Roman"/>
            <w:szCs w:val="20"/>
            <w:lang w:val="es-ES"/>
          </w:rPr>
          <w:t>aplicaciones terrenales</w:t>
        </w:r>
      </w:hyperlink>
      <w:r w:rsidRPr="00F05461">
        <w:rPr>
          <w:lang w:val="es-ES"/>
        </w:rPr>
        <w:t xml:space="preserve"> al actualizar el </w:t>
      </w:r>
      <w:r w:rsidRPr="00F05461">
        <w:rPr>
          <w:i/>
          <w:iCs/>
          <w:lang w:val="es-ES"/>
        </w:rPr>
        <w:t>software</w:t>
      </w:r>
      <w:r w:rsidRPr="00F05461">
        <w:rPr>
          <w:lang w:val="es-ES"/>
        </w:rPr>
        <w:t xml:space="preserve"> de tramitación de notificaciones y notificaciones en virtud del núm</w:t>
      </w:r>
      <w:r w:rsidR="00AF43C2" w:rsidRPr="00F05461">
        <w:rPr>
          <w:lang w:val="es-ES"/>
        </w:rPr>
        <w:t>ero </w:t>
      </w:r>
      <w:r w:rsidRPr="00F05461">
        <w:rPr>
          <w:lang w:val="es-ES"/>
        </w:rPr>
        <w:t>9.21 del Reglamento de Radiocomunicaciones. Las herramientas existentes se integraron en un único portal y se crearon herramientas nuevas, lo que mejoró significativamente la experiencia general del usuario.</w:t>
      </w:r>
    </w:p>
    <w:p w14:paraId="7059029C" w14:textId="7E53DEAB" w:rsidR="00B1145C" w:rsidRPr="00F05461" w:rsidRDefault="00B1145C" w:rsidP="001473A4">
      <w:pPr>
        <w:rPr>
          <w:lang w:val="es-ES"/>
        </w:rPr>
      </w:pPr>
      <w:r w:rsidRPr="00F05461">
        <w:rPr>
          <w:lang w:val="es-ES"/>
        </w:rPr>
        <w:t>En 2025, la</w:t>
      </w:r>
      <w:r w:rsidR="00BE5909" w:rsidRPr="00F05461">
        <w:rPr>
          <w:lang w:val="es-ES"/>
        </w:rPr>
        <w:t> </w:t>
      </w:r>
      <w:r w:rsidRPr="00F05461">
        <w:rPr>
          <w:lang w:val="es-ES"/>
        </w:rPr>
        <w:t xml:space="preserve">BR lanzó un </w:t>
      </w:r>
      <w:r w:rsidRPr="00F05461">
        <w:rPr>
          <w:i/>
          <w:iCs/>
          <w:lang w:val="es-ES"/>
        </w:rPr>
        <w:t>software</w:t>
      </w:r>
      <w:r w:rsidRPr="00F05461">
        <w:rPr>
          <w:lang w:val="es-ES"/>
        </w:rPr>
        <w:t xml:space="preserve"> con la mayoría de los cambios estipulados por la CMR-23 y, por tanto, permitía tramitar las notificaciones de frecuencias terrenales y espaciales de conformidad con la edición </w:t>
      </w:r>
      <w:r w:rsidR="00B933C5" w:rsidRPr="00F05461">
        <w:rPr>
          <w:lang w:val="es-ES"/>
        </w:rPr>
        <w:t>de 202</w:t>
      </w:r>
      <w:r w:rsidR="00711F8C" w:rsidRPr="00F05461">
        <w:rPr>
          <w:lang w:val="es-ES"/>
        </w:rPr>
        <w:t>4</w:t>
      </w:r>
      <w:r w:rsidRPr="00F05461">
        <w:rPr>
          <w:lang w:val="es-ES"/>
        </w:rPr>
        <w:t xml:space="preserve"> del Reglamento de Radiocomunicaciones de </w:t>
      </w:r>
      <w:r w:rsidR="00296F03" w:rsidRPr="00F05461">
        <w:rPr>
          <w:lang w:val="es-ES"/>
        </w:rPr>
        <w:t>la UIT</w:t>
      </w:r>
      <w:r w:rsidRPr="00F05461">
        <w:rPr>
          <w:lang w:val="es-ES"/>
        </w:rPr>
        <w:t>. También se mejoraron las aplicaciones web de la</w:t>
      </w:r>
      <w:r w:rsidR="001473A4" w:rsidRPr="00F05461">
        <w:rPr>
          <w:lang w:val="es-ES"/>
        </w:rPr>
        <w:t> </w:t>
      </w:r>
      <w:r w:rsidRPr="00F05461">
        <w:rPr>
          <w:lang w:val="es-ES"/>
        </w:rPr>
        <w:t xml:space="preserve">BR, lo que simplificó la presentación y el intercambio de información relativa a las notificaciones de redes de satélites por parte de las </w:t>
      </w:r>
      <w:r w:rsidRPr="00F05461">
        <w:rPr>
          <w:lang w:val="es-ES"/>
        </w:rPr>
        <w:lastRenderedPageBreak/>
        <w:t>administraciones y los operadores de satélites. Antes de la entrada en vigor de la última revisión del Acuerdo</w:t>
      </w:r>
      <w:r w:rsidR="00F75A8E" w:rsidRPr="00F05461">
        <w:rPr>
          <w:lang w:val="es-ES"/>
        </w:rPr>
        <w:t> </w:t>
      </w:r>
      <w:r w:rsidRPr="00F05461">
        <w:rPr>
          <w:lang w:val="es-ES"/>
        </w:rPr>
        <w:t>482 (Mod.</w:t>
      </w:r>
      <w:r w:rsidR="00F75A8E" w:rsidRPr="00F05461">
        <w:rPr>
          <w:lang w:val="es-ES"/>
        </w:rPr>
        <w:t> </w:t>
      </w:r>
      <w:r w:rsidRPr="00F05461">
        <w:rPr>
          <w:lang w:val="es-ES"/>
        </w:rPr>
        <w:t xml:space="preserve">2025) del Consejo, se lanzó un </w:t>
      </w:r>
      <w:r w:rsidRPr="00F05461">
        <w:rPr>
          <w:i/>
          <w:iCs/>
          <w:lang w:val="es-ES"/>
        </w:rPr>
        <w:t>software</w:t>
      </w:r>
      <w:r w:rsidRPr="00F05461">
        <w:rPr>
          <w:lang w:val="es-ES"/>
        </w:rPr>
        <w:t xml:space="preserve"> específico para su aplicación. Se ha mejorado el Sistema de notificación y resolución de interferencias de satélites (SIRRS) para que las organizaciones de las Naciones Unidas, como la Organización de Aviación Civil Internacional (OACI), puedan notificar y comunicar casos de interferencia perjudicial a </w:t>
      </w:r>
      <w:r w:rsidR="00296F03" w:rsidRPr="00F05461">
        <w:rPr>
          <w:lang w:val="es-ES"/>
        </w:rPr>
        <w:t>la UIT</w:t>
      </w:r>
      <w:r w:rsidRPr="00F05461">
        <w:rPr>
          <w:lang w:val="es-ES"/>
        </w:rPr>
        <w:t>.</w:t>
      </w:r>
    </w:p>
    <w:p w14:paraId="21C60752" w14:textId="6FBABA3E" w:rsidR="00B1145C" w:rsidRPr="00F05461" w:rsidRDefault="00B1145C" w:rsidP="00B1145C">
      <w:pPr>
        <w:rPr>
          <w:lang w:val="es-ES"/>
        </w:rPr>
      </w:pPr>
      <w:r w:rsidRPr="00F05461">
        <w:rPr>
          <w:lang w:val="es-ES"/>
        </w:rPr>
        <w:t>En 2025, la</w:t>
      </w:r>
      <w:r w:rsidR="00BE5909" w:rsidRPr="00F05461">
        <w:rPr>
          <w:lang w:val="es-ES"/>
        </w:rPr>
        <w:t> </w:t>
      </w:r>
      <w:r w:rsidRPr="00F05461">
        <w:rPr>
          <w:lang w:val="es-ES"/>
        </w:rPr>
        <w:t xml:space="preserve">BR finalizó y publicó la versión actualizada de la Herramienta de Consulta del Reglamento de Radiocomunicaciones, que incorporaba la edición </w:t>
      </w:r>
      <w:r w:rsidR="00B933C5" w:rsidRPr="00F05461">
        <w:rPr>
          <w:lang w:val="es-ES"/>
        </w:rPr>
        <w:t>de 202</w:t>
      </w:r>
      <w:r w:rsidR="00711F8C" w:rsidRPr="00F05461">
        <w:rPr>
          <w:lang w:val="es-ES"/>
        </w:rPr>
        <w:t>4</w:t>
      </w:r>
      <w:r w:rsidRPr="00F05461">
        <w:rPr>
          <w:lang w:val="es-ES"/>
        </w:rPr>
        <w:t xml:space="preserve"> del Reglamento de Radiocomunicaciones (CMR-23) y las versiones más recientes de los textos fundamentales de </w:t>
      </w:r>
      <w:r w:rsidR="00296F03" w:rsidRPr="00F05461">
        <w:rPr>
          <w:lang w:val="es-ES"/>
        </w:rPr>
        <w:t>la UIT</w:t>
      </w:r>
      <w:r w:rsidRPr="00F05461">
        <w:rPr>
          <w:lang w:val="es-ES"/>
        </w:rPr>
        <w:t xml:space="preserve"> (Constitución y Convenio). También se actualizó en consecuencia el </w:t>
      </w:r>
      <w:r w:rsidRPr="00F05461">
        <w:rPr>
          <w:i/>
          <w:iCs/>
          <w:lang w:val="es-ES"/>
        </w:rPr>
        <w:t>software</w:t>
      </w:r>
      <w:r w:rsidRPr="00F05461">
        <w:rPr>
          <w:lang w:val="es-ES"/>
        </w:rPr>
        <w:t xml:space="preserve"> RR5 TFA. Además, la</w:t>
      </w:r>
      <w:r w:rsidR="00BE5909" w:rsidRPr="00F05461">
        <w:rPr>
          <w:lang w:val="es-ES"/>
        </w:rPr>
        <w:t> </w:t>
      </w:r>
      <w:r w:rsidRPr="00F05461">
        <w:rPr>
          <w:lang w:val="es-ES"/>
        </w:rPr>
        <w:t>BR lanzó oficialmente la aplicación en línea BR</w:t>
      </w:r>
      <w:r w:rsidR="001473A4" w:rsidRPr="00F05461">
        <w:rPr>
          <w:lang w:val="es-ES"/>
        </w:rPr>
        <w:t> </w:t>
      </w:r>
      <w:r w:rsidRPr="00F05461">
        <w:rPr>
          <w:lang w:val="es-ES"/>
        </w:rPr>
        <w:t>IFIC (Servicios terrenales), que garantiza el acceso permanente a la información sobre frecuencias de los servicios terrenales y permite la validación en línea de las notificaciones de asignaciones de frecuencias terrenales, antes de su presentación a la</w:t>
      </w:r>
      <w:r w:rsidR="00BE5909" w:rsidRPr="00F05461">
        <w:rPr>
          <w:lang w:val="es-ES"/>
        </w:rPr>
        <w:t> </w:t>
      </w:r>
      <w:r w:rsidRPr="00F05461">
        <w:rPr>
          <w:lang w:val="es-ES"/>
        </w:rPr>
        <w:t>BR. Adicionalmente, la</w:t>
      </w:r>
      <w:r w:rsidR="00BE5909" w:rsidRPr="00F05461">
        <w:rPr>
          <w:lang w:val="es-ES"/>
        </w:rPr>
        <w:t> </w:t>
      </w:r>
      <w:r w:rsidRPr="00F05461">
        <w:rPr>
          <w:lang w:val="es-ES"/>
        </w:rPr>
        <w:t>BR completó la mejora de las publicaciones del servicio marítimo, entre otras cosas con la elaboración de publicaciones marítimas digitales, la creación de una plataforma de ventas y la formulación de medidas contra la falsificación.</w:t>
      </w:r>
    </w:p>
    <w:p w14:paraId="451396F3" w14:textId="50AFE1DE" w:rsidR="00B1145C" w:rsidRPr="00F05461" w:rsidRDefault="00B3079D" w:rsidP="00B1145C">
      <w:pPr>
        <w:rPr>
          <w:lang w:val="es-ES"/>
        </w:rPr>
      </w:pPr>
      <w:r w:rsidRPr="00F05461">
        <w:rPr>
          <w:lang w:val="es-ES"/>
        </w:rPr>
        <w:t>En</w:t>
      </w:r>
      <w:r w:rsidR="00B1145C" w:rsidRPr="00F05461">
        <w:rPr>
          <w:lang w:val="es-ES"/>
        </w:rPr>
        <w:t xml:space="preserve"> 2025 </w:t>
      </w:r>
      <w:r w:rsidRPr="00F05461">
        <w:rPr>
          <w:lang w:val="es-ES"/>
        </w:rPr>
        <w:t xml:space="preserve">se publicó </w:t>
      </w:r>
      <w:r w:rsidR="00B1145C" w:rsidRPr="00F05461">
        <w:rPr>
          <w:lang w:val="es-ES"/>
        </w:rPr>
        <w:t xml:space="preserve">el </w:t>
      </w:r>
      <w:hyperlink r:id="rId123" w:history="1">
        <w:r w:rsidR="00B1145C" w:rsidRPr="00726DA4">
          <w:rPr>
            <w:rStyle w:val="Hyperlink"/>
            <w:rFonts w:eastAsia="Times New Roman" w:cs="Times New Roman"/>
            <w:szCs w:val="20"/>
            <w:lang w:val="es-ES"/>
          </w:rPr>
          <w:t>Catálogo Geoespacial</w:t>
        </w:r>
      </w:hyperlink>
      <w:r w:rsidR="00B1145C" w:rsidRPr="00F05461">
        <w:rPr>
          <w:lang w:val="es-ES"/>
        </w:rPr>
        <w:t xml:space="preserve"> </w:t>
      </w:r>
      <w:r w:rsidR="00A10309" w:rsidRPr="00F05461">
        <w:rPr>
          <w:lang w:val="es-ES"/>
        </w:rPr>
        <w:t>del UIT</w:t>
      </w:r>
      <w:r w:rsidR="00A10309" w:rsidRPr="00F05461">
        <w:rPr>
          <w:lang w:val="es-ES"/>
        </w:rPr>
        <w:noBreakHyphen/>
      </w:r>
      <w:r w:rsidR="00B1145C" w:rsidRPr="00F05461">
        <w:rPr>
          <w:lang w:val="es-ES"/>
        </w:rPr>
        <w:t>R, que contiene datos geográficos, geopolíticos y radiometeorológicos que respaldan el desarrollo y la aplicación de métodos de predicción de la propagación de las ondas radioeléctricas y permiten a la</w:t>
      </w:r>
      <w:r w:rsidR="00BE5909" w:rsidRPr="00F05461">
        <w:rPr>
          <w:lang w:val="es-ES"/>
        </w:rPr>
        <w:t> </w:t>
      </w:r>
      <w:r w:rsidR="00B1145C" w:rsidRPr="00F05461">
        <w:rPr>
          <w:lang w:val="es-ES"/>
        </w:rPr>
        <w:t>BR realizar análisis técnicos precisos, garantizando el funcionamiento sin interferencias de los sistemas de radiocomunicaciones.</w:t>
      </w:r>
    </w:p>
    <w:p w14:paraId="1B92D108" w14:textId="77777777" w:rsidR="00B1145C" w:rsidRPr="00F05461" w:rsidRDefault="00B1145C" w:rsidP="00B1145C">
      <w:pPr>
        <w:rPr>
          <w:lang w:val="es-ES"/>
        </w:rPr>
      </w:pPr>
      <w:r w:rsidRPr="00F05461">
        <w:rPr>
          <w:lang w:val="es-ES"/>
        </w:rPr>
        <w:t>En general, las mejoras introducidas entre 2022 y 2025 han racionalizado los procesos, facilitado el acceso a información vital y fomentado una interfaz más eficiente para los Miembros y las partes interesadas del ámbito de las radiocomunicaciones, lo que ha dado lugar a una base sólida para futuros avances tecnológicos.</w:t>
      </w:r>
    </w:p>
    <w:p w14:paraId="6A69D0D5" w14:textId="77777777" w:rsidR="00B1145C" w:rsidRPr="00F05461" w:rsidRDefault="00B1145C" w:rsidP="003E558F">
      <w:pPr>
        <w:pStyle w:val="Heading3"/>
      </w:pPr>
      <w:bookmarkStart w:id="59" w:name="_Toc227137468"/>
      <w:r w:rsidRPr="00F05461">
        <w:t>4.2.2</w:t>
      </w:r>
      <w:r w:rsidRPr="00F05461">
        <w:tab/>
        <w:t>Recursos de numeración, denominación, direccionamiento e identificación</w:t>
      </w:r>
      <w:bookmarkEnd w:id="59"/>
    </w:p>
    <w:p w14:paraId="787D6CAB" w14:textId="404BAEB0" w:rsidR="00B1145C" w:rsidRPr="00F05461" w:rsidRDefault="00B1145C" w:rsidP="00B52B95">
      <w:pPr>
        <w:pStyle w:val="Headingb"/>
      </w:pPr>
      <w:r w:rsidRPr="00F05461">
        <w:t xml:space="preserve">Mejora de la conectividad mundial: </w:t>
      </w:r>
      <w:r w:rsidR="00D874D3" w:rsidRPr="00F05461">
        <w:t>e</w:t>
      </w:r>
      <w:r w:rsidRPr="00F05461">
        <w:t>volución de la gestión de recursos de NDDI</w:t>
      </w:r>
    </w:p>
    <w:p w14:paraId="7EBECE88" w14:textId="0C5F232C" w:rsidR="00B1145C" w:rsidRPr="00F05461" w:rsidRDefault="00B1145C" w:rsidP="00B1145C">
      <w:pPr>
        <w:rPr>
          <w:lang w:val="es-ES"/>
        </w:rPr>
      </w:pPr>
      <w:r w:rsidRPr="00F05461">
        <w:rPr>
          <w:lang w:val="es-ES"/>
        </w:rPr>
        <w:t xml:space="preserve">Los recursos de numeración, denominación, direccionamiento e identificación (NDDI) que se rigen por las Recomendaciones UIT-T pertinentes resultan indispensables para la conectividad mundial de las redes de telecomunicaciones fijas, móviles y por satélite. Los mandatos contenidos en la Constitución y el Convenio de </w:t>
      </w:r>
      <w:r w:rsidR="00296F03" w:rsidRPr="00F05461">
        <w:rPr>
          <w:lang w:val="es-ES"/>
        </w:rPr>
        <w:t>la UIT</w:t>
      </w:r>
      <w:r w:rsidRPr="00F05461">
        <w:rPr>
          <w:lang w:val="es-ES"/>
        </w:rPr>
        <w:t>, el Reglamento de las Telecomunicaciones Internacionales y las Recomendaciones UIT-T se han ejecutado mediante la divulgación de la información aprobada por las administraciones nacionales. Las actualizaciones de las asignaciones, modificaciones y reclamaciones de recursos</w:t>
      </w:r>
      <w:r w:rsidR="00D24A6B" w:rsidRPr="00F05461">
        <w:rPr>
          <w:lang w:val="es-ES"/>
        </w:rPr>
        <w:t> </w:t>
      </w:r>
      <w:r w:rsidRPr="00F05461">
        <w:rPr>
          <w:lang w:val="es-ES"/>
        </w:rPr>
        <w:t xml:space="preserve">NDDI gestionados por los administradores nacionales se notifican a </w:t>
      </w:r>
      <w:r w:rsidR="00296F03" w:rsidRPr="00F05461">
        <w:rPr>
          <w:lang w:val="es-ES"/>
        </w:rPr>
        <w:t>la UIT</w:t>
      </w:r>
      <w:r w:rsidRPr="00F05461">
        <w:rPr>
          <w:lang w:val="es-ES"/>
        </w:rPr>
        <w:t xml:space="preserve">, se publican en el Boletín de Explotación de </w:t>
      </w:r>
      <w:r w:rsidR="00296F03" w:rsidRPr="00F05461">
        <w:rPr>
          <w:lang w:val="es-ES"/>
        </w:rPr>
        <w:t>la UIT</w:t>
      </w:r>
      <w:r w:rsidRPr="00F05461">
        <w:rPr>
          <w:lang w:val="es-ES"/>
        </w:rPr>
        <w:t xml:space="preserve"> (dos números al mes) y en el sitio web de </w:t>
      </w:r>
      <w:r w:rsidR="00296F03" w:rsidRPr="00F05461">
        <w:rPr>
          <w:lang w:val="es-ES"/>
        </w:rPr>
        <w:t>la UIT</w:t>
      </w:r>
      <w:r w:rsidRPr="00F05461">
        <w:rPr>
          <w:lang w:val="es-ES"/>
        </w:rPr>
        <w:t xml:space="preserve"> y se reflejan en las bases de datos de </w:t>
      </w:r>
      <w:r w:rsidR="00296F03" w:rsidRPr="00F05461">
        <w:rPr>
          <w:lang w:val="es-ES"/>
        </w:rPr>
        <w:t>la UIT</w:t>
      </w:r>
      <w:r w:rsidRPr="00F05461">
        <w:rPr>
          <w:lang w:val="es-ES"/>
        </w:rPr>
        <w:t xml:space="preserve">. Además, para determinados recursos internacionales, </w:t>
      </w:r>
      <w:r w:rsidR="00296F03" w:rsidRPr="00F05461">
        <w:rPr>
          <w:lang w:val="es-ES"/>
        </w:rPr>
        <w:t>la UIT</w:t>
      </w:r>
      <w:r w:rsidRPr="00F05461">
        <w:rPr>
          <w:lang w:val="es-ES"/>
        </w:rPr>
        <w:t xml:space="preserve"> asigna los recursos directamente a los Estados Miembros y las entidades cualificadas (por ejemplo, operadores), de conformidad con los procedimientos establecidos en las Recomendaciones</w:t>
      </w:r>
      <w:r w:rsidR="00D24A6B" w:rsidRPr="00F05461">
        <w:rPr>
          <w:lang w:val="es-ES"/>
        </w:rPr>
        <w:t> </w:t>
      </w:r>
      <w:r w:rsidRPr="00F05461">
        <w:rPr>
          <w:lang w:val="es-ES"/>
        </w:rPr>
        <w:t xml:space="preserve">UIT-T pertinentes y en consulta con la Comisión de Estudio competente </w:t>
      </w:r>
      <w:r w:rsidR="00A10309" w:rsidRPr="00F05461">
        <w:rPr>
          <w:lang w:val="es-ES"/>
        </w:rPr>
        <w:t>del UIT</w:t>
      </w:r>
      <w:r w:rsidR="00A10309" w:rsidRPr="00F05461">
        <w:rPr>
          <w:lang w:val="es-ES"/>
        </w:rPr>
        <w:noBreakHyphen/>
      </w:r>
      <w:r w:rsidRPr="00F05461">
        <w:rPr>
          <w:lang w:val="es-ES"/>
        </w:rPr>
        <w:t>T, su Presidente y/o los asesores designados.</w:t>
      </w:r>
    </w:p>
    <w:p w14:paraId="790645B1" w14:textId="77FE04C2" w:rsidR="00B1145C" w:rsidRPr="00F05461" w:rsidRDefault="00B1145C" w:rsidP="00726DA4">
      <w:pPr>
        <w:rPr>
          <w:lang w:val="es-ES"/>
        </w:rPr>
      </w:pPr>
      <w:r w:rsidRPr="00F05461">
        <w:rPr>
          <w:lang w:val="es-ES"/>
        </w:rPr>
        <w:t xml:space="preserve">Durante el periodo comprendido entre 2022 y 2025, la demanda de recursos NDDI de telecomunicaciones internacionales aumentó considerablemente, debido en gran medida al </w:t>
      </w:r>
      <w:r w:rsidRPr="00F05461">
        <w:rPr>
          <w:lang w:val="es-ES"/>
        </w:rPr>
        <w:lastRenderedPageBreak/>
        <w:t>auge de los servicios máquina a máquina (M2M) y de IoT, así como a la expansión de los servicios prestados a través de satélites de órbita terrestre baja (LEO). Este crecimiento requería una mayor flexibilidad en la gestión de recursos, especialmente con la aparición de las tarjetas SIM integradas (eSIM). Durante la</w:t>
      </w:r>
      <w:r w:rsidR="001473A4" w:rsidRPr="00F05461">
        <w:rPr>
          <w:lang w:val="es-ES"/>
        </w:rPr>
        <w:t> </w:t>
      </w:r>
      <w:r w:rsidRPr="00F05461">
        <w:rPr>
          <w:lang w:val="es-ES"/>
        </w:rPr>
        <w:t>AMNT</w:t>
      </w:r>
      <w:r w:rsidR="001473A4" w:rsidRPr="00F05461">
        <w:rPr>
          <w:lang w:val="es-ES"/>
        </w:rPr>
        <w:noBreakHyphen/>
      </w:r>
      <w:r w:rsidRPr="00F05461">
        <w:rPr>
          <w:lang w:val="es-ES"/>
        </w:rPr>
        <w:t xml:space="preserve">24 de octubre </w:t>
      </w:r>
      <w:r w:rsidR="00B933C5" w:rsidRPr="00F05461">
        <w:rPr>
          <w:lang w:val="es-ES"/>
        </w:rPr>
        <w:t>de 202</w:t>
      </w:r>
      <w:r w:rsidR="00711F8C" w:rsidRPr="00F05461">
        <w:rPr>
          <w:lang w:val="es-ES"/>
        </w:rPr>
        <w:t>4</w:t>
      </w:r>
      <w:r w:rsidRPr="00F05461">
        <w:rPr>
          <w:lang w:val="es-ES"/>
        </w:rPr>
        <w:t>, se revisaron las principales Resoluciones</w:t>
      </w:r>
      <w:r w:rsidR="00D63D42" w:rsidRPr="00F05461">
        <w:rPr>
          <w:lang w:val="es-ES"/>
        </w:rPr>
        <w:t xml:space="preserve"> (60, 61 y 20)</w:t>
      </w:r>
      <w:r w:rsidRPr="00F05461">
        <w:rPr>
          <w:lang w:val="es-ES"/>
        </w:rPr>
        <w:t xml:space="preserve"> relacionadas con la numeración para las telecomunicaciones internacionales para adaptarlas a esos desafíos. A lo largo del periodo, la Comisión de Estudio 2 </w:t>
      </w:r>
      <w:r w:rsidR="00A10309" w:rsidRPr="00F05461">
        <w:rPr>
          <w:lang w:val="es-ES"/>
        </w:rPr>
        <w:t>del UIT</w:t>
      </w:r>
      <w:r w:rsidR="00A10309" w:rsidRPr="00F05461">
        <w:rPr>
          <w:lang w:val="es-ES"/>
        </w:rPr>
        <w:noBreakHyphen/>
      </w:r>
      <w:r w:rsidRPr="00F05461">
        <w:rPr>
          <w:lang w:val="es-ES"/>
        </w:rPr>
        <w:t xml:space="preserve">T contribuyó de forma decisiva a gestionar la complejidad de la numeración mediante la actualización de Recomendaciones y la introducción de nuevos procedimientos para mejorar la transparencia del proceso de solicitud. Además, se presentaron Recomendaciones para apoyar los nuevos modelos de conectividad, incluida una nueva Recomendación UIT-T sobre recursos NDDI internacionales para servicios/aplicaciones IoT/M2M, y las labores relacionadas con una nueva categoría de recurso E.164 para servicios por satélite mundiales, en coordinación con los grupos de trabajo pertinentes </w:t>
      </w:r>
      <w:r w:rsidR="00A10309" w:rsidRPr="00F05461">
        <w:rPr>
          <w:lang w:val="es-ES"/>
        </w:rPr>
        <w:t>del UIT</w:t>
      </w:r>
      <w:r w:rsidR="00A10309" w:rsidRPr="00F05461">
        <w:rPr>
          <w:lang w:val="es-ES"/>
        </w:rPr>
        <w:noBreakHyphen/>
      </w:r>
      <w:r w:rsidRPr="00F05461">
        <w:rPr>
          <w:lang w:val="es-ES"/>
        </w:rPr>
        <w:t>R.</w:t>
      </w:r>
    </w:p>
    <w:p w14:paraId="00AC951C" w14:textId="7E50F919" w:rsidR="00B1145C" w:rsidRPr="00F05461" w:rsidRDefault="00B1145C" w:rsidP="00726DA4">
      <w:pPr>
        <w:rPr>
          <w:lang w:val="es-ES"/>
        </w:rPr>
      </w:pPr>
      <w:r w:rsidRPr="00F05461">
        <w:rPr>
          <w:lang w:val="es-ES"/>
        </w:rPr>
        <w:t>En cuanto a los recursos</w:t>
      </w:r>
      <w:r w:rsidR="00224AA4" w:rsidRPr="00F05461">
        <w:rPr>
          <w:lang w:val="es-ES"/>
        </w:rPr>
        <w:t> </w:t>
      </w:r>
      <w:r w:rsidRPr="00F05461">
        <w:rPr>
          <w:lang w:val="es-ES"/>
        </w:rPr>
        <w:t>NDDI de telecomunicaciones internacionales asignados directamente bajo la autoridad del Director de la</w:t>
      </w:r>
      <w:r w:rsidR="009603DE" w:rsidRPr="00F05461">
        <w:rPr>
          <w:lang w:val="es-ES"/>
        </w:rPr>
        <w:t> </w:t>
      </w:r>
      <w:r w:rsidR="00801B09" w:rsidRPr="00F05461">
        <w:rPr>
          <w:lang w:val="es-ES"/>
        </w:rPr>
        <w:t>TSB</w:t>
      </w:r>
      <w:r w:rsidRPr="00F05461">
        <w:rPr>
          <w:lang w:val="es-ES"/>
        </w:rPr>
        <w:t>, la especificación de procedimientos de asignación más claros (</w:t>
      </w:r>
      <w:hyperlink r:id="rId124" w:history="1">
        <w:r w:rsidRPr="00F05461">
          <w:rPr>
            <w:rStyle w:val="Hyperlink"/>
            <w:rFonts w:eastAsia="Times New Roman" w:cs="Times New Roman"/>
            <w:szCs w:val="20"/>
            <w:lang w:val="es-ES"/>
          </w:rPr>
          <w:t>Recomendación</w:t>
        </w:r>
        <w:r w:rsidR="00224AA4" w:rsidRPr="00F05461">
          <w:rPr>
            <w:rStyle w:val="Hyperlink"/>
            <w:rFonts w:eastAsia="Times New Roman" w:cs="Times New Roman"/>
            <w:szCs w:val="20"/>
            <w:lang w:val="es-ES"/>
          </w:rPr>
          <w:t> </w:t>
        </w:r>
        <w:r w:rsidRPr="00F05461">
          <w:rPr>
            <w:rStyle w:val="Hyperlink"/>
            <w:rFonts w:eastAsia="Times New Roman" w:cs="Times New Roman"/>
            <w:szCs w:val="20"/>
            <w:lang w:val="es-ES"/>
          </w:rPr>
          <w:t>UIT-T E.1120</w:t>
        </w:r>
      </w:hyperlink>
      <w:r w:rsidRPr="00F05461">
        <w:rPr>
          <w:lang w:val="es-ES"/>
        </w:rPr>
        <w:t>) reforzó la gobernanza, la transparencia y la gestión de las operaciones, tras lo que se endurecieron los controles del ciclo de vida (incluidas la certificación y recuperación anuales) y se completó el ecosistema añadiendo un marco de auditoría (</w:t>
      </w:r>
      <w:hyperlink r:id="rId125" w:history="1">
        <w:r w:rsidRPr="00F05461">
          <w:rPr>
            <w:rStyle w:val="Hyperlink"/>
            <w:rFonts w:eastAsia="Times New Roman" w:cs="Times New Roman"/>
            <w:szCs w:val="20"/>
            <w:lang w:val="es-ES"/>
          </w:rPr>
          <w:t>Recomendación</w:t>
        </w:r>
        <w:r w:rsidR="00224AA4" w:rsidRPr="00F05461">
          <w:rPr>
            <w:rStyle w:val="Hyperlink"/>
            <w:rFonts w:eastAsia="Times New Roman" w:cs="Times New Roman"/>
            <w:szCs w:val="20"/>
            <w:lang w:val="es-ES"/>
          </w:rPr>
          <w:t> </w:t>
        </w:r>
        <w:r w:rsidRPr="00F05461">
          <w:rPr>
            <w:rStyle w:val="Hyperlink"/>
            <w:rFonts w:eastAsia="Times New Roman" w:cs="Times New Roman"/>
            <w:szCs w:val="20"/>
            <w:lang w:val="es-ES"/>
          </w:rPr>
          <w:t>UIT-T E.1121</w:t>
        </w:r>
      </w:hyperlink>
      <w:r w:rsidRPr="00F05461">
        <w:rPr>
          <w:lang w:val="es-ES"/>
        </w:rPr>
        <w:t xml:space="preserve">) para ayudar a verificar que las asignaciones siguen siendo válidas y se administran y utilizan adecuadamente. También se mejoraron las páginas web de numeración de los usuarios y las directrices para los solicitantes a fin de reducir los retrasos asociados a las solicitudes incompletas. Se reforzaron las expectativas de certificación anual y las consecuencias de los impagos y se pasó de los debates políticos a las acciones de recuperación concretas, lo que se tradujo en bases de datos más precisas y en menos acumulación de recursos no utilizados o huérfanos. La lucha contra la utilización indebida de los recursos de numeración motivó la revisión de la </w:t>
      </w:r>
      <w:hyperlink r:id="rId126" w:history="1">
        <w:r w:rsidR="005A00E5" w:rsidRPr="00F05461">
          <w:rPr>
            <w:rStyle w:val="Hyperlink"/>
            <w:rFonts w:eastAsia="Times New Roman" w:cs="Times New Roman"/>
            <w:szCs w:val="20"/>
            <w:lang w:val="es-ES"/>
          </w:rPr>
          <w:t>Resolución 61 de la AMNT</w:t>
        </w:r>
      </w:hyperlink>
      <w:r w:rsidRPr="00F05461">
        <w:rPr>
          <w:lang w:val="es-ES"/>
        </w:rPr>
        <w:t>, cuyo ámbito de aplicación se amplió a los recursos</w:t>
      </w:r>
      <w:r w:rsidR="00224AA4" w:rsidRPr="00F05461">
        <w:rPr>
          <w:lang w:val="es-ES"/>
        </w:rPr>
        <w:t> </w:t>
      </w:r>
      <w:r w:rsidRPr="00F05461">
        <w:rPr>
          <w:lang w:val="es-ES"/>
        </w:rPr>
        <w:t>NDDI, al tiempo que se promovía la sensibilización pública y las prácticas idóneas entre Estados Miembros. Además, se modificó la Resolución</w:t>
      </w:r>
      <w:r w:rsidR="001473A4" w:rsidRPr="00F05461">
        <w:rPr>
          <w:lang w:val="es-ES"/>
        </w:rPr>
        <w:t> </w:t>
      </w:r>
      <w:r w:rsidRPr="00F05461">
        <w:rPr>
          <w:lang w:val="es-ES"/>
        </w:rPr>
        <w:t>65 de la</w:t>
      </w:r>
      <w:r w:rsidR="001473A4" w:rsidRPr="00F05461">
        <w:rPr>
          <w:lang w:val="es-ES"/>
        </w:rPr>
        <w:t> </w:t>
      </w:r>
      <w:r w:rsidRPr="00F05461">
        <w:rPr>
          <w:lang w:val="es-ES"/>
        </w:rPr>
        <w:t>AMNT para abordar cuestiones emergentes como las tecnologías de suplantación y clonación de voz, a fin de garantizar que las redes de telecomunicaciones sigan respondiendo a estas amenazas. Se aclararon y mejoraron las Recomendaciones</w:t>
      </w:r>
      <w:r w:rsidR="00224AA4" w:rsidRPr="00F05461">
        <w:rPr>
          <w:lang w:val="es-ES"/>
        </w:rPr>
        <w:t> </w:t>
      </w:r>
      <w:r w:rsidRPr="00F05461">
        <w:rPr>
          <w:lang w:val="es-ES"/>
        </w:rPr>
        <w:t>UIT</w:t>
      </w:r>
      <w:r w:rsidR="00224AA4" w:rsidRPr="00F05461">
        <w:rPr>
          <w:lang w:val="es-ES"/>
        </w:rPr>
        <w:noBreakHyphen/>
      </w:r>
      <w:r w:rsidRPr="00F05461">
        <w:rPr>
          <w:lang w:val="es-ES"/>
        </w:rPr>
        <w:t xml:space="preserve">T pertinentes para proporcionar disposiciones más claras sobre el tratamiento de los casos de uso indebido en los procesos </w:t>
      </w:r>
      <w:r w:rsidR="00A10309" w:rsidRPr="00F05461">
        <w:rPr>
          <w:lang w:val="es-ES"/>
        </w:rPr>
        <w:t>del UIT</w:t>
      </w:r>
      <w:r w:rsidR="00A10309" w:rsidRPr="00F05461">
        <w:rPr>
          <w:lang w:val="es-ES"/>
        </w:rPr>
        <w:noBreakHyphen/>
      </w:r>
      <w:r w:rsidRPr="00F05461">
        <w:rPr>
          <w:lang w:val="es-ES"/>
        </w:rPr>
        <w:t xml:space="preserve">T. Además, se acordó el Informe </w:t>
      </w:r>
      <w:r w:rsidR="00224AA4" w:rsidRPr="00F05461">
        <w:rPr>
          <w:lang w:val="es-ES"/>
        </w:rPr>
        <w:t>t</w:t>
      </w:r>
      <w:r w:rsidRPr="00F05461">
        <w:rPr>
          <w:lang w:val="es-ES"/>
        </w:rPr>
        <w:t xml:space="preserve">écnico sobre mitigación del fraude de </w:t>
      </w:r>
      <w:proofErr w:type="spellStart"/>
      <w:r w:rsidRPr="00F05461">
        <w:rPr>
          <w:lang w:val="es-ES"/>
        </w:rPr>
        <w:t>Wangiri</w:t>
      </w:r>
      <w:proofErr w:type="spellEnd"/>
      <w:r w:rsidRPr="00F05461">
        <w:rPr>
          <w:lang w:val="es-ES"/>
        </w:rPr>
        <w:t xml:space="preserve"> (</w:t>
      </w:r>
      <w:hyperlink r:id="rId127" w:history="1">
        <w:r w:rsidRPr="00F05461">
          <w:rPr>
            <w:rStyle w:val="Hyperlink"/>
            <w:rFonts w:eastAsia="Times New Roman" w:cs="Times New Roman"/>
            <w:szCs w:val="20"/>
            <w:lang w:val="es-ES"/>
          </w:rPr>
          <w:t>TR.MMWF</w:t>
        </w:r>
      </w:hyperlink>
      <w:r w:rsidRPr="00F05461">
        <w:rPr>
          <w:lang w:val="es-ES"/>
        </w:rPr>
        <w:t>), que proporciona análisis y metodologías para mitigar este tipo de engaño. El marco de auditoría introducido recientemente también constituye un mecanismo complementario para la notificación de usos indebidos.</w:t>
      </w:r>
    </w:p>
    <w:p w14:paraId="77E105BF" w14:textId="015A3983" w:rsidR="00B1145C" w:rsidRPr="00F05461" w:rsidRDefault="00B1145C" w:rsidP="00B1145C">
      <w:pPr>
        <w:rPr>
          <w:lang w:val="es-ES"/>
        </w:rPr>
      </w:pPr>
      <w:r w:rsidRPr="00F05461">
        <w:rPr>
          <w:lang w:val="es-ES"/>
        </w:rPr>
        <w:t xml:space="preserve">Es más, se modernizó el </w:t>
      </w:r>
      <w:hyperlink r:id="rId128" w:history="1">
        <w:r w:rsidRPr="00F05461">
          <w:rPr>
            <w:rStyle w:val="Hyperlink"/>
            <w:rFonts w:eastAsia="Times New Roman" w:cs="Times New Roman"/>
            <w:szCs w:val="20"/>
            <w:lang w:val="es-ES"/>
          </w:rPr>
          <w:t>Boletín de Explotación</w:t>
        </w:r>
      </w:hyperlink>
      <w:r w:rsidRPr="00F05461">
        <w:rPr>
          <w:lang w:val="es-ES"/>
        </w:rPr>
        <w:t xml:space="preserve"> de </w:t>
      </w:r>
      <w:r w:rsidR="00296F03" w:rsidRPr="00F05461">
        <w:rPr>
          <w:lang w:val="es-ES"/>
        </w:rPr>
        <w:t>la UIT</w:t>
      </w:r>
      <w:r w:rsidRPr="00F05461">
        <w:rPr>
          <w:lang w:val="es-ES"/>
        </w:rPr>
        <w:t>, que publica actualizaciones oficiales sobre los recursos</w:t>
      </w:r>
      <w:r w:rsidR="00224AA4" w:rsidRPr="00F05461">
        <w:rPr>
          <w:lang w:val="es-ES"/>
        </w:rPr>
        <w:t> </w:t>
      </w:r>
      <w:r w:rsidRPr="00F05461">
        <w:rPr>
          <w:lang w:val="es-ES"/>
        </w:rPr>
        <w:t xml:space="preserve">NDDI, para mejorar su legibilidad y eficiencia, en consonancia con los esfuerzos de transformación digital, y se están llevando a cabo nuevas iniciativas de digitalización. En respuesta a la </w:t>
      </w:r>
      <w:hyperlink r:id="rId129" w:history="1">
        <w:r w:rsidRPr="00F05461">
          <w:rPr>
            <w:rStyle w:val="Hyperlink"/>
            <w:rFonts w:eastAsia="Times New Roman" w:cs="Times New Roman"/>
            <w:szCs w:val="20"/>
            <w:lang w:val="es-ES"/>
          </w:rPr>
          <w:t>Resolución</w:t>
        </w:r>
        <w:r w:rsidR="00DF1C06" w:rsidRPr="00F05461">
          <w:rPr>
            <w:rStyle w:val="Hyperlink"/>
            <w:rFonts w:eastAsia="Times New Roman" w:cs="Times New Roman"/>
            <w:szCs w:val="20"/>
            <w:lang w:val="es-ES"/>
          </w:rPr>
          <w:t> </w:t>
        </w:r>
        <w:r w:rsidRPr="00F05461">
          <w:rPr>
            <w:rStyle w:val="Hyperlink"/>
            <w:rFonts w:eastAsia="Times New Roman" w:cs="Times New Roman"/>
            <w:szCs w:val="20"/>
            <w:lang w:val="es-ES"/>
          </w:rPr>
          <w:t>91 de la</w:t>
        </w:r>
        <w:r w:rsidR="00DF1C06" w:rsidRPr="00F05461">
          <w:rPr>
            <w:rStyle w:val="Hyperlink"/>
            <w:rFonts w:eastAsia="Times New Roman" w:cs="Times New Roman"/>
            <w:szCs w:val="20"/>
            <w:lang w:val="es-ES"/>
          </w:rPr>
          <w:t> </w:t>
        </w:r>
        <w:r w:rsidRPr="00F05461">
          <w:rPr>
            <w:rStyle w:val="Hyperlink"/>
            <w:rFonts w:eastAsia="Times New Roman" w:cs="Times New Roman"/>
            <w:szCs w:val="20"/>
            <w:lang w:val="es-ES"/>
          </w:rPr>
          <w:t>AMNT</w:t>
        </w:r>
      </w:hyperlink>
      <w:r w:rsidRPr="00F05461">
        <w:rPr>
          <w:lang w:val="es-ES"/>
        </w:rPr>
        <w:t>, se creó un repositorio de planes nacionales de numeración y se animó a las diferentes partes interesadas a enviar sus comentarios, que se utilizarían para perfeccionar el repositorio. Esta evolución constante asegura que la gestión de los recursos</w:t>
      </w:r>
      <w:r w:rsidR="00224AA4" w:rsidRPr="00F05461">
        <w:rPr>
          <w:lang w:val="es-ES"/>
        </w:rPr>
        <w:t> </w:t>
      </w:r>
      <w:r w:rsidRPr="00F05461">
        <w:rPr>
          <w:lang w:val="es-ES"/>
        </w:rPr>
        <w:t>NDDI siga siendo segura y coherente con los avances tecnológicos en el panorama de las telecomunicaciones.</w:t>
      </w:r>
    </w:p>
    <w:p w14:paraId="0EA66188" w14:textId="77777777" w:rsidR="00B1145C" w:rsidRPr="00F05461" w:rsidRDefault="00B1145C" w:rsidP="003E558F">
      <w:pPr>
        <w:pStyle w:val="Heading2"/>
        <w:rPr>
          <w:lang w:val="es-ES"/>
        </w:rPr>
      </w:pPr>
      <w:bookmarkStart w:id="60" w:name="_4.3_Elaboración_de"/>
      <w:bookmarkStart w:id="61" w:name="_Toc227137469"/>
      <w:bookmarkEnd w:id="60"/>
      <w:r w:rsidRPr="00F05461">
        <w:rPr>
          <w:lang w:val="es-ES"/>
        </w:rPr>
        <w:lastRenderedPageBreak/>
        <w:t>4.3</w:t>
      </w:r>
      <w:r w:rsidRPr="00F05461">
        <w:rPr>
          <w:lang w:val="es-ES"/>
        </w:rPr>
        <w:tab/>
        <w:t>Elaboración de normas internacionales</w:t>
      </w:r>
      <w:bookmarkEnd w:id="61"/>
    </w:p>
    <w:p w14:paraId="1FF86810" w14:textId="77777777" w:rsidR="00B1145C" w:rsidRPr="00F05461" w:rsidRDefault="00B1145C" w:rsidP="00DF1C06">
      <w:pPr>
        <w:pStyle w:val="Headingb"/>
      </w:pPr>
      <w:r w:rsidRPr="00F05461">
        <w:t>Normalización: Base para facilitar el desarrollo de las tecnologías actuales y futuras</w:t>
      </w:r>
    </w:p>
    <w:p w14:paraId="17BCF67F" w14:textId="10906194" w:rsidR="00B1145C" w:rsidRPr="00F05461" w:rsidRDefault="00B1145C" w:rsidP="00B1145C">
      <w:pPr>
        <w:rPr>
          <w:lang w:val="es-ES"/>
        </w:rPr>
      </w:pPr>
      <w:r w:rsidRPr="00F05461">
        <w:rPr>
          <w:lang w:val="es-ES"/>
        </w:rPr>
        <w:t xml:space="preserve">Las tecnologías accesibles construidas con arreglo a especificaciones universales pueden funcionar adecuadamente para todas las personas. El compromiso inquebrantable con la interoperabilidad, la accesibilidad, la seguridad, la asequibilidad y la resiliencia garantiza que las normas de </w:t>
      </w:r>
      <w:r w:rsidR="00296F03" w:rsidRPr="00F05461">
        <w:rPr>
          <w:lang w:val="es-ES"/>
        </w:rPr>
        <w:t>la UIT</w:t>
      </w:r>
      <w:r w:rsidRPr="00F05461">
        <w:rPr>
          <w:lang w:val="es-ES"/>
        </w:rPr>
        <w:t xml:space="preserve"> sean beneficiosas para todo el mundo. Por conducto de las normas técnicas de </w:t>
      </w:r>
      <w:r w:rsidR="00296F03" w:rsidRPr="00F05461">
        <w:rPr>
          <w:lang w:val="es-ES"/>
        </w:rPr>
        <w:t>la UIT</w:t>
      </w:r>
      <w:r w:rsidRPr="00F05461">
        <w:rPr>
          <w:lang w:val="es-ES"/>
        </w:rPr>
        <w:t>, los dispositivos locales se comunican fácilmente con las redes mundiales. Las conexiones seguras, dentro del alcance de todas las personas, ofrecen a las comunidades acceso a información esencial y ayudan a reducir los efectos del cambio climático.</w:t>
      </w:r>
    </w:p>
    <w:p w14:paraId="474920F5" w14:textId="1CB0BBBB" w:rsidR="00B1145C" w:rsidRPr="00F05461" w:rsidRDefault="00B1145C" w:rsidP="00B1145C">
      <w:pPr>
        <w:rPr>
          <w:lang w:val="es-ES"/>
        </w:rPr>
      </w:pPr>
      <w:r w:rsidRPr="00F05461">
        <w:rPr>
          <w:lang w:val="es-ES"/>
        </w:rPr>
        <w:t xml:space="preserve">Las normas de </w:t>
      </w:r>
      <w:r w:rsidR="00296F03" w:rsidRPr="00F05461">
        <w:rPr>
          <w:lang w:val="es-ES"/>
        </w:rPr>
        <w:t>la UIT</w:t>
      </w:r>
      <w:r w:rsidRPr="00F05461">
        <w:rPr>
          <w:lang w:val="es-ES"/>
        </w:rPr>
        <w:t xml:space="preserve"> se elaboran en el</w:t>
      </w:r>
      <w:r w:rsidR="00BE5909" w:rsidRPr="00F05461">
        <w:rPr>
          <w:lang w:val="es-ES"/>
        </w:rPr>
        <w:t> </w:t>
      </w:r>
      <w:r w:rsidRPr="00F05461">
        <w:rPr>
          <w:lang w:val="es-ES"/>
        </w:rPr>
        <w:t>UIT</w:t>
      </w:r>
      <w:r w:rsidR="00BE5909" w:rsidRPr="00F05461">
        <w:rPr>
          <w:lang w:val="es-ES"/>
        </w:rPr>
        <w:noBreakHyphen/>
      </w:r>
      <w:r w:rsidRPr="00F05461">
        <w:rPr>
          <w:lang w:val="es-ES"/>
        </w:rPr>
        <w:t>T y también en el</w:t>
      </w:r>
      <w:r w:rsidR="00C0551E" w:rsidRPr="00F05461">
        <w:rPr>
          <w:lang w:val="es-ES"/>
        </w:rPr>
        <w:t> </w:t>
      </w:r>
      <w:r w:rsidRPr="00F05461">
        <w:rPr>
          <w:lang w:val="es-ES"/>
        </w:rPr>
        <w:t>UIT</w:t>
      </w:r>
      <w:r w:rsidR="00C0551E" w:rsidRPr="00F05461">
        <w:rPr>
          <w:lang w:val="es-ES"/>
        </w:rPr>
        <w:noBreakHyphen/>
      </w:r>
      <w:r w:rsidRPr="00F05461">
        <w:rPr>
          <w:lang w:val="es-ES"/>
        </w:rPr>
        <w:t xml:space="preserve">R, y se publican, respectivamente, como </w:t>
      </w:r>
      <w:hyperlink r:id="rId130" w:history="1">
        <w:r w:rsidRPr="00F05461">
          <w:rPr>
            <w:rStyle w:val="Hyperlink"/>
            <w:rFonts w:eastAsia="Times New Roman" w:cs="Times New Roman"/>
            <w:szCs w:val="20"/>
            <w:lang w:val="es-ES"/>
          </w:rPr>
          <w:t>Recomendaciones</w:t>
        </w:r>
        <w:r w:rsidR="00F811A4" w:rsidRPr="00F05461">
          <w:rPr>
            <w:rStyle w:val="Hyperlink"/>
            <w:rFonts w:eastAsia="Times New Roman" w:cs="Times New Roman"/>
            <w:szCs w:val="20"/>
            <w:lang w:val="es-ES"/>
          </w:rPr>
          <w:t> </w:t>
        </w:r>
        <w:r w:rsidRPr="00F05461">
          <w:rPr>
            <w:rStyle w:val="Hyperlink"/>
            <w:rFonts w:eastAsia="Times New Roman" w:cs="Times New Roman"/>
            <w:szCs w:val="20"/>
            <w:lang w:val="es-ES"/>
          </w:rPr>
          <w:t>UIT-T</w:t>
        </w:r>
      </w:hyperlink>
      <w:r w:rsidRPr="00F05461">
        <w:rPr>
          <w:lang w:val="es-ES"/>
        </w:rPr>
        <w:t xml:space="preserve"> y </w:t>
      </w:r>
      <w:hyperlink r:id="rId131" w:history="1">
        <w:r w:rsidRPr="00F05461">
          <w:rPr>
            <w:rStyle w:val="Hyperlink"/>
            <w:rFonts w:eastAsia="Times New Roman" w:cs="Times New Roman"/>
            <w:szCs w:val="20"/>
            <w:lang w:val="es-ES"/>
          </w:rPr>
          <w:t>Recomendaciones</w:t>
        </w:r>
        <w:r w:rsidR="00F811A4" w:rsidRPr="00F05461">
          <w:rPr>
            <w:rStyle w:val="Hyperlink"/>
            <w:rFonts w:eastAsia="Times New Roman" w:cs="Times New Roman"/>
            <w:szCs w:val="20"/>
            <w:lang w:val="es-ES"/>
          </w:rPr>
          <w:t> </w:t>
        </w:r>
        <w:r w:rsidRPr="00F05461">
          <w:rPr>
            <w:rStyle w:val="Hyperlink"/>
            <w:rFonts w:eastAsia="Times New Roman" w:cs="Times New Roman"/>
            <w:szCs w:val="20"/>
            <w:lang w:val="es-ES"/>
          </w:rPr>
          <w:t>UIT-R</w:t>
        </w:r>
      </w:hyperlink>
      <w:r w:rsidRPr="00F05461">
        <w:rPr>
          <w:lang w:val="es-ES"/>
        </w:rPr>
        <w:t>.</w:t>
      </w:r>
    </w:p>
    <w:p w14:paraId="5B822108" w14:textId="77777777" w:rsidR="00B1145C" w:rsidRPr="00F05461" w:rsidRDefault="00B1145C" w:rsidP="003E558F">
      <w:pPr>
        <w:pStyle w:val="Heading3"/>
      </w:pPr>
      <w:bookmarkStart w:id="62" w:name="_4.3.1_Recomendaciones_UIT-T"/>
      <w:bookmarkStart w:id="63" w:name="_Toc227137470"/>
      <w:bookmarkEnd w:id="62"/>
      <w:r w:rsidRPr="00F05461">
        <w:t>4.3.1</w:t>
      </w:r>
      <w:r w:rsidRPr="00F05461">
        <w:tab/>
        <w:t>Recomendaciones UIT-T y publicaciones conexas</w:t>
      </w:r>
      <w:bookmarkEnd w:id="63"/>
    </w:p>
    <w:p w14:paraId="2A3A1B6E" w14:textId="22D602FE" w:rsidR="00B1145C" w:rsidRPr="00F05461" w:rsidRDefault="00B1145C" w:rsidP="00B1145C">
      <w:pPr>
        <w:rPr>
          <w:lang w:val="es-ES"/>
        </w:rPr>
      </w:pPr>
      <w:r w:rsidRPr="00F05461">
        <w:rPr>
          <w:lang w:val="es-ES"/>
        </w:rPr>
        <w:t>Las Recomendaciones</w:t>
      </w:r>
      <w:r w:rsidR="003341A0" w:rsidRPr="00F05461">
        <w:rPr>
          <w:lang w:val="es-ES"/>
        </w:rPr>
        <w:t> </w:t>
      </w:r>
      <w:r w:rsidRPr="00F05461">
        <w:rPr>
          <w:lang w:val="es-ES"/>
        </w:rPr>
        <w:t>UIT-T son las normas técnicas elaboradas por el</w:t>
      </w:r>
      <w:r w:rsidR="00BE5909" w:rsidRPr="00F05461">
        <w:rPr>
          <w:lang w:val="es-ES"/>
        </w:rPr>
        <w:t> </w:t>
      </w:r>
      <w:r w:rsidRPr="00F05461">
        <w:rPr>
          <w:lang w:val="es-ES"/>
        </w:rPr>
        <w:t>UIT</w:t>
      </w:r>
      <w:r w:rsidR="00BE5909" w:rsidRPr="00F05461">
        <w:rPr>
          <w:lang w:val="es-ES"/>
        </w:rPr>
        <w:noBreakHyphen/>
      </w:r>
      <w:r w:rsidRPr="00F05461">
        <w:rPr>
          <w:lang w:val="es-ES"/>
        </w:rPr>
        <w:t xml:space="preserve">T. Se completan con otras publicaciones, como los Suplementos, </w:t>
      </w:r>
      <w:proofErr w:type="gramStart"/>
      <w:r w:rsidRPr="00F05461">
        <w:rPr>
          <w:lang w:val="es-ES"/>
        </w:rPr>
        <w:t xml:space="preserve">Documentos </w:t>
      </w:r>
      <w:r w:rsidR="003341A0" w:rsidRPr="00F05461">
        <w:rPr>
          <w:lang w:val="es-ES"/>
        </w:rPr>
        <w:t>t</w:t>
      </w:r>
      <w:r w:rsidRPr="00F05461">
        <w:rPr>
          <w:lang w:val="es-ES"/>
        </w:rPr>
        <w:t xml:space="preserve">écnicos e Informes </w:t>
      </w:r>
      <w:r w:rsidR="003341A0" w:rsidRPr="00F05461">
        <w:rPr>
          <w:lang w:val="es-ES"/>
        </w:rPr>
        <w:t>t</w:t>
      </w:r>
      <w:r w:rsidRPr="00F05461">
        <w:rPr>
          <w:lang w:val="es-ES"/>
        </w:rPr>
        <w:t>écnicos</w:t>
      </w:r>
      <w:proofErr w:type="gramEnd"/>
      <w:r w:rsidRPr="00F05461">
        <w:rPr>
          <w:lang w:val="es-ES"/>
        </w:rPr>
        <w:t xml:space="preserve">, y se refuerzan con productos previos a la normalización preparados por los Grupos Temáticos </w:t>
      </w:r>
      <w:r w:rsidR="00A10309" w:rsidRPr="00F05461">
        <w:rPr>
          <w:lang w:val="es-ES"/>
        </w:rPr>
        <w:t>del UIT</w:t>
      </w:r>
      <w:r w:rsidR="00A10309" w:rsidRPr="00F05461">
        <w:rPr>
          <w:lang w:val="es-ES"/>
        </w:rPr>
        <w:noBreakHyphen/>
      </w:r>
      <w:r w:rsidRPr="00F05461">
        <w:rPr>
          <w:lang w:val="es-ES"/>
        </w:rPr>
        <w:t xml:space="preserve">T. Actualmente el sector cuenta con </w:t>
      </w:r>
      <w:hyperlink r:id="rId132" w:history="1">
        <w:r w:rsidRPr="00F05461">
          <w:rPr>
            <w:rStyle w:val="Hyperlink"/>
            <w:rFonts w:eastAsia="Times New Roman" w:cs="Times New Roman"/>
            <w:szCs w:val="20"/>
            <w:lang w:val="es-ES"/>
          </w:rPr>
          <w:t>10</w:t>
        </w:r>
        <w:r w:rsidR="001473A4" w:rsidRPr="00F05461">
          <w:rPr>
            <w:rStyle w:val="Hyperlink"/>
            <w:rFonts w:eastAsia="Times New Roman" w:cs="Times New Roman"/>
            <w:szCs w:val="20"/>
            <w:lang w:val="es-ES"/>
          </w:rPr>
          <w:t> </w:t>
        </w:r>
        <w:r w:rsidRPr="00F05461">
          <w:rPr>
            <w:rStyle w:val="Hyperlink"/>
            <w:rFonts w:eastAsia="Times New Roman" w:cs="Times New Roman"/>
            <w:szCs w:val="20"/>
            <w:lang w:val="es-ES"/>
          </w:rPr>
          <w:t>Comisiones de Estudio</w:t>
        </w:r>
      </w:hyperlink>
      <w:r w:rsidRPr="00F05461">
        <w:rPr>
          <w:lang w:val="es-ES"/>
        </w:rPr>
        <w:t>, después de que la</w:t>
      </w:r>
      <w:r w:rsidR="001473A4" w:rsidRPr="00F05461">
        <w:rPr>
          <w:lang w:val="es-ES"/>
        </w:rPr>
        <w:t> </w:t>
      </w:r>
      <w:r w:rsidRPr="00F05461">
        <w:rPr>
          <w:lang w:val="es-ES"/>
        </w:rPr>
        <w:t>AMNT</w:t>
      </w:r>
      <w:r w:rsidR="001473A4" w:rsidRPr="00F05461">
        <w:rPr>
          <w:lang w:val="es-ES"/>
        </w:rPr>
        <w:noBreakHyphen/>
      </w:r>
      <w:r w:rsidRPr="00F05461">
        <w:rPr>
          <w:lang w:val="es-ES"/>
        </w:rPr>
        <w:t>24 fusionara las Comisiones de Estudio</w:t>
      </w:r>
      <w:r w:rsidR="001473A4" w:rsidRPr="00F05461">
        <w:rPr>
          <w:lang w:val="es-ES"/>
        </w:rPr>
        <w:t> </w:t>
      </w:r>
      <w:r w:rsidRPr="00F05461">
        <w:rPr>
          <w:lang w:val="es-ES"/>
        </w:rPr>
        <w:t xml:space="preserve">9 y 16 </w:t>
      </w:r>
      <w:r w:rsidR="00A10309" w:rsidRPr="00F05461">
        <w:rPr>
          <w:lang w:val="es-ES"/>
        </w:rPr>
        <w:t>del UIT</w:t>
      </w:r>
      <w:r w:rsidR="00A10309" w:rsidRPr="00F05461">
        <w:rPr>
          <w:lang w:val="es-ES"/>
        </w:rPr>
        <w:noBreakHyphen/>
      </w:r>
      <w:r w:rsidRPr="00F05461">
        <w:rPr>
          <w:lang w:val="es-ES"/>
        </w:rPr>
        <w:t>T en la Comisión de Estudio</w:t>
      </w:r>
      <w:r w:rsidR="001473A4" w:rsidRPr="00F05461">
        <w:rPr>
          <w:lang w:val="es-ES"/>
        </w:rPr>
        <w:t> </w:t>
      </w:r>
      <w:r w:rsidRPr="00F05461">
        <w:rPr>
          <w:lang w:val="es-ES"/>
        </w:rPr>
        <w:t xml:space="preserve">21. En diciembre </w:t>
      </w:r>
      <w:r w:rsidR="00B933C5" w:rsidRPr="00F05461">
        <w:rPr>
          <w:lang w:val="es-ES"/>
        </w:rPr>
        <w:t>de 202</w:t>
      </w:r>
      <w:r w:rsidR="00711F8C" w:rsidRPr="00F05461">
        <w:rPr>
          <w:lang w:val="es-ES"/>
        </w:rPr>
        <w:t>5</w:t>
      </w:r>
      <w:r w:rsidRPr="00F05461">
        <w:rPr>
          <w:lang w:val="es-ES"/>
        </w:rPr>
        <w:t xml:space="preserve">, solo había un Grupo Temático activo, frente a los 11 que estaban activos durante el periodo que abarca el informe (para más información, véase la </w:t>
      </w:r>
      <w:hyperlink r:id="rId133" w:history="1">
        <w:r w:rsidR="00C0551E" w:rsidRPr="00F05461">
          <w:rPr>
            <w:rStyle w:val="Hyperlink"/>
            <w:rFonts w:eastAsia="Times New Roman" w:cs="Times New Roman"/>
            <w:szCs w:val="20"/>
            <w:lang w:val="es-ES"/>
          </w:rPr>
          <w:t>página principal de los Grupos Temáticos del</w:t>
        </w:r>
        <w:r w:rsidR="00C45DDD" w:rsidRPr="00F05461">
          <w:rPr>
            <w:rStyle w:val="Hyperlink"/>
            <w:rFonts w:eastAsia="Times New Roman" w:cs="Times New Roman"/>
            <w:szCs w:val="20"/>
            <w:lang w:val="es-ES"/>
          </w:rPr>
          <w:t> </w:t>
        </w:r>
        <w:r w:rsidR="00C0551E" w:rsidRPr="00F05461">
          <w:rPr>
            <w:rStyle w:val="Hyperlink"/>
            <w:rFonts w:eastAsia="Times New Roman" w:cs="Times New Roman"/>
            <w:szCs w:val="20"/>
            <w:lang w:val="es-ES"/>
          </w:rPr>
          <w:t>UIT</w:t>
        </w:r>
        <w:r w:rsidR="00C0551E" w:rsidRPr="00F05461">
          <w:rPr>
            <w:rStyle w:val="Hyperlink"/>
            <w:rFonts w:eastAsia="Times New Roman" w:cs="Times New Roman"/>
            <w:szCs w:val="20"/>
            <w:lang w:val="es-ES"/>
          </w:rPr>
          <w:noBreakHyphen/>
          <w:t>T</w:t>
        </w:r>
      </w:hyperlink>
      <w:r w:rsidRPr="00F05461">
        <w:rPr>
          <w:lang w:val="es-ES"/>
        </w:rPr>
        <w:t>):</w:t>
      </w:r>
    </w:p>
    <w:p w14:paraId="123B178A" w14:textId="4F901E4E" w:rsidR="00B1145C" w:rsidRPr="00F05461" w:rsidRDefault="00B1145C" w:rsidP="00836C68">
      <w:pPr>
        <w:pStyle w:val="Tabletitle"/>
        <w:rPr>
          <w:lang w:val="es-ES"/>
        </w:rPr>
      </w:pPr>
      <w:r w:rsidRPr="00F05461">
        <w:rPr>
          <w:lang w:val="es-ES"/>
        </w:rPr>
        <w:t xml:space="preserve">Grupos Temáticos </w:t>
      </w:r>
      <w:r w:rsidR="00A10309" w:rsidRPr="00F05461">
        <w:rPr>
          <w:lang w:val="es-ES"/>
        </w:rPr>
        <w:t>del UIT</w:t>
      </w:r>
      <w:r w:rsidR="00A10309" w:rsidRPr="00F05461">
        <w:rPr>
          <w:lang w:val="es-ES"/>
        </w:rPr>
        <w:noBreakHyphen/>
      </w:r>
      <w:r w:rsidRPr="00F05461">
        <w:rPr>
          <w:lang w:val="es-ES"/>
        </w:rPr>
        <w:t>T en 2025</w:t>
      </w:r>
    </w:p>
    <w:tbl>
      <w:tblPr>
        <w:tblW w:w="5000" w:type="pct"/>
        <w:jc w:val="center"/>
        <w:tblLayout w:type="fixed"/>
        <w:tblLook w:val="0000" w:firstRow="0" w:lastRow="0" w:firstColumn="0" w:lastColumn="0" w:noHBand="0" w:noVBand="0"/>
      </w:tblPr>
      <w:tblGrid>
        <w:gridCol w:w="1413"/>
        <w:gridCol w:w="4196"/>
        <w:gridCol w:w="1133"/>
        <w:gridCol w:w="1064"/>
        <w:gridCol w:w="1255"/>
      </w:tblGrid>
      <w:tr w:rsidR="00836C68" w:rsidRPr="00F05461" w14:paraId="0A4CC69F" w14:textId="77777777" w:rsidTr="00726DA4">
        <w:trPr>
          <w:jc w:val="center"/>
        </w:trPr>
        <w:tc>
          <w:tcPr>
            <w:tcW w:w="1413" w:type="dxa"/>
            <w:tcBorders>
              <w:top w:val="single" w:sz="4" w:space="0" w:color="4BACC6"/>
              <w:left w:val="single" w:sz="4" w:space="0" w:color="4BACC6"/>
            </w:tcBorders>
            <w:tcMar>
              <w:top w:w="0" w:type="dxa"/>
              <w:left w:w="108" w:type="dxa"/>
              <w:bottom w:w="0" w:type="dxa"/>
              <w:right w:w="108" w:type="dxa"/>
            </w:tcMar>
            <w:vAlign w:val="center"/>
          </w:tcPr>
          <w:p w14:paraId="7F17B718" w14:textId="77777777" w:rsidR="00836C68" w:rsidRPr="00F05461" w:rsidRDefault="00836C68" w:rsidP="001E7BC1">
            <w:pPr>
              <w:pStyle w:val="Tablehead"/>
              <w:rPr>
                <w:lang w:val="es-ES"/>
              </w:rPr>
            </w:pPr>
            <w:r w:rsidRPr="00F05461">
              <w:rPr>
                <w:lang w:val="es-ES"/>
              </w:rPr>
              <w:t>Grupo Temático</w:t>
            </w:r>
          </w:p>
        </w:tc>
        <w:tc>
          <w:tcPr>
            <w:tcW w:w="4196" w:type="dxa"/>
            <w:tcBorders>
              <w:top w:val="single" w:sz="4" w:space="0" w:color="4BACC6"/>
            </w:tcBorders>
            <w:tcMar>
              <w:top w:w="0" w:type="dxa"/>
              <w:left w:w="108" w:type="dxa"/>
              <w:bottom w:w="0" w:type="dxa"/>
              <w:right w:w="108" w:type="dxa"/>
            </w:tcMar>
            <w:vAlign w:val="center"/>
          </w:tcPr>
          <w:p w14:paraId="4BD8199D" w14:textId="77777777" w:rsidR="00836C68" w:rsidRPr="00F05461" w:rsidRDefault="00836C68" w:rsidP="001E7BC1">
            <w:pPr>
              <w:pStyle w:val="Tablehead"/>
              <w:rPr>
                <w:lang w:val="es-ES"/>
              </w:rPr>
            </w:pPr>
            <w:r w:rsidRPr="00F05461">
              <w:rPr>
                <w:lang w:val="es-ES"/>
              </w:rPr>
              <w:t>Tema</w:t>
            </w:r>
          </w:p>
        </w:tc>
        <w:tc>
          <w:tcPr>
            <w:tcW w:w="1133" w:type="dxa"/>
            <w:tcBorders>
              <w:top w:val="single" w:sz="4" w:space="0" w:color="4BACC6"/>
            </w:tcBorders>
            <w:tcMar>
              <w:top w:w="0" w:type="dxa"/>
              <w:left w:w="108" w:type="dxa"/>
              <w:bottom w:w="0" w:type="dxa"/>
              <w:right w:w="108" w:type="dxa"/>
            </w:tcMar>
            <w:vAlign w:val="center"/>
          </w:tcPr>
          <w:p w14:paraId="3C5B8CA7" w14:textId="77777777" w:rsidR="00836C68" w:rsidRPr="00F05461" w:rsidRDefault="00836C68" w:rsidP="001E7BC1">
            <w:pPr>
              <w:pStyle w:val="Tablehead"/>
              <w:rPr>
                <w:lang w:val="es-ES"/>
              </w:rPr>
            </w:pPr>
            <w:r w:rsidRPr="00F05461">
              <w:rPr>
                <w:lang w:val="es-ES"/>
              </w:rPr>
              <w:t>Inicio</w:t>
            </w:r>
          </w:p>
        </w:tc>
        <w:tc>
          <w:tcPr>
            <w:tcW w:w="1064" w:type="dxa"/>
            <w:tcBorders>
              <w:top w:val="single" w:sz="4" w:space="0" w:color="4BACC6"/>
            </w:tcBorders>
            <w:tcMar>
              <w:top w:w="0" w:type="dxa"/>
              <w:left w:w="108" w:type="dxa"/>
              <w:bottom w:w="0" w:type="dxa"/>
              <w:right w:w="108" w:type="dxa"/>
            </w:tcMar>
            <w:vAlign w:val="center"/>
          </w:tcPr>
          <w:p w14:paraId="1F2FBCBC" w14:textId="77777777" w:rsidR="00836C68" w:rsidRPr="00F05461" w:rsidRDefault="00836C68" w:rsidP="001E7BC1">
            <w:pPr>
              <w:pStyle w:val="Tablehead"/>
              <w:rPr>
                <w:lang w:val="es-ES"/>
              </w:rPr>
            </w:pPr>
            <w:r w:rsidRPr="00F05461">
              <w:rPr>
                <w:lang w:val="es-ES"/>
              </w:rPr>
              <w:t>Final</w:t>
            </w:r>
          </w:p>
        </w:tc>
        <w:tc>
          <w:tcPr>
            <w:tcW w:w="1255" w:type="dxa"/>
            <w:tcBorders>
              <w:top w:val="single" w:sz="4" w:space="0" w:color="4BACC6"/>
              <w:right w:val="single" w:sz="4" w:space="0" w:color="4BACC6"/>
            </w:tcBorders>
            <w:tcMar>
              <w:top w:w="0" w:type="dxa"/>
              <w:left w:w="108" w:type="dxa"/>
              <w:bottom w:w="0" w:type="dxa"/>
              <w:right w:w="108" w:type="dxa"/>
            </w:tcMar>
            <w:vAlign w:val="center"/>
          </w:tcPr>
          <w:p w14:paraId="05683884" w14:textId="77777777" w:rsidR="00836C68" w:rsidRPr="00F05461" w:rsidRDefault="00836C68" w:rsidP="001E7BC1">
            <w:pPr>
              <w:pStyle w:val="Tablehead"/>
              <w:rPr>
                <w:lang w:val="es-ES"/>
              </w:rPr>
            </w:pPr>
            <w:r w:rsidRPr="00F05461">
              <w:rPr>
                <w:lang w:val="es-ES"/>
              </w:rPr>
              <w:t>Productos producidos</w:t>
            </w:r>
          </w:p>
        </w:tc>
      </w:tr>
      <w:tr w:rsidR="00836C68" w:rsidRPr="00F05461" w14:paraId="6266B3A6"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3E6C6ABF" w14:textId="77777777" w:rsidR="00836C68" w:rsidRPr="00F05461" w:rsidRDefault="00836C68" w:rsidP="001E7BC1">
            <w:pPr>
              <w:pStyle w:val="Tabletext"/>
              <w:rPr>
                <w:lang w:val="es-ES"/>
              </w:rPr>
            </w:pPr>
            <w:r w:rsidRPr="00F05461">
              <w:rPr>
                <w:lang w:val="es-ES"/>
              </w:rPr>
              <w:t>FG-AINN</w:t>
            </w:r>
          </w:p>
        </w:tc>
        <w:tc>
          <w:tcPr>
            <w:tcW w:w="4196" w:type="dxa"/>
            <w:tcMar>
              <w:top w:w="0" w:type="dxa"/>
              <w:left w:w="108" w:type="dxa"/>
              <w:bottom w:w="0" w:type="dxa"/>
              <w:right w:w="108" w:type="dxa"/>
            </w:tcMar>
            <w:vAlign w:val="center"/>
          </w:tcPr>
          <w:p w14:paraId="604808F0" w14:textId="11725611" w:rsidR="00836C68" w:rsidRPr="00F05461" w:rsidRDefault="00B276F6" w:rsidP="001E7BC1">
            <w:pPr>
              <w:pStyle w:val="Tabletext"/>
              <w:rPr>
                <w:lang w:val="es-ES"/>
              </w:rPr>
            </w:pPr>
            <w:r w:rsidRPr="00F05461">
              <w:rPr>
                <w:lang w:val="es-ES"/>
              </w:rPr>
              <w:t>IA</w:t>
            </w:r>
            <w:r w:rsidR="00836C68" w:rsidRPr="00F05461">
              <w:rPr>
                <w:lang w:val="es-ES"/>
              </w:rPr>
              <w:t xml:space="preserve"> nativa para redes de telecomunicaciones (FG-AINN)</w:t>
            </w:r>
          </w:p>
        </w:tc>
        <w:tc>
          <w:tcPr>
            <w:tcW w:w="1133" w:type="dxa"/>
            <w:tcMar>
              <w:top w:w="0" w:type="dxa"/>
              <w:left w:w="108" w:type="dxa"/>
              <w:bottom w:w="0" w:type="dxa"/>
              <w:right w:w="108" w:type="dxa"/>
            </w:tcMar>
            <w:vAlign w:val="center"/>
          </w:tcPr>
          <w:p w14:paraId="468BBA13" w14:textId="77777777" w:rsidR="00836C68" w:rsidRPr="00F05461" w:rsidRDefault="00836C68" w:rsidP="00005200">
            <w:pPr>
              <w:pStyle w:val="Tabletext"/>
              <w:jc w:val="center"/>
              <w:rPr>
                <w:lang w:val="es-ES"/>
              </w:rPr>
            </w:pPr>
            <w:r w:rsidRPr="00F05461">
              <w:rPr>
                <w:lang w:val="es-ES"/>
              </w:rPr>
              <w:t>07/2024</w:t>
            </w:r>
          </w:p>
        </w:tc>
        <w:tc>
          <w:tcPr>
            <w:tcW w:w="1064" w:type="dxa"/>
            <w:tcMar>
              <w:top w:w="0" w:type="dxa"/>
              <w:left w:w="108" w:type="dxa"/>
              <w:bottom w:w="0" w:type="dxa"/>
              <w:right w:w="108" w:type="dxa"/>
            </w:tcMar>
            <w:vAlign w:val="center"/>
          </w:tcPr>
          <w:p w14:paraId="796E5167" w14:textId="77777777" w:rsidR="00836C68" w:rsidRPr="00F05461" w:rsidRDefault="00836C68" w:rsidP="00005200">
            <w:pPr>
              <w:pStyle w:val="Tabletext"/>
              <w:jc w:val="center"/>
              <w:rPr>
                <w:lang w:val="es-ES"/>
              </w:rPr>
            </w:pPr>
            <w:r w:rsidRPr="00F05461">
              <w:rPr>
                <w:lang w:val="es-ES"/>
              </w:rPr>
              <w:t>–</w:t>
            </w:r>
          </w:p>
        </w:tc>
        <w:tc>
          <w:tcPr>
            <w:tcW w:w="1255" w:type="dxa"/>
            <w:tcBorders>
              <w:right w:val="single" w:sz="4" w:space="0" w:color="4BACC6"/>
            </w:tcBorders>
            <w:tcMar>
              <w:top w:w="0" w:type="dxa"/>
              <w:left w:w="108" w:type="dxa"/>
              <w:bottom w:w="0" w:type="dxa"/>
              <w:right w:w="108" w:type="dxa"/>
            </w:tcMar>
            <w:vAlign w:val="center"/>
          </w:tcPr>
          <w:p w14:paraId="1835C8D8" w14:textId="65B8E517" w:rsidR="00836C68" w:rsidRPr="00F05461" w:rsidRDefault="00836C68" w:rsidP="00005200">
            <w:pPr>
              <w:pStyle w:val="Tabletext"/>
              <w:jc w:val="center"/>
              <w:rPr>
                <w:lang w:val="es-ES"/>
              </w:rPr>
            </w:pPr>
            <w:r w:rsidRPr="00F05461">
              <w:rPr>
                <w:lang w:val="es-ES"/>
              </w:rPr>
              <w:t>–</w:t>
            </w:r>
          </w:p>
        </w:tc>
      </w:tr>
      <w:tr w:rsidR="00836C68" w:rsidRPr="00F05461" w14:paraId="4EDAC3E7"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1906D574" w14:textId="77777777" w:rsidR="00836C68" w:rsidRPr="00F05461" w:rsidRDefault="00836C68" w:rsidP="001E7BC1">
            <w:pPr>
              <w:pStyle w:val="Tabletext"/>
              <w:rPr>
                <w:lang w:val="es-ES"/>
              </w:rPr>
            </w:pPr>
            <w:r w:rsidRPr="00F05461">
              <w:rPr>
                <w:lang w:val="es-ES"/>
              </w:rPr>
              <w:t>FG-CD</w:t>
            </w:r>
          </w:p>
        </w:tc>
        <w:tc>
          <w:tcPr>
            <w:tcW w:w="4196" w:type="dxa"/>
            <w:tcMar>
              <w:top w:w="0" w:type="dxa"/>
              <w:left w:w="108" w:type="dxa"/>
              <w:bottom w:w="0" w:type="dxa"/>
              <w:right w:w="108" w:type="dxa"/>
            </w:tcMar>
            <w:vAlign w:val="center"/>
          </w:tcPr>
          <w:p w14:paraId="36377711" w14:textId="77777777" w:rsidR="00836C68" w:rsidRPr="00F05461" w:rsidRDefault="00836C68" w:rsidP="001E7BC1">
            <w:pPr>
              <w:pStyle w:val="Tabletext"/>
              <w:rPr>
                <w:lang w:val="es-ES"/>
              </w:rPr>
            </w:pPr>
            <w:r w:rsidRPr="00F05461">
              <w:rPr>
                <w:lang w:val="es-ES"/>
              </w:rPr>
              <w:t>Modelos de costes para servicios de datos asequibles (FG-CD)</w:t>
            </w:r>
          </w:p>
        </w:tc>
        <w:tc>
          <w:tcPr>
            <w:tcW w:w="1133" w:type="dxa"/>
            <w:tcMar>
              <w:top w:w="0" w:type="dxa"/>
              <w:left w:w="108" w:type="dxa"/>
              <w:bottom w:w="0" w:type="dxa"/>
              <w:right w:w="108" w:type="dxa"/>
            </w:tcMar>
            <w:vAlign w:val="center"/>
          </w:tcPr>
          <w:p w14:paraId="08DF9C4C" w14:textId="77777777" w:rsidR="00836C68" w:rsidRPr="00F05461" w:rsidRDefault="00836C68" w:rsidP="00005200">
            <w:pPr>
              <w:pStyle w:val="Tabletext"/>
              <w:jc w:val="center"/>
              <w:rPr>
                <w:lang w:val="es-ES"/>
              </w:rPr>
            </w:pPr>
            <w:r w:rsidRPr="00F05461">
              <w:rPr>
                <w:lang w:val="es-ES"/>
              </w:rPr>
              <w:t>03/2023</w:t>
            </w:r>
          </w:p>
        </w:tc>
        <w:tc>
          <w:tcPr>
            <w:tcW w:w="1064" w:type="dxa"/>
            <w:tcMar>
              <w:top w:w="0" w:type="dxa"/>
              <w:left w:w="108" w:type="dxa"/>
              <w:bottom w:w="0" w:type="dxa"/>
              <w:right w:w="108" w:type="dxa"/>
            </w:tcMar>
            <w:vAlign w:val="center"/>
          </w:tcPr>
          <w:p w14:paraId="057BD047" w14:textId="77777777" w:rsidR="00836C68" w:rsidRPr="00F05461" w:rsidRDefault="00836C68" w:rsidP="00005200">
            <w:pPr>
              <w:pStyle w:val="Tabletext"/>
              <w:jc w:val="center"/>
              <w:rPr>
                <w:lang w:val="es-ES"/>
              </w:rPr>
            </w:pPr>
            <w:r w:rsidRPr="00F05461">
              <w:rPr>
                <w:lang w:val="es-ES"/>
              </w:rPr>
              <w:t>10/2025</w:t>
            </w:r>
          </w:p>
        </w:tc>
        <w:tc>
          <w:tcPr>
            <w:tcW w:w="1255" w:type="dxa"/>
            <w:tcBorders>
              <w:right w:val="single" w:sz="4" w:space="0" w:color="4BACC6"/>
            </w:tcBorders>
            <w:tcMar>
              <w:top w:w="0" w:type="dxa"/>
              <w:left w:w="108" w:type="dxa"/>
              <w:bottom w:w="0" w:type="dxa"/>
              <w:right w:w="108" w:type="dxa"/>
            </w:tcMar>
            <w:vAlign w:val="center"/>
          </w:tcPr>
          <w:p w14:paraId="79F1DDE6" w14:textId="77777777" w:rsidR="00836C68" w:rsidRPr="00F05461" w:rsidRDefault="00836C68" w:rsidP="00005200">
            <w:pPr>
              <w:pStyle w:val="Tabletext"/>
              <w:jc w:val="center"/>
              <w:rPr>
                <w:lang w:val="es-ES"/>
              </w:rPr>
            </w:pPr>
            <w:r w:rsidRPr="00F05461">
              <w:rPr>
                <w:lang w:val="es-ES"/>
              </w:rPr>
              <w:t>6</w:t>
            </w:r>
          </w:p>
        </w:tc>
      </w:tr>
      <w:tr w:rsidR="00836C68" w:rsidRPr="00F05461" w14:paraId="40ABAE7A"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399A5ECB" w14:textId="77777777" w:rsidR="00836C68" w:rsidRPr="00F05461" w:rsidRDefault="00836C68" w:rsidP="001E7BC1">
            <w:pPr>
              <w:pStyle w:val="Tabletext"/>
              <w:rPr>
                <w:lang w:val="es-ES"/>
              </w:rPr>
            </w:pPr>
            <w:r w:rsidRPr="00F05461">
              <w:rPr>
                <w:lang w:val="es-ES"/>
              </w:rPr>
              <w:t>FG-MV</w:t>
            </w:r>
          </w:p>
        </w:tc>
        <w:tc>
          <w:tcPr>
            <w:tcW w:w="4196" w:type="dxa"/>
            <w:tcMar>
              <w:top w:w="0" w:type="dxa"/>
              <w:left w:w="108" w:type="dxa"/>
              <w:bottom w:w="0" w:type="dxa"/>
              <w:right w:w="108" w:type="dxa"/>
            </w:tcMar>
            <w:vAlign w:val="center"/>
          </w:tcPr>
          <w:p w14:paraId="72335E78" w14:textId="77777777" w:rsidR="00836C68" w:rsidRPr="00F05461" w:rsidRDefault="00836C68" w:rsidP="001E7BC1">
            <w:pPr>
              <w:pStyle w:val="Tabletext"/>
              <w:rPr>
                <w:lang w:val="es-ES"/>
              </w:rPr>
            </w:pPr>
            <w:r w:rsidRPr="00F05461">
              <w:rPr>
                <w:lang w:val="es-ES"/>
              </w:rPr>
              <w:t>Metaverso</w:t>
            </w:r>
          </w:p>
        </w:tc>
        <w:tc>
          <w:tcPr>
            <w:tcW w:w="1133" w:type="dxa"/>
            <w:tcMar>
              <w:top w:w="0" w:type="dxa"/>
              <w:left w:w="108" w:type="dxa"/>
              <w:bottom w:w="0" w:type="dxa"/>
              <w:right w:w="108" w:type="dxa"/>
            </w:tcMar>
            <w:vAlign w:val="center"/>
          </w:tcPr>
          <w:p w14:paraId="37BC21CC" w14:textId="77777777" w:rsidR="00836C68" w:rsidRPr="00F05461" w:rsidRDefault="00836C68" w:rsidP="00005200">
            <w:pPr>
              <w:pStyle w:val="Tabletext"/>
              <w:jc w:val="center"/>
              <w:rPr>
                <w:lang w:val="es-ES"/>
              </w:rPr>
            </w:pPr>
            <w:r w:rsidRPr="00F05461">
              <w:rPr>
                <w:lang w:val="es-ES"/>
              </w:rPr>
              <w:t>12/2022</w:t>
            </w:r>
          </w:p>
        </w:tc>
        <w:tc>
          <w:tcPr>
            <w:tcW w:w="1064" w:type="dxa"/>
            <w:tcMar>
              <w:top w:w="0" w:type="dxa"/>
              <w:left w:w="108" w:type="dxa"/>
              <w:bottom w:w="0" w:type="dxa"/>
              <w:right w:w="108" w:type="dxa"/>
            </w:tcMar>
            <w:vAlign w:val="center"/>
          </w:tcPr>
          <w:p w14:paraId="476960DB" w14:textId="77777777" w:rsidR="00836C68" w:rsidRPr="00F05461" w:rsidRDefault="00836C68" w:rsidP="00005200">
            <w:pPr>
              <w:pStyle w:val="Tabletext"/>
              <w:jc w:val="center"/>
              <w:rPr>
                <w:lang w:val="es-ES"/>
              </w:rPr>
            </w:pPr>
            <w:r w:rsidRPr="00F05461">
              <w:rPr>
                <w:lang w:val="es-ES"/>
              </w:rPr>
              <w:t>06/2024</w:t>
            </w:r>
          </w:p>
        </w:tc>
        <w:tc>
          <w:tcPr>
            <w:tcW w:w="1255" w:type="dxa"/>
            <w:tcBorders>
              <w:right w:val="single" w:sz="4" w:space="0" w:color="4BACC6"/>
            </w:tcBorders>
            <w:tcMar>
              <w:top w:w="0" w:type="dxa"/>
              <w:left w:w="108" w:type="dxa"/>
              <w:bottom w:w="0" w:type="dxa"/>
              <w:right w:w="108" w:type="dxa"/>
            </w:tcMar>
            <w:vAlign w:val="center"/>
          </w:tcPr>
          <w:p w14:paraId="30B591EB" w14:textId="77777777" w:rsidR="00836C68" w:rsidRPr="00F05461" w:rsidRDefault="00836C68" w:rsidP="00005200">
            <w:pPr>
              <w:pStyle w:val="Tabletext"/>
              <w:jc w:val="center"/>
              <w:rPr>
                <w:lang w:val="es-ES"/>
              </w:rPr>
            </w:pPr>
            <w:r w:rsidRPr="00F05461">
              <w:rPr>
                <w:lang w:val="es-ES"/>
              </w:rPr>
              <w:t>52</w:t>
            </w:r>
          </w:p>
        </w:tc>
      </w:tr>
      <w:tr w:rsidR="00836C68" w:rsidRPr="00F05461" w14:paraId="6A2CDB15"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15514A73" w14:textId="77777777" w:rsidR="00836C68" w:rsidRPr="00F05461" w:rsidRDefault="00836C68" w:rsidP="001E7BC1">
            <w:pPr>
              <w:pStyle w:val="Tabletext"/>
              <w:rPr>
                <w:lang w:val="es-ES"/>
              </w:rPr>
            </w:pPr>
            <w:r w:rsidRPr="00F05461">
              <w:rPr>
                <w:lang w:val="es-ES"/>
              </w:rPr>
              <w:t>FG-AI4A</w:t>
            </w:r>
          </w:p>
        </w:tc>
        <w:tc>
          <w:tcPr>
            <w:tcW w:w="4196" w:type="dxa"/>
            <w:tcMar>
              <w:top w:w="0" w:type="dxa"/>
              <w:left w:w="108" w:type="dxa"/>
              <w:bottom w:w="0" w:type="dxa"/>
              <w:right w:w="108" w:type="dxa"/>
            </w:tcMar>
            <w:vAlign w:val="center"/>
          </w:tcPr>
          <w:p w14:paraId="6AA1E63B" w14:textId="77777777" w:rsidR="00836C68" w:rsidRPr="00F05461" w:rsidRDefault="00836C68" w:rsidP="001E7BC1">
            <w:pPr>
              <w:pStyle w:val="Tabletext"/>
              <w:rPr>
                <w:lang w:val="es-ES"/>
              </w:rPr>
            </w:pPr>
            <w:r w:rsidRPr="00F05461">
              <w:rPr>
                <w:lang w:val="es-ES"/>
              </w:rPr>
              <w:t>IA e IoT para la agricultura digital</w:t>
            </w:r>
          </w:p>
        </w:tc>
        <w:tc>
          <w:tcPr>
            <w:tcW w:w="1133" w:type="dxa"/>
            <w:tcMar>
              <w:top w:w="0" w:type="dxa"/>
              <w:left w:w="108" w:type="dxa"/>
              <w:bottom w:w="0" w:type="dxa"/>
              <w:right w:w="108" w:type="dxa"/>
            </w:tcMar>
            <w:vAlign w:val="center"/>
          </w:tcPr>
          <w:p w14:paraId="600A5812" w14:textId="77777777" w:rsidR="00836C68" w:rsidRPr="00F05461" w:rsidRDefault="00836C68" w:rsidP="00005200">
            <w:pPr>
              <w:pStyle w:val="Tabletext"/>
              <w:jc w:val="center"/>
              <w:rPr>
                <w:lang w:val="es-ES"/>
              </w:rPr>
            </w:pPr>
            <w:r w:rsidRPr="00F05461">
              <w:rPr>
                <w:lang w:val="es-ES"/>
              </w:rPr>
              <w:t>10/2021</w:t>
            </w:r>
          </w:p>
        </w:tc>
        <w:tc>
          <w:tcPr>
            <w:tcW w:w="1064" w:type="dxa"/>
            <w:tcMar>
              <w:top w:w="0" w:type="dxa"/>
              <w:left w:w="108" w:type="dxa"/>
              <w:bottom w:w="0" w:type="dxa"/>
              <w:right w:w="108" w:type="dxa"/>
            </w:tcMar>
            <w:vAlign w:val="center"/>
          </w:tcPr>
          <w:p w14:paraId="07E1A74C" w14:textId="77777777" w:rsidR="00836C68" w:rsidRPr="00F05461" w:rsidRDefault="00836C68" w:rsidP="00005200">
            <w:pPr>
              <w:pStyle w:val="Tabletext"/>
              <w:jc w:val="center"/>
              <w:rPr>
                <w:lang w:val="es-ES"/>
              </w:rPr>
            </w:pPr>
            <w:r w:rsidRPr="00F05461">
              <w:rPr>
                <w:lang w:val="es-ES"/>
              </w:rPr>
              <w:t>06/2024</w:t>
            </w:r>
          </w:p>
        </w:tc>
        <w:tc>
          <w:tcPr>
            <w:tcW w:w="1255" w:type="dxa"/>
            <w:tcBorders>
              <w:right w:val="single" w:sz="4" w:space="0" w:color="4BACC6"/>
            </w:tcBorders>
            <w:tcMar>
              <w:top w:w="0" w:type="dxa"/>
              <w:left w:w="108" w:type="dxa"/>
              <w:bottom w:w="0" w:type="dxa"/>
              <w:right w:w="108" w:type="dxa"/>
            </w:tcMar>
            <w:vAlign w:val="center"/>
          </w:tcPr>
          <w:p w14:paraId="76DBD2A4" w14:textId="77777777" w:rsidR="00836C68" w:rsidRPr="00F05461" w:rsidRDefault="00836C68" w:rsidP="00005200">
            <w:pPr>
              <w:pStyle w:val="Tabletext"/>
              <w:jc w:val="center"/>
              <w:rPr>
                <w:lang w:val="es-ES"/>
              </w:rPr>
            </w:pPr>
            <w:r w:rsidRPr="00F05461">
              <w:rPr>
                <w:lang w:val="es-ES"/>
              </w:rPr>
              <w:t>5</w:t>
            </w:r>
          </w:p>
        </w:tc>
      </w:tr>
      <w:tr w:rsidR="00836C68" w:rsidRPr="00F05461" w14:paraId="10CA6E20"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55DD980F" w14:textId="77777777" w:rsidR="00836C68" w:rsidRPr="00F05461" w:rsidRDefault="00836C68" w:rsidP="001E7BC1">
            <w:pPr>
              <w:pStyle w:val="Tabletext"/>
              <w:rPr>
                <w:lang w:val="es-ES"/>
              </w:rPr>
            </w:pPr>
            <w:r w:rsidRPr="00F05461">
              <w:rPr>
                <w:lang w:val="es-ES"/>
              </w:rPr>
              <w:t>FG-TBFxG</w:t>
            </w:r>
          </w:p>
        </w:tc>
        <w:tc>
          <w:tcPr>
            <w:tcW w:w="4196" w:type="dxa"/>
            <w:tcMar>
              <w:top w:w="0" w:type="dxa"/>
              <w:left w:w="108" w:type="dxa"/>
              <w:bottom w:w="0" w:type="dxa"/>
              <w:right w:w="108" w:type="dxa"/>
            </w:tcMar>
            <w:vAlign w:val="center"/>
          </w:tcPr>
          <w:p w14:paraId="311F52B7" w14:textId="77777777" w:rsidR="00836C68" w:rsidRPr="00F05461" w:rsidRDefault="00836C68" w:rsidP="001E7BC1">
            <w:pPr>
              <w:pStyle w:val="Tabletext"/>
              <w:rPr>
                <w:lang w:val="es-ES"/>
              </w:rPr>
            </w:pPr>
            <w:r w:rsidRPr="00F05461">
              <w:rPr>
                <w:lang w:val="es-ES"/>
              </w:rPr>
              <w:t>Federaciones de bancos de pruebas para las IMT-2020 y sistemas posteriores</w:t>
            </w:r>
          </w:p>
        </w:tc>
        <w:tc>
          <w:tcPr>
            <w:tcW w:w="1133" w:type="dxa"/>
            <w:tcMar>
              <w:top w:w="0" w:type="dxa"/>
              <w:left w:w="108" w:type="dxa"/>
              <w:bottom w:w="0" w:type="dxa"/>
              <w:right w:w="108" w:type="dxa"/>
            </w:tcMar>
            <w:vAlign w:val="center"/>
          </w:tcPr>
          <w:p w14:paraId="19B4F31A" w14:textId="77777777" w:rsidR="00836C68" w:rsidRPr="00F05461" w:rsidRDefault="00836C68" w:rsidP="00005200">
            <w:pPr>
              <w:pStyle w:val="Tabletext"/>
              <w:jc w:val="center"/>
              <w:rPr>
                <w:lang w:val="es-ES"/>
              </w:rPr>
            </w:pPr>
            <w:r w:rsidRPr="00F05461">
              <w:rPr>
                <w:lang w:val="es-ES"/>
              </w:rPr>
              <w:t>12/2021</w:t>
            </w:r>
          </w:p>
        </w:tc>
        <w:tc>
          <w:tcPr>
            <w:tcW w:w="1064" w:type="dxa"/>
            <w:tcMar>
              <w:top w:w="0" w:type="dxa"/>
              <w:left w:w="108" w:type="dxa"/>
              <w:bottom w:w="0" w:type="dxa"/>
              <w:right w:w="108" w:type="dxa"/>
            </w:tcMar>
            <w:vAlign w:val="center"/>
          </w:tcPr>
          <w:p w14:paraId="4DDEDDE6" w14:textId="77777777" w:rsidR="00836C68" w:rsidRPr="00F05461" w:rsidRDefault="00836C68" w:rsidP="00005200">
            <w:pPr>
              <w:pStyle w:val="Tabletext"/>
              <w:jc w:val="center"/>
              <w:rPr>
                <w:lang w:val="es-ES"/>
              </w:rPr>
            </w:pPr>
            <w:r w:rsidRPr="00F05461">
              <w:rPr>
                <w:lang w:val="es-ES"/>
              </w:rPr>
              <w:t>04/2024</w:t>
            </w:r>
          </w:p>
        </w:tc>
        <w:tc>
          <w:tcPr>
            <w:tcW w:w="1255" w:type="dxa"/>
            <w:tcBorders>
              <w:right w:val="single" w:sz="4" w:space="0" w:color="4BACC6"/>
            </w:tcBorders>
            <w:tcMar>
              <w:top w:w="0" w:type="dxa"/>
              <w:left w:w="108" w:type="dxa"/>
              <w:bottom w:w="0" w:type="dxa"/>
              <w:right w:w="108" w:type="dxa"/>
            </w:tcMar>
            <w:vAlign w:val="center"/>
          </w:tcPr>
          <w:p w14:paraId="79F395E5" w14:textId="77777777" w:rsidR="00836C68" w:rsidRPr="00F05461" w:rsidRDefault="00836C68" w:rsidP="00005200">
            <w:pPr>
              <w:pStyle w:val="Tabletext"/>
              <w:jc w:val="center"/>
              <w:rPr>
                <w:lang w:val="es-ES"/>
              </w:rPr>
            </w:pPr>
            <w:r w:rsidRPr="00F05461">
              <w:rPr>
                <w:lang w:val="es-ES"/>
              </w:rPr>
              <w:t>8</w:t>
            </w:r>
          </w:p>
        </w:tc>
      </w:tr>
      <w:tr w:rsidR="00836C68" w:rsidRPr="00F05461" w14:paraId="6031011E"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40EF85E3" w14:textId="77777777" w:rsidR="00836C68" w:rsidRPr="00F05461" w:rsidRDefault="00836C68" w:rsidP="001E7BC1">
            <w:pPr>
              <w:pStyle w:val="Tabletext"/>
              <w:rPr>
                <w:lang w:val="es-ES"/>
              </w:rPr>
            </w:pPr>
            <w:r w:rsidRPr="00F05461">
              <w:rPr>
                <w:lang w:val="es-ES"/>
              </w:rPr>
              <w:t>FG-AI4NDM</w:t>
            </w:r>
          </w:p>
        </w:tc>
        <w:tc>
          <w:tcPr>
            <w:tcW w:w="4196" w:type="dxa"/>
            <w:tcMar>
              <w:top w:w="0" w:type="dxa"/>
              <w:left w:w="108" w:type="dxa"/>
              <w:bottom w:w="0" w:type="dxa"/>
              <w:right w:w="108" w:type="dxa"/>
            </w:tcMar>
            <w:vAlign w:val="center"/>
          </w:tcPr>
          <w:p w14:paraId="3FF01B26" w14:textId="403C01F5" w:rsidR="00836C68" w:rsidRPr="00F05461" w:rsidRDefault="000A4AF2" w:rsidP="001E7BC1">
            <w:pPr>
              <w:pStyle w:val="Tabletext"/>
              <w:rPr>
                <w:lang w:val="es-ES"/>
              </w:rPr>
            </w:pPr>
            <w:r w:rsidRPr="00F05461">
              <w:rPr>
                <w:lang w:val="es-ES"/>
              </w:rPr>
              <w:t>I</w:t>
            </w:r>
            <w:r w:rsidR="00B276F6" w:rsidRPr="00F05461">
              <w:rPr>
                <w:lang w:val="es-ES"/>
              </w:rPr>
              <w:t>A</w:t>
            </w:r>
            <w:r w:rsidR="00836C68" w:rsidRPr="00F05461">
              <w:rPr>
                <w:lang w:val="es-ES"/>
              </w:rPr>
              <w:t xml:space="preserve"> para la gestión de catástrofes naturales</w:t>
            </w:r>
          </w:p>
        </w:tc>
        <w:tc>
          <w:tcPr>
            <w:tcW w:w="1133" w:type="dxa"/>
            <w:tcMar>
              <w:top w:w="0" w:type="dxa"/>
              <w:left w:w="108" w:type="dxa"/>
              <w:bottom w:w="0" w:type="dxa"/>
              <w:right w:w="108" w:type="dxa"/>
            </w:tcMar>
            <w:vAlign w:val="center"/>
          </w:tcPr>
          <w:p w14:paraId="794E57CB" w14:textId="77777777" w:rsidR="00836C68" w:rsidRPr="00F05461" w:rsidRDefault="00836C68" w:rsidP="00005200">
            <w:pPr>
              <w:pStyle w:val="Tabletext"/>
              <w:jc w:val="center"/>
              <w:rPr>
                <w:lang w:val="es-ES"/>
              </w:rPr>
            </w:pPr>
            <w:r w:rsidRPr="00F05461">
              <w:rPr>
                <w:lang w:val="es-ES"/>
              </w:rPr>
              <w:t>12/2020</w:t>
            </w:r>
          </w:p>
        </w:tc>
        <w:tc>
          <w:tcPr>
            <w:tcW w:w="1064" w:type="dxa"/>
            <w:tcMar>
              <w:top w:w="0" w:type="dxa"/>
              <w:left w:w="108" w:type="dxa"/>
              <w:bottom w:w="0" w:type="dxa"/>
              <w:right w:w="108" w:type="dxa"/>
            </w:tcMar>
            <w:vAlign w:val="center"/>
          </w:tcPr>
          <w:p w14:paraId="4D8B0287" w14:textId="77777777" w:rsidR="00836C68" w:rsidRPr="00F05461" w:rsidRDefault="00836C68" w:rsidP="00005200">
            <w:pPr>
              <w:pStyle w:val="Tabletext"/>
              <w:jc w:val="center"/>
              <w:rPr>
                <w:lang w:val="es-ES"/>
              </w:rPr>
            </w:pPr>
            <w:r w:rsidRPr="00F05461">
              <w:rPr>
                <w:lang w:val="es-ES"/>
              </w:rPr>
              <w:t>03/2024</w:t>
            </w:r>
          </w:p>
        </w:tc>
        <w:tc>
          <w:tcPr>
            <w:tcW w:w="1255" w:type="dxa"/>
            <w:tcBorders>
              <w:right w:val="single" w:sz="4" w:space="0" w:color="4BACC6"/>
            </w:tcBorders>
            <w:tcMar>
              <w:top w:w="0" w:type="dxa"/>
              <w:left w:w="108" w:type="dxa"/>
              <w:bottom w:w="0" w:type="dxa"/>
              <w:right w:w="108" w:type="dxa"/>
            </w:tcMar>
            <w:vAlign w:val="center"/>
          </w:tcPr>
          <w:p w14:paraId="68ECD194" w14:textId="77777777" w:rsidR="00836C68" w:rsidRPr="00F05461" w:rsidRDefault="00836C68" w:rsidP="00005200">
            <w:pPr>
              <w:pStyle w:val="Tabletext"/>
              <w:jc w:val="center"/>
              <w:rPr>
                <w:lang w:val="es-ES"/>
              </w:rPr>
            </w:pPr>
            <w:r w:rsidRPr="00F05461">
              <w:rPr>
                <w:lang w:val="es-ES"/>
              </w:rPr>
              <w:t>5</w:t>
            </w:r>
          </w:p>
        </w:tc>
      </w:tr>
      <w:tr w:rsidR="00836C68" w:rsidRPr="00F05461" w14:paraId="28B27EF1"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5304BA62" w14:textId="77777777" w:rsidR="00836C68" w:rsidRPr="00F05461" w:rsidRDefault="00836C68" w:rsidP="001E7BC1">
            <w:pPr>
              <w:pStyle w:val="Tabletext"/>
              <w:rPr>
                <w:lang w:val="es-ES"/>
              </w:rPr>
            </w:pPr>
            <w:r w:rsidRPr="00F05461">
              <w:rPr>
                <w:lang w:val="es-ES"/>
              </w:rPr>
              <w:t>FG-AN</w:t>
            </w:r>
          </w:p>
        </w:tc>
        <w:tc>
          <w:tcPr>
            <w:tcW w:w="4196" w:type="dxa"/>
            <w:tcMar>
              <w:top w:w="0" w:type="dxa"/>
              <w:left w:w="108" w:type="dxa"/>
              <w:bottom w:w="0" w:type="dxa"/>
              <w:right w:w="108" w:type="dxa"/>
            </w:tcMar>
            <w:vAlign w:val="center"/>
          </w:tcPr>
          <w:p w14:paraId="776F1D50" w14:textId="77777777" w:rsidR="00836C68" w:rsidRPr="00F05461" w:rsidRDefault="00836C68" w:rsidP="001E7BC1">
            <w:pPr>
              <w:pStyle w:val="Tabletext"/>
              <w:rPr>
                <w:lang w:val="es-ES"/>
              </w:rPr>
            </w:pPr>
            <w:r w:rsidRPr="00F05461">
              <w:rPr>
                <w:lang w:val="es-ES"/>
              </w:rPr>
              <w:t>Redes autónomas</w:t>
            </w:r>
          </w:p>
        </w:tc>
        <w:tc>
          <w:tcPr>
            <w:tcW w:w="1133" w:type="dxa"/>
            <w:tcMar>
              <w:top w:w="0" w:type="dxa"/>
              <w:left w:w="108" w:type="dxa"/>
              <w:bottom w:w="0" w:type="dxa"/>
              <w:right w:w="108" w:type="dxa"/>
            </w:tcMar>
            <w:vAlign w:val="center"/>
          </w:tcPr>
          <w:p w14:paraId="7CC46C7C" w14:textId="77777777" w:rsidR="00836C68" w:rsidRPr="00F05461" w:rsidRDefault="00836C68" w:rsidP="00005200">
            <w:pPr>
              <w:pStyle w:val="Tabletext"/>
              <w:jc w:val="center"/>
              <w:rPr>
                <w:lang w:val="es-ES"/>
              </w:rPr>
            </w:pPr>
            <w:r w:rsidRPr="00F05461">
              <w:rPr>
                <w:lang w:val="es-ES"/>
              </w:rPr>
              <w:t>12/2020</w:t>
            </w:r>
          </w:p>
        </w:tc>
        <w:tc>
          <w:tcPr>
            <w:tcW w:w="1064" w:type="dxa"/>
            <w:tcMar>
              <w:top w:w="0" w:type="dxa"/>
              <w:left w:w="108" w:type="dxa"/>
              <w:bottom w:w="0" w:type="dxa"/>
              <w:right w:w="108" w:type="dxa"/>
            </w:tcMar>
            <w:vAlign w:val="center"/>
          </w:tcPr>
          <w:p w14:paraId="1682DCF1" w14:textId="77777777" w:rsidR="00836C68" w:rsidRPr="00F05461" w:rsidRDefault="00836C68" w:rsidP="00005200">
            <w:pPr>
              <w:pStyle w:val="Tabletext"/>
              <w:jc w:val="center"/>
              <w:rPr>
                <w:lang w:val="es-ES"/>
              </w:rPr>
            </w:pPr>
            <w:r w:rsidRPr="00F05461">
              <w:rPr>
                <w:lang w:val="es-ES"/>
              </w:rPr>
              <w:t>03/2024</w:t>
            </w:r>
          </w:p>
        </w:tc>
        <w:tc>
          <w:tcPr>
            <w:tcW w:w="1255" w:type="dxa"/>
            <w:tcBorders>
              <w:right w:val="single" w:sz="4" w:space="0" w:color="4BACC6"/>
            </w:tcBorders>
            <w:tcMar>
              <w:top w:w="0" w:type="dxa"/>
              <w:left w:w="108" w:type="dxa"/>
              <w:bottom w:w="0" w:type="dxa"/>
              <w:right w:w="108" w:type="dxa"/>
            </w:tcMar>
            <w:vAlign w:val="center"/>
          </w:tcPr>
          <w:p w14:paraId="3562C1D3" w14:textId="77777777" w:rsidR="00836C68" w:rsidRPr="00F05461" w:rsidRDefault="00836C68" w:rsidP="00005200">
            <w:pPr>
              <w:pStyle w:val="Tabletext"/>
              <w:jc w:val="center"/>
              <w:rPr>
                <w:lang w:val="es-ES"/>
              </w:rPr>
            </w:pPr>
            <w:r w:rsidRPr="00F05461">
              <w:rPr>
                <w:lang w:val="es-ES"/>
              </w:rPr>
              <w:t>9</w:t>
            </w:r>
          </w:p>
        </w:tc>
      </w:tr>
      <w:tr w:rsidR="00836C68" w:rsidRPr="00F05461" w14:paraId="08107CF4"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62BC9B5F" w14:textId="77777777" w:rsidR="00836C68" w:rsidRPr="00F05461" w:rsidRDefault="00836C68" w:rsidP="001E7BC1">
            <w:pPr>
              <w:pStyle w:val="Tabletext"/>
              <w:rPr>
                <w:lang w:val="es-ES"/>
              </w:rPr>
            </w:pPr>
            <w:r w:rsidRPr="00F05461">
              <w:rPr>
                <w:lang w:val="es-ES"/>
              </w:rPr>
              <w:t>FG-AI4H</w:t>
            </w:r>
          </w:p>
        </w:tc>
        <w:tc>
          <w:tcPr>
            <w:tcW w:w="4196" w:type="dxa"/>
            <w:tcMar>
              <w:top w:w="0" w:type="dxa"/>
              <w:left w:w="108" w:type="dxa"/>
              <w:bottom w:w="0" w:type="dxa"/>
              <w:right w:w="108" w:type="dxa"/>
            </w:tcMar>
            <w:vAlign w:val="center"/>
          </w:tcPr>
          <w:p w14:paraId="78A171B6" w14:textId="57AFDF3B" w:rsidR="00836C68" w:rsidRPr="00F05461" w:rsidRDefault="00836C68" w:rsidP="001E7BC1">
            <w:pPr>
              <w:pStyle w:val="Tabletext"/>
              <w:rPr>
                <w:lang w:val="es-ES"/>
              </w:rPr>
            </w:pPr>
            <w:r w:rsidRPr="00F05461">
              <w:rPr>
                <w:lang w:val="es-ES"/>
              </w:rPr>
              <w:t>I</w:t>
            </w:r>
            <w:r w:rsidR="00B276F6" w:rsidRPr="00F05461">
              <w:rPr>
                <w:lang w:val="es-ES"/>
              </w:rPr>
              <w:t>A</w:t>
            </w:r>
            <w:r w:rsidRPr="00F05461">
              <w:rPr>
                <w:lang w:val="es-ES"/>
              </w:rPr>
              <w:t xml:space="preserve"> para la salud</w:t>
            </w:r>
          </w:p>
        </w:tc>
        <w:tc>
          <w:tcPr>
            <w:tcW w:w="1133" w:type="dxa"/>
            <w:tcMar>
              <w:top w:w="0" w:type="dxa"/>
              <w:left w:w="108" w:type="dxa"/>
              <w:bottom w:w="0" w:type="dxa"/>
              <w:right w:w="108" w:type="dxa"/>
            </w:tcMar>
            <w:vAlign w:val="center"/>
          </w:tcPr>
          <w:p w14:paraId="64944A07" w14:textId="77777777" w:rsidR="00836C68" w:rsidRPr="00F05461" w:rsidRDefault="00836C68" w:rsidP="00005200">
            <w:pPr>
              <w:pStyle w:val="Tabletext"/>
              <w:jc w:val="center"/>
              <w:rPr>
                <w:lang w:val="es-ES"/>
              </w:rPr>
            </w:pPr>
            <w:r w:rsidRPr="00F05461">
              <w:rPr>
                <w:lang w:val="es-ES"/>
              </w:rPr>
              <w:t>07/2018</w:t>
            </w:r>
          </w:p>
        </w:tc>
        <w:tc>
          <w:tcPr>
            <w:tcW w:w="1064" w:type="dxa"/>
            <w:tcMar>
              <w:top w:w="0" w:type="dxa"/>
              <w:left w:w="108" w:type="dxa"/>
              <w:bottom w:w="0" w:type="dxa"/>
              <w:right w:w="108" w:type="dxa"/>
            </w:tcMar>
            <w:vAlign w:val="center"/>
          </w:tcPr>
          <w:p w14:paraId="27E8D293" w14:textId="77777777" w:rsidR="00836C68" w:rsidRPr="00F05461" w:rsidRDefault="00836C68" w:rsidP="00005200">
            <w:pPr>
              <w:pStyle w:val="Tabletext"/>
              <w:jc w:val="center"/>
              <w:rPr>
                <w:lang w:val="es-ES"/>
              </w:rPr>
            </w:pPr>
            <w:r w:rsidRPr="00F05461">
              <w:rPr>
                <w:lang w:val="es-ES"/>
              </w:rPr>
              <w:t>09/2023</w:t>
            </w:r>
          </w:p>
        </w:tc>
        <w:tc>
          <w:tcPr>
            <w:tcW w:w="1255" w:type="dxa"/>
            <w:tcBorders>
              <w:right w:val="single" w:sz="4" w:space="0" w:color="4BACC6"/>
            </w:tcBorders>
            <w:tcMar>
              <w:top w:w="0" w:type="dxa"/>
              <w:left w:w="108" w:type="dxa"/>
              <w:bottom w:w="0" w:type="dxa"/>
              <w:right w:w="108" w:type="dxa"/>
            </w:tcMar>
            <w:vAlign w:val="center"/>
          </w:tcPr>
          <w:p w14:paraId="29E317B0" w14:textId="77777777" w:rsidR="00836C68" w:rsidRPr="00F05461" w:rsidRDefault="00836C68" w:rsidP="00005200">
            <w:pPr>
              <w:pStyle w:val="Tabletext"/>
              <w:jc w:val="center"/>
              <w:rPr>
                <w:lang w:val="es-ES"/>
              </w:rPr>
            </w:pPr>
            <w:r w:rsidRPr="00F05461">
              <w:rPr>
                <w:lang w:val="es-ES"/>
              </w:rPr>
              <w:t>36</w:t>
            </w:r>
          </w:p>
        </w:tc>
      </w:tr>
      <w:tr w:rsidR="00836C68" w:rsidRPr="00F05461" w14:paraId="6D3BDEC3"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7B965116" w14:textId="77777777" w:rsidR="00836C68" w:rsidRPr="00F05461" w:rsidRDefault="00836C68" w:rsidP="001E7BC1">
            <w:pPr>
              <w:pStyle w:val="Tabletext"/>
              <w:rPr>
                <w:lang w:val="es-ES"/>
              </w:rPr>
            </w:pPr>
            <w:r w:rsidRPr="00F05461">
              <w:rPr>
                <w:lang w:val="es-ES"/>
              </w:rPr>
              <w:t>FG-AI4EE</w:t>
            </w:r>
          </w:p>
        </w:tc>
        <w:tc>
          <w:tcPr>
            <w:tcW w:w="4196" w:type="dxa"/>
            <w:tcMar>
              <w:top w:w="0" w:type="dxa"/>
              <w:left w:w="108" w:type="dxa"/>
              <w:bottom w:w="0" w:type="dxa"/>
              <w:right w:w="108" w:type="dxa"/>
            </w:tcMar>
            <w:vAlign w:val="center"/>
          </w:tcPr>
          <w:p w14:paraId="50B1BEE3" w14:textId="22E0731C" w:rsidR="00836C68" w:rsidRPr="00F05461" w:rsidRDefault="00836C68" w:rsidP="001E7BC1">
            <w:pPr>
              <w:pStyle w:val="Tabletext"/>
              <w:rPr>
                <w:lang w:val="es-ES"/>
              </w:rPr>
            </w:pPr>
            <w:r w:rsidRPr="00F05461">
              <w:rPr>
                <w:lang w:val="es-ES"/>
              </w:rPr>
              <w:t>Eficiencia ambiental para la</w:t>
            </w:r>
            <w:r w:rsidR="000A4AF2" w:rsidRPr="00F05461">
              <w:rPr>
                <w:lang w:val="es-ES"/>
              </w:rPr>
              <w:t xml:space="preserve"> </w:t>
            </w:r>
            <w:r w:rsidR="00B276F6" w:rsidRPr="00F05461">
              <w:rPr>
                <w:lang w:val="es-ES"/>
              </w:rPr>
              <w:t>IA</w:t>
            </w:r>
            <w:r w:rsidRPr="00F05461">
              <w:rPr>
                <w:lang w:val="es-ES"/>
              </w:rPr>
              <w:t xml:space="preserve"> y otras tecnologías incipientes</w:t>
            </w:r>
          </w:p>
        </w:tc>
        <w:tc>
          <w:tcPr>
            <w:tcW w:w="1133" w:type="dxa"/>
            <w:tcMar>
              <w:top w:w="0" w:type="dxa"/>
              <w:left w:w="108" w:type="dxa"/>
              <w:bottom w:w="0" w:type="dxa"/>
              <w:right w:w="108" w:type="dxa"/>
            </w:tcMar>
            <w:vAlign w:val="center"/>
          </w:tcPr>
          <w:p w14:paraId="4DF4FB15" w14:textId="77777777" w:rsidR="00836C68" w:rsidRPr="00F05461" w:rsidRDefault="00836C68" w:rsidP="00005200">
            <w:pPr>
              <w:pStyle w:val="Tabletext"/>
              <w:jc w:val="center"/>
              <w:rPr>
                <w:lang w:val="es-ES"/>
              </w:rPr>
            </w:pPr>
            <w:r w:rsidRPr="00F05461">
              <w:rPr>
                <w:lang w:val="es-ES"/>
              </w:rPr>
              <w:t>05/2019</w:t>
            </w:r>
          </w:p>
        </w:tc>
        <w:tc>
          <w:tcPr>
            <w:tcW w:w="1064" w:type="dxa"/>
            <w:tcMar>
              <w:top w:w="0" w:type="dxa"/>
              <w:left w:w="108" w:type="dxa"/>
              <w:bottom w:w="0" w:type="dxa"/>
              <w:right w:w="108" w:type="dxa"/>
            </w:tcMar>
            <w:vAlign w:val="center"/>
          </w:tcPr>
          <w:p w14:paraId="4A512EB1" w14:textId="77777777" w:rsidR="00836C68" w:rsidRPr="00F05461" w:rsidRDefault="00836C68" w:rsidP="00005200">
            <w:pPr>
              <w:pStyle w:val="Tabletext"/>
              <w:jc w:val="center"/>
              <w:rPr>
                <w:lang w:val="es-ES"/>
              </w:rPr>
            </w:pPr>
            <w:r w:rsidRPr="00F05461">
              <w:rPr>
                <w:lang w:val="es-ES"/>
              </w:rPr>
              <w:t>12/2022</w:t>
            </w:r>
          </w:p>
        </w:tc>
        <w:tc>
          <w:tcPr>
            <w:tcW w:w="1255" w:type="dxa"/>
            <w:tcBorders>
              <w:right w:val="single" w:sz="4" w:space="0" w:color="4BACC6"/>
            </w:tcBorders>
            <w:tcMar>
              <w:top w:w="0" w:type="dxa"/>
              <w:left w:w="108" w:type="dxa"/>
              <w:bottom w:w="0" w:type="dxa"/>
              <w:right w:w="108" w:type="dxa"/>
            </w:tcMar>
            <w:vAlign w:val="center"/>
          </w:tcPr>
          <w:p w14:paraId="277922E1" w14:textId="77777777" w:rsidR="00836C68" w:rsidRPr="00F05461" w:rsidRDefault="00836C68" w:rsidP="00005200">
            <w:pPr>
              <w:pStyle w:val="Tabletext"/>
              <w:jc w:val="center"/>
              <w:rPr>
                <w:lang w:val="es-ES"/>
              </w:rPr>
            </w:pPr>
            <w:r w:rsidRPr="00F05461">
              <w:rPr>
                <w:lang w:val="es-ES"/>
              </w:rPr>
              <w:t>20</w:t>
            </w:r>
          </w:p>
        </w:tc>
      </w:tr>
      <w:tr w:rsidR="00836C68" w:rsidRPr="00F05461" w14:paraId="29BDC6A8" w14:textId="77777777" w:rsidTr="00726DA4">
        <w:trPr>
          <w:jc w:val="center"/>
        </w:trPr>
        <w:tc>
          <w:tcPr>
            <w:tcW w:w="1413" w:type="dxa"/>
            <w:tcBorders>
              <w:left w:val="single" w:sz="4" w:space="0" w:color="4BACC6"/>
            </w:tcBorders>
            <w:tcMar>
              <w:top w:w="0" w:type="dxa"/>
              <w:left w:w="108" w:type="dxa"/>
              <w:bottom w:w="0" w:type="dxa"/>
              <w:right w:w="108" w:type="dxa"/>
            </w:tcMar>
            <w:vAlign w:val="center"/>
          </w:tcPr>
          <w:p w14:paraId="2CDDD48E" w14:textId="77777777" w:rsidR="00836C68" w:rsidRPr="00F05461" w:rsidRDefault="00836C68" w:rsidP="001E7BC1">
            <w:pPr>
              <w:pStyle w:val="Tabletext"/>
              <w:rPr>
                <w:lang w:val="es-ES"/>
              </w:rPr>
            </w:pPr>
            <w:r w:rsidRPr="00F05461">
              <w:rPr>
                <w:lang w:val="es-ES"/>
              </w:rPr>
              <w:t>FG-AI4AD</w:t>
            </w:r>
          </w:p>
        </w:tc>
        <w:tc>
          <w:tcPr>
            <w:tcW w:w="4196" w:type="dxa"/>
            <w:tcMar>
              <w:top w:w="0" w:type="dxa"/>
              <w:left w:w="108" w:type="dxa"/>
              <w:bottom w:w="0" w:type="dxa"/>
              <w:right w:w="108" w:type="dxa"/>
            </w:tcMar>
            <w:vAlign w:val="center"/>
          </w:tcPr>
          <w:p w14:paraId="55300CD9" w14:textId="201C91E1" w:rsidR="00836C68" w:rsidRPr="00F05461" w:rsidRDefault="00B276F6" w:rsidP="001E7BC1">
            <w:pPr>
              <w:pStyle w:val="Tabletext"/>
              <w:rPr>
                <w:lang w:val="es-ES"/>
              </w:rPr>
            </w:pPr>
            <w:r w:rsidRPr="00F05461">
              <w:rPr>
                <w:lang w:val="es-ES"/>
              </w:rPr>
              <w:t>IA</w:t>
            </w:r>
            <w:r w:rsidR="00836C68" w:rsidRPr="00F05461">
              <w:rPr>
                <w:lang w:val="es-ES"/>
              </w:rPr>
              <w:t xml:space="preserve"> para la conducción autónoma y asistida</w:t>
            </w:r>
          </w:p>
        </w:tc>
        <w:tc>
          <w:tcPr>
            <w:tcW w:w="1133" w:type="dxa"/>
            <w:tcMar>
              <w:top w:w="0" w:type="dxa"/>
              <w:left w:w="108" w:type="dxa"/>
              <w:bottom w:w="0" w:type="dxa"/>
              <w:right w:w="108" w:type="dxa"/>
            </w:tcMar>
            <w:vAlign w:val="center"/>
          </w:tcPr>
          <w:p w14:paraId="2F69C2B1" w14:textId="77777777" w:rsidR="00836C68" w:rsidRPr="00F05461" w:rsidRDefault="00836C68" w:rsidP="00005200">
            <w:pPr>
              <w:pStyle w:val="Tabletext"/>
              <w:jc w:val="center"/>
              <w:rPr>
                <w:lang w:val="es-ES"/>
              </w:rPr>
            </w:pPr>
            <w:r w:rsidRPr="00F05461">
              <w:rPr>
                <w:lang w:val="es-ES"/>
              </w:rPr>
              <w:t>10/2019</w:t>
            </w:r>
          </w:p>
        </w:tc>
        <w:tc>
          <w:tcPr>
            <w:tcW w:w="1064" w:type="dxa"/>
            <w:tcMar>
              <w:top w:w="0" w:type="dxa"/>
              <w:left w:w="108" w:type="dxa"/>
              <w:bottom w:w="0" w:type="dxa"/>
              <w:right w:w="108" w:type="dxa"/>
            </w:tcMar>
            <w:vAlign w:val="center"/>
          </w:tcPr>
          <w:p w14:paraId="075EBC52" w14:textId="77777777" w:rsidR="00836C68" w:rsidRPr="00F05461" w:rsidRDefault="00836C68" w:rsidP="00005200">
            <w:pPr>
              <w:pStyle w:val="Tabletext"/>
              <w:jc w:val="center"/>
              <w:rPr>
                <w:lang w:val="es-ES"/>
              </w:rPr>
            </w:pPr>
            <w:r w:rsidRPr="00F05461">
              <w:rPr>
                <w:lang w:val="es-ES"/>
              </w:rPr>
              <w:t>09/2022</w:t>
            </w:r>
          </w:p>
        </w:tc>
        <w:tc>
          <w:tcPr>
            <w:tcW w:w="1255" w:type="dxa"/>
            <w:tcBorders>
              <w:right w:val="single" w:sz="4" w:space="0" w:color="4BACC6"/>
            </w:tcBorders>
            <w:tcMar>
              <w:top w:w="0" w:type="dxa"/>
              <w:left w:w="108" w:type="dxa"/>
              <w:bottom w:w="0" w:type="dxa"/>
              <w:right w:w="108" w:type="dxa"/>
            </w:tcMar>
            <w:vAlign w:val="center"/>
          </w:tcPr>
          <w:p w14:paraId="586B5C38" w14:textId="77777777" w:rsidR="00836C68" w:rsidRPr="00F05461" w:rsidRDefault="00836C68" w:rsidP="00005200">
            <w:pPr>
              <w:pStyle w:val="Tabletext"/>
              <w:jc w:val="center"/>
              <w:rPr>
                <w:lang w:val="es-ES"/>
              </w:rPr>
            </w:pPr>
            <w:r w:rsidRPr="00F05461">
              <w:rPr>
                <w:lang w:val="es-ES"/>
              </w:rPr>
              <w:t>3</w:t>
            </w:r>
          </w:p>
        </w:tc>
      </w:tr>
      <w:tr w:rsidR="00836C68" w:rsidRPr="00F05461" w14:paraId="6E2361BB" w14:textId="77777777" w:rsidTr="00726DA4">
        <w:trPr>
          <w:jc w:val="center"/>
        </w:trPr>
        <w:tc>
          <w:tcPr>
            <w:tcW w:w="1413" w:type="dxa"/>
            <w:tcBorders>
              <w:left w:val="single" w:sz="4" w:space="0" w:color="4BACC6"/>
              <w:bottom w:val="single" w:sz="4" w:space="0" w:color="4BACC6"/>
            </w:tcBorders>
            <w:tcMar>
              <w:top w:w="0" w:type="dxa"/>
              <w:left w:w="108" w:type="dxa"/>
              <w:bottom w:w="0" w:type="dxa"/>
              <w:right w:w="108" w:type="dxa"/>
            </w:tcMar>
            <w:vAlign w:val="center"/>
          </w:tcPr>
          <w:p w14:paraId="707AED99" w14:textId="77777777" w:rsidR="00836C68" w:rsidRPr="00F05461" w:rsidRDefault="00836C68" w:rsidP="001E7BC1">
            <w:pPr>
              <w:pStyle w:val="Tabletext"/>
              <w:rPr>
                <w:lang w:val="es-ES"/>
              </w:rPr>
            </w:pPr>
            <w:r w:rsidRPr="00F05461">
              <w:rPr>
                <w:lang w:val="es-ES"/>
              </w:rPr>
              <w:t>FG-VM</w:t>
            </w:r>
          </w:p>
        </w:tc>
        <w:tc>
          <w:tcPr>
            <w:tcW w:w="4196" w:type="dxa"/>
            <w:tcBorders>
              <w:bottom w:val="single" w:sz="4" w:space="0" w:color="4BACC6"/>
            </w:tcBorders>
            <w:tcMar>
              <w:top w:w="0" w:type="dxa"/>
              <w:left w:w="108" w:type="dxa"/>
              <w:bottom w:w="0" w:type="dxa"/>
              <w:right w:w="108" w:type="dxa"/>
            </w:tcMar>
            <w:vAlign w:val="center"/>
          </w:tcPr>
          <w:p w14:paraId="36FA0D3B" w14:textId="77777777" w:rsidR="00836C68" w:rsidRPr="00F05461" w:rsidRDefault="00836C68" w:rsidP="001E7BC1">
            <w:pPr>
              <w:pStyle w:val="Tabletext"/>
              <w:rPr>
                <w:lang w:val="es-ES"/>
              </w:rPr>
            </w:pPr>
            <w:r w:rsidRPr="00F05461">
              <w:rPr>
                <w:lang w:val="es-ES"/>
              </w:rPr>
              <w:t>Multimedios para vehículos</w:t>
            </w:r>
          </w:p>
        </w:tc>
        <w:tc>
          <w:tcPr>
            <w:tcW w:w="1133" w:type="dxa"/>
            <w:tcBorders>
              <w:bottom w:val="single" w:sz="4" w:space="0" w:color="4BACC6"/>
            </w:tcBorders>
            <w:tcMar>
              <w:top w:w="0" w:type="dxa"/>
              <w:left w:w="108" w:type="dxa"/>
              <w:bottom w:w="0" w:type="dxa"/>
              <w:right w:w="108" w:type="dxa"/>
            </w:tcMar>
            <w:vAlign w:val="center"/>
          </w:tcPr>
          <w:p w14:paraId="31DA53A5" w14:textId="77777777" w:rsidR="00836C68" w:rsidRPr="00F05461" w:rsidRDefault="00836C68" w:rsidP="00005200">
            <w:pPr>
              <w:pStyle w:val="Tabletext"/>
              <w:jc w:val="center"/>
              <w:rPr>
                <w:lang w:val="es-ES"/>
              </w:rPr>
            </w:pPr>
            <w:r w:rsidRPr="00F05461">
              <w:rPr>
                <w:lang w:val="es-ES"/>
              </w:rPr>
              <w:t>07/2018</w:t>
            </w:r>
          </w:p>
        </w:tc>
        <w:tc>
          <w:tcPr>
            <w:tcW w:w="1064" w:type="dxa"/>
            <w:tcBorders>
              <w:bottom w:val="single" w:sz="4" w:space="0" w:color="4BACC6"/>
            </w:tcBorders>
            <w:tcMar>
              <w:top w:w="0" w:type="dxa"/>
              <w:left w:w="108" w:type="dxa"/>
              <w:bottom w:w="0" w:type="dxa"/>
              <w:right w:w="108" w:type="dxa"/>
            </w:tcMar>
            <w:vAlign w:val="center"/>
          </w:tcPr>
          <w:p w14:paraId="1FC7B829" w14:textId="77777777" w:rsidR="00836C68" w:rsidRPr="00F05461" w:rsidRDefault="00836C68" w:rsidP="00005200">
            <w:pPr>
              <w:pStyle w:val="Tabletext"/>
              <w:jc w:val="center"/>
              <w:rPr>
                <w:lang w:val="es-ES"/>
              </w:rPr>
            </w:pPr>
            <w:r w:rsidRPr="00F05461">
              <w:rPr>
                <w:lang w:val="es-ES"/>
              </w:rPr>
              <w:t>09/2022</w:t>
            </w:r>
          </w:p>
        </w:tc>
        <w:tc>
          <w:tcPr>
            <w:tcW w:w="1255" w:type="dxa"/>
            <w:tcBorders>
              <w:bottom w:val="single" w:sz="4" w:space="0" w:color="4BACC6"/>
              <w:right w:val="single" w:sz="4" w:space="0" w:color="4BACC6"/>
            </w:tcBorders>
            <w:tcMar>
              <w:top w:w="0" w:type="dxa"/>
              <w:left w:w="108" w:type="dxa"/>
              <w:bottom w:w="0" w:type="dxa"/>
              <w:right w:w="108" w:type="dxa"/>
            </w:tcMar>
            <w:vAlign w:val="center"/>
          </w:tcPr>
          <w:p w14:paraId="4BF0C0DB" w14:textId="77777777" w:rsidR="00836C68" w:rsidRPr="00F05461" w:rsidRDefault="00836C68" w:rsidP="00005200">
            <w:pPr>
              <w:pStyle w:val="Tabletext"/>
              <w:jc w:val="center"/>
              <w:rPr>
                <w:lang w:val="es-ES"/>
              </w:rPr>
            </w:pPr>
            <w:r w:rsidRPr="00F05461">
              <w:rPr>
                <w:lang w:val="es-ES"/>
              </w:rPr>
              <w:t>3</w:t>
            </w:r>
          </w:p>
        </w:tc>
      </w:tr>
    </w:tbl>
    <w:p w14:paraId="791A6317" w14:textId="5B4817AB" w:rsidR="00B1145C" w:rsidRPr="00F05461" w:rsidRDefault="00B1145C" w:rsidP="005A00E5">
      <w:pPr>
        <w:pStyle w:val="Tablelegend"/>
        <w:spacing w:before="120"/>
        <w:jc w:val="center"/>
        <w:rPr>
          <w:i/>
          <w:iCs/>
          <w:color w:val="1F497D"/>
          <w:lang w:val="es-ES"/>
        </w:rPr>
      </w:pPr>
      <w:r w:rsidRPr="00F05461">
        <w:rPr>
          <w:i/>
          <w:iCs/>
          <w:color w:val="1F497D"/>
          <w:lang w:val="es-ES"/>
        </w:rPr>
        <w:t>Cuadro</w:t>
      </w:r>
      <w:r w:rsidR="00FD399B" w:rsidRPr="00F05461">
        <w:rPr>
          <w:i/>
          <w:iCs/>
          <w:color w:val="1F497D"/>
          <w:lang w:val="es-ES"/>
        </w:rPr>
        <w:t> </w:t>
      </w:r>
      <w:r w:rsidRPr="00F05461">
        <w:rPr>
          <w:i/>
          <w:iCs/>
          <w:color w:val="1F497D"/>
          <w:lang w:val="es-ES"/>
        </w:rPr>
        <w:t xml:space="preserve">3. Grupos Temáticos </w:t>
      </w:r>
      <w:r w:rsidR="00A10309" w:rsidRPr="00F05461">
        <w:rPr>
          <w:i/>
          <w:iCs/>
          <w:color w:val="1F497D"/>
          <w:lang w:val="es-ES"/>
        </w:rPr>
        <w:t>del UIT</w:t>
      </w:r>
      <w:r w:rsidR="00A10309" w:rsidRPr="00F05461">
        <w:rPr>
          <w:i/>
          <w:iCs/>
          <w:color w:val="1F497D"/>
          <w:lang w:val="es-ES"/>
        </w:rPr>
        <w:noBreakHyphen/>
      </w:r>
      <w:r w:rsidRPr="00F05461">
        <w:rPr>
          <w:i/>
          <w:iCs/>
          <w:color w:val="1F497D"/>
          <w:lang w:val="es-ES"/>
        </w:rPr>
        <w:t>T en 2025</w:t>
      </w:r>
    </w:p>
    <w:p w14:paraId="0458587A" w14:textId="2D5C439A" w:rsidR="00B1145C" w:rsidRPr="00F05461" w:rsidRDefault="00B1145C" w:rsidP="00836C68">
      <w:pPr>
        <w:pStyle w:val="Normalaftertitle"/>
        <w:rPr>
          <w:lang w:val="es-ES"/>
        </w:rPr>
      </w:pPr>
      <w:r w:rsidRPr="00F05461">
        <w:rPr>
          <w:lang w:val="es-ES"/>
        </w:rPr>
        <w:lastRenderedPageBreak/>
        <w:t xml:space="preserve">En el cuadro siguiente se resume el número de publicaciones normativas y no normativas aprobadas durante el periodo que abarca el informe (véase </w:t>
      </w:r>
      <w:hyperlink r:id="rId134" w:history="1">
        <w:r w:rsidR="00836C68" w:rsidRPr="00F05461">
          <w:rPr>
            <w:rStyle w:val="Hyperlink"/>
            <w:rFonts w:eastAsia="Times New Roman" w:cs="Times New Roman"/>
            <w:szCs w:val="20"/>
            <w:lang w:val="es-ES"/>
          </w:rPr>
          <w:t>https://itu.int/tdata/pubs/</w:t>
        </w:r>
      </w:hyperlink>
      <w:r w:rsidR="00836C68" w:rsidRPr="00F05461">
        <w:rPr>
          <w:lang w:val="es-ES"/>
        </w:rPr>
        <w:t xml:space="preserve"> </w:t>
      </w:r>
      <w:r w:rsidRPr="00F05461">
        <w:rPr>
          <w:lang w:val="es-ES"/>
        </w:rPr>
        <w:t>para conocer más estadísticas de las publicaciones).</w:t>
      </w:r>
    </w:p>
    <w:p w14:paraId="4C47022F" w14:textId="3E6E53BE" w:rsidR="00B1145C" w:rsidRPr="00F05461" w:rsidRDefault="00B1145C" w:rsidP="00836C68">
      <w:pPr>
        <w:pStyle w:val="Tabletitle"/>
        <w:rPr>
          <w:lang w:val="es-ES"/>
        </w:rPr>
      </w:pPr>
      <w:r w:rsidRPr="00F05461">
        <w:rPr>
          <w:lang w:val="es-ES"/>
        </w:rPr>
        <w:t xml:space="preserve">Publicaciones </w:t>
      </w:r>
      <w:r w:rsidR="00A10309" w:rsidRPr="00F05461">
        <w:rPr>
          <w:lang w:val="es-ES"/>
        </w:rPr>
        <w:t>del UIT</w:t>
      </w:r>
      <w:r w:rsidR="00A10309" w:rsidRPr="00F05461">
        <w:rPr>
          <w:lang w:val="es-ES"/>
        </w:rPr>
        <w:noBreakHyphen/>
      </w:r>
      <w:r w:rsidRPr="00F05461">
        <w:rPr>
          <w:lang w:val="es-ES"/>
        </w:rPr>
        <w:t>T en 2022-2025</w:t>
      </w:r>
    </w:p>
    <w:tbl>
      <w:tblPr>
        <w:tblW w:w="5000" w:type="pct"/>
        <w:jc w:val="center"/>
        <w:tblLayout w:type="fixed"/>
        <w:tblLook w:val="0000" w:firstRow="0" w:lastRow="0" w:firstColumn="0" w:lastColumn="0" w:noHBand="0" w:noVBand="0"/>
      </w:tblPr>
      <w:tblGrid>
        <w:gridCol w:w="5147"/>
        <w:gridCol w:w="1021"/>
        <w:gridCol w:w="1036"/>
        <w:gridCol w:w="910"/>
        <w:gridCol w:w="947"/>
      </w:tblGrid>
      <w:tr w:rsidR="00836C68" w:rsidRPr="00F05461" w14:paraId="4DBE29DD" w14:textId="77777777" w:rsidTr="006C3476">
        <w:trPr>
          <w:jc w:val="center"/>
        </w:trPr>
        <w:tc>
          <w:tcPr>
            <w:tcW w:w="5147" w:type="dxa"/>
            <w:tcBorders>
              <w:top w:val="single" w:sz="4" w:space="0" w:color="4BACC6"/>
              <w:left w:val="single" w:sz="4" w:space="0" w:color="4BACC6"/>
            </w:tcBorders>
            <w:tcMar>
              <w:top w:w="0" w:type="dxa"/>
              <w:left w:w="108" w:type="dxa"/>
              <w:bottom w:w="0" w:type="dxa"/>
              <w:right w:w="108" w:type="dxa"/>
            </w:tcMar>
            <w:vAlign w:val="center"/>
          </w:tcPr>
          <w:p w14:paraId="3C985AF3" w14:textId="77777777" w:rsidR="00836C68" w:rsidRPr="00F05461" w:rsidRDefault="00836C68" w:rsidP="001E7BC1">
            <w:pPr>
              <w:pStyle w:val="Tablehead"/>
              <w:rPr>
                <w:lang w:val="es-ES"/>
              </w:rPr>
            </w:pPr>
            <w:r w:rsidRPr="00F05461">
              <w:rPr>
                <w:lang w:val="es-ES"/>
              </w:rPr>
              <w:t>Tipo de publicación</w:t>
            </w:r>
          </w:p>
        </w:tc>
        <w:tc>
          <w:tcPr>
            <w:tcW w:w="1021" w:type="dxa"/>
            <w:tcBorders>
              <w:top w:val="single" w:sz="4" w:space="0" w:color="4BACC6"/>
            </w:tcBorders>
            <w:tcMar>
              <w:top w:w="0" w:type="dxa"/>
              <w:left w:w="108" w:type="dxa"/>
              <w:bottom w:w="0" w:type="dxa"/>
              <w:right w:w="108" w:type="dxa"/>
            </w:tcMar>
            <w:vAlign w:val="center"/>
          </w:tcPr>
          <w:p w14:paraId="3BE60208" w14:textId="77777777" w:rsidR="00836C68" w:rsidRPr="00F05461" w:rsidRDefault="00836C68" w:rsidP="001E7BC1">
            <w:pPr>
              <w:pStyle w:val="Tablehead"/>
              <w:rPr>
                <w:lang w:val="es-ES"/>
              </w:rPr>
            </w:pPr>
            <w:r w:rsidRPr="00F05461">
              <w:rPr>
                <w:lang w:val="es-ES"/>
              </w:rPr>
              <w:t>2022</w:t>
            </w:r>
          </w:p>
        </w:tc>
        <w:tc>
          <w:tcPr>
            <w:tcW w:w="1036" w:type="dxa"/>
            <w:tcBorders>
              <w:top w:val="single" w:sz="4" w:space="0" w:color="4BACC6"/>
            </w:tcBorders>
            <w:tcMar>
              <w:top w:w="0" w:type="dxa"/>
              <w:left w:w="108" w:type="dxa"/>
              <w:bottom w:w="0" w:type="dxa"/>
              <w:right w:w="108" w:type="dxa"/>
            </w:tcMar>
            <w:vAlign w:val="center"/>
          </w:tcPr>
          <w:p w14:paraId="01E8BA03" w14:textId="77777777" w:rsidR="00836C68" w:rsidRPr="00F05461" w:rsidRDefault="00836C68" w:rsidP="001E7BC1">
            <w:pPr>
              <w:pStyle w:val="Tablehead"/>
              <w:rPr>
                <w:lang w:val="es-ES"/>
              </w:rPr>
            </w:pPr>
            <w:r w:rsidRPr="00F05461">
              <w:rPr>
                <w:lang w:val="es-ES"/>
              </w:rPr>
              <w:t>2023</w:t>
            </w:r>
          </w:p>
        </w:tc>
        <w:tc>
          <w:tcPr>
            <w:tcW w:w="910" w:type="dxa"/>
            <w:tcBorders>
              <w:top w:val="single" w:sz="4" w:space="0" w:color="4BACC6"/>
            </w:tcBorders>
            <w:tcMar>
              <w:top w:w="0" w:type="dxa"/>
              <w:left w:w="108" w:type="dxa"/>
              <w:bottom w:w="0" w:type="dxa"/>
              <w:right w:w="108" w:type="dxa"/>
            </w:tcMar>
            <w:vAlign w:val="center"/>
          </w:tcPr>
          <w:p w14:paraId="5834B50B" w14:textId="77777777" w:rsidR="00836C68" w:rsidRPr="00F05461" w:rsidRDefault="00836C68" w:rsidP="001E7BC1">
            <w:pPr>
              <w:pStyle w:val="Tablehead"/>
              <w:rPr>
                <w:lang w:val="es-ES"/>
              </w:rPr>
            </w:pPr>
            <w:r w:rsidRPr="00F05461">
              <w:rPr>
                <w:lang w:val="es-ES"/>
              </w:rPr>
              <w:t>2024</w:t>
            </w:r>
          </w:p>
        </w:tc>
        <w:tc>
          <w:tcPr>
            <w:tcW w:w="947" w:type="dxa"/>
            <w:tcBorders>
              <w:top w:val="single" w:sz="4" w:space="0" w:color="4BACC6"/>
              <w:right w:val="single" w:sz="4" w:space="0" w:color="4BACC6"/>
            </w:tcBorders>
            <w:tcMar>
              <w:top w:w="0" w:type="dxa"/>
              <w:left w:w="108" w:type="dxa"/>
              <w:bottom w:w="0" w:type="dxa"/>
              <w:right w:w="108" w:type="dxa"/>
            </w:tcMar>
            <w:vAlign w:val="center"/>
          </w:tcPr>
          <w:p w14:paraId="79124A6D" w14:textId="77777777" w:rsidR="00836C68" w:rsidRPr="00F05461" w:rsidRDefault="00836C68" w:rsidP="001E7BC1">
            <w:pPr>
              <w:pStyle w:val="Tablehead"/>
              <w:rPr>
                <w:lang w:val="es-ES"/>
              </w:rPr>
            </w:pPr>
            <w:r w:rsidRPr="00F05461">
              <w:rPr>
                <w:lang w:val="es-ES"/>
              </w:rPr>
              <w:t>2025</w:t>
            </w:r>
          </w:p>
        </w:tc>
      </w:tr>
      <w:tr w:rsidR="00836C68" w:rsidRPr="00F05461" w14:paraId="0590B185" w14:textId="77777777" w:rsidTr="006C3476">
        <w:trPr>
          <w:jc w:val="center"/>
        </w:trPr>
        <w:tc>
          <w:tcPr>
            <w:tcW w:w="5147" w:type="dxa"/>
            <w:tcBorders>
              <w:left w:val="single" w:sz="4" w:space="0" w:color="4BACC6"/>
            </w:tcBorders>
            <w:tcMar>
              <w:top w:w="0" w:type="dxa"/>
              <w:left w:w="108" w:type="dxa"/>
              <w:bottom w:w="0" w:type="dxa"/>
              <w:right w:w="108" w:type="dxa"/>
            </w:tcMar>
          </w:tcPr>
          <w:p w14:paraId="1358DD47" w14:textId="77777777" w:rsidR="00836C68" w:rsidRPr="00F05461" w:rsidRDefault="00836C68" w:rsidP="001E7BC1">
            <w:pPr>
              <w:pStyle w:val="Tabletext"/>
              <w:rPr>
                <w:lang w:val="es-ES"/>
              </w:rPr>
            </w:pPr>
            <w:r w:rsidRPr="00F05461">
              <w:rPr>
                <w:lang w:val="es-ES"/>
              </w:rPr>
              <w:t>Recomendaciones (nuevas y revisadas)</w:t>
            </w:r>
          </w:p>
        </w:tc>
        <w:tc>
          <w:tcPr>
            <w:tcW w:w="1021" w:type="dxa"/>
            <w:tcMar>
              <w:top w:w="0" w:type="dxa"/>
              <w:left w:w="108" w:type="dxa"/>
              <w:bottom w:w="0" w:type="dxa"/>
              <w:right w:w="108" w:type="dxa"/>
            </w:tcMar>
          </w:tcPr>
          <w:p w14:paraId="532DA60A" w14:textId="77777777" w:rsidR="00836C68" w:rsidRPr="00F05461" w:rsidRDefault="00836C68" w:rsidP="00005200">
            <w:pPr>
              <w:pStyle w:val="Tabletext"/>
              <w:jc w:val="center"/>
              <w:rPr>
                <w:lang w:val="es-ES"/>
              </w:rPr>
            </w:pPr>
            <w:r w:rsidRPr="00F05461">
              <w:rPr>
                <w:lang w:val="es-ES"/>
              </w:rPr>
              <w:t>255</w:t>
            </w:r>
          </w:p>
        </w:tc>
        <w:tc>
          <w:tcPr>
            <w:tcW w:w="1036" w:type="dxa"/>
            <w:tcMar>
              <w:top w:w="0" w:type="dxa"/>
              <w:left w:w="108" w:type="dxa"/>
              <w:bottom w:w="0" w:type="dxa"/>
              <w:right w:w="108" w:type="dxa"/>
            </w:tcMar>
          </w:tcPr>
          <w:p w14:paraId="19479EC8" w14:textId="77777777" w:rsidR="00836C68" w:rsidRPr="00F05461" w:rsidRDefault="00836C68" w:rsidP="00005200">
            <w:pPr>
              <w:pStyle w:val="Tabletext"/>
              <w:jc w:val="center"/>
              <w:rPr>
                <w:lang w:val="es-ES"/>
              </w:rPr>
            </w:pPr>
            <w:r w:rsidRPr="00F05461">
              <w:rPr>
                <w:lang w:val="es-ES"/>
              </w:rPr>
              <w:t>286</w:t>
            </w:r>
          </w:p>
        </w:tc>
        <w:tc>
          <w:tcPr>
            <w:tcW w:w="910" w:type="dxa"/>
            <w:tcMar>
              <w:top w:w="0" w:type="dxa"/>
              <w:left w:w="108" w:type="dxa"/>
              <w:bottom w:w="0" w:type="dxa"/>
              <w:right w:w="108" w:type="dxa"/>
            </w:tcMar>
          </w:tcPr>
          <w:p w14:paraId="6BA32DA1" w14:textId="77777777" w:rsidR="00836C68" w:rsidRPr="00F05461" w:rsidRDefault="00836C68" w:rsidP="00005200">
            <w:pPr>
              <w:pStyle w:val="Tabletext"/>
              <w:jc w:val="center"/>
              <w:rPr>
                <w:lang w:val="es-ES"/>
              </w:rPr>
            </w:pPr>
            <w:r w:rsidRPr="00F05461">
              <w:rPr>
                <w:lang w:val="es-ES"/>
              </w:rPr>
              <w:t>412</w:t>
            </w:r>
          </w:p>
        </w:tc>
        <w:tc>
          <w:tcPr>
            <w:tcW w:w="947" w:type="dxa"/>
            <w:tcBorders>
              <w:right w:val="single" w:sz="4" w:space="0" w:color="4BACC6"/>
            </w:tcBorders>
            <w:tcMar>
              <w:top w:w="0" w:type="dxa"/>
              <w:left w:w="108" w:type="dxa"/>
              <w:bottom w:w="0" w:type="dxa"/>
              <w:right w:w="108" w:type="dxa"/>
            </w:tcMar>
          </w:tcPr>
          <w:p w14:paraId="6E1A648F" w14:textId="77777777" w:rsidR="00836C68" w:rsidRPr="00F05461" w:rsidRDefault="00836C68" w:rsidP="00005200">
            <w:pPr>
              <w:pStyle w:val="Tabletext"/>
              <w:jc w:val="center"/>
              <w:rPr>
                <w:lang w:val="es-ES"/>
              </w:rPr>
            </w:pPr>
            <w:r w:rsidRPr="00F05461">
              <w:rPr>
                <w:lang w:val="es-ES"/>
              </w:rPr>
              <w:t>272</w:t>
            </w:r>
          </w:p>
        </w:tc>
      </w:tr>
      <w:tr w:rsidR="00836C68" w:rsidRPr="00F05461" w14:paraId="53660E69" w14:textId="77777777" w:rsidTr="006C3476">
        <w:trPr>
          <w:jc w:val="center"/>
        </w:trPr>
        <w:tc>
          <w:tcPr>
            <w:tcW w:w="5147" w:type="dxa"/>
            <w:tcBorders>
              <w:left w:val="single" w:sz="4" w:space="0" w:color="4BACC6"/>
            </w:tcBorders>
            <w:tcMar>
              <w:top w:w="0" w:type="dxa"/>
              <w:left w:w="108" w:type="dxa"/>
              <w:bottom w:w="0" w:type="dxa"/>
              <w:right w:w="108" w:type="dxa"/>
            </w:tcMar>
          </w:tcPr>
          <w:p w14:paraId="1AF700A1" w14:textId="77777777" w:rsidR="00836C68" w:rsidRPr="00F05461" w:rsidRDefault="00836C68" w:rsidP="001E7BC1">
            <w:pPr>
              <w:pStyle w:val="Tabletext"/>
              <w:rPr>
                <w:lang w:val="es-ES"/>
              </w:rPr>
            </w:pPr>
            <w:r w:rsidRPr="00F05461">
              <w:rPr>
                <w:lang w:val="es-ES"/>
              </w:rPr>
              <w:t>Suplementos (nuevos y revisados)</w:t>
            </w:r>
          </w:p>
        </w:tc>
        <w:tc>
          <w:tcPr>
            <w:tcW w:w="1021" w:type="dxa"/>
            <w:tcMar>
              <w:top w:w="0" w:type="dxa"/>
              <w:left w:w="108" w:type="dxa"/>
              <w:bottom w:w="0" w:type="dxa"/>
              <w:right w:w="108" w:type="dxa"/>
            </w:tcMar>
          </w:tcPr>
          <w:p w14:paraId="10DFD4A4" w14:textId="77777777" w:rsidR="00836C68" w:rsidRPr="00F05461" w:rsidRDefault="00836C68" w:rsidP="00005200">
            <w:pPr>
              <w:pStyle w:val="Tabletext"/>
              <w:jc w:val="center"/>
              <w:rPr>
                <w:lang w:val="es-ES"/>
              </w:rPr>
            </w:pPr>
            <w:r w:rsidRPr="00F05461">
              <w:rPr>
                <w:lang w:val="es-ES"/>
              </w:rPr>
              <w:t>33</w:t>
            </w:r>
          </w:p>
        </w:tc>
        <w:tc>
          <w:tcPr>
            <w:tcW w:w="1036" w:type="dxa"/>
            <w:tcMar>
              <w:top w:w="0" w:type="dxa"/>
              <w:left w:w="108" w:type="dxa"/>
              <w:bottom w:w="0" w:type="dxa"/>
              <w:right w:w="108" w:type="dxa"/>
            </w:tcMar>
          </w:tcPr>
          <w:p w14:paraId="75ED5B3C" w14:textId="77777777" w:rsidR="00836C68" w:rsidRPr="00F05461" w:rsidRDefault="00836C68" w:rsidP="00005200">
            <w:pPr>
              <w:pStyle w:val="Tabletext"/>
              <w:jc w:val="center"/>
              <w:rPr>
                <w:lang w:val="es-ES"/>
              </w:rPr>
            </w:pPr>
            <w:r w:rsidRPr="00F05461">
              <w:rPr>
                <w:lang w:val="es-ES"/>
              </w:rPr>
              <w:t>27</w:t>
            </w:r>
          </w:p>
        </w:tc>
        <w:tc>
          <w:tcPr>
            <w:tcW w:w="910" w:type="dxa"/>
            <w:tcMar>
              <w:top w:w="0" w:type="dxa"/>
              <w:left w:w="108" w:type="dxa"/>
              <w:bottom w:w="0" w:type="dxa"/>
              <w:right w:w="108" w:type="dxa"/>
            </w:tcMar>
          </w:tcPr>
          <w:p w14:paraId="2DD20DD3" w14:textId="77777777" w:rsidR="00836C68" w:rsidRPr="00F05461" w:rsidRDefault="00836C68" w:rsidP="00005200">
            <w:pPr>
              <w:pStyle w:val="Tabletext"/>
              <w:jc w:val="center"/>
              <w:rPr>
                <w:lang w:val="es-ES"/>
              </w:rPr>
            </w:pPr>
            <w:r w:rsidRPr="00F05461">
              <w:rPr>
                <w:lang w:val="es-ES"/>
              </w:rPr>
              <w:t>23</w:t>
            </w:r>
          </w:p>
        </w:tc>
        <w:tc>
          <w:tcPr>
            <w:tcW w:w="947" w:type="dxa"/>
            <w:tcBorders>
              <w:right w:val="single" w:sz="4" w:space="0" w:color="4BACC6"/>
            </w:tcBorders>
            <w:tcMar>
              <w:top w:w="0" w:type="dxa"/>
              <w:left w:w="108" w:type="dxa"/>
              <w:bottom w:w="0" w:type="dxa"/>
              <w:right w:w="108" w:type="dxa"/>
            </w:tcMar>
          </w:tcPr>
          <w:p w14:paraId="6E692966" w14:textId="77777777" w:rsidR="00836C68" w:rsidRPr="00F05461" w:rsidRDefault="00836C68" w:rsidP="00005200">
            <w:pPr>
              <w:pStyle w:val="Tabletext"/>
              <w:jc w:val="center"/>
              <w:rPr>
                <w:lang w:val="es-ES"/>
              </w:rPr>
            </w:pPr>
            <w:r w:rsidRPr="00F05461">
              <w:rPr>
                <w:lang w:val="es-ES"/>
              </w:rPr>
              <w:t>24</w:t>
            </w:r>
          </w:p>
        </w:tc>
      </w:tr>
      <w:tr w:rsidR="00836C68" w:rsidRPr="00F05461" w14:paraId="204D1AC1" w14:textId="77777777" w:rsidTr="006C3476">
        <w:trPr>
          <w:jc w:val="center"/>
        </w:trPr>
        <w:tc>
          <w:tcPr>
            <w:tcW w:w="5147" w:type="dxa"/>
            <w:tcBorders>
              <w:left w:val="single" w:sz="4" w:space="0" w:color="4BACC6"/>
            </w:tcBorders>
            <w:tcMar>
              <w:top w:w="0" w:type="dxa"/>
              <w:left w:w="108" w:type="dxa"/>
              <w:bottom w:w="0" w:type="dxa"/>
              <w:right w:w="108" w:type="dxa"/>
            </w:tcMar>
          </w:tcPr>
          <w:p w14:paraId="0D43C2C4" w14:textId="2BD3C2EC" w:rsidR="00836C68" w:rsidRPr="002E07EB" w:rsidRDefault="00836C68" w:rsidP="001E7BC1">
            <w:pPr>
              <w:pStyle w:val="Tabletext"/>
              <w:rPr>
                <w:lang w:val="pt-BR"/>
              </w:rPr>
            </w:pPr>
            <w:r w:rsidRPr="002E07EB">
              <w:rPr>
                <w:lang w:val="pt-BR"/>
              </w:rPr>
              <w:t xml:space="preserve">Documentos </w:t>
            </w:r>
            <w:r w:rsidR="000A4AF2" w:rsidRPr="002E07EB">
              <w:rPr>
                <w:lang w:val="pt-BR"/>
              </w:rPr>
              <w:t>t</w:t>
            </w:r>
            <w:r w:rsidRPr="002E07EB">
              <w:rPr>
                <w:lang w:val="pt-BR"/>
              </w:rPr>
              <w:t xml:space="preserve">écnicos e Informes </w:t>
            </w:r>
            <w:r w:rsidR="000A4AF2" w:rsidRPr="002E07EB">
              <w:rPr>
                <w:lang w:val="pt-BR"/>
              </w:rPr>
              <w:t>t</w:t>
            </w:r>
            <w:r w:rsidRPr="002E07EB">
              <w:rPr>
                <w:lang w:val="pt-BR"/>
              </w:rPr>
              <w:t>écnicos</w:t>
            </w:r>
          </w:p>
        </w:tc>
        <w:tc>
          <w:tcPr>
            <w:tcW w:w="1021" w:type="dxa"/>
            <w:tcMar>
              <w:top w:w="0" w:type="dxa"/>
              <w:left w:w="108" w:type="dxa"/>
              <w:bottom w:w="0" w:type="dxa"/>
              <w:right w:w="108" w:type="dxa"/>
            </w:tcMar>
          </w:tcPr>
          <w:p w14:paraId="7B938CE6" w14:textId="77777777" w:rsidR="00836C68" w:rsidRPr="00F05461" w:rsidRDefault="00836C68" w:rsidP="00005200">
            <w:pPr>
              <w:pStyle w:val="Tabletext"/>
              <w:jc w:val="center"/>
              <w:rPr>
                <w:lang w:val="es-ES"/>
              </w:rPr>
            </w:pPr>
            <w:r w:rsidRPr="00F05461">
              <w:rPr>
                <w:lang w:val="es-ES"/>
              </w:rPr>
              <w:t>14</w:t>
            </w:r>
          </w:p>
        </w:tc>
        <w:tc>
          <w:tcPr>
            <w:tcW w:w="1036" w:type="dxa"/>
            <w:tcMar>
              <w:top w:w="0" w:type="dxa"/>
              <w:left w:w="108" w:type="dxa"/>
              <w:bottom w:w="0" w:type="dxa"/>
              <w:right w:w="108" w:type="dxa"/>
            </w:tcMar>
          </w:tcPr>
          <w:p w14:paraId="6691607E" w14:textId="77777777" w:rsidR="00836C68" w:rsidRPr="00F05461" w:rsidRDefault="00836C68" w:rsidP="00005200">
            <w:pPr>
              <w:pStyle w:val="Tabletext"/>
              <w:jc w:val="center"/>
              <w:rPr>
                <w:lang w:val="es-ES"/>
              </w:rPr>
            </w:pPr>
            <w:r w:rsidRPr="00F05461">
              <w:rPr>
                <w:lang w:val="es-ES"/>
              </w:rPr>
              <w:t>26</w:t>
            </w:r>
          </w:p>
        </w:tc>
        <w:tc>
          <w:tcPr>
            <w:tcW w:w="910" w:type="dxa"/>
            <w:tcMar>
              <w:top w:w="0" w:type="dxa"/>
              <w:left w:w="108" w:type="dxa"/>
              <w:bottom w:w="0" w:type="dxa"/>
              <w:right w:w="108" w:type="dxa"/>
            </w:tcMar>
          </w:tcPr>
          <w:p w14:paraId="722FB53C" w14:textId="77777777" w:rsidR="00836C68" w:rsidRPr="00F05461" w:rsidRDefault="00836C68" w:rsidP="00005200">
            <w:pPr>
              <w:pStyle w:val="Tabletext"/>
              <w:jc w:val="center"/>
              <w:rPr>
                <w:lang w:val="es-ES"/>
              </w:rPr>
            </w:pPr>
            <w:r w:rsidRPr="00F05461">
              <w:rPr>
                <w:lang w:val="es-ES"/>
              </w:rPr>
              <w:t>22</w:t>
            </w:r>
          </w:p>
        </w:tc>
        <w:tc>
          <w:tcPr>
            <w:tcW w:w="947" w:type="dxa"/>
            <w:tcBorders>
              <w:right w:val="single" w:sz="4" w:space="0" w:color="4BACC6"/>
            </w:tcBorders>
            <w:tcMar>
              <w:top w:w="0" w:type="dxa"/>
              <w:left w:w="108" w:type="dxa"/>
              <w:bottom w:w="0" w:type="dxa"/>
              <w:right w:w="108" w:type="dxa"/>
            </w:tcMar>
          </w:tcPr>
          <w:p w14:paraId="2B48BB7B" w14:textId="77777777" w:rsidR="00836C68" w:rsidRPr="00F05461" w:rsidRDefault="00836C68" w:rsidP="00005200">
            <w:pPr>
              <w:pStyle w:val="Tabletext"/>
              <w:jc w:val="center"/>
              <w:rPr>
                <w:lang w:val="es-ES"/>
              </w:rPr>
            </w:pPr>
            <w:r w:rsidRPr="00F05461">
              <w:rPr>
                <w:lang w:val="es-ES"/>
              </w:rPr>
              <w:t>18</w:t>
            </w:r>
          </w:p>
        </w:tc>
      </w:tr>
      <w:tr w:rsidR="00836C68" w:rsidRPr="00F05461" w14:paraId="11F81906" w14:textId="77777777" w:rsidTr="006C3476">
        <w:trPr>
          <w:jc w:val="center"/>
        </w:trPr>
        <w:tc>
          <w:tcPr>
            <w:tcW w:w="5147" w:type="dxa"/>
            <w:tcBorders>
              <w:left w:val="single" w:sz="4" w:space="0" w:color="4BACC6"/>
            </w:tcBorders>
            <w:tcMar>
              <w:top w:w="0" w:type="dxa"/>
              <w:left w:w="108" w:type="dxa"/>
              <w:bottom w:w="0" w:type="dxa"/>
              <w:right w:w="108" w:type="dxa"/>
            </w:tcMar>
          </w:tcPr>
          <w:p w14:paraId="49081303" w14:textId="15C9B5BC" w:rsidR="00836C68" w:rsidRPr="00F05461" w:rsidRDefault="00836C68" w:rsidP="001E7BC1">
            <w:pPr>
              <w:pStyle w:val="Tabletext"/>
              <w:rPr>
                <w:lang w:val="es-ES"/>
              </w:rPr>
            </w:pPr>
            <w:r w:rsidRPr="00F05461">
              <w:rPr>
                <w:lang w:val="es-ES"/>
              </w:rPr>
              <w:t>Otras publicaciones de las Comisiones de Estudio</w:t>
            </w:r>
          </w:p>
        </w:tc>
        <w:tc>
          <w:tcPr>
            <w:tcW w:w="1021" w:type="dxa"/>
            <w:tcMar>
              <w:top w:w="0" w:type="dxa"/>
              <w:left w:w="108" w:type="dxa"/>
              <w:bottom w:w="0" w:type="dxa"/>
              <w:right w:w="108" w:type="dxa"/>
            </w:tcMar>
          </w:tcPr>
          <w:p w14:paraId="55CE3D12" w14:textId="77777777" w:rsidR="00836C68" w:rsidRPr="00F05461" w:rsidRDefault="00836C68" w:rsidP="00005200">
            <w:pPr>
              <w:pStyle w:val="Tabletext"/>
              <w:jc w:val="center"/>
              <w:rPr>
                <w:lang w:val="es-ES"/>
              </w:rPr>
            </w:pPr>
            <w:r w:rsidRPr="00F05461">
              <w:rPr>
                <w:lang w:val="es-ES"/>
              </w:rPr>
              <w:t>13</w:t>
            </w:r>
          </w:p>
        </w:tc>
        <w:tc>
          <w:tcPr>
            <w:tcW w:w="1036" w:type="dxa"/>
            <w:tcMar>
              <w:top w:w="0" w:type="dxa"/>
              <w:left w:w="108" w:type="dxa"/>
              <w:bottom w:w="0" w:type="dxa"/>
              <w:right w:w="108" w:type="dxa"/>
            </w:tcMar>
          </w:tcPr>
          <w:p w14:paraId="6409B35A" w14:textId="77777777" w:rsidR="00836C68" w:rsidRPr="00F05461" w:rsidRDefault="00836C68" w:rsidP="00005200">
            <w:pPr>
              <w:pStyle w:val="Tabletext"/>
              <w:jc w:val="center"/>
              <w:rPr>
                <w:lang w:val="es-ES"/>
              </w:rPr>
            </w:pPr>
            <w:r w:rsidRPr="00F05461">
              <w:rPr>
                <w:lang w:val="es-ES"/>
              </w:rPr>
              <w:t>3</w:t>
            </w:r>
          </w:p>
        </w:tc>
        <w:tc>
          <w:tcPr>
            <w:tcW w:w="910" w:type="dxa"/>
            <w:tcMar>
              <w:top w:w="0" w:type="dxa"/>
              <w:left w:w="108" w:type="dxa"/>
              <w:bottom w:w="0" w:type="dxa"/>
              <w:right w:w="108" w:type="dxa"/>
            </w:tcMar>
          </w:tcPr>
          <w:p w14:paraId="63327F66" w14:textId="77777777" w:rsidR="00836C68" w:rsidRPr="00F05461" w:rsidRDefault="00836C68" w:rsidP="00005200">
            <w:pPr>
              <w:pStyle w:val="Tabletext"/>
              <w:jc w:val="center"/>
              <w:rPr>
                <w:lang w:val="es-ES"/>
              </w:rPr>
            </w:pPr>
            <w:r w:rsidRPr="00F05461">
              <w:rPr>
                <w:lang w:val="es-ES"/>
              </w:rPr>
              <w:t>3</w:t>
            </w:r>
          </w:p>
        </w:tc>
        <w:tc>
          <w:tcPr>
            <w:tcW w:w="947" w:type="dxa"/>
            <w:tcBorders>
              <w:right w:val="single" w:sz="4" w:space="0" w:color="4BACC6"/>
            </w:tcBorders>
            <w:tcMar>
              <w:top w:w="0" w:type="dxa"/>
              <w:left w:w="108" w:type="dxa"/>
              <w:bottom w:w="0" w:type="dxa"/>
              <w:right w:w="108" w:type="dxa"/>
            </w:tcMar>
          </w:tcPr>
          <w:p w14:paraId="234E67FD" w14:textId="77777777" w:rsidR="00836C68" w:rsidRPr="00F05461" w:rsidRDefault="00836C68" w:rsidP="00005200">
            <w:pPr>
              <w:pStyle w:val="Tabletext"/>
              <w:jc w:val="center"/>
              <w:rPr>
                <w:lang w:val="es-ES"/>
              </w:rPr>
            </w:pPr>
            <w:r w:rsidRPr="00F05461">
              <w:rPr>
                <w:lang w:val="es-ES"/>
              </w:rPr>
              <w:t>2</w:t>
            </w:r>
          </w:p>
        </w:tc>
      </w:tr>
      <w:tr w:rsidR="00836C68" w:rsidRPr="00F05461" w14:paraId="72963C67" w14:textId="77777777" w:rsidTr="006C3476">
        <w:trPr>
          <w:jc w:val="center"/>
        </w:trPr>
        <w:tc>
          <w:tcPr>
            <w:tcW w:w="5147" w:type="dxa"/>
            <w:tcBorders>
              <w:left w:val="single" w:sz="4" w:space="0" w:color="4BACC6"/>
              <w:bottom w:val="single" w:sz="4" w:space="0" w:color="4BACC6"/>
            </w:tcBorders>
            <w:tcMar>
              <w:top w:w="0" w:type="dxa"/>
              <w:left w:w="108" w:type="dxa"/>
              <w:bottom w:w="0" w:type="dxa"/>
              <w:right w:w="108" w:type="dxa"/>
            </w:tcMar>
          </w:tcPr>
          <w:p w14:paraId="75E4B2EC" w14:textId="77777777" w:rsidR="00836C68" w:rsidRPr="00F05461" w:rsidRDefault="00836C68" w:rsidP="001E7BC1">
            <w:pPr>
              <w:pStyle w:val="Tabletext"/>
              <w:rPr>
                <w:lang w:val="es-ES"/>
              </w:rPr>
            </w:pPr>
            <w:r w:rsidRPr="00F05461">
              <w:rPr>
                <w:lang w:val="es-ES"/>
              </w:rPr>
              <w:t>Productos de Grupos temáticos</w:t>
            </w:r>
          </w:p>
        </w:tc>
        <w:tc>
          <w:tcPr>
            <w:tcW w:w="1021" w:type="dxa"/>
            <w:tcBorders>
              <w:bottom w:val="single" w:sz="4" w:space="0" w:color="4BACC6"/>
            </w:tcBorders>
            <w:tcMar>
              <w:top w:w="0" w:type="dxa"/>
              <w:left w:w="108" w:type="dxa"/>
              <w:bottom w:w="0" w:type="dxa"/>
              <w:right w:w="108" w:type="dxa"/>
            </w:tcMar>
          </w:tcPr>
          <w:p w14:paraId="61B10D54" w14:textId="77777777" w:rsidR="00836C68" w:rsidRPr="00F05461" w:rsidRDefault="00836C68" w:rsidP="00005200">
            <w:pPr>
              <w:pStyle w:val="Tabletext"/>
              <w:jc w:val="center"/>
              <w:rPr>
                <w:lang w:val="es-ES"/>
              </w:rPr>
            </w:pPr>
            <w:r w:rsidRPr="00F05461">
              <w:rPr>
                <w:lang w:val="es-ES"/>
              </w:rPr>
              <w:t>26</w:t>
            </w:r>
          </w:p>
        </w:tc>
        <w:tc>
          <w:tcPr>
            <w:tcW w:w="1036" w:type="dxa"/>
            <w:tcBorders>
              <w:bottom w:val="single" w:sz="4" w:space="0" w:color="4BACC6"/>
            </w:tcBorders>
            <w:tcMar>
              <w:top w:w="0" w:type="dxa"/>
              <w:left w:w="108" w:type="dxa"/>
              <w:bottom w:w="0" w:type="dxa"/>
              <w:right w:w="108" w:type="dxa"/>
            </w:tcMar>
          </w:tcPr>
          <w:p w14:paraId="60594A9F" w14:textId="77777777" w:rsidR="00836C68" w:rsidRPr="00F05461" w:rsidRDefault="00836C68" w:rsidP="00005200">
            <w:pPr>
              <w:pStyle w:val="Tabletext"/>
              <w:jc w:val="center"/>
              <w:rPr>
                <w:lang w:val="es-ES"/>
              </w:rPr>
            </w:pPr>
            <w:r w:rsidRPr="00F05461">
              <w:rPr>
                <w:lang w:val="es-ES"/>
              </w:rPr>
              <w:t>36</w:t>
            </w:r>
          </w:p>
        </w:tc>
        <w:tc>
          <w:tcPr>
            <w:tcW w:w="910" w:type="dxa"/>
            <w:tcBorders>
              <w:bottom w:val="single" w:sz="4" w:space="0" w:color="4BACC6"/>
            </w:tcBorders>
            <w:tcMar>
              <w:top w:w="0" w:type="dxa"/>
              <w:left w:w="108" w:type="dxa"/>
              <w:bottom w:w="0" w:type="dxa"/>
              <w:right w:w="108" w:type="dxa"/>
            </w:tcMar>
          </w:tcPr>
          <w:p w14:paraId="5C90A04F" w14:textId="77777777" w:rsidR="00836C68" w:rsidRPr="00F05461" w:rsidRDefault="00836C68" w:rsidP="00005200">
            <w:pPr>
              <w:pStyle w:val="Tabletext"/>
              <w:jc w:val="center"/>
              <w:rPr>
                <w:lang w:val="es-ES"/>
              </w:rPr>
            </w:pPr>
            <w:r w:rsidRPr="00F05461">
              <w:rPr>
                <w:lang w:val="es-ES"/>
              </w:rPr>
              <w:t>79</w:t>
            </w:r>
          </w:p>
        </w:tc>
        <w:tc>
          <w:tcPr>
            <w:tcW w:w="947" w:type="dxa"/>
            <w:tcBorders>
              <w:bottom w:val="single" w:sz="4" w:space="0" w:color="4BACC6"/>
              <w:right w:val="single" w:sz="4" w:space="0" w:color="4BACC6"/>
            </w:tcBorders>
            <w:tcMar>
              <w:top w:w="0" w:type="dxa"/>
              <w:left w:w="108" w:type="dxa"/>
              <w:bottom w:w="0" w:type="dxa"/>
              <w:right w:w="108" w:type="dxa"/>
            </w:tcMar>
          </w:tcPr>
          <w:p w14:paraId="3362DBC7" w14:textId="77777777" w:rsidR="00836C68" w:rsidRPr="00F05461" w:rsidRDefault="00836C68" w:rsidP="00005200">
            <w:pPr>
              <w:pStyle w:val="Tabletext"/>
              <w:jc w:val="center"/>
              <w:rPr>
                <w:lang w:val="es-ES"/>
              </w:rPr>
            </w:pPr>
            <w:r w:rsidRPr="00F05461">
              <w:rPr>
                <w:lang w:val="es-ES"/>
              </w:rPr>
              <w:t>6</w:t>
            </w:r>
          </w:p>
        </w:tc>
      </w:tr>
    </w:tbl>
    <w:p w14:paraId="7FF690E7" w14:textId="0037657B" w:rsidR="00B1145C" w:rsidRPr="00F05461" w:rsidRDefault="00B1145C" w:rsidP="005A00E5">
      <w:pPr>
        <w:pStyle w:val="Tablelegend"/>
        <w:spacing w:before="120"/>
        <w:jc w:val="center"/>
        <w:rPr>
          <w:i/>
          <w:iCs/>
          <w:color w:val="1F497D"/>
          <w:lang w:val="es-ES"/>
        </w:rPr>
      </w:pPr>
      <w:r w:rsidRPr="00F05461">
        <w:rPr>
          <w:i/>
          <w:iCs/>
          <w:color w:val="1F497D"/>
          <w:lang w:val="es-ES"/>
        </w:rPr>
        <w:t>Cuadro</w:t>
      </w:r>
      <w:r w:rsidR="00FD399B" w:rsidRPr="00F05461">
        <w:rPr>
          <w:i/>
          <w:iCs/>
          <w:color w:val="1F497D"/>
          <w:lang w:val="es-ES"/>
        </w:rPr>
        <w:t> </w:t>
      </w:r>
      <w:r w:rsidRPr="00F05461">
        <w:rPr>
          <w:i/>
          <w:iCs/>
          <w:color w:val="1F497D"/>
          <w:lang w:val="es-ES"/>
        </w:rPr>
        <w:t xml:space="preserve">4. Publicaciones </w:t>
      </w:r>
      <w:r w:rsidR="00A10309" w:rsidRPr="00F05461">
        <w:rPr>
          <w:i/>
          <w:iCs/>
          <w:color w:val="1F497D"/>
          <w:lang w:val="es-ES"/>
        </w:rPr>
        <w:t>del UIT</w:t>
      </w:r>
      <w:r w:rsidR="00A10309" w:rsidRPr="00F05461">
        <w:rPr>
          <w:i/>
          <w:iCs/>
          <w:color w:val="1F497D"/>
          <w:lang w:val="es-ES"/>
        </w:rPr>
        <w:noBreakHyphen/>
      </w:r>
      <w:r w:rsidRPr="00F05461">
        <w:rPr>
          <w:i/>
          <w:iCs/>
          <w:color w:val="1F497D"/>
          <w:lang w:val="es-ES"/>
        </w:rPr>
        <w:t>T en 2022-2025</w:t>
      </w:r>
    </w:p>
    <w:p w14:paraId="338F5E5A" w14:textId="333C7D49" w:rsidR="00B3079D" w:rsidRPr="00F05461" w:rsidRDefault="00B3079D" w:rsidP="00836C68">
      <w:pPr>
        <w:pStyle w:val="Headingb"/>
      </w:pPr>
      <w:r w:rsidRPr="00F05461">
        <w:t>Conformidad e interoperabilidad</w:t>
      </w:r>
    </w:p>
    <w:p w14:paraId="329F25F3" w14:textId="4919723B" w:rsidR="00B3079D" w:rsidRPr="00F05461" w:rsidRDefault="00B3079D" w:rsidP="009D1156">
      <w:pPr>
        <w:rPr>
          <w:lang w:val="es-ES"/>
        </w:rPr>
      </w:pPr>
      <w:r w:rsidRPr="00F05461">
        <w:rPr>
          <w:lang w:val="es-ES"/>
        </w:rPr>
        <w:t>En 2026, la UIT realizó una encuesta sobre la utilización de las Recomendaciones UIT-T en los marcos nacionales de evaluación de la conformidad y confirmó el gran interés suscitado por el programa de Conformidad e Interoperabilidad (C+I) de la UIT (</w:t>
      </w:r>
      <w:hyperlink r:id="rId135" w:history="1">
        <w:r w:rsidRPr="00F05461">
          <w:rPr>
            <w:rStyle w:val="Hyperlink"/>
            <w:rFonts w:eastAsia="Times New Roman" w:cs="Times New Roman"/>
            <w:szCs w:val="20"/>
            <w:lang w:val="es-ES"/>
          </w:rPr>
          <w:t>SG11-TD909/GEN</w:t>
        </w:r>
      </w:hyperlink>
      <w:r w:rsidRPr="00F05461">
        <w:rPr>
          <w:lang w:val="es-ES"/>
        </w:rPr>
        <w:t xml:space="preserve">). De conformidad con la Resolución 177 (Rev. Bucarest, 2022), la TSB elaboró criterios para evaluar el Pilar 1 del programa C+I y preparó un proyecto de concepto de </w:t>
      </w:r>
      <w:r w:rsidR="009D1156" w:rsidRPr="00F05461">
        <w:rPr>
          <w:lang w:val="es-ES"/>
        </w:rPr>
        <w:t>«</w:t>
      </w:r>
      <w:r w:rsidRPr="00F05461">
        <w:rPr>
          <w:lang w:val="es-ES"/>
        </w:rPr>
        <w:t>Marca UIT</w:t>
      </w:r>
      <w:r w:rsidR="009D1156" w:rsidRPr="00F05461">
        <w:rPr>
          <w:lang w:val="es-ES"/>
        </w:rPr>
        <w:t>»</w:t>
      </w:r>
      <w:r w:rsidRPr="00F05461">
        <w:rPr>
          <w:lang w:val="es-ES"/>
        </w:rPr>
        <w:t>, basándose en los programas internacionales de conformidad vigentes, incluida la Marca UIT (</w:t>
      </w:r>
      <w:hyperlink r:id="rId136" w:history="1">
        <w:r w:rsidRPr="00F05461">
          <w:rPr>
            <w:rStyle w:val="Hyperlink"/>
            <w:rFonts w:eastAsia="Times New Roman" w:cs="Times New Roman"/>
            <w:szCs w:val="20"/>
            <w:lang w:val="es-ES"/>
          </w:rPr>
          <w:t>GMPCS de la UIT</w:t>
        </w:r>
      </w:hyperlink>
      <w:r w:rsidRPr="00F05461">
        <w:rPr>
          <w:lang w:val="es-ES"/>
        </w:rPr>
        <w:t>). Se puede consultar un informe sobre estos avances, preparado en colaboración con la CE 11 del UIT-T, en el Documento </w:t>
      </w:r>
      <w:hyperlink r:id="rId137" w:history="1">
        <w:r w:rsidRPr="00F05461">
          <w:rPr>
            <w:rStyle w:val="Hyperlink"/>
            <w:rFonts w:eastAsia="Times New Roman" w:cs="Times New Roman"/>
            <w:szCs w:val="20"/>
            <w:lang w:val="es-ES"/>
          </w:rPr>
          <w:t>SG11-TD939</w:t>
        </w:r>
        <w:r w:rsidR="00E221BF">
          <w:rPr>
            <w:rStyle w:val="Hyperlink"/>
            <w:rFonts w:eastAsia="Times New Roman" w:cs="Times New Roman"/>
            <w:szCs w:val="20"/>
            <w:lang w:val="es-ES"/>
          </w:rPr>
          <w:t>-</w:t>
        </w:r>
        <w:r w:rsidRPr="00F05461">
          <w:rPr>
            <w:rStyle w:val="Hyperlink"/>
            <w:rFonts w:eastAsia="Times New Roman" w:cs="Times New Roman"/>
            <w:szCs w:val="20"/>
            <w:lang w:val="es-ES"/>
          </w:rPr>
          <w:t>R1/GEN</w:t>
        </w:r>
      </w:hyperlink>
      <w:r w:rsidRPr="00F05461">
        <w:rPr>
          <w:lang w:val="es-ES"/>
        </w:rPr>
        <w:t>.</w:t>
      </w:r>
    </w:p>
    <w:p w14:paraId="3121DA91" w14:textId="04E0F25B" w:rsidR="00B1145C" w:rsidRPr="00FF67C6" w:rsidRDefault="00FF67C6" w:rsidP="00836C68">
      <w:pPr>
        <w:pStyle w:val="Headingb"/>
        <w:rPr>
          <w:lang w:val="pt-BR"/>
        </w:rPr>
      </w:pPr>
      <w:r w:rsidRPr="00FF67C6">
        <w:rPr>
          <w:lang w:val="pt-BR"/>
        </w:rPr>
        <w:t>Base de datos central de normas sobre IA</w:t>
      </w:r>
    </w:p>
    <w:p w14:paraId="7ACAAED6" w14:textId="458A873C" w:rsidR="00B1145C" w:rsidRPr="00F05461" w:rsidRDefault="00B1145C" w:rsidP="00B1145C">
      <w:pPr>
        <w:rPr>
          <w:lang w:val="es-ES"/>
        </w:rPr>
      </w:pPr>
      <w:r w:rsidRPr="00F05461">
        <w:rPr>
          <w:lang w:val="es-ES"/>
        </w:rPr>
        <w:t xml:space="preserve">La </w:t>
      </w:r>
      <w:hyperlink r:id="rId138" w:history="1">
        <w:r w:rsidR="00FF67C6" w:rsidRPr="00FF67C6">
          <w:rPr>
            <w:rStyle w:val="Hyperlink"/>
            <w:rFonts w:eastAsia="Times New Roman" w:cs="Times New Roman"/>
            <w:szCs w:val="20"/>
            <w:lang w:val="es-ES"/>
          </w:rPr>
          <w:t>Base de datos central de normas sobre IA</w:t>
        </w:r>
      </w:hyperlink>
      <w:r w:rsidRPr="00F05461">
        <w:rPr>
          <w:lang w:val="es-ES"/>
        </w:rPr>
        <w:t xml:space="preserve"> es un llamamiento al Pacto Digital </w:t>
      </w:r>
      <w:r w:rsidR="00EF6A42" w:rsidRPr="00F05461">
        <w:rPr>
          <w:lang w:val="es-ES"/>
        </w:rPr>
        <w:t>Global</w:t>
      </w:r>
      <w:r w:rsidRPr="00F05461">
        <w:rPr>
          <w:lang w:val="es-ES"/>
        </w:rPr>
        <w:t xml:space="preserve"> (Artículos</w:t>
      </w:r>
      <w:r w:rsidR="00FD399B" w:rsidRPr="00F05461">
        <w:rPr>
          <w:lang w:val="es-ES"/>
        </w:rPr>
        <w:t> </w:t>
      </w:r>
      <w:r w:rsidRPr="00F05461">
        <w:rPr>
          <w:lang w:val="es-ES"/>
        </w:rPr>
        <w:t>58, 59 y 60), que propuso establecer un intercambio de normas de</w:t>
      </w:r>
      <w:r w:rsidR="007922E7">
        <w:rPr>
          <w:lang w:val="es-ES"/>
        </w:rPr>
        <w:t> </w:t>
      </w:r>
      <w:r w:rsidRPr="00F05461">
        <w:rPr>
          <w:lang w:val="es-ES"/>
        </w:rPr>
        <w:t>IA para facilitar la puesta en común de la información sobre normas de</w:t>
      </w:r>
      <w:r w:rsidR="007922E7">
        <w:rPr>
          <w:lang w:val="es-ES"/>
        </w:rPr>
        <w:t> </w:t>
      </w:r>
      <w:r w:rsidRPr="00F05461">
        <w:rPr>
          <w:lang w:val="es-ES"/>
        </w:rPr>
        <w:t xml:space="preserve">IA. La </w:t>
      </w:r>
      <w:r w:rsidR="00FF67C6" w:rsidRPr="00FF67C6">
        <w:rPr>
          <w:lang w:val="es-ES"/>
        </w:rPr>
        <w:t>Base de datos central de normas sobre</w:t>
      </w:r>
      <w:r w:rsidR="00FF67C6">
        <w:rPr>
          <w:lang w:val="es-ES"/>
        </w:rPr>
        <w:t> </w:t>
      </w:r>
      <w:r w:rsidR="00FF67C6" w:rsidRPr="00FF67C6">
        <w:rPr>
          <w:lang w:val="es-ES"/>
        </w:rPr>
        <w:t>IA</w:t>
      </w:r>
      <w:r w:rsidRPr="00F05461">
        <w:rPr>
          <w:lang w:val="es-ES"/>
        </w:rPr>
        <w:t xml:space="preserve"> se creó en 2025 a partir de los datos del panorama normativo </w:t>
      </w:r>
      <w:r w:rsidR="00A10309" w:rsidRPr="00F05461">
        <w:rPr>
          <w:lang w:val="es-ES"/>
        </w:rPr>
        <w:t>del UIT</w:t>
      </w:r>
      <w:r w:rsidR="00A10309" w:rsidRPr="00F05461">
        <w:rPr>
          <w:lang w:val="es-ES"/>
        </w:rPr>
        <w:noBreakHyphen/>
      </w:r>
      <w:r w:rsidRPr="00F05461">
        <w:rPr>
          <w:lang w:val="es-ES"/>
        </w:rPr>
        <w:t xml:space="preserve">T. Se elaboró en el marco de la Cooperación Mundial sobre Normas, que reúne a </w:t>
      </w:r>
      <w:r w:rsidR="00296F03" w:rsidRPr="00F05461">
        <w:rPr>
          <w:lang w:val="es-ES"/>
        </w:rPr>
        <w:t>la UIT</w:t>
      </w:r>
      <w:r w:rsidRPr="00F05461">
        <w:rPr>
          <w:lang w:val="es-ES"/>
        </w:rPr>
        <w:t>, la</w:t>
      </w:r>
      <w:r w:rsidR="002B22EB" w:rsidRPr="00F05461">
        <w:rPr>
          <w:lang w:val="es-ES"/>
        </w:rPr>
        <w:t> </w:t>
      </w:r>
      <w:r w:rsidRPr="00F05461">
        <w:rPr>
          <w:lang w:val="es-ES"/>
        </w:rPr>
        <w:t>ISO y la</w:t>
      </w:r>
      <w:r w:rsidR="005B7661" w:rsidRPr="00F05461">
        <w:rPr>
          <w:lang w:val="es-ES"/>
        </w:rPr>
        <w:t> </w:t>
      </w:r>
      <w:r w:rsidRPr="00F05461">
        <w:rPr>
          <w:lang w:val="es-ES"/>
        </w:rPr>
        <w:t>CEI, en asociación con el Instituto de Ingenieros Eléctricos y Electrónicos (IEEE), el Grupo Especial sobre Ingeniería de Internet (IETF) y el Centro de Normas de</w:t>
      </w:r>
      <w:r w:rsidR="007922E7">
        <w:rPr>
          <w:lang w:val="es-ES"/>
        </w:rPr>
        <w:t> </w:t>
      </w:r>
      <w:r w:rsidRPr="00F05461">
        <w:rPr>
          <w:lang w:val="es-ES"/>
        </w:rPr>
        <w:t xml:space="preserve">IA del Instituto Alan Turing. En el momento de su presentación, que se realizó el 11 de julio </w:t>
      </w:r>
      <w:r w:rsidR="00B933C5" w:rsidRPr="00F05461">
        <w:rPr>
          <w:lang w:val="es-ES"/>
        </w:rPr>
        <w:t>de 202</w:t>
      </w:r>
      <w:r w:rsidR="00711F8C" w:rsidRPr="00F05461">
        <w:rPr>
          <w:lang w:val="es-ES"/>
        </w:rPr>
        <w:t>5</w:t>
      </w:r>
      <w:r w:rsidRPr="00F05461">
        <w:rPr>
          <w:lang w:val="es-ES"/>
        </w:rPr>
        <w:t xml:space="preserve"> con motivo de la Cumbre Mundial AI for Good </w:t>
      </w:r>
      <w:r w:rsidR="008444A5">
        <w:rPr>
          <w:lang w:val="es-ES"/>
        </w:rPr>
        <w:t xml:space="preserve">de </w:t>
      </w:r>
      <w:r w:rsidRPr="00F05461">
        <w:rPr>
          <w:lang w:val="es-ES"/>
        </w:rPr>
        <w:t>2025, existían unas 700</w:t>
      </w:r>
      <w:r w:rsidR="00FD399B" w:rsidRPr="00F05461">
        <w:rPr>
          <w:lang w:val="es-ES"/>
        </w:rPr>
        <w:t> </w:t>
      </w:r>
      <w:r w:rsidRPr="00F05461">
        <w:rPr>
          <w:lang w:val="es-ES"/>
        </w:rPr>
        <w:t>normas de</w:t>
      </w:r>
      <w:r w:rsidR="007922E7">
        <w:rPr>
          <w:lang w:val="es-ES"/>
        </w:rPr>
        <w:t> </w:t>
      </w:r>
      <w:r w:rsidRPr="00F05461">
        <w:rPr>
          <w:lang w:val="es-ES"/>
        </w:rPr>
        <w:t xml:space="preserve">IA y publicaciones conexas de </w:t>
      </w:r>
      <w:r w:rsidR="00296F03" w:rsidRPr="00F05461">
        <w:rPr>
          <w:lang w:val="es-ES"/>
        </w:rPr>
        <w:t>la UIT</w:t>
      </w:r>
      <w:r w:rsidRPr="00F05461">
        <w:rPr>
          <w:lang w:val="es-ES"/>
        </w:rPr>
        <w:t>, la</w:t>
      </w:r>
      <w:r w:rsidR="00BE5909" w:rsidRPr="00F05461">
        <w:rPr>
          <w:lang w:val="es-ES"/>
        </w:rPr>
        <w:t> </w:t>
      </w:r>
      <w:r w:rsidRPr="00F05461">
        <w:rPr>
          <w:lang w:val="es-ES"/>
        </w:rPr>
        <w:t>ISO, la</w:t>
      </w:r>
      <w:r w:rsidR="00FD399B" w:rsidRPr="00F05461">
        <w:rPr>
          <w:lang w:val="es-ES"/>
        </w:rPr>
        <w:t> </w:t>
      </w:r>
      <w:r w:rsidRPr="00F05461">
        <w:rPr>
          <w:lang w:val="es-ES"/>
        </w:rPr>
        <w:t>CEI, el</w:t>
      </w:r>
      <w:r w:rsidR="00BE5909" w:rsidRPr="00F05461">
        <w:rPr>
          <w:lang w:val="es-ES"/>
        </w:rPr>
        <w:t> </w:t>
      </w:r>
      <w:r w:rsidRPr="00F05461">
        <w:rPr>
          <w:lang w:val="es-ES"/>
        </w:rPr>
        <w:t>IEEE y el</w:t>
      </w:r>
      <w:r w:rsidR="008444A5">
        <w:rPr>
          <w:lang w:val="es-ES"/>
        </w:rPr>
        <w:t> </w:t>
      </w:r>
      <w:r w:rsidRPr="00F05461">
        <w:rPr>
          <w:lang w:val="es-ES"/>
        </w:rPr>
        <w:t xml:space="preserve">IETF. En enero </w:t>
      </w:r>
      <w:r w:rsidR="00B933C5" w:rsidRPr="00F05461">
        <w:rPr>
          <w:lang w:val="es-ES"/>
        </w:rPr>
        <w:t>de 202</w:t>
      </w:r>
      <w:r w:rsidR="00711F8C" w:rsidRPr="00F05461">
        <w:rPr>
          <w:lang w:val="es-ES"/>
        </w:rPr>
        <w:t>6</w:t>
      </w:r>
      <w:r w:rsidRPr="00F05461">
        <w:rPr>
          <w:lang w:val="es-ES"/>
        </w:rPr>
        <w:t>, el</w:t>
      </w:r>
      <w:r w:rsidR="00BE5909" w:rsidRPr="00F05461">
        <w:rPr>
          <w:lang w:val="es-ES"/>
        </w:rPr>
        <w:t> </w:t>
      </w:r>
      <w:r w:rsidRPr="00F05461">
        <w:rPr>
          <w:lang w:val="es-ES"/>
        </w:rPr>
        <w:t>UIT</w:t>
      </w:r>
      <w:r w:rsidR="00BE5909" w:rsidRPr="00F05461">
        <w:rPr>
          <w:lang w:val="es-ES"/>
        </w:rPr>
        <w:noBreakHyphen/>
      </w:r>
      <w:r w:rsidRPr="00F05461">
        <w:rPr>
          <w:lang w:val="es-ES"/>
        </w:rPr>
        <w:t>T había publicado unas 200</w:t>
      </w:r>
      <w:r w:rsidR="00FD399B" w:rsidRPr="00F05461">
        <w:rPr>
          <w:lang w:val="es-ES"/>
        </w:rPr>
        <w:t> </w:t>
      </w:r>
      <w:r w:rsidRPr="00F05461">
        <w:rPr>
          <w:lang w:val="es-ES"/>
        </w:rPr>
        <w:t>normas y estaba preparando 200</w:t>
      </w:r>
      <w:r w:rsidR="00FD399B" w:rsidRPr="00F05461">
        <w:rPr>
          <w:lang w:val="es-ES"/>
        </w:rPr>
        <w:t> </w:t>
      </w:r>
      <w:r w:rsidRPr="00F05461">
        <w:rPr>
          <w:lang w:val="es-ES"/>
        </w:rPr>
        <w:t>normas adicionales.</w:t>
      </w:r>
    </w:p>
    <w:p w14:paraId="4CA2307E" w14:textId="77777777" w:rsidR="00B1145C" w:rsidRPr="00F05461" w:rsidRDefault="00B1145C" w:rsidP="003E558F">
      <w:pPr>
        <w:pStyle w:val="Heading3"/>
      </w:pPr>
      <w:bookmarkStart w:id="64" w:name="_Toc227137471"/>
      <w:r w:rsidRPr="00F05461">
        <w:t>4.3.2</w:t>
      </w:r>
      <w:r w:rsidRPr="00F05461">
        <w:tab/>
        <w:t>Recomendaciones UIT-R</w:t>
      </w:r>
      <w:bookmarkEnd w:id="64"/>
    </w:p>
    <w:p w14:paraId="052B2938" w14:textId="2E6382EC" w:rsidR="00B1145C" w:rsidRPr="00F05461" w:rsidRDefault="00B1145C" w:rsidP="00B1145C">
      <w:pPr>
        <w:rPr>
          <w:lang w:val="es-ES"/>
        </w:rPr>
      </w:pPr>
      <w:r w:rsidRPr="00F05461">
        <w:rPr>
          <w:lang w:val="es-ES"/>
        </w:rPr>
        <w:t xml:space="preserve">Durante el periodo que abarca el informe (2022-2025), los Estados Miembros de </w:t>
      </w:r>
      <w:r w:rsidR="00296F03" w:rsidRPr="00F05461">
        <w:rPr>
          <w:lang w:val="es-ES"/>
        </w:rPr>
        <w:t>la UIT</w:t>
      </w:r>
      <w:r w:rsidRPr="00F05461">
        <w:rPr>
          <w:lang w:val="es-ES"/>
        </w:rPr>
        <w:t xml:space="preserve"> aprobaron 164</w:t>
      </w:r>
      <w:r w:rsidR="00BE5909" w:rsidRPr="00F05461">
        <w:rPr>
          <w:lang w:val="es-ES"/>
        </w:rPr>
        <w:t> </w:t>
      </w:r>
      <w:r w:rsidRPr="00F05461">
        <w:rPr>
          <w:lang w:val="es-ES"/>
        </w:rPr>
        <w:t>Recomendaciones UIT-R nuevas o revisadas. Todas las Recomendaciones</w:t>
      </w:r>
      <w:r w:rsidR="00EB2985" w:rsidRPr="00F05461">
        <w:rPr>
          <w:lang w:val="es-ES"/>
        </w:rPr>
        <w:t> </w:t>
      </w:r>
      <w:r w:rsidRPr="00F05461">
        <w:rPr>
          <w:lang w:val="es-ES"/>
        </w:rPr>
        <w:t>UIT</w:t>
      </w:r>
      <w:r w:rsidR="00EB2985" w:rsidRPr="00F05461">
        <w:rPr>
          <w:lang w:val="es-ES"/>
        </w:rPr>
        <w:noBreakHyphen/>
      </w:r>
      <w:r w:rsidRPr="00F05461">
        <w:rPr>
          <w:lang w:val="es-ES"/>
        </w:rPr>
        <w:t xml:space="preserve">R están disponibles en </w:t>
      </w:r>
      <w:hyperlink r:id="rId139" w:history="1">
        <w:r w:rsidR="009D1156" w:rsidRPr="00F05461">
          <w:rPr>
            <w:rStyle w:val="Hyperlink"/>
            <w:rFonts w:eastAsia="Times New Roman" w:cs="Times New Roman"/>
            <w:szCs w:val="20"/>
            <w:lang w:val="es-ES"/>
          </w:rPr>
          <w:t>https://www.itu.int/pub/R-REC/es</w:t>
        </w:r>
      </w:hyperlink>
      <w:r w:rsidRPr="00F05461">
        <w:rPr>
          <w:lang w:val="es-ES"/>
        </w:rPr>
        <w:t>. Actualmente hay 1</w:t>
      </w:r>
      <w:r w:rsidR="00836C68" w:rsidRPr="00F05461">
        <w:rPr>
          <w:lang w:val="es-ES"/>
        </w:rPr>
        <w:t> </w:t>
      </w:r>
      <w:r w:rsidRPr="00F05461">
        <w:rPr>
          <w:lang w:val="es-ES"/>
        </w:rPr>
        <w:t>161</w:t>
      </w:r>
      <w:r w:rsidR="00836C68" w:rsidRPr="00F05461">
        <w:rPr>
          <w:lang w:val="es-ES"/>
        </w:rPr>
        <w:t> </w:t>
      </w:r>
      <w:r w:rsidRPr="00F05461">
        <w:rPr>
          <w:lang w:val="es-ES"/>
        </w:rPr>
        <w:t>Recomendaciones</w:t>
      </w:r>
      <w:r w:rsidR="00EB2985" w:rsidRPr="00F05461">
        <w:rPr>
          <w:lang w:val="es-ES"/>
        </w:rPr>
        <w:t> </w:t>
      </w:r>
      <w:r w:rsidRPr="00F05461">
        <w:rPr>
          <w:lang w:val="es-ES"/>
        </w:rPr>
        <w:t>UIT</w:t>
      </w:r>
      <w:r w:rsidR="00EB2985" w:rsidRPr="00F05461">
        <w:rPr>
          <w:lang w:val="es-ES"/>
        </w:rPr>
        <w:noBreakHyphen/>
      </w:r>
      <w:r w:rsidRPr="00F05461">
        <w:rPr>
          <w:lang w:val="es-ES"/>
        </w:rPr>
        <w:t>R en vigor.</w:t>
      </w:r>
    </w:p>
    <w:p w14:paraId="63D8FBD8" w14:textId="5B1AC69F" w:rsidR="00B1145C" w:rsidRPr="00F05461" w:rsidRDefault="00B1145C" w:rsidP="00B1145C">
      <w:pPr>
        <w:rPr>
          <w:lang w:val="es-ES"/>
        </w:rPr>
      </w:pPr>
      <w:r w:rsidRPr="00F05461">
        <w:rPr>
          <w:lang w:val="es-ES"/>
        </w:rPr>
        <w:t>En 2023, el</w:t>
      </w:r>
      <w:r w:rsidR="00BE5909" w:rsidRPr="00F05461">
        <w:rPr>
          <w:lang w:val="es-ES"/>
        </w:rPr>
        <w:t> </w:t>
      </w:r>
      <w:r w:rsidRPr="00F05461">
        <w:rPr>
          <w:lang w:val="es-ES"/>
        </w:rPr>
        <w:t>UIT</w:t>
      </w:r>
      <w:r w:rsidR="00BE5909" w:rsidRPr="00F05461">
        <w:rPr>
          <w:lang w:val="es-ES"/>
        </w:rPr>
        <w:noBreakHyphen/>
      </w:r>
      <w:r w:rsidRPr="00F05461">
        <w:rPr>
          <w:lang w:val="es-ES"/>
        </w:rPr>
        <w:t>R recibió el Premio Emmy de Ingeniería, Ciencia y Tecnología por la elaboración de la norma de radiocomunicaciones para la televisión de elevada gama dinámica (TV-EGD). Otorgado por la Academia de la Televisión, el premio reconoce los esfuerzos pioneros de los ingenieros y especialistas de la Comisión de Estudios</w:t>
      </w:r>
      <w:r w:rsidR="00EB2985" w:rsidRPr="00F05461">
        <w:rPr>
          <w:lang w:val="es-ES"/>
        </w:rPr>
        <w:t> </w:t>
      </w:r>
      <w:r w:rsidRPr="00F05461">
        <w:rPr>
          <w:lang w:val="es-ES"/>
        </w:rPr>
        <w:t xml:space="preserve">6 </w:t>
      </w:r>
      <w:r w:rsidR="00A10309" w:rsidRPr="00F05461">
        <w:rPr>
          <w:lang w:val="es-ES"/>
        </w:rPr>
        <w:t>del UIT</w:t>
      </w:r>
      <w:r w:rsidR="00A10309" w:rsidRPr="00F05461">
        <w:rPr>
          <w:lang w:val="es-ES"/>
        </w:rPr>
        <w:noBreakHyphen/>
      </w:r>
      <w:r w:rsidRPr="00F05461">
        <w:rPr>
          <w:lang w:val="es-ES"/>
        </w:rPr>
        <w:t xml:space="preserve">R </w:t>
      </w:r>
      <w:r w:rsidRPr="00F05461">
        <w:rPr>
          <w:lang w:val="es-ES"/>
        </w:rPr>
        <w:lastRenderedPageBreak/>
        <w:t xml:space="preserve">para crear una norma mundial de TV-EGD que ofrezca a los telespectadores una experiencia visual mejorada. Se trata del tercer Premio Emmy otorgado a las Comisiones de Estudio </w:t>
      </w:r>
      <w:r w:rsidR="00A10309" w:rsidRPr="00F05461">
        <w:rPr>
          <w:lang w:val="es-ES"/>
        </w:rPr>
        <w:t>del UIT</w:t>
      </w:r>
      <w:r w:rsidR="00A10309" w:rsidRPr="00F05461">
        <w:rPr>
          <w:lang w:val="es-ES"/>
        </w:rPr>
        <w:noBreakHyphen/>
      </w:r>
      <w:r w:rsidRPr="00F05461">
        <w:rPr>
          <w:lang w:val="es-ES"/>
        </w:rPr>
        <w:t xml:space="preserve">R y el sexto Emmy para </w:t>
      </w:r>
      <w:r w:rsidR="00296F03" w:rsidRPr="00F05461">
        <w:rPr>
          <w:lang w:val="es-ES"/>
        </w:rPr>
        <w:t>la UIT</w:t>
      </w:r>
      <w:r w:rsidRPr="00F05461">
        <w:rPr>
          <w:lang w:val="es-ES"/>
        </w:rPr>
        <w:t xml:space="preserve"> en general.</w:t>
      </w:r>
    </w:p>
    <w:p w14:paraId="164277A5" w14:textId="77777777" w:rsidR="00B1145C" w:rsidRPr="00F05461" w:rsidRDefault="00B1145C" w:rsidP="003E558F">
      <w:pPr>
        <w:pStyle w:val="Heading3"/>
      </w:pPr>
      <w:bookmarkStart w:id="65" w:name="_Toc227137472"/>
      <w:r w:rsidRPr="00F05461">
        <w:t>4.3.3</w:t>
      </w:r>
      <w:r w:rsidRPr="00F05461">
        <w:tab/>
        <w:t>Reducción de la brecha de normalización</w:t>
      </w:r>
      <w:bookmarkEnd w:id="65"/>
    </w:p>
    <w:p w14:paraId="0EF4B72E" w14:textId="27CF47D6" w:rsidR="00B1145C" w:rsidRPr="00F05461" w:rsidRDefault="00B1145C" w:rsidP="00B1145C">
      <w:pPr>
        <w:rPr>
          <w:lang w:val="es-ES"/>
        </w:rPr>
      </w:pPr>
      <w:r w:rsidRPr="00F05461">
        <w:rPr>
          <w:lang w:val="es-ES"/>
        </w:rPr>
        <w:t xml:space="preserve">La </w:t>
      </w:r>
      <w:hyperlink r:id="rId140" w:history="1">
        <w:r w:rsidRPr="00F05461">
          <w:rPr>
            <w:rStyle w:val="Hyperlink"/>
            <w:rFonts w:eastAsia="Times New Roman" w:cs="Times New Roman"/>
            <w:szCs w:val="20"/>
            <w:lang w:val="es-ES"/>
          </w:rPr>
          <w:t>Resolución</w:t>
        </w:r>
        <w:r w:rsidR="001473A4" w:rsidRPr="00F05461">
          <w:rPr>
            <w:rStyle w:val="Hyperlink"/>
            <w:rFonts w:eastAsia="Times New Roman" w:cs="Times New Roman"/>
            <w:szCs w:val="20"/>
            <w:lang w:val="es-ES"/>
          </w:rPr>
          <w:t> </w:t>
        </w:r>
        <w:r w:rsidRPr="00F05461">
          <w:rPr>
            <w:rStyle w:val="Hyperlink"/>
            <w:rFonts w:eastAsia="Times New Roman" w:cs="Times New Roman"/>
            <w:szCs w:val="20"/>
            <w:lang w:val="es-ES"/>
          </w:rPr>
          <w:t>44</w:t>
        </w:r>
      </w:hyperlink>
      <w:r w:rsidRPr="00F05461">
        <w:rPr>
          <w:lang w:val="es-ES"/>
        </w:rPr>
        <w:t xml:space="preserve">, </w:t>
      </w:r>
      <w:r w:rsidR="0035072E" w:rsidRPr="00F05461">
        <w:rPr>
          <w:lang w:val="es-ES"/>
        </w:rPr>
        <w:t>«</w:t>
      </w:r>
      <w:r w:rsidRPr="00F05461">
        <w:rPr>
          <w:lang w:val="es-ES"/>
        </w:rPr>
        <w:t>Reducción de la brecha de normalización entre los países en desarrollo y desarrollados</w:t>
      </w:r>
      <w:r w:rsidR="0035072E" w:rsidRPr="00F05461">
        <w:rPr>
          <w:lang w:val="es-ES"/>
        </w:rPr>
        <w:t>»</w:t>
      </w:r>
      <w:r w:rsidRPr="00F05461">
        <w:rPr>
          <w:lang w:val="es-ES"/>
        </w:rPr>
        <w:t>, de la</w:t>
      </w:r>
      <w:r w:rsidR="001473A4" w:rsidRPr="00F05461">
        <w:rPr>
          <w:lang w:val="es-ES"/>
        </w:rPr>
        <w:t> </w:t>
      </w:r>
      <w:r w:rsidRPr="00F05461">
        <w:rPr>
          <w:lang w:val="es-ES"/>
        </w:rPr>
        <w:t xml:space="preserve">AMNT se adoptó por primera vez en Florianópolis (2004) y se ha ido modificando a lo largo del tiempo para adaptarla a las necesidades cambiantes y a la </w:t>
      </w:r>
      <w:hyperlink r:id="rId141" w:history="1">
        <w:r w:rsidRPr="00F05461">
          <w:rPr>
            <w:rStyle w:val="Hyperlink"/>
            <w:rFonts w:eastAsia="Times New Roman" w:cs="Times New Roman"/>
            <w:szCs w:val="20"/>
            <w:lang w:val="es-ES"/>
          </w:rPr>
          <w:t>Resolución</w:t>
        </w:r>
        <w:r w:rsidR="001473A4" w:rsidRPr="00F05461">
          <w:rPr>
            <w:rStyle w:val="Hyperlink"/>
            <w:rFonts w:eastAsia="Times New Roman" w:cs="Times New Roman"/>
            <w:szCs w:val="20"/>
            <w:lang w:val="es-ES"/>
          </w:rPr>
          <w:t> </w:t>
        </w:r>
        <w:r w:rsidRPr="00F05461">
          <w:rPr>
            <w:rStyle w:val="Hyperlink"/>
            <w:rFonts w:eastAsia="Times New Roman" w:cs="Times New Roman"/>
            <w:szCs w:val="20"/>
            <w:lang w:val="es-ES"/>
          </w:rPr>
          <w:t>123 (Rev.</w:t>
        </w:r>
        <w:r w:rsidR="00BE5909" w:rsidRPr="00F05461">
          <w:rPr>
            <w:rStyle w:val="Hyperlink"/>
            <w:rFonts w:eastAsia="Times New Roman" w:cs="Times New Roman"/>
            <w:szCs w:val="20"/>
            <w:lang w:val="es-ES"/>
          </w:rPr>
          <w:t> </w:t>
        </w:r>
        <w:r w:rsidRPr="00F05461">
          <w:rPr>
            <w:rStyle w:val="Hyperlink"/>
            <w:rFonts w:eastAsia="Times New Roman" w:cs="Times New Roman"/>
            <w:szCs w:val="20"/>
            <w:lang w:val="es-ES"/>
          </w:rPr>
          <w:t>Bucarest, 2022)</w:t>
        </w:r>
      </w:hyperlink>
      <w:r w:rsidRPr="00F05461">
        <w:rPr>
          <w:lang w:val="es-ES"/>
        </w:rPr>
        <w:t xml:space="preserve"> de la Conferencia de Plenipotenciarios. Se actualizó por última vez en la</w:t>
      </w:r>
      <w:r w:rsidR="001473A4" w:rsidRPr="00F05461">
        <w:rPr>
          <w:lang w:val="es-ES"/>
        </w:rPr>
        <w:t> </w:t>
      </w:r>
      <w:r w:rsidRPr="00F05461">
        <w:rPr>
          <w:lang w:val="es-ES"/>
        </w:rPr>
        <w:t>AMNT</w:t>
      </w:r>
      <w:r w:rsidR="001473A4" w:rsidRPr="00F05461">
        <w:rPr>
          <w:lang w:val="es-ES"/>
        </w:rPr>
        <w:noBreakHyphen/>
      </w:r>
      <w:r w:rsidRPr="00F05461">
        <w:rPr>
          <w:lang w:val="es-ES"/>
        </w:rPr>
        <w:t xml:space="preserve">24 para reafirmar y aclarar el plan de acción de cuatro puntos (véase la </w:t>
      </w:r>
      <w:hyperlink w:anchor="Figure_15" w:history="1">
        <w:r w:rsidRPr="00F05461">
          <w:rPr>
            <w:rStyle w:val="Hyperlink"/>
            <w:rFonts w:eastAsia="Times New Roman" w:cs="Times New Roman"/>
            <w:szCs w:val="20"/>
            <w:lang w:val="es-ES"/>
          </w:rPr>
          <w:t>Figura</w:t>
        </w:r>
        <w:r w:rsidR="001473A4" w:rsidRPr="00F05461">
          <w:rPr>
            <w:rStyle w:val="Hyperlink"/>
            <w:rFonts w:eastAsia="Times New Roman" w:cs="Times New Roman"/>
            <w:szCs w:val="20"/>
            <w:lang w:val="es-ES"/>
          </w:rPr>
          <w:t> </w:t>
        </w:r>
        <w:r w:rsidRPr="00F05461">
          <w:rPr>
            <w:rStyle w:val="Hyperlink"/>
            <w:rFonts w:eastAsia="Times New Roman" w:cs="Times New Roman"/>
            <w:szCs w:val="20"/>
            <w:lang w:val="es-ES"/>
          </w:rPr>
          <w:t>15</w:t>
        </w:r>
      </w:hyperlink>
      <w:r w:rsidRPr="00F05461">
        <w:rPr>
          <w:lang w:val="es-ES"/>
        </w:rPr>
        <w:t>) de los cuatro</w:t>
      </w:r>
      <w:r w:rsidR="00FD399B" w:rsidRPr="00F05461">
        <w:rPr>
          <w:lang w:val="es-ES"/>
        </w:rPr>
        <w:t> </w:t>
      </w:r>
      <w:r w:rsidRPr="00F05461">
        <w:rPr>
          <w:lang w:val="es-ES"/>
        </w:rPr>
        <w:t>años siguientes.</w:t>
      </w:r>
    </w:p>
    <w:p w14:paraId="5D242910" w14:textId="58ADA050" w:rsidR="00B1145C" w:rsidRPr="00F05461" w:rsidRDefault="00B1145C" w:rsidP="00962050">
      <w:pPr>
        <w:pStyle w:val="Figuretitle"/>
        <w:rPr>
          <w:lang w:val="es-ES"/>
        </w:rPr>
      </w:pPr>
      <w:r w:rsidRPr="00F05461">
        <w:rPr>
          <w:lang w:val="es-ES"/>
        </w:rPr>
        <w:t xml:space="preserve">Plan de </w:t>
      </w:r>
      <w:r w:rsidR="008009CF" w:rsidRPr="00F05461">
        <w:rPr>
          <w:lang w:val="es-ES"/>
        </w:rPr>
        <w:t xml:space="preserve">Acción </w:t>
      </w:r>
      <w:r w:rsidRPr="00F05461">
        <w:rPr>
          <w:lang w:val="es-ES"/>
        </w:rPr>
        <w:t>para la reducción de la brecha de normalización</w:t>
      </w:r>
    </w:p>
    <w:p w14:paraId="1FC0FB19" w14:textId="10219F52" w:rsidR="00C0682D" w:rsidRPr="00F05461" w:rsidRDefault="00C0682D" w:rsidP="00C0682D">
      <w:pPr>
        <w:pStyle w:val="Figure"/>
        <w:rPr>
          <w:lang w:val="es-ES"/>
        </w:rPr>
      </w:pPr>
      <w:r w:rsidRPr="00F05461">
        <w:rPr>
          <w:noProof/>
          <w:lang w:val="es-ES"/>
        </w:rPr>
        <w:drawing>
          <wp:inline distT="0" distB="0" distL="0" distR="0" wp14:anchorId="74E9D132" wp14:editId="43561E7F">
            <wp:extent cx="4752000" cy="200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52000" cy="2001600"/>
                    </a:xfrm>
                    <a:prstGeom prst="rect">
                      <a:avLst/>
                    </a:prstGeom>
                  </pic:spPr>
                </pic:pic>
              </a:graphicData>
            </a:graphic>
          </wp:inline>
        </w:drawing>
      </w:r>
    </w:p>
    <w:p w14:paraId="2272D5A3" w14:textId="771D0C89" w:rsidR="00B1145C" w:rsidRPr="00F05461" w:rsidRDefault="00B1145C" w:rsidP="00D63560">
      <w:pPr>
        <w:pStyle w:val="Figurelegend"/>
        <w:jc w:val="center"/>
        <w:rPr>
          <w:i/>
          <w:iCs/>
          <w:color w:val="1F497D"/>
          <w:lang w:val="es-ES"/>
        </w:rPr>
      </w:pPr>
      <w:bookmarkStart w:id="66" w:name="Figure_15"/>
      <w:bookmarkEnd w:id="66"/>
      <w:r w:rsidRPr="00F05461">
        <w:rPr>
          <w:i/>
          <w:iCs/>
          <w:color w:val="1F497D"/>
          <w:lang w:val="es-ES"/>
        </w:rPr>
        <w:t>Figura</w:t>
      </w:r>
      <w:r w:rsidR="001473A4" w:rsidRPr="00F05461">
        <w:rPr>
          <w:i/>
          <w:iCs/>
          <w:color w:val="1F497D"/>
          <w:lang w:val="es-ES"/>
        </w:rPr>
        <w:t> </w:t>
      </w:r>
      <w:r w:rsidRPr="00F05461">
        <w:rPr>
          <w:i/>
          <w:iCs/>
          <w:color w:val="1F497D"/>
          <w:lang w:val="es-ES"/>
        </w:rPr>
        <w:t xml:space="preserve">15. Plan de </w:t>
      </w:r>
      <w:r w:rsidR="0053561F" w:rsidRPr="00F05461">
        <w:rPr>
          <w:i/>
          <w:iCs/>
          <w:color w:val="1F497D"/>
          <w:lang w:val="es-ES"/>
        </w:rPr>
        <w:t xml:space="preserve">Acción </w:t>
      </w:r>
      <w:r w:rsidRPr="00F05461">
        <w:rPr>
          <w:i/>
          <w:iCs/>
          <w:color w:val="1F497D"/>
          <w:lang w:val="es-ES"/>
        </w:rPr>
        <w:t>para la reducción de la brecha de normalización</w:t>
      </w:r>
    </w:p>
    <w:p w14:paraId="2A7A96BF" w14:textId="0AF15047" w:rsidR="00B1145C" w:rsidRPr="00F05461" w:rsidRDefault="00B1145C" w:rsidP="00962050">
      <w:pPr>
        <w:pStyle w:val="Normalaftertitle"/>
        <w:rPr>
          <w:lang w:val="es-ES"/>
        </w:rPr>
      </w:pPr>
      <w:r w:rsidRPr="00F05461">
        <w:rPr>
          <w:lang w:val="es-ES"/>
        </w:rPr>
        <w:t xml:space="preserve">En consecuencia, el objetivo que persigue </w:t>
      </w:r>
      <w:r w:rsidR="00296F03" w:rsidRPr="00F05461">
        <w:rPr>
          <w:lang w:val="es-ES"/>
        </w:rPr>
        <w:t>la UIT</w:t>
      </w:r>
      <w:r w:rsidRPr="00F05461">
        <w:rPr>
          <w:lang w:val="es-ES"/>
        </w:rPr>
        <w:t xml:space="preserve"> al ejecutar el programa </w:t>
      </w:r>
      <w:hyperlink r:id="rId143" w:history="1">
        <w:r w:rsidRPr="00F05461">
          <w:rPr>
            <w:rStyle w:val="Hyperlink"/>
            <w:rFonts w:eastAsia="Times New Roman" w:cs="Times New Roman"/>
            <w:szCs w:val="20"/>
            <w:lang w:val="es-ES"/>
          </w:rPr>
          <w:t xml:space="preserve">Reducción de la </w:t>
        </w:r>
        <w:r w:rsidR="006C3476" w:rsidRPr="00F05461">
          <w:rPr>
            <w:rStyle w:val="Hyperlink"/>
            <w:rFonts w:eastAsia="Times New Roman" w:cs="Times New Roman"/>
            <w:szCs w:val="20"/>
            <w:lang w:val="es-ES"/>
          </w:rPr>
          <w:t>B</w:t>
        </w:r>
        <w:r w:rsidRPr="00F05461">
          <w:rPr>
            <w:rStyle w:val="Hyperlink"/>
            <w:rFonts w:eastAsia="Times New Roman" w:cs="Times New Roman"/>
            <w:szCs w:val="20"/>
            <w:lang w:val="es-ES"/>
          </w:rPr>
          <w:t xml:space="preserve">recha de </w:t>
        </w:r>
        <w:r w:rsidR="006C3476" w:rsidRPr="00F05461">
          <w:rPr>
            <w:rStyle w:val="Hyperlink"/>
            <w:rFonts w:eastAsia="Times New Roman" w:cs="Times New Roman"/>
            <w:szCs w:val="20"/>
            <w:lang w:val="es-ES"/>
          </w:rPr>
          <w:t>N</w:t>
        </w:r>
        <w:r w:rsidRPr="00F05461">
          <w:rPr>
            <w:rStyle w:val="Hyperlink"/>
            <w:rFonts w:eastAsia="Times New Roman" w:cs="Times New Roman"/>
            <w:szCs w:val="20"/>
            <w:lang w:val="es-ES"/>
          </w:rPr>
          <w:t>ormalización (BSG)</w:t>
        </w:r>
      </w:hyperlink>
      <w:r w:rsidRPr="00F05461">
        <w:rPr>
          <w:lang w:val="es-ES"/>
        </w:rPr>
        <w:t xml:space="preserve"> es mejorar la capacidad de todos los países, en particular los países en desarrollo, para participar en la elaboración y aplicación de normas</w:t>
      </w:r>
      <w:r w:rsidR="00E47DF3" w:rsidRPr="00F05461">
        <w:rPr>
          <w:lang w:val="es-ES"/>
        </w:rPr>
        <w:t> </w:t>
      </w:r>
      <w:r w:rsidRPr="00F05461">
        <w:rPr>
          <w:lang w:val="es-ES"/>
        </w:rPr>
        <w:t>UIT-T.</w:t>
      </w:r>
    </w:p>
    <w:p w14:paraId="3BF5F0A2" w14:textId="45104D63" w:rsidR="00B1145C" w:rsidRPr="00F05461" w:rsidRDefault="00B1145C" w:rsidP="00B1145C">
      <w:pPr>
        <w:rPr>
          <w:lang w:val="es-ES"/>
        </w:rPr>
      </w:pPr>
      <w:r w:rsidRPr="00F05461">
        <w:rPr>
          <w:lang w:val="es-ES"/>
        </w:rPr>
        <w:t>Durante el periodo 2022-2025, la</w:t>
      </w:r>
      <w:r w:rsidR="00801B09" w:rsidRPr="00F05461">
        <w:rPr>
          <w:lang w:val="es-ES"/>
        </w:rPr>
        <w:t> </w:t>
      </w:r>
      <w:r w:rsidRPr="00F05461">
        <w:rPr>
          <w:lang w:val="es-ES"/>
        </w:rPr>
        <w:t>TSB ha continuado con la labor anterior y se ha centrado en las tareas siguientes:</w:t>
      </w:r>
    </w:p>
    <w:p w14:paraId="651D491F" w14:textId="007B99B0" w:rsidR="00B1145C" w:rsidRPr="00F05461" w:rsidRDefault="00B1145C" w:rsidP="001A3930">
      <w:pPr>
        <w:pStyle w:val="enumlev1"/>
        <w:rPr>
          <w:lang w:val="es-ES"/>
        </w:rPr>
      </w:pPr>
      <w:r w:rsidRPr="00F05461">
        <w:rPr>
          <w:lang w:val="es-ES"/>
        </w:rPr>
        <w:t>1</w:t>
      </w:r>
      <w:r w:rsidR="001A3930" w:rsidRPr="00F05461">
        <w:rPr>
          <w:lang w:val="es-ES"/>
        </w:rPr>
        <w:t>)</w:t>
      </w:r>
      <w:r w:rsidRPr="00F05461">
        <w:rPr>
          <w:lang w:val="es-ES"/>
        </w:rPr>
        <w:tab/>
      </w:r>
      <w:r w:rsidRPr="00F05461">
        <w:rPr>
          <w:b/>
          <w:bCs/>
          <w:lang w:val="es-ES"/>
        </w:rPr>
        <w:t>Organizar 62</w:t>
      </w:r>
      <w:r w:rsidR="00E47DF3" w:rsidRPr="00F05461">
        <w:rPr>
          <w:b/>
          <w:bCs/>
          <w:lang w:val="es-ES"/>
        </w:rPr>
        <w:t> </w:t>
      </w:r>
      <w:r w:rsidRPr="00F05461">
        <w:rPr>
          <w:b/>
          <w:bCs/>
          <w:lang w:val="es-ES"/>
        </w:rPr>
        <w:t>reuniones de Grupos Regionales</w:t>
      </w:r>
      <w:r w:rsidRPr="00F05461">
        <w:rPr>
          <w:lang w:val="es-ES"/>
        </w:rPr>
        <w:t xml:space="preserve"> en los </w:t>
      </w:r>
      <w:hyperlink r:id="rId144" w:anchor="/es" w:history="1">
        <w:r w:rsidRPr="00F05461">
          <w:rPr>
            <w:rStyle w:val="Hyperlink"/>
            <w:rFonts w:eastAsia="Times New Roman" w:cs="Times New Roman"/>
            <w:szCs w:val="20"/>
            <w:lang w:val="es-ES"/>
          </w:rPr>
          <w:t>27</w:t>
        </w:r>
        <w:r w:rsidR="001A3930" w:rsidRPr="00F05461">
          <w:rPr>
            <w:rStyle w:val="Hyperlink"/>
            <w:rFonts w:eastAsia="Times New Roman" w:cs="Times New Roman"/>
            <w:szCs w:val="20"/>
            <w:lang w:val="es-ES"/>
          </w:rPr>
          <w:t> </w:t>
        </w:r>
        <w:r w:rsidRPr="00F05461">
          <w:rPr>
            <w:rStyle w:val="Hyperlink"/>
            <w:rFonts w:eastAsia="Times New Roman" w:cs="Times New Roman"/>
            <w:szCs w:val="20"/>
            <w:lang w:val="es-ES"/>
          </w:rPr>
          <w:t>Grupos Regionales actuales</w:t>
        </w:r>
      </w:hyperlink>
      <w:r w:rsidRPr="00F05461">
        <w:rPr>
          <w:lang w:val="es-ES"/>
        </w:rPr>
        <w:t xml:space="preserve"> de las Comisiones de Estudio </w:t>
      </w:r>
      <w:r w:rsidR="00A10309" w:rsidRPr="00F05461">
        <w:rPr>
          <w:lang w:val="es-ES"/>
        </w:rPr>
        <w:t>del UIT</w:t>
      </w:r>
      <w:r w:rsidR="00A10309" w:rsidRPr="00F05461">
        <w:rPr>
          <w:lang w:val="es-ES"/>
        </w:rPr>
        <w:noBreakHyphen/>
      </w:r>
      <w:r w:rsidRPr="00F05461">
        <w:rPr>
          <w:lang w:val="es-ES"/>
        </w:rPr>
        <w:t>T. El grupo más reciente es el Grupo Regional para África de la Comisión de Estudio</w:t>
      </w:r>
      <w:r w:rsidR="00E47DF3" w:rsidRPr="00F05461">
        <w:rPr>
          <w:lang w:val="es-ES"/>
        </w:rPr>
        <w:t> </w:t>
      </w:r>
      <w:r w:rsidRPr="00F05461">
        <w:rPr>
          <w:lang w:val="es-ES"/>
        </w:rPr>
        <w:t xml:space="preserve">15 </w:t>
      </w:r>
      <w:r w:rsidR="00A10309" w:rsidRPr="00F05461">
        <w:rPr>
          <w:lang w:val="es-ES"/>
        </w:rPr>
        <w:t>del UIT</w:t>
      </w:r>
      <w:r w:rsidR="00A10309" w:rsidRPr="00F05461">
        <w:rPr>
          <w:lang w:val="es-ES"/>
        </w:rPr>
        <w:noBreakHyphen/>
      </w:r>
      <w:r w:rsidRPr="00F05461">
        <w:rPr>
          <w:lang w:val="es-ES"/>
        </w:rPr>
        <w:t>T (</w:t>
      </w:r>
      <w:hyperlink r:id="rId145" w:history="1">
        <w:r w:rsidRPr="00F05461">
          <w:rPr>
            <w:rStyle w:val="Hyperlink"/>
            <w:rFonts w:eastAsia="Times New Roman" w:cs="Times New Roman"/>
            <w:szCs w:val="20"/>
            <w:lang w:val="es-ES"/>
          </w:rPr>
          <w:t>GRCE15-AFR</w:t>
        </w:r>
      </w:hyperlink>
      <w:r w:rsidRPr="00F05461">
        <w:rPr>
          <w:lang w:val="es-ES"/>
        </w:rPr>
        <w:t xml:space="preserve">), creado a petición de los Miembros en octubre </w:t>
      </w:r>
      <w:r w:rsidR="00B933C5" w:rsidRPr="00F05461">
        <w:rPr>
          <w:lang w:val="es-ES"/>
        </w:rPr>
        <w:t>de 202</w:t>
      </w:r>
      <w:r w:rsidR="00711F8C" w:rsidRPr="00F05461">
        <w:rPr>
          <w:lang w:val="es-ES"/>
        </w:rPr>
        <w:t>5</w:t>
      </w:r>
      <w:r w:rsidRPr="00F05461">
        <w:rPr>
          <w:lang w:val="es-ES"/>
        </w:rPr>
        <w:t xml:space="preserve">. Los Grupos Regionales son </w:t>
      </w:r>
      <w:proofErr w:type="gramStart"/>
      <w:r w:rsidRPr="00F05461">
        <w:rPr>
          <w:lang w:val="es-ES"/>
        </w:rPr>
        <w:t>mecanismo eficaces</w:t>
      </w:r>
      <w:proofErr w:type="gramEnd"/>
      <w:r w:rsidRPr="00F05461">
        <w:rPr>
          <w:lang w:val="es-ES"/>
        </w:rPr>
        <w:t xml:space="preserve"> para abordar los problemas locales, promover las contribuciones a </w:t>
      </w:r>
      <w:r w:rsidR="00296F03" w:rsidRPr="00F05461">
        <w:rPr>
          <w:lang w:val="es-ES"/>
        </w:rPr>
        <w:t>la UIT</w:t>
      </w:r>
      <w:r w:rsidRPr="00F05461">
        <w:rPr>
          <w:lang w:val="es-ES"/>
        </w:rPr>
        <w:t xml:space="preserve"> y aumentar el número y la calidad de las contribuciones técnicas de países en desarrollo.</w:t>
      </w:r>
    </w:p>
    <w:p w14:paraId="2F8B1509" w14:textId="0A82FA51" w:rsidR="00B1145C" w:rsidRPr="00F05461" w:rsidRDefault="00B1145C" w:rsidP="001A3930">
      <w:pPr>
        <w:pStyle w:val="enumlev1"/>
        <w:rPr>
          <w:lang w:val="es-ES"/>
        </w:rPr>
      </w:pPr>
      <w:r w:rsidRPr="00F05461">
        <w:rPr>
          <w:lang w:val="es-ES"/>
        </w:rPr>
        <w:t>2</w:t>
      </w:r>
      <w:r w:rsidR="001A3930" w:rsidRPr="00F05461">
        <w:rPr>
          <w:lang w:val="es-ES"/>
        </w:rPr>
        <w:t>)</w:t>
      </w:r>
      <w:r w:rsidRPr="00F05461">
        <w:rPr>
          <w:lang w:val="es-ES"/>
        </w:rPr>
        <w:tab/>
        <w:t xml:space="preserve">Conceder </w:t>
      </w:r>
      <w:r w:rsidRPr="00F05461">
        <w:rPr>
          <w:b/>
          <w:bCs/>
          <w:lang w:val="es-ES"/>
        </w:rPr>
        <w:t>becas</w:t>
      </w:r>
      <w:r w:rsidRPr="00F05461">
        <w:rPr>
          <w:lang w:val="es-ES"/>
        </w:rPr>
        <w:t xml:space="preserve"> para animar a los delegados </w:t>
      </w:r>
      <w:r w:rsidR="00A10309" w:rsidRPr="00F05461">
        <w:rPr>
          <w:lang w:val="es-ES"/>
        </w:rPr>
        <w:t>del UIT</w:t>
      </w:r>
      <w:r w:rsidR="00A10309" w:rsidRPr="00F05461">
        <w:rPr>
          <w:lang w:val="es-ES"/>
        </w:rPr>
        <w:noBreakHyphen/>
      </w:r>
      <w:r w:rsidRPr="00F05461">
        <w:rPr>
          <w:lang w:val="es-ES"/>
        </w:rPr>
        <w:t>T procedentes de países en desarrollo que reúnen los requisitos a implicarse y continuar participando activamente. Durante el periodo sobre el que se informa, se concedieron 713</w:t>
      </w:r>
      <w:r w:rsidR="00E47DF3" w:rsidRPr="00F05461">
        <w:rPr>
          <w:lang w:val="es-ES"/>
        </w:rPr>
        <w:t> </w:t>
      </w:r>
      <w:r w:rsidRPr="00F05461">
        <w:rPr>
          <w:lang w:val="es-ES"/>
        </w:rPr>
        <w:t xml:space="preserve">becas, teniendo en cuenta la idoneidad de cada candidato y priorizando la distribución equitativa en términos de región, género y delegados con necesidades específicas de conformidad con la Orden de Servicio 21/02, Política de concesión de becas para eventos y actividades financiados con cargo al presupuesto ordinario de </w:t>
      </w:r>
      <w:r w:rsidR="00296F03" w:rsidRPr="00F05461">
        <w:rPr>
          <w:lang w:val="es-ES"/>
        </w:rPr>
        <w:t>la UIT</w:t>
      </w:r>
      <w:r w:rsidRPr="00F05461">
        <w:rPr>
          <w:lang w:val="es-ES"/>
        </w:rPr>
        <w:t>.</w:t>
      </w:r>
    </w:p>
    <w:p w14:paraId="05B2CDE5" w14:textId="02ABEFD2" w:rsidR="00B1145C" w:rsidRPr="00F05461" w:rsidRDefault="00B1145C" w:rsidP="002E07EB">
      <w:pPr>
        <w:pStyle w:val="enumlev1"/>
        <w:keepNext/>
        <w:keepLines/>
        <w:rPr>
          <w:lang w:val="es-ES"/>
        </w:rPr>
      </w:pPr>
      <w:r w:rsidRPr="00F05461">
        <w:rPr>
          <w:lang w:val="es-ES"/>
        </w:rPr>
        <w:lastRenderedPageBreak/>
        <w:t>3</w:t>
      </w:r>
      <w:r w:rsidR="001A3930" w:rsidRPr="00F05461">
        <w:rPr>
          <w:lang w:val="es-ES"/>
        </w:rPr>
        <w:t>)</w:t>
      </w:r>
      <w:r w:rsidRPr="00F05461">
        <w:rPr>
          <w:lang w:val="es-ES"/>
        </w:rPr>
        <w:tab/>
        <w:t xml:space="preserve">Ampliar el contenido y la impartición de la </w:t>
      </w:r>
      <w:r w:rsidRPr="00F05461">
        <w:rPr>
          <w:b/>
          <w:bCs/>
          <w:lang w:val="es-ES"/>
        </w:rPr>
        <w:t>formación</w:t>
      </w:r>
      <w:r w:rsidRPr="00F05461">
        <w:rPr>
          <w:lang w:val="es-ES"/>
        </w:rPr>
        <w:t xml:space="preserve"> a fin de satisfacer de manera más cabal las necesidades de los delegados nuevos y experimentados de países en desarrollo, incluidos los que ocupan o desean ocupar cargos directivos. La formación mejorada se imparte a través de </w:t>
      </w:r>
      <w:hyperlink r:id="rId146" w:history="1">
        <w:r w:rsidRPr="00F05461">
          <w:rPr>
            <w:rStyle w:val="Hyperlink"/>
            <w:rFonts w:eastAsia="Times New Roman" w:cs="Times New Roman"/>
            <w:szCs w:val="20"/>
            <w:lang w:val="es-ES"/>
          </w:rPr>
          <w:t>módulos en línea</w:t>
        </w:r>
      </w:hyperlink>
      <w:r w:rsidRPr="00F05461">
        <w:rPr>
          <w:lang w:val="es-ES"/>
        </w:rPr>
        <w:t>, reuniones electrónicas independientes y eventos presenciales, a menudo en paralelo con las reuniones de las Comisiones de Estudio o de los Grupos Regionales, hace más hincapié en las competencias prácticas y el aprendizaje interactivo e integra perfectamente los requisitos de creación de capacidad de las Resoluciones</w:t>
      </w:r>
      <w:r w:rsidR="001473A4" w:rsidRPr="00F05461">
        <w:rPr>
          <w:lang w:val="es-ES"/>
        </w:rPr>
        <w:t> </w:t>
      </w:r>
      <w:hyperlink r:id="rId147" w:history="1">
        <w:r w:rsidRPr="00F05461">
          <w:rPr>
            <w:rStyle w:val="Hyperlink"/>
            <w:rFonts w:eastAsia="Times New Roman" w:cs="Times New Roman"/>
            <w:szCs w:val="20"/>
            <w:lang w:val="es-ES"/>
          </w:rPr>
          <w:t>55</w:t>
        </w:r>
      </w:hyperlink>
      <w:r w:rsidRPr="00F05461">
        <w:rPr>
          <w:lang w:val="es-ES"/>
        </w:rPr>
        <w:t xml:space="preserve"> (igualdad de género) y </w:t>
      </w:r>
      <w:hyperlink r:id="rId148" w:history="1">
        <w:r w:rsidRPr="00F05461">
          <w:rPr>
            <w:rStyle w:val="Hyperlink"/>
            <w:rFonts w:eastAsia="Times New Roman" w:cs="Times New Roman"/>
            <w:szCs w:val="20"/>
            <w:lang w:val="es-ES"/>
          </w:rPr>
          <w:t>107</w:t>
        </w:r>
      </w:hyperlink>
      <w:r w:rsidRPr="00F05461">
        <w:rPr>
          <w:lang w:val="es-ES"/>
        </w:rPr>
        <w:t xml:space="preserve"> (próxima generación de expertos) de la</w:t>
      </w:r>
      <w:r w:rsidR="001473A4" w:rsidRPr="00F05461">
        <w:rPr>
          <w:lang w:val="es-ES"/>
        </w:rPr>
        <w:t> </w:t>
      </w:r>
      <w:r w:rsidRPr="00F05461">
        <w:rPr>
          <w:lang w:val="es-ES"/>
        </w:rPr>
        <w:t>AMNT. Solo en 2025 se celebraron 62</w:t>
      </w:r>
      <w:r w:rsidR="001473A4" w:rsidRPr="00F05461">
        <w:rPr>
          <w:lang w:val="es-ES"/>
        </w:rPr>
        <w:t> </w:t>
      </w:r>
      <w:r w:rsidRPr="00F05461">
        <w:rPr>
          <w:lang w:val="es-ES"/>
        </w:rPr>
        <w:t>eventos de capacitación presenciales y en línea, con más de 1</w:t>
      </w:r>
      <w:r w:rsidR="001473A4" w:rsidRPr="00F05461">
        <w:rPr>
          <w:lang w:val="es-ES"/>
        </w:rPr>
        <w:t> </w:t>
      </w:r>
      <w:r w:rsidRPr="00F05461">
        <w:rPr>
          <w:lang w:val="es-ES"/>
        </w:rPr>
        <w:t>000</w:t>
      </w:r>
      <w:r w:rsidR="001473A4" w:rsidRPr="00F05461">
        <w:rPr>
          <w:lang w:val="es-ES"/>
        </w:rPr>
        <w:t> </w:t>
      </w:r>
      <w:r w:rsidRPr="00F05461">
        <w:rPr>
          <w:lang w:val="es-ES"/>
        </w:rPr>
        <w:t>participantes (</w:t>
      </w:r>
      <w:r w:rsidR="001473A4" w:rsidRPr="00F05461">
        <w:rPr>
          <w:lang w:val="es-ES"/>
        </w:rPr>
        <w:t>v</w:t>
      </w:r>
      <w:r w:rsidRPr="00F05461">
        <w:rPr>
          <w:lang w:val="es-ES"/>
        </w:rPr>
        <w:t xml:space="preserve">éase más información en la </w:t>
      </w:r>
      <w:hyperlink w:anchor="_4.8.5.3_Seminarios_y" w:history="1">
        <w:r w:rsidR="00026A3E" w:rsidRPr="00F05461">
          <w:rPr>
            <w:rStyle w:val="Hyperlink"/>
            <w:rFonts w:eastAsia="Times New Roman" w:cs="Times New Roman"/>
            <w:szCs w:val="20"/>
            <w:lang w:val="es-ES"/>
          </w:rPr>
          <w:t>s</w:t>
        </w:r>
        <w:r w:rsidRPr="00F05461">
          <w:rPr>
            <w:rStyle w:val="Hyperlink"/>
            <w:rFonts w:eastAsia="Times New Roman" w:cs="Times New Roman"/>
            <w:szCs w:val="20"/>
            <w:lang w:val="es-ES"/>
          </w:rPr>
          <w:t>ección</w:t>
        </w:r>
        <w:r w:rsidR="001473A4" w:rsidRPr="00F05461">
          <w:rPr>
            <w:rStyle w:val="Hyperlink"/>
            <w:rFonts w:eastAsia="Times New Roman" w:cs="Times New Roman"/>
            <w:szCs w:val="20"/>
            <w:lang w:val="es-ES"/>
          </w:rPr>
          <w:t> </w:t>
        </w:r>
        <w:r w:rsidRPr="00F05461">
          <w:rPr>
            <w:rStyle w:val="Hyperlink"/>
            <w:rFonts w:eastAsia="Times New Roman" w:cs="Times New Roman"/>
            <w:szCs w:val="20"/>
            <w:lang w:val="es-ES"/>
          </w:rPr>
          <w:t>4.8.5.3</w:t>
        </w:r>
      </w:hyperlink>
      <w:r w:rsidRPr="00F05461">
        <w:rPr>
          <w:lang w:val="es-ES"/>
        </w:rPr>
        <w:t>)</w:t>
      </w:r>
      <w:r w:rsidR="001473A4" w:rsidRPr="00F05461">
        <w:rPr>
          <w:lang w:val="es-ES"/>
        </w:rPr>
        <w:t>.</w:t>
      </w:r>
    </w:p>
    <w:p w14:paraId="37917294" w14:textId="19695900" w:rsidR="00B1145C" w:rsidRPr="00F05461" w:rsidRDefault="00B1145C" w:rsidP="001A3930">
      <w:pPr>
        <w:pStyle w:val="enumlev1"/>
        <w:rPr>
          <w:lang w:val="es-ES"/>
        </w:rPr>
      </w:pPr>
      <w:r w:rsidRPr="00F05461">
        <w:rPr>
          <w:lang w:val="es-ES"/>
        </w:rPr>
        <w:t>4</w:t>
      </w:r>
      <w:r w:rsidR="001A3930" w:rsidRPr="00F05461">
        <w:rPr>
          <w:lang w:val="es-ES"/>
        </w:rPr>
        <w:t>)</w:t>
      </w:r>
      <w:r w:rsidRPr="00F05461">
        <w:rPr>
          <w:lang w:val="es-ES"/>
        </w:rPr>
        <w:tab/>
      </w:r>
      <w:r w:rsidRPr="00F05461">
        <w:rPr>
          <w:b/>
          <w:bCs/>
          <w:lang w:val="es-ES"/>
        </w:rPr>
        <w:t>Mejorar los métodos de trabajo electrónicos</w:t>
      </w:r>
      <w:r w:rsidRPr="00F05461">
        <w:rPr>
          <w:lang w:val="es-ES"/>
        </w:rPr>
        <w:t xml:space="preserve"> para facilitar la participación de delegados de países en desarrollo, principalmente por conducto de la </w:t>
      </w:r>
      <w:hyperlink r:id="rId149" w:history="1">
        <w:r w:rsidRPr="00F05461">
          <w:rPr>
            <w:rStyle w:val="Hyperlink"/>
            <w:rFonts w:eastAsia="Times New Roman" w:cs="Times New Roman"/>
            <w:szCs w:val="20"/>
            <w:lang w:val="es-ES"/>
          </w:rPr>
          <w:t>plataforma MyWorkspace</w:t>
        </w:r>
      </w:hyperlink>
      <w:r w:rsidRPr="00F05461">
        <w:rPr>
          <w:lang w:val="es-ES"/>
        </w:rPr>
        <w:t xml:space="preserve">, y la mejora de los servicios lingüísticos, como la traducción automática a la carta de los documentos de reuniones oficiales a través del Sistema de gestión de documentos de </w:t>
      </w:r>
      <w:r w:rsidR="00296F03" w:rsidRPr="00F05461">
        <w:rPr>
          <w:lang w:val="es-ES"/>
        </w:rPr>
        <w:t>la UIT</w:t>
      </w:r>
      <w:r w:rsidRPr="00F05461">
        <w:rPr>
          <w:lang w:val="es-ES"/>
        </w:rPr>
        <w:t xml:space="preserve">. Estas mejoras refuerzan la aplicación por </w:t>
      </w:r>
      <w:r w:rsidR="00296F03" w:rsidRPr="00F05461">
        <w:rPr>
          <w:lang w:val="es-ES"/>
        </w:rPr>
        <w:t>la UIT</w:t>
      </w:r>
      <w:r w:rsidRPr="00F05461">
        <w:rPr>
          <w:lang w:val="es-ES"/>
        </w:rPr>
        <w:t xml:space="preserve"> de las Resoluciones</w:t>
      </w:r>
      <w:r w:rsidR="00F811A4" w:rsidRPr="00F05461">
        <w:rPr>
          <w:lang w:val="es-ES"/>
        </w:rPr>
        <w:t> </w:t>
      </w:r>
      <w:hyperlink r:id="rId150" w:history="1">
        <w:r w:rsidRPr="00F05461">
          <w:rPr>
            <w:rStyle w:val="Hyperlink"/>
            <w:rFonts w:eastAsia="Times New Roman" w:cs="Times New Roman"/>
            <w:szCs w:val="20"/>
            <w:lang w:val="es-ES"/>
          </w:rPr>
          <w:t>32</w:t>
        </w:r>
      </w:hyperlink>
      <w:r w:rsidRPr="00F05461">
        <w:rPr>
          <w:lang w:val="es-ES"/>
        </w:rPr>
        <w:t xml:space="preserve"> (fortalecimiento de los métodos de trabajo electrónicos) y </w:t>
      </w:r>
      <w:hyperlink r:id="rId151" w:history="1">
        <w:r w:rsidRPr="00F05461">
          <w:rPr>
            <w:rStyle w:val="Hyperlink"/>
            <w:rFonts w:eastAsia="Times New Roman" w:cs="Times New Roman"/>
            <w:szCs w:val="20"/>
            <w:lang w:val="es-ES"/>
          </w:rPr>
          <w:t>67</w:t>
        </w:r>
      </w:hyperlink>
      <w:r w:rsidRPr="00F05461">
        <w:rPr>
          <w:lang w:val="es-ES"/>
        </w:rPr>
        <w:t xml:space="preserve"> (utilización de los seis idiomas oficiales en igualdad de condiciones) de la</w:t>
      </w:r>
      <w:r w:rsidR="001473A4" w:rsidRPr="00F05461">
        <w:rPr>
          <w:lang w:val="es-ES"/>
        </w:rPr>
        <w:t> </w:t>
      </w:r>
      <w:r w:rsidRPr="00F05461">
        <w:rPr>
          <w:lang w:val="es-ES"/>
        </w:rPr>
        <w:t>AMNT.</w:t>
      </w:r>
    </w:p>
    <w:p w14:paraId="61E56DEE" w14:textId="56C10EA1" w:rsidR="00B1145C" w:rsidRPr="00F05461" w:rsidRDefault="00B1145C" w:rsidP="001A3930">
      <w:pPr>
        <w:pStyle w:val="enumlev1"/>
        <w:rPr>
          <w:lang w:val="es-ES"/>
        </w:rPr>
      </w:pPr>
      <w:r w:rsidRPr="00F05461">
        <w:rPr>
          <w:lang w:val="es-ES"/>
        </w:rPr>
        <w:t>5</w:t>
      </w:r>
      <w:r w:rsidR="001A3930" w:rsidRPr="00F05461">
        <w:rPr>
          <w:lang w:val="es-ES"/>
        </w:rPr>
        <w:t>)</w:t>
      </w:r>
      <w:r w:rsidRPr="00F05461">
        <w:rPr>
          <w:lang w:val="es-ES"/>
        </w:rPr>
        <w:tab/>
      </w:r>
      <w:r w:rsidRPr="00F05461">
        <w:rPr>
          <w:b/>
          <w:bCs/>
          <w:lang w:val="es-ES"/>
        </w:rPr>
        <w:t>Colaborar con los socios</w:t>
      </w:r>
      <w:r w:rsidRPr="00F05461">
        <w:rPr>
          <w:lang w:val="es-ES"/>
        </w:rPr>
        <w:t>, incluidos los patrocinadores y anfitriones, y con la</w:t>
      </w:r>
      <w:r w:rsidR="000675DC" w:rsidRPr="00F05461">
        <w:rPr>
          <w:lang w:val="es-ES"/>
        </w:rPr>
        <w:t> </w:t>
      </w:r>
      <w:r w:rsidRPr="00F05461">
        <w:rPr>
          <w:lang w:val="es-ES"/>
        </w:rPr>
        <w:t xml:space="preserve">BDT y las Oficinas Regionales y Zonales de </w:t>
      </w:r>
      <w:r w:rsidR="00296F03" w:rsidRPr="00F05461">
        <w:rPr>
          <w:lang w:val="es-ES"/>
        </w:rPr>
        <w:t>la UIT</w:t>
      </w:r>
      <w:r w:rsidRPr="00F05461">
        <w:rPr>
          <w:lang w:val="es-ES"/>
        </w:rPr>
        <w:t xml:space="preserve"> para sensibilizar y crear capacidad regional. En la Resolución</w:t>
      </w:r>
      <w:r w:rsidR="001473A4" w:rsidRPr="00F05461">
        <w:rPr>
          <w:lang w:val="es-ES"/>
        </w:rPr>
        <w:t> </w:t>
      </w:r>
      <w:r w:rsidRPr="00F05461">
        <w:rPr>
          <w:lang w:val="es-ES"/>
        </w:rPr>
        <w:t>44 de la</w:t>
      </w:r>
      <w:r w:rsidR="001473A4" w:rsidRPr="00F05461">
        <w:rPr>
          <w:lang w:val="es-ES"/>
        </w:rPr>
        <w:t> </w:t>
      </w:r>
      <w:r w:rsidRPr="00F05461">
        <w:rPr>
          <w:lang w:val="es-ES"/>
        </w:rPr>
        <w:t>AMNT se invita a todas las partes interesadas a realizar contribuciones voluntarias a fin de facilitar los esfuerzos realizados por el</w:t>
      </w:r>
      <w:r w:rsidR="00BE5909" w:rsidRPr="00F05461">
        <w:rPr>
          <w:lang w:val="es-ES"/>
        </w:rPr>
        <w:t> </w:t>
      </w:r>
      <w:r w:rsidRPr="00F05461">
        <w:rPr>
          <w:lang w:val="es-ES"/>
        </w:rPr>
        <w:t>UIT</w:t>
      </w:r>
      <w:r w:rsidR="00BE5909" w:rsidRPr="00F05461">
        <w:rPr>
          <w:lang w:val="es-ES"/>
        </w:rPr>
        <w:noBreakHyphen/>
      </w:r>
      <w:r w:rsidRPr="00F05461">
        <w:rPr>
          <w:lang w:val="es-ES"/>
        </w:rPr>
        <w:t>T para reducir la brecha de normalización. Por ejemplo, el Ministerio de Asuntos Internos y Comunicaciones de Japón viene respaldando las actividades des</w:t>
      </w:r>
      <w:r w:rsidR="00B933C5" w:rsidRPr="00F05461">
        <w:rPr>
          <w:lang w:val="es-ES"/>
        </w:rPr>
        <w:t>de 202</w:t>
      </w:r>
      <w:r w:rsidR="00711F8C" w:rsidRPr="00F05461">
        <w:rPr>
          <w:lang w:val="es-ES"/>
        </w:rPr>
        <w:t>3</w:t>
      </w:r>
      <w:r w:rsidRPr="00F05461">
        <w:rPr>
          <w:lang w:val="es-ES"/>
        </w:rPr>
        <w:t xml:space="preserve">, y de forma más reciente a través del proyecto </w:t>
      </w:r>
      <w:hyperlink r:id="rId152" w:history="1">
        <w:r w:rsidR="00276E5C">
          <w:rPr>
            <w:rStyle w:val="Hyperlink"/>
            <w:rFonts w:eastAsia="Times New Roman" w:cs="Times New Roman"/>
            <w:szCs w:val="20"/>
            <w:lang w:val="es-ES"/>
          </w:rPr>
          <w:t>Capacitación en Tecnología y Normalización de la IA en Asia-Pacífico</w:t>
        </w:r>
      </w:hyperlink>
      <w:r w:rsidRPr="00F05461">
        <w:rPr>
          <w:lang w:val="es-ES"/>
        </w:rPr>
        <w:t xml:space="preserve">, que hasta diciembre </w:t>
      </w:r>
      <w:r w:rsidR="00B933C5" w:rsidRPr="00F05461">
        <w:rPr>
          <w:lang w:val="es-ES"/>
        </w:rPr>
        <w:t>de 202</w:t>
      </w:r>
      <w:r w:rsidR="00711F8C" w:rsidRPr="00F05461">
        <w:rPr>
          <w:lang w:val="es-ES"/>
        </w:rPr>
        <w:t>5</w:t>
      </w:r>
      <w:r w:rsidRPr="00F05461">
        <w:rPr>
          <w:lang w:val="es-ES"/>
        </w:rPr>
        <w:t xml:space="preserve"> había impartido cuatro talleres de capacitación en toda la región de Asia para más de 200</w:t>
      </w:r>
      <w:r w:rsidR="00BE5909" w:rsidRPr="00F05461">
        <w:rPr>
          <w:lang w:val="es-ES"/>
        </w:rPr>
        <w:t> </w:t>
      </w:r>
      <w:r w:rsidRPr="00F05461">
        <w:rPr>
          <w:lang w:val="es-ES"/>
        </w:rPr>
        <w:t>participantes en el</w:t>
      </w:r>
      <w:r w:rsidR="00BE5909" w:rsidRPr="00F05461">
        <w:rPr>
          <w:lang w:val="es-ES"/>
        </w:rPr>
        <w:t> </w:t>
      </w:r>
      <w:r w:rsidRPr="00F05461">
        <w:rPr>
          <w:lang w:val="es-ES"/>
        </w:rPr>
        <w:t>BSG.</w:t>
      </w:r>
    </w:p>
    <w:p w14:paraId="39B73F51" w14:textId="06303F6E" w:rsidR="00B1145C" w:rsidRPr="00F05461" w:rsidRDefault="00B1145C" w:rsidP="001A3930">
      <w:pPr>
        <w:pStyle w:val="enumlev1"/>
        <w:rPr>
          <w:lang w:val="es-ES"/>
        </w:rPr>
      </w:pPr>
      <w:r w:rsidRPr="00F05461">
        <w:rPr>
          <w:lang w:val="es-ES"/>
        </w:rPr>
        <w:t>6</w:t>
      </w:r>
      <w:r w:rsidR="001A3930" w:rsidRPr="00F05461">
        <w:rPr>
          <w:lang w:val="es-ES"/>
        </w:rPr>
        <w:t>)</w:t>
      </w:r>
      <w:r w:rsidRPr="00F05461">
        <w:rPr>
          <w:lang w:val="es-ES"/>
        </w:rPr>
        <w:tab/>
        <w:t xml:space="preserve">Simplificar y armonizar </w:t>
      </w:r>
      <w:r w:rsidRPr="00F05461">
        <w:rPr>
          <w:b/>
          <w:bCs/>
          <w:lang w:val="es-ES"/>
        </w:rPr>
        <w:t>los análisis de datos internos, los métodos de trabajo y la integración de los delegados</w:t>
      </w:r>
      <w:r w:rsidRPr="00F05461">
        <w:rPr>
          <w:lang w:val="es-ES"/>
        </w:rPr>
        <w:t xml:space="preserve">, a fin de ayudar a los delegados, y en particular a los procedentes de países en desarrollo, a contribuir eficazmente a los eventos </w:t>
      </w:r>
      <w:r w:rsidR="00A10309" w:rsidRPr="00F05461">
        <w:rPr>
          <w:lang w:val="es-ES"/>
        </w:rPr>
        <w:t>del UIT</w:t>
      </w:r>
      <w:r w:rsidR="00A10309" w:rsidRPr="00F05461">
        <w:rPr>
          <w:lang w:val="es-ES"/>
        </w:rPr>
        <w:noBreakHyphen/>
      </w:r>
      <w:r w:rsidRPr="00F05461">
        <w:rPr>
          <w:lang w:val="es-ES"/>
        </w:rPr>
        <w:t>T y de informar al Consejo, a la</w:t>
      </w:r>
      <w:r w:rsidR="001473A4" w:rsidRPr="00F05461">
        <w:rPr>
          <w:lang w:val="es-ES"/>
        </w:rPr>
        <w:t> </w:t>
      </w:r>
      <w:r w:rsidRPr="00F05461">
        <w:rPr>
          <w:lang w:val="es-ES"/>
        </w:rPr>
        <w:t>AMNT y al Grupo Asesor de Normalización de las Telecomunicaciones sobre los avances en la aplicación de la Resolución</w:t>
      </w:r>
      <w:r w:rsidR="001473A4" w:rsidRPr="00F05461">
        <w:rPr>
          <w:lang w:val="es-ES"/>
        </w:rPr>
        <w:t> </w:t>
      </w:r>
      <w:r w:rsidRPr="00F05461">
        <w:rPr>
          <w:lang w:val="es-ES"/>
        </w:rPr>
        <w:t>44 de la</w:t>
      </w:r>
      <w:r w:rsidR="001473A4" w:rsidRPr="00F05461">
        <w:rPr>
          <w:lang w:val="es-ES"/>
        </w:rPr>
        <w:t> </w:t>
      </w:r>
      <w:r w:rsidRPr="00F05461">
        <w:rPr>
          <w:lang w:val="es-ES"/>
        </w:rPr>
        <w:t>AMNT.</w:t>
      </w:r>
    </w:p>
    <w:p w14:paraId="4604E9EE" w14:textId="42C5FF00" w:rsidR="00B1145C" w:rsidRPr="00F05461" w:rsidRDefault="00B1145C" w:rsidP="001A3930">
      <w:pPr>
        <w:pStyle w:val="enumlev1"/>
        <w:rPr>
          <w:lang w:val="es-ES"/>
        </w:rPr>
      </w:pPr>
      <w:r w:rsidRPr="00F05461">
        <w:rPr>
          <w:lang w:val="es-ES"/>
        </w:rPr>
        <w:t>7</w:t>
      </w:r>
      <w:r w:rsidR="001A3930" w:rsidRPr="00F05461">
        <w:rPr>
          <w:lang w:val="es-ES"/>
        </w:rPr>
        <w:t>)</w:t>
      </w:r>
      <w:r w:rsidRPr="00F05461">
        <w:rPr>
          <w:lang w:val="es-ES"/>
        </w:rPr>
        <w:tab/>
        <w:t xml:space="preserve">Promover las </w:t>
      </w:r>
      <w:hyperlink r:id="rId153" w:history="1">
        <w:r w:rsidRPr="00F05461">
          <w:rPr>
            <w:rStyle w:val="Hyperlink"/>
            <w:rFonts w:eastAsia="Times New Roman" w:cs="Times New Roman"/>
            <w:szCs w:val="20"/>
            <w:lang w:val="es-ES"/>
          </w:rPr>
          <w:t>directrices para la creación de secretarías nacionales de normalización</w:t>
        </w:r>
      </w:hyperlink>
      <w:r w:rsidRPr="00F05461">
        <w:rPr>
          <w:lang w:val="es-ES"/>
        </w:rPr>
        <w:t xml:space="preserve">, en las que se establecen mecanismos prácticos para desarrollar estructuras y procedimientos nacionales que promuevan la participación efectiva en las actividades </w:t>
      </w:r>
      <w:r w:rsidR="00A10309" w:rsidRPr="00F05461">
        <w:rPr>
          <w:lang w:val="es-ES"/>
        </w:rPr>
        <w:t>del UIT</w:t>
      </w:r>
      <w:r w:rsidR="00A10309" w:rsidRPr="00F05461">
        <w:rPr>
          <w:lang w:val="es-ES"/>
        </w:rPr>
        <w:noBreakHyphen/>
      </w:r>
      <w:r w:rsidRPr="00F05461">
        <w:rPr>
          <w:lang w:val="es-ES"/>
        </w:rPr>
        <w:t>T, en consonancia con las prioridades nacionales de normalización.</w:t>
      </w:r>
    </w:p>
    <w:p w14:paraId="458F31B1" w14:textId="54EB0B70" w:rsidR="00B1145C" w:rsidRPr="00F05461" w:rsidRDefault="00B1145C" w:rsidP="001A3930">
      <w:pPr>
        <w:pStyle w:val="enumlev1"/>
        <w:rPr>
          <w:lang w:val="es-ES"/>
        </w:rPr>
      </w:pPr>
      <w:r w:rsidRPr="00F05461">
        <w:rPr>
          <w:lang w:val="es-ES"/>
        </w:rPr>
        <w:t>8</w:t>
      </w:r>
      <w:r w:rsidR="001A3930" w:rsidRPr="00F05461">
        <w:rPr>
          <w:lang w:val="es-ES"/>
        </w:rPr>
        <w:t>)</w:t>
      </w:r>
      <w:r w:rsidRPr="00F05461">
        <w:rPr>
          <w:lang w:val="es-ES"/>
        </w:rPr>
        <w:tab/>
        <w:t>Participar en una serie de iniciativas que fomentan la aplicación de las Recomendaciones</w:t>
      </w:r>
      <w:r w:rsidR="00897A16" w:rsidRPr="00F05461">
        <w:rPr>
          <w:lang w:val="es-ES"/>
        </w:rPr>
        <w:t> </w:t>
      </w:r>
      <w:r w:rsidRPr="00F05461">
        <w:rPr>
          <w:lang w:val="es-ES"/>
        </w:rPr>
        <w:t xml:space="preserve">UIT-T sobre, entre otras cosas, los </w:t>
      </w:r>
      <w:hyperlink r:id="rId154" w:history="1">
        <w:r w:rsidRPr="00F05461">
          <w:rPr>
            <w:rStyle w:val="Hyperlink"/>
            <w:rFonts w:eastAsia="Times New Roman" w:cs="Times New Roman"/>
            <w:szCs w:val="20"/>
            <w:lang w:val="es-ES"/>
          </w:rPr>
          <w:t>residuos electrónicos</w:t>
        </w:r>
      </w:hyperlink>
      <w:r w:rsidRPr="00F05461">
        <w:rPr>
          <w:lang w:val="es-ES"/>
        </w:rPr>
        <w:t xml:space="preserve">, el </w:t>
      </w:r>
      <w:hyperlink r:id="rId155" w:history="1">
        <w:r w:rsidRPr="00F05461">
          <w:rPr>
            <w:rStyle w:val="Hyperlink"/>
            <w:rFonts w:eastAsia="Times New Roman" w:cs="Times New Roman"/>
            <w:szCs w:val="20"/>
            <w:lang w:val="es-ES"/>
          </w:rPr>
          <w:t>laboratorio de seguridad de los servicios financieros digitales</w:t>
        </w:r>
      </w:hyperlink>
      <w:r w:rsidRPr="00F05461">
        <w:rPr>
          <w:lang w:val="es-ES"/>
        </w:rPr>
        <w:t xml:space="preserve">, la iniciativa Unidos por las </w:t>
      </w:r>
      <w:r w:rsidR="00127C89" w:rsidRPr="00F05461">
        <w:rPr>
          <w:lang w:val="es-ES"/>
        </w:rPr>
        <w:t xml:space="preserve">Ciudades Inteligentes </w:t>
      </w:r>
      <w:r w:rsidRPr="00F05461">
        <w:rPr>
          <w:lang w:val="es-ES"/>
        </w:rPr>
        <w:t xml:space="preserve">y </w:t>
      </w:r>
      <w:r w:rsidR="00127C89" w:rsidRPr="00F05461">
        <w:rPr>
          <w:lang w:val="es-ES"/>
        </w:rPr>
        <w:t xml:space="preserve">Sostenibles </w:t>
      </w:r>
      <w:r w:rsidRPr="00F05461">
        <w:rPr>
          <w:lang w:val="es-ES"/>
        </w:rPr>
        <w:t>(</w:t>
      </w:r>
      <w:hyperlink r:id="rId156" w:history="1">
        <w:r w:rsidRPr="00F05461">
          <w:rPr>
            <w:rStyle w:val="Hyperlink"/>
            <w:rFonts w:eastAsia="Times New Roman" w:cs="Times New Roman"/>
            <w:szCs w:val="20"/>
            <w:lang w:val="es-ES"/>
          </w:rPr>
          <w:t>U4SSC</w:t>
        </w:r>
      </w:hyperlink>
      <w:r w:rsidRPr="00F05461">
        <w:rPr>
          <w:lang w:val="es-ES"/>
        </w:rPr>
        <w:t xml:space="preserve">), la </w:t>
      </w:r>
      <w:hyperlink r:id="rId157" w:history="1">
        <w:r w:rsidRPr="00F05461">
          <w:rPr>
            <w:rStyle w:val="Hyperlink"/>
            <w:rFonts w:eastAsia="Times New Roman" w:cs="Times New Roman"/>
            <w:szCs w:val="20"/>
            <w:lang w:val="es-ES"/>
          </w:rPr>
          <w:t>conformidad e interoperabilidad (C+I)</w:t>
        </w:r>
      </w:hyperlink>
      <w:r w:rsidRPr="00F05461">
        <w:rPr>
          <w:lang w:val="es-ES"/>
        </w:rPr>
        <w:t xml:space="preserve"> y la </w:t>
      </w:r>
      <w:hyperlink r:id="rId158" w:history="1">
        <w:r w:rsidRPr="00F05461">
          <w:rPr>
            <w:rStyle w:val="Hyperlink"/>
            <w:rFonts w:eastAsia="Times New Roman" w:cs="Times New Roman"/>
            <w:szCs w:val="20"/>
            <w:lang w:val="es-ES"/>
          </w:rPr>
          <w:t>escucha segura</w:t>
        </w:r>
      </w:hyperlink>
      <w:r w:rsidRPr="00F05461">
        <w:rPr>
          <w:lang w:val="es-ES"/>
        </w:rPr>
        <w:t>.</w:t>
      </w:r>
    </w:p>
    <w:p w14:paraId="2172322A" w14:textId="77777777" w:rsidR="00B1145C" w:rsidRPr="00F05461" w:rsidRDefault="00B1145C" w:rsidP="003E558F">
      <w:pPr>
        <w:pStyle w:val="Heading2"/>
        <w:rPr>
          <w:lang w:val="es-ES"/>
        </w:rPr>
      </w:pPr>
      <w:bookmarkStart w:id="67" w:name="_Toc227137473"/>
      <w:r w:rsidRPr="00F05461">
        <w:rPr>
          <w:lang w:val="es-ES"/>
        </w:rPr>
        <w:lastRenderedPageBreak/>
        <w:t>4.4</w:t>
      </w:r>
      <w:r w:rsidRPr="00F05461">
        <w:rPr>
          <w:lang w:val="es-ES"/>
        </w:rPr>
        <w:tab/>
        <w:t>Elaboración de marcos políticos y productos de conocimiento</w:t>
      </w:r>
      <w:bookmarkEnd w:id="67"/>
    </w:p>
    <w:p w14:paraId="34FB2716" w14:textId="6E2BD147" w:rsidR="00B1145C" w:rsidRPr="00F05461" w:rsidRDefault="00296F03" w:rsidP="00E221BF">
      <w:pPr>
        <w:keepNext/>
        <w:keepLines/>
        <w:rPr>
          <w:lang w:val="es-ES"/>
        </w:rPr>
      </w:pPr>
      <w:r w:rsidRPr="00F05461">
        <w:rPr>
          <w:lang w:val="es-ES"/>
        </w:rPr>
        <w:t>La UIT</w:t>
      </w:r>
      <w:r w:rsidR="00B1145C" w:rsidRPr="00F05461">
        <w:rPr>
          <w:lang w:val="es-ES"/>
        </w:rPr>
        <w:t xml:space="preserve"> elabora manuales, informes técnicos y artículos por diferentes medios (por ejemplo, por conducto de sus Comisiones de Estudio), a fin de ayudar a sus Miembros en las cuestiones de telecomunicaciones/TIC (véase, por ejemplo, la </w:t>
      </w:r>
      <w:hyperlink w:anchor="_4.3_Elaboración_de" w:history="1">
        <w:r w:rsidR="00026A3E" w:rsidRPr="00F05461">
          <w:rPr>
            <w:rStyle w:val="Hyperlink"/>
            <w:rFonts w:eastAsia="Times New Roman" w:cs="Times New Roman"/>
            <w:szCs w:val="20"/>
            <w:lang w:val="es-ES"/>
          </w:rPr>
          <w:t>s</w:t>
        </w:r>
        <w:r w:rsidR="00B1145C" w:rsidRPr="00F05461">
          <w:rPr>
            <w:rStyle w:val="Hyperlink"/>
            <w:rFonts w:eastAsia="Times New Roman" w:cs="Times New Roman"/>
            <w:szCs w:val="20"/>
            <w:lang w:val="es-ES"/>
          </w:rPr>
          <w:t>ección</w:t>
        </w:r>
        <w:r w:rsidR="00026A3E"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4.3</w:t>
        </w:r>
      </w:hyperlink>
      <w:r w:rsidR="00B1145C" w:rsidRPr="00F05461">
        <w:rPr>
          <w:lang w:val="es-ES"/>
        </w:rPr>
        <w:t xml:space="preserve"> </w:t>
      </w:r>
      <w:r w:rsidR="00B1145C" w:rsidRPr="00F05461">
        <w:rPr>
          <w:i/>
          <w:iCs/>
          <w:lang w:val="es-ES"/>
        </w:rPr>
        <w:t>supra</w:t>
      </w:r>
      <w:r w:rsidR="00B1145C" w:rsidRPr="00F05461">
        <w:rPr>
          <w:lang w:val="es-ES"/>
        </w:rPr>
        <w:t>). Las prácticas idóneas de los Estados Miembros, el sector privado y las instituciones académicas y de investigación se recopilan y se comparten con los Estados Miembros.</w:t>
      </w:r>
    </w:p>
    <w:p w14:paraId="221748D1" w14:textId="38D2B075" w:rsidR="00B1145C" w:rsidRPr="00F05461" w:rsidRDefault="00296F03" w:rsidP="00B1145C">
      <w:pPr>
        <w:rPr>
          <w:lang w:val="es-ES"/>
        </w:rPr>
      </w:pPr>
      <w:r w:rsidRPr="00F05461">
        <w:rPr>
          <w:lang w:val="es-ES"/>
        </w:rPr>
        <w:t>La UIT</w:t>
      </w:r>
      <w:r w:rsidR="00B1145C" w:rsidRPr="00F05461">
        <w:rPr>
          <w:lang w:val="es-ES"/>
        </w:rPr>
        <w:t xml:space="preserve"> proporciona productos y herramientas de intercambio de conocimientos para facilitar el diálogo y mejorar la cooperación, que ayudan a los países a maximizar los beneficios digitales para todas las personas y proporcionan información clave para entender y gestionar los desafíos y oportunidades inherentes a la promoción de la conectividad y la transformación digital.</w:t>
      </w:r>
    </w:p>
    <w:p w14:paraId="72513AE3" w14:textId="39BBD8B9" w:rsidR="00B1145C" w:rsidRPr="00F05461" w:rsidRDefault="00B1145C" w:rsidP="00E221BF">
      <w:pPr>
        <w:rPr>
          <w:lang w:val="es-ES"/>
        </w:rPr>
      </w:pPr>
      <w:r w:rsidRPr="00F05461">
        <w:rPr>
          <w:lang w:val="es-ES"/>
        </w:rPr>
        <w:t>Con miras a fortalecer la capacidad de los Estados Miembros para impulsar sus marcos políticos, jurídicos y reglamentarios en materia de TIC, el</w:t>
      </w:r>
      <w:r w:rsidR="009C61B5" w:rsidRPr="00F05461">
        <w:rPr>
          <w:lang w:val="es-ES"/>
        </w:rPr>
        <w:t> </w:t>
      </w:r>
      <w:r w:rsidRPr="00F05461">
        <w:rPr>
          <w:lang w:val="es-ES"/>
        </w:rPr>
        <w:t>UIT</w:t>
      </w:r>
      <w:r w:rsidR="00BE5909" w:rsidRPr="00F05461">
        <w:rPr>
          <w:lang w:val="es-ES"/>
        </w:rPr>
        <w:noBreakHyphen/>
      </w:r>
      <w:r w:rsidRPr="00F05461">
        <w:rPr>
          <w:lang w:val="es-ES"/>
        </w:rPr>
        <w:t xml:space="preserve">D proporciona orientaciones, productos de conocimiento, desarrollo de capacidad y asistencia técnica. De esta manera, los responsables nacionales de la toma de decisiones disponen de las pruebas y herramientas necesarias para moverse por unos ecosistemas y mercados digitales y de TIC cada vez más complejos. Los esfuerzos coordinados </w:t>
      </w:r>
      <w:r w:rsidR="00A10309" w:rsidRPr="00F05461">
        <w:rPr>
          <w:lang w:val="es-ES"/>
        </w:rPr>
        <w:t>del UIT</w:t>
      </w:r>
      <w:r w:rsidR="00A10309" w:rsidRPr="00F05461">
        <w:rPr>
          <w:lang w:val="es-ES"/>
        </w:rPr>
        <w:noBreakHyphen/>
      </w:r>
      <w:r w:rsidRPr="00F05461">
        <w:rPr>
          <w:lang w:val="es-ES"/>
        </w:rPr>
        <w:t>D también garantizan que el apoyo proporcionado a los países incorpora dimensiones clave como la asequibilidad, la inclusión, la competencia y la inversión en un enfoque pangubernamental a fin de dar rienda suelta a estrategias digitales generales. Asimismo, el</w:t>
      </w:r>
      <w:r w:rsidR="00BE5909" w:rsidRPr="00F05461">
        <w:rPr>
          <w:lang w:val="es-ES"/>
        </w:rPr>
        <w:t> </w:t>
      </w:r>
      <w:r w:rsidRPr="00F05461">
        <w:rPr>
          <w:lang w:val="es-ES"/>
        </w:rPr>
        <w:t>UI</w:t>
      </w:r>
      <w:r w:rsidR="00BE5909" w:rsidRPr="00F05461">
        <w:rPr>
          <w:lang w:val="es-ES"/>
        </w:rPr>
        <w:t>T</w:t>
      </w:r>
      <w:r w:rsidRPr="00F05461">
        <w:rPr>
          <w:lang w:val="es-ES"/>
        </w:rPr>
        <w:t>-</w:t>
      </w:r>
      <w:r w:rsidR="00BE5909" w:rsidRPr="00F05461">
        <w:rPr>
          <w:lang w:val="es-ES"/>
        </w:rPr>
        <w:t>D</w:t>
      </w:r>
      <w:r w:rsidRPr="00F05461">
        <w:rPr>
          <w:lang w:val="es-ES"/>
        </w:rPr>
        <w:t xml:space="preserve"> avanza en su labor de defensa mundial relativa a la función de la reglamentación para propiciar la transformación digital sostenible por conducto de eventos emblemáticos de alto nivel en consonancia con la Resolución</w:t>
      </w:r>
      <w:r w:rsidR="00BE5909" w:rsidRPr="00F05461">
        <w:rPr>
          <w:lang w:val="es-ES"/>
        </w:rPr>
        <w:t> </w:t>
      </w:r>
      <w:r w:rsidRPr="00F05461">
        <w:rPr>
          <w:lang w:val="es-ES"/>
        </w:rPr>
        <w:t>48 (Rev.</w:t>
      </w:r>
      <w:r w:rsidR="00BE5909" w:rsidRPr="00F05461">
        <w:rPr>
          <w:lang w:val="es-ES"/>
        </w:rPr>
        <w:t> </w:t>
      </w:r>
      <w:r w:rsidR="00D17382">
        <w:rPr>
          <w:lang w:val="es-ES"/>
        </w:rPr>
        <w:t>Bakú</w:t>
      </w:r>
      <w:r w:rsidRPr="00F05461">
        <w:rPr>
          <w:lang w:val="es-ES"/>
        </w:rPr>
        <w:t>, 202</w:t>
      </w:r>
      <w:r w:rsidR="00D17382">
        <w:rPr>
          <w:lang w:val="es-ES"/>
        </w:rPr>
        <w:t>5</w:t>
      </w:r>
      <w:r w:rsidRPr="00F05461">
        <w:rPr>
          <w:lang w:val="es-ES"/>
        </w:rPr>
        <w:t>) de la</w:t>
      </w:r>
      <w:r w:rsidR="0014787F">
        <w:rPr>
          <w:lang w:val="es-ES"/>
        </w:rPr>
        <w:t> </w:t>
      </w:r>
      <w:r w:rsidRPr="00F05461">
        <w:rPr>
          <w:lang w:val="es-ES"/>
        </w:rPr>
        <w:t>CMDT sobre el fortalecimiento de la cooperación entre organismos reguladores de las telecomunicaciones.</w:t>
      </w:r>
    </w:p>
    <w:p w14:paraId="314D02D0" w14:textId="47069F4B" w:rsidR="00B1145C" w:rsidRPr="00F05461" w:rsidRDefault="00B1145C" w:rsidP="003E558F">
      <w:pPr>
        <w:pStyle w:val="Heading3"/>
      </w:pPr>
      <w:bookmarkStart w:id="68" w:name="_Toc227137474"/>
      <w:r w:rsidRPr="00F05461">
        <w:t>4.4.1</w:t>
      </w:r>
      <w:r w:rsidRPr="00F05461">
        <w:tab/>
        <w:t xml:space="preserve">Ciberseguridad: </w:t>
      </w:r>
      <w:r w:rsidR="00B2307C" w:rsidRPr="00F05461">
        <w:t>c</w:t>
      </w:r>
      <w:r w:rsidRPr="00F05461">
        <w:t>reación de confianza y seguridad en las</w:t>
      </w:r>
      <w:r w:rsidR="008A4871" w:rsidRPr="00F05461">
        <w:t> </w:t>
      </w:r>
      <w:r w:rsidRPr="00F05461">
        <w:t>TIC</w:t>
      </w:r>
      <w:bookmarkEnd w:id="68"/>
    </w:p>
    <w:p w14:paraId="7271B236" w14:textId="4C118D9C" w:rsidR="00B1145C" w:rsidRPr="00F05461" w:rsidRDefault="00B1145C" w:rsidP="00B1145C">
      <w:pPr>
        <w:rPr>
          <w:lang w:val="es-ES"/>
        </w:rPr>
      </w:pPr>
      <w:r w:rsidRPr="00F05461">
        <w:rPr>
          <w:lang w:val="es-ES"/>
        </w:rPr>
        <w:t xml:space="preserve">En </w:t>
      </w:r>
      <w:r w:rsidR="00296F03" w:rsidRPr="00F05461">
        <w:rPr>
          <w:lang w:val="es-ES"/>
        </w:rPr>
        <w:t>la UIT</w:t>
      </w:r>
      <w:r w:rsidRPr="00F05461">
        <w:rPr>
          <w:lang w:val="es-ES"/>
        </w:rPr>
        <w:t>, los programas de trabajo en materia de desarrollo, normalización y radiocomunicaciones</w:t>
      </w:r>
      <w:r w:rsidR="00B3079D" w:rsidRPr="00F05461">
        <w:rPr>
          <w:lang w:val="es-ES"/>
        </w:rPr>
        <w:t>, organizados en torno a los cinco pilares de la Agenda sobre Ciberseguridad Global (ACG),</w:t>
      </w:r>
      <w:r w:rsidRPr="00F05461">
        <w:rPr>
          <w:lang w:val="es-ES"/>
        </w:rPr>
        <w:t xml:space="preserve"> contribuyeron a crear un marco de ciberseguridad global.</w:t>
      </w:r>
    </w:p>
    <w:p w14:paraId="0ECEBADB" w14:textId="139E303B" w:rsidR="00B1145C" w:rsidRPr="00F05461" w:rsidRDefault="00B1145C" w:rsidP="00B3079D">
      <w:pPr>
        <w:rPr>
          <w:lang w:val="es-ES"/>
        </w:rPr>
      </w:pPr>
      <w:r w:rsidRPr="00F05461">
        <w:rPr>
          <w:lang w:val="es-ES"/>
        </w:rPr>
        <w:t xml:space="preserve">A través de su Sector de Desarrollo, </w:t>
      </w:r>
      <w:r w:rsidR="00296F03" w:rsidRPr="00F05461">
        <w:rPr>
          <w:lang w:val="es-ES"/>
        </w:rPr>
        <w:t>la UIT</w:t>
      </w:r>
      <w:r w:rsidRPr="00F05461">
        <w:rPr>
          <w:lang w:val="es-ES"/>
        </w:rPr>
        <w:t xml:space="preserve"> apoyó a los Estados Miembros en el fortalecimiento de su preparación institucional ayudándoles a elaborar </w:t>
      </w:r>
      <w:hyperlink r:id="rId159" w:history="1">
        <w:r w:rsidRPr="00F05461">
          <w:rPr>
            <w:rStyle w:val="Hyperlink"/>
            <w:rFonts w:eastAsia="Times New Roman" w:cs="Times New Roman"/>
            <w:szCs w:val="20"/>
            <w:lang w:val="es-ES"/>
          </w:rPr>
          <w:t>estrategias nacionales de ciberseguridad</w:t>
        </w:r>
      </w:hyperlink>
      <w:r w:rsidR="00B3079D" w:rsidRPr="00F05461">
        <w:rPr>
          <w:lang w:val="es-ES"/>
        </w:rPr>
        <w:t>,</w:t>
      </w:r>
      <w:r w:rsidRPr="00F05461">
        <w:rPr>
          <w:lang w:val="es-ES"/>
        </w:rPr>
        <w:t xml:space="preserve"> </w:t>
      </w:r>
      <w:r w:rsidR="00B3079D" w:rsidRPr="00F05461">
        <w:rPr>
          <w:lang w:val="es-ES"/>
        </w:rPr>
        <w:t>de manera que han podido</w:t>
      </w:r>
      <w:r w:rsidRPr="00F05461">
        <w:rPr>
          <w:lang w:val="es-ES"/>
        </w:rPr>
        <w:t xml:space="preserve"> crear y poner en marcha </w:t>
      </w:r>
      <w:hyperlink r:id="rId160" w:history="1">
        <w:r w:rsidRPr="00F05461">
          <w:rPr>
            <w:rStyle w:val="Hyperlink"/>
            <w:rFonts w:eastAsia="Times New Roman" w:cs="Times New Roman"/>
            <w:szCs w:val="20"/>
            <w:lang w:val="es-ES"/>
          </w:rPr>
          <w:t>EIII nacionales</w:t>
        </w:r>
      </w:hyperlink>
      <w:r w:rsidR="00B3079D" w:rsidRPr="00F05461">
        <w:rPr>
          <w:lang w:val="es-ES"/>
        </w:rPr>
        <w:t xml:space="preserve">, y a través de cibersimulacros nacionales, regionales y globales. Hasta el momento, la UIT ha prestado ayuda a 85 países evaluando su preparación en materia de ciberseguridad, lo que se ha traducido en la creación o mejora de EIII nacionales. Hasta mayo </w:t>
      </w:r>
      <w:r w:rsidR="009D1156" w:rsidRPr="00F05461">
        <w:rPr>
          <w:lang w:val="es-ES"/>
        </w:rPr>
        <w:t>de </w:t>
      </w:r>
      <w:r w:rsidR="00B3079D" w:rsidRPr="00F05461">
        <w:rPr>
          <w:lang w:val="es-ES"/>
        </w:rPr>
        <w:t xml:space="preserve">2026, la UIT ha organizado más de 60 cibersimulacros nacionales, regionales o internacionales, incluidos cuatro </w:t>
      </w:r>
      <w:hyperlink r:id="rId161" w:history="1">
        <w:r w:rsidR="00B3079D" w:rsidRPr="00F05461">
          <w:rPr>
            <w:rStyle w:val="Hyperlink"/>
            <w:rFonts w:eastAsia="Times New Roman" w:cs="Times New Roman"/>
            <w:szCs w:val="20"/>
            <w:lang w:val="es-ES"/>
          </w:rPr>
          <w:t>cibersimulacros</w:t>
        </w:r>
      </w:hyperlink>
      <w:r w:rsidR="00B3079D" w:rsidRPr="00F05461">
        <w:rPr>
          <w:lang w:val="es-ES"/>
        </w:rPr>
        <w:t xml:space="preserve"> mundiales, en los que han participado más de 160 países de las seis regiones de la UIT</w:t>
      </w:r>
      <w:r w:rsidRPr="00F05461">
        <w:rPr>
          <w:lang w:val="es-ES"/>
        </w:rPr>
        <w:t>.</w:t>
      </w:r>
    </w:p>
    <w:p w14:paraId="7E8C1B37" w14:textId="379BCC37" w:rsidR="005E1172" w:rsidRPr="00F05461" w:rsidRDefault="00B3079D" w:rsidP="005E1172">
      <w:pPr>
        <w:rPr>
          <w:lang w:val="es-ES"/>
        </w:rPr>
      </w:pPr>
      <w:r w:rsidRPr="00F05461">
        <w:rPr>
          <w:lang w:val="es-ES"/>
        </w:rPr>
        <w:t xml:space="preserve">En septiembre de 2024 se publicó la quinta edición del </w:t>
      </w:r>
      <w:hyperlink r:id="rId162" w:history="1">
        <w:r w:rsidRPr="00F05461">
          <w:rPr>
            <w:rStyle w:val="Hyperlink"/>
            <w:rFonts w:eastAsia="Times New Roman" w:cs="Times New Roman"/>
            <w:szCs w:val="20"/>
            <w:lang w:val="es-ES"/>
          </w:rPr>
          <w:t xml:space="preserve">Índice de </w:t>
        </w:r>
        <w:r w:rsidR="006C156F" w:rsidRPr="00F05461">
          <w:rPr>
            <w:rStyle w:val="Hyperlink"/>
            <w:rFonts w:eastAsia="Times New Roman" w:cs="Times New Roman"/>
            <w:szCs w:val="20"/>
            <w:lang w:val="es-ES"/>
          </w:rPr>
          <w:t>Ciberseguridad G</w:t>
        </w:r>
        <w:r w:rsidRPr="00F05461">
          <w:rPr>
            <w:rStyle w:val="Hyperlink"/>
            <w:rFonts w:eastAsia="Times New Roman" w:cs="Times New Roman"/>
            <w:szCs w:val="20"/>
            <w:lang w:val="es-ES"/>
          </w:rPr>
          <w:t>lobal</w:t>
        </w:r>
      </w:hyperlink>
      <w:r w:rsidRPr="00F05461">
        <w:rPr>
          <w:lang w:val="es-ES"/>
        </w:rPr>
        <w:t xml:space="preserve"> (ICG) de la UIT. </w:t>
      </w:r>
      <w:r w:rsidR="00296F03" w:rsidRPr="00F05461">
        <w:rPr>
          <w:lang w:val="es-ES"/>
        </w:rPr>
        <w:t>La UIT</w:t>
      </w:r>
      <w:r w:rsidR="00B1145C" w:rsidRPr="00F05461">
        <w:rPr>
          <w:lang w:val="es-ES"/>
        </w:rPr>
        <w:t xml:space="preserve"> proporcionó capacitación específica, asistencia técnica y orientación política para mejorar la ciberpreparación y las capacidades de respuesta operativa a través de programas de</w:t>
      </w:r>
      <w:r w:rsidR="005E1172" w:rsidRPr="00F05461">
        <w:rPr>
          <w:lang w:val="es-ES"/>
        </w:rPr>
        <w:t xml:space="preserve"> </w:t>
      </w:r>
      <w:r w:rsidR="005E1172" w:rsidRPr="00F05461">
        <w:rPr>
          <w:rStyle w:val="Hyperlink"/>
          <w:rFonts w:eastAsia="Times New Roman" w:cs="Times New Roman"/>
          <w:szCs w:val="20"/>
          <w:lang w:val="es-ES"/>
        </w:rPr>
        <w:t>Cyber for Good</w:t>
      </w:r>
      <w:r w:rsidR="00B1145C" w:rsidRPr="00F05461">
        <w:rPr>
          <w:lang w:val="es-ES"/>
        </w:rPr>
        <w:t xml:space="preserve">, la iniciativa </w:t>
      </w:r>
      <w:hyperlink r:id="rId163" w:history="1">
        <w:r w:rsidR="00B1145C" w:rsidRPr="00F05461">
          <w:rPr>
            <w:rStyle w:val="Hyperlink"/>
            <w:rFonts w:eastAsia="Times New Roman" w:cs="Times New Roman"/>
            <w:szCs w:val="20"/>
            <w:lang w:val="es-ES"/>
          </w:rPr>
          <w:t>Her CyberTracks</w:t>
        </w:r>
      </w:hyperlink>
      <w:r w:rsidR="00B1145C" w:rsidRPr="00F05461">
        <w:rPr>
          <w:lang w:val="es-ES"/>
        </w:rPr>
        <w:t xml:space="preserve"> y la </w:t>
      </w:r>
      <w:hyperlink r:id="rId164" w:history="1">
        <w:r w:rsidR="00B1145C" w:rsidRPr="00F05461">
          <w:rPr>
            <w:rStyle w:val="Hyperlink"/>
            <w:rFonts w:eastAsia="Times New Roman" w:cs="Times New Roman"/>
            <w:szCs w:val="20"/>
            <w:lang w:val="es-ES"/>
          </w:rPr>
          <w:t xml:space="preserve">Academia de </w:t>
        </w:r>
        <w:r w:rsidR="00296F03" w:rsidRPr="00F05461">
          <w:rPr>
            <w:rStyle w:val="Hyperlink"/>
            <w:rFonts w:eastAsia="Times New Roman" w:cs="Times New Roman"/>
            <w:szCs w:val="20"/>
            <w:lang w:val="es-ES"/>
          </w:rPr>
          <w:t>la UIT</w:t>
        </w:r>
      </w:hyperlink>
      <w:r w:rsidR="005E1172" w:rsidRPr="00F05461">
        <w:rPr>
          <w:lang w:val="es-ES"/>
        </w:rPr>
        <w:t xml:space="preserve"> y sus Centros de Formación</w:t>
      </w:r>
      <w:r w:rsidR="00B1145C" w:rsidRPr="00F05461">
        <w:rPr>
          <w:lang w:val="es-ES"/>
        </w:rPr>
        <w:t xml:space="preserve">. Estas actividades complementaron otras iniciativas más generales para fortalecer la resiliencia, mejorar la cibergobernanza y garantizar un acceso seguro e inclusivo a las tecnologías digitales. </w:t>
      </w:r>
      <w:r w:rsidR="005E1172" w:rsidRPr="00F05461">
        <w:rPr>
          <w:lang w:val="es-ES"/>
        </w:rPr>
        <w:t xml:space="preserve">La UIT siguió colaborando con las partes interesadas en </w:t>
      </w:r>
      <w:r w:rsidR="005E1172" w:rsidRPr="00F05461">
        <w:rPr>
          <w:lang w:val="es-ES"/>
        </w:rPr>
        <w:lastRenderedPageBreak/>
        <w:t xml:space="preserve">el </w:t>
      </w:r>
      <w:r w:rsidR="005E1172">
        <w:fldChar w:fldCharType="begin"/>
      </w:r>
      <w:r w:rsidR="005E1172" w:rsidRPr="009A0A46">
        <w:rPr>
          <w:lang w:val="es-ES"/>
        </w:rPr>
        <w:instrText>HYPERLINK "https://meetings.unoda.org/meeting/57871"</w:instrText>
      </w:r>
      <w:r w:rsidR="005E1172">
        <w:fldChar w:fldCharType="separate"/>
      </w:r>
      <w:r w:rsidR="005E1172" w:rsidRPr="00F05461">
        <w:rPr>
          <w:rStyle w:val="Hyperlink"/>
          <w:rFonts w:eastAsia="Times New Roman" w:cs="Times New Roman"/>
          <w:szCs w:val="20"/>
          <w:lang w:val="es-ES"/>
        </w:rPr>
        <w:t>Grupo de Trabajo abierto sobre seguridad de las TIC y de su utilización (OEWG)</w:t>
      </w:r>
      <w:r w:rsidR="005E1172">
        <w:fldChar w:fldCharType="end"/>
      </w:r>
      <w:r w:rsidR="005E1172" w:rsidRPr="00F05461">
        <w:rPr>
          <w:lang w:val="es-ES"/>
        </w:rPr>
        <w:t xml:space="preserve"> y está dispuesta a seguir trabajando en cooperación con el nuevo mecanismo permanente y su grupo temático sobre capacitación.</w:t>
      </w:r>
    </w:p>
    <w:p w14:paraId="6EE8906A" w14:textId="3F2670C9" w:rsidR="005E1172" w:rsidRPr="00F05461" w:rsidRDefault="005E1172" w:rsidP="002A0208">
      <w:pPr>
        <w:rPr>
          <w:lang w:val="es-ES"/>
        </w:rPr>
      </w:pPr>
      <w:r w:rsidRPr="00F05461">
        <w:rPr>
          <w:lang w:val="es-ES"/>
        </w:rPr>
        <w:t xml:space="preserve">En 2024, la UIT creó el Órgano Consultivo Internacional </w:t>
      </w:r>
      <w:r w:rsidR="002A0208" w:rsidRPr="00F05461">
        <w:rPr>
          <w:lang w:val="es-ES"/>
        </w:rPr>
        <w:t>sobre</w:t>
      </w:r>
      <w:r w:rsidRPr="00F05461">
        <w:rPr>
          <w:lang w:val="es-ES"/>
        </w:rPr>
        <w:t xml:space="preserve"> la </w:t>
      </w:r>
      <w:r w:rsidR="002A0208" w:rsidRPr="00F05461">
        <w:rPr>
          <w:lang w:val="es-ES"/>
        </w:rPr>
        <w:t>r</w:t>
      </w:r>
      <w:r w:rsidRPr="00F05461">
        <w:rPr>
          <w:lang w:val="es-ES"/>
        </w:rPr>
        <w:t xml:space="preserve">esiliencia de los </w:t>
      </w:r>
      <w:r w:rsidR="002A0208" w:rsidRPr="00F05461">
        <w:rPr>
          <w:lang w:val="es-ES"/>
        </w:rPr>
        <w:t>c</w:t>
      </w:r>
      <w:r w:rsidRPr="00F05461">
        <w:rPr>
          <w:lang w:val="es-ES"/>
        </w:rPr>
        <w:t xml:space="preserve">ables </w:t>
      </w:r>
      <w:r w:rsidR="002A0208" w:rsidRPr="00F05461">
        <w:rPr>
          <w:lang w:val="es-ES"/>
        </w:rPr>
        <w:t>s</w:t>
      </w:r>
      <w:r w:rsidRPr="00F05461">
        <w:rPr>
          <w:lang w:val="es-ES"/>
        </w:rPr>
        <w:t xml:space="preserve">ubmarinos, en colaboración con el </w:t>
      </w:r>
      <w:bookmarkStart w:id="69" w:name="_Hlk226709762"/>
      <w:r w:rsidRPr="00F05461">
        <w:rPr>
          <w:lang w:val="es-ES"/>
        </w:rPr>
        <w:t xml:space="preserve">Comité Internacional </w:t>
      </w:r>
      <w:r w:rsidR="002A0208" w:rsidRPr="00F05461">
        <w:rPr>
          <w:lang w:val="es-ES"/>
        </w:rPr>
        <w:t>de</w:t>
      </w:r>
      <w:r w:rsidRPr="00F05461">
        <w:rPr>
          <w:lang w:val="es-ES"/>
        </w:rPr>
        <w:t xml:space="preserve"> </w:t>
      </w:r>
      <w:r w:rsidR="002A0208" w:rsidRPr="00F05461">
        <w:rPr>
          <w:lang w:val="es-ES"/>
        </w:rPr>
        <w:t>p</w:t>
      </w:r>
      <w:r w:rsidRPr="00F05461">
        <w:rPr>
          <w:lang w:val="es-ES"/>
        </w:rPr>
        <w:t xml:space="preserve">rotección de </w:t>
      </w:r>
      <w:r w:rsidR="002A0208" w:rsidRPr="00F05461">
        <w:rPr>
          <w:lang w:val="es-ES"/>
        </w:rPr>
        <w:t>c</w:t>
      </w:r>
      <w:r w:rsidRPr="00F05461">
        <w:rPr>
          <w:lang w:val="es-ES"/>
        </w:rPr>
        <w:t>ables</w:t>
      </w:r>
      <w:bookmarkEnd w:id="69"/>
      <w:r w:rsidRPr="00F05461">
        <w:rPr>
          <w:lang w:val="es-ES"/>
        </w:rPr>
        <w:t xml:space="preserve">. En la </w:t>
      </w:r>
      <w:hyperlink r:id="rId165" w:history="1">
        <w:r w:rsidRPr="00F05461">
          <w:rPr>
            <w:rStyle w:val="Hyperlink"/>
            <w:rFonts w:eastAsia="Times New Roman" w:cs="Times New Roman"/>
            <w:szCs w:val="20"/>
            <w:lang w:val="es-ES"/>
          </w:rPr>
          <w:t>Cumbre de Abuja de 2025</w:t>
        </w:r>
      </w:hyperlink>
      <w:r w:rsidRPr="00F05461">
        <w:rPr>
          <w:lang w:val="es-ES"/>
        </w:rPr>
        <w:t>, el Órgano Consultivo puso en marcha tres grupos de trabajo centrados en la identificación, supervisión y mitigación de riesgos, así como en la conectividad y diversidad geográfica de los puntos de aterrizaje y las rutas, y en el despliegue y reparación oportunos de los cables.</w:t>
      </w:r>
      <w:r w:rsidR="002A0208" w:rsidRPr="00F05461">
        <w:rPr>
          <w:lang w:val="es-ES"/>
        </w:rPr>
        <w:t xml:space="preserve"> </w:t>
      </w:r>
      <w:r w:rsidRPr="00F05461">
        <w:rPr>
          <w:lang w:val="es-ES"/>
        </w:rPr>
        <w:t xml:space="preserve">Aprovechando el impulso de la Cumbre de Abuja, los días 2 y 3 de febrero de 2026 se celebró en Oporto (Portugal) la </w:t>
      </w:r>
      <w:hyperlink r:id="rId166" w:history="1">
        <w:r w:rsidRPr="00F05461">
          <w:rPr>
            <w:rStyle w:val="Hyperlink"/>
            <w:rFonts w:eastAsia="Times New Roman" w:cs="Times New Roman"/>
            <w:szCs w:val="20"/>
            <w:lang w:val="es-ES"/>
          </w:rPr>
          <w:t>Segunda Cumbre Internacional sobre la Resiliencia de los Cables Submarinos</w:t>
        </w:r>
      </w:hyperlink>
      <w:r w:rsidRPr="00F05461">
        <w:rPr>
          <w:lang w:val="es-ES"/>
        </w:rPr>
        <w:t xml:space="preserve">. En esta Cumbre, </w:t>
      </w:r>
      <w:r w:rsidR="002A0208" w:rsidRPr="00F05461">
        <w:rPr>
          <w:lang w:val="es-ES"/>
        </w:rPr>
        <w:t>e</w:t>
      </w:r>
      <w:r w:rsidRPr="00F05461">
        <w:rPr>
          <w:lang w:val="es-ES"/>
        </w:rPr>
        <w:t xml:space="preserve">l Órgano Consultivo aprobó las Recomendaciones de los Grupos de Trabajo y refrendó la </w:t>
      </w:r>
      <w:hyperlink r:id="rId167" w:history="1">
        <w:r w:rsidRPr="00F05461">
          <w:rPr>
            <w:rStyle w:val="Hyperlink"/>
            <w:rFonts w:eastAsia="Times New Roman" w:cs="Times New Roman"/>
            <w:szCs w:val="20"/>
            <w:lang w:val="es-ES"/>
          </w:rPr>
          <w:t>Declaración de Oporto</w:t>
        </w:r>
      </w:hyperlink>
      <w:r w:rsidRPr="00F05461">
        <w:rPr>
          <w:lang w:val="es-ES"/>
        </w:rPr>
        <w:t>.</w:t>
      </w:r>
    </w:p>
    <w:p w14:paraId="2BE31324" w14:textId="472857A9" w:rsidR="00B1145C" w:rsidRPr="00F05461" w:rsidRDefault="00296F03" w:rsidP="005E1172">
      <w:pPr>
        <w:rPr>
          <w:lang w:val="es-ES"/>
        </w:rPr>
      </w:pPr>
      <w:r w:rsidRPr="00F05461">
        <w:rPr>
          <w:lang w:val="es-ES"/>
        </w:rPr>
        <w:t>La UIT</w:t>
      </w:r>
      <w:r w:rsidR="00B1145C" w:rsidRPr="00F05461">
        <w:rPr>
          <w:lang w:val="es-ES"/>
        </w:rPr>
        <w:t xml:space="preserve"> también promovió la </w:t>
      </w:r>
      <w:hyperlink r:id="rId168" w:history="1">
        <w:r w:rsidR="00B1145C" w:rsidRPr="00F05461">
          <w:rPr>
            <w:rStyle w:val="Hyperlink"/>
            <w:rFonts w:eastAsia="Times New Roman" w:cs="Times New Roman"/>
            <w:szCs w:val="20"/>
            <w:lang w:val="es-ES"/>
          </w:rPr>
          <w:t>protección de la infancia en línea</w:t>
        </w:r>
      </w:hyperlink>
      <w:r w:rsidR="00B1145C" w:rsidRPr="00F05461">
        <w:rPr>
          <w:lang w:val="es-ES"/>
        </w:rPr>
        <w:t xml:space="preserve"> </w:t>
      </w:r>
      <w:r w:rsidR="005E1172" w:rsidRPr="00F05461">
        <w:rPr>
          <w:lang w:val="es-ES"/>
        </w:rPr>
        <w:t xml:space="preserve">(PIeL) </w:t>
      </w:r>
      <w:r w:rsidR="00B1145C" w:rsidRPr="00F05461">
        <w:rPr>
          <w:lang w:val="es-ES"/>
        </w:rPr>
        <w:t xml:space="preserve">mediante materiales de sensibilización, gestión de conocimientos y programas específicos, además de apoyo de políticas y colaboración con las partes interesadas nacionales para fortalecer los marcos de seguridad digital para la infancia. </w:t>
      </w:r>
      <w:r w:rsidR="005E1172" w:rsidRPr="00F05461">
        <w:rPr>
          <w:lang w:val="es-ES"/>
        </w:rPr>
        <w:t xml:space="preserve">Hasta marzo de 2026, la UIT ha apoyado el desarrollo de marcos de PIeL o de evaluaciones conexas en 16 países. </w:t>
      </w:r>
      <w:r w:rsidR="00B1145C" w:rsidRPr="00F05461">
        <w:rPr>
          <w:lang w:val="es-ES"/>
        </w:rPr>
        <w:t xml:space="preserve">Esta labor se vio reforzada por la </w:t>
      </w:r>
      <w:hyperlink r:id="rId169" w:history="1">
        <w:r w:rsidR="00B1145C" w:rsidRPr="00F05461">
          <w:rPr>
            <w:rStyle w:val="Hyperlink"/>
            <w:rFonts w:eastAsia="Times New Roman" w:cs="Times New Roman"/>
            <w:szCs w:val="20"/>
            <w:lang w:val="es-ES"/>
          </w:rPr>
          <w:t>iniciativa Protección mediante la Participación en Línea (</w:t>
        </w:r>
        <w:proofErr w:type="spellStart"/>
        <w:r w:rsidR="00B1145C" w:rsidRPr="00F05461">
          <w:rPr>
            <w:rStyle w:val="Hyperlink"/>
            <w:rFonts w:eastAsia="Times New Roman" w:cs="Times New Roman"/>
            <w:szCs w:val="20"/>
            <w:lang w:val="es-ES"/>
          </w:rPr>
          <w:t>PoP</w:t>
        </w:r>
        <w:proofErr w:type="spellEnd"/>
        <w:r w:rsidR="00B1145C" w:rsidRPr="00F05461">
          <w:rPr>
            <w:rStyle w:val="Hyperlink"/>
            <w:rFonts w:eastAsia="Times New Roman" w:cs="Times New Roman"/>
            <w:szCs w:val="20"/>
            <w:lang w:val="es-ES"/>
          </w:rPr>
          <w:t>)</w:t>
        </w:r>
      </w:hyperlink>
      <w:r w:rsidR="00B1145C" w:rsidRPr="00F05461">
        <w:rPr>
          <w:lang w:val="es-ES"/>
        </w:rPr>
        <w:t>, que combinó la colaboración intersectorial, la investigación preparatoria y las consultas multipartitas y culminó en la presentación de los principios rectores de la</w:t>
      </w:r>
      <w:r w:rsidR="003B7BB3" w:rsidRPr="00F05461">
        <w:rPr>
          <w:lang w:val="es-ES"/>
        </w:rPr>
        <w:t> </w:t>
      </w:r>
      <w:r w:rsidR="00B1145C" w:rsidRPr="00F05461">
        <w:rPr>
          <w:lang w:val="es-ES"/>
        </w:rPr>
        <w:t>PoP</w:t>
      </w:r>
      <w:r w:rsidR="004F4B78" w:rsidRPr="00F05461">
        <w:rPr>
          <w:lang w:val="es-ES"/>
        </w:rPr>
        <w:t xml:space="preserve">. </w:t>
      </w:r>
      <w:r w:rsidR="00B1145C" w:rsidRPr="00F05461">
        <w:rPr>
          <w:lang w:val="es-ES"/>
        </w:rPr>
        <w:t xml:space="preserve">De forma paralela, </w:t>
      </w:r>
      <w:r w:rsidRPr="00F05461">
        <w:rPr>
          <w:lang w:val="es-ES"/>
        </w:rPr>
        <w:t>la UIT</w:t>
      </w:r>
      <w:r w:rsidR="00B1145C" w:rsidRPr="00F05461">
        <w:rPr>
          <w:lang w:val="es-ES"/>
        </w:rPr>
        <w:t xml:space="preserve"> reforzó el compromiso de la industria a través de la </w:t>
      </w:r>
      <w:hyperlink r:id="rId170" w:history="1">
        <w:r w:rsidR="00B1145C" w:rsidRPr="00F05461">
          <w:rPr>
            <w:rStyle w:val="Hyperlink"/>
            <w:rFonts w:eastAsia="Times New Roman" w:cs="Times New Roman"/>
            <w:szCs w:val="20"/>
            <w:lang w:val="es-ES"/>
          </w:rPr>
          <w:t>serie de eventos Industry Connect</w:t>
        </w:r>
      </w:hyperlink>
      <w:r w:rsidR="00B1145C" w:rsidRPr="00F05461">
        <w:rPr>
          <w:lang w:val="es-ES"/>
        </w:rPr>
        <w:t xml:space="preserve"> </w:t>
      </w:r>
      <w:r w:rsidR="00B933C5" w:rsidRPr="00F05461">
        <w:rPr>
          <w:lang w:val="es-ES"/>
        </w:rPr>
        <w:t>de 202</w:t>
      </w:r>
      <w:r w:rsidR="00711F8C" w:rsidRPr="00F05461">
        <w:rPr>
          <w:lang w:val="es-ES"/>
        </w:rPr>
        <w:t>5</w:t>
      </w:r>
      <w:r w:rsidR="00B1145C" w:rsidRPr="00F05461">
        <w:rPr>
          <w:lang w:val="es-ES"/>
        </w:rPr>
        <w:t>, que estimularon el diálogo con los proveedores de servicios digitales sobre los nuevos riesgos y las responsabilidades compartidas para la seguridad de la infancia en línea.</w:t>
      </w:r>
      <w:r w:rsidR="005E1172" w:rsidRPr="00F05461">
        <w:rPr>
          <w:lang w:val="es-ES"/>
        </w:rPr>
        <w:t xml:space="preserve"> En marzo de 2024, la CE 17 del UIT-T creó el Grupo por correspondencia sobre protección de la infancia en línea (CG-COP) con el mandato de identificar el alcance y las carencias con miras a la normalización de la PIeL.</w:t>
      </w:r>
    </w:p>
    <w:p w14:paraId="698CC5A0" w14:textId="0D2D7909" w:rsidR="00B1145C" w:rsidRPr="00F05461" w:rsidRDefault="005E1172" w:rsidP="00B1145C">
      <w:pPr>
        <w:rPr>
          <w:lang w:val="es-ES"/>
        </w:rPr>
      </w:pPr>
      <w:r w:rsidRPr="00F05461">
        <w:rPr>
          <w:lang w:val="es-ES"/>
        </w:rPr>
        <w:t xml:space="preserve">En colaboración con el Comité de los Derechos del Niño, UNICEF y más de </w:t>
      </w:r>
      <w:r w:rsidR="00FF67C6">
        <w:rPr>
          <w:lang w:val="es-ES"/>
        </w:rPr>
        <w:t xml:space="preserve">diez </w:t>
      </w:r>
      <w:r w:rsidRPr="00F05461">
        <w:rPr>
          <w:lang w:val="es-ES"/>
        </w:rPr>
        <w:t>organismos de Naciones Unidas cosignatarios, la</w:t>
      </w:r>
      <w:r w:rsidR="00D456E4" w:rsidRPr="00F05461">
        <w:rPr>
          <w:lang w:val="es-ES"/>
        </w:rPr>
        <w:t> </w:t>
      </w:r>
      <w:r w:rsidRPr="00F05461">
        <w:rPr>
          <w:lang w:val="es-ES"/>
        </w:rPr>
        <w:t xml:space="preserve">UIT desarrolló y lanzó la </w:t>
      </w:r>
      <w:hyperlink r:id="rId171" w:history="1">
        <w:r w:rsidR="00FF1AB6">
          <w:rPr>
            <w:rStyle w:val="Hyperlink"/>
            <w:rFonts w:eastAsia="Times New Roman" w:cs="Times New Roman"/>
            <w:szCs w:val="20"/>
            <w:lang w:val="es-ES"/>
          </w:rPr>
          <w:t>Declaración conjunta sobre IA y derechos del niño</w:t>
        </w:r>
      </w:hyperlink>
      <w:r w:rsidRPr="00F05461">
        <w:rPr>
          <w:lang w:val="es-ES"/>
        </w:rPr>
        <w:t xml:space="preserve">. </w:t>
      </w:r>
      <w:r w:rsidR="00B1145C" w:rsidRPr="00F05461">
        <w:rPr>
          <w:lang w:val="es-ES"/>
        </w:rPr>
        <w:t xml:space="preserve">Las actividades de radiocomunicaciones y normalización técnica contribuyeron a ello mediante la elaboración de </w:t>
      </w:r>
      <w:hyperlink r:id="rId172" w:history="1">
        <w:r w:rsidR="00B1145C" w:rsidRPr="00F05461">
          <w:rPr>
            <w:rStyle w:val="Hyperlink"/>
            <w:rFonts w:eastAsia="Times New Roman" w:cs="Times New Roman"/>
            <w:szCs w:val="20"/>
            <w:lang w:val="es-ES"/>
          </w:rPr>
          <w:t>recomendaciones</w:t>
        </w:r>
        <w:r w:rsidR="00E249BD" w:rsidRPr="00F05461">
          <w:rPr>
            <w:rStyle w:val="Hyperlink"/>
            <w:rFonts w:eastAsia="Times New Roman" w:cs="Times New Roman"/>
            <w:szCs w:val="20"/>
            <w:lang w:val="es-ES"/>
          </w:rPr>
          <w:t>,</w:t>
        </w:r>
        <w:r w:rsidR="00B1145C" w:rsidRPr="00F05461">
          <w:rPr>
            <w:rStyle w:val="Hyperlink"/>
            <w:rFonts w:eastAsia="Times New Roman" w:cs="Times New Roman"/>
            <w:szCs w:val="20"/>
            <w:lang w:val="es-ES"/>
          </w:rPr>
          <w:t xml:space="preserve"> estudios</w:t>
        </w:r>
        <w:r w:rsidR="00E249BD" w:rsidRPr="00F05461">
          <w:rPr>
            <w:rStyle w:val="Hyperlink"/>
            <w:rFonts w:eastAsia="Times New Roman" w:cs="Times New Roman"/>
            <w:szCs w:val="20"/>
            <w:lang w:val="es-ES"/>
          </w:rPr>
          <w:t xml:space="preserve"> y actualizaciones</w:t>
        </w:r>
        <w:r w:rsidR="00B1145C" w:rsidRPr="00F05461">
          <w:rPr>
            <w:rStyle w:val="Hyperlink"/>
            <w:rFonts w:eastAsia="Times New Roman" w:cs="Times New Roman"/>
            <w:szCs w:val="20"/>
            <w:lang w:val="es-ES"/>
          </w:rPr>
          <w:t xml:space="preserve"> sobre seguridad</w:t>
        </w:r>
      </w:hyperlink>
      <w:r w:rsidR="00B1145C" w:rsidRPr="00F05461">
        <w:rPr>
          <w:lang w:val="es-ES"/>
        </w:rPr>
        <w:t xml:space="preserve"> y las adaptaciones para gestionar las amenazas cambiantes y la protección de la infraestructura de TIC crítica.</w:t>
      </w:r>
    </w:p>
    <w:p w14:paraId="3C77A17C" w14:textId="41D72025" w:rsidR="005E1172" w:rsidRPr="00F05461" w:rsidRDefault="005E1172" w:rsidP="00B1145C">
      <w:pPr>
        <w:rPr>
          <w:lang w:val="es-ES"/>
        </w:rPr>
      </w:pPr>
      <w:r w:rsidRPr="00F05461">
        <w:rPr>
          <w:lang w:val="es-ES"/>
        </w:rPr>
        <w:t>La CE 17 del UIT</w:t>
      </w:r>
      <w:r w:rsidRPr="00F05461">
        <w:rPr>
          <w:lang w:val="es-ES"/>
        </w:rPr>
        <w:noBreakHyphen/>
        <w:t xml:space="preserve">T avanzó los trabajos en materia de </w:t>
      </w:r>
      <w:hyperlink r:id="rId173" w:history="1">
        <w:r w:rsidR="000310C1">
          <w:rPr>
            <w:rStyle w:val="Hyperlink"/>
            <w:rFonts w:eastAsia="Times New Roman" w:cs="Times New Roman"/>
            <w:szCs w:val="20"/>
            <w:lang w:val="es-ES"/>
          </w:rPr>
          <w:t>seguridad de la IA, sistemas de IMT, computación en la nube, IoT, sistemas de transporte inteligentes, sistemas de gemelos digitales, distribución de claves cuánticas, control de acceso, servicios financieros digitales, protección de la privacidad y otros servicios inteligentes</w:t>
        </w:r>
      </w:hyperlink>
      <w:r w:rsidRPr="00F05461">
        <w:rPr>
          <w:lang w:val="es-ES"/>
        </w:rPr>
        <w:t>. Las CE 5, 13, 15 y 21 del UIT-T también aprobaron Recomendaciones sobre un amplio abanico de temas, desde la fiabilidad de los sistemas IMT-2020 y posteriores, infraestructura (por ejemplo, red eléctrica, redes ópticas pasivas), convergencia de los servicios fijo, móvil y por satélite, gestión de derechos digitales para la distribución de contenido, y la autenticidad de los multimedios.</w:t>
      </w:r>
      <w:r w:rsidR="00416586" w:rsidRPr="00F05461">
        <w:rPr>
          <w:lang w:val="es-ES"/>
        </w:rPr>
        <w:t xml:space="preserve"> </w:t>
      </w:r>
      <w:r w:rsidRPr="00F05461">
        <w:rPr>
          <w:lang w:val="es-ES"/>
        </w:rPr>
        <w:t xml:space="preserve">La CE 11 prosigue con sus actividades en materia de </w:t>
      </w:r>
      <w:hyperlink r:id="rId174" w:history="1">
        <w:r w:rsidRPr="00F05461">
          <w:rPr>
            <w:rStyle w:val="Hyperlink"/>
            <w:rFonts w:eastAsia="Times New Roman" w:cs="Times New Roman"/>
            <w:szCs w:val="20"/>
            <w:lang w:val="es-ES"/>
          </w:rPr>
          <w:t>señalización de seguridad</w:t>
        </w:r>
      </w:hyperlink>
      <w:r w:rsidRPr="00F05461">
        <w:rPr>
          <w:lang w:val="es-ES"/>
        </w:rPr>
        <w:t xml:space="preserve"> para luchar contra la falsificación y el robo de dispositivos móviles TIC y los ataques lanzados a través de las redes telefónicas (por ejemplo, </w:t>
      </w:r>
      <w:r w:rsidRPr="00F05461">
        <w:rPr>
          <w:i/>
          <w:iCs/>
          <w:lang w:val="es-ES"/>
        </w:rPr>
        <w:t>spam</w:t>
      </w:r>
      <w:r w:rsidRPr="00F05461">
        <w:rPr>
          <w:lang w:val="es-ES"/>
        </w:rPr>
        <w:t xml:space="preserve"> telefónico, llamadas automáticas, suplantación de números, etc.).</w:t>
      </w:r>
      <w:r w:rsidR="00416586" w:rsidRPr="00F05461">
        <w:rPr>
          <w:lang w:val="es-ES"/>
        </w:rPr>
        <w:t xml:space="preserve"> </w:t>
      </w:r>
      <w:r w:rsidRPr="00F05461">
        <w:rPr>
          <w:lang w:val="es-ES"/>
        </w:rPr>
        <w:t xml:space="preserve">La </w:t>
      </w:r>
      <w:hyperlink r:id="rId175" w:history="1">
        <w:r w:rsidRPr="00F05461">
          <w:rPr>
            <w:rStyle w:val="Hyperlink"/>
            <w:rFonts w:eastAsia="Times New Roman" w:cs="Times New Roman"/>
            <w:szCs w:val="20"/>
            <w:lang w:val="es-ES"/>
          </w:rPr>
          <w:t>CE 20</w:t>
        </w:r>
      </w:hyperlink>
      <w:r w:rsidRPr="00F05461">
        <w:rPr>
          <w:lang w:val="es-ES"/>
        </w:rPr>
        <w:t xml:space="preserve"> prosigue sus trabajos sobre seguridad, privacidad, fiabilidad e identificación para la</w:t>
      </w:r>
      <w:r w:rsidR="00416586" w:rsidRPr="00F05461">
        <w:rPr>
          <w:lang w:val="es-ES"/>
        </w:rPr>
        <w:t> </w:t>
      </w:r>
      <w:r w:rsidRPr="00F05461">
        <w:rPr>
          <w:lang w:val="es-ES"/>
        </w:rPr>
        <w:t>IoT y las ciudades y comunidades inteligentes y sostenibles (C+CIS).</w:t>
      </w:r>
      <w:r w:rsidR="00416586" w:rsidRPr="00F05461">
        <w:rPr>
          <w:lang w:val="es-ES"/>
        </w:rPr>
        <w:t xml:space="preserve"> </w:t>
      </w:r>
      <w:r w:rsidRPr="00F05461">
        <w:rPr>
          <w:lang w:val="es-ES"/>
        </w:rPr>
        <w:t xml:space="preserve">El UIT-R ha </w:t>
      </w:r>
      <w:r w:rsidRPr="00F05461">
        <w:rPr>
          <w:lang w:val="es-ES"/>
        </w:rPr>
        <w:lastRenderedPageBreak/>
        <w:t>establecido principios de seguridad claros para las redes de IMT (3G, 4G y 5G).</w:t>
      </w:r>
      <w:r w:rsidR="00DE3E2E" w:rsidRPr="00F05461">
        <w:rPr>
          <w:lang w:val="es-ES"/>
        </w:rPr>
        <w:t xml:space="preserve"> </w:t>
      </w:r>
      <w:r w:rsidRPr="00F05461">
        <w:rPr>
          <w:lang w:val="es-ES"/>
        </w:rPr>
        <w:t xml:space="preserve">La </w:t>
      </w:r>
      <w:hyperlink r:id="rId176" w:history="1">
        <w:r w:rsidRPr="00F05461">
          <w:rPr>
            <w:rStyle w:val="Hyperlink"/>
            <w:rFonts w:eastAsia="Times New Roman" w:cs="Times New Roman"/>
            <w:szCs w:val="20"/>
            <w:lang w:val="es-ES"/>
          </w:rPr>
          <w:t>iniciativa U4SSC</w:t>
        </w:r>
      </w:hyperlink>
      <w:r w:rsidRPr="00F05461">
        <w:rPr>
          <w:lang w:val="es-ES"/>
        </w:rPr>
        <w:t>, respaldada por 20 entidades de las Naciones Unidas, está avanzando en los trabajos sobre los aspectos de seguridad y privacidad relacionados con la infraestructura pública digital en las ciudades.</w:t>
      </w:r>
      <w:r w:rsidR="00DE3E2E" w:rsidRPr="00F05461">
        <w:rPr>
          <w:lang w:val="es-ES"/>
        </w:rPr>
        <w:t xml:space="preserve"> </w:t>
      </w:r>
      <w:r w:rsidRPr="00F05461">
        <w:rPr>
          <w:lang w:val="es-ES"/>
        </w:rPr>
        <w:t xml:space="preserve">La </w:t>
      </w:r>
      <w:r>
        <w:fldChar w:fldCharType="begin"/>
      </w:r>
      <w:r w:rsidRPr="009A0A46">
        <w:rPr>
          <w:lang w:val="es-ES"/>
        </w:rPr>
        <w:instrText>HYPERLINK "https://www.itu.int/metaverse/virtual-worlds/"</w:instrText>
      </w:r>
      <w:r>
        <w:fldChar w:fldCharType="separate"/>
      </w:r>
      <w:bookmarkStart w:id="70" w:name="_Hlk226986909"/>
      <w:r w:rsidRPr="00F05461">
        <w:rPr>
          <w:rStyle w:val="Hyperlink"/>
          <w:rFonts w:eastAsia="Times New Roman" w:cs="Times New Roman"/>
          <w:szCs w:val="20"/>
          <w:lang w:val="es-ES"/>
        </w:rPr>
        <w:t xml:space="preserve">Iniciativa </w:t>
      </w:r>
      <w:r w:rsidR="00645E1B" w:rsidRPr="00F05461">
        <w:rPr>
          <w:rStyle w:val="Hyperlink"/>
          <w:rFonts w:eastAsia="Times New Roman" w:cs="Times New Roman"/>
          <w:szCs w:val="20"/>
          <w:lang w:val="es-ES"/>
        </w:rPr>
        <w:t>M</w:t>
      </w:r>
      <w:r w:rsidRPr="00F05461">
        <w:rPr>
          <w:rStyle w:val="Hyperlink"/>
          <w:rFonts w:eastAsia="Times New Roman" w:cs="Times New Roman"/>
          <w:szCs w:val="20"/>
          <w:lang w:val="es-ES"/>
        </w:rPr>
        <w:t xml:space="preserve">undial sobre </w:t>
      </w:r>
      <w:r w:rsidR="00645E1B" w:rsidRPr="00F05461">
        <w:rPr>
          <w:rStyle w:val="Hyperlink"/>
          <w:rFonts w:eastAsia="Times New Roman" w:cs="Times New Roman"/>
          <w:szCs w:val="20"/>
          <w:lang w:val="es-ES"/>
        </w:rPr>
        <w:t>M</w:t>
      </w:r>
      <w:r w:rsidRPr="00F05461">
        <w:rPr>
          <w:rStyle w:val="Hyperlink"/>
          <w:rFonts w:eastAsia="Times New Roman" w:cs="Times New Roman"/>
          <w:szCs w:val="20"/>
          <w:lang w:val="es-ES"/>
        </w:rPr>
        <w:t xml:space="preserve">undos </w:t>
      </w:r>
      <w:r w:rsidR="00645E1B" w:rsidRPr="00F05461">
        <w:rPr>
          <w:rStyle w:val="Hyperlink"/>
          <w:rFonts w:eastAsia="Times New Roman" w:cs="Times New Roman"/>
          <w:szCs w:val="20"/>
          <w:lang w:val="es-ES"/>
        </w:rPr>
        <w:t>V</w:t>
      </w:r>
      <w:r w:rsidRPr="00F05461">
        <w:rPr>
          <w:rStyle w:val="Hyperlink"/>
          <w:rFonts w:eastAsia="Times New Roman" w:cs="Times New Roman"/>
          <w:szCs w:val="20"/>
          <w:lang w:val="es-ES"/>
        </w:rPr>
        <w:t>irtuales e IA</w:t>
      </w:r>
      <w:bookmarkEnd w:id="70"/>
      <w:r w:rsidRPr="00F05461">
        <w:rPr>
          <w:rStyle w:val="Hyperlink"/>
          <w:rFonts w:eastAsia="Times New Roman" w:cs="Times New Roman"/>
          <w:szCs w:val="20"/>
          <w:lang w:val="es-ES"/>
        </w:rPr>
        <w:t xml:space="preserve"> – Descubriendo el </w:t>
      </w:r>
      <w:r w:rsidR="00645E1B" w:rsidRPr="00F05461">
        <w:rPr>
          <w:rStyle w:val="Hyperlink"/>
          <w:rFonts w:eastAsia="Times New Roman" w:cs="Times New Roman"/>
          <w:szCs w:val="20"/>
          <w:lang w:val="es-ES"/>
        </w:rPr>
        <w:t>Citi</w:t>
      </w:r>
      <w:r w:rsidRPr="00F05461">
        <w:rPr>
          <w:rStyle w:val="Hyperlink"/>
          <w:rFonts w:eastAsia="Times New Roman" w:cs="Times New Roman"/>
          <w:szCs w:val="20"/>
          <w:lang w:val="es-ES"/>
        </w:rPr>
        <w:t>verso</w:t>
      </w:r>
      <w:r>
        <w:fldChar w:fldCharType="end"/>
      </w:r>
      <w:r w:rsidRPr="00F05461">
        <w:rPr>
          <w:lang w:val="es-ES"/>
        </w:rPr>
        <w:t xml:space="preserve">, con el apoyo de más de 70 asociados, también está avanzando la labor realizada en el marco de su vía de seguridad y confianza, en el marco del desarrollo del </w:t>
      </w:r>
      <w:r w:rsidR="00963557" w:rsidRPr="00F05461">
        <w:rPr>
          <w:lang w:val="es-ES"/>
        </w:rPr>
        <w:t>citi</w:t>
      </w:r>
      <w:r w:rsidRPr="00F05461">
        <w:rPr>
          <w:lang w:val="es-ES"/>
        </w:rPr>
        <w:t>verso y los mundos virtuales.</w:t>
      </w:r>
    </w:p>
    <w:p w14:paraId="5C71CD3D" w14:textId="6C7E1850" w:rsidR="00B1145C" w:rsidRPr="00F05461" w:rsidRDefault="00B1145C" w:rsidP="00B1145C">
      <w:pPr>
        <w:rPr>
          <w:lang w:val="es-ES"/>
        </w:rPr>
      </w:pPr>
      <w:r w:rsidRPr="00F05461">
        <w:rPr>
          <w:lang w:val="es-ES"/>
        </w:rPr>
        <w:t xml:space="preserve">Se puede consultar más información en la sección sobre </w:t>
      </w:r>
      <w:hyperlink r:id="rId177" w:history="1">
        <w:r w:rsidRPr="00F05461">
          <w:rPr>
            <w:rStyle w:val="Hyperlink"/>
            <w:rFonts w:eastAsia="Times New Roman" w:cs="Times New Roman"/>
            <w:szCs w:val="20"/>
            <w:lang w:val="es-ES"/>
          </w:rPr>
          <w:t xml:space="preserve">actividades de ciberseguridad del sitio web de </w:t>
        </w:r>
        <w:r w:rsidR="00296F03" w:rsidRPr="00F05461">
          <w:rPr>
            <w:rStyle w:val="Hyperlink"/>
            <w:rFonts w:eastAsia="Times New Roman" w:cs="Times New Roman"/>
            <w:szCs w:val="20"/>
            <w:lang w:val="es-ES"/>
          </w:rPr>
          <w:t>la UIT</w:t>
        </w:r>
      </w:hyperlink>
      <w:r w:rsidRPr="00F05461">
        <w:rPr>
          <w:lang w:val="es-ES"/>
        </w:rPr>
        <w:t>.</w:t>
      </w:r>
    </w:p>
    <w:p w14:paraId="14DB846A" w14:textId="3C42A828" w:rsidR="00B1145C" w:rsidRPr="00F05461" w:rsidRDefault="00B1145C" w:rsidP="003E558F">
      <w:pPr>
        <w:pStyle w:val="Heading3"/>
      </w:pPr>
      <w:bookmarkStart w:id="71" w:name="_4.4.2_Tecnologías_emergentes:"/>
      <w:bookmarkStart w:id="72" w:name="_Toc227137475"/>
      <w:bookmarkEnd w:id="71"/>
      <w:r w:rsidRPr="00F05461">
        <w:t>4.4.2</w:t>
      </w:r>
      <w:r w:rsidRPr="00F05461">
        <w:tab/>
        <w:t xml:space="preserve">Tecnologías emergentes: </w:t>
      </w:r>
      <w:r w:rsidR="00FA5B26" w:rsidRPr="00F05461">
        <w:t>c</w:t>
      </w:r>
      <w:r w:rsidRPr="00F05461">
        <w:t>onformar marcos para la transformación</w:t>
      </w:r>
      <w:bookmarkEnd w:id="72"/>
    </w:p>
    <w:p w14:paraId="44739586" w14:textId="03856634" w:rsidR="00B1145C" w:rsidRPr="00F05461" w:rsidRDefault="00296F03" w:rsidP="00B1145C">
      <w:pPr>
        <w:rPr>
          <w:lang w:val="es-ES"/>
        </w:rPr>
      </w:pPr>
      <w:r w:rsidRPr="00F05461">
        <w:rPr>
          <w:lang w:val="es-ES"/>
        </w:rPr>
        <w:t>La UIT</w:t>
      </w:r>
      <w:r w:rsidR="00B1145C" w:rsidRPr="00F05461">
        <w:rPr>
          <w:lang w:val="es-ES"/>
        </w:rPr>
        <w:t xml:space="preserve"> continúa dando forma a los marcos mundiales para las tecnologías en rápida evolución, con una atención especial por la</w:t>
      </w:r>
      <w:r w:rsidR="008A4871" w:rsidRPr="00F05461">
        <w:rPr>
          <w:lang w:val="es-ES"/>
        </w:rPr>
        <w:t> </w:t>
      </w:r>
      <w:r w:rsidR="00B1145C" w:rsidRPr="00F05461">
        <w:rPr>
          <w:lang w:val="es-ES"/>
        </w:rPr>
        <w:t>IA, la tecnología de la información cuántica, el metaverso y los mundos virtuales, y la</w:t>
      </w:r>
      <w:r w:rsidR="00233128" w:rsidRPr="00F05461">
        <w:rPr>
          <w:lang w:val="es-ES"/>
        </w:rPr>
        <w:t> </w:t>
      </w:r>
      <w:r w:rsidR="00B1145C" w:rsidRPr="00F05461">
        <w:rPr>
          <w:lang w:val="es-ES"/>
        </w:rPr>
        <w:t>IoT. Para completar esta labor, que contribuye a la transformación digital inclusiva y sostenible en todo el mundo, se requieren normas, coordinación del sistema de las Naciones Unidas, iniciativas específicas y proyectos prácticos sobre el terreno.</w:t>
      </w:r>
    </w:p>
    <w:p w14:paraId="213C064E" w14:textId="77777777" w:rsidR="00B1145C" w:rsidRPr="00F05461" w:rsidRDefault="00B1145C" w:rsidP="00BF19CF">
      <w:pPr>
        <w:pStyle w:val="Headingb"/>
      </w:pPr>
      <w:r w:rsidRPr="00F05461">
        <w:t>Inteligencia artificial</w:t>
      </w:r>
    </w:p>
    <w:p w14:paraId="16CAA2E6" w14:textId="0EC524B7" w:rsidR="00B1145C" w:rsidRPr="00F05461" w:rsidRDefault="00296F03" w:rsidP="00866098">
      <w:pPr>
        <w:rPr>
          <w:lang w:val="es-ES"/>
        </w:rPr>
      </w:pPr>
      <w:r w:rsidRPr="00F05461">
        <w:rPr>
          <w:lang w:val="es-ES"/>
        </w:rPr>
        <w:t>La UIT</w:t>
      </w:r>
      <w:r w:rsidR="00B1145C" w:rsidRPr="00F05461">
        <w:rPr>
          <w:lang w:val="es-ES"/>
        </w:rPr>
        <w:t xml:space="preserve"> se ha mantenido a la vanguardia de la cooperación internacional en materia de </w:t>
      </w:r>
      <w:hyperlink r:id="rId178" w:history="1">
        <w:r w:rsidR="00B1145C" w:rsidRPr="00F05461">
          <w:rPr>
            <w:rStyle w:val="Hyperlink"/>
            <w:rFonts w:eastAsia="Times New Roman" w:cs="Times New Roman"/>
            <w:szCs w:val="20"/>
            <w:lang w:val="es-ES"/>
          </w:rPr>
          <w:t>inteligencia artificial</w:t>
        </w:r>
      </w:hyperlink>
      <w:r w:rsidR="00B1145C" w:rsidRPr="00F05461">
        <w:rPr>
          <w:lang w:val="es-ES"/>
        </w:rPr>
        <w:t xml:space="preserve"> desde 2017, garantizando que la</w:t>
      </w:r>
      <w:r w:rsidR="008A4871" w:rsidRPr="00F05461">
        <w:rPr>
          <w:lang w:val="es-ES"/>
        </w:rPr>
        <w:t> </w:t>
      </w:r>
      <w:r w:rsidR="00B1145C" w:rsidRPr="00F05461">
        <w:rPr>
          <w:lang w:val="es-ES"/>
        </w:rPr>
        <w:t>IA contribuya al desarrollo socioeconómico y estimule el progreso hacia el logro de los</w:t>
      </w:r>
      <w:r w:rsidR="008A4871" w:rsidRPr="00F05461">
        <w:rPr>
          <w:lang w:val="es-ES"/>
        </w:rPr>
        <w:t> </w:t>
      </w:r>
      <w:r w:rsidR="00B1145C" w:rsidRPr="00F05461">
        <w:rPr>
          <w:lang w:val="es-ES"/>
        </w:rPr>
        <w:t xml:space="preserve">ODS de las Naciones Unidas. De acuerdo con la </w:t>
      </w:r>
      <w:hyperlink r:id="rId179" w:history="1">
        <w:r w:rsidR="00B1145C" w:rsidRPr="00F05461">
          <w:rPr>
            <w:rStyle w:val="Hyperlink"/>
            <w:rFonts w:eastAsia="Times New Roman" w:cs="Times New Roman"/>
            <w:szCs w:val="20"/>
            <w:lang w:val="es-ES"/>
          </w:rPr>
          <w:t>Resolución</w:t>
        </w:r>
        <w:r w:rsidR="00866098"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214 (Bucarest, 2022)</w:t>
        </w:r>
      </w:hyperlink>
      <w:r w:rsidR="00B1145C" w:rsidRPr="00F05461">
        <w:rPr>
          <w:lang w:val="es-ES"/>
        </w:rPr>
        <w:t xml:space="preserve"> de la Conferencia de Plenipotenciarios, la labor de </w:t>
      </w:r>
      <w:r w:rsidRPr="00F05461">
        <w:rPr>
          <w:lang w:val="es-ES"/>
        </w:rPr>
        <w:t>la UIT</w:t>
      </w:r>
      <w:r w:rsidR="00B1145C" w:rsidRPr="00F05461">
        <w:rPr>
          <w:lang w:val="es-ES"/>
        </w:rPr>
        <w:t xml:space="preserve"> en materia de</w:t>
      </w:r>
      <w:r w:rsidR="007922E7">
        <w:rPr>
          <w:lang w:val="es-ES"/>
        </w:rPr>
        <w:t> </w:t>
      </w:r>
      <w:r w:rsidR="00B1145C" w:rsidRPr="00F05461">
        <w:rPr>
          <w:lang w:val="es-ES"/>
        </w:rPr>
        <w:t>IA abarca la elaboración de normas, la creación de capacidad, la coordinación de todo el sistema de las Naciones Unidas y la gestión de plataformas multipartitas.</w:t>
      </w:r>
    </w:p>
    <w:p w14:paraId="76D80CBF" w14:textId="1EE352F2" w:rsidR="00B1145C" w:rsidRPr="00F05461" w:rsidRDefault="00296F03" w:rsidP="00B1145C">
      <w:pPr>
        <w:rPr>
          <w:lang w:val="es-ES"/>
        </w:rPr>
      </w:pPr>
      <w:r w:rsidRPr="00F05461">
        <w:rPr>
          <w:lang w:val="es-ES"/>
        </w:rPr>
        <w:t>La UIT</w:t>
      </w:r>
      <w:r w:rsidR="00B1145C" w:rsidRPr="00F05461">
        <w:rPr>
          <w:lang w:val="es-ES"/>
        </w:rPr>
        <w:t xml:space="preserve"> avanzó la labor de normalización a través de diferentes Comisiones de Estudio competentes (del Sector de Normalización y algunas del Sector de Radiocomunicaciones), Grupos Temáticos (sobre </w:t>
      </w:r>
      <w:hyperlink r:id="rId180" w:history="1">
        <w:r w:rsidR="00B1145C" w:rsidRPr="00F05461">
          <w:rPr>
            <w:rStyle w:val="Hyperlink"/>
            <w:rFonts w:eastAsia="Times New Roman" w:cs="Times New Roman"/>
            <w:szCs w:val="20"/>
            <w:lang w:val="es-ES"/>
          </w:rPr>
          <w:t>redes de</w:t>
        </w:r>
        <w:r w:rsidR="007922E7">
          <w:rPr>
            <w:rStyle w:val="Hyperlink"/>
            <w:rFonts w:eastAsia="Times New Roman" w:cs="Times New Roman"/>
            <w:szCs w:val="20"/>
            <w:lang w:val="es-ES"/>
          </w:rPr>
          <w:t> </w:t>
        </w:r>
        <w:r w:rsidR="00B1145C" w:rsidRPr="00F05461">
          <w:rPr>
            <w:rStyle w:val="Hyperlink"/>
            <w:rFonts w:eastAsia="Times New Roman" w:cs="Times New Roman"/>
            <w:szCs w:val="20"/>
            <w:lang w:val="es-ES"/>
          </w:rPr>
          <w:t>IA nativas</w:t>
        </w:r>
      </w:hyperlink>
      <w:r w:rsidR="00B1145C" w:rsidRPr="00F05461">
        <w:rPr>
          <w:lang w:val="es-ES"/>
        </w:rPr>
        <w:t xml:space="preserve">, </w:t>
      </w:r>
      <w:hyperlink r:id="rId181" w:history="1">
        <w:r w:rsidR="00B1145C" w:rsidRPr="00F05461">
          <w:rPr>
            <w:rStyle w:val="Hyperlink"/>
            <w:rFonts w:eastAsia="Times New Roman" w:cs="Times New Roman"/>
            <w:szCs w:val="20"/>
            <w:lang w:val="es-ES"/>
          </w:rPr>
          <w:t>IA para la agricultura</w:t>
        </w:r>
      </w:hyperlink>
      <w:r w:rsidR="00B1145C" w:rsidRPr="00F05461">
        <w:rPr>
          <w:lang w:val="es-ES"/>
        </w:rPr>
        <w:t xml:space="preserve">, </w:t>
      </w:r>
      <w:hyperlink r:id="rId182" w:history="1">
        <w:r w:rsidR="00B1145C" w:rsidRPr="00F05461">
          <w:rPr>
            <w:rStyle w:val="Hyperlink"/>
            <w:rFonts w:eastAsia="Times New Roman" w:cs="Times New Roman"/>
            <w:szCs w:val="20"/>
            <w:lang w:val="es-ES"/>
          </w:rPr>
          <w:t>IA para la gestión de catástrofes naturales</w:t>
        </w:r>
      </w:hyperlink>
      <w:r w:rsidR="00B1145C" w:rsidRPr="00F05461">
        <w:rPr>
          <w:lang w:val="es-ES"/>
        </w:rPr>
        <w:t xml:space="preserve"> e </w:t>
      </w:r>
      <w:hyperlink r:id="rId183" w:history="1">
        <w:r w:rsidR="00B1145C" w:rsidRPr="00F05461">
          <w:rPr>
            <w:rStyle w:val="Hyperlink"/>
            <w:rFonts w:eastAsia="Times New Roman" w:cs="Times New Roman"/>
            <w:szCs w:val="20"/>
            <w:lang w:val="es-ES"/>
          </w:rPr>
          <w:t>IA para la salud</w:t>
        </w:r>
      </w:hyperlink>
      <w:r w:rsidR="00B1145C" w:rsidRPr="00F05461">
        <w:rPr>
          <w:lang w:val="es-ES"/>
        </w:rPr>
        <w:t>) e iniciativas previas a la normalización (</w:t>
      </w:r>
      <w:hyperlink r:id="rId184" w:history="1">
        <w:r w:rsidR="00B1145C" w:rsidRPr="00F05461">
          <w:rPr>
            <w:rStyle w:val="Hyperlink"/>
            <w:rFonts w:eastAsia="Times New Roman" w:cs="Times New Roman"/>
            <w:szCs w:val="20"/>
            <w:lang w:val="es-ES"/>
          </w:rPr>
          <w:t xml:space="preserve">Iniciativa </w:t>
        </w:r>
        <w:r w:rsidR="00B77E42" w:rsidRPr="00F05461">
          <w:rPr>
            <w:rStyle w:val="Hyperlink"/>
            <w:rFonts w:eastAsia="Times New Roman" w:cs="Times New Roman"/>
            <w:szCs w:val="20"/>
            <w:lang w:val="es-ES"/>
          </w:rPr>
          <w:t>m</w:t>
        </w:r>
        <w:r w:rsidR="00B1145C" w:rsidRPr="00F05461">
          <w:rPr>
            <w:rStyle w:val="Hyperlink"/>
            <w:rFonts w:eastAsia="Times New Roman" w:cs="Times New Roman"/>
            <w:szCs w:val="20"/>
            <w:lang w:val="es-ES"/>
          </w:rPr>
          <w:t xml:space="preserve">undial sobre </w:t>
        </w:r>
        <w:r w:rsidR="00B77E42" w:rsidRPr="00F05461">
          <w:rPr>
            <w:rStyle w:val="Hyperlink"/>
            <w:rFonts w:eastAsia="Times New Roman" w:cs="Times New Roman"/>
            <w:szCs w:val="20"/>
            <w:lang w:val="es-ES"/>
          </w:rPr>
          <w:t>r</w:t>
        </w:r>
        <w:r w:rsidR="00B1145C" w:rsidRPr="00F05461">
          <w:rPr>
            <w:rStyle w:val="Hyperlink"/>
            <w:rFonts w:eastAsia="Times New Roman" w:cs="Times New Roman"/>
            <w:szCs w:val="20"/>
            <w:lang w:val="es-ES"/>
          </w:rPr>
          <w:t xml:space="preserve">esiliencia </w:t>
        </w:r>
        <w:r w:rsidR="00E249BD" w:rsidRPr="00F05461">
          <w:rPr>
            <w:rStyle w:val="Hyperlink"/>
            <w:rFonts w:eastAsia="Times New Roman" w:cs="Times New Roman"/>
            <w:szCs w:val="20"/>
            <w:lang w:val="es-ES"/>
          </w:rPr>
          <w:t>frente a riesgos</w:t>
        </w:r>
        <w:r w:rsidR="00B1145C" w:rsidRPr="00F05461">
          <w:rPr>
            <w:rStyle w:val="Hyperlink"/>
            <w:rFonts w:eastAsia="Times New Roman" w:cs="Times New Roman"/>
            <w:szCs w:val="20"/>
            <w:lang w:val="es-ES"/>
          </w:rPr>
          <w:t xml:space="preserve"> </w:t>
        </w:r>
        <w:r w:rsidR="00B77E42" w:rsidRPr="00F05461">
          <w:rPr>
            <w:rStyle w:val="Hyperlink"/>
            <w:rFonts w:eastAsia="Times New Roman" w:cs="Times New Roman"/>
            <w:szCs w:val="20"/>
            <w:lang w:val="es-ES"/>
          </w:rPr>
          <w:t>n</w:t>
        </w:r>
        <w:r w:rsidR="00B1145C" w:rsidRPr="00F05461">
          <w:rPr>
            <w:rStyle w:val="Hyperlink"/>
            <w:rFonts w:eastAsia="Times New Roman" w:cs="Times New Roman"/>
            <w:szCs w:val="20"/>
            <w:lang w:val="es-ES"/>
          </w:rPr>
          <w:t xml:space="preserve">aturales mediante </w:t>
        </w:r>
        <w:r w:rsidR="00B77E42" w:rsidRPr="00F05461">
          <w:rPr>
            <w:rStyle w:val="Hyperlink"/>
            <w:rFonts w:eastAsia="Times New Roman" w:cs="Times New Roman"/>
            <w:szCs w:val="20"/>
            <w:lang w:val="es-ES"/>
          </w:rPr>
          <w:t>s</w:t>
        </w:r>
        <w:r w:rsidR="00B1145C" w:rsidRPr="00F05461">
          <w:rPr>
            <w:rStyle w:val="Hyperlink"/>
            <w:rFonts w:eastAsia="Times New Roman" w:cs="Times New Roman"/>
            <w:szCs w:val="20"/>
            <w:lang w:val="es-ES"/>
          </w:rPr>
          <w:t xml:space="preserve">oluciones </w:t>
        </w:r>
        <w:r w:rsidR="00E249BD" w:rsidRPr="00F05461">
          <w:rPr>
            <w:rStyle w:val="Hyperlink"/>
            <w:rFonts w:eastAsia="Times New Roman" w:cs="Times New Roman"/>
            <w:szCs w:val="20"/>
            <w:lang w:val="es-ES"/>
          </w:rPr>
          <w:t>de</w:t>
        </w:r>
        <w:r w:rsidR="008A4871"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IA</w:t>
        </w:r>
      </w:hyperlink>
      <w:r w:rsidR="00B1145C" w:rsidRPr="00F05461">
        <w:rPr>
          <w:lang w:val="es-ES"/>
        </w:rPr>
        <w:t xml:space="preserve">, </w:t>
      </w:r>
      <w:hyperlink r:id="rId185" w:history="1">
        <w:r w:rsidR="00B1145C" w:rsidRPr="00F05461">
          <w:rPr>
            <w:rStyle w:val="Hyperlink"/>
            <w:rFonts w:eastAsia="Times New Roman" w:cs="Times New Roman"/>
            <w:szCs w:val="20"/>
            <w:lang w:val="es-ES"/>
          </w:rPr>
          <w:t xml:space="preserve">Iniciativa </w:t>
        </w:r>
        <w:r w:rsidR="00645E1B" w:rsidRPr="00F05461">
          <w:rPr>
            <w:rStyle w:val="Hyperlink"/>
            <w:rFonts w:eastAsia="Times New Roman" w:cs="Times New Roman"/>
            <w:szCs w:val="20"/>
            <w:lang w:val="es-ES"/>
          </w:rPr>
          <w:t>M</w:t>
        </w:r>
        <w:r w:rsidR="00B1145C" w:rsidRPr="00F05461">
          <w:rPr>
            <w:rStyle w:val="Hyperlink"/>
            <w:rFonts w:eastAsia="Times New Roman" w:cs="Times New Roman"/>
            <w:szCs w:val="20"/>
            <w:lang w:val="es-ES"/>
          </w:rPr>
          <w:t xml:space="preserve">undial </w:t>
        </w:r>
        <w:r w:rsidR="003C3C94" w:rsidRPr="00F05461">
          <w:rPr>
            <w:rStyle w:val="Hyperlink"/>
            <w:rFonts w:eastAsia="Times New Roman" w:cs="Times New Roman"/>
            <w:szCs w:val="20"/>
            <w:lang w:val="es-ES"/>
          </w:rPr>
          <w:t xml:space="preserve">sobre IA para </w:t>
        </w:r>
        <w:r w:rsidR="00645E1B" w:rsidRPr="00F05461">
          <w:rPr>
            <w:rStyle w:val="Hyperlink"/>
            <w:rFonts w:eastAsia="Times New Roman" w:cs="Times New Roman"/>
            <w:szCs w:val="20"/>
            <w:lang w:val="es-ES"/>
          </w:rPr>
          <w:t>S</w:t>
        </w:r>
        <w:r w:rsidR="003C3C94" w:rsidRPr="00F05461">
          <w:rPr>
            <w:rStyle w:val="Hyperlink"/>
            <w:rFonts w:eastAsia="Times New Roman" w:cs="Times New Roman"/>
            <w:szCs w:val="20"/>
            <w:lang w:val="es-ES"/>
          </w:rPr>
          <w:t xml:space="preserve">istemas </w:t>
        </w:r>
        <w:r w:rsidR="00645E1B" w:rsidRPr="00F05461">
          <w:rPr>
            <w:rStyle w:val="Hyperlink"/>
            <w:rFonts w:eastAsia="Times New Roman" w:cs="Times New Roman"/>
            <w:szCs w:val="20"/>
            <w:lang w:val="es-ES"/>
          </w:rPr>
          <w:t>A</w:t>
        </w:r>
        <w:r w:rsidR="003C3C94" w:rsidRPr="00F05461">
          <w:rPr>
            <w:rStyle w:val="Hyperlink"/>
            <w:rFonts w:eastAsia="Times New Roman" w:cs="Times New Roman"/>
            <w:szCs w:val="20"/>
            <w:lang w:val="es-ES"/>
          </w:rPr>
          <w:t>limentarios</w:t>
        </w:r>
      </w:hyperlink>
      <w:r w:rsidR="00B1145C" w:rsidRPr="00F05461">
        <w:rPr>
          <w:lang w:val="es-ES"/>
        </w:rPr>
        <w:t xml:space="preserve">, </w:t>
      </w:r>
      <w:hyperlink r:id="rId186" w:history="1">
        <w:r w:rsidR="00B1145C" w:rsidRPr="00F05461">
          <w:rPr>
            <w:rStyle w:val="Hyperlink"/>
            <w:rFonts w:eastAsia="Times New Roman" w:cs="Times New Roman"/>
            <w:szCs w:val="20"/>
            <w:lang w:val="es-ES"/>
          </w:rPr>
          <w:t xml:space="preserve">Iniciativa </w:t>
        </w:r>
        <w:r w:rsidR="00645E1B" w:rsidRPr="00F05461">
          <w:rPr>
            <w:rStyle w:val="Hyperlink"/>
            <w:rFonts w:eastAsia="Times New Roman" w:cs="Times New Roman"/>
            <w:szCs w:val="20"/>
            <w:lang w:val="es-ES"/>
          </w:rPr>
          <w:t>M</w:t>
        </w:r>
        <w:r w:rsidR="00B1145C" w:rsidRPr="00F05461">
          <w:rPr>
            <w:rStyle w:val="Hyperlink"/>
            <w:rFonts w:eastAsia="Times New Roman" w:cs="Times New Roman"/>
            <w:szCs w:val="20"/>
            <w:lang w:val="es-ES"/>
          </w:rPr>
          <w:t xml:space="preserve">undial sobre IA para la </w:t>
        </w:r>
        <w:r w:rsidR="00645E1B" w:rsidRPr="00F05461">
          <w:rPr>
            <w:rStyle w:val="Hyperlink"/>
            <w:rFonts w:eastAsia="Times New Roman" w:cs="Times New Roman"/>
            <w:szCs w:val="20"/>
            <w:lang w:val="es-ES"/>
          </w:rPr>
          <w:t>S</w:t>
        </w:r>
        <w:r w:rsidR="00B1145C" w:rsidRPr="00F05461">
          <w:rPr>
            <w:rStyle w:val="Hyperlink"/>
            <w:rFonts w:eastAsia="Times New Roman" w:cs="Times New Roman"/>
            <w:szCs w:val="20"/>
            <w:lang w:val="es-ES"/>
          </w:rPr>
          <w:t>alud</w:t>
        </w:r>
      </w:hyperlink>
      <w:r w:rsidR="00B1145C" w:rsidRPr="00F05461">
        <w:rPr>
          <w:lang w:val="es-ES"/>
        </w:rPr>
        <w:t xml:space="preserve">, </w:t>
      </w:r>
      <w:hyperlink r:id="rId187" w:history="1">
        <w:r w:rsidR="00B1145C" w:rsidRPr="00F05461">
          <w:rPr>
            <w:rStyle w:val="Hyperlink"/>
            <w:rFonts w:eastAsia="Times New Roman" w:cs="Times New Roman"/>
            <w:szCs w:val="20"/>
            <w:lang w:val="es-ES"/>
          </w:rPr>
          <w:t xml:space="preserve">Iniciativa </w:t>
        </w:r>
        <w:r w:rsidR="00645E1B" w:rsidRPr="00F05461">
          <w:rPr>
            <w:rStyle w:val="Hyperlink"/>
            <w:rFonts w:eastAsia="Times New Roman" w:cs="Times New Roman"/>
            <w:szCs w:val="20"/>
            <w:lang w:val="es-ES"/>
          </w:rPr>
          <w:t>M</w:t>
        </w:r>
        <w:r w:rsidR="00B1145C" w:rsidRPr="00F05461">
          <w:rPr>
            <w:rStyle w:val="Hyperlink"/>
            <w:rFonts w:eastAsia="Times New Roman" w:cs="Times New Roman"/>
            <w:szCs w:val="20"/>
            <w:lang w:val="es-ES"/>
          </w:rPr>
          <w:t xml:space="preserve">undial sobre IA y </w:t>
        </w:r>
        <w:r w:rsidR="00645E1B" w:rsidRPr="00F05461">
          <w:rPr>
            <w:rStyle w:val="Hyperlink"/>
            <w:rFonts w:eastAsia="Times New Roman" w:cs="Times New Roman"/>
            <w:szCs w:val="20"/>
            <w:lang w:val="es-ES"/>
          </w:rPr>
          <w:t>D</w:t>
        </w:r>
        <w:r w:rsidR="00B1145C" w:rsidRPr="00F05461">
          <w:rPr>
            <w:rStyle w:val="Hyperlink"/>
            <w:rFonts w:eastAsia="Times New Roman" w:cs="Times New Roman"/>
            <w:szCs w:val="20"/>
            <w:lang w:val="es-ES"/>
          </w:rPr>
          <w:t xml:space="preserve">atos </w:t>
        </w:r>
        <w:r w:rsidR="00645E1B" w:rsidRPr="00F05461">
          <w:rPr>
            <w:rStyle w:val="Hyperlink"/>
            <w:rFonts w:eastAsia="Times New Roman" w:cs="Times New Roman"/>
            <w:szCs w:val="20"/>
            <w:lang w:val="es-ES"/>
          </w:rPr>
          <w:t>C</w:t>
        </w:r>
        <w:r w:rsidR="00B1145C" w:rsidRPr="00F05461">
          <w:rPr>
            <w:rStyle w:val="Hyperlink"/>
            <w:rFonts w:eastAsia="Times New Roman" w:cs="Times New Roman"/>
            <w:szCs w:val="20"/>
            <w:lang w:val="es-ES"/>
          </w:rPr>
          <w:t>omunes</w:t>
        </w:r>
      </w:hyperlink>
      <w:r w:rsidR="00B1145C" w:rsidRPr="00F05461">
        <w:rPr>
          <w:lang w:val="es-ES"/>
        </w:rPr>
        <w:t xml:space="preserve"> e </w:t>
      </w:r>
      <w:hyperlink r:id="rId188" w:history="1">
        <w:r w:rsidR="00B1145C" w:rsidRPr="00F05461">
          <w:rPr>
            <w:rStyle w:val="Hyperlink"/>
            <w:rFonts w:eastAsia="Times New Roman" w:cs="Times New Roman"/>
            <w:szCs w:val="20"/>
            <w:lang w:val="es-ES"/>
          </w:rPr>
          <w:t xml:space="preserve">Iniciativa </w:t>
        </w:r>
        <w:r w:rsidR="00645E1B" w:rsidRPr="00F05461">
          <w:rPr>
            <w:rStyle w:val="Hyperlink"/>
            <w:rFonts w:eastAsia="Times New Roman" w:cs="Times New Roman"/>
            <w:szCs w:val="20"/>
            <w:lang w:val="es-ES"/>
          </w:rPr>
          <w:t>M</w:t>
        </w:r>
        <w:r w:rsidR="00B1145C" w:rsidRPr="00F05461">
          <w:rPr>
            <w:rStyle w:val="Hyperlink"/>
            <w:rFonts w:eastAsia="Times New Roman" w:cs="Times New Roman"/>
            <w:szCs w:val="20"/>
            <w:lang w:val="es-ES"/>
          </w:rPr>
          <w:t xml:space="preserve">undial sobre </w:t>
        </w:r>
        <w:r w:rsidR="00645E1B" w:rsidRPr="00F05461">
          <w:rPr>
            <w:rStyle w:val="Hyperlink"/>
            <w:rFonts w:eastAsia="Times New Roman" w:cs="Times New Roman"/>
            <w:szCs w:val="20"/>
            <w:lang w:val="es-ES"/>
          </w:rPr>
          <w:t>M</w:t>
        </w:r>
        <w:r w:rsidR="00B1145C" w:rsidRPr="00F05461">
          <w:rPr>
            <w:rStyle w:val="Hyperlink"/>
            <w:rFonts w:eastAsia="Times New Roman" w:cs="Times New Roman"/>
            <w:szCs w:val="20"/>
            <w:lang w:val="es-ES"/>
          </w:rPr>
          <w:t xml:space="preserve">undos </w:t>
        </w:r>
        <w:r w:rsidR="00645E1B" w:rsidRPr="00F05461">
          <w:rPr>
            <w:rStyle w:val="Hyperlink"/>
            <w:rFonts w:eastAsia="Times New Roman" w:cs="Times New Roman"/>
            <w:szCs w:val="20"/>
            <w:lang w:val="es-ES"/>
          </w:rPr>
          <w:t>V</w:t>
        </w:r>
        <w:r w:rsidR="00B1145C" w:rsidRPr="00F05461">
          <w:rPr>
            <w:rStyle w:val="Hyperlink"/>
            <w:rFonts w:eastAsia="Times New Roman" w:cs="Times New Roman"/>
            <w:szCs w:val="20"/>
            <w:lang w:val="es-ES"/>
          </w:rPr>
          <w:t>irtuales e</w:t>
        </w:r>
        <w:r w:rsidR="00E221BF">
          <w:rPr>
            <w:rStyle w:val="Hyperlink"/>
            <w:rFonts w:eastAsia="Times New Roman" w:cs="Times New Roman"/>
            <w:szCs w:val="20"/>
            <w:lang w:val="es-ES"/>
          </w:rPr>
          <w:t> </w:t>
        </w:r>
        <w:r w:rsidR="00B1145C" w:rsidRPr="00F05461">
          <w:rPr>
            <w:rStyle w:val="Hyperlink"/>
            <w:rFonts w:eastAsia="Times New Roman" w:cs="Times New Roman"/>
            <w:szCs w:val="20"/>
            <w:lang w:val="es-ES"/>
          </w:rPr>
          <w:t>IA</w:t>
        </w:r>
      </w:hyperlink>
      <w:r w:rsidR="00B1145C" w:rsidRPr="00F05461">
        <w:rPr>
          <w:lang w:val="es-ES"/>
        </w:rPr>
        <w:t xml:space="preserve">). Para completar esta labor, </w:t>
      </w:r>
      <w:r w:rsidRPr="00F05461">
        <w:rPr>
          <w:lang w:val="es-ES"/>
        </w:rPr>
        <w:t>la UIT</w:t>
      </w:r>
      <w:r w:rsidR="00B1145C" w:rsidRPr="00F05461">
        <w:rPr>
          <w:lang w:val="es-ES"/>
        </w:rPr>
        <w:t xml:space="preserve"> estableció una colaboración en materia de normas de</w:t>
      </w:r>
      <w:r w:rsidR="007922E7">
        <w:rPr>
          <w:lang w:val="es-ES"/>
        </w:rPr>
        <w:t> </w:t>
      </w:r>
      <w:r w:rsidR="00B1145C" w:rsidRPr="00F05461">
        <w:rPr>
          <w:lang w:val="es-ES"/>
        </w:rPr>
        <w:t xml:space="preserve">IA con otras organizaciones de normalización en el marco de la </w:t>
      </w:r>
      <w:hyperlink r:id="rId189" w:history="1">
        <w:r w:rsidR="00B1145C" w:rsidRPr="00F05461">
          <w:rPr>
            <w:rStyle w:val="Hyperlink"/>
            <w:rFonts w:eastAsia="Times New Roman" w:cs="Times New Roman"/>
            <w:szCs w:val="20"/>
            <w:lang w:val="es-ES"/>
          </w:rPr>
          <w:t>Cooperación Mundial sobre Normas</w:t>
        </w:r>
      </w:hyperlink>
      <w:r w:rsidR="00B1145C" w:rsidRPr="00F05461">
        <w:rPr>
          <w:lang w:val="es-ES"/>
        </w:rPr>
        <w:t xml:space="preserve"> (véase la </w:t>
      </w:r>
      <w:hyperlink w:anchor="_4.3.1_Recomendaciones_UIT-T" w:history="1">
        <w:r w:rsidR="00026A3E" w:rsidRPr="00F05461">
          <w:rPr>
            <w:rStyle w:val="Hyperlink"/>
            <w:rFonts w:eastAsia="Times New Roman" w:cs="Times New Roman"/>
            <w:szCs w:val="20"/>
            <w:lang w:val="es-ES"/>
          </w:rPr>
          <w:t>s</w:t>
        </w:r>
        <w:r w:rsidR="00B1145C" w:rsidRPr="00F05461">
          <w:rPr>
            <w:rStyle w:val="Hyperlink"/>
            <w:rFonts w:eastAsia="Times New Roman" w:cs="Times New Roman"/>
            <w:szCs w:val="20"/>
            <w:lang w:val="es-ES"/>
          </w:rPr>
          <w:t>ección</w:t>
        </w:r>
        <w:r w:rsidR="00D23CF7"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4.3.1</w:t>
        </w:r>
      </w:hyperlink>
      <w:r w:rsidR="00B1145C" w:rsidRPr="00F05461">
        <w:rPr>
          <w:lang w:val="es-ES"/>
        </w:rPr>
        <w:t xml:space="preserve">) a fin de promover las normas internacionales basadas en el consenso. La Cumbre Internacional </w:t>
      </w:r>
      <w:r w:rsidR="002A0208" w:rsidRPr="00F05461">
        <w:rPr>
          <w:lang w:val="es-ES"/>
        </w:rPr>
        <w:t>sobre</w:t>
      </w:r>
      <w:r w:rsidR="00B1145C" w:rsidRPr="00F05461">
        <w:rPr>
          <w:lang w:val="es-ES"/>
        </w:rPr>
        <w:t xml:space="preserve"> Normas de</w:t>
      </w:r>
      <w:r w:rsidR="007922E7">
        <w:rPr>
          <w:lang w:val="es-ES"/>
        </w:rPr>
        <w:t> </w:t>
      </w:r>
      <w:r w:rsidR="00B1145C" w:rsidRPr="00F05461">
        <w:rPr>
          <w:lang w:val="es-ES"/>
        </w:rPr>
        <w:t>IA, que se celebra anualmente, ha comenzado a responder al llamamiento de la comunidad mundial, que demanda normas de</w:t>
      </w:r>
      <w:r w:rsidR="007922E7">
        <w:rPr>
          <w:lang w:val="es-ES"/>
        </w:rPr>
        <w:t> </w:t>
      </w:r>
      <w:r w:rsidR="00B1145C" w:rsidRPr="00F05461">
        <w:rPr>
          <w:lang w:val="es-ES"/>
        </w:rPr>
        <w:t xml:space="preserve">IA completas e impactantes. La adopción de la </w:t>
      </w:r>
      <w:hyperlink r:id="rId190" w:history="1">
        <w:r w:rsidR="00B1145C" w:rsidRPr="00F05461">
          <w:rPr>
            <w:rStyle w:val="Hyperlink"/>
            <w:rFonts w:eastAsia="Times New Roman" w:cs="Times New Roman"/>
            <w:szCs w:val="20"/>
            <w:lang w:val="es-ES"/>
          </w:rPr>
          <w:t>Resolución</w:t>
        </w:r>
        <w:r w:rsidR="008A4871"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101 (Nueva Delhi, 2024)</w:t>
        </w:r>
      </w:hyperlink>
      <w:r w:rsidR="00B1145C" w:rsidRPr="00F05461">
        <w:rPr>
          <w:lang w:val="es-ES"/>
        </w:rPr>
        <w:t xml:space="preserve"> de la</w:t>
      </w:r>
      <w:r w:rsidR="007B1984" w:rsidRPr="00F05461">
        <w:rPr>
          <w:lang w:val="es-ES"/>
        </w:rPr>
        <w:t> AMNT</w:t>
      </w:r>
      <w:r w:rsidR="00B1145C" w:rsidRPr="00F05461">
        <w:rPr>
          <w:lang w:val="es-ES"/>
        </w:rPr>
        <w:t xml:space="preserve"> consolidó oficialmente la función de normalización de </w:t>
      </w:r>
      <w:r w:rsidRPr="00F05461">
        <w:rPr>
          <w:lang w:val="es-ES"/>
        </w:rPr>
        <w:t>la UIT</w:t>
      </w:r>
      <w:r w:rsidR="00B1145C" w:rsidRPr="00F05461">
        <w:rPr>
          <w:lang w:val="es-ES"/>
        </w:rPr>
        <w:t xml:space="preserve"> en el ámbito de la</w:t>
      </w:r>
      <w:r w:rsidR="008A4871" w:rsidRPr="00F05461">
        <w:rPr>
          <w:lang w:val="es-ES"/>
        </w:rPr>
        <w:t> </w:t>
      </w:r>
      <w:r w:rsidR="00B1145C" w:rsidRPr="00F05461">
        <w:rPr>
          <w:lang w:val="es-ES"/>
        </w:rPr>
        <w:t xml:space="preserve">IA, destacando el mandato reconocido de </w:t>
      </w:r>
      <w:r w:rsidRPr="00F05461">
        <w:rPr>
          <w:lang w:val="es-ES"/>
        </w:rPr>
        <w:t>la UIT</w:t>
      </w:r>
      <w:r w:rsidR="00B1145C" w:rsidRPr="00F05461">
        <w:rPr>
          <w:lang w:val="es-ES"/>
        </w:rPr>
        <w:t xml:space="preserve"> de elaborar normas internacionales fiables en materia de</w:t>
      </w:r>
      <w:r w:rsidR="00E221BF">
        <w:rPr>
          <w:lang w:val="es-ES"/>
        </w:rPr>
        <w:t> </w:t>
      </w:r>
      <w:r w:rsidR="00B1145C" w:rsidRPr="00F05461">
        <w:rPr>
          <w:lang w:val="es-ES"/>
        </w:rPr>
        <w:t>IA.</w:t>
      </w:r>
    </w:p>
    <w:p w14:paraId="596DE842" w14:textId="1493A6EF" w:rsidR="00B1145C" w:rsidRPr="00F05461" w:rsidRDefault="00296F03" w:rsidP="00975F5B">
      <w:pPr>
        <w:keepNext/>
        <w:keepLines/>
        <w:rPr>
          <w:lang w:val="es-ES"/>
        </w:rPr>
      </w:pPr>
      <w:r w:rsidRPr="00F05461">
        <w:rPr>
          <w:lang w:val="es-ES"/>
        </w:rPr>
        <w:lastRenderedPageBreak/>
        <w:t>La UIT</w:t>
      </w:r>
      <w:r w:rsidR="00B1145C" w:rsidRPr="00F05461">
        <w:rPr>
          <w:lang w:val="es-ES"/>
        </w:rPr>
        <w:t xml:space="preserve"> está ayudando a dotar a los países de todo el mundo de los conocimientos y herramientas necesarios para sacar provecho de la</w:t>
      </w:r>
      <w:r w:rsidR="008A4871" w:rsidRPr="00F05461">
        <w:rPr>
          <w:lang w:val="es-ES"/>
        </w:rPr>
        <w:t> </w:t>
      </w:r>
      <w:r w:rsidR="00B1145C" w:rsidRPr="00F05461">
        <w:rPr>
          <w:lang w:val="es-ES"/>
        </w:rPr>
        <w:t xml:space="preserve">IA con el objetivo de que sus beneficios sean accesibles y equitativos para todos. La iniciativa AI for Good Impact incluye programas emblemáticos como la </w:t>
      </w:r>
      <w:hyperlink r:id="rId191" w:history="1">
        <w:r w:rsidR="00203659" w:rsidRPr="00F05461">
          <w:rPr>
            <w:rStyle w:val="Hyperlink"/>
            <w:rFonts w:eastAsia="Times New Roman" w:cs="Times New Roman"/>
            <w:szCs w:val="20"/>
            <w:lang w:val="es-ES"/>
          </w:rPr>
          <w:t>Coalición de Competencias en IA</w:t>
        </w:r>
      </w:hyperlink>
      <w:r w:rsidR="00B1145C" w:rsidRPr="00F05461">
        <w:rPr>
          <w:lang w:val="es-ES"/>
        </w:rPr>
        <w:t xml:space="preserve">, la plataforma </w:t>
      </w:r>
      <w:hyperlink r:id="rId192" w:history="1">
        <w:r w:rsidR="00B1145C" w:rsidRPr="00F05461">
          <w:rPr>
            <w:rStyle w:val="Hyperlink"/>
            <w:rFonts w:eastAsia="Times New Roman" w:cs="Times New Roman"/>
            <w:szCs w:val="20"/>
            <w:lang w:val="es-ES"/>
          </w:rPr>
          <w:t>Young AI Leaders Community</w:t>
        </w:r>
      </w:hyperlink>
      <w:r w:rsidR="00B1145C" w:rsidRPr="00F05461">
        <w:rPr>
          <w:lang w:val="es-ES"/>
        </w:rPr>
        <w:t xml:space="preserve">, los </w:t>
      </w:r>
      <w:hyperlink r:id="rId193" w:history="1">
        <w:r w:rsidR="00B1145C" w:rsidRPr="00F05461">
          <w:rPr>
            <w:rStyle w:val="Hyperlink"/>
            <w:rFonts w:eastAsia="Times New Roman" w:cs="Times New Roman"/>
            <w:szCs w:val="20"/>
            <w:lang w:val="es-ES"/>
          </w:rPr>
          <w:t>Desafíos Mundiales de</w:t>
        </w:r>
        <w:r w:rsidR="007922E7">
          <w:rPr>
            <w:rStyle w:val="Hyperlink"/>
            <w:rFonts w:eastAsia="Times New Roman" w:cs="Times New Roman"/>
            <w:szCs w:val="20"/>
            <w:lang w:val="es-ES"/>
          </w:rPr>
          <w:t> </w:t>
        </w:r>
        <w:r w:rsidR="00B1145C" w:rsidRPr="00F05461">
          <w:rPr>
            <w:rStyle w:val="Hyperlink"/>
            <w:rFonts w:eastAsia="Times New Roman" w:cs="Times New Roman"/>
            <w:szCs w:val="20"/>
            <w:lang w:val="es-ES"/>
          </w:rPr>
          <w:t>IA</w:t>
        </w:r>
      </w:hyperlink>
      <w:r w:rsidR="00B1145C" w:rsidRPr="00F05461">
        <w:rPr>
          <w:lang w:val="es-ES"/>
        </w:rPr>
        <w:t xml:space="preserve"> y la </w:t>
      </w:r>
      <w:hyperlink r:id="rId194" w:history="1">
        <w:r w:rsidR="00B1145C" w:rsidRPr="00F05461">
          <w:rPr>
            <w:rStyle w:val="Hyperlink"/>
            <w:rFonts w:eastAsia="Times New Roman" w:cs="Times New Roman"/>
            <w:szCs w:val="20"/>
            <w:lang w:val="es-ES"/>
          </w:rPr>
          <w:t>Fábrica de Innovación AI for Good y su Programa de Aceleración de Empresas Emergentes</w:t>
        </w:r>
      </w:hyperlink>
      <w:r w:rsidR="00B1145C" w:rsidRPr="00F05461">
        <w:rPr>
          <w:lang w:val="es-ES"/>
        </w:rPr>
        <w:t xml:space="preserve">. Además, puso en marcha una serie de eventos Impact regionales, como AI for Good Impact India y </w:t>
      </w:r>
      <w:r w:rsidR="00B1145C">
        <w:fldChar w:fldCharType="begin"/>
      </w:r>
      <w:r w:rsidR="00B1145C" w:rsidRPr="009A0A46">
        <w:rPr>
          <w:lang w:val="en-GB"/>
        </w:rPr>
        <w:instrText>HYPERLINK "https://aiforgood.itu.int/event/impact-africa/"</w:instrText>
      </w:r>
      <w:r w:rsidR="00B1145C">
        <w:fldChar w:fldCharType="separate"/>
      </w:r>
      <w:r w:rsidR="00B1145C" w:rsidRPr="00F05461">
        <w:rPr>
          <w:rStyle w:val="Hyperlink"/>
          <w:rFonts w:eastAsia="Times New Roman" w:cs="Times New Roman"/>
          <w:szCs w:val="20"/>
          <w:lang w:val="es-ES"/>
        </w:rPr>
        <w:t xml:space="preserve">AI for Good </w:t>
      </w:r>
      <w:proofErr w:type="spellStart"/>
      <w:r w:rsidR="00B1145C" w:rsidRPr="00F05461">
        <w:rPr>
          <w:rStyle w:val="Hyperlink"/>
          <w:rFonts w:eastAsia="Times New Roman" w:cs="Times New Roman"/>
          <w:szCs w:val="20"/>
          <w:lang w:val="es-ES"/>
        </w:rPr>
        <w:t>Impact</w:t>
      </w:r>
      <w:proofErr w:type="spellEnd"/>
      <w:r w:rsidR="00B1145C" w:rsidRPr="00F05461">
        <w:rPr>
          <w:rStyle w:val="Hyperlink"/>
          <w:rFonts w:eastAsia="Times New Roman" w:cs="Times New Roman"/>
          <w:szCs w:val="20"/>
          <w:lang w:val="es-ES"/>
        </w:rPr>
        <w:t xml:space="preserve"> Africa</w:t>
      </w:r>
      <w:r w:rsidR="00B1145C">
        <w:fldChar w:fldCharType="end"/>
      </w:r>
      <w:r w:rsidR="00B1145C" w:rsidRPr="00F05461">
        <w:rPr>
          <w:lang w:val="es-ES"/>
        </w:rPr>
        <w:t xml:space="preserve">. Estos programas, junto con la </w:t>
      </w:r>
      <w:hyperlink r:id="rId195" w:history="1">
        <w:r w:rsidR="00B1145C" w:rsidRPr="00F05461">
          <w:rPr>
            <w:rStyle w:val="Hyperlink"/>
            <w:rFonts w:eastAsia="Times New Roman" w:cs="Times New Roman"/>
            <w:szCs w:val="20"/>
            <w:lang w:val="es-ES"/>
          </w:rPr>
          <w:t>Encuesta sobre el panorama de la</w:t>
        </w:r>
        <w:r w:rsidR="008A4871"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IA</w:t>
        </w:r>
      </w:hyperlink>
      <w:r w:rsidR="00B1145C" w:rsidRPr="00F05461">
        <w:rPr>
          <w:lang w:val="es-ES"/>
        </w:rPr>
        <w:t xml:space="preserve">, el </w:t>
      </w:r>
      <w:hyperlink r:id="rId196" w:history="1">
        <w:r w:rsidR="00B1145C" w:rsidRPr="00F05461">
          <w:rPr>
            <w:rStyle w:val="Hyperlink"/>
            <w:rFonts w:eastAsia="Times New Roman" w:cs="Times New Roman"/>
            <w:szCs w:val="20"/>
            <w:lang w:val="es-ES"/>
          </w:rPr>
          <w:t>Subgrupo sobre IA para Alertas Tempranas para Todos</w:t>
        </w:r>
      </w:hyperlink>
      <w:r w:rsidR="00B1145C" w:rsidRPr="00F05461">
        <w:rPr>
          <w:lang w:val="es-ES"/>
        </w:rPr>
        <w:t>, los cursos sobre</w:t>
      </w:r>
      <w:r w:rsidR="007922E7">
        <w:rPr>
          <w:lang w:val="es-ES"/>
        </w:rPr>
        <w:t> </w:t>
      </w:r>
      <w:r w:rsidR="00B1145C" w:rsidRPr="00F05461">
        <w:rPr>
          <w:lang w:val="es-ES"/>
        </w:rPr>
        <w:t xml:space="preserve">IA de la </w:t>
      </w:r>
      <w:hyperlink r:id="rId197" w:history="1">
        <w:r w:rsidR="00B1145C" w:rsidRPr="00F05461">
          <w:rPr>
            <w:rStyle w:val="Hyperlink"/>
            <w:rFonts w:eastAsia="Times New Roman" w:cs="Times New Roman"/>
            <w:szCs w:val="20"/>
            <w:lang w:val="es-ES"/>
          </w:rPr>
          <w:t xml:space="preserve">Academia de </w:t>
        </w:r>
        <w:r w:rsidRPr="00F05461">
          <w:rPr>
            <w:rStyle w:val="Hyperlink"/>
            <w:rFonts w:eastAsia="Times New Roman" w:cs="Times New Roman"/>
            <w:szCs w:val="20"/>
            <w:lang w:val="es-ES"/>
          </w:rPr>
          <w:t>la UIT</w:t>
        </w:r>
      </w:hyperlink>
      <w:r w:rsidR="00B1145C" w:rsidRPr="00F05461">
        <w:rPr>
          <w:lang w:val="es-ES"/>
        </w:rPr>
        <w:t xml:space="preserve"> y los proyectos como </w:t>
      </w:r>
      <w:hyperlink r:id="rId198" w:history="1">
        <w:r w:rsidR="00B1145C" w:rsidRPr="00F05461">
          <w:rPr>
            <w:rStyle w:val="Hyperlink"/>
            <w:rFonts w:eastAsia="Times New Roman" w:cs="Times New Roman"/>
            <w:szCs w:val="20"/>
            <w:lang w:val="es-ES"/>
          </w:rPr>
          <w:t xml:space="preserve">Capacitación en </w:t>
        </w:r>
        <w:r w:rsidR="006C3476" w:rsidRPr="00F05461">
          <w:rPr>
            <w:rStyle w:val="Hyperlink"/>
            <w:rFonts w:eastAsia="Times New Roman" w:cs="Times New Roman"/>
            <w:szCs w:val="20"/>
            <w:lang w:val="es-ES"/>
          </w:rPr>
          <w:t>T</w:t>
        </w:r>
        <w:r w:rsidR="00B1145C" w:rsidRPr="00F05461">
          <w:rPr>
            <w:rStyle w:val="Hyperlink"/>
            <w:rFonts w:eastAsia="Times New Roman" w:cs="Times New Roman"/>
            <w:szCs w:val="20"/>
            <w:lang w:val="es-ES"/>
          </w:rPr>
          <w:t xml:space="preserve">ecnología y </w:t>
        </w:r>
        <w:r w:rsidR="006C3476" w:rsidRPr="00F05461">
          <w:rPr>
            <w:rStyle w:val="Hyperlink"/>
            <w:rFonts w:eastAsia="Times New Roman" w:cs="Times New Roman"/>
            <w:szCs w:val="20"/>
            <w:lang w:val="es-ES"/>
          </w:rPr>
          <w:t>N</w:t>
        </w:r>
        <w:r w:rsidR="00B1145C" w:rsidRPr="00F05461">
          <w:rPr>
            <w:rStyle w:val="Hyperlink"/>
            <w:rFonts w:eastAsia="Times New Roman" w:cs="Times New Roman"/>
            <w:szCs w:val="20"/>
            <w:lang w:val="es-ES"/>
          </w:rPr>
          <w:t>ormativa de</w:t>
        </w:r>
        <w:r w:rsidR="007922E7">
          <w:rPr>
            <w:rStyle w:val="Hyperlink"/>
            <w:rFonts w:eastAsia="Times New Roman" w:cs="Times New Roman"/>
            <w:szCs w:val="20"/>
            <w:lang w:val="es-ES"/>
          </w:rPr>
          <w:t> </w:t>
        </w:r>
        <w:r w:rsidR="00B1145C" w:rsidRPr="00F05461">
          <w:rPr>
            <w:rStyle w:val="Hyperlink"/>
            <w:rFonts w:eastAsia="Times New Roman" w:cs="Times New Roman"/>
            <w:szCs w:val="20"/>
            <w:lang w:val="es-ES"/>
          </w:rPr>
          <w:t>IA en Asia-Pacífico</w:t>
        </w:r>
      </w:hyperlink>
      <w:r w:rsidR="00B1145C" w:rsidRPr="00F05461">
        <w:rPr>
          <w:lang w:val="es-ES"/>
        </w:rPr>
        <w:t xml:space="preserve">, subrayan el compromiso de </w:t>
      </w:r>
      <w:r w:rsidRPr="00F05461">
        <w:rPr>
          <w:lang w:val="es-ES"/>
        </w:rPr>
        <w:t>la UIT</w:t>
      </w:r>
      <w:r w:rsidR="00B1145C" w:rsidRPr="00F05461">
        <w:rPr>
          <w:lang w:val="es-ES"/>
        </w:rPr>
        <w:t xml:space="preserve"> de reducir la brecha en materia de</w:t>
      </w:r>
      <w:r w:rsidR="007922E7">
        <w:rPr>
          <w:lang w:val="es-ES"/>
        </w:rPr>
        <w:t> </w:t>
      </w:r>
      <w:r w:rsidR="00B1145C" w:rsidRPr="00F05461">
        <w:rPr>
          <w:lang w:val="es-ES"/>
        </w:rPr>
        <w:t>IA, fomentar las asociaciones internacionales y apoyar los</w:t>
      </w:r>
      <w:r w:rsidR="005530D1" w:rsidRPr="00F05461">
        <w:rPr>
          <w:lang w:val="es-ES"/>
        </w:rPr>
        <w:t> </w:t>
      </w:r>
      <w:r w:rsidR="00B1145C" w:rsidRPr="00F05461">
        <w:rPr>
          <w:lang w:val="es-ES"/>
        </w:rPr>
        <w:t>ODS mediante la creación de capacidades de</w:t>
      </w:r>
      <w:r w:rsidR="007922E7">
        <w:rPr>
          <w:lang w:val="es-ES"/>
        </w:rPr>
        <w:t> </w:t>
      </w:r>
      <w:r w:rsidR="00B1145C" w:rsidRPr="00F05461">
        <w:rPr>
          <w:lang w:val="es-ES"/>
        </w:rPr>
        <w:t xml:space="preserve">IA. La adopción de la </w:t>
      </w:r>
      <w:hyperlink r:id="rId199" w:history="1">
        <w:r w:rsidR="00B1145C" w:rsidRPr="00F05461">
          <w:rPr>
            <w:rStyle w:val="Hyperlink"/>
            <w:rFonts w:eastAsia="Times New Roman" w:cs="Times New Roman"/>
            <w:szCs w:val="20"/>
            <w:lang w:val="es-ES"/>
          </w:rPr>
          <w:t>Resolución</w:t>
        </w:r>
        <w:r w:rsidR="00BE5909"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91 (Bakú, 2025)</w:t>
        </w:r>
      </w:hyperlink>
      <w:r w:rsidR="00B1145C" w:rsidRPr="00F05461">
        <w:rPr>
          <w:lang w:val="es-ES"/>
        </w:rPr>
        <w:t xml:space="preserve"> de la</w:t>
      </w:r>
      <w:r w:rsidR="007B1984" w:rsidRPr="00F05461">
        <w:rPr>
          <w:lang w:val="es-ES"/>
        </w:rPr>
        <w:t> CMDT</w:t>
      </w:r>
      <w:r w:rsidR="00B1145C" w:rsidRPr="00F05461">
        <w:rPr>
          <w:lang w:val="es-ES"/>
        </w:rPr>
        <w:t xml:space="preserve"> refuerza aún más el compromiso de </w:t>
      </w:r>
      <w:r w:rsidRPr="00F05461">
        <w:rPr>
          <w:lang w:val="es-ES"/>
        </w:rPr>
        <w:t>la UIT</w:t>
      </w:r>
      <w:r w:rsidR="00B1145C" w:rsidRPr="00F05461">
        <w:rPr>
          <w:lang w:val="es-ES"/>
        </w:rPr>
        <w:t xml:space="preserve"> de respaldar el uso de tecnologías de</w:t>
      </w:r>
      <w:r w:rsidR="003C7DDE">
        <w:rPr>
          <w:lang w:val="es-ES"/>
        </w:rPr>
        <w:t> </w:t>
      </w:r>
      <w:r w:rsidR="00B1145C" w:rsidRPr="00F05461">
        <w:rPr>
          <w:lang w:val="es-ES"/>
        </w:rPr>
        <w:t>IA para el desarrollo de las telecomunicaciones.</w:t>
      </w:r>
    </w:p>
    <w:p w14:paraId="687402F7" w14:textId="17887F35" w:rsidR="00B1145C" w:rsidRPr="00F05461" w:rsidRDefault="00B1145C" w:rsidP="00B1145C">
      <w:pPr>
        <w:rPr>
          <w:lang w:val="es-ES"/>
        </w:rPr>
      </w:pPr>
      <w:r w:rsidRPr="00F05461">
        <w:rPr>
          <w:lang w:val="es-ES"/>
        </w:rPr>
        <w:t>Se continuó trabajando en la coherencia de las políticas y la coordinación programática en materia de</w:t>
      </w:r>
      <w:r w:rsidR="003C7DDE">
        <w:rPr>
          <w:lang w:val="es-ES"/>
        </w:rPr>
        <w:t> </w:t>
      </w:r>
      <w:r w:rsidRPr="00F05461">
        <w:rPr>
          <w:lang w:val="es-ES"/>
        </w:rPr>
        <w:t xml:space="preserve">IA en todo el sistema de las Naciones Unidas a través del </w:t>
      </w:r>
      <w:hyperlink r:id="rId200" w:history="1">
        <w:r w:rsidRPr="00F05461">
          <w:rPr>
            <w:rStyle w:val="Hyperlink"/>
            <w:rFonts w:eastAsia="Times New Roman" w:cs="Times New Roman"/>
            <w:szCs w:val="20"/>
            <w:lang w:val="es-ES"/>
          </w:rPr>
          <w:t>Grupo de Trabajo Interinstitucional sobre IA</w:t>
        </w:r>
      </w:hyperlink>
      <w:r w:rsidRPr="00F05461">
        <w:rPr>
          <w:lang w:val="es-ES"/>
        </w:rPr>
        <w:t xml:space="preserve"> (IAWG-AI), dirigido conjuntamente por </w:t>
      </w:r>
      <w:r w:rsidR="00296F03" w:rsidRPr="00F05461">
        <w:rPr>
          <w:lang w:val="es-ES"/>
        </w:rPr>
        <w:t>la UIT</w:t>
      </w:r>
      <w:r w:rsidRPr="00F05461">
        <w:rPr>
          <w:lang w:val="es-ES"/>
        </w:rPr>
        <w:t xml:space="preserve"> y la</w:t>
      </w:r>
      <w:r w:rsidR="000546D6" w:rsidRPr="00F05461">
        <w:rPr>
          <w:lang w:val="es-ES"/>
        </w:rPr>
        <w:t> </w:t>
      </w:r>
      <w:r w:rsidRPr="00F05461">
        <w:rPr>
          <w:lang w:val="es-ES"/>
        </w:rPr>
        <w:t xml:space="preserve">UNESCO. El Grupo ha desarrollado iniciativas clave, como los </w:t>
      </w:r>
      <w:hyperlink r:id="rId201" w:history="1">
        <w:r w:rsidRPr="00F05461">
          <w:rPr>
            <w:rStyle w:val="Hyperlink"/>
            <w:rFonts w:eastAsia="Times New Roman" w:cs="Times New Roman"/>
            <w:szCs w:val="20"/>
            <w:lang w:val="es-ES"/>
          </w:rPr>
          <w:t>principios éticos para la</w:t>
        </w:r>
        <w:r w:rsidR="008A4871" w:rsidRPr="00F05461">
          <w:rPr>
            <w:rStyle w:val="Hyperlink"/>
            <w:rFonts w:eastAsia="Times New Roman" w:cs="Times New Roman"/>
            <w:szCs w:val="20"/>
            <w:lang w:val="es-ES"/>
          </w:rPr>
          <w:t> </w:t>
        </w:r>
        <w:r w:rsidRPr="00F05461">
          <w:rPr>
            <w:rStyle w:val="Hyperlink"/>
            <w:rFonts w:eastAsia="Times New Roman" w:cs="Times New Roman"/>
            <w:szCs w:val="20"/>
            <w:lang w:val="es-ES"/>
          </w:rPr>
          <w:t>IA en el sistema de las Naciones Unidas</w:t>
        </w:r>
      </w:hyperlink>
      <w:r w:rsidRPr="00F05461">
        <w:rPr>
          <w:lang w:val="es-ES"/>
        </w:rPr>
        <w:t xml:space="preserve"> y el </w:t>
      </w:r>
      <w:hyperlink r:id="rId202" w:history="1">
        <w:r w:rsidRPr="00F05461">
          <w:rPr>
            <w:rStyle w:val="Hyperlink"/>
            <w:rFonts w:eastAsia="Times New Roman" w:cs="Times New Roman"/>
            <w:szCs w:val="20"/>
            <w:lang w:val="es-ES"/>
          </w:rPr>
          <w:t>libro blanco de las Naciones Unidas sobre la gobernanza de la</w:t>
        </w:r>
        <w:r w:rsidR="008A4871" w:rsidRPr="00F05461">
          <w:rPr>
            <w:rStyle w:val="Hyperlink"/>
            <w:rFonts w:eastAsia="Times New Roman" w:cs="Times New Roman"/>
            <w:szCs w:val="20"/>
            <w:lang w:val="es-ES"/>
          </w:rPr>
          <w:t> </w:t>
        </w:r>
        <w:r w:rsidRPr="00F05461">
          <w:rPr>
            <w:rStyle w:val="Hyperlink"/>
            <w:rFonts w:eastAsia="Times New Roman" w:cs="Times New Roman"/>
            <w:szCs w:val="20"/>
            <w:lang w:val="es-ES"/>
          </w:rPr>
          <w:t>IA</w:t>
        </w:r>
      </w:hyperlink>
      <w:r w:rsidRPr="00F05461">
        <w:rPr>
          <w:lang w:val="es-ES"/>
        </w:rPr>
        <w:t xml:space="preserve">, refrendadas por la Junta de los Jefes Ejecutivos del Sistema de las Naciones Unidas para la Coordinación. También ha puesto en marcha el </w:t>
      </w:r>
      <w:hyperlink r:id="rId203" w:history="1">
        <w:r w:rsidRPr="00F05461">
          <w:rPr>
            <w:rStyle w:val="Hyperlink"/>
            <w:rFonts w:eastAsia="Times New Roman" w:cs="Times New Roman"/>
            <w:szCs w:val="20"/>
            <w:lang w:val="es-ES"/>
          </w:rPr>
          <w:t>Centro de Recursos de</w:t>
        </w:r>
        <w:r w:rsidR="003C7DDE">
          <w:rPr>
            <w:rStyle w:val="Hyperlink"/>
            <w:rFonts w:eastAsia="Times New Roman" w:cs="Times New Roman"/>
            <w:szCs w:val="20"/>
            <w:lang w:val="es-ES"/>
          </w:rPr>
          <w:t> </w:t>
        </w:r>
        <w:r w:rsidRPr="00F05461">
          <w:rPr>
            <w:rStyle w:val="Hyperlink"/>
            <w:rFonts w:eastAsia="Times New Roman" w:cs="Times New Roman"/>
            <w:szCs w:val="20"/>
            <w:lang w:val="es-ES"/>
          </w:rPr>
          <w:t>IA de las Naciones Unidas</w:t>
        </w:r>
      </w:hyperlink>
      <w:r w:rsidRPr="00F05461">
        <w:rPr>
          <w:lang w:val="es-ES"/>
        </w:rPr>
        <w:t>, una plataforma pública dinámica que permite realizar búsquedas entre las más de 700</w:t>
      </w:r>
      <w:r w:rsidR="00F811A4" w:rsidRPr="00F05461">
        <w:rPr>
          <w:lang w:val="es-ES"/>
        </w:rPr>
        <w:t> </w:t>
      </w:r>
      <w:r w:rsidRPr="00F05461">
        <w:rPr>
          <w:lang w:val="es-ES"/>
        </w:rPr>
        <w:t>iniciativas de</w:t>
      </w:r>
      <w:r w:rsidR="003C7DDE">
        <w:rPr>
          <w:lang w:val="es-ES"/>
        </w:rPr>
        <w:t> </w:t>
      </w:r>
      <w:r w:rsidRPr="00F05461">
        <w:rPr>
          <w:lang w:val="es-ES"/>
        </w:rPr>
        <w:t xml:space="preserve">IA documentadas, basándose en el </w:t>
      </w:r>
      <w:hyperlink r:id="rId204" w:history="1">
        <w:r w:rsidRPr="00F05461">
          <w:rPr>
            <w:rStyle w:val="Hyperlink"/>
            <w:rFonts w:eastAsia="Times New Roman" w:cs="Times New Roman"/>
            <w:szCs w:val="20"/>
            <w:lang w:val="es-ES"/>
          </w:rPr>
          <w:t xml:space="preserve">informe compilado por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sobre actividades de las Naciones Unidas relacionadas con la</w:t>
        </w:r>
        <w:r w:rsidR="008A4871" w:rsidRPr="00F05461">
          <w:rPr>
            <w:rStyle w:val="Hyperlink"/>
            <w:rFonts w:eastAsia="Times New Roman" w:cs="Times New Roman"/>
            <w:szCs w:val="20"/>
            <w:lang w:val="es-ES"/>
          </w:rPr>
          <w:t> </w:t>
        </w:r>
        <w:r w:rsidRPr="00F05461">
          <w:rPr>
            <w:rStyle w:val="Hyperlink"/>
            <w:rFonts w:eastAsia="Times New Roman" w:cs="Times New Roman"/>
            <w:szCs w:val="20"/>
            <w:lang w:val="es-ES"/>
          </w:rPr>
          <w:t>IA</w:t>
        </w:r>
      </w:hyperlink>
      <w:r w:rsidRPr="00F05461">
        <w:rPr>
          <w:lang w:val="es-ES"/>
        </w:rPr>
        <w:t>. El IAWG-AI, que inicia su sexto año de actividad, se considera ahora un mecanismo de coordinación institucional estable. Su labor ha sido reconocida por varias Resoluciones, como las Resoluciones</w:t>
      </w:r>
      <w:r w:rsidR="00F811A4" w:rsidRPr="00F05461">
        <w:rPr>
          <w:lang w:val="es-ES"/>
        </w:rPr>
        <w:t> </w:t>
      </w:r>
      <w:r>
        <w:fldChar w:fldCharType="begin"/>
      </w:r>
      <w:r w:rsidRPr="009A0A46">
        <w:rPr>
          <w:lang w:val="es-ES"/>
        </w:rPr>
        <w:instrText>HYPERLINK "https://docs.un.org/es/A/RES/79/325"</w:instrText>
      </w:r>
      <w:r>
        <w:fldChar w:fldCharType="separate"/>
      </w:r>
      <w:r w:rsidRPr="00F05461">
        <w:rPr>
          <w:rStyle w:val="Hyperlink"/>
          <w:rFonts w:eastAsia="Times New Roman" w:cs="Times New Roman"/>
          <w:szCs w:val="20"/>
          <w:lang w:val="es-ES"/>
        </w:rPr>
        <w:t>A/RES/79/325</w:t>
      </w:r>
      <w:r>
        <w:fldChar w:fldCharType="end"/>
      </w:r>
      <w:r w:rsidRPr="00F05461">
        <w:rPr>
          <w:lang w:val="es-ES"/>
        </w:rPr>
        <w:t xml:space="preserve"> y </w:t>
      </w:r>
      <w:r>
        <w:fldChar w:fldCharType="begin"/>
      </w:r>
      <w:r w:rsidRPr="009A0A46">
        <w:rPr>
          <w:lang w:val="es-ES"/>
        </w:rPr>
        <w:instrText>HYPERLINK "https://docs.un.org/es/A/RES/80/173"</w:instrText>
      </w:r>
      <w:r>
        <w:fldChar w:fldCharType="separate"/>
      </w:r>
      <w:r w:rsidRPr="00F05461">
        <w:rPr>
          <w:rStyle w:val="Hyperlink"/>
          <w:rFonts w:eastAsia="Times New Roman" w:cs="Times New Roman"/>
          <w:szCs w:val="20"/>
          <w:lang w:val="es-ES"/>
        </w:rPr>
        <w:t>A/RES/80/173</w:t>
      </w:r>
      <w:r>
        <w:fldChar w:fldCharType="end"/>
      </w:r>
      <w:r w:rsidRPr="00F05461">
        <w:rPr>
          <w:lang w:val="es-ES"/>
        </w:rPr>
        <w:t xml:space="preserve"> de la Asamblea General de las Naciones Unidas. </w:t>
      </w:r>
      <w:r w:rsidR="00296F03" w:rsidRPr="00F05461">
        <w:rPr>
          <w:lang w:val="es-ES"/>
        </w:rPr>
        <w:t>La UIT</w:t>
      </w:r>
      <w:r w:rsidRPr="00F05461">
        <w:rPr>
          <w:lang w:val="es-ES"/>
        </w:rPr>
        <w:t xml:space="preserve"> copreside el subgrupo especializado en IA del Grupo de Trabajo sobre Tecnologías Digitales, en apoyo de la aplicación del Pacto Digital Global</w:t>
      </w:r>
      <w:r w:rsidR="000546D6" w:rsidRPr="00F05461">
        <w:rPr>
          <w:lang w:val="es-ES"/>
        </w:rPr>
        <w:t>.</w:t>
      </w:r>
    </w:p>
    <w:p w14:paraId="45A2B983" w14:textId="7CDAB86F" w:rsidR="00B1145C" w:rsidRPr="00F05461" w:rsidRDefault="00B1145C" w:rsidP="00B1145C">
      <w:pPr>
        <w:rPr>
          <w:lang w:val="es-ES"/>
        </w:rPr>
      </w:pPr>
      <w:r w:rsidRPr="00F05461">
        <w:rPr>
          <w:lang w:val="es-ES"/>
        </w:rPr>
        <w:t xml:space="preserve">En cuanto a las plataformas multipartitas, </w:t>
      </w:r>
      <w:hyperlink r:id="rId205" w:history="1">
        <w:r w:rsidRPr="00F05461">
          <w:rPr>
            <w:rStyle w:val="Hyperlink"/>
            <w:rFonts w:eastAsia="Times New Roman" w:cs="Times New Roman"/>
            <w:szCs w:val="20"/>
            <w:lang w:val="es-ES"/>
          </w:rPr>
          <w:t>AI for Good</w:t>
        </w:r>
      </w:hyperlink>
      <w:r w:rsidRPr="00F05461">
        <w:rPr>
          <w:lang w:val="es-ES"/>
        </w:rPr>
        <w:t xml:space="preserve">, organizada por </w:t>
      </w:r>
      <w:r w:rsidR="00296F03" w:rsidRPr="00F05461">
        <w:rPr>
          <w:lang w:val="es-ES"/>
        </w:rPr>
        <w:t>la UIT</w:t>
      </w:r>
      <w:r w:rsidRPr="00F05461">
        <w:rPr>
          <w:lang w:val="es-ES"/>
        </w:rPr>
        <w:t xml:space="preserve"> en colaboración con más de 50</w:t>
      </w:r>
      <w:r w:rsidR="000546D6" w:rsidRPr="00F05461">
        <w:rPr>
          <w:lang w:val="es-ES"/>
        </w:rPr>
        <w:t> </w:t>
      </w:r>
      <w:r w:rsidRPr="00F05461">
        <w:rPr>
          <w:lang w:val="es-ES"/>
        </w:rPr>
        <w:t>socios de las Naciones Unidas y el Gobierno de Suiza, ha continuado utilizándose como plataforma principal de las Naciones Unidas orientada a la acción para promover soluciones de</w:t>
      </w:r>
      <w:r w:rsidR="003C7DDE">
        <w:rPr>
          <w:lang w:val="es-ES"/>
        </w:rPr>
        <w:t> </w:t>
      </w:r>
      <w:r w:rsidRPr="00F05461">
        <w:rPr>
          <w:lang w:val="es-ES"/>
        </w:rPr>
        <w:t xml:space="preserve">IA en los ámbitos de la salud, la educación, las infraestructuras y otras prioridades de desarrollo. Se dio un paso más en el debate mundial sobre gobernanza del </w:t>
      </w:r>
      <w:hyperlink r:id="rId206" w:history="1">
        <w:r w:rsidRPr="00F05461">
          <w:rPr>
            <w:rStyle w:val="Hyperlink"/>
            <w:rFonts w:eastAsia="Times New Roman" w:cs="Times New Roman"/>
            <w:szCs w:val="20"/>
            <w:lang w:val="es-ES"/>
          </w:rPr>
          <w:t>Día de la Gobernanza de la</w:t>
        </w:r>
        <w:r w:rsidR="008A4871" w:rsidRPr="00F05461">
          <w:rPr>
            <w:rStyle w:val="Hyperlink"/>
            <w:rFonts w:eastAsia="Times New Roman" w:cs="Times New Roman"/>
            <w:szCs w:val="20"/>
            <w:lang w:val="es-ES"/>
          </w:rPr>
          <w:t> </w:t>
        </w:r>
        <w:r w:rsidRPr="00F05461">
          <w:rPr>
            <w:rStyle w:val="Hyperlink"/>
            <w:rFonts w:eastAsia="Times New Roman" w:cs="Times New Roman"/>
            <w:szCs w:val="20"/>
            <w:lang w:val="es-ES"/>
          </w:rPr>
          <w:t>IA</w:t>
        </w:r>
      </w:hyperlink>
      <w:r w:rsidRPr="00F05461">
        <w:rPr>
          <w:lang w:val="es-ES"/>
        </w:rPr>
        <w:t xml:space="preserve">, durante la </w:t>
      </w:r>
      <w:hyperlink r:id="rId207" w:history="1">
        <w:r w:rsidRPr="00F05461">
          <w:rPr>
            <w:rStyle w:val="Hyperlink"/>
            <w:rFonts w:eastAsia="Times New Roman" w:cs="Times New Roman"/>
            <w:szCs w:val="20"/>
            <w:lang w:val="es-ES"/>
          </w:rPr>
          <w:t>Cumbre Mundial AI for Good</w:t>
        </w:r>
      </w:hyperlink>
      <w:r w:rsidRPr="00F05461">
        <w:rPr>
          <w:lang w:val="es-ES"/>
        </w:rPr>
        <w:t xml:space="preserve">. El </w:t>
      </w:r>
      <w:hyperlink r:id="rId208" w:history="1">
        <w:r w:rsidRPr="00F05461">
          <w:rPr>
            <w:rStyle w:val="Hyperlink"/>
            <w:rFonts w:eastAsia="Times New Roman" w:cs="Times New Roman"/>
            <w:szCs w:val="20"/>
            <w:lang w:val="es-ES"/>
          </w:rPr>
          <w:t xml:space="preserve">Foro de </w:t>
        </w:r>
        <w:r w:rsidR="00026A3E" w:rsidRPr="00F05461">
          <w:rPr>
            <w:rStyle w:val="Hyperlink"/>
            <w:rFonts w:eastAsia="Times New Roman" w:cs="Times New Roman"/>
            <w:szCs w:val="20"/>
            <w:lang w:val="es-ES"/>
          </w:rPr>
          <w:t>la CMSI</w:t>
        </w:r>
      </w:hyperlink>
      <w:r w:rsidRPr="00F05461">
        <w:rPr>
          <w:lang w:val="es-ES"/>
        </w:rPr>
        <w:t>, de carácter anual, ofrece una plataforma multilateral para que la comunidad más amplia de las</w:t>
      </w:r>
      <w:r w:rsidR="008A4871" w:rsidRPr="00F05461">
        <w:rPr>
          <w:lang w:val="es-ES"/>
        </w:rPr>
        <w:t> </w:t>
      </w:r>
      <w:r w:rsidRPr="00F05461">
        <w:rPr>
          <w:lang w:val="es-ES"/>
        </w:rPr>
        <w:t>TIC para el desarrollo examine los retos y oportunidades de las tecnologías emergentes, como la</w:t>
      </w:r>
      <w:r w:rsidR="008A4871" w:rsidRPr="00F05461">
        <w:rPr>
          <w:lang w:val="es-ES"/>
        </w:rPr>
        <w:t> </w:t>
      </w:r>
      <w:r w:rsidRPr="00F05461">
        <w:rPr>
          <w:lang w:val="es-ES"/>
        </w:rPr>
        <w:t>IA, en el contexto del desarrollo.</w:t>
      </w:r>
    </w:p>
    <w:p w14:paraId="0EB3B321" w14:textId="3D5D4270" w:rsidR="00B1145C" w:rsidRPr="00F05461" w:rsidRDefault="00B1145C" w:rsidP="00B1145C">
      <w:pPr>
        <w:rPr>
          <w:lang w:val="es-ES"/>
        </w:rPr>
      </w:pPr>
      <w:r w:rsidRPr="00F05461">
        <w:rPr>
          <w:lang w:val="es-ES"/>
        </w:rPr>
        <w:t xml:space="preserve">Se puede obtener más información sobre los trabajos de </w:t>
      </w:r>
      <w:r w:rsidR="00296F03" w:rsidRPr="00F05461">
        <w:rPr>
          <w:lang w:val="es-ES"/>
        </w:rPr>
        <w:t>la UIT</w:t>
      </w:r>
      <w:r w:rsidRPr="00F05461">
        <w:rPr>
          <w:lang w:val="es-ES"/>
        </w:rPr>
        <w:t xml:space="preserve"> en materia de</w:t>
      </w:r>
      <w:r w:rsidR="003C7DDE">
        <w:rPr>
          <w:lang w:val="es-ES"/>
        </w:rPr>
        <w:t> </w:t>
      </w:r>
      <w:r w:rsidRPr="00F05461">
        <w:rPr>
          <w:lang w:val="es-ES"/>
        </w:rPr>
        <w:t xml:space="preserve">IA y medio ambiente en la </w:t>
      </w:r>
      <w:hyperlink w:anchor="_4.4.2_Tecnologías_emergentes:" w:history="1">
        <w:r w:rsidR="00D63D42" w:rsidRPr="00F05461">
          <w:rPr>
            <w:rStyle w:val="Hyperlink"/>
            <w:rFonts w:eastAsia="Times New Roman" w:cs="Times New Roman"/>
            <w:szCs w:val="20"/>
            <w:lang w:val="es-ES"/>
          </w:rPr>
          <w:t>sección 4.4.2</w:t>
        </w:r>
      </w:hyperlink>
      <w:r w:rsidRPr="00F05461">
        <w:rPr>
          <w:lang w:val="es-ES"/>
        </w:rPr>
        <w:t xml:space="preserve"> </w:t>
      </w:r>
      <w:r w:rsidRPr="00F05461">
        <w:rPr>
          <w:i/>
          <w:iCs/>
          <w:lang w:val="es-ES"/>
        </w:rPr>
        <w:t>supra</w:t>
      </w:r>
      <w:r w:rsidRPr="00F05461">
        <w:rPr>
          <w:lang w:val="es-ES"/>
        </w:rPr>
        <w:t>.</w:t>
      </w:r>
    </w:p>
    <w:p w14:paraId="1EEBB8FB" w14:textId="77777777" w:rsidR="00B1145C" w:rsidRPr="00F05461" w:rsidRDefault="00B1145C" w:rsidP="00E95257">
      <w:pPr>
        <w:pStyle w:val="Headingb"/>
      </w:pPr>
      <w:r w:rsidRPr="00F05461">
        <w:lastRenderedPageBreak/>
        <w:t>Tecnología de la información cuántica</w:t>
      </w:r>
    </w:p>
    <w:p w14:paraId="54242D4E" w14:textId="2488FDA5" w:rsidR="00B1145C" w:rsidRPr="00F05461" w:rsidRDefault="00B1145C" w:rsidP="00975F5B">
      <w:pPr>
        <w:keepNext/>
        <w:keepLines/>
        <w:rPr>
          <w:lang w:val="es-ES"/>
        </w:rPr>
      </w:pPr>
      <w:r w:rsidRPr="00F05461">
        <w:rPr>
          <w:lang w:val="es-ES"/>
        </w:rPr>
        <w:t xml:space="preserve">La tecnología de la información cuántica sigue siendo un ámbito con grandes posibilidades de crecimiento dentro de los trabajos de </w:t>
      </w:r>
      <w:r w:rsidR="00296F03" w:rsidRPr="00F05461">
        <w:rPr>
          <w:lang w:val="es-ES"/>
        </w:rPr>
        <w:t>la UIT</w:t>
      </w:r>
      <w:r w:rsidRPr="00F05461">
        <w:rPr>
          <w:lang w:val="es-ES"/>
        </w:rPr>
        <w:t>, lo que refleja su creciente impacto en las futuras redes de comunicaciones. Las Comisiones de Estudio</w:t>
      </w:r>
      <w:r w:rsidR="00711F8C" w:rsidRPr="00F05461">
        <w:rPr>
          <w:lang w:val="es-ES"/>
        </w:rPr>
        <w:t> </w:t>
      </w:r>
      <w:hyperlink r:id="rId209" w:history="1">
        <w:r w:rsidRPr="00F05461">
          <w:rPr>
            <w:rStyle w:val="Hyperlink"/>
            <w:rFonts w:eastAsia="Times New Roman" w:cs="Times New Roman"/>
            <w:szCs w:val="20"/>
            <w:lang w:val="es-ES"/>
          </w:rPr>
          <w:t>11</w:t>
        </w:r>
      </w:hyperlink>
      <w:r w:rsidRPr="00F05461">
        <w:rPr>
          <w:lang w:val="es-ES"/>
        </w:rPr>
        <w:t xml:space="preserve">, </w:t>
      </w:r>
      <w:hyperlink r:id="rId210" w:history="1">
        <w:r w:rsidRPr="00F05461">
          <w:rPr>
            <w:rStyle w:val="Hyperlink"/>
            <w:rFonts w:eastAsia="Times New Roman" w:cs="Times New Roman"/>
            <w:szCs w:val="20"/>
            <w:lang w:val="es-ES"/>
          </w:rPr>
          <w:t>13</w:t>
        </w:r>
      </w:hyperlink>
      <w:r w:rsidRPr="00F05461">
        <w:rPr>
          <w:lang w:val="es-ES"/>
        </w:rPr>
        <w:t xml:space="preserve"> y </w:t>
      </w:r>
      <w:hyperlink r:id="rId211" w:history="1">
        <w:r w:rsidRPr="00F05461">
          <w:rPr>
            <w:rStyle w:val="Hyperlink"/>
            <w:rFonts w:eastAsia="Times New Roman" w:cs="Times New Roman"/>
            <w:szCs w:val="20"/>
            <w:lang w:val="es-ES"/>
          </w:rPr>
          <w:t>17</w:t>
        </w:r>
      </w:hyperlink>
      <w:r w:rsidRPr="00F05461">
        <w:rPr>
          <w:lang w:val="es-ES"/>
        </w:rPr>
        <w:t xml:space="preserve"> </w:t>
      </w:r>
      <w:r w:rsidR="00A10309" w:rsidRPr="00F05461">
        <w:rPr>
          <w:lang w:val="es-ES"/>
        </w:rPr>
        <w:t>del UIT</w:t>
      </w:r>
      <w:r w:rsidR="00A10309" w:rsidRPr="00F05461">
        <w:rPr>
          <w:lang w:val="es-ES"/>
        </w:rPr>
        <w:noBreakHyphen/>
      </w:r>
      <w:r w:rsidRPr="00F05461">
        <w:rPr>
          <w:lang w:val="es-ES"/>
        </w:rPr>
        <w:t>T continuaron elaborando Recomendaciones relacionadas con la tecnología cuántica, y se han adoptado más de 30</w:t>
      </w:r>
      <w:r w:rsidR="001473A4" w:rsidRPr="00F05461">
        <w:rPr>
          <w:lang w:val="es-ES"/>
        </w:rPr>
        <w:t> </w:t>
      </w:r>
      <w:r w:rsidRPr="00F05461">
        <w:rPr>
          <w:lang w:val="es-ES"/>
        </w:rPr>
        <w:t>nuevas normas des</w:t>
      </w:r>
      <w:r w:rsidR="00B933C5" w:rsidRPr="00F05461">
        <w:rPr>
          <w:lang w:val="es-ES"/>
        </w:rPr>
        <w:t>de 202</w:t>
      </w:r>
      <w:r w:rsidR="00711F8C" w:rsidRPr="00F05461">
        <w:rPr>
          <w:lang w:val="es-ES"/>
        </w:rPr>
        <w:t>2</w:t>
      </w:r>
      <w:r w:rsidRPr="00F05461">
        <w:rPr>
          <w:lang w:val="es-ES"/>
        </w:rPr>
        <w:t xml:space="preserve">, incluidas la </w:t>
      </w:r>
      <w:hyperlink r:id="rId212" w:history="1">
        <w:r w:rsidRPr="00F05461">
          <w:rPr>
            <w:rStyle w:val="Hyperlink"/>
            <w:rFonts w:eastAsia="Times New Roman" w:cs="Times New Roman"/>
            <w:szCs w:val="20"/>
            <w:lang w:val="es-ES"/>
          </w:rPr>
          <w:t>X.1715</w:t>
        </w:r>
      </w:hyperlink>
      <w:r w:rsidRPr="00F05461">
        <w:rPr>
          <w:lang w:val="es-ES"/>
        </w:rPr>
        <w:t xml:space="preserve"> y la serie de </w:t>
      </w:r>
      <w:hyperlink r:id="rId213" w:history="1">
        <w:r w:rsidRPr="00F05461">
          <w:rPr>
            <w:rStyle w:val="Hyperlink"/>
            <w:rFonts w:eastAsia="Times New Roman" w:cs="Times New Roman"/>
            <w:szCs w:val="20"/>
            <w:lang w:val="es-ES"/>
          </w:rPr>
          <w:t>Y.3809</w:t>
        </w:r>
      </w:hyperlink>
      <w:r w:rsidRPr="00F05461">
        <w:rPr>
          <w:lang w:val="es-ES"/>
        </w:rPr>
        <w:t xml:space="preserve"> a </w:t>
      </w:r>
      <w:hyperlink r:id="rId214" w:history="1">
        <w:r w:rsidRPr="00F05461">
          <w:rPr>
            <w:rStyle w:val="Hyperlink"/>
            <w:rFonts w:eastAsia="Times New Roman" w:cs="Times New Roman"/>
            <w:szCs w:val="20"/>
            <w:lang w:val="es-ES"/>
          </w:rPr>
          <w:t>Y.3814</w:t>
        </w:r>
      </w:hyperlink>
      <w:r w:rsidRPr="00F05461">
        <w:rPr>
          <w:lang w:val="es-ES"/>
        </w:rPr>
        <w:t>. Tras la</w:t>
      </w:r>
      <w:r w:rsidR="001473A4" w:rsidRPr="00F05461">
        <w:rPr>
          <w:lang w:val="es-ES"/>
        </w:rPr>
        <w:t> </w:t>
      </w:r>
      <w:r w:rsidRPr="00F05461">
        <w:rPr>
          <w:lang w:val="es-ES"/>
        </w:rPr>
        <w:t>AMNT</w:t>
      </w:r>
      <w:r w:rsidR="001473A4" w:rsidRPr="00F05461">
        <w:rPr>
          <w:lang w:val="es-ES"/>
        </w:rPr>
        <w:noBreakHyphen/>
      </w:r>
      <w:r w:rsidRPr="00F05461">
        <w:rPr>
          <w:lang w:val="es-ES"/>
        </w:rPr>
        <w:t>24, estos grupos actualizaron y ampliaron sus mandatos: la Comisión de Estudio</w:t>
      </w:r>
      <w:r w:rsidR="001473A4" w:rsidRPr="00F05461">
        <w:rPr>
          <w:lang w:val="es-ES"/>
        </w:rPr>
        <w:t> </w:t>
      </w:r>
      <w:r w:rsidRPr="00F05461">
        <w:rPr>
          <w:lang w:val="es-ES"/>
        </w:rPr>
        <w:t>11 prosiguió sus estudios sobre arquitecturas de señalización y control para redes de distribución de claves cuánticas (QKDN); la Comisión de Estudio</w:t>
      </w:r>
      <w:r w:rsidR="001473A4" w:rsidRPr="00F05461">
        <w:rPr>
          <w:lang w:val="es-ES"/>
        </w:rPr>
        <w:t> </w:t>
      </w:r>
      <w:r w:rsidRPr="00F05461">
        <w:rPr>
          <w:lang w:val="es-ES"/>
        </w:rPr>
        <w:t>13 avanzó sus trabajos sobre tecnologías de red emergentes; la Comisión de Estudio</w:t>
      </w:r>
      <w:r w:rsidR="001473A4" w:rsidRPr="00F05461">
        <w:rPr>
          <w:lang w:val="es-ES"/>
        </w:rPr>
        <w:t> </w:t>
      </w:r>
      <w:r w:rsidRPr="00F05461">
        <w:rPr>
          <w:lang w:val="es-ES"/>
        </w:rPr>
        <w:t>15 presentó estudios sobre los requisitos de las redes de transporte para la tecnología de la información cuántica; y la Comisión de Estudio</w:t>
      </w:r>
      <w:r w:rsidR="001473A4" w:rsidRPr="00F05461">
        <w:rPr>
          <w:lang w:val="es-ES"/>
        </w:rPr>
        <w:t> </w:t>
      </w:r>
      <w:r w:rsidRPr="00F05461">
        <w:rPr>
          <w:lang w:val="es-ES"/>
        </w:rPr>
        <w:t>17 siguió dirigiendo los trabajos sobre distribución de claves cuánticas (QKD) y criptografía postcuántica. Una medida adoptada en la</w:t>
      </w:r>
      <w:r w:rsidR="001473A4" w:rsidRPr="00F05461">
        <w:rPr>
          <w:lang w:val="es-ES"/>
        </w:rPr>
        <w:t> </w:t>
      </w:r>
      <w:r w:rsidRPr="00F05461">
        <w:rPr>
          <w:lang w:val="es-ES"/>
        </w:rPr>
        <w:t>AMNT</w:t>
      </w:r>
      <w:r w:rsidR="001473A4" w:rsidRPr="00F05461">
        <w:rPr>
          <w:lang w:val="es-ES"/>
        </w:rPr>
        <w:noBreakHyphen/>
      </w:r>
      <w:r w:rsidRPr="00F05461">
        <w:rPr>
          <w:lang w:val="es-ES"/>
        </w:rPr>
        <w:t>24 reforzó la urgencia de realizar la migración a la criptografía postcuántica (PQC) en las redes de telecomunicaciones.</w:t>
      </w:r>
    </w:p>
    <w:p w14:paraId="0AEAE50D" w14:textId="04E756D9" w:rsidR="00B1145C" w:rsidRPr="00F05461" w:rsidRDefault="00B1145C" w:rsidP="00B1145C">
      <w:pPr>
        <w:rPr>
          <w:lang w:val="es-ES"/>
        </w:rPr>
      </w:pPr>
      <w:r w:rsidRPr="00F05461">
        <w:rPr>
          <w:lang w:val="es-ES"/>
        </w:rPr>
        <w:t>En la actualidad, el</w:t>
      </w:r>
      <w:r w:rsidR="00BE5909" w:rsidRPr="00F05461">
        <w:rPr>
          <w:lang w:val="es-ES"/>
        </w:rPr>
        <w:t> </w:t>
      </w:r>
      <w:r w:rsidRPr="00F05461">
        <w:rPr>
          <w:lang w:val="es-ES"/>
        </w:rPr>
        <w:t>UIT</w:t>
      </w:r>
      <w:r w:rsidR="00BE5909" w:rsidRPr="00F05461">
        <w:rPr>
          <w:lang w:val="es-ES"/>
        </w:rPr>
        <w:noBreakHyphen/>
      </w:r>
      <w:r w:rsidRPr="00F05461">
        <w:rPr>
          <w:lang w:val="es-ES"/>
        </w:rPr>
        <w:t>T gestiona unas 50</w:t>
      </w:r>
      <w:r w:rsidR="00711F8C" w:rsidRPr="00F05461">
        <w:rPr>
          <w:lang w:val="es-ES"/>
        </w:rPr>
        <w:t> </w:t>
      </w:r>
      <w:r w:rsidRPr="00F05461">
        <w:rPr>
          <w:lang w:val="es-ES"/>
        </w:rPr>
        <w:t>normas cuánticas y está preparando al menos 30</w:t>
      </w:r>
      <w:r w:rsidR="00FA0E46" w:rsidRPr="00F05461">
        <w:rPr>
          <w:lang w:val="es-ES"/>
        </w:rPr>
        <w:t> </w:t>
      </w:r>
      <w:r w:rsidRPr="00F05461">
        <w:rPr>
          <w:lang w:val="es-ES"/>
        </w:rPr>
        <w:t xml:space="preserve">productos más. La coordinación en este ámbito de rápida evolución continuó a cargo de la </w:t>
      </w:r>
      <w:hyperlink r:id="rId215" w:history="1">
        <w:r w:rsidRPr="00F05461">
          <w:rPr>
            <w:rStyle w:val="Hyperlink"/>
            <w:rFonts w:eastAsia="Times New Roman" w:cs="Times New Roman"/>
            <w:szCs w:val="20"/>
            <w:lang w:val="es-ES"/>
          </w:rPr>
          <w:t xml:space="preserve">Actividad Conjunta de Coordinación sobre </w:t>
        </w:r>
        <w:r w:rsidR="007006B6" w:rsidRPr="00F05461">
          <w:rPr>
            <w:rStyle w:val="Hyperlink"/>
            <w:rFonts w:eastAsia="Times New Roman" w:cs="Times New Roman"/>
            <w:szCs w:val="20"/>
            <w:lang w:val="es-ES"/>
          </w:rPr>
          <w:t>R</w:t>
        </w:r>
        <w:r w:rsidRPr="00F05461">
          <w:rPr>
            <w:rStyle w:val="Hyperlink"/>
            <w:rFonts w:eastAsia="Times New Roman" w:cs="Times New Roman"/>
            <w:szCs w:val="20"/>
            <w:lang w:val="es-ES"/>
          </w:rPr>
          <w:t xml:space="preserve">edes de </w:t>
        </w:r>
        <w:r w:rsidR="007006B6" w:rsidRPr="00F05461">
          <w:rPr>
            <w:rStyle w:val="Hyperlink"/>
            <w:rFonts w:eastAsia="Times New Roman" w:cs="Times New Roman"/>
            <w:szCs w:val="20"/>
            <w:lang w:val="es-ES"/>
          </w:rPr>
          <w:t>D</w:t>
        </w:r>
        <w:r w:rsidRPr="00F05461">
          <w:rPr>
            <w:rStyle w:val="Hyperlink"/>
            <w:rFonts w:eastAsia="Times New Roman" w:cs="Times New Roman"/>
            <w:szCs w:val="20"/>
            <w:lang w:val="es-ES"/>
          </w:rPr>
          <w:t xml:space="preserve">istribución de </w:t>
        </w:r>
        <w:r w:rsidR="007006B6" w:rsidRPr="00F05461">
          <w:rPr>
            <w:rStyle w:val="Hyperlink"/>
            <w:rFonts w:eastAsia="Times New Roman" w:cs="Times New Roman"/>
            <w:szCs w:val="20"/>
            <w:lang w:val="es-ES"/>
          </w:rPr>
          <w:t>C</w:t>
        </w:r>
        <w:r w:rsidRPr="00F05461">
          <w:rPr>
            <w:rStyle w:val="Hyperlink"/>
            <w:rFonts w:eastAsia="Times New Roman" w:cs="Times New Roman"/>
            <w:szCs w:val="20"/>
            <w:lang w:val="es-ES"/>
          </w:rPr>
          <w:t xml:space="preserve">laves </w:t>
        </w:r>
        <w:r w:rsidR="007006B6" w:rsidRPr="00F05461">
          <w:rPr>
            <w:rStyle w:val="Hyperlink"/>
            <w:rFonts w:eastAsia="Times New Roman" w:cs="Times New Roman"/>
            <w:szCs w:val="20"/>
            <w:lang w:val="es-ES"/>
          </w:rPr>
          <w:t>C</w:t>
        </w:r>
        <w:r w:rsidRPr="00F05461">
          <w:rPr>
            <w:rStyle w:val="Hyperlink"/>
            <w:rFonts w:eastAsia="Times New Roman" w:cs="Times New Roman"/>
            <w:szCs w:val="20"/>
            <w:lang w:val="es-ES"/>
          </w:rPr>
          <w:t>uánticas (JCA</w:t>
        </w:r>
        <w:r w:rsidR="00FA0E46"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QKDN)</w:t>
        </w:r>
      </w:hyperlink>
      <w:r w:rsidRPr="00F05461">
        <w:rPr>
          <w:lang w:val="es-ES"/>
        </w:rPr>
        <w:t xml:space="preserve">, establecida por el Grupo Asesor de Normalización de las Telecomunicaciones de </w:t>
      </w:r>
      <w:r w:rsidR="00296F03" w:rsidRPr="00F05461">
        <w:rPr>
          <w:lang w:val="es-ES"/>
        </w:rPr>
        <w:t>la UIT</w:t>
      </w:r>
      <w:r w:rsidRPr="00F05461">
        <w:rPr>
          <w:lang w:val="es-ES"/>
        </w:rPr>
        <w:t xml:space="preserve"> en enero </w:t>
      </w:r>
      <w:r w:rsidR="00B933C5" w:rsidRPr="00F05461">
        <w:rPr>
          <w:lang w:val="es-ES"/>
        </w:rPr>
        <w:t>de 202</w:t>
      </w:r>
      <w:r w:rsidR="00711F8C" w:rsidRPr="00F05461">
        <w:rPr>
          <w:lang w:val="es-ES"/>
        </w:rPr>
        <w:t>3</w:t>
      </w:r>
      <w:r w:rsidRPr="00F05461">
        <w:rPr>
          <w:lang w:val="es-ES"/>
        </w:rPr>
        <w:t xml:space="preserve">. La JCA-QKDN celebró su primera reunión en marzo </w:t>
      </w:r>
      <w:r w:rsidR="00B933C5" w:rsidRPr="00F05461">
        <w:rPr>
          <w:lang w:val="es-ES"/>
        </w:rPr>
        <w:t>de 202</w:t>
      </w:r>
      <w:r w:rsidR="00711F8C" w:rsidRPr="00F05461">
        <w:rPr>
          <w:lang w:val="es-ES"/>
        </w:rPr>
        <w:t>3</w:t>
      </w:r>
      <w:r w:rsidRPr="00F05461">
        <w:rPr>
          <w:lang w:val="es-ES"/>
        </w:rPr>
        <w:t xml:space="preserve"> y continuó trabajando en la creación de una completa </w:t>
      </w:r>
      <w:hyperlink r:id="rId216" w:history="1">
        <w:r w:rsidRPr="00F05461">
          <w:rPr>
            <w:rStyle w:val="Hyperlink"/>
            <w:rFonts w:eastAsia="Times New Roman" w:cs="Times New Roman"/>
            <w:szCs w:val="20"/>
            <w:lang w:val="es-ES"/>
          </w:rPr>
          <w:t>base de datos de normas cuánticas</w:t>
        </w:r>
      </w:hyperlink>
      <w:r w:rsidRPr="00F05461">
        <w:rPr>
          <w:lang w:val="es-ES"/>
        </w:rPr>
        <w:t xml:space="preserve"> en una sesión colaborativa en Singapur en mayo </w:t>
      </w:r>
      <w:r w:rsidR="00B933C5" w:rsidRPr="00F05461">
        <w:rPr>
          <w:lang w:val="es-ES"/>
        </w:rPr>
        <w:t>de 202</w:t>
      </w:r>
      <w:r w:rsidR="00711F8C" w:rsidRPr="00F05461">
        <w:rPr>
          <w:lang w:val="es-ES"/>
        </w:rPr>
        <w:t>4</w:t>
      </w:r>
      <w:r w:rsidRPr="00F05461">
        <w:rPr>
          <w:lang w:val="es-ES"/>
        </w:rPr>
        <w:t>.</w:t>
      </w:r>
    </w:p>
    <w:p w14:paraId="7061E3C9" w14:textId="2E675F53" w:rsidR="00B1145C" w:rsidRPr="00F05461" w:rsidRDefault="00B1145C" w:rsidP="00B1145C">
      <w:pPr>
        <w:rPr>
          <w:lang w:val="es-ES"/>
        </w:rPr>
      </w:pPr>
      <w:r w:rsidRPr="00F05461">
        <w:rPr>
          <w:lang w:val="es-ES"/>
        </w:rPr>
        <w:t>A nivel mundial, la Asamblea General de las Naciones Unidas adoptó la Resolución</w:t>
      </w:r>
      <w:r w:rsidR="00BE5909" w:rsidRPr="00F05461">
        <w:rPr>
          <w:lang w:val="es-ES"/>
        </w:rPr>
        <w:t> </w:t>
      </w:r>
      <w:hyperlink r:id="rId217" w:history="1">
        <w:r w:rsidRPr="00F05461">
          <w:rPr>
            <w:rStyle w:val="Hyperlink"/>
            <w:rFonts w:eastAsia="Times New Roman" w:cs="Times New Roman"/>
            <w:szCs w:val="20"/>
            <w:lang w:val="es-ES"/>
          </w:rPr>
          <w:t>78/287</w:t>
        </w:r>
      </w:hyperlink>
      <w:r w:rsidRPr="00F05461">
        <w:rPr>
          <w:lang w:val="es-ES"/>
        </w:rPr>
        <w:t xml:space="preserve"> en junio </w:t>
      </w:r>
      <w:r w:rsidR="00B933C5" w:rsidRPr="00F05461">
        <w:rPr>
          <w:lang w:val="es-ES"/>
        </w:rPr>
        <w:t>de 202</w:t>
      </w:r>
      <w:r w:rsidR="00711F8C" w:rsidRPr="00F05461">
        <w:rPr>
          <w:lang w:val="es-ES"/>
        </w:rPr>
        <w:t>4</w:t>
      </w:r>
      <w:r w:rsidRPr="00F05461">
        <w:rPr>
          <w:lang w:val="es-ES"/>
        </w:rPr>
        <w:t xml:space="preserve">, en la que proclamó 2025 como el Año Internacional de la Ciencia y la Tecnología Cuánticas. </w:t>
      </w:r>
      <w:r w:rsidR="00296F03" w:rsidRPr="00F05461">
        <w:rPr>
          <w:lang w:val="es-ES"/>
        </w:rPr>
        <w:t>La UIT</w:t>
      </w:r>
      <w:r w:rsidRPr="00F05461">
        <w:rPr>
          <w:lang w:val="es-ES"/>
        </w:rPr>
        <w:t xml:space="preserve"> desempeñó un papel fundamental en l</w:t>
      </w:r>
      <w:r w:rsidR="003049FA" w:rsidRPr="00F05461">
        <w:rPr>
          <w:lang w:val="es-ES"/>
        </w:rPr>
        <w:t>a</w:t>
      </w:r>
      <w:r w:rsidRPr="00F05461">
        <w:rPr>
          <w:lang w:val="es-ES"/>
        </w:rPr>
        <w:t xml:space="preserve"> Comisión de Dirección del Año Internacional de la Ciencia y la Tecnología Cuánticas apoyando la implementación, la sensibilización y los eventos mundiales. En este contexto, se puso en marcha </w:t>
      </w:r>
      <w:hyperlink r:id="rId218" w:history="1">
        <w:r w:rsidRPr="00F05461">
          <w:rPr>
            <w:rStyle w:val="Hyperlink"/>
            <w:rFonts w:eastAsia="Times New Roman" w:cs="Times New Roman"/>
            <w:szCs w:val="20"/>
            <w:lang w:val="es-ES"/>
          </w:rPr>
          <w:t>Quantum for Good</w:t>
        </w:r>
      </w:hyperlink>
      <w:r w:rsidRPr="00F05461">
        <w:rPr>
          <w:lang w:val="es-ES"/>
        </w:rPr>
        <w:t>, una iniciativa mundial para lograr un impacto cuántico inclusivo y sostenible mediante la armonización de la innovación en ciencia cuántica con los</w:t>
      </w:r>
      <w:r w:rsidR="00E93D15" w:rsidRPr="00F05461">
        <w:rPr>
          <w:lang w:val="es-ES"/>
        </w:rPr>
        <w:t> </w:t>
      </w:r>
      <w:r w:rsidRPr="00F05461">
        <w:rPr>
          <w:lang w:val="es-ES"/>
        </w:rPr>
        <w:t>ODS de las Naciones Unidas. Se articula en torno a tres pilares fundamentales: reducir la brecha cuántica; el liderazgo y las normas de la industria, y el fortalecimiento de la cooperación mundial en materia de tecnologías cuánticas. Quantum for Good está integrado en la Cumbre anual AI for Good des</w:t>
      </w:r>
      <w:r w:rsidR="00B933C5" w:rsidRPr="00F05461">
        <w:rPr>
          <w:lang w:val="es-ES"/>
        </w:rPr>
        <w:t>de 202</w:t>
      </w:r>
      <w:r w:rsidR="00711F8C" w:rsidRPr="00F05461">
        <w:rPr>
          <w:lang w:val="es-ES"/>
        </w:rPr>
        <w:t>5</w:t>
      </w:r>
      <w:r w:rsidRPr="00F05461">
        <w:rPr>
          <w:lang w:val="es-ES"/>
        </w:rPr>
        <w:t xml:space="preserve">, junto con otras actividades relacionadas con el Año Internacional, como la </w:t>
      </w:r>
      <w:r>
        <w:fldChar w:fldCharType="begin"/>
      </w:r>
      <w:r w:rsidRPr="009A0A46">
        <w:rPr>
          <w:lang w:val="es-ES"/>
        </w:rPr>
        <w:instrText>HYPERLINK "https://aiforgood.itu.int/search-result-programme/?keyword=&amp;category=802&amp;event-venue=&amp;enddate=&amp;startdate="</w:instrText>
      </w:r>
      <w:r>
        <w:fldChar w:fldCharType="separate"/>
      </w:r>
      <w:r w:rsidRPr="00F05461">
        <w:rPr>
          <w:rStyle w:val="Hyperlink"/>
          <w:rFonts w:eastAsia="Times New Roman" w:cs="Times New Roman"/>
          <w:szCs w:val="20"/>
          <w:lang w:val="es-ES"/>
        </w:rPr>
        <w:t>serie de seminarios web Quantum World Tour</w:t>
      </w:r>
      <w:r>
        <w:fldChar w:fldCharType="end"/>
      </w:r>
      <w:r w:rsidRPr="00F05461">
        <w:rPr>
          <w:lang w:val="es-ES"/>
        </w:rPr>
        <w:t xml:space="preserve">, que muestra los ecosistemas cuánticos a nivel mundial, y el </w:t>
      </w:r>
      <w:r>
        <w:fldChar w:fldCharType="begin"/>
      </w:r>
      <w:r w:rsidRPr="009A0A46">
        <w:rPr>
          <w:lang w:val="es-ES"/>
        </w:rPr>
        <w:instrText>HYPERLINK "https://www.quantum-course.com/"</w:instrText>
      </w:r>
      <w:r>
        <w:fldChar w:fldCharType="separate"/>
      </w:r>
      <w:r w:rsidRPr="00F05461">
        <w:rPr>
          <w:rStyle w:val="Hyperlink"/>
          <w:rFonts w:eastAsia="Times New Roman" w:cs="Times New Roman"/>
          <w:szCs w:val="20"/>
          <w:lang w:val="es-ES"/>
        </w:rPr>
        <w:t xml:space="preserve">curso en línea Quantum for </w:t>
      </w:r>
      <w:proofErr w:type="spellStart"/>
      <w:r w:rsidRPr="00F05461">
        <w:rPr>
          <w:rStyle w:val="Hyperlink"/>
          <w:rFonts w:eastAsia="Times New Roman" w:cs="Times New Roman"/>
          <w:szCs w:val="20"/>
          <w:lang w:val="es-ES"/>
        </w:rPr>
        <w:t>Everyone</w:t>
      </w:r>
      <w:proofErr w:type="spellEnd"/>
      <w:r>
        <w:fldChar w:fldCharType="end"/>
      </w:r>
      <w:r w:rsidRPr="00F05461">
        <w:rPr>
          <w:lang w:val="es-ES"/>
        </w:rPr>
        <w:t xml:space="preserve">, desarrollado en asociación con el Centro Internacional de Cálculos Electrónicos de las Naciones Unidas (CICE) y Quantum Delta NL para crear capacidad. La participación juvenil también ha sido una prioridad clave en todas estas actividades, por ejemplo, a través de hackatones como el </w:t>
      </w:r>
      <w:r>
        <w:fldChar w:fldCharType="begin"/>
      </w:r>
      <w:r w:rsidRPr="009A0A46">
        <w:rPr>
          <w:lang w:val="es-ES"/>
        </w:rPr>
        <w:instrText>HYPERLINK "https://aiforgood.itu.int/the-future-leaders-in-quantum-hackathon/"</w:instrText>
      </w:r>
      <w:r>
        <w:fldChar w:fldCharType="separate"/>
      </w:r>
      <w:r w:rsidRPr="00F05461">
        <w:rPr>
          <w:rStyle w:val="Hyperlink"/>
          <w:rFonts w:eastAsia="Times New Roman" w:cs="Times New Roman"/>
          <w:szCs w:val="20"/>
          <w:lang w:val="es-ES"/>
        </w:rPr>
        <w:t>Future Leaders in Quantum Hackathon 2025</w:t>
      </w:r>
      <w:r>
        <w:fldChar w:fldCharType="end"/>
      </w:r>
      <w:r w:rsidRPr="00F05461">
        <w:rPr>
          <w:lang w:val="es-ES"/>
        </w:rPr>
        <w:t xml:space="preserve">, un </w:t>
      </w:r>
      <w:r w:rsidR="003049FA" w:rsidRPr="00F05461">
        <w:rPr>
          <w:lang w:val="es-ES"/>
        </w:rPr>
        <w:t>hackatón</w:t>
      </w:r>
      <w:r w:rsidRPr="00F05461">
        <w:rPr>
          <w:lang w:val="es-ES"/>
        </w:rPr>
        <w:t xml:space="preserve"> cuántico para futuros líderes en el que se empodera a los jóvenes innovadores para que apliquen las tecnologías cuánticas a los desafíos del mundo real.</w:t>
      </w:r>
    </w:p>
    <w:p w14:paraId="766C7B78" w14:textId="337CBD1C" w:rsidR="00B1145C" w:rsidRPr="00F05461" w:rsidRDefault="00B1145C" w:rsidP="007119D1">
      <w:pPr>
        <w:pStyle w:val="Headingb"/>
      </w:pPr>
      <w:r w:rsidRPr="00F05461">
        <w:lastRenderedPageBreak/>
        <w:t xml:space="preserve">Metaverso y </w:t>
      </w:r>
      <w:r w:rsidR="007006B6" w:rsidRPr="00F05461">
        <w:t>citi</w:t>
      </w:r>
      <w:r w:rsidRPr="00F05461">
        <w:t>verso</w:t>
      </w:r>
    </w:p>
    <w:p w14:paraId="73971F6B" w14:textId="1D58887A" w:rsidR="00385BAF" w:rsidRPr="00F05461" w:rsidRDefault="00385BAF" w:rsidP="00975F5B">
      <w:pPr>
        <w:keepNext/>
        <w:keepLines/>
        <w:rPr>
          <w:lang w:val="es-ES"/>
        </w:rPr>
      </w:pPr>
      <w:r w:rsidRPr="00F05461">
        <w:rPr>
          <w:lang w:val="es-ES"/>
        </w:rPr>
        <w:t xml:space="preserve">El rápido crecimiento de los mundos virtuales y las tecnologías relacionadas con el </w:t>
      </w:r>
      <w:r>
        <w:fldChar w:fldCharType="begin"/>
      </w:r>
      <w:r w:rsidRPr="009A0A46">
        <w:rPr>
          <w:lang w:val="es-ES"/>
        </w:rPr>
        <w:instrText>HYPERLINK "https://www.itu.int/metaverse/5th-forum-metaverse/"</w:instrText>
      </w:r>
      <w:r>
        <w:fldChar w:fldCharType="separate"/>
      </w:r>
      <w:r w:rsidRPr="00F05461">
        <w:rPr>
          <w:rStyle w:val="Hyperlink"/>
          <w:rFonts w:eastAsia="Times New Roman" w:cs="Times New Roman"/>
          <w:szCs w:val="20"/>
          <w:lang w:val="es-ES"/>
        </w:rPr>
        <w:t>metaverso</w:t>
      </w:r>
      <w:r>
        <w:fldChar w:fldCharType="end"/>
      </w:r>
      <w:r w:rsidRPr="00F05461">
        <w:rPr>
          <w:lang w:val="es-ES"/>
        </w:rPr>
        <w:t xml:space="preserve"> llevó a </w:t>
      </w:r>
      <w:r w:rsidR="00296F03" w:rsidRPr="00F05461">
        <w:rPr>
          <w:lang w:val="es-ES"/>
        </w:rPr>
        <w:t>la UIT</w:t>
      </w:r>
      <w:r w:rsidRPr="00F05461">
        <w:rPr>
          <w:lang w:val="es-ES"/>
        </w:rPr>
        <w:t xml:space="preserve"> a explorar los requisitos fundamentales de las futuras normas internacionales. El </w:t>
      </w:r>
      <w:hyperlink r:id="rId219" w:history="1">
        <w:r w:rsidRPr="00F05461">
          <w:rPr>
            <w:rStyle w:val="Hyperlink"/>
            <w:rFonts w:eastAsia="Times New Roman" w:cs="Times New Roman"/>
            <w:szCs w:val="20"/>
            <w:lang w:val="es-ES"/>
          </w:rPr>
          <w:t>FG-MV</w:t>
        </w:r>
      </w:hyperlink>
      <w:r w:rsidRPr="00F05461">
        <w:rPr>
          <w:lang w:val="es-ES"/>
        </w:rPr>
        <w:t xml:space="preserve">, creado por el Grupo Asesor de Normalización de las Telecomunicaciones de </w:t>
      </w:r>
      <w:r w:rsidR="00296F03" w:rsidRPr="00F05461">
        <w:rPr>
          <w:lang w:val="es-ES"/>
        </w:rPr>
        <w:t>la UIT</w:t>
      </w:r>
      <w:r w:rsidRPr="00F05461">
        <w:rPr>
          <w:lang w:val="es-ES"/>
        </w:rPr>
        <w:t xml:space="preserve"> en diciembre </w:t>
      </w:r>
      <w:r w:rsidR="00B933C5" w:rsidRPr="00F05461">
        <w:rPr>
          <w:lang w:val="es-ES"/>
        </w:rPr>
        <w:t>de 202</w:t>
      </w:r>
      <w:r w:rsidR="00711F8C" w:rsidRPr="00F05461">
        <w:rPr>
          <w:lang w:val="es-ES"/>
        </w:rPr>
        <w:t>2</w:t>
      </w:r>
      <w:r w:rsidRPr="00F05461">
        <w:rPr>
          <w:lang w:val="es-ES"/>
        </w:rPr>
        <w:t xml:space="preserve">, llevó a cabo un análisis exhaustivo de los requisitos técnicos y las tecnologías habilitadoras, y su primera reunión en marzo </w:t>
      </w:r>
      <w:r w:rsidR="00B933C5" w:rsidRPr="00F05461">
        <w:rPr>
          <w:lang w:val="es-ES"/>
        </w:rPr>
        <w:t>de 202</w:t>
      </w:r>
      <w:r w:rsidR="00711F8C" w:rsidRPr="00F05461">
        <w:rPr>
          <w:lang w:val="es-ES"/>
        </w:rPr>
        <w:t>3</w:t>
      </w:r>
      <w:r w:rsidRPr="00F05461">
        <w:rPr>
          <w:lang w:val="es-ES"/>
        </w:rPr>
        <w:t xml:space="preserve"> atrajo a más de 650</w:t>
      </w:r>
      <w:r w:rsidR="001473A4" w:rsidRPr="00F05461">
        <w:rPr>
          <w:lang w:val="es-ES"/>
        </w:rPr>
        <w:t> </w:t>
      </w:r>
      <w:r w:rsidRPr="00F05461">
        <w:rPr>
          <w:lang w:val="es-ES"/>
        </w:rPr>
        <w:t xml:space="preserve">participantes. El Grupo también se benefició de los cinco </w:t>
      </w:r>
      <w:hyperlink r:id="rId220" w:history="1">
        <w:r w:rsidRPr="00F05461">
          <w:rPr>
            <w:rStyle w:val="Hyperlink"/>
            <w:rFonts w:eastAsia="Times New Roman" w:cs="Times New Roman"/>
            <w:szCs w:val="20"/>
            <w:lang w:val="es-ES"/>
          </w:rPr>
          <w:t xml:space="preserve">foros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sobre el metaverso</w:t>
        </w:r>
      </w:hyperlink>
      <w:r w:rsidRPr="00F05461">
        <w:rPr>
          <w:lang w:val="es-ES"/>
        </w:rPr>
        <w:t>, que reunieron a más de 14 500</w:t>
      </w:r>
      <w:r w:rsidR="001473A4" w:rsidRPr="00F05461">
        <w:rPr>
          <w:lang w:val="es-ES"/>
        </w:rPr>
        <w:t> </w:t>
      </w:r>
      <w:r w:rsidRPr="00F05461">
        <w:rPr>
          <w:lang w:val="es-ES"/>
        </w:rPr>
        <w:t>participantes para analizar los retos y las oportunidades.</w:t>
      </w:r>
      <w:hyperlink r:id="rId221" w:history="1"/>
      <w:hyperlink r:id="rId222" w:history="1"/>
      <w:hyperlink r:id="rId223" w:history="1"/>
    </w:p>
    <w:p w14:paraId="6559A97A" w14:textId="3FDA7C4A" w:rsidR="00B1145C" w:rsidRPr="00F05461" w:rsidRDefault="00B1145C" w:rsidP="00B1145C">
      <w:pPr>
        <w:rPr>
          <w:lang w:val="es-ES"/>
        </w:rPr>
      </w:pPr>
      <w:r w:rsidRPr="00F05461">
        <w:rPr>
          <w:lang w:val="es-ES"/>
        </w:rPr>
        <w:t xml:space="preserve">El </w:t>
      </w:r>
      <w:hyperlink r:id="rId224" w:history="1">
        <w:r w:rsidRPr="00F05461">
          <w:rPr>
            <w:rStyle w:val="Hyperlink"/>
            <w:rFonts w:eastAsia="Times New Roman" w:cs="Times New Roman"/>
            <w:szCs w:val="20"/>
            <w:lang w:val="es-ES"/>
          </w:rPr>
          <w:t>plan de trabajo del FG-MV</w:t>
        </w:r>
      </w:hyperlink>
      <w:r w:rsidRPr="00F05461">
        <w:rPr>
          <w:lang w:val="es-ES"/>
        </w:rPr>
        <w:t xml:space="preserve"> concluyó en junio </w:t>
      </w:r>
      <w:r w:rsidR="00B933C5" w:rsidRPr="00F05461">
        <w:rPr>
          <w:lang w:val="es-ES"/>
        </w:rPr>
        <w:t>de 202</w:t>
      </w:r>
      <w:r w:rsidR="00711F8C" w:rsidRPr="00F05461">
        <w:rPr>
          <w:lang w:val="es-ES"/>
        </w:rPr>
        <w:t>4</w:t>
      </w:r>
      <w:r w:rsidRPr="00F05461">
        <w:rPr>
          <w:lang w:val="es-ES"/>
        </w:rPr>
        <w:t xml:space="preserve"> y generó 52</w:t>
      </w:r>
      <w:r w:rsidR="001473A4" w:rsidRPr="00F05461">
        <w:rPr>
          <w:lang w:val="es-ES"/>
        </w:rPr>
        <w:t> </w:t>
      </w:r>
      <w:r w:rsidRPr="00F05461">
        <w:rPr>
          <w:lang w:val="es-ES"/>
        </w:rPr>
        <w:t>productos, incluidos una definición del metaverso, una hoja de ruta para la normalización y estudios sobre la</w:t>
      </w:r>
      <w:r w:rsidR="001473A4" w:rsidRPr="00F05461">
        <w:rPr>
          <w:lang w:val="es-ES"/>
        </w:rPr>
        <w:t> </w:t>
      </w:r>
      <w:r w:rsidRPr="00F05461">
        <w:rPr>
          <w:lang w:val="es-ES"/>
        </w:rPr>
        <w:t xml:space="preserve">IA generativa en mundos virtuales, los conceptos del </w:t>
      </w:r>
      <w:r w:rsidR="007006B6" w:rsidRPr="00F05461">
        <w:rPr>
          <w:lang w:val="es-ES"/>
        </w:rPr>
        <w:t>citi</w:t>
      </w:r>
      <w:r w:rsidRPr="00F05461">
        <w:rPr>
          <w:lang w:val="es-ES"/>
        </w:rPr>
        <w:t>verso, la interoperabilidad entre plataformas, la confianza y la seguridad, la accesibilidad, la eficiencia energética, consideraciones políticas, los gemelos digitales y casos de uso del metaverso para contextos urbanos e industriales.</w:t>
      </w:r>
    </w:p>
    <w:p w14:paraId="3BC78DFA" w14:textId="44FFDE2E" w:rsidR="00B1145C" w:rsidRPr="00F05461" w:rsidRDefault="00B1145C" w:rsidP="00B1145C">
      <w:pPr>
        <w:rPr>
          <w:lang w:val="es-ES"/>
        </w:rPr>
      </w:pPr>
      <w:r w:rsidRPr="00F05461">
        <w:rPr>
          <w:lang w:val="es-ES"/>
        </w:rPr>
        <w:t xml:space="preserve">Los trabajos del FG-MV se han transferido satisfactoriamente a las Comisiones de Estudio </w:t>
      </w:r>
      <w:r w:rsidR="00A10309" w:rsidRPr="00F05461">
        <w:rPr>
          <w:lang w:val="es-ES"/>
        </w:rPr>
        <w:t>del UIT</w:t>
      </w:r>
      <w:r w:rsidR="00A10309" w:rsidRPr="00F05461">
        <w:rPr>
          <w:lang w:val="es-ES"/>
        </w:rPr>
        <w:noBreakHyphen/>
      </w:r>
      <w:r w:rsidRPr="00F05461">
        <w:rPr>
          <w:lang w:val="es-ES"/>
        </w:rPr>
        <w:t>T, incluida la Comisión de Estudio</w:t>
      </w:r>
      <w:r w:rsidR="001473A4" w:rsidRPr="00F05461">
        <w:rPr>
          <w:lang w:val="es-ES"/>
        </w:rPr>
        <w:t> </w:t>
      </w:r>
      <w:r w:rsidRPr="00F05461">
        <w:rPr>
          <w:lang w:val="es-ES"/>
        </w:rPr>
        <w:t xml:space="preserve">20 </w:t>
      </w:r>
      <w:r w:rsidR="00A10309" w:rsidRPr="00F05461">
        <w:rPr>
          <w:lang w:val="es-ES"/>
        </w:rPr>
        <w:t>del UIT</w:t>
      </w:r>
      <w:r w:rsidR="00A10309" w:rsidRPr="00F05461">
        <w:rPr>
          <w:lang w:val="es-ES"/>
        </w:rPr>
        <w:noBreakHyphen/>
      </w:r>
      <w:r w:rsidRPr="00F05461">
        <w:rPr>
          <w:lang w:val="es-ES"/>
        </w:rPr>
        <w:t>T, que ya ha elaborado normas sobre gemelos digitales para el metaverso.</w:t>
      </w:r>
    </w:p>
    <w:p w14:paraId="719E95CC" w14:textId="1E1BC4E9" w:rsidR="00B1145C" w:rsidRPr="00F05461" w:rsidRDefault="00B1145C" w:rsidP="00B1145C">
      <w:pPr>
        <w:rPr>
          <w:lang w:val="es-ES"/>
        </w:rPr>
      </w:pPr>
      <w:r w:rsidRPr="00F05461">
        <w:rPr>
          <w:lang w:val="es-ES"/>
        </w:rPr>
        <w:t xml:space="preserve">Tras la clausura del Grupo Temático, se ha lanzado una nueva iniciativa sobre mundos virtuales e IA, a fin de proporcionar una plataforma para desarrollar un </w:t>
      </w:r>
      <w:r w:rsidR="00963557" w:rsidRPr="00F05461">
        <w:rPr>
          <w:lang w:val="es-ES"/>
        </w:rPr>
        <w:t>citi</w:t>
      </w:r>
      <w:r w:rsidRPr="00F05461">
        <w:rPr>
          <w:lang w:val="es-ES"/>
        </w:rPr>
        <w:t>verso interoperable y seguro.</w:t>
      </w:r>
    </w:p>
    <w:p w14:paraId="0BA8ED2D" w14:textId="46BBA5E8" w:rsidR="00385BAF" w:rsidRPr="00F05461" w:rsidRDefault="00385BAF" w:rsidP="00385BAF">
      <w:pPr>
        <w:rPr>
          <w:lang w:val="es-ES"/>
        </w:rPr>
      </w:pPr>
      <w:r w:rsidRPr="00F05461">
        <w:rPr>
          <w:lang w:val="es-ES"/>
        </w:rPr>
        <w:t xml:space="preserve">A partir de estos trabajos, </w:t>
      </w:r>
      <w:r w:rsidR="00296F03" w:rsidRPr="00F05461">
        <w:rPr>
          <w:lang w:val="es-ES"/>
        </w:rPr>
        <w:t>la UIT</w:t>
      </w:r>
      <w:r w:rsidRPr="00F05461">
        <w:rPr>
          <w:lang w:val="es-ES"/>
        </w:rPr>
        <w:t xml:space="preserve"> organizó el </w:t>
      </w:r>
      <w:hyperlink r:id="rId225" w:history="1">
        <w:r w:rsidRPr="00F05461">
          <w:rPr>
            <w:rStyle w:val="Hyperlink"/>
            <w:rFonts w:eastAsia="Times New Roman" w:cs="Times New Roman"/>
            <w:szCs w:val="20"/>
            <w:lang w:val="es-ES"/>
          </w:rPr>
          <w:t>Think-a-</w:t>
        </w:r>
        <w:r w:rsidR="00CF123C" w:rsidRPr="00F05461">
          <w:rPr>
            <w:rStyle w:val="Hyperlink"/>
            <w:rFonts w:eastAsia="Times New Roman" w:cs="Times New Roman"/>
            <w:szCs w:val="20"/>
            <w:lang w:val="es-ES"/>
          </w:rPr>
          <w:t>T</w:t>
        </w:r>
        <w:r w:rsidRPr="00F05461">
          <w:rPr>
            <w:rStyle w:val="Hyperlink"/>
            <w:rFonts w:eastAsia="Times New Roman" w:cs="Times New Roman"/>
            <w:szCs w:val="20"/>
            <w:lang w:val="es-ES"/>
          </w:rPr>
          <w:t>hon sobre el Metaverso</w:t>
        </w:r>
      </w:hyperlink>
      <w:r w:rsidRPr="00F05461">
        <w:rPr>
          <w:lang w:val="es-ES"/>
        </w:rPr>
        <w:t xml:space="preserve"> </w:t>
      </w:r>
      <w:r w:rsidR="00B933C5" w:rsidRPr="00F05461">
        <w:rPr>
          <w:lang w:val="es-ES"/>
        </w:rPr>
        <w:t>de 202</w:t>
      </w:r>
      <w:r w:rsidR="00711F8C" w:rsidRPr="00F05461">
        <w:rPr>
          <w:lang w:val="es-ES"/>
        </w:rPr>
        <w:t>4</w:t>
      </w:r>
      <w:r w:rsidRPr="00F05461">
        <w:rPr>
          <w:lang w:val="es-ES"/>
        </w:rPr>
        <w:t xml:space="preserve"> en colaboración con el</w:t>
      </w:r>
      <w:r w:rsidR="001473A4" w:rsidRPr="00F05461">
        <w:rPr>
          <w:lang w:val="es-ES"/>
        </w:rPr>
        <w:t> </w:t>
      </w:r>
      <w:r w:rsidRPr="00F05461">
        <w:rPr>
          <w:lang w:val="es-ES"/>
        </w:rPr>
        <w:t>CICE, la</w:t>
      </w:r>
      <w:r w:rsidR="007347B3" w:rsidRPr="00F05461">
        <w:rPr>
          <w:lang w:val="es-ES"/>
        </w:rPr>
        <w:t> </w:t>
      </w:r>
      <w:r w:rsidRPr="00F05461">
        <w:rPr>
          <w:lang w:val="es-ES"/>
        </w:rPr>
        <w:t xml:space="preserve">FAO y el Organismo Internacional de Energía Atómica (OIEA), en el que se desafió a estudiantes y graduados a desarrollar soluciones de simulación virtual para problemas mundiales en materia de educación, preparación para las catástrofes, resolución de conflictos y desarrollo urbano sostenible. La iniciativa culminó con el reconocimiento de los equipos ganadores durante el </w:t>
      </w:r>
      <w:hyperlink r:id="rId226" w:history="1">
        <w:r w:rsidRPr="00F05461">
          <w:rPr>
            <w:rStyle w:val="Hyperlink"/>
            <w:rFonts w:eastAsia="Times New Roman" w:cs="Times New Roman"/>
            <w:szCs w:val="20"/>
            <w:lang w:val="es-ES"/>
          </w:rPr>
          <w:t>Día de los Mundos Virtuales de las Naciones Unidas</w:t>
        </w:r>
      </w:hyperlink>
      <w:r w:rsidRPr="00F05461">
        <w:rPr>
          <w:lang w:val="es-ES"/>
        </w:rPr>
        <w:t xml:space="preserve">. Además, </w:t>
      </w:r>
      <w:r w:rsidR="00296F03" w:rsidRPr="00F05461">
        <w:rPr>
          <w:lang w:val="es-ES"/>
        </w:rPr>
        <w:t>la UIT</w:t>
      </w:r>
      <w:r w:rsidRPr="00F05461">
        <w:rPr>
          <w:lang w:val="es-ES"/>
        </w:rPr>
        <w:t xml:space="preserve"> coordinó la preparación y el lanzamiento del </w:t>
      </w:r>
      <w:hyperlink r:id="rId227" w:history="1">
        <w:r w:rsidRPr="00F05461">
          <w:rPr>
            <w:rStyle w:val="Hyperlink"/>
            <w:rFonts w:eastAsia="Times New Roman" w:cs="Times New Roman"/>
            <w:szCs w:val="20"/>
            <w:lang w:val="es-ES"/>
          </w:rPr>
          <w:t xml:space="preserve">primer Concurso de las Naciones Unidas sobre el </w:t>
        </w:r>
        <w:r w:rsidR="007006B6" w:rsidRPr="00F05461">
          <w:rPr>
            <w:rStyle w:val="Hyperlink"/>
            <w:rFonts w:eastAsia="Times New Roman" w:cs="Times New Roman"/>
            <w:szCs w:val="20"/>
            <w:lang w:val="es-ES"/>
          </w:rPr>
          <w:t>Citi</w:t>
        </w:r>
        <w:r w:rsidRPr="00F05461">
          <w:rPr>
            <w:rStyle w:val="Hyperlink"/>
            <w:rFonts w:eastAsia="Times New Roman" w:cs="Times New Roman"/>
            <w:szCs w:val="20"/>
            <w:lang w:val="es-ES"/>
          </w:rPr>
          <w:t>verso</w:t>
        </w:r>
      </w:hyperlink>
      <w:r w:rsidRPr="00F05461">
        <w:rPr>
          <w:lang w:val="es-ES"/>
        </w:rPr>
        <w:t xml:space="preserve">, iniciado en febrero </w:t>
      </w:r>
      <w:r w:rsidR="00B933C5" w:rsidRPr="00F05461">
        <w:rPr>
          <w:lang w:val="es-ES"/>
        </w:rPr>
        <w:t>de 202</w:t>
      </w:r>
      <w:r w:rsidR="00711F8C" w:rsidRPr="00F05461">
        <w:rPr>
          <w:lang w:val="es-ES"/>
        </w:rPr>
        <w:t>5</w:t>
      </w:r>
      <w:r w:rsidRPr="00F05461">
        <w:rPr>
          <w:lang w:val="es-ES"/>
        </w:rPr>
        <w:t xml:space="preserve"> con 15</w:t>
      </w:r>
      <w:r w:rsidR="003049FA" w:rsidRPr="00F05461">
        <w:rPr>
          <w:lang w:val="es-ES"/>
        </w:rPr>
        <w:t> </w:t>
      </w:r>
      <w:r w:rsidRPr="00F05461">
        <w:rPr>
          <w:lang w:val="es-ES"/>
        </w:rPr>
        <w:t xml:space="preserve">socios. El evento, que concluyó con el desarrollo y reconocimiento de soluciones innovadoras basadas en el </w:t>
      </w:r>
      <w:r w:rsidR="00963557" w:rsidRPr="00F05461">
        <w:rPr>
          <w:lang w:val="es-ES"/>
        </w:rPr>
        <w:t>citi</w:t>
      </w:r>
      <w:r w:rsidRPr="00F05461">
        <w:rPr>
          <w:lang w:val="es-ES"/>
        </w:rPr>
        <w:t>verso para la prestación de servicios públicos, la sostenibilidad y el turismo, hizo hincapié en los procedimientos prácticos para que las ciudades aprovechen los mundos virtuales como infraestructura pública digital y elogió al Team DataLab, ganador de la categoría Estudiantes, por su destacada contribución, y al equipo WEO, ganador de la categoría Empresas emergentes, por su solución innovadora y escalable.</w:t>
      </w:r>
      <w:hyperlink r:id="rId228" w:history="1"/>
      <w:hyperlink r:id="rId229" w:history="1"/>
      <w:hyperlink r:id="rId230" w:history="1"/>
    </w:p>
    <w:p w14:paraId="619669DA" w14:textId="6091A3F5" w:rsidR="00B1145C" w:rsidRPr="00F05461" w:rsidRDefault="00B1145C" w:rsidP="00B1145C">
      <w:pPr>
        <w:rPr>
          <w:lang w:val="es-ES"/>
        </w:rPr>
      </w:pPr>
      <w:r w:rsidRPr="00F05461">
        <w:rPr>
          <w:lang w:val="es-ES"/>
        </w:rPr>
        <w:t xml:space="preserve">Paralelamente, </w:t>
      </w:r>
      <w:r w:rsidR="00296F03" w:rsidRPr="00F05461">
        <w:rPr>
          <w:lang w:val="es-ES"/>
        </w:rPr>
        <w:t>la UIT</w:t>
      </w:r>
      <w:r w:rsidRPr="00F05461">
        <w:rPr>
          <w:lang w:val="es-ES"/>
        </w:rPr>
        <w:t xml:space="preserve"> y 16</w:t>
      </w:r>
      <w:r w:rsidR="003049FA" w:rsidRPr="00F05461">
        <w:rPr>
          <w:lang w:val="es-ES"/>
        </w:rPr>
        <w:t> </w:t>
      </w:r>
      <w:r w:rsidRPr="00F05461">
        <w:rPr>
          <w:lang w:val="es-ES"/>
        </w:rPr>
        <w:t xml:space="preserve">organismos de las Naciones Unidas publicaron en junio </w:t>
      </w:r>
      <w:r w:rsidR="00B933C5" w:rsidRPr="00F05461">
        <w:rPr>
          <w:lang w:val="es-ES"/>
        </w:rPr>
        <w:t>de 202</w:t>
      </w:r>
      <w:r w:rsidR="00711F8C" w:rsidRPr="00F05461">
        <w:rPr>
          <w:lang w:val="es-ES"/>
        </w:rPr>
        <w:t>4</w:t>
      </w:r>
      <w:r w:rsidRPr="00F05461">
        <w:rPr>
          <w:lang w:val="es-ES"/>
        </w:rPr>
        <w:t xml:space="preserve"> el primer informe ejecutivo de las Naciones Unidas sobre el aprovechamiento del potencial de los mundos virtuales y el metaverso en favor de los</w:t>
      </w:r>
      <w:r w:rsidR="00E93D15" w:rsidRPr="00F05461">
        <w:rPr>
          <w:lang w:val="es-ES"/>
        </w:rPr>
        <w:t> </w:t>
      </w:r>
      <w:r w:rsidRPr="00F05461">
        <w:rPr>
          <w:lang w:val="es-ES"/>
        </w:rPr>
        <w:t>ODS (</w:t>
      </w:r>
      <w:r>
        <w:fldChar w:fldCharType="begin"/>
      </w:r>
      <w:r w:rsidRPr="009A0A46">
        <w:rPr>
          <w:lang w:val="es-ES"/>
        </w:rPr>
        <w:instrText>HYPERLINK "https://www.itu.int/net/epub/TSB/2024-UN-Executive-Briefing-on-unlocking-potential/index.html" \l "p=1"</w:instrText>
      </w:r>
      <w:r>
        <w:fldChar w:fldCharType="separate"/>
      </w:r>
      <w:r w:rsidRPr="00F05461">
        <w:rPr>
          <w:rStyle w:val="Hyperlink"/>
          <w:rFonts w:eastAsia="Times New Roman" w:cs="Times New Roman"/>
          <w:i/>
          <w:iCs/>
          <w:szCs w:val="20"/>
          <w:lang w:val="es-ES"/>
        </w:rPr>
        <w:t xml:space="preserve">UN Executive Briefing </w:t>
      </w:r>
      <w:proofErr w:type="spellStart"/>
      <w:r w:rsidRPr="00F05461">
        <w:rPr>
          <w:rStyle w:val="Hyperlink"/>
          <w:rFonts w:eastAsia="Times New Roman" w:cs="Times New Roman"/>
          <w:i/>
          <w:iCs/>
          <w:szCs w:val="20"/>
          <w:lang w:val="es-ES"/>
        </w:rPr>
        <w:t>on</w:t>
      </w:r>
      <w:proofErr w:type="spellEnd"/>
      <w:r w:rsidRPr="00F05461">
        <w:rPr>
          <w:rStyle w:val="Hyperlink"/>
          <w:rFonts w:eastAsia="Times New Roman" w:cs="Times New Roman"/>
          <w:i/>
          <w:iCs/>
          <w:szCs w:val="20"/>
          <w:lang w:val="es-ES"/>
        </w:rPr>
        <w:t xml:space="preserve"> </w:t>
      </w:r>
      <w:proofErr w:type="spellStart"/>
      <w:r w:rsidRPr="00F05461">
        <w:rPr>
          <w:rStyle w:val="Hyperlink"/>
          <w:rFonts w:eastAsia="Times New Roman" w:cs="Times New Roman"/>
          <w:i/>
          <w:iCs/>
          <w:szCs w:val="20"/>
          <w:lang w:val="es-ES"/>
        </w:rPr>
        <w:t>Unlocking</w:t>
      </w:r>
      <w:proofErr w:type="spellEnd"/>
      <w:r w:rsidRPr="00F05461">
        <w:rPr>
          <w:rStyle w:val="Hyperlink"/>
          <w:rFonts w:eastAsia="Times New Roman" w:cs="Times New Roman"/>
          <w:i/>
          <w:iCs/>
          <w:szCs w:val="20"/>
          <w:lang w:val="es-ES"/>
        </w:rPr>
        <w:t xml:space="preserve"> the </w:t>
      </w:r>
      <w:proofErr w:type="spellStart"/>
      <w:r w:rsidRPr="00F05461">
        <w:rPr>
          <w:rStyle w:val="Hyperlink"/>
          <w:rFonts w:eastAsia="Times New Roman" w:cs="Times New Roman"/>
          <w:i/>
          <w:iCs/>
          <w:szCs w:val="20"/>
          <w:lang w:val="es-ES"/>
        </w:rPr>
        <w:t>Potential</w:t>
      </w:r>
      <w:proofErr w:type="spellEnd"/>
      <w:r w:rsidRPr="00F05461">
        <w:rPr>
          <w:rStyle w:val="Hyperlink"/>
          <w:rFonts w:eastAsia="Times New Roman" w:cs="Times New Roman"/>
          <w:i/>
          <w:iCs/>
          <w:szCs w:val="20"/>
          <w:lang w:val="es-ES"/>
        </w:rPr>
        <w:t xml:space="preserve"> of Virtual Worlds and the </w:t>
      </w:r>
      <w:proofErr w:type="spellStart"/>
      <w:r w:rsidRPr="00F05461">
        <w:rPr>
          <w:rStyle w:val="Hyperlink"/>
          <w:rFonts w:eastAsia="Times New Roman" w:cs="Times New Roman"/>
          <w:i/>
          <w:iCs/>
          <w:szCs w:val="20"/>
          <w:lang w:val="es-ES"/>
        </w:rPr>
        <w:t>Metaverse</w:t>
      </w:r>
      <w:proofErr w:type="spellEnd"/>
      <w:r w:rsidRPr="00F05461">
        <w:rPr>
          <w:rStyle w:val="Hyperlink"/>
          <w:rFonts w:eastAsia="Times New Roman" w:cs="Times New Roman"/>
          <w:i/>
          <w:iCs/>
          <w:szCs w:val="20"/>
          <w:lang w:val="es-ES"/>
        </w:rPr>
        <w:t xml:space="preserve"> for the </w:t>
      </w:r>
      <w:proofErr w:type="spellStart"/>
      <w:r w:rsidRPr="00F05461">
        <w:rPr>
          <w:rStyle w:val="Hyperlink"/>
          <w:rFonts w:eastAsia="Times New Roman" w:cs="Times New Roman"/>
          <w:i/>
          <w:iCs/>
          <w:szCs w:val="20"/>
          <w:lang w:val="es-ES"/>
        </w:rPr>
        <w:t>SDGs</w:t>
      </w:r>
      <w:proofErr w:type="spellEnd"/>
      <w:r>
        <w:fldChar w:fldCharType="end"/>
      </w:r>
      <w:r w:rsidRPr="00F05461">
        <w:rPr>
          <w:lang w:val="es-ES"/>
        </w:rPr>
        <w:t>), que destacó su posible impacto transformador y la necesidad de normas internacionales y de un desarrollo responsable.</w:t>
      </w:r>
    </w:p>
    <w:p w14:paraId="6267B4D2" w14:textId="77777777" w:rsidR="00B1145C" w:rsidRPr="00F05461" w:rsidRDefault="00B1145C" w:rsidP="00385BAF">
      <w:pPr>
        <w:pStyle w:val="Headingb"/>
      </w:pPr>
      <w:r w:rsidRPr="00F05461">
        <w:lastRenderedPageBreak/>
        <w:t>Internet de las cosas, gemelos digitales y ciudades inteligentes y sostenibles</w:t>
      </w:r>
    </w:p>
    <w:p w14:paraId="3F90DA52" w14:textId="04E842B2" w:rsidR="00B1145C" w:rsidRPr="00F05461" w:rsidRDefault="00385BAF" w:rsidP="00975F5B">
      <w:pPr>
        <w:keepNext/>
        <w:keepLines/>
        <w:rPr>
          <w:lang w:val="es-ES"/>
        </w:rPr>
      </w:pPr>
      <w:r w:rsidRPr="00F05461">
        <w:rPr>
          <w:lang w:val="es-ES"/>
        </w:rPr>
        <w:t xml:space="preserve">Los trabajos sobre </w:t>
      </w:r>
      <w:hyperlink r:id="rId231" w:history="1">
        <w:r w:rsidRPr="00F05461">
          <w:rPr>
            <w:rStyle w:val="Hyperlink"/>
            <w:rFonts w:eastAsia="Times New Roman" w:cs="Times New Roman"/>
            <w:szCs w:val="20"/>
            <w:lang w:val="es-ES"/>
          </w:rPr>
          <w:t>IoT</w:t>
        </w:r>
      </w:hyperlink>
      <w:r w:rsidRPr="00F05461">
        <w:rPr>
          <w:lang w:val="es-ES"/>
        </w:rPr>
        <w:t xml:space="preserve">, gemelos digitales y ciudades inteligentes y sostenibles se mantuvieron como tema fundamental del programa sobre tecnologías emergentes de </w:t>
      </w:r>
      <w:r w:rsidR="00296F03" w:rsidRPr="00F05461">
        <w:rPr>
          <w:lang w:val="es-ES"/>
        </w:rPr>
        <w:t>la UIT</w:t>
      </w:r>
      <w:r w:rsidRPr="00F05461">
        <w:rPr>
          <w:lang w:val="es-ES"/>
        </w:rPr>
        <w:t xml:space="preserve">. La </w:t>
      </w:r>
      <w:hyperlink r:id="rId232" w:history="1">
        <w:r w:rsidRPr="00F05461">
          <w:rPr>
            <w:rStyle w:val="Hyperlink"/>
            <w:rFonts w:eastAsia="Times New Roman" w:cs="Times New Roman"/>
            <w:szCs w:val="20"/>
            <w:lang w:val="es-ES"/>
          </w:rPr>
          <w:t>Comisión de Estudio</w:t>
        </w:r>
        <w:r w:rsidR="00062070" w:rsidRPr="00F05461">
          <w:rPr>
            <w:rStyle w:val="Hyperlink"/>
            <w:rFonts w:eastAsia="Times New Roman" w:cs="Times New Roman"/>
            <w:szCs w:val="20"/>
            <w:lang w:val="es-ES"/>
          </w:rPr>
          <w:t> </w:t>
        </w:r>
        <w:r w:rsidRPr="00F05461">
          <w:rPr>
            <w:rStyle w:val="Hyperlink"/>
            <w:rFonts w:eastAsia="Times New Roman" w:cs="Times New Roman"/>
            <w:szCs w:val="20"/>
            <w:lang w:val="es-ES"/>
          </w:rPr>
          <w:t xml:space="preserve">20 </w:t>
        </w:r>
        <w:r w:rsidR="00A10309" w:rsidRPr="00F05461">
          <w:rPr>
            <w:rStyle w:val="Hyperlink"/>
            <w:rFonts w:eastAsia="Times New Roman" w:cs="Times New Roman"/>
            <w:szCs w:val="20"/>
            <w:lang w:val="es-ES"/>
          </w:rPr>
          <w:t>del UIT</w:t>
        </w:r>
        <w:r w:rsidR="00A10309"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T</w:t>
        </w:r>
      </w:hyperlink>
      <w:r w:rsidRPr="00F05461">
        <w:rPr>
          <w:lang w:val="es-ES"/>
        </w:rPr>
        <w:t xml:space="preserve"> siguió elaborando normas mundiales sobre las tecnologías IoT interoperables, los ecosistemas de macrodatos y la transformación digital en favor de ciudades y comunidades inteligentes y sostenibles. Estos esfuerzos contribuyen a la innovación urbana, la seguridad de los flujos de datos y la eficiencia de los sistemas urbanos.</w:t>
      </w:r>
    </w:p>
    <w:p w14:paraId="33144332" w14:textId="5D534BFA" w:rsidR="00B1145C" w:rsidRPr="00F05461" w:rsidRDefault="00975F5B" w:rsidP="00385BAF">
      <w:pPr>
        <w:rPr>
          <w:lang w:val="es-ES"/>
        </w:rPr>
      </w:pPr>
      <w:r w:rsidRPr="00F05461">
        <w:rPr>
          <w:noProof/>
          <w:lang w:val="es-ES"/>
        </w:rPr>
        <w:drawing>
          <wp:anchor distT="0" distB="0" distL="114300" distR="114300" simplePos="0" relativeHeight="251658240" behindDoc="0" locked="0" layoutInCell="1" allowOverlap="1" wp14:anchorId="00EC7ADD" wp14:editId="07D439DB">
            <wp:simplePos x="0" y="0"/>
            <wp:positionH relativeFrom="column">
              <wp:posOffset>152793</wp:posOffset>
            </wp:positionH>
            <wp:positionV relativeFrom="paragraph">
              <wp:posOffset>317801</wp:posOffset>
            </wp:positionV>
            <wp:extent cx="1149345" cy="1626873"/>
            <wp:effectExtent l="19050" t="19050" r="13335" b="11430"/>
            <wp:wrapSquare wrapText="bothSides"/>
            <wp:docPr id="634508962" name="Picture 2" descr="A cover of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extLst>
                        <a:ext uri="{28A0092B-C50C-407E-A947-70E740481C1C}">
                          <a14:useLocalDpi xmlns:a14="http://schemas.microsoft.com/office/drawing/2010/main" val="0"/>
                        </a:ext>
                      </a:extLst>
                    </a:blip>
                    <a:srcRect/>
                    <a:stretch>
                      <a:fillRect/>
                    </a:stretch>
                  </pic:blipFill>
                  <pic:spPr>
                    <a:xfrm>
                      <a:off x="0" y="0"/>
                      <a:ext cx="1149345" cy="1626873"/>
                    </a:xfrm>
                    <a:prstGeom prst="rect">
                      <a:avLst/>
                    </a:prstGeom>
                    <a:noFill/>
                    <a:ln w="3172">
                      <a:solidFill>
                        <a:srgbClr val="000000"/>
                      </a:solidFill>
                      <a:prstDash val="solid"/>
                    </a:ln>
                  </pic:spPr>
                </pic:pic>
              </a:graphicData>
            </a:graphic>
          </wp:anchor>
        </w:drawing>
      </w:r>
      <w:r w:rsidR="00385BAF" w:rsidRPr="00F05461">
        <w:rPr>
          <w:lang w:val="es-ES"/>
        </w:rPr>
        <w:t xml:space="preserve">Se puede encontrar más información en la </w:t>
      </w:r>
      <w:hyperlink r:id="rId234" w:history="1">
        <w:r w:rsidR="00385BAF" w:rsidRPr="00F05461">
          <w:rPr>
            <w:rStyle w:val="Hyperlink"/>
            <w:rFonts w:eastAsia="Times New Roman" w:cs="Times New Roman"/>
            <w:szCs w:val="20"/>
            <w:lang w:val="es-ES"/>
          </w:rPr>
          <w:t xml:space="preserve">página principal de la CE 20 </w:t>
        </w:r>
        <w:r w:rsidR="00A10309" w:rsidRPr="00F05461">
          <w:rPr>
            <w:rStyle w:val="Hyperlink"/>
            <w:rFonts w:eastAsia="Times New Roman" w:cs="Times New Roman"/>
            <w:szCs w:val="20"/>
            <w:lang w:val="es-ES"/>
          </w:rPr>
          <w:t>del UIT</w:t>
        </w:r>
        <w:r w:rsidR="00A10309" w:rsidRPr="00F05461">
          <w:rPr>
            <w:rStyle w:val="Hyperlink"/>
            <w:rFonts w:eastAsia="Times New Roman" w:cs="Times New Roman"/>
            <w:szCs w:val="20"/>
            <w:lang w:val="es-ES"/>
          </w:rPr>
          <w:noBreakHyphen/>
        </w:r>
        <w:r w:rsidR="00385BAF" w:rsidRPr="00F05461">
          <w:rPr>
            <w:rStyle w:val="Hyperlink"/>
            <w:rFonts w:eastAsia="Times New Roman" w:cs="Times New Roman"/>
            <w:szCs w:val="20"/>
            <w:lang w:val="es-ES"/>
          </w:rPr>
          <w:t>T</w:t>
        </w:r>
      </w:hyperlink>
      <w:r w:rsidR="00385BAF" w:rsidRPr="00F05461">
        <w:rPr>
          <w:lang w:val="es-ES"/>
        </w:rPr>
        <w:t xml:space="preserve"> y en la </w:t>
      </w:r>
      <w:hyperlink r:id="rId235" w:history="1">
        <w:r w:rsidR="00385BAF" w:rsidRPr="00F05461">
          <w:rPr>
            <w:rStyle w:val="Hyperlink"/>
            <w:rFonts w:eastAsia="Times New Roman" w:cs="Times New Roman"/>
            <w:szCs w:val="20"/>
            <w:lang w:val="es-ES"/>
          </w:rPr>
          <w:t>Lista de Recomendaciones</w:t>
        </w:r>
      </w:hyperlink>
      <w:r w:rsidR="00385BAF" w:rsidRPr="00F05461">
        <w:rPr>
          <w:lang w:val="es-ES"/>
        </w:rPr>
        <w:t>.</w:t>
      </w:r>
    </w:p>
    <w:p w14:paraId="2B62B2FA" w14:textId="3AEF508C" w:rsidR="00B1145C" w:rsidRPr="00F05461" w:rsidRDefault="00B1145C" w:rsidP="00B1145C">
      <w:pPr>
        <w:rPr>
          <w:lang w:val="es-ES"/>
        </w:rPr>
      </w:pPr>
      <w:r w:rsidRPr="00F05461">
        <w:rPr>
          <w:lang w:val="es-ES"/>
        </w:rPr>
        <w:t xml:space="preserve">Como complemento a labor, la </w:t>
      </w:r>
      <w:hyperlink r:id="rId236" w:history="1">
        <w:r w:rsidRPr="00F05461">
          <w:rPr>
            <w:rStyle w:val="Hyperlink"/>
            <w:rFonts w:eastAsia="Times New Roman" w:cs="Times New Roman"/>
            <w:szCs w:val="20"/>
            <w:lang w:val="es-ES"/>
          </w:rPr>
          <w:t>iniciativa</w:t>
        </w:r>
        <w:r w:rsidR="00385BAF" w:rsidRPr="00F05461">
          <w:rPr>
            <w:rStyle w:val="Hyperlink"/>
            <w:rFonts w:eastAsia="Times New Roman" w:cs="Times New Roman"/>
            <w:szCs w:val="20"/>
            <w:lang w:val="es-ES"/>
          </w:rPr>
          <w:t> </w:t>
        </w:r>
        <w:r w:rsidRPr="00F05461">
          <w:rPr>
            <w:rStyle w:val="Hyperlink"/>
            <w:rFonts w:eastAsia="Times New Roman" w:cs="Times New Roman"/>
            <w:szCs w:val="20"/>
            <w:lang w:val="es-ES"/>
          </w:rPr>
          <w:t>U4SSC</w:t>
        </w:r>
      </w:hyperlink>
      <w:r w:rsidRPr="00F05461">
        <w:rPr>
          <w:lang w:val="es-ES"/>
        </w:rPr>
        <w:t xml:space="preserve"> promueve las infraestructuras públicas digitales, las plataformas urbanas y una transformación digital más amplia en las ciudades antropocéntricas. A través de sus herramientas, marcos y grupos de trabajo temáticos, la iniciativa</w:t>
      </w:r>
      <w:r w:rsidR="00062070" w:rsidRPr="00F05461">
        <w:rPr>
          <w:lang w:val="es-ES"/>
        </w:rPr>
        <w:t> </w:t>
      </w:r>
      <w:r w:rsidRPr="00F05461">
        <w:rPr>
          <w:lang w:val="es-ES"/>
        </w:rPr>
        <w:t>U4SSC proporciona orientación práctica para ayudar a las ciudades a implantar soluciones digitales normalizadas, interoperables e inclusivas que fomenten la sostenibilidad, la resiliencia y los servicios urbanos centrados en la ciudadanía.</w:t>
      </w:r>
    </w:p>
    <w:p w14:paraId="0478E42F" w14:textId="0E58C4DE" w:rsidR="00B1145C" w:rsidRPr="00F05461" w:rsidRDefault="002C5722" w:rsidP="00B1145C">
      <w:pPr>
        <w:rPr>
          <w:lang w:val="es-ES"/>
        </w:rPr>
      </w:pPr>
      <w:r w:rsidRPr="00F05461">
        <w:rPr>
          <w:noProof/>
          <w:lang w:val="es-ES"/>
        </w:rPr>
        <w:drawing>
          <wp:anchor distT="0" distB="0" distL="114300" distR="114300" simplePos="0" relativeHeight="251664384" behindDoc="0" locked="0" layoutInCell="1" allowOverlap="1" wp14:anchorId="2676CB77" wp14:editId="43B9C425">
            <wp:simplePos x="0" y="0"/>
            <wp:positionH relativeFrom="column">
              <wp:posOffset>2950914</wp:posOffset>
            </wp:positionH>
            <wp:positionV relativeFrom="paragraph">
              <wp:posOffset>49146</wp:posOffset>
            </wp:positionV>
            <wp:extent cx="2786380" cy="1457960"/>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86380" cy="1457960"/>
                    </a:xfrm>
                    <a:prstGeom prst="rect">
                      <a:avLst/>
                    </a:prstGeom>
                    <a:noFill/>
                  </pic:spPr>
                </pic:pic>
              </a:graphicData>
            </a:graphic>
          </wp:anchor>
        </w:drawing>
      </w:r>
      <w:r w:rsidR="00B1145C" w:rsidRPr="00F05461">
        <w:rPr>
          <w:lang w:val="es-ES"/>
        </w:rPr>
        <w:t xml:space="preserve">En apoyo de la transformación digital centrada en las personas, </w:t>
      </w:r>
      <w:r w:rsidR="00296F03" w:rsidRPr="00F05461">
        <w:rPr>
          <w:lang w:val="es-ES"/>
        </w:rPr>
        <w:t>la UIT</w:t>
      </w:r>
      <w:r w:rsidR="00B1145C" w:rsidRPr="00F05461">
        <w:rPr>
          <w:lang w:val="es-ES"/>
        </w:rPr>
        <w:t xml:space="preserve"> elaboró, en colaboración con 11</w:t>
      </w:r>
      <w:r w:rsidR="00062070" w:rsidRPr="00F05461">
        <w:rPr>
          <w:lang w:val="es-ES"/>
        </w:rPr>
        <w:t> </w:t>
      </w:r>
      <w:r w:rsidR="00B1145C" w:rsidRPr="00F05461">
        <w:rPr>
          <w:lang w:val="es-ES"/>
        </w:rPr>
        <w:t xml:space="preserve">organismos de las Naciones Unidas, un </w:t>
      </w:r>
      <w:hyperlink r:id="rId238" w:history="1">
        <w:r w:rsidR="00B1145C" w:rsidRPr="00F05461">
          <w:rPr>
            <w:rStyle w:val="Hyperlink"/>
            <w:rFonts w:eastAsia="Times New Roman" w:cs="Times New Roman"/>
            <w:szCs w:val="20"/>
            <w:lang w:val="es-ES"/>
          </w:rPr>
          <w:t>conjunto de herramientas sobre transformación digital para ciudades y comunidades orientadas a las personas</w:t>
        </w:r>
      </w:hyperlink>
      <w:r w:rsidR="00B1145C" w:rsidRPr="00F05461">
        <w:rPr>
          <w:lang w:val="es-ES"/>
        </w:rPr>
        <w:t>, a fin de ayudar a las ciudades y autoridades locales a afrontar el cambio digital. El conjunto de herramientas recopila las normas y orientaciones internacionales, las investigaciones y proyecciones más recientes e informes detallados sobre diferentes temas pertinentes a la transformación digital de las ciudades y comunidades.</w:t>
      </w:r>
    </w:p>
    <w:p w14:paraId="2CD69DDE" w14:textId="17362DE6" w:rsidR="00B1145C" w:rsidRPr="00F05461" w:rsidRDefault="00296F03" w:rsidP="00385BAF">
      <w:pPr>
        <w:rPr>
          <w:lang w:val="es-ES"/>
        </w:rPr>
      </w:pPr>
      <w:r w:rsidRPr="00F05461">
        <w:rPr>
          <w:lang w:val="es-ES"/>
        </w:rPr>
        <w:t>La UIT</w:t>
      </w:r>
      <w:r w:rsidR="00B1145C" w:rsidRPr="00F05461">
        <w:rPr>
          <w:lang w:val="es-ES"/>
        </w:rPr>
        <w:t xml:space="preserve">, junto con otras organizaciones y organismos de las Naciones Unidas, celebró la serie </w:t>
      </w:r>
      <w:hyperlink r:id="rId239" w:history="1">
        <w:r w:rsidR="00B1145C" w:rsidRPr="00F05461">
          <w:rPr>
            <w:rStyle w:val="Hyperlink"/>
            <w:rFonts w:eastAsia="Times New Roman" w:cs="Times New Roman"/>
            <w:szCs w:val="20"/>
            <w:lang w:val="es-ES"/>
          </w:rPr>
          <w:t xml:space="preserve">Diálogos sobre </w:t>
        </w:r>
        <w:r w:rsidR="00AB17C3" w:rsidRPr="00F05461">
          <w:rPr>
            <w:rStyle w:val="Hyperlink"/>
            <w:rFonts w:eastAsia="Times New Roman" w:cs="Times New Roman"/>
            <w:szCs w:val="20"/>
            <w:lang w:val="es-ES"/>
          </w:rPr>
          <w:t>Transformación D</w:t>
        </w:r>
        <w:r w:rsidR="00B1145C" w:rsidRPr="00F05461">
          <w:rPr>
            <w:rStyle w:val="Hyperlink"/>
            <w:rFonts w:eastAsia="Times New Roman" w:cs="Times New Roman"/>
            <w:szCs w:val="20"/>
            <w:lang w:val="es-ES"/>
          </w:rPr>
          <w:t>igital (DTD)</w:t>
        </w:r>
      </w:hyperlink>
      <w:r w:rsidR="00B1145C" w:rsidRPr="00F05461">
        <w:rPr>
          <w:lang w:val="es-ES"/>
        </w:rPr>
        <w:t>, una plataforma para entender mejor cómo las tecnologías incipientes pueden rediseñar los procesos tradicionales, mejorar la eficiencia operativa y abrir nuevas posibilidades de innovación y normalización. Los</w:t>
      </w:r>
      <w:r w:rsidR="00062070" w:rsidRPr="00F05461">
        <w:rPr>
          <w:lang w:val="es-ES"/>
        </w:rPr>
        <w:t> </w:t>
      </w:r>
      <w:r w:rsidR="00B1145C" w:rsidRPr="00F05461">
        <w:rPr>
          <w:lang w:val="es-ES"/>
        </w:rPr>
        <w:t xml:space="preserve">DTD abordan temas de transformación digital en evolución, fomentan la cooperación entre las partes interesadas urbanas y examinan la función de las normas internacionales en este ámbito. A través de seminarios web, charlas informales y sesiones de </w:t>
      </w:r>
      <w:r w:rsidR="007921C3" w:rsidRPr="00F05461">
        <w:rPr>
          <w:lang w:val="es-ES"/>
        </w:rPr>
        <w:t>«</w:t>
      </w:r>
      <w:r w:rsidR="00B1145C" w:rsidRPr="00F05461">
        <w:rPr>
          <w:lang w:val="es-ES"/>
        </w:rPr>
        <w:t>pregunte al experto</w:t>
      </w:r>
      <w:r w:rsidR="007921C3" w:rsidRPr="00F05461">
        <w:rPr>
          <w:lang w:val="es-ES"/>
        </w:rPr>
        <w:t>»</w:t>
      </w:r>
      <w:r w:rsidR="00B1145C" w:rsidRPr="00F05461">
        <w:rPr>
          <w:lang w:val="es-ES"/>
        </w:rPr>
        <w:t>, los</w:t>
      </w:r>
      <w:r w:rsidR="00062070" w:rsidRPr="00F05461">
        <w:rPr>
          <w:lang w:val="es-ES"/>
        </w:rPr>
        <w:t> </w:t>
      </w:r>
      <w:r w:rsidR="00B1145C" w:rsidRPr="00F05461">
        <w:rPr>
          <w:lang w:val="es-ES"/>
        </w:rPr>
        <w:t xml:space="preserve">DTD evidencian los últimos trabajos y resultados de los Grupos Temáticos, las iniciativas y las Comisiones de Estudio </w:t>
      </w:r>
      <w:r w:rsidR="00A10309" w:rsidRPr="00F05461">
        <w:rPr>
          <w:lang w:val="es-ES"/>
        </w:rPr>
        <w:t>del UIT</w:t>
      </w:r>
      <w:r w:rsidR="00A10309" w:rsidRPr="00F05461">
        <w:rPr>
          <w:lang w:val="es-ES"/>
        </w:rPr>
        <w:noBreakHyphen/>
      </w:r>
      <w:r w:rsidR="00B1145C" w:rsidRPr="00F05461">
        <w:rPr>
          <w:lang w:val="es-ES"/>
        </w:rPr>
        <w:t>T.</w:t>
      </w:r>
    </w:p>
    <w:p w14:paraId="4073095E" w14:textId="7026C628" w:rsidR="00B1145C" w:rsidRPr="00F05461" w:rsidRDefault="00B1145C" w:rsidP="00B1145C">
      <w:pPr>
        <w:rPr>
          <w:lang w:val="es-ES"/>
        </w:rPr>
      </w:pPr>
      <w:r w:rsidRPr="00F05461">
        <w:rPr>
          <w:lang w:val="es-ES"/>
        </w:rPr>
        <w:t xml:space="preserve">La divulgación de conocimientos de este ámbito se sustenta también en la publicación periódica del </w:t>
      </w:r>
      <w:hyperlink r:id="rId240" w:history="1">
        <w:r w:rsidRPr="00F05461">
          <w:rPr>
            <w:rStyle w:val="Hyperlink"/>
            <w:rFonts w:eastAsia="Times New Roman" w:cs="Times New Roman"/>
            <w:szCs w:val="20"/>
            <w:lang w:val="es-ES"/>
          </w:rPr>
          <w:t>Boletín informativo sobre la transformación digital y las ciudades</w:t>
        </w:r>
      </w:hyperlink>
      <w:r w:rsidRPr="00F05461">
        <w:rPr>
          <w:lang w:val="es-ES"/>
        </w:rPr>
        <w:t>, una recopilación de ideas, tendencias y novedades relacionados con la transformación digital y las ciudades inteligentes que se pone a disposición pública a través de una plataforma en línea especializada.</w:t>
      </w:r>
    </w:p>
    <w:p w14:paraId="183B2C13" w14:textId="77777777" w:rsidR="00B1145C" w:rsidRPr="00F05461" w:rsidRDefault="00B1145C" w:rsidP="003E558F">
      <w:pPr>
        <w:pStyle w:val="Heading2"/>
        <w:rPr>
          <w:lang w:val="es-ES"/>
        </w:rPr>
      </w:pPr>
      <w:bookmarkStart w:id="73" w:name="_Toc227137476"/>
      <w:r w:rsidRPr="00F05461">
        <w:rPr>
          <w:lang w:val="es-ES"/>
        </w:rPr>
        <w:lastRenderedPageBreak/>
        <w:t>4.5</w:t>
      </w:r>
      <w:r w:rsidRPr="00F05461">
        <w:rPr>
          <w:lang w:val="es-ES"/>
        </w:rPr>
        <w:tab/>
        <w:t>Presentación de datos y estadísticas</w:t>
      </w:r>
      <w:bookmarkEnd w:id="73"/>
    </w:p>
    <w:p w14:paraId="31168EF9" w14:textId="45493827" w:rsidR="00B1145C" w:rsidRPr="00F05461" w:rsidRDefault="00296F03" w:rsidP="00B1145C">
      <w:pPr>
        <w:rPr>
          <w:lang w:val="es-ES"/>
        </w:rPr>
      </w:pPr>
      <w:r w:rsidRPr="00F05461">
        <w:rPr>
          <w:lang w:val="es-ES"/>
        </w:rPr>
        <w:t>La UIT</w:t>
      </w:r>
      <w:r w:rsidR="00B1145C" w:rsidRPr="00F05461">
        <w:rPr>
          <w:lang w:val="es-ES"/>
        </w:rPr>
        <w:t xml:space="preserve"> lidera el programa mundial de estadísticas de las</w:t>
      </w:r>
      <w:r w:rsidR="008A4871" w:rsidRPr="00F05461">
        <w:rPr>
          <w:lang w:val="es-ES"/>
        </w:rPr>
        <w:t> </w:t>
      </w:r>
      <w:r w:rsidR="00B1145C" w:rsidRPr="00F05461">
        <w:rPr>
          <w:lang w:val="es-ES"/>
        </w:rPr>
        <w:t xml:space="preserve">TIC, que proporciona la base empírica necesaria para una conectividad universal y efectiva y una transformación digital sostenida. Sus actividades estadísticas abarcan todo el ciclo de vida de los datos; la mayor parte de esta labor es asumida por la </w:t>
      </w:r>
      <w:hyperlink r:id="rId241" w:history="1">
        <w:r w:rsidR="00B1145C" w:rsidRPr="00F05461">
          <w:rPr>
            <w:rStyle w:val="Hyperlink"/>
            <w:rFonts w:eastAsia="Times New Roman" w:cs="Times New Roman"/>
            <w:szCs w:val="20"/>
            <w:lang w:val="es-ES"/>
          </w:rPr>
          <w:t>División de Datos y Análisis de las</w:t>
        </w:r>
        <w:r w:rsidR="008A4871"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TIC</w:t>
        </w:r>
      </w:hyperlink>
      <w:r w:rsidR="00B1145C" w:rsidRPr="00F05461">
        <w:rPr>
          <w:lang w:val="es-ES"/>
        </w:rPr>
        <w:t xml:space="preserve">, perteneciente al Departamento de Sociedad del Conocimiento Digital </w:t>
      </w:r>
      <w:r w:rsidR="00A10309" w:rsidRPr="00F05461">
        <w:rPr>
          <w:lang w:val="es-ES"/>
        </w:rPr>
        <w:t>del UIT</w:t>
      </w:r>
      <w:r w:rsidR="00A10309" w:rsidRPr="00F05461">
        <w:rPr>
          <w:lang w:val="es-ES"/>
        </w:rPr>
        <w:noBreakHyphen/>
      </w:r>
      <w:r w:rsidR="00B1145C" w:rsidRPr="00F05461">
        <w:rPr>
          <w:lang w:val="es-ES"/>
        </w:rPr>
        <w:t>D.</w:t>
      </w:r>
    </w:p>
    <w:p w14:paraId="4977B787" w14:textId="72C58FA8" w:rsidR="00B1145C" w:rsidRPr="00F05461" w:rsidRDefault="00B1145C" w:rsidP="003E558F">
      <w:pPr>
        <w:pStyle w:val="enumlev1"/>
        <w:rPr>
          <w:lang w:val="es-ES"/>
        </w:rPr>
      </w:pPr>
      <w:r w:rsidRPr="00F05461">
        <w:rPr>
          <w:lang w:val="es-ES"/>
        </w:rPr>
        <w:t>•</w:t>
      </w:r>
      <w:r w:rsidRPr="00F05461">
        <w:rPr>
          <w:lang w:val="es-ES"/>
        </w:rPr>
        <w:tab/>
      </w:r>
      <w:r w:rsidRPr="00F05461">
        <w:rPr>
          <w:b/>
          <w:bCs/>
          <w:lang w:val="es-ES"/>
        </w:rPr>
        <w:t>Normas estadísticas:</w:t>
      </w:r>
      <w:r w:rsidRPr="00F05461">
        <w:rPr>
          <w:lang w:val="es-ES"/>
        </w:rPr>
        <w:t xml:space="preserve"> </w:t>
      </w:r>
      <w:r w:rsidR="00296F03" w:rsidRPr="00F05461">
        <w:rPr>
          <w:lang w:val="es-ES"/>
        </w:rPr>
        <w:t>la UIT</w:t>
      </w:r>
      <w:r w:rsidRPr="00F05461">
        <w:rPr>
          <w:lang w:val="es-ES"/>
        </w:rPr>
        <w:t xml:space="preserve"> define y actualiza las </w:t>
      </w:r>
      <w:hyperlink r:id="rId242" w:history="1">
        <w:r w:rsidRPr="00F05461">
          <w:rPr>
            <w:rStyle w:val="Hyperlink"/>
            <w:rFonts w:eastAsia="Times New Roman" w:cs="Times New Roman"/>
            <w:szCs w:val="20"/>
            <w:lang w:val="es-ES"/>
          </w:rPr>
          <w:t>normas estadísticas</w:t>
        </w:r>
      </w:hyperlink>
      <w:r w:rsidRPr="00F05461">
        <w:rPr>
          <w:lang w:val="es-ES"/>
        </w:rPr>
        <w:t xml:space="preserve"> internacionales para los indicadores de TIC a través del Grupo de Expertos en Indicadores de Telecomunicaciones/TIC (GEIT) y el Grupo de Expertos en Indicadores de TIC en el Hogar (GEH).</w:t>
      </w:r>
    </w:p>
    <w:p w14:paraId="10C8A46A" w14:textId="108A43CA" w:rsidR="00B1145C" w:rsidRPr="00F05461" w:rsidRDefault="00B1145C" w:rsidP="003E558F">
      <w:pPr>
        <w:pStyle w:val="enumlev1"/>
        <w:rPr>
          <w:lang w:val="es-ES"/>
        </w:rPr>
      </w:pPr>
      <w:r w:rsidRPr="00F05461">
        <w:rPr>
          <w:lang w:val="es-ES"/>
        </w:rPr>
        <w:t>•</w:t>
      </w:r>
      <w:r w:rsidRPr="00F05461">
        <w:rPr>
          <w:lang w:val="es-ES"/>
        </w:rPr>
        <w:tab/>
      </w:r>
      <w:r w:rsidRPr="00F05461">
        <w:rPr>
          <w:b/>
          <w:bCs/>
          <w:lang w:val="es-ES"/>
        </w:rPr>
        <w:t>Recopilación y difusión de datos:</w:t>
      </w:r>
      <w:r w:rsidRPr="00F05461">
        <w:rPr>
          <w:lang w:val="es-ES"/>
        </w:rPr>
        <w:t xml:space="preserve"> </w:t>
      </w:r>
      <w:r w:rsidR="00296F03" w:rsidRPr="00F05461">
        <w:rPr>
          <w:lang w:val="es-ES"/>
        </w:rPr>
        <w:t>la UIT</w:t>
      </w:r>
      <w:r w:rsidRPr="00F05461">
        <w:rPr>
          <w:lang w:val="es-ES"/>
        </w:rPr>
        <w:t xml:space="preserve"> compila estadísticas para cientos de indicadores de TIC, sobre la base de los datos recabados de más de 200</w:t>
      </w:r>
      <w:r w:rsidR="00E9599E" w:rsidRPr="00F05461">
        <w:rPr>
          <w:lang w:val="es-ES"/>
        </w:rPr>
        <w:t> </w:t>
      </w:r>
      <w:r w:rsidRPr="00F05461">
        <w:rPr>
          <w:lang w:val="es-ES"/>
        </w:rPr>
        <w:t xml:space="preserve">economías; calcula estimaciones a nivel mundial, regional y por grupo de países. Todos los datos pueden consultarse gratuitamente en el </w:t>
      </w:r>
      <w:hyperlink r:id="rId243" w:history="1">
        <w:r w:rsidRPr="00F05461">
          <w:rPr>
            <w:rStyle w:val="Hyperlink"/>
            <w:rFonts w:eastAsia="Times New Roman" w:cs="Times New Roman"/>
            <w:szCs w:val="20"/>
            <w:lang w:val="es-ES"/>
          </w:rPr>
          <w:t xml:space="preserve">Centro de datos de </w:t>
        </w:r>
        <w:r w:rsidR="00296F03" w:rsidRPr="00F05461">
          <w:rPr>
            <w:rStyle w:val="Hyperlink"/>
            <w:rFonts w:eastAsia="Times New Roman" w:cs="Times New Roman"/>
            <w:szCs w:val="20"/>
            <w:lang w:val="es-ES"/>
          </w:rPr>
          <w:t>la UIT</w:t>
        </w:r>
      </w:hyperlink>
      <w:r w:rsidRPr="00F05461">
        <w:rPr>
          <w:lang w:val="es-ES"/>
        </w:rPr>
        <w:t>.</w:t>
      </w:r>
    </w:p>
    <w:p w14:paraId="7C583F56" w14:textId="34B8504F" w:rsidR="00B1145C" w:rsidRPr="00F05461" w:rsidRDefault="00B1145C" w:rsidP="003E558F">
      <w:pPr>
        <w:pStyle w:val="enumlev1"/>
        <w:rPr>
          <w:lang w:val="es-ES"/>
        </w:rPr>
      </w:pPr>
      <w:r w:rsidRPr="00F05461">
        <w:rPr>
          <w:lang w:val="es-ES"/>
        </w:rPr>
        <w:t>•</w:t>
      </w:r>
      <w:r w:rsidRPr="00F05461">
        <w:rPr>
          <w:lang w:val="es-ES"/>
        </w:rPr>
        <w:tab/>
      </w:r>
      <w:r w:rsidRPr="00F05461">
        <w:rPr>
          <w:b/>
          <w:bCs/>
          <w:lang w:val="es-ES"/>
        </w:rPr>
        <w:t>Análisis e investigación:</w:t>
      </w:r>
      <w:r w:rsidRPr="00F05461">
        <w:rPr>
          <w:lang w:val="es-ES"/>
        </w:rPr>
        <w:t xml:space="preserve"> </w:t>
      </w:r>
      <w:r w:rsidR="006A7BC4" w:rsidRPr="00F05461">
        <w:rPr>
          <w:lang w:val="es-ES"/>
        </w:rPr>
        <w:t xml:space="preserve">las </w:t>
      </w:r>
      <w:r>
        <w:fldChar w:fldCharType="begin"/>
      </w:r>
      <w:r w:rsidRPr="009A0A46">
        <w:rPr>
          <w:lang w:val="es-ES"/>
        </w:rPr>
        <w:instrText>HYPERLINK "https://www.itu.int/en/ITU-D/Statistics/Pages/publications/default.aspx"</w:instrText>
      </w:r>
      <w:r>
        <w:fldChar w:fldCharType="separate"/>
      </w:r>
      <w:r w:rsidRPr="00F05461">
        <w:rPr>
          <w:rStyle w:val="Hyperlink"/>
          <w:rFonts w:eastAsia="Times New Roman" w:cs="Times New Roman"/>
          <w:szCs w:val="20"/>
          <w:lang w:val="es-ES"/>
        </w:rPr>
        <w:t>publicaciones</w:t>
      </w:r>
      <w:r>
        <w:fldChar w:fldCharType="end"/>
      </w:r>
      <w:r w:rsidRPr="00F05461">
        <w:rPr>
          <w:lang w:val="es-ES"/>
        </w:rPr>
        <w:t xml:space="preserve"> de la serie </w:t>
      </w:r>
      <w:bookmarkStart w:id="74" w:name="_Hlk226712926"/>
      <w:r w:rsidRPr="00F05461">
        <w:rPr>
          <w:i/>
          <w:iCs/>
          <w:lang w:val="es-ES"/>
        </w:rPr>
        <w:t>Measuring Digital Development</w:t>
      </w:r>
      <w:bookmarkEnd w:id="74"/>
      <w:r w:rsidRPr="00F05461">
        <w:rPr>
          <w:lang w:val="es-ES"/>
        </w:rPr>
        <w:t xml:space="preserve"> evalúan el estado de la conectividad mundial, abordan temas específicos e identifican soluciones.</w:t>
      </w:r>
    </w:p>
    <w:p w14:paraId="6082B55C" w14:textId="6A1AC003" w:rsidR="00B1145C" w:rsidRPr="00F05461" w:rsidRDefault="00B1145C" w:rsidP="003E558F">
      <w:pPr>
        <w:pStyle w:val="enumlev1"/>
        <w:rPr>
          <w:lang w:val="es-ES"/>
        </w:rPr>
      </w:pPr>
      <w:r w:rsidRPr="00F05461">
        <w:rPr>
          <w:lang w:val="es-ES"/>
        </w:rPr>
        <w:t>•</w:t>
      </w:r>
      <w:r w:rsidRPr="00F05461">
        <w:rPr>
          <w:lang w:val="es-ES"/>
        </w:rPr>
        <w:tab/>
      </w:r>
      <w:r w:rsidRPr="00F05461">
        <w:rPr>
          <w:b/>
          <w:bCs/>
          <w:lang w:val="es-ES"/>
        </w:rPr>
        <w:t>Ciencia de datos para estadísticas oficiales:</w:t>
      </w:r>
      <w:r w:rsidRPr="00F05461">
        <w:rPr>
          <w:lang w:val="es-ES"/>
        </w:rPr>
        <w:t xml:space="preserve"> </w:t>
      </w:r>
      <w:r w:rsidR="006A7BC4" w:rsidRPr="00F05461">
        <w:rPr>
          <w:lang w:val="es-ES"/>
        </w:rPr>
        <w:t xml:space="preserve">la </w:t>
      </w:r>
      <w:hyperlink r:id="rId244" w:history="1">
        <w:r w:rsidRPr="00F05461">
          <w:rPr>
            <w:rStyle w:val="Hyperlink"/>
            <w:rFonts w:eastAsia="Times New Roman" w:cs="Times New Roman"/>
            <w:szCs w:val="20"/>
            <w:lang w:val="es-ES"/>
          </w:rPr>
          <w:t>práctica de la ciencia de datos</w:t>
        </w:r>
      </w:hyperlink>
      <w:r w:rsidRPr="00F05461">
        <w:rPr>
          <w:lang w:val="es-ES"/>
        </w:rPr>
        <w:t xml:space="preserve"> de </w:t>
      </w:r>
      <w:r w:rsidR="00296F03" w:rsidRPr="00F05461">
        <w:rPr>
          <w:lang w:val="es-ES"/>
        </w:rPr>
        <w:t>la UIT</w:t>
      </w:r>
      <w:r w:rsidRPr="00F05461">
        <w:rPr>
          <w:lang w:val="es-ES"/>
        </w:rPr>
        <w:t xml:space="preserve"> utiliza macrodatos y métodos nuevos para mejorar la exactitud, la puntualidad y el nivel de detalle de las estadísticas sobre TIC.</w:t>
      </w:r>
    </w:p>
    <w:p w14:paraId="117472A6" w14:textId="387AE7B6" w:rsidR="00B1145C" w:rsidRPr="00F05461" w:rsidRDefault="00B1145C" w:rsidP="003E558F">
      <w:pPr>
        <w:pStyle w:val="enumlev1"/>
        <w:rPr>
          <w:lang w:val="es-ES"/>
        </w:rPr>
      </w:pPr>
      <w:r w:rsidRPr="00F05461">
        <w:rPr>
          <w:lang w:val="es-ES"/>
        </w:rPr>
        <w:t>•</w:t>
      </w:r>
      <w:r w:rsidRPr="00F05461">
        <w:rPr>
          <w:lang w:val="es-ES"/>
        </w:rPr>
        <w:tab/>
      </w:r>
      <w:r w:rsidRPr="00F05461">
        <w:rPr>
          <w:b/>
          <w:bCs/>
          <w:lang w:val="es-ES"/>
        </w:rPr>
        <w:t>Desarrollo de capacidad y asistencia técnica:</w:t>
      </w:r>
      <w:r w:rsidRPr="00F05461">
        <w:rPr>
          <w:lang w:val="es-ES"/>
        </w:rPr>
        <w:t xml:space="preserve"> </w:t>
      </w:r>
      <w:r w:rsidR="00296F03" w:rsidRPr="00F05461">
        <w:rPr>
          <w:lang w:val="es-ES"/>
        </w:rPr>
        <w:t>la UIT</w:t>
      </w:r>
      <w:r w:rsidRPr="00F05461">
        <w:rPr>
          <w:lang w:val="es-ES"/>
        </w:rPr>
        <w:t xml:space="preserve"> presta </w:t>
      </w:r>
      <w:hyperlink r:id="rId245" w:history="1">
        <w:r w:rsidRPr="00F05461">
          <w:rPr>
            <w:rStyle w:val="Hyperlink"/>
            <w:rFonts w:eastAsia="Times New Roman" w:cs="Times New Roman"/>
            <w:szCs w:val="20"/>
            <w:lang w:val="es-ES"/>
          </w:rPr>
          <w:t>apoyo</w:t>
        </w:r>
      </w:hyperlink>
      <w:r w:rsidRPr="00F05461">
        <w:rPr>
          <w:lang w:val="es-ES"/>
        </w:rPr>
        <w:t xml:space="preserve"> a la comunidad estadística y otras partes interesadas, incluidos los responsables de formular políticas, mediante la elaboración de documentación técnica, materiales de formación, cursos en línea y talleres y la prestación de asistencia técnica.</w:t>
      </w:r>
    </w:p>
    <w:p w14:paraId="3B5F172F" w14:textId="57A63600" w:rsidR="00B1145C" w:rsidRPr="00F05461" w:rsidRDefault="00B1145C" w:rsidP="003E558F">
      <w:pPr>
        <w:pStyle w:val="enumlev1"/>
        <w:rPr>
          <w:lang w:val="es-ES"/>
        </w:rPr>
      </w:pPr>
      <w:r w:rsidRPr="00F05461">
        <w:rPr>
          <w:lang w:val="es-ES"/>
        </w:rPr>
        <w:t>•</w:t>
      </w:r>
      <w:r w:rsidRPr="00F05461">
        <w:rPr>
          <w:lang w:val="es-ES"/>
        </w:rPr>
        <w:tab/>
      </w:r>
      <w:r w:rsidRPr="00F05461">
        <w:rPr>
          <w:b/>
          <w:bCs/>
          <w:lang w:val="es-ES"/>
        </w:rPr>
        <w:t>Cooperación y compromiso mundiales:</w:t>
      </w:r>
      <w:r w:rsidRPr="00F05461">
        <w:rPr>
          <w:lang w:val="es-ES"/>
        </w:rPr>
        <w:t xml:space="preserve"> </w:t>
      </w:r>
      <w:r w:rsidR="006A7BC4" w:rsidRPr="00F05461">
        <w:rPr>
          <w:lang w:val="es-ES"/>
        </w:rPr>
        <w:t xml:space="preserve">la </w:t>
      </w:r>
      <w:r w:rsidRPr="00F05461">
        <w:rPr>
          <w:lang w:val="es-ES"/>
        </w:rPr>
        <w:t>División de Datos y Análisis de las</w:t>
      </w:r>
      <w:r w:rsidR="008A4871" w:rsidRPr="00F05461">
        <w:rPr>
          <w:lang w:val="es-ES"/>
        </w:rPr>
        <w:t> </w:t>
      </w:r>
      <w:r w:rsidRPr="00F05461">
        <w:rPr>
          <w:lang w:val="es-ES"/>
        </w:rPr>
        <w:t xml:space="preserve">TIC de </w:t>
      </w:r>
      <w:r w:rsidR="00296F03" w:rsidRPr="00F05461">
        <w:rPr>
          <w:lang w:val="es-ES"/>
        </w:rPr>
        <w:t>la UIT</w:t>
      </w:r>
      <w:r w:rsidRPr="00F05461">
        <w:rPr>
          <w:lang w:val="es-ES"/>
        </w:rPr>
        <w:t xml:space="preserve"> organiza diferentes eventos, como el Simposio Mundial sobre Indicadores de Telecomunicaciones/TIC (</w:t>
      </w:r>
      <w:hyperlink r:id="rId246" w:history="1">
        <w:r w:rsidRPr="00F05461">
          <w:rPr>
            <w:rStyle w:val="Hyperlink"/>
            <w:rFonts w:eastAsia="Times New Roman" w:cs="Times New Roman"/>
            <w:szCs w:val="20"/>
            <w:lang w:val="es-ES"/>
          </w:rPr>
          <w:t>SMIT</w:t>
        </w:r>
      </w:hyperlink>
      <w:r w:rsidRPr="00F05461">
        <w:rPr>
          <w:lang w:val="es-ES"/>
        </w:rPr>
        <w:t>), un importante evento mundial sobre estadísticas de las</w:t>
      </w:r>
      <w:r w:rsidR="00E9599E" w:rsidRPr="00F05461">
        <w:rPr>
          <w:lang w:val="es-ES"/>
        </w:rPr>
        <w:t> </w:t>
      </w:r>
      <w:r w:rsidRPr="00F05461">
        <w:rPr>
          <w:lang w:val="es-ES"/>
        </w:rPr>
        <w:t xml:space="preserve">TIC, y </w:t>
      </w:r>
      <w:hyperlink r:id="rId247" w:history="1">
        <w:r w:rsidRPr="00F05461">
          <w:rPr>
            <w:rStyle w:val="Hyperlink"/>
            <w:rFonts w:eastAsia="Times New Roman" w:cs="Times New Roman"/>
            <w:szCs w:val="20"/>
            <w:lang w:val="es-ES"/>
          </w:rPr>
          <w:t>coopera</w:t>
        </w:r>
      </w:hyperlink>
      <w:r w:rsidRPr="00F05461">
        <w:rPr>
          <w:lang w:val="es-ES"/>
        </w:rPr>
        <w:t xml:space="preserve"> con diversas organizaciones para movilizar recursos, avanzar en la programa de estadística, aprovechar sinergias, ampliar iniciativas y maximizar el impacto.</w:t>
      </w:r>
    </w:p>
    <w:p w14:paraId="4A09277D" w14:textId="77777777" w:rsidR="00B1145C" w:rsidRPr="00F05461" w:rsidRDefault="00B1145C" w:rsidP="003E558F">
      <w:pPr>
        <w:pStyle w:val="Heading2"/>
        <w:rPr>
          <w:lang w:val="es-ES"/>
        </w:rPr>
      </w:pPr>
      <w:bookmarkStart w:id="75" w:name="_Toc227137477"/>
      <w:r w:rsidRPr="00F05461">
        <w:rPr>
          <w:lang w:val="es-ES"/>
        </w:rPr>
        <w:t>4.6</w:t>
      </w:r>
      <w:r w:rsidRPr="00F05461">
        <w:rPr>
          <w:lang w:val="es-ES"/>
        </w:rPr>
        <w:tab/>
        <w:t>Capacitación y competencias digitales</w:t>
      </w:r>
      <w:bookmarkEnd w:id="75"/>
    </w:p>
    <w:p w14:paraId="5C3CAFD7" w14:textId="291F09D1" w:rsidR="00B1145C" w:rsidRPr="00F05461" w:rsidRDefault="00B1145C" w:rsidP="00B1145C">
      <w:pPr>
        <w:rPr>
          <w:lang w:val="es-ES"/>
        </w:rPr>
      </w:pPr>
      <w:r w:rsidRPr="00F05461">
        <w:rPr>
          <w:lang w:val="es-ES"/>
        </w:rPr>
        <w:t>La capacitación, el programa más destacado del</w:t>
      </w:r>
      <w:r w:rsidR="00C0551E" w:rsidRPr="00F05461">
        <w:rPr>
          <w:lang w:val="es-ES"/>
        </w:rPr>
        <w:t> </w:t>
      </w:r>
      <w:r w:rsidRPr="00F05461">
        <w:rPr>
          <w:lang w:val="es-ES"/>
        </w:rPr>
        <w:t>UIT-D, tiene por objeto lograr una sociedad digitalmente competente en la que todas las personas puedan mejorar sus vidas por conducto de las competencias digitales y los conocimientos tecnológicos. Para ello, es preciso fortalecer las capacidades de los profesionales de las</w:t>
      </w:r>
      <w:r w:rsidR="008A4871" w:rsidRPr="00F05461">
        <w:rPr>
          <w:lang w:val="es-ES"/>
        </w:rPr>
        <w:t> </w:t>
      </w:r>
      <w:r w:rsidRPr="00F05461">
        <w:rPr>
          <w:lang w:val="es-ES"/>
        </w:rPr>
        <w:t>TIC y las telecomunicaciones, potenciar la alfabetización digital de los ciudadanos y crear recursos de conocimiento.</w:t>
      </w:r>
    </w:p>
    <w:p w14:paraId="1F32A53F" w14:textId="7B476543" w:rsidR="00B1145C" w:rsidRPr="00F05461" w:rsidRDefault="00B1145C" w:rsidP="00B1145C">
      <w:pPr>
        <w:rPr>
          <w:lang w:val="es-ES"/>
        </w:rPr>
      </w:pPr>
      <w:r w:rsidRPr="00F05461">
        <w:rPr>
          <w:lang w:val="es-ES"/>
        </w:rPr>
        <w:t xml:space="preserve">El </w:t>
      </w:r>
      <w:hyperlink r:id="rId248" w:history="1">
        <w:r w:rsidRPr="00F05461">
          <w:rPr>
            <w:rStyle w:val="Hyperlink"/>
            <w:rFonts w:eastAsia="Times New Roman" w:cs="Times New Roman"/>
            <w:szCs w:val="20"/>
            <w:lang w:val="es-ES"/>
          </w:rPr>
          <w:t xml:space="preserve">portal de la Academia de </w:t>
        </w:r>
        <w:r w:rsidR="00296F03" w:rsidRPr="00F05461">
          <w:rPr>
            <w:rStyle w:val="Hyperlink"/>
            <w:rFonts w:eastAsia="Times New Roman" w:cs="Times New Roman"/>
            <w:szCs w:val="20"/>
            <w:lang w:val="es-ES"/>
          </w:rPr>
          <w:t>la UIT</w:t>
        </w:r>
      </w:hyperlink>
      <w:r w:rsidRPr="00F05461">
        <w:rPr>
          <w:lang w:val="es-ES"/>
        </w:rPr>
        <w:t xml:space="preserve"> es la principal puerta de entrada a las actividades de capacitación y formación de </w:t>
      </w:r>
      <w:r w:rsidR="00296F03" w:rsidRPr="00F05461">
        <w:rPr>
          <w:lang w:val="es-ES"/>
        </w:rPr>
        <w:t>la UIT</w:t>
      </w:r>
      <w:r w:rsidRPr="00F05461">
        <w:rPr>
          <w:lang w:val="es-ES"/>
        </w:rPr>
        <w:t xml:space="preserve">. Permite que los profesionales de TIC y encargados de la formulación de políticas accedan a oportunidades de creación de capacidad con metodologías diversas y adaptadas a estilos de aprendizaje diferentes, como cursos en línea con docente, cursos autogestionados y cursos presenciales. El amplísimo catálogo de formaciones abarca un gran abanico de temas de relevancia para los Miembros de </w:t>
      </w:r>
      <w:r w:rsidR="00296F03" w:rsidRPr="00F05461">
        <w:rPr>
          <w:lang w:val="es-ES"/>
        </w:rPr>
        <w:t>la UIT</w:t>
      </w:r>
      <w:r w:rsidRPr="00F05461">
        <w:rPr>
          <w:lang w:val="es-ES"/>
        </w:rPr>
        <w:t>, como son la</w:t>
      </w:r>
      <w:r w:rsidR="008A4871" w:rsidRPr="00F05461">
        <w:rPr>
          <w:lang w:val="es-ES"/>
        </w:rPr>
        <w:t> </w:t>
      </w:r>
      <w:r w:rsidRPr="00F05461">
        <w:rPr>
          <w:lang w:val="es-ES"/>
        </w:rPr>
        <w:t xml:space="preserve">IA, la ciberseguridad, los residuos electrónicos, la gestión del espectro, la transformación digital, las comunicaciones por satélite, las telecomunicaciones de </w:t>
      </w:r>
      <w:r w:rsidRPr="00F05461">
        <w:rPr>
          <w:lang w:val="es-ES"/>
        </w:rPr>
        <w:lastRenderedPageBreak/>
        <w:t>emergencia, la gobernanza de datos, la medición de las</w:t>
      </w:r>
      <w:r w:rsidR="008A4871" w:rsidRPr="00F05461">
        <w:rPr>
          <w:lang w:val="es-ES"/>
        </w:rPr>
        <w:t> </w:t>
      </w:r>
      <w:r w:rsidRPr="00F05461">
        <w:rPr>
          <w:lang w:val="es-ES"/>
        </w:rPr>
        <w:t>TIC, la política y la reglamentación y la banda ancha fija e inalámbrica, entre otros muchos.</w:t>
      </w:r>
    </w:p>
    <w:p w14:paraId="74FA2911" w14:textId="2B05A852" w:rsidR="00B1145C" w:rsidRPr="00F05461" w:rsidRDefault="00B1145C" w:rsidP="00B1145C">
      <w:pPr>
        <w:rPr>
          <w:lang w:val="es-ES"/>
        </w:rPr>
      </w:pPr>
      <w:r w:rsidRPr="00F05461">
        <w:rPr>
          <w:lang w:val="es-ES"/>
        </w:rPr>
        <w:t xml:space="preserve">En los últimos años la Academia de </w:t>
      </w:r>
      <w:r w:rsidR="00296F03" w:rsidRPr="00F05461">
        <w:rPr>
          <w:lang w:val="es-ES"/>
        </w:rPr>
        <w:t>la UIT</w:t>
      </w:r>
      <w:r w:rsidRPr="00F05461">
        <w:rPr>
          <w:lang w:val="es-ES"/>
        </w:rPr>
        <w:t xml:space="preserve"> ha experimentado un fuerte crecimiento. Entre marzo </w:t>
      </w:r>
      <w:r w:rsidR="00B933C5" w:rsidRPr="00F05461">
        <w:rPr>
          <w:lang w:val="es-ES"/>
        </w:rPr>
        <w:t>de 202</w:t>
      </w:r>
      <w:r w:rsidR="00711F8C" w:rsidRPr="00F05461">
        <w:rPr>
          <w:lang w:val="es-ES"/>
        </w:rPr>
        <w:t>2</w:t>
      </w:r>
      <w:r w:rsidRPr="00F05461">
        <w:rPr>
          <w:lang w:val="es-ES"/>
        </w:rPr>
        <w:t xml:space="preserve"> y diciembre </w:t>
      </w:r>
      <w:r w:rsidR="00B933C5" w:rsidRPr="00F05461">
        <w:rPr>
          <w:lang w:val="es-ES"/>
        </w:rPr>
        <w:t>de 202</w:t>
      </w:r>
      <w:r w:rsidR="00711F8C" w:rsidRPr="00F05461">
        <w:rPr>
          <w:lang w:val="es-ES"/>
        </w:rPr>
        <w:t>5</w:t>
      </w:r>
      <w:r w:rsidRPr="00F05461">
        <w:rPr>
          <w:lang w:val="es-ES"/>
        </w:rPr>
        <w:t xml:space="preserve">, la Academia de </w:t>
      </w:r>
      <w:r w:rsidR="00296F03" w:rsidRPr="00F05461">
        <w:rPr>
          <w:lang w:val="es-ES"/>
        </w:rPr>
        <w:t>la UIT</w:t>
      </w:r>
      <w:r w:rsidRPr="00F05461">
        <w:rPr>
          <w:lang w:val="es-ES"/>
        </w:rPr>
        <w:t xml:space="preserve"> triplicó su comunidad, pasando de 26</w:t>
      </w:r>
      <w:r w:rsidR="00FD399B" w:rsidRPr="00F05461">
        <w:rPr>
          <w:lang w:val="es-ES"/>
        </w:rPr>
        <w:t> </w:t>
      </w:r>
      <w:r w:rsidRPr="00F05461">
        <w:rPr>
          <w:lang w:val="es-ES"/>
        </w:rPr>
        <w:t>000 a 83</w:t>
      </w:r>
      <w:r w:rsidR="00FD399B" w:rsidRPr="00F05461">
        <w:rPr>
          <w:lang w:val="es-ES"/>
        </w:rPr>
        <w:t> </w:t>
      </w:r>
      <w:r w:rsidRPr="00F05461">
        <w:rPr>
          <w:lang w:val="es-ES"/>
        </w:rPr>
        <w:t>000</w:t>
      </w:r>
      <w:r w:rsidR="00FD399B" w:rsidRPr="00F05461">
        <w:rPr>
          <w:lang w:val="es-ES"/>
        </w:rPr>
        <w:t> </w:t>
      </w:r>
      <w:r w:rsidRPr="00F05461">
        <w:rPr>
          <w:lang w:val="es-ES"/>
        </w:rPr>
        <w:t xml:space="preserve">usuarios inscritos. </w:t>
      </w:r>
      <w:proofErr w:type="gramStart"/>
      <w:r w:rsidRPr="00F05461">
        <w:rPr>
          <w:lang w:val="es-ES"/>
        </w:rPr>
        <w:t>A día de hoy</w:t>
      </w:r>
      <w:proofErr w:type="gramEnd"/>
      <w:r w:rsidRPr="00F05461">
        <w:rPr>
          <w:lang w:val="es-ES"/>
        </w:rPr>
        <w:t>, más del 80</w:t>
      </w:r>
      <w:r w:rsidR="002D15BD" w:rsidRPr="00F05461">
        <w:rPr>
          <w:lang w:val="es-ES"/>
        </w:rPr>
        <w:t> </w:t>
      </w:r>
      <w:r w:rsidR="001D269F" w:rsidRPr="00F05461">
        <w:rPr>
          <w:lang w:val="es-ES"/>
        </w:rPr>
        <w:t>por ciento</w:t>
      </w:r>
      <w:r w:rsidRPr="00F05461">
        <w:rPr>
          <w:lang w:val="es-ES"/>
        </w:rPr>
        <w:t xml:space="preserve"> de los participantes procede de países en desarrollo y la cuota de mujeres entre los nuevos usuarios llega al 40</w:t>
      </w:r>
      <w:r w:rsidR="00E9599E" w:rsidRPr="00F05461">
        <w:rPr>
          <w:lang w:val="es-ES"/>
        </w:rPr>
        <w:t> </w:t>
      </w:r>
      <w:r w:rsidR="001D269F" w:rsidRPr="00F05461">
        <w:rPr>
          <w:lang w:val="es-ES"/>
        </w:rPr>
        <w:t>por ciento</w:t>
      </w:r>
      <w:r w:rsidRPr="00F05461">
        <w:rPr>
          <w:lang w:val="es-ES"/>
        </w:rPr>
        <w:t>, casi el doble del nivel registrado en 2019. Cada año se organizan unos 150</w:t>
      </w:r>
      <w:r w:rsidR="00E9599E" w:rsidRPr="00F05461">
        <w:rPr>
          <w:lang w:val="es-ES"/>
        </w:rPr>
        <w:t> </w:t>
      </w:r>
      <w:r w:rsidRPr="00F05461">
        <w:rPr>
          <w:lang w:val="es-ES"/>
        </w:rPr>
        <w:t>cursos: el 70</w:t>
      </w:r>
      <w:r w:rsidR="00E9599E" w:rsidRPr="00F05461">
        <w:rPr>
          <w:lang w:val="es-ES"/>
        </w:rPr>
        <w:t> </w:t>
      </w:r>
      <w:r w:rsidR="001D269F" w:rsidRPr="00F05461">
        <w:rPr>
          <w:lang w:val="es-ES"/>
        </w:rPr>
        <w:t>por ciento</w:t>
      </w:r>
      <w:r w:rsidRPr="00F05461">
        <w:rPr>
          <w:lang w:val="es-ES"/>
        </w:rPr>
        <w:t xml:space="preserve"> de ellos se imparten en línea, con las consiguientes adaptabilidad y accesibilidad, y el resto se realizan de forma presencial, lo que permite interacciones más profundas entre los participantes. Las tasas de finalización han superado sistemáticamente los niveles de referencia de la industria, y pasaron del 68</w:t>
      </w:r>
      <w:r w:rsidR="00E9599E" w:rsidRPr="00F05461">
        <w:rPr>
          <w:lang w:val="es-ES"/>
        </w:rPr>
        <w:t> </w:t>
      </w:r>
      <w:r w:rsidR="001D269F" w:rsidRPr="00F05461">
        <w:rPr>
          <w:lang w:val="es-ES"/>
        </w:rPr>
        <w:t>por ciento</w:t>
      </w:r>
      <w:r w:rsidRPr="00F05461">
        <w:rPr>
          <w:lang w:val="es-ES"/>
        </w:rPr>
        <w:t xml:space="preserve"> para los cursos presenciales y el 28</w:t>
      </w:r>
      <w:r w:rsidR="00E9599E" w:rsidRPr="00F05461">
        <w:rPr>
          <w:lang w:val="es-ES"/>
        </w:rPr>
        <w:t> </w:t>
      </w:r>
      <w:r w:rsidR="001D269F" w:rsidRPr="00F05461">
        <w:rPr>
          <w:lang w:val="es-ES"/>
        </w:rPr>
        <w:t>por ciento</w:t>
      </w:r>
      <w:r w:rsidRPr="00F05461">
        <w:rPr>
          <w:lang w:val="es-ES"/>
        </w:rPr>
        <w:t xml:space="preserve"> para los cursos en línea en 2023 al 90</w:t>
      </w:r>
      <w:r w:rsidR="00E9599E" w:rsidRPr="00F05461">
        <w:rPr>
          <w:lang w:val="es-ES"/>
        </w:rPr>
        <w:t> </w:t>
      </w:r>
      <w:r w:rsidR="001D269F" w:rsidRPr="00F05461">
        <w:rPr>
          <w:lang w:val="es-ES"/>
        </w:rPr>
        <w:t>por ciento</w:t>
      </w:r>
      <w:r w:rsidRPr="00F05461">
        <w:rPr>
          <w:lang w:val="es-ES"/>
        </w:rPr>
        <w:t xml:space="preserve"> y el 45</w:t>
      </w:r>
      <w:r w:rsidR="00E9599E" w:rsidRPr="00F05461">
        <w:rPr>
          <w:lang w:val="es-ES"/>
        </w:rPr>
        <w:t> </w:t>
      </w:r>
      <w:r w:rsidR="001D269F" w:rsidRPr="00F05461">
        <w:rPr>
          <w:lang w:val="es-ES"/>
        </w:rPr>
        <w:t>por ciento</w:t>
      </w:r>
      <w:r w:rsidRPr="00F05461">
        <w:rPr>
          <w:lang w:val="es-ES"/>
        </w:rPr>
        <w:t xml:space="preserve"> respectivamente en 2025. Este aumento refleja los constantes esfuerzos invertidos en mejorar la calidad de los cursos e intensificar la implicación de los alumnos. En total, se han emitido más de 17</w:t>
      </w:r>
      <w:r w:rsidR="00E9599E" w:rsidRPr="00F05461">
        <w:rPr>
          <w:lang w:val="es-ES"/>
        </w:rPr>
        <w:t> </w:t>
      </w:r>
      <w:r w:rsidRPr="00F05461">
        <w:rPr>
          <w:lang w:val="es-ES"/>
        </w:rPr>
        <w:t>500</w:t>
      </w:r>
      <w:r w:rsidR="00E9599E" w:rsidRPr="00F05461">
        <w:rPr>
          <w:lang w:val="es-ES"/>
        </w:rPr>
        <w:t> </w:t>
      </w:r>
      <w:r w:rsidRPr="00F05461">
        <w:rPr>
          <w:lang w:val="es-ES"/>
        </w:rPr>
        <w:t>certificaciones des</w:t>
      </w:r>
      <w:r w:rsidR="00B933C5" w:rsidRPr="00F05461">
        <w:rPr>
          <w:lang w:val="es-ES"/>
        </w:rPr>
        <w:t>de 202</w:t>
      </w:r>
      <w:r w:rsidR="00711F8C" w:rsidRPr="00F05461">
        <w:rPr>
          <w:lang w:val="es-ES"/>
        </w:rPr>
        <w:t>3</w:t>
      </w:r>
      <w:r w:rsidRPr="00F05461">
        <w:rPr>
          <w:lang w:val="es-ES"/>
        </w:rPr>
        <w:t xml:space="preserve"> que reconocen los logros de los participantes y les ofrecen credenciales para avanzar en sus carreras.</w:t>
      </w:r>
    </w:p>
    <w:p w14:paraId="3C066072" w14:textId="06F79982" w:rsidR="00B1145C" w:rsidRPr="00F05461" w:rsidRDefault="00B1145C" w:rsidP="00E9599E">
      <w:pPr>
        <w:pStyle w:val="Figuretitle"/>
        <w:rPr>
          <w:lang w:val="es-ES"/>
        </w:rPr>
      </w:pPr>
      <w:r w:rsidRPr="00F05461">
        <w:rPr>
          <w:lang w:val="es-ES"/>
        </w:rPr>
        <w:t xml:space="preserve">Inscripciones en la Academia de </w:t>
      </w:r>
      <w:r w:rsidR="00296F03" w:rsidRPr="00F05461">
        <w:rPr>
          <w:lang w:val="es-ES"/>
        </w:rPr>
        <w:t>la UIT</w:t>
      </w:r>
      <w:r w:rsidRPr="00F05461">
        <w:rPr>
          <w:lang w:val="es-ES"/>
        </w:rPr>
        <w:t>, 2012-2024</w:t>
      </w:r>
    </w:p>
    <w:p w14:paraId="46103071" w14:textId="3FBDC1C2" w:rsidR="0015191D" w:rsidRPr="00F05461" w:rsidRDefault="0015191D" w:rsidP="0015191D">
      <w:pPr>
        <w:pStyle w:val="Figure"/>
        <w:rPr>
          <w:lang w:val="es-ES"/>
        </w:rPr>
      </w:pPr>
      <w:r w:rsidRPr="00F05461">
        <w:rPr>
          <w:noProof/>
          <w:lang w:val="es-ES"/>
        </w:rPr>
        <w:drawing>
          <wp:inline distT="0" distB="0" distL="0" distR="0" wp14:anchorId="280D1DDD" wp14:editId="6DBF0DA9">
            <wp:extent cx="4402800" cy="225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402800" cy="2250000"/>
                    </a:xfrm>
                    <a:prstGeom prst="rect">
                      <a:avLst/>
                    </a:prstGeom>
                    <a:noFill/>
                  </pic:spPr>
                </pic:pic>
              </a:graphicData>
            </a:graphic>
          </wp:inline>
        </w:drawing>
      </w:r>
    </w:p>
    <w:p w14:paraId="5AD0939D" w14:textId="26F4AE7B" w:rsidR="00B1145C" w:rsidRPr="00F05461" w:rsidRDefault="00B1145C" w:rsidP="004160E8">
      <w:pPr>
        <w:pStyle w:val="Figurelegend"/>
        <w:jc w:val="center"/>
        <w:rPr>
          <w:i/>
          <w:iCs/>
          <w:color w:val="1F497D"/>
          <w:lang w:val="es-ES"/>
        </w:rPr>
      </w:pPr>
      <w:r w:rsidRPr="00F05461">
        <w:rPr>
          <w:i/>
          <w:iCs/>
          <w:color w:val="1F497D"/>
          <w:lang w:val="es-ES"/>
        </w:rPr>
        <w:t>Figura</w:t>
      </w:r>
      <w:r w:rsidR="001473A4" w:rsidRPr="00F05461">
        <w:rPr>
          <w:i/>
          <w:iCs/>
          <w:color w:val="1F497D"/>
          <w:lang w:val="es-ES"/>
        </w:rPr>
        <w:t> </w:t>
      </w:r>
      <w:r w:rsidRPr="00F05461">
        <w:rPr>
          <w:i/>
          <w:iCs/>
          <w:color w:val="1F497D"/>
          <w:lang w:val="es-ES"/>
        </w:rPr>
        <w:t xml:space="preserve">16. Inscripciones en la Academia de </w:t>
      </w:r>
      <w:r w:rsidR="00296F03" w:rsidRPr="00F05461">
        <w:rPr>
          <w:i/>
          <w:iCs/>
          <w:color w:val="1F497D"/>
          <w:lang w:val="es-ES"/>
        </w:rPr>
        <w:t>la UIT</w:t>
      </w:r>
      <w:r w:rsidRPr="00F05461">
        <w:rPr>
          <w:i/>
          <w:iCs/>
          <w:color w:val="1F497D"/>
          <w:lang w:val="es-ES"/>
        </w:rPr>
        <w:t>, 2012-2024</w:t>
      </w:r>
    </w:p>
    <w:p w14:paraId="0EBBD690" w14:textId="25FBD74C" w:rsidR="00B1145C" w:rsidRPr="00F05461" w:rsidRDefault="00B1145C" w:rsidP="00E9599E">
      <w:pPr>
        <w:pStyle w:val="Normalaftertitle"/>
        <w:rPr>
          <w:lang w:val="es-ES"/>
        </w:rPr>
      </w:pPr>
      <w:r w:rsidRPr="00F05461">
        <w:rPr>
          <w:lang w:val="es-ES"/>
        </w:rPr>
        <w:t xml:space="preserve">Uno de los mecanismos más utilizados por </w:t>
      </w:r>
      <w:r w:rsidR="00296F03" w:rsidRPr="00F05461">
        <w:rPr>
          <w:lang w:val="es-ES"/>
        </w:rPr>
        <w:t>la UIT</w:t>
      </w:r>
      <w:r w:rsidRPr="00F05461">
        <w:rPr>
          <w:lang w:val="es-ES"/>
        </w:rPr>
        <w:t xml:space="preserve"> para impartir formación es la red de </w:t>
      </w:r>
      <w:hyperlink r:id="rId250" w:history="1">
        <w:r w:rsidR="006C3476" w:rsidRPr="00F05461">
          <w:rPr>
            <w:rStyle w:val="Hyperlink"/>
            <w:rFonts w:eastAsia="Times New Roman" w:cs="Times New Roman"/>
            <w:szCs w:val="20"/>
            <w:lang w:val="es-ES"/>
          </w:rPr>
          <w:t>Centros de Formación de la Academia (CFA) de la UIT</w:t>
        </w:r>
      </w:hyperlink>
      <w:r w:rsidRPr="00F05461">
        <w:rPr>
          <w:lang w:val="es-ES"/>
        </w:rPr>
        <w:t>, que se puso en marcha en 2023 en respuesta a los resultados de la</w:t>
      </w:r>
      <w:r w:rsidR="00BE5909" w:rsidRPr="00F05461">
        <w:rPr>
          <w:lang w:val="es-ES"/>
        </w:rPr>
        <w:t> </w:t>
      </w:r>
      <w:r w:rsidRPr="00F05461">
        <w:rPr>
          <w:lang w:val="es-ES"/>
        </w:rPr>
        <w:t xml:space="preserve">CMDT </w:t>
      </w:r>
      <w:r w:rsidR="00B933C5" w:rsidRPr="00F05461">
        <w:rPr>
          <w:lang w:val="es-ES"/>
        </w:rPr>
        <w:t>de 202</w:t>
      </w:r>
      <w:r w:rsidR="00711F8C" w:rsidRPr="00F05461">
        <w:rPr>
          <w:lang w:val="es-ES"/>
        </w:rPr>
        <w:t>2</w:t>
      </w:r>
      <w:r w:rsidRPr="00F05461">
        <w:rPr>
          <w:lang w:val="es-ES"/>
        </w:rPr>
        <w:t>.</w:t>
      </w:r>
    </w:p>
    <w:p w14:paraId="572314B3" w14:textId="78BCC622" w:rsidR="00B1145C" w:rsidRPr="00F05461" w:rsidRDefault="00B1145C" w:rsidP="00B1145C">
      <w:pPr>
        <w:rPr>
          <w:lang w:val="es-ES"/>
        </w:rPr>
      </w:pPr>
      <w:r w:rsidRPr="00F05461">
        <w:rPr>
          <w:lang w:val="es-ES"/>
        </w:rPr>
        <w:t>Los</w:t>
      </w:r>
      <w:r w:rsidR="00BE5909" w:rsidRPr="00F05461">
        <w:rPr>
          <w:lang w:val="es-ES"/>
        </w:rPr>
        <w:t> </w:t>
      </w:r>
      <w:r w:rsidRPr="00F05461">
        <w:rPr>
          <w:lang w:val="es-ES"/>
        </w:rPr>
        <w:t xml:space="preserve">CFA son instituciones internacionalmente reconocidas que ofrecen formación de alta calidad al personal de nivel intermedio y superior, centrándose especialmente en las necesidades de los países en desarrollo. Estos socios para el desarrollo de capacidades básicas de </w:t>
      </w:r>
      <w:r w:rsidR="00296F03" w:rsidRPr="00F05461">
        <w:rPr>
          <w:lang w:val="es-ES"/>
        </w:rPr>
        <w:t>la UIT</w:t>
      </w:r>
      <w:r w:rsidRPr="00F05461">
        <w:rPr>
          <w:lang w:val="es-ES"/>
        </w:rPr>
        <w:t xml:space="preserve"> imparten casi el 40</w:t>
      </w:r>
      <w:r w:rsidR="002D15BD" w:rsidRPr="00F05461">
        <w:rPr>
          <w:lang w:val="es-ES"/>
        </w:rPr>
        <w:t> </w:t>
      </w:r>
      <w:r w:rsidR="001D269F" w:rsidRPr="00F05461">
        <w:rPr>
          <w:lang w:val="es-ES"/>
        </w:rPr>
        <w:t>por ciento</w:t>
      </w:r>
      <w:r w:rsidRPr="00F05461">
        <w:rPr>
          <w:lang w:val="es-ES"/>
        </w:rPr>
        <w:t xml:space="preserve"> de todos los cursos en la plataforma de la Academia de </w:t>
      </w:r>
      <w:r w:rsidR="00296F03" w:rsidRPr="00F05461">
        <w:rPr>
          <w:lang w:val="es-ES"/>
        </w:rPr>
        <w:t>la UIT</w:t>
      </w:r>
      <w:r w:rsidRPr="00F05461">
        <w:rPr>
          <w:lang w:val="es-ES"/>
        </w:rPr>
        <w:t xml:space="preserve">, y el resto es organizado por </w:t>
      </w:r>
      <w:r w:rsidR="00296F03" w:rsidRPr="00F05461">
        <w:rPr>
          <w:lang w:val="es-ES"/>
        </w:rPr>
        <w:t>la UIT</w:t>
      </w:r>
      <w:r w:rsidRPr="00F05461">
        <w:rPr>
          <w:lang w:val="es-ES"/>
        </w:rPr>
        <w:t xml:space="preserve"> y otros socios. Gracias a esta red, la Academia de </w:t>
      </w:r>
      <w:r w:rsidR="00296F03" w:rsidRPr="00F05461">
        <w:rPr>
          <w:lang w:val="es-ES"/>
        </w:rPr>
        <w:t>la UIT</w:t>
      </w:r>
      <w:r w:rsidRPr="00F05461">
        <w:rPr>
          <w:lang w:val="es-ES"/>
        </w:rPr>
        <w:t xml:space="preserve"> se integra en un ecosistema diverso que combina el alcance mundial con la experiencia regional. Los</w:t>
      </w:r>
      <w:r w:rsidR="00BE5909" w:rsidRPr="00F05461">
        <w:rPr>
          <w:lang w:val="es-ES"/>
        </w:rPr>
        <w:t> </w:t>
      </w:r>
      <w:r w:rsidRPr="00F05461">
        <w:rPr>
          <w:lang w:val="es-ES"/>
        </w:rPr>
        <w:t xml:space="preserve">CFA ofrecen cursos sobre los temas más importantes identificados por los Miembros de </w:t>
      </w:r>
      <w:r w:rsidR="00296F03" w:rsidRPr="00F05461">
        <w:rPr>
          <w:lang w:val="es-ES"/>
        </w:rPr>
        <w:t>la UIT</w:t>
      </w:r>
      <w:r w:rsidRPr="00F05461">
        <w:rPr>
          <w:lang w:val="es-ES"/>
        </w:rPr>
        <w:t xml:space="preserve">, incluidas la política y la reglamentación, la infraestructura de red, la gestión del espectro, la ciberseguridad, las tecnologías incipientes, la </w:t>
      </w:r>
      <w:proofErr w:type="gramStart"/>
      <w:r w:rsidRPr="00F05461">
        <w:rPr>
          <w:lang w:val="es-ES"/>
        </w:rPr>
        <w:t>inclusión digital y los servicios digitales</w:t>
      </w:r>
      <w:proofErr w:type="gramEnd"/>
      <w:r w:rsidRPr="00F05461">
        <w:rPr>
          <w:lang w:val="es-ES"/>
        </w:rPr>
        <w:t>.</w:t>
      </w:r>
    </w:p>
    <w:p w14:paraId="77DDEE51" w14:textId="3308A11C" w:rsidR="00B1145C" w:rsidRPr="00F05461" w:rsidRDefault="00B1145C" w:rsidP="00B1145C">
      <w:pPr>
        <w:rPr>
          <w:lang w:val="es-ES"/>
        </w:rPr>
      </w:pPr>
      <w:r w:rsidRPr="00F05461">
        <w:rPr>
          <w:lang w:val="es-ES"/>
        </w:rPr>
        <w:lastRenderedPageBreak/>
        <w:t xml:space="preserve">Desde la puesta en marcha del programa en enero </w:t>
      </w:r>
      <w:r w:rsidR="00B933C5" w:rsidRPr="00F05461">
        <w:rPr>
          <w:lang w:val="es-ES"/>
        </w:rPr>
        <w:t>de 202</w:t>
      </w:r>
      <w:r w:rsidR="00711F8C" w:rsidRPr="00F05461">
        <w:rPr>
          <w:lang w:val="es-ES"/>
        </w:rPr>
        <w:t>3</w:t>
      </w:r>
      <w:r w:rsidRPr="00F05461">
        <w:rPr>
          <w:lang w:val="es-ES"/>
        </w:rPr>
        <w:t xml:space="preserve"> hasta diciembre </w:t>
      </w:r>
      <w:r w:rsidR="00B933C5" w:rsidRPr="00F05461">
        <w:rPr>
          <w:lang w:val="es-ES"/>
        </w:rPr>
        <w:t>de 202</w:t>
      </w:r>
      <w:r w:rsidR="00711F8C" w:rsidRPr="00F05461">
        <w:rPr>
          <w:lang w:val="es-ES"/>
        </w:rPr>
        <w:t>5</w:t>
      </w:r>
      <w:r w:rsidRPr="00F05461">
        <w:rPr>
          <w:lang w:val="es-ES"/>
        </w:rPr>
        <w:t>, los 14</w:t>
      </w:r>
      <w:r w:rsidR="002D15BD" w:rsidRPr="00F05461">
        <w:rPr>
          <w:lang w:val="es-ES"/>
        </w:rPr>
        <w:t> </w:t>
      </w:r>
      <w:r w:rsidRPr="00F05461">
        <w:rPr>
          <w:lang w:val="es-ES"/>
        </w:rPr>
        <w:t>centros han implementado 159</w:t>
      </w:r>
      <w:r w:rsidR="00BE5909" w:rsidRPr="00F05461">
        <w:rPr>
          <w:lang w:val="es-ES"/>
        </w:rPr>
        <w:t> </w:t>
      </w:r>
      <w:r w:rsidRPr="00F05461">
        <w:rPr>
          <w:lang w:val="es-ES"/>
        </w:rPr>
        <w:t>cursos y se han otorgado certificados a 4</w:t>
      </w:r>
      <w:r w:rsidR="00BE5909" w:rsidRPr="00F05461">
        <w:rPr>
          <w:lang w:val="es-ES"/>
        </w:rPr>
        <w:t> </w:t>
      </w:r>
      <w:r w:rsidRPr="00F05461">
        <w:rPr>
          <w:lang w:val="es-ES"/>
        </w:rPr>
        <w:t>048</w:t>
      </w:r>
      <w:r w:rsidR="00BE5909" w:rsidRPr="00F05461">
        <w:rPr>
          <w:lang w:val="es-ES"/>
        </w:rPr>
        <w:t> </w:t>
      </w:r>
      <w:r w:rsidRPr="00F05461">
        <w:rPr>
          <w:lang w:val="es-ES"/>
        </w:rPr>
        <w:t xml:space="preserve">participantes. La mayoría de los participantes en los cursos pertenecen a entidades del sector público (ministerios, autoridades reglamentarias) y entidades de telecomunicaciones, y en menor medida a instituciones académicas, el sector privado y otras organizaciones. Los participantes proceden de todos los Estados Miembros de </w:t>
      </w:r>
      <w:r w:rsidR="00296F03" w:rsidRPr="00F05461">
        <w:rPr>
          <w:lang w:val="es-ES"/>
        </w:rPr>
        <w:t>la UIT</w:t>
      </w:r>
      <w:r w:rsidRPr="00F05461">
        <w:rPr>
          <w:lang w:val="es-ES"/>
        </w:rPr>
        <w:t>, aunque en términos de distribución regional el 86</w:t>
      </w:r>
      <w:r w:rsidR="00E9599E" w:rsidRPr="00F05461">
        <w:rPr>
          <w:lang w:val="es-ES"/>
        </w:rPr>
        <w:t> </w:t>
      </w:r>
      <w:r w:rsidR="001D269F" w:rsidRPr="00F05461">
        <w:rPr>
          <w:lang w:val="es-ES"/>
        </w:rPr>
        <w:t>por ciento</w:t>
      </w:r>
      <w:r w:rsidRPr="00F05461">
        <w:rPr>
          <w:lang w:val="es-ES"/>
        </w:rPr>
        <w:t xml:space="preserve"> tiene su origen en África y, en menor medida, de las Américas y Asia-Pacífico (véase </w:t>
      </w:r>
      <w:r w:rsidR="00082665" w:rsidRPr="00F05461">
        <w:rPr>
          <w:lang w:val="es-ES"/>
        </w:rPr>
        <w:t xml:space="preserve">la </w:t>
      </w:r>
      <w:hyperlink w:anchor="Figure_17" w:history="1">
        <w:r w:rsidR="00082665" w:rsidRPr="00F05461">
          <w:rPr>
            <w:rStyle w:val="Hyperlink"/>
            <w:rFonts w:eastAsia="Times New Roman" w:cs="Times New Roman"/>
            <w:szCs w:val="20"/>
            <w:lang w:val="es-ES"/>
          </w:rPr>
          <w:t>Figura 17</w:t>
        </w:r>
      </w:hyperlink>
      <w:r w:rsidRPr="00F05461">
        <w:rPr>
          <w:lang w:val="es-ES"/>
        </w:rPr>
        <w:t>).</w:t>
      </w:r>
    </w:p>
    <w:p w14:paraId="180C8AB8" w14:textId="603BE3F3" w:rsidR="00B1145C" w:rsidRPr="00F05461" w:rsidRDefault="00B1145C" w:rsidP="00E9599E">
      <w:pPr>
        <w:pStyle w:val="Figuretitle"/>
        <w:rPr>
          <w:lang w:val="es-ES"/>
        </w:rPr>
      </w:pPr>
      <w:r w:rsidRPr="00F05461">
        <w:rPr>
          <w:lang w:val="es-ES"/>
        </w:rPr>
        <w:t xml:space="preserve">Participantes en cursos de los Centros de Formación de la Academia de </w:t>
      </w:r>
      <w:r w:rsidR="00296F03" w:rsidRPr="00F05461">
        <w:rPr>
          <w:lang w:val="es-ES"/>
        </w:rPr>
        <w:t>la UIT</w:t>
      </w:r>
      <w:r w:rsidRPr="00F05461">
        <w:rPr>
          <w:lang w:val="es-ES"/>
        </w:rPr>
        <w:t>, por región</w:t>
      </w:r>
    </w:p>
    <w:p w14:paraId="49C9C883" w14:textId="0AE123A0" w:rsidR="00ED04B8" w:rsidRPr="00ED04B8" w:rsidRDefault="00ED04B8" w:rsidP="00ED04B8">
      <w:pPr>
        <w:pStyle w:val="Figure"/>
        <w:rPr>
          <w:noProof/>
          <w:lang w:val="es-ES"/>
        </w:rPr>
      </w:pPr>
      <w:r>
        <w:rPr>
          <w:noProof/>
          <w:lang w:val="es-ES"/>
        </w:rPr>
        <w:drawing>
          <wp:inline distT="0" distB="0" distL="0" distR="0" wp14:anchorId="236ADE12" wp14:editId="7A2078AE">
            <wp:extent cx="3600000" cy="18324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600000" cy="1832400"/>
                    </a:xfrm>
                    <a:prstGeom prst="rect">
                      <a:avLst/>
                    </a:prstGeom>
                    <a:noFill/>
                  </pic:spPr>
                </pic:pic>
              </a:graphicData>
            </a:graphic>
          </wp:inline>
        </w:drawing>
      </w:r>
    </w:p>
    <w:p w14:paraId="41D2AB65" w14:textId="6E7781E5" w:rsidR="00B1145C" w:rsidRPr="00F05461" w:rsidRDefault="00B1145C" w:rsidP="00550AAF">
      <w:pPr>
        <w:pStyle w:val="Figurelegend"/>
        <w:jc w:val="center"/>
        <w:rPr>
          <w:i/>
          <w:iCs/>
          <w:color w:val="1F497D"/>
          <w:lang w:val="es-ES"/>
        </w:rPr>
      </w:pPr>
      <w:bookmarkStart w:id="76" w:name="Figure_17"/>
      <w:bookmarkEnd w:id="76"/>
      <w:r w:rsidRPr="00F05461">
        <w:rPr>
          <w:i/>
          <w:iCs/>
          <w:color w:val="1F497D"/>
          <w:lang w:val="es-ES"/>
        </w:rPr>
        <w:t>Figura</w:t>
      </w:r>
      <w:r w:rsidR="001473A4" w:rsidRPr="00F05461">
        <w:rPr>
          <w:i/>
          <w:iCs/>
          <w:color w:val="1F497D"/>
          <w:lang w:val="es-ES"/>
        </w:rPr>
        <w:t> </w:t>
      </w:r>
      <w:r w:rsidRPr="00F05461">
        <w:rPr>
          <w:i/>
          <w:iCs/>
          <w:color w:val="1F497D"/>
          <w:lang w:val="es-ES"/>
        </w:rPr>
        <w:t xml:space="preserve">17. Participantes en cursos de los Centros de Formación de la Academia de </w:t>
      </w:r>
      <w:r w:rsidR="00296F03" w:rsidRPr="00F05461">
        <w:rPr>
          <w:i/>
          <w:iCs/>
          <w:color w:val="1F497D"/>
          <w:lang w:val="es-ES"/>
        </w:rPr>
        <w:t>la UIT</w:t>
      </w:r>
      <w:r w:rsidRPr="00F05461">
        <w:rPr>
          <w:i/>
          <w:iCs/>
          <w:color w:val="1F497D"/>
          <w:lang w:val="es-ES"/>
        </w:rPr>
        <w:t>, por región</w:t>
      </w:r>
    </w:p>
    <w:p w14:paraId="4A0617B5" w14:textId="76C3CD38" w:rsidR="00B1145C" w:rsidRPr="00F05461" w:rsidRDefault="00B1145C" w:rsidP="00E9599E">
      <w:pPr>
        <w:pStyle w:val="Normalaftertitle"/>
        <w:rPr>
          <w:lang w:val="es-ES"/>
        </w:rPr>
      </w:pPr>
      <w:r w:rsidRPr="00F05461">
        <w:rPr>
          <w:lang w:val="es-ES"/>
        </w:rPr>
        <w:t xml:space="preserve">La </w:t>
      </w:r>
      <w:hyperlink r:id="rId252" w:history="1">
        <w:r w:rsidRPr="00F05461">
          <w:rPr>
            <w:rStyle w:val="Hyperlink"/>
            <w:rFonts w:eastAsia="Times New Roman" w:cs="Times New Roman"/>
            <w:szCs w:val="20"/>
            <w:lang w:val="es-ES"/>
          </w:rPr>
          <w:t>iniciativa Centros de Transformación Digital (CTD)</w:t>
        </w:r>
      </w:hyperlink>
      <w:r w:rsidRPr="00F05461">
        <w:rPr>
          <w:lang w:val="es-ES"/>
        </w:rPr>
        <w:t xml:space="preserve">, que </w:t>
      </w:r>
      <w:r w:rsidR="00296F03" w:rsidRPr="00F05461">
        <w:rPr>
          <w:lang w:val="es-ES"/>
        </w:rPr>
        <w:t>la UIT</w:t>
      </w:r>
      <w:r w:rsidRPr="00F05461">
        <w:rPr>
          <w:lang w:val="es-ES"/>
        </w:rPr>
        <w:t xml:space="preserve"> puso en marcha en septiembre de 2019 en asociación con Cisco, tiene el objetivo de apoyar a los países para fortalecer las capacidades digitales de la población, en particular de las comunidades rurales e insuficientemente atendidas. La </w:t>
      </w:r>
      <w:r w:rsidR="00550AAF" w:rsidRPr="00F05461">
        <w:rPr>
          <w:lang w:val="es-ES"/>
        </w:rPr>
        <w:t>i</w:t>
      </w:r>
      <w:r w:rsidRPr="00F05461">
        <w:rPr>
          <w:lang w:val="es-ES"/>
        </w:rPr>
        <w:t>niciativa opera a través de una red mundial de instituciones nacionales, los</w:t>
      </w:r>
      <w:r w:rsidR="00550AAF" w:rsidRPr="00F05461">
        <w:rPr>
          <w:lang w:val="es-ES"/>
        </w:rPr>
        <w:t> </w:t>
      </w:r>
      <w:r w:rsidRPr="00F05461">
        <w:rPr>
          <w:lang w:val="es-ES"/>
        </w:rPr>
        <w:t>CTD, que tienen el mandato de impartir programas de competencias digitales en sus países. Los</w:t>
      </w:r>
      <w:r w:rsidR="008A4871" w:rsidRPr="00F05461">
        <w:rPr>
          <w:lang w:val="es-ES"/>
        </w:rPr>
        <w:t> </w:t>
      </w:r>
      <w:r w:rsidRPr="00F05461">
        <w:rPr>
          <w:lang w:val="es-ES"/>
        </w:rPr>
        <w:t xml:space="preserve">CTD funcionan a nivel nacional y han demostrado que tienen la capacidad, la infraestructura y la experiencia necesarias para impartir formación básica e intermedia. Entre 2021 y 2025, la </w:t>
      </w:r>
      <w:r w:rsidR="00550AAF" w:rsidRPr="00F05461">
        <w:rPr>
          <w:lang w:val="es-ES"/>
        </w:rPr>
        <w:t>i</w:t>
      </w:r>
      <w:r w:rsidRPr="00F05461">
        <w:rPr>
          <w:lang w:val="es-ES"/>
        </w:rPr>
        <w:t>niciativa recibió un fuerte apoyo financiero del Gobierno de Noruega, complementado por el Fondo de Desarrollo de las</w:t>
      </w:r>
      <w:r w:rsidR="008A4871" w:rsidRPr="00F05461">
        <w:rPr>
          <w:lang w:val="es-ES"/>
        </w:rPr>
        <w:t> </w:t>
      </w:r>
      <w:r w:rsidRPr="00F05461">
        <w:rPr>
          <w:lang w:val="es-ES"/>
        </w:rPr>
        <w:t xml:space="preserve">TIC </w:t>
      </w:r>
      <w:r w:rsidR="00550AAF" w:rsidRPr="00F05461">
        <w:rPr>
          <w:lang w:val="es-ES"/>
        </w:rPr>
        <w:t xml:space="preserve">(FD-TIC) </w:t>
      </w:r>
      <w:r w:rsidRPr="00F05461">
        <w:rPr>
          <w:lang w:val="es-ES"/>
        </w:rPr>
        <w:t xml:space="preserve">de </w:t>
      </w:r>
      <w:r w:rsidR="00296F03" w:rsidRPr="00F05461">
        <w:rPr>
          <w:lang w:val="es-ES"/>
        </w:rPr>
        <w:t>la UIT</w:t>
      </w:r>
      <w:r w:rsidRPr="00F05461">
        <w:rPr>
          <w:lang w:val="es-ES"/>
        </w:rPr>
        <w:t>.</w:t>
      </w:r>
    </w:p>
    <w:p w14:paraId="66C868AC" w14:textId="5E5FAE68" w:rsidR="00B1145C" w:rsidRPr="00F05461" w:rsidRDefault="00B1145C" w:rsidP="00B1145C">
      <w:pPr>
        <w:rPr>
          <w:lang w:val="es-ES"/>
        </w:rPr>
      </w:pPr>
      <w:r w:rsidRPr="00F05461">
        <w:rPr>
          <w:lang w:val="es-ES"/>
        </w:rPr>
        <w:t xml:space="preserve">El número de CTD ha aumentado a 15 en total, que abarcan las regiones de África, las Américas, los Estados Árabes y Asia-Pacífico. Desde el inicio de la </w:t>
      </w:r>
      <w:r w:rsidR="00B77E42" w:rsidRPr="00F05461">
        <w:rPr>
          <w:lang w:val="es-ES"/>
        </w:rPr>
        <w:t>i</w:t>
      </w:r>
      <w:r w:rsidRPr="00F05461">
        <w:rPr>
          <w:lang w:val="es-ES"/>
        </w:rPr>
        <w:t xml:space="preserve">niciativa CTD en 2020 hasta finales de diciembre </w:t>
      </w:r>
      <w:r w:rsidR="00B933C5" w:rsidRPr="00F05461">
        <w:rPr>
          <w:lang w:val="es-ES"/>
        </w:rPr>
        <w:t>de 202</w:t>
      </w:r>
      <w:r w:rsidR="00711F8C" w:rsidRPr="00F05461">
        <w:rPr>
          <w:lang w:val="es-ES"/>
        </w:rPr>
        <w:t>5</w:t>
      </w:r>
      <w:r w:rsidRPr="00F05461">
        <w:rPr>
          <w:lang w:val="es-ES"/>
        </w:rPr>
        <w:t>, más de 610</w:t>
      </w:r>
      <w:r w:rsidR="00FD399B" w:rsidRPr="00F05461">
        <w:rPr>
          <w:lang w:val="es-ES"/>
        </w:rPr>
        <w:t> </w:t>
      </w:r>
      <w:r w:rsidRPr="00F05461">
        <w:rPr>
          <w:lang w:val="es-ES"/>
        </w:rPr>
        <w:t>000</w:t>
      </w:r>
      <w:r w:rsidR="00FD399B" w:rsidRPr="00F05461">
        <w:rPr>
          <w:lang w:val="es-ES"/>
        </w:rPr>
        <w:t> </w:t>
      </w:r>
      <w:r w:rsidRPr="00F05461">
        <w:rPr>
          <w:lang w:val="es-ES"/>
        </w:rPr>
        <w:t>participantes (53</w:t>
      </w:r>
      <w:r w:rsidR="001473A4" w:rsidRPr="00F05461">
        <w:rPr>
          <w:lang w:val="es-ES"/>
        </w:rPr>
        <w:t> </w:t>
      </w:r>
      <w:r w:rsidR="00BB3432" w:rsidRPr="00F05461">
        <w:rPr>
          <w:lang w:val="es-ES"/>
        </w:rPr>
        <w:t>por ciento</w:t>
      </w:r>
      <w:r w:rsidRPr="00F05461">
        <w:rPr>
          <w:lang w:val="es-ES"/>
        </w:rPr>
        <w:t xml:space="preserve"> mujeres) han recibido formación en competencias digitales básicas e intermedias.</w:t>
      </w:r>
    </w:p>
    <w:p w14:paraId="31647A3C" w14:textId="2242EC21" w:rsidR="00B1145C" w:rsidRPr="00F05461" w:rsidRDefault="00B1145C" w:rsidP="00B1145C">
      <w:pPr>
        <w:rPr>
          <w:lang w:val="es-ES"/>
        </w:rPr>
      </w:pPr>
      <w:r w:rsidRPr="00F05461">
        <w:rPr>
          <w:lang w:val="es-ES"/>
        </w:rPr>
        <w:t xml:space="preserve">Además de lograr la paridad de género de manera general, la impartición de formación a través de la </w:t>
      </w:r>
      <w:r w:rsidR="00550AAF" w:rsidRPr="00F05461">
        <w:rPr>
          <w:lang w:val="es-ES"/>
        </w:rPr>
        <w:t>i</w:t>
      </w:r>
      <w:r w:rsidRPr="00F05461">
        <w:rPr>
          <w:lang w:val="es-ES"/>
        </w:rPr>
        <w:t>niciativa ha aumentado en las comunidades rurales e insuficientemente atendidas dentro del radio de acción de los</w:t>
      </w:r>
      <w:r w:rsidR="008A4871" w:rsidRPr="00F05461">
        <w:rPr>
          <w:lang w:val="es-ES"/>
        </w:rPr>
        <w:t> </w:t>
      </w:r>
      <w:r w:rsidRPr="00F05461">
        <w:rPr>
          <w:lang w:val="es-ES"/>
        </w:rPr>
        <w:t>CTD. Esto incluye a los estudiantes, las personas con discapacidad (particularmente aquellas con deficiencia visual), los jóvenes y las microempresas y las pequeñas y medianas empresas. Además, formadores y profesores recibieron apoyo para la capacitación a fin de garantizar la impartición de una formación de alta calidad en esas comunidades.</w:t>
      </w:r>
    </w:p>
    <w:p w14:paraId="76B20AEA" w14:textId="610A87A3" w:rsidR="00B1145C" w:rsidRPr="00F05461" w:rsidRDefault="00B1145C" w:rsidP="00975F5B">
      <w:pPr>
        <w:keepNext/>
        <w:keepLines/>
        <w:rPr>
          <w:lang w:val="es-ES"/>
        </w:rPr>
      </w:pPr>
      <w:r w:rsidRPr="00F05461">
        <w:rPr>
          <w:lang w:val="es-ES"/>
        </w:rPr>
        <w:lastRenderedPageBreak/>
        <w:t xml:space="preserve">En el marco de esta iniciativa, </w:t>
      </w:r>
      <w:r w:rsidR="00296F03" w:rsidRPr="00F05461">
        <w:rPr>
          <w:lang w:val="es-ES"/>
        </w:rPr>
        <w:t>la UIT</w:t>
      </w:r>
      <w:r w:rsidRPr="00F05461">
        <w:rPr>
          <w:lang w:val="es-ES"/>
        </w:rPr>
        <w:t xml:space="preserve"> y Cisco facilitan oportunidades de contacto para los</w:t>
      </w:r>
      <w:r w:rsidR="008A4871" w:rsidRPr="00F05461">
        <w:rPr>
          <w:lang w:val="es-ES"/>
        </w:rPr>
        <w:t> </w:t>
      </w:r>
      <w:r w:rsidRPr="00F05461">
        <w:rPr>
          <w:lang w:val="es-ES"/>
        </w:rPr>
        <w:t>CTD organizando talleres presenciales y reuniones virtuales cada año. Estas reuniones contribuyen a fortalecer la red mundial de CTD y ofrecen una plataforma para analizar la aplicación, examinar los progresos y logros alcanzados y explorar nuevas ideas para apoyar la labor de los</w:t>
      </w:r>
      <w:r w:rsidR="008A4871" w:rsidRPr="00F05461">
        <w:rPr>
          <w:lang w:val="es-ES"/>
        </w:rPr>
        <w:t> </w:t>
      </w:r>
      <w:r w:rsidRPr="00F05461">
        <w:rPr>
          <w:lang w:val="es-ES"/>
        </w:rPr>
        <w:t>CTD. En 2023, 2024 y 2025, los talleres de la red mundial de CTD fueron organizados por el Departamento de Tecnologías de la Información y la Comunicación (CTD de la República de Filipinas); el Centro de Formación y Desarrollo de las</w:t>
      </w:r>
      <w:r w:rsidR="008A4871" w:rsidRPr="00F05461">
        <w:rPr>
          <w:lang w:val="es-ES"/>
        </w:rPr>
        <w:t> </w:t>
      </w:r>
      <w:r w:rsidRPr="00F05461">
        <w:rPr>
          <w:lang w:val="es-ES"/>
        </w:rPr>
        <w:t>TIC del Ministerio de Comunicaciones y Asuntos Digitales (CTD de Indonesia), en colaboración con Indosat Ooredoo Hutchison; y los Centros Tecnológicos Comunitarios (CTC de la República Dominicana), en colaboración con el Instituto Dominicano de las Telecomunicaciones (INDOTEL). Gracias a estas reuniones, los</w:t>
      </w:r>
      <w:r w:rsidR="008A4871" w:rsidRPr="00F05461">
        <w:rPr>
          <w:lang w:val="es-ES"/>
        </w:rPr>
        <w:t> </w:t>
      </w:r>
      <w:r w:rsidRPr="00F05461">
        <w:rPr>
          <w:lang w:val="es-ES"/>
        </w:rPr>
        <w:t>CTD tienen la oportunidad de encontrarse unos con otros de manera regular y seguir consolidando la comunidad de los</w:t>
      </w:r>
      <w:r w:rsidR="008A4871" w:rsidRPr="00F05461">
        <w:rPr>
          <w:lang w:val="es-ES"/>
        </w:rPr>
        <w:t> </w:t>
      </w:r>
      <w:r w:rsidRPr="00F05461">
        <w:rPr>
          <w:lang w:val="es-ES"/>
        </w:rPr>
        <w:t>CTD.</w:t>
      </w:r>
    </w:p>
    <w:p w14:paraId="275998EA" w14:textId="7A4C6D1C" w:rsidR="00B1145C" w:rsidRPr="00F05461" w:rsidRDefault="00B1145C" w:rsidP="00B1145C">
      <w:pPr>
        <w:rPr>
          <w:lang w:val="es-ES"/>
        </w:rPr>
      </w:pPr>
      <w:r w:rsidRPr="00F05461">
        <w:rPr>
          <w:lang w:val="es-ES"/>
        </w:rPr>
        <w:t xml:space="preserve">El Foro de Competencias Digitales de </w:t>
      </w:r>
      <w:r w:rsidR="00296F03" w:rsidRPr="00F05461">
        <w:rPr>
          <w:lang w:val="es-ES"/>
        </w:rPr>
        <w:t>la UIT</w:t>
      </w:r>
      <w:r w:rsidRPr="00F05461">
        <w:rPr>
          <w:lang w:val="es-ES"/>
        </w:rPr>
        <w:t xml:space="preserve"> es un evento mundial fundamental en que los Miembros de </w:t>
      </w:r>
      <w:r w:rsidR="00296F03" w:rsidRPr="00F05461">
        <w:rPr>
          <w:lang w:val="es-ES"/>
        </w:rPr>
        <w:t>la UIT</w:t>
      </w:r>
      <w:r w:rsidRPr="00F05461">
        <w:rPr>
          <w:lang w:val="es-ES"/>
        </w:rPr>
        <w:t xml:space="preserve"> y otras partes interesadas debaten acerca de las necesidades más acuciantes que deben abordarse para garantizar la universalidad de las competencias digitales y el cierre de la brecha mundial en la materia. El </w:t>
      </w:r>
      <w:hyperlink r:id="rId253" w:history="1">
        <w:r w:rsidRPr="00F05461">
          <w:rPr>
            <w:rStyle w:val="Hyperlink"/>
            <w:rFonts w:eastAsia="Times New Roman" w:cs="Times New Roman"/>
            <w:szCs w:val="20"/>
            <w:lang w:val="es-ES"/>
          </w:rPr>
          <w:t xml:space="preserve">Foro de Competencias Digitales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w:t>
        </w:r>
        <w:r w:rsidR="00B933C5" w:rsidRPr="00F05461">
          <w:rPr>
            <w:rStyle w:val="Hyperlink"/>
            <w:rFonts w:eastAsia="Times New Roman" w:cs="Times New Roman"/>
            <w:szCs w:val="20"/>
            <w:lang w:val="es-ES"/>
          </w:rPr>
          <w:t>de 202</w:t>
        </w:r>
        <w:r w:rsidR="00711F8C" w:rsidRPr="00F05461">
          <w:rPr>
            <w:rStyle w:val="Hyperlink"/>
            <w:rFonts w:eastAsia="Times New Roman" w:cs="Times New Roman"/>
            <w:szCs w:val="20"/>
            <w:lang w:val="es-ES"/>
          </w:rPr>
          <w:t>4</w:t>
        </w:r>
      </w:hyperlink>
      <w:r w:rsidRPr="00F05461">
        <w:rPr>
          <w:lang w:val="es-ES"/>
        </w:rPr>
        <w:t xml:space="preserve"> se celebró en Manama (Bahr</w:t>
      </w:r>
      <w:r w:rsidR="00AF0B87" w:rsidRPr="00F05461">
        <w:rPr>
          <w:lang w:val="es-ES"/>
        </w:rPr>
        <w:t>e</w:t>
      </w:r>
      <w:r w:rsidRPr="00F05461">
        <w:rPr>
          <w:lang w:val="es-ES"/>
        </w:rPr>
        <w:t xml:space="preserve">in), del 17 al 19 de septiembre </w:t>
      </w:r>
      <w:r w:rsidR="00B933C5" w:rsidRPr="00F05461">
        <w:rPr>
          <w:lang w:val="es-ES"/>
        </w:rPr>
        <w:t>de 202</w:t>
      </w:r>
      <w:r w:rsidR="00711F8C" w:rsidRPr="00F05461">
        <w:rPr>
          <w:lang w:val="es-ES"/>
        </w:rPr>
        <w:t>4</w:t>
      </w:r>
      <w:r w:rsidRPr="00F05461">
        <w:rPr>
          <w:lang w:val="es-ES"/>
        </w:rPr>
        <w:t xml:space="preserve">. Fue organizado por </w:t>
      </w:r>
      <w:r w:rsidR="00296F03" w:rsidRPr="00F05461">
        <w:rPr>
          <w:lang w:val="es-ES"/>
        </w:rPr>
        <w:t>la UIT</w:t>
      </w:r>
      <w:r w:rsidRPr="00F05461">
        <w:rPr>
          <w:lang w:val="es-ES"/>
        </w:rPr>
        <w:t xml:space="preserve"> y acogido por la Autoridad de Reglamentación de las Telecomunicaciones (TRA) del Reino de Bahr</w:t>
      </w:r>
      <w:r w:rsidR="00944A5D" w:rsidRPr="00F05461">
        <w:rPr>
          <w:lang w:val="es-ES"/>
        </w:rPr>
        <w:t>e</w:t>
      </w:r>
      <w:r w:rsidRPr="00F05461">
        <w:rPr>
          <w:lang w:val="es-ES"/>
        </w:rPr>
        <w:t xml:space="preserve">in. Con el tema </w:t>
      </w:r>
      <w:r w:rsidR="007921C3" w:rsidRPr="00F05461">
        <w:rPr>
          <w:lang w:val="es-ES"/>
        </w:rPr>
        <w:t>«</w:t>
      </w:r>
      <w:r w:rsidRPr="00F05461">
        <w:rPr>
          <w:lang w:val="es-ES"/>
        </w:rPr>
        <w:t>Desarrollo de competencias para la transformación digital</w:t>
      </w:r>
      <w:r w:rsidR="007921C3" w:rsidRPr="00F05461">
        <w:rPr>
          <w:lang w:val="es-ES"/>
        </w:rPr>
        <w:t>»</w:t>
      </w:r>
      <w:r w:rsidRPr="00F05461">
        <w:rPr>
          <w:lang w:val="es-ES"/>
        </w:rPr>
        <w:t>, el Foro reunió, presencialmente y en línea, a más de 700</w:t>
      </w:r>
      <w:r w:rsidR="001473A4" w:rsidRPr="00F05461">
        <w:rPr>
          <w:lang w:val="es-ES"/>
        </w:rPr>
        <w:t> </w:t>
      </w:r>
      <w:r w:rsidRPr="00F05461">
        <w:rPr>
          <w:lang w:val="es-ES"/>
        </w:rPr>
        <w:t>participantes de 66</w:t>
      </w:r>
      <w:r w:rsidR="001473A4" w:rsidRPr="00F05461">
        <w:rPr>
          <w:lang w:val="es-ES"/>
        </w:rPr>
        <w:t> </w:t>
      </w:r>
      <w:r w:rsidRPr="00F05461">
        <w:rPr>
          <w:lang w:val="es-ES"/>
        </w:rPr>
        <w:t>países, representantes de organizaciones públicas y privadas, universidades, institutos de investigación y otras organizaciones regionales e internacionales.</w:t>
      </w:r>
    </w:p>
    <w:p w14:paraId="334BFDAF" w14:textId="783AD52C" w:rsidR="00B1145C" w:rsidRPr="00F05461" w:rsidRDefault="00B1145C" w:rsidP="00B1145C">
      <w:pPr>
        <w:rPr>
          <w:lang w:val="es-ES"/>
        </w:rPr>
      </w:pPr>
      <w:r w:rsidRPr="00F05461">
        <w:rPr>
          <w:lang w:val="es-ES"/>
        </w:rPr>
        <w:t xml:space="preserve">El </w:t>
      </w:r>
      <w:hyperlink r:id="rId254" w:history="1">
        <w:r w:rsidRPr="00F05461">
          <w:rPr>
            <w:rStyle w:val="Hyperlink"/>
            <w:rFonts w:eastAsia="Times New Roman" w:cs="Times New Roman"/>
            <w:szCs w:val="20"/>
            <w:lang w:val="es-ES"/>
          </w:rPr>
          <w:t xml:space="preserve">Conjunto de herramientas sobre competencias digitales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2024</w:t>
        </w:r>
      </w:hyperlink>
      <w:r w:rsidRPr="00F05461">
        <w:rPr>
          <w:lang w:val="es-ES"/>
        </w:rPr>
        <w:t xml:space="preserve"> se presentó durante el Foro de Competencias Digitales </w:t>
      </w:r>
      <w:r w:rsidR="00B933C5" w:rsidRPr="00F05461">
        <w:rPr>
          <w:lang w:val="es-ES"/>
        </w:rPr>
        <w:t>de 202</w:t>
      </w:r>
      <w:r w:rsidR="00711F8C" w:rsidRPr="00F05461">
        <w:rPr>
          <w:lang w:val="es-ES"/>
        </w:rPr>
        <w:t>4</w:t>
      </w:r>
      <w:r w:rsidRPr="00F05461">
        <w:rPr>
          <w:lang w:val="es-ES"/>
        </w:rPr>
        <w:t xml:space="preserve">. El Conjunto de herramientas ofrece una guía exhaustiva y por etapas para ayudar a los Miembros de </w:t>
      </w:r>
      <w:r w:rsidR="00296F03" w:rsidRPr="00F05461">
        <w:rPr>
          <w:lang w:val="es-ES"/>
        </w:rPr>
        <w:t>la UIT</w:t>
      </w:r>
      <w:r w:rsidRPr="00F05461">
        <w:rPr>
          <w:lang w:val="es-ES"/>
        </w:rPr>
        <w:t xml:space="preserve"> a crear estrategias y políticas nacionales eficaces en el ámbito de las competencias digitales. Este recurso práctico ofrece ideas y ejemplos prácticos, lo que lo convierte en una herramienta valiosa para los países en todas las etapas del desarrollo digital. En 2025 se preparó un curso de formación en línea sobre el Conjunto de herramientas, que estará disponible a principios </w:t>
      </w:r>
      <w:r w:rsidR="00B933C5" w:rsidRPr="00F05461">
        <w:rPr>
          <w:lang w:val="es-ES"/>
        </w:rPr>
        <w:t>de 202</w:t>
      </w:r>
      <w:r w:rsidR="00711F8C" w:rsidRPr="00F05461">
        <w:rPr>
          <w:lang w:val="es-ES"/>
        </w:rPr>
        <w:t>6</w:t>
      </w:r>
      <w:r w:rsidRPr="00F05461">
        <w:rPr>
          <w:lang w:val="es-ES"/>
        </w:rPr>
        <w:t>.</w:t>
      </w:r>
    </w:p>
    <w:p w14:paraId="054FF0A7" w14:textId="367FF5EB" w:rsidR="00B1145C" w:rsidRPr="00F05461" w:rsidRDefault="00B1145C" w:rsidP="00B1145C">
      <w:pPr>
        <w:rPr>
          <w:lang w:val="es-ES"/>
        </w:rPr>
      </w:pPr>
      <w:r w:rsidRPr="00F05461">
        <w:rPr>
          <w:lang w:val="es-ES"/>
        </w:rPr>
        <w:t>En el marco de</w:t>
      </w:r>
      <w:r w:rsidR="00D17382">
        <w:rPr>
          <w:lang w:val="es-ES"/>
        </w:rPr>
        <w:t>l</w:t>
      </w:r>
      <w:r w:rsidRPr="00F05461">
        <w:rPr>
          <w:lang w:val="es-ES"/>
        </w:rPr>
        <w:t xml:space="preserve"> componente de </w:t>
      </w:r>
      <w:r w:rsidR="00D17382">
        <w:rPr>
          <w:lang w:val="es-ES"/>
        </w:rPr>
        <w:t xml:space="preserve">capacitación de </w:t>
      </w:r>
      <w:r w:rsidRPr="00F05461">
        <w:rPr>
          <w:lang w:val="es-ES"/>
        </w:rPr>
        <w:t>la iniciativa</w:t>
      </w:r>
      <w:r w:rsidR="00E610E2" w:rsidRPr="00F05461">
        <w:rPr>
          <w:lang w:val="es-ES"/>
        </w:rPr>
        <w:t> </w:t>
      </w:r>
      <w:r w:rsidR="00D17382">
        <w:rPr>
          <w:lang w:val="es-ES"/>
        </w:rPr>
        <w:t xml:space="preserve">Reducción de la Brecha de Normalización se </w:t>
      </w:r>
      <w:r w:rsidRPr="00F05461">
        <w:rPr>
          <w:lang w:val="es-ES"/>
        </w:rPr>
        <w:t xml:space="preserve">proporciona materiales de formación con acceso a la carta a través de los </w:t>
      </w:r>
      <w:hyperlink r:id="rId255" w:history="1">
        <w:r w:rsidRPr="00F05461">
          <w:rPr>
            <w:rStyle w:val="Hyperlink"/>
            <w:rFonts w:eastAsia="Times New Roman" w:cs="Times New Roman"/>
            <w:szCs w:val="20"/>
            <w:lang w:val="es-ES"/>
          </w:rPr>
          <w:t xml:space="preserve">recursos </w:t>
        </w:r>
        <w:r w:rsidR="00A10309" w:rsidRPr="00F05461">
          <w:rPr>
            <w:rStyle w:val="Hyperlink"/>
            <w:rFonts w:eastAsia="Times New Roman" w:cs="Times New Roman"/>
            <w:szCs w:val="20"/>
            <w:lang w:val="es-ES"/>
          </w:rPr>
          <w:t>del UIT</w:t>
        </w:r>
        <w:r w:rsidR="00A10309"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T</w:t>
        </w:r>
      </w:hyperlink>
      <w:r w:rsidRPr="00F05461">
        <w:rPr>
          <w:lang w:val="es-ES"/>
        </w:rPr>
        <w:t xml:space="preserve">, en </w:t>
      </w:r>
      <w:r w:rsidR="00D17382">
        <w:rPr>
          <w:lang w:val="es-ES"/>
        </w:rPr>
        <w:t>los</w:t>
      </w:r>
      <w:r w:rsidR="00D17382" w:rsidRPr="00F05461">
        <w:rPr>
          <w:lang w:val="es-ES"/>
        </w:rPr>
        <w:t xml:space="preserve"> </w:t>
      </w:r>
      <w:r w:rsidRPr="00F05461">
        <w:rPr>
          <w:lang w:val="es-ES"/>
        </w:rPr>
        <w:t xml:space="preserve">seis </w:t>
      </w:r>
      <w:r w:rsidR="00D17382">
        <w:rPr>
          <w:lang w:val="es-ES"/>
        </w:rPr>
        <w:t xml:space="preserve">idiomas </w:t>
      </w:r>
      <w:r w:rsidRPr="00F05461">
        <w:rPr>
          <w:lang w:val="es-ES"/>
        </w:rPr>
        <w:t xml:space="preserve">oficiales, cuando es posible. Existe una continua colaboración entre las Oficinas de Normalización y Desarrollo de </w:t>
      </w:r>
      <w:r w:rsidR="00296F03" w:rsidRPr="00F05461">
        <w:rPr>
          <w:lang w:val="es-ES"/>
        </w:rPr>
        <w:t>la UIT</w:t>
      </w:r>
      <w:r w:rsidRPr="00F05461">
        <w:rPr>
          <w:lang w:val="es-ES"/>
        </w:rPr>
        <w:t xml:space="preserve"> (TSB y BDT) y las Oficinas Regionales de </w:t>
      </w:r>
      <w:r w:rsidR="00296F03" w:rsidRPr="00F05461">
        <w:rPr>
          <w:lang w:val="es-ES"/>
        </w:rPr>
        <w:t>la UIT</w:t>
      </w:r>
      <w:r w:rsidRPr="00F05461">
        <w:rPr>
          <w:lang w:val="es-ES"/>
        </w:rPr>
        <w:t xml:space="preserve"> para sensibilizar y crear capacidad a nivel regional.</w:t>
      </w:r>
    </w:p>
    <w:p w14:paraId="66CFF47B" w14:textId="63AA6CF3" w:rsidR="00B1145C" w:rsidRPr="00F05461" w:rsidRDefault="00B1145C" w:rsidP="00B1145C">
      <w:pPr>
        <w:rPr>
          <w:lang w:val="es-ES"/>
        </w:rPr>
      </w:pPr>
      <w:r w:rsidRPr="00F05461">
        <w:rPr>
          <w:lang w:val="es-ES"/>
        </w:rPr>
        <w:t xml:space="preserve">En la </w:t>
      </w:r>
      <w:hyperlink w:anchor="_4.8.2_AI_for" w:history="1">
        <w:r w:rsidR="00026A3E" w:rsidRPr="00F05461">
          <w:rPr>
            <w:rStyle w:val="Hyperlink"/>
            <w:rFonts w:eastAsia="Times New Roman" w:cs="Times New Roman"/>
            <w:szCs w:val="20"/>
            <w:lang w:val="es-ES"/>
          </w:rPr>
          <w:t>s</w:t>
        </w:r>
        <w:r w:rsidRPr="00F05461">
          <w:rPr>
            <w:rStyle w:val="Hyperlink"/>
            <w:rFonts w:eastAsia="Times New Roman" w:cs="Times New Roman"/>
            <w:szCs w:val="20"/>
            <w:lang w:val="es-ES"/>
          </w:rPr>
          <w:t>ección</w:t>
        </w:r>
        <w:r w:rsidR="00026A3E" w:rsidRPr="00F05461">
          <w:rPr>
            <w:rStyle w:val="Hyperlink"/>
            <w:rFonts w:eastAsia="Times New Roman" w:cs="Times New Roman"/>
            <w:szCs w:val="20"/>
            <w:lang w:val="es-ES"/>
          </w:rPr>
          <w:t> </w:t>
        </w:r>
        <w:r w:rsidRPr="00F05461">
          <w:rPr>
            <w:rStyle w:val="Hyperlink"/>
            <w:rFonts w:eastAsia="Times New Roman" w:cs="Times New Roman"/>
            <w:szCs w:val="20"/>
            <w:lang w:val="es-ES"/>
          </w:rPr>
          <w:t>4.8.2</w:t>
        </w:r>
      </w:hyperlink>
      <w:r w:rsidRPr="00F05461">
        <w:rPr>
          <w:lang w:val="es-ES"/>
        </w:rPr>
        <w:t xml:space="preserve"> pueden consultarse más ejemplos de iniciativas y programas de capacitación en curso (</w:t>
      </w:r>
      <w:hyperlink r:id="rId256" w:history="1">
        <w:r w:rsidR="00203659" w:rsidRPr="00F05461">
          <w:rPr>
            <w:rStyle w:val="Hyperlink"/>
            <w:rFonts w:eastAsia="Times New Roman" w:cs="Times New Roman"/>
            <w:szCs w:val="20"/>
            <w:lang w:val="es-ES"/>
          </w:rPr>
          <w:t>Coalición de Competencias en IA</w:t>
        </w:r>
      </w:hyperlink>
      <w:r w:rsidRPr="00F05461">
        <w:rPr>
          <w:lang w:val="es-ES"/>
        </w:rPr>
        <w:t xml:space="preserve">). En la </w:t>
      </w:r>
      <w:hyperlink w:anchor="_5.5_Asociaciones_y" w:history="1">
        <w:r w:rsidR="00026A3E" w:rsidRPr="00F05461">
          <w:rPr>
            <w:rStyle w:val="Hyperlink"/>
            <w:rFonts w:eastAsia="Times New Roman" w:cs="Times New Roman"/>
            <w:szCs w:val="20"/>
            <w:lang w:val="es-ES"/>
          </w:rPr>
          <w:t>s</w:t>
        </w:r>
        <w:r w:rsidRPr="00F05461">
          <w:rPr>
            <w:rStyle w:val="Hyperlink"/>
            <w:rFonts w:eastAsia="Times New Roman" w:cs="Times New Roman"/>
            <w:szCs w:val="20"/>
            <w:lang w:val="es-ES"/>
          </w:rPr>
          <w:t>ección</w:t>
        </w:r>
        <w:r w:rsidR="00026A3E" w:rsidRPr="00F05461">
          <w:rPr>
            <w:rStyle w:val="Hyperlink"/>
            <w:rFonts w:eastAsia="Times New Roman" w:cs="Times New Roman"/>
            <w:szCs w:val="20"/>
            <w:lang w:val="es-ES"/>
          </w:rPr>
          <w:t> </w:t>
        </w:r>
        <w:r w:rsidRPr="00F05461">
          <w:rPr>
            <w:rStyle w:val="Hyperlink"/>
            <w:rFonts w:eastAsia="Times New Roman" w:cs="Times New Roman"/>
            <w:szCs w:val="20"/>
            <w:lang w:val="es-ES"/>
          </w:rPr>
          <w:t>5.5</w:t>
        </w:r>
      </w:hyperlink>
      <w:r w:rsidRPr="00F05461">
        <w:rPr>
          <w:lang w:val="es-ES"/>
        </w:rPr>
        <w:t xml:space="preserve"> se presenta el último ejemplo, que ilustra la manera en que la iniciativa de conectividad de las escuelas de Giga está respaldada por programas de creación de capacidad realizados </w:t>
      </w:r>
      <w:proofErr w:type="gramStart"/>
      <w:r w:rsidRPr="00F05461">
        <w:rPr>
          <w:lang w:val="es-ES"/>
        </w:rPr>
        <w:t>conjuntamente con</w:t>
      </w:r>
      <w:proofErr w:type="gramEnd"/>
      <w:r w:rsidRPr="00F05461">
        <w:rPr>
          <w:lang w:val="es-ES"/>
        </w:rPr>
        <w:t xml:space="preserve"> gobiernos y partes interesadas, que aprovechan la plataforma de la Academia de </w:t>
      </w:r>
      <w:r w:rsidR="00296F03" w:rsidRPr="00F05461">
        <w:rPr>
          <w:lang w:val="es-ES"/>
        </w:rPr>
        <w:t>la UIT</w:t>
      </w:r>
      <w:r w:rsidRPr="00F05461">
        <w:rPr>
          <w:lang w:val="es-ES"/>
        </w:rPr>
        <w:t>.</w:t>
      </w:r>
    </w:p>
    <w:p w14:paraId="52E30D44" w14:textId="77777777" w:rsidR="00B1145C" w:rsidRPr="00F05461" w:rsidRDefault="00B1145C" w:rsidP="003E558F">
      <w:pPr>
        <w:pStyle w:val="Heading2"/>
        <w:rPr>
          <w:lang w:val="es-ES"/>
        </w:rPr>
      </w:pPr>
      <w:bookmarkStart w:id="77" w:name="_Toc227137478"/>
      <w:r w:rsidRPr="00F05461">
        <w:rPr>
          <w:lang w:val="es-ES"/>
        </w:rPr>
        <w:t>4.7</w:t>
      </w:r>
      <w:r w:rsidRPr="00F05461">
        <w:rPr>
          <w:lang w:val="es-ES"/>
        </w:rPr>
        <w:tab/>
        <w:t>Prestación de asistencia técnica</w:t>
      </w:r>
      <w:bookmarkEnd w:id="77"/>
    </w:p>
    <w:p w14:paraId="6B80C9D5" w14:textId="214CD264" w:rsidR="00B1145C" w:rsidRPr="00F05461" w:rsidRDefault="00B1145C" w:rsidP="00B1145C">
      <w:pPr>
        <w:rPr>
          <w:lang w:val="es-ES"/>
        </w:rPr>
      </w:pPr>
      <w:r w:rsidRPr="00F05461">
        <w:rPr>
          <w:lang w:val="es-ES"/>
        </w:rPr>
        <w:t xml:space="preserve">Como organismo especializado de las Naciones Unidas, </w:t>
      </w:r>
      <w:r w:rsidR="00296F03" w:rsidRPr="00F05461">
        <w:rPr>
          <w:lang w:val="es-ES"/>
        </w:rPr>
        <w:t>la UIT</w:t>
      </w:r>
      <w:r w:rsidRPr="00F05461">
        <w:rPr>
          <w:lang w:val="es-ES"/>
        </w:rPr>
        <w:t xml:space="preserve"> no solo presta asesoramiento técnico exhaustivo y </w:t>
      </w:r>
      <w:proofErr w:type="gramStart"/>
      <w:r w:rsidRPr="00F05461">
        <w:rPr>
          <w:lang w:val="es-ES"/>
        </w:rPr>
        <w:t>coordinación</w:t>
      </w:r>
      <w:proofErr w:type="gramEnd"/>
      <w:r w:rsidRPr="00F05461">
        <w:rPr>
          <w:lang w:val="es-ES"/>
        </w:rPr>
        <w:t xml:space="preserve"> sino que también actúa como organismo de ejecución de proyectos de desarrollo digital destinados a garantizar que la conectividad beneficie a todas las personas en todos los lugares.</w:t>
      </w:r>
    </w:p>
    <w:p w14:paraId="46CBF24E" w14:textId="2FFE8DB4" w:rsidR="00B1145C" w:rsidRPr="00F05461" w:rsidRDefault="00B1145C" w:rsidP="00B1145C">
      <w:pPr>
        <w:rPr>
          <w:lang w:val="es-ES"/>
        </w:rPr>
      </w:pPr>
      <w:r w:rsidRPr="00F05461">
        <w:rPr>
          <w:lang w:val="es-ES"/>
        </w:rPr>
        <w:lastRenderedPageBreak/>
        <w:t>El</w:t>
      </w:r>
      <w:r w:rsidR="00403C5E" w:rsidRPr="00F05461">
        <w:rPr>
          <w:lang w:val="es-ES"/>
        </w:rPr>
        <w:t> </w:t>
      </w:r>
      <w:r w:rsidRPr="00F05461">
        <w:rPr>
          <w:lang w:val="es-ES"/>
        </w:rPr>
        <w:t>UIT-D tiene la función clave de llevar a cabo proyectos en el marco de acuerdos establecidos con socios financiadores. Estos proyectos tienen por objeto facilitar y mejorar el desarrollo de las telecomunicaciones ofreciendo, organizando y coordinando actividades de cooperación y asistencia técnicas.</w:t>
      </w:r>
    </w:p>
    <w:p w14:paraId="191B72FB" w14:textId="7C193D52" w:rsidR="00B1145C" w:rsidRPr="00F05461" w:rsidRDefault="00B1145C" w:rsidP="00B1145C">
      <w:pPr>
        <w:rPr>
          <w:lang w:val="es-ES"/>
        </w:rPr>
      </w:pPr>
      <w:r w:rsidRPr="00F05461">
        <w:rPr>
          <w:lang w:val="es-ES"/>
        </w:rPr>
        <w:t xml:space="preserve">Solo en 2025, </w:t>
      </w:r>
      <w:r w:rsidR="00296F03" w:rsidRPr="00F05461">
        <w:rPr>
          <w:lang w:val="es-ES"/>
        </w:rPr>
        <w:t>la UIT</w:t>
      </w:r>
      <w:r w:rsidRPr="00F05461">
        <w:rPr>
          <w:lang w:val="es-ES"/>
        </w:rPr>
        <w:t xml:space="preserve"> (a través de la</w:t>
      </w:r>
      <w:r w:rsidR="008A4871" w:rsidRPr="00F05461">
        <w:rPr>
          <w:lang w:val="es-ES"/>
        </w:rPr>
        <w:t> </w:t>
      </w:r>
      <w:r w:rsidRPr="00F05461">
        <w:rPr>
          <w:lang w:val="es-ES"/>
        </w:rPr>
        <w:t>BDT) ejecutó o ayudó a ejecutar 106</w:t>
      </w:r>
      <w:r w:rsidR="00403C5E" w:rsidRPr="00F05461">
        <w:rPr>
          <w:lang w:val="es-ES"/>
        </w:rPr>
        <w:t> </w:t>
      </w:r>
      <w:r w:rsidRPr="00F05461">
        <w:rPr>
          <w:lang w:val="es-ES"/>
        </w:rPr>
        <w:t>proyectos en total, valorados en 79,7</w:t>
      </w:r>
      <w:r w:rsidR="008A4871" w:rsidRPr="00F05461">
        <w:rPr>
          <w:lang w:val="es-ES"/>
        </w:rPr>
        <w:t> </w:t>
      </w:r>
      <w:r w:rsidRPr="00F05461">
        <w:rPr>
          <w:lang w:val="es-ES"/>
        </w:rPr>
        <w:t>millones</w:t>
      </w:r>
      <w:r w:rsidR="008A4871" w:rsidRPr="00F05461">
        <w:rPr>
          <w:lang w:val="es-ES"/>
        </w:rPr>
        <w:t> </w:t>
      </w:r>
      <w:r w:rsidRPr="00F05461">
        <w:rPr>
          <w:lang w:val="es-ES"/>
        </w:rPr>
        <w:t>CHF: 32 de ellos completaron sus actividades antes de que acabara el año, mientras que los 74</w:t>
      </w:r>
      <w:r w:rsidR="00403C5E" w:rsidRPr="00F05461">
        <w:rPr>
          <w:lang w:val="es-ES"/>
        </w:rPr>
        <w:t> </w:t>
      </w:r>
      <w:r w:rsidRPr="00F05461">
        <w:rPr>
          <w:lang w:val="es-ES"/>
        </w:rPr>
        <w:t xml:space="preserve">proyectos restantes continuarán siendo ejecutados de acuerdo con los respectivos documentos de proyecto. En </w:t>
      </w:r>
      <w:r w:rsidR="005E1172" w:rsidRPr="00F05461">
        <w:rPr>
          <w:lang w:val="es-ES"/>
        </w:rPr>
        <w:t xml:space="preserve">el </w:t>
      </w:r>
      <w:hyperlink w:anchor="Table_proyectos_multi" w:history="1">
        <w:r w:rsidR="005E1172" w:rsidRPr="00F05461">
          <w:rPr>
            <w:rStyle w:val="Hyperlink"/>
            <w:rFonts w:eastAsia="Times New Roman" w:cs="Times New Roman"/>
            <w:szCs w:val="20"/>
            <w:lang w:val="es-ES"/>
          </w:rPr>
          <w:t>cuadro siguiente</w:t>
        </w:r>
      </w:hyperlink>
      <w:r w:rsidRPr="00F05461">
        <w:rPr>
          <w:lang w:val="es-ES"/>
        </w:rPr>
        <w:t xml:space="preserve"> se presenta la distribución general de esta cartera por región y un resumen de 1) los fondos movilizados para apoyar la ejecución de estos proyectos; y 2) el capital inicial asignado por </w:t>
      </w:r>
      <w:r w:rsidR="00296F03" w:rsidRPr="00F05461">
        <w:rPr>
          <w:lang w:val="es-ES"/>
        </w:rPr>
        <w:t>la UIT</w:t>
      </w:r>
      <w:r w:rsidRPr="00F05461">
        <w:rPr>
          <w:lang w:val="es-ES"/>
        </w:rPr>
        <w:t xml:space="preserve"> con cargo al FD-TIC.</w:t>
      </w:r>
    </w:p>
    <w:p w14:paraId="4D16B617" w14:textId="7CC7B2DB" w:rsidR="00B1145C" w:rsidRPr="00F05461" w:rsidRDefault="00B1145C" w:rsidP="00777F73">
      <w:pPr>
        <w:pStyle w:val="Tabletitle"/>
        <w:rPr>
          <w:lang w:val="es-ES"/>
        </w:rPr>
      </w:pPr>
      <w:bookmarkStart w:id="78" w:name="Table_proyectos_multi"/>
      <w:r w:rsidRPr="00F05461">
        <w:rPr>
          <w:lang w:val="es-ES"/>
        </w:rPr>
        <w:t xml:space="preserve">Resumen de proyectos </w:t>
      </w:r>
      <w:r w:rsidR="00A10309" w:rsidRPr="00F05461">
        <w:rPr>
          <w:lang w:val="es-ES"/>
        </w:rPr>
        <w:t>del UIT</w:t>
      </w:r>
      <w:r w:rsidR="00A10309" w:rsidRPr="00F05461">
        <w:rPr>
          <w:lang w:val="es-ES"/>
        </w:rPr>
        <w:noBreakHyphen/>
      </w:r>
      <w:r w:rsidRPr="00F05461">
        <w:rPr>
          <w:lang w:val="es-ES"/>
        </w:rPr>
        <w:t>D con actividades en 2025, por región (cifras en miles</w:t>
      </w:r>
      <w:r w:rsidR="008A4871" w:rsidRPr="00F05461">
        <w:rPr>
          <w:lang w:val="es-ES"/>
        </w:rPr>
        <w:t> </w:t>
      </w:r>
      <w:r w:rsidRPr="00F05461">
        <w:rPr>
          <w:lang w:val="es-ES"/>
        </w:rPr>
        <w:t>CHF)</w:t>
      </w:r>
    </w:p>
    <w:tbl>
      <w:tblPr>
        <w:tblW w:w="5000" w:type="pct"/>
        <w:jc w:val="center"/>
        <w:tblLayout w:type="fixed"/>
        <w:tblLook w:val="0000" w:firstRow="0" w:lastRow="0" w:firstColumn="0" w:lastColumn="0" w:noHBand="0" w:noVBand="0"/>
      </w:tblPr>
      <w:tblGrid>
        <w:gridCol w:w="1802"/>
        <w:gridCol w:w="1653"/>
        <w:gridCol w:w="2047"/>
        <w:gridCol w:w="1652"/>
        <w:gridCol w:w="1897"/>
      </w:tblGrid>
      <w:tr w:rsidR="00777F73" w:rsidRPr="0014787F" w14:paraId="7A4662A4" w14:textId="77777777" w:rsidTr="006C3476">
        <w:trPr>
          <w:jc w:val="center"/>
        </w:trPr>
        <w:tc>
          <w:tcPr>
            <w:tcW w:w="1277" w:type="dxa"/>
            <w:tcBorders>
              <w:top w:val="single" w:sz="8" w:space="0" w:color="000000"/>
              <w:left w:val="single" w:sz="8" w:space="0" w:color="000000"/>
              <w:bottom w:val="single" w:sz="8" w:space="0" w:color="000000"/>
            </w:tcBorders>
            <w:shd w:val="clear" w:color="auto" w:fill="70A9E0"/>
            <w:noWrap/>
            <w:tcMar>
              <w:top w:w="0" w:type="dxa"/>
              <w:left w:w="108" w:type="dxa"/>
              <w:bottom w:w="0" w:type="dxa"/>
              <w:right w:w="108" w:type="dxa"/>
            </w:tcMar>
          </w:tcPr>
          <w:bookmarkEnd w:id="78"/>
          <w:p w14:paraId="069E5ED1" w14:textId="77777777" w:rsidR="00777F73" w:rsidRPr="00F05461" w:rsidRDefault="00777F73" w:rsidP="001E7BC1">
            <w:pPr>
              <w:pStyle w:val="Tablehead"/>
              <w:rPr>
                <w:lang w:val="es-ES"/>
              </w:rPr>
            </w:pPr>
            <w:r w:rsidRPr="00F05461">
              <w:rPr>
                <w:lang w:val="es-ES"/>
              </w:rPr>
              <w:t>Región</w:t>
            </w:r>
          </w:p>
        </w:tc>
        <w:tc>
          <w:tcPr>
            <w:tcW w:w="1171" w:type="dxa"/>
            <w:tcBorders>
              <w:top w:val="single" w:sz="8" w:space="0" w:color="000000"/>
              <w:bottom w:val="single" w:sz="8" w:space="0" w:color="000000"/>
            </w:tcBorders>
            <w:shd w:val="clear" w:color="auto" w:fill="70A9E0"/>
            <w:noWrap/>
            <w:tcMar>
              <w:top w:w="0" w:type="dxa"/>
              <w:left w:w="108" w:type="dxa"/>
              <w:bottom w:w="0" w:type="dxa"/>
              <w:right w:w="108" w:type="dxa"/>
            </w:tcMar>
          </w:tcPr>
          <w:p w14:paraId="04A818E6" w14:textId="2904B7B7" w:rsidR="00777F73" w:rsidRPr="00F05461" w:rsidRDefault="00777F73" w:rsidP="001E7BC1">
            <w:pPr>
              <w:pStyle w:val="Tablehead"/>
              <w:rPr>
                <w:lang w:val="es-ES"/>
              </w:rPr>
            </w:pPr>
            <w:r w:rsidRPr="00F05461">
              <w:rPr>
                <w:lang w:val="es-ES"/>
              </w:rPr>
              <w:t xml:space="preserve">Número </w:t>
            </w:r>
            <w:r w:rsidR="00403C5E" w:rsidRPr="00F05461">
              <w:rPr>
                <w:lang w:val="es-ES"/>
              </w:rPr>
              <w:br/>
            </w:r>
            <w:r w:rsidRPr="00F05461">
              <w:rPr>
                <w:lang w:val="es-ES"/>
              </w:rPr>
              <w:t>de proyectos</w:t>
            </w:r>
          </w:p>
        </w:tc>
        <w:tc>
          <w:tcPr>
            <w:tcW w:w="1450" w:type="dxa"/>
            <w:tcBorders>
              <w:top w:val="single" w:sz="8" w:space="0" w:color="000000"/>
              <w:bottom w:val="single" w:sz="8" w:space="0" w:color="000000"/>
            </w:tcBorders>
            <w:shd w:val="clear" w:color="auto" w:fill="70A9E0"/>
            <w:noWrap/>
            <w:tcMar>
              <w:top w:w="0" w:type="dxa"/>
              <w:left w:w="108" w:type="dxa"/>
              <w:bottom w:w="0" w:type="dxa"/>
              <w:right w:w="108" w:type="dxa"/>
            </w:tcMar>
          </w:tcPr>
          <w:p w14:paraId="3FCFE009" w14:textId="4AD002B5" w:rsidR="00777F73" w:rsidRPr="00F05461" w:rsidRDefault="00777F73" w:rsidP="001E7BC1">
            <w:pPr>
              <w:pStyle w:val="Tablehead"/>
              <w:rPr>
                <w:lang w:val="es-ES"/>
              </w:rPr>
            </w:pPr>
            <w:r w:rsidRPr="00F05461">
              <w:rPr>
                <w:lang w:val="es-ES"/>
              </w:rPr>
              <w:t>Financiación</w:t>
            </w:r>
            <w:r w:rsidR="00403C5E" w:rsidRPr="00F05461">
              <w:rPr>
                <w:lang w:val="es-ES"/>
              </w:rPr>
              <w:t xml:space="preserve"> </w:t>
            </w:r>
            <w:r w:rsidR="00403C5E" w:rsidRPr="00F05461">
              <w:rPr>
                <w:lang w:val="es-ES"/>
              </w:rPr>
              <w:br/>
            </w:r>
            <w:r w:rsidRPr="00F05461">
              <w:rPr>
                <w:lang w:val="es-ES"/>
              </w:rPr>
              <w:t>de socios</w:t>
            </w:r>
          </w:p>
        </w:tc>
        <w:tc>
          <w:tcPr>
            <w:tcW w:w="1170" w:type="dxa"/>
            <w:tcBorders>
              <w:top w:val="single" w:sz="8" w:space="0" w:color="000000"/>
              <w:bottom w:val="single" w:sz="8" w:space="0" w:color="000000"/>
            </w:tcBorders>
            <w:shd w:val="clear" w:color="auto" w:fill="70A9E0"/>
            <w:noWrap/>
            <w:tcMar>
              <w:top w:w="0" w:type="dxa"/>
              <w:left w:w="108" w:type="dxa"/>
              <w:bottom w:w="0" w:type="dxa"/>
              <w:right w:w="108" w:type="dxa"/>
            </w:tcMar>
          </w:tcPr>
          <w:p w14:paraId="24D280C1" w14:textId="7B4A28C7" w:rsidR="00777F73" w:rsidRPr="00F05461" w:rsidRDefault="00777F73" w:rsidP="001E7BC1">
            <w:pPr>
              <w:pStyle w:val="Tablehead"/>
              <w:rPr>
                <w:lang w:val="es-ES"/>
              </w:rPr>
            </w:pPr>
            <w:r w:rsidRPr="00F05461">
              <w:rPr>
                <w:lang w:val="es-ES"/>
              </w:rPr>
              <w:t xml:space="preserve">Fondos </w:t>
            </w:r>
            <w:r w:rsidR="00403C5E" w:rsidRPr="00F05461">
              <w:rPr>
                <w:lang w:val="es-ES"/>
              </w:rPr>
              <w:br/>
            </w:r>
            <w:r w:rsidRPr="00F05461">
              <w:rPr>
                <w:lang w:val="es-ES"/>
              </w:rPr>
              <w:t xml:space="preserve">de </w:t>
            </w:r>
            <w:r w:rsidR="00296F03" w:rsidRPr="00F05461">
              <w:rPr>
                <w:lang w:val="es-ES"/>
              </w:rPr>
              <w:t>la UIT</w:t>
            </w:r>
          </w:p>
        </w:tc>
        <w:tc>
          <w:tcPr>
            <w:tcW w:w="1344" w:type="dxa"/>
            <w:tcBorders>
              <w:top w:val="single" w:sz="8" w:space="0" w:color="000000"/>
              <w:bottom w:val="single" w:sz="8" w:space="0" w:color="000000"/>
              <w:right w:val="single" w:sz="8" w:space="0" w:color="000000"/>
            </w:tcBorders>
            <w:shd w:val="clear" w:color="auto" w:fill="70A9E0"/>
            <w:noWrap/>
            <w:tcMar>
              <w:top w:w="0" w:type="dxa"/>
              <w:left w:w="108" w:type="dxa"/>
              <w:bottom w:w="0" w:type="dxa"/>
              <w:right w:w="108" w:type="dxa"/>
            </w:tcMar>
          </w:tcPr>
          <w:p w14:paraId="3AA22A87" w14:textId="77777777" w:rsidR="00777F73" w:rsidRPr="00F05461" w:rsidRDefault="00777F73" w:rsidP="001E7BC1">
            <w:pPr>
              <w:pStyle w:val="Tablehead"/>
              <w:rPr>
                <w:lang w:val="es-ES"/>
              </w:rPr>
            </w:pPr>
            <w:r w:rsidRPr="00F05461">
              <w:rPr>
                <w:lang w:val="es-ES"/>
              </w:rPr>
              <w:t>Financiación total de los proyectos</w:t>
            </w:r>
          </w:p>
        </w:tc>
      </w:tr>
      <w:tr w:rsidR="00777F73" w:rsidRPr="00F05461" w14:paraId="045A2424" w14:textId="77777777" w:rsidTr="006C3476">
        <w:trPr>
          <w:jc w:val="center"/>
        </w:trPr>
        <w:tc>
          <w:tcPr>
            <w:tcW w:w="1277" w:type="dxa"/>
            <w:tcBorders>
              <w:left w:val="single" w:sz="8" w:space="0" w:color="000000"/>
              <w:bottom w:val="single" w:sz="8" w:space="0" w:color="000000"/>
            </w:tcBorders>
            <w:tcMar>
              <w:top w:w="0" w:type="dxa"/>
              <w:left w:w="108" w:type="dxa"/>
              <w:bottom w:w="0" w:type="dxa"/>
              <w:right w:w="108" w:type="dxa"/>
            </w:tcMar>
          </w:tcPr>
          <w:p w14:paraId="79433977" w14:textId="3A9E8D51" w:rsidR="00777F73" w:rsidRPr="00F05461" w:rsidRDefault="00777F73" w:rsidP="001E7BC1">
            <w:pPr>
              <w:pStyle w:val="Tabletext"/>
              <w:rPr>
                <w:lang w:val="es-ES"/>
              </w:rPr>
            </w:pPr>
            <w:r w:rsidRPr="00F05461">
              <w:rPr>
                <w:lang w:val="es-ES"/>
              </w:rPr>
              <w:t>África</w:t>
            </w:r>
          </w:p>
        </w:tc>
        <w:tc>
          <w:tcPr>
            <w:tcW w:w="1171" w:type="dxa"/>
            <w:tcBorders>
              <w:bottom w:val="single" w:sz="8" w:space="0" w:color="000000"/>
            </w:tcBorders>
            <w:noWrap/>
            <w:tcMar>
              <w:top w:w="0" w:type="dxa"/>
              <w:left w:w="108" w:type="dxa"/>
              <w:bottom w:w="0" w:type="dxa"/>
              <w:right w:w="108" w:type="dxa"/>
            </w:tcMar>
          </w:tcPr>
          <w:p w14:paraId="23008F3B" w14:textId="77777777" w:rsidR="00777F73" w:rsidRPr="00F05461" w:rsidRDefault="00777F73" w:rsidP="00403C5E">
            <w:pPr>
              <w:pStyle w:val="Tabletext"/>
              <w:ind w:right="624"/>
              <w:jc w:val="right"/>
              <w:rPr>
                <w:lang w:val="es-ES"/>
              </w:rPr>
            </w:pPr>
            <w:r w:rsidRPr="00F05461">
              <w:rPr>
                <w:lang w:val="es-ES"/>
              </w:rPr>
              <w:t>20</w:t>
            </w:r>
          </w:p>
        </w:tc>
        <w:tc>
          <w:tcPr>
            <w:tcW w:w="1450" w:type="dxa"/>
            <w:tcBorders>
              <w:bottom w:val="single" w:sz="8" w:space="0" w:color="000000"/>
            </w:tcBorders>
            <w:tcMar>
              <w:top w:w="0" w:type="dxa"/>
              <w:left w:w="108" w:type="dxa"/>
              <w:bottom w:w="0" w:type="dxa"/>
              <w:right w:w="108" w:type="dxa"/>
            </w:tcMar>
          </w:tcPr>
          <w:p w14:paraId="67838DCB" w14:textId="77777777" w:rsidR="00777F73" w:rsidRPr="00F05461" w:rsidRDefault="00777F73" w:rsidP="00403C5E">
            <w:pPr>
              <w:pStyle w:val="Tabletext"/>
              <w:ind w:right="510"/>
              <w:jc w:val="right"/>
              <w:rPr>
                <w:lang w:val="es-ES"/>
              </w:rPr>
            </w:pPr>
            <w:r w:rsidRPr="00F05461">
              <w:rPr>
                <w:lang w:val="es-ES"/>
              </w:rPr>
              <w:t>26 917,7</w:t>
            </w:r>
          </w:p>
        </w:tc>
        <w:tc>
          <w:tcPr>
            <w:tcW w:w="1170" w:type="dxa"/>
            <w:tcBorders>
              <w:bottom w:val="single" w:sz="8" w:space="0" w:color="000000"/>
            </w:tcBorders>
            <w:tcMar>
              <w:top w:w="0" w:type="dxa"/>
              <w:left w:w="108" w:type="dxa"/>
              <w:bottom w:w="0" w:type="dxa"/>
              <w:right w:w="108" w:type="dxa"/>
            </w:tcMar>
          </w:tcPr>
          <w:p w14:paraId="3CE389E6" w14:textId="77777777" w:rsidR="00777F73" w:rsidRPr="00F05461" w:rsidRDefault="00777F73" w:rsidP="00403C5E">
            <w:pPr>
              <w:pStyle w:val="Tabletext"/>
              <w:ind w:right="340"/>
              <w:jc w:val="right"/>
              <w:rPr>
                <w:lang w:val="es-ES"/>
              </w:rPr>
            </w:pPr>
            <w:r w:rsidRPr="00F05461">
              <w:rPr>
                <w:lang w:val="es-ES"/>
              </w:rPr>
              <w:t>1 505,4</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002E1EA4" w14:textId="77777777" w:rsidR="00777F73" w:rsidRPr="00F05461" w:rsidRDefault="00777F73" w:rsidP="00403C5E">
            <w:pPr>
              <w:pStyle w:val="Tabletext"/>
              <w:ind w:right="454"/>
              <w:jc w:val="right"/>
              <w:rPr>
                <w:lang w:val="es-ES"/>
              </w:rPr>
            </w:pPr>
            <w:r w:rsidRPr="00F05461">
              <w:rPr>
                <w:lang w:val="es-ES"/>
              </w:rPr>
              <w:t>28 423,2</w:t>
            </w:r>
          </w:p>
        </w:tc>
      </w:tr>
      <w:tr w:rsidR="00777F73" w:rsidRPr="00F05461" w14:paraId="6D2F4AA1" w14:textId="77777777" w:rsidTr="006C3476">
        <w:trPr>
          <w:jc w:val="center"/>
        </w:trPr>
        <w:tc>
          <w:tcPr>
            <w:tcW w:w="1277" w:type="dxa"/>
            <w:tcBorders>
              <w:left w:val="single" w:sz="8" w:space="0" w:color="000000"/>
              <w:bottom w:val="single" w:sz="8" w:space="0" w:color="000000"/>
            </w:tcBorders>
            <w:tcMar>
              <w:top w:w="0" w:type="dxa"/>
              <w:left w:w="108" w:type="dxa"/>
              <w:bottom w:w="0" w:type="dxa"/>
              <w:right w:w="108" w:type="dxa"/>
            </w:tcMar>
          </w:tcPr>
          <w:p w14:paraId="11293327" w14:textId="2B40B8B9" w:rsidR="00777F73" w:rsidRPr="00F05461" w:rsidRDefault="00777F73" w:rsidP="001E7BC1">
            <w:pPr>
              <w:pStyle w:val="Tabletext"/>
              <w:rPr>
                <w:lang w:val="es-ES"/>
              </w:rPr>
            </w:pPr>
            <w:r w:rsidRPr="00F05461">
              <w:rPr>
                <w:lang w:val="es-ES"/>
              </w:rPr>
              <w:t>Américas</w:t>
            </w:r>
          </w:p>
        </w:tc>
        <w:tc>
          <w:tcPr>
            <w:tcW w:w="1171" w:type="dxa"/>
            <w:tcBorders>
              <w:bottom w:val="single" w:sz="8" w:space="0" w:color="000000"/>
            </w:tcBorders>
            <w:noWrap/>
            <w:tcMar>
              <w:top w:w="0" w:type="dxa"/>
              <w:left w:w="108" w:type="dxa"/>
              <w:bottom w:w="0" w:type="dxa"/>
              <w:right w:w="108" w:type="dxa"/>
            </w:tcMar>
          </w:tcPr>
          <w:p w14:paraId="749C183F" w14:textId="77777777" w:rsidR="00777F73" w:rsidRPr="00F05461" w:rsidRDefault="00777F73" w:rsidP="00403C5E">
            <w:pPr>
              <w:pStyle w:val="Tabletext"/>
              <w:ind w:right="624"/>
              <w:jc w:val="right"/>
              <w:rPr>
                <w:lang w:val="es-ES"/>
              </w:rPr>
            </w:pPr>
            <w:r w:rsidRPr="00F05461">
              <w:rPr>
                <w:lang w:val="es-ES"/>
              </w:rPr>
              <w:t>16</w:t>
            </w:r>
          </w:p>
        </w:tc>
        <w:tc>
          <w:tcPr>
            <w:tcW w:w="1450" w:type="dxa"/>
            <w:tcBorders>
              <w:bottom w:val="single" w:sz="8" w:space="0" w:color="000000"/>
            </w:tcBorders>
            <w:tcMar>
              <w:top w:w="0" w:type="dxa"/>
              <w:left w:w="108" w:type="dxa"/>
              <w:bottom w:w="0" w:type="dxa"/>
              <w:right w:w="108" w:type="dxa"/>
            </w:tcMar>
          </w:tcPr>
          <w:p w14:paraId="235B21EF" w14:textId="77777777" w:rsidR="00777F73" w:rsidRPr="00F05461" w:rsidRDefault="00777F73" w:rsidP="00403C5E">
            <w:pPr>
              <w:pStyle w:val="Tabletext"/>
              <w:ind w:right="510"/>
              <w:jc w:val="right"/>
              <w:rPr>
                <w:lang w:val="es-ES"/>
              </w:rPr>
            </w:pPr>
            <w:r w:rsidRPr="00F05461">
              <w:rPr>
                <w:lang w:val="es-ES"/>
              </w:rPr>
              <w:t>6 241,1</w:t>
            </w:r>
          </w:p>
        </w:tc>
        <w:tc>
          <w:tcPr>
            <w:tcW w:w="1170" w:type="dxa"/>
            <w:tcBorders>
              <w:bottom w:val="single" w:sz="8" w:space="0" w:color="000000"/>
            </w:tcBorders>
            <w:tcMar>
              <w:top w:w="0" w:type="dxa"/>
              <w:left w:w="108" w:type="dxa"/>
              <w:bottom w:w="0" w:type="dxa"/>
              <w:right w:w="108" w:type="dxa"/>
            </w:tcMar>
          </w:tcPr>
          <w:p w14:paraId="7A31A56A" w14:textId="77777777" w:rsidR="00777F73" w:rsidRPr="00F05461" w:rsidRDefault="00777F73" w:rsidP="00403C5E">
            <w:pPr>
              <w:pStyle w:val="Tabletext"/>
              <w:ind w:right="340"/>
              <w:jc w:val="right"/>
              <w:rPr>
                <w:lang w:val="es-ES"/>
              </w:rPr>
            </w:pPr>
            <w:r w:rsidRPr="00F05461">
              <w:rPr>
                <w:lang w:val="es-ES"/>
              </w:rPr>
              <w:t>236,8</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5DA3BA4F" w14:textId="77777777" w:rsidR="00777F73" w:rsidRPr="00F05461" w:rsidRDefault="00777F73" w:rsidP="00403C5E">
            <w:pPr>
              <w:pStyle w:val="Tabletext"/>
              <w:ind w:right="454"/>
              <w:jc w:val="right"/>
              <w:rPr>
                <w:lang w:val="es-ES"/>
              </w:rPr>
            </w:pPr>
            <w:r w:rsidRPr="00F05461">
              <w:rPr>
                <w:lang w:val="es-ES"/>
              </w:rPr>
              <w:t>6 477,9</w:t>
            </w:r>
          </w:p>
        </w:tc>
      </w:tr>
      <w:tr w:rsidR="00777F73" w:rsidRPr="00F05461" w14:paraId="3F356724" w14:textId="77777777" w:rsidTr="006C3476">
        <w:trPr>
          <w:jc w:val="center"/>
        </w:trPr>
        <w:tc>
          <w:tcPr>
            <w:tcW w:w="1277" w:type="dxa"/>
            <w:tcBorders>
              <w:left w:val="single" w:sz="8" w:space="0" w:color="000000"/>
              <w:bottom w:val="single" w:sz="8" w:space="0" w:color="000000"/>
            </w:tcBorders>
            <w:tcMar>
              <w:top w:w="0" w:type="dxa"/>
              <w:left w:w="108" w:type="dxa"/>
              <w:bottom w:w="0" w:type="dxa"/>
              <w:right w:w="108" w:type="dxa"/>
            </w:tcMar>
          </w:tcPr>
          <w:p w14:paraId="4A4EEBD6" w14:textId="6FA03E5B" w:rsidR="00777F73" w:rsidRPr="00F05461" w:rsidRDefault="00777F73" w:rsidP="001E7BC1">
            <w:pPr>
              <w:pStyle w:val="Tabletext"/>
              <w:rPr>
                <w:lang w:val="es-ES"/>
              </w:rPr>
            </w:pPr>
            <w:r w:rsidRPr="00F05461">
              <w:rPr>
                <w:lang w:val="es-ES"/>
              </w:rPr>
              <w:t>Estados Árabes</w:t>
            </w:r>
          </w:p>
        </w:tc>
        <w:tc>
          <w:tcPr>
            <w:tcW w:w="1171" w:type="dxa"/>
            <w:tcBorders>
              <w:bottom w:val="single" w:sz="8" w:space="0" w:color="000000"/>
            </w:tcBorders>
            <w:tcMar>
              <w:top w:w="0" w:type="dxa"/>
              <w:left w:w="108" w:type="dxa"/>
              <w:bottom w:w="0" w:type="dxa"/>
              <w:right w:w="108" w:type="dxa"/>
            </w:tcMar>
          </w:tcPr>
          <w:p w14:paraId="50BA5991" w14:textId="77777777" w:rsidR="00777F73" w:rsidRPr="00F05461" w:rsidRDefault="00777F73" w:rsidP="00403C5E">
            <w:pPr>
              <w:pStyle w:val="Tabletext"/>
              <w:ind w:right="624"/>
              <w:jc w:val="right"/>
              <w:rPr>
                <w:lang w:val="es-ES"/>
              </w:rPr>
            </w:pPr>
            <w:r w:rsidRPr="00F05461">
              <w:rPr>
                <w:lang w:val="es-ES"/>
              </w:rPr>
              <w:t>6</w:t>
            </w:r>
          </w:p>
        </w:tc>
        <w:tc>
          <w:tcPr>
            <w:tcW w:w="1450" w:type="dxa"/>
            <w:tcBorders>
              <w:bottom w:val="single" w:sz="8" w:space="0" w:color="000000"/>
            </w:tcBorders>
            <w:tcMar>
              <w:top w:w="0" w:type="dxa"/>
              <w:left w:w="108" w:type="dxa"/>
              <w:bottom w:w="0" w:type="dxa"/>
              <w:right w:w="108" w:type="dxa"/>
            </w:tcMar>
          </w:tcPr>
          <w:p w14:paraId="180AEDF0" w14:textId="77777777" w:rsidR="00777F73" w:rsidRPr="00F05461" w:rsidRDefault="00777F73" w:rsidP="00403C5E">
            <w:pPr>
              <w:pStyle w:val="Tabletext"/>
              <w:ind w:right="510"/>
              <w:jc w:val="right"/>
              <w:rPr>
                <w:lang w:val="es-ES"/>
              </w:rPr>
            </w:pPr>
            <w:r w:rsidRPr="00F05461">
              <w:rPr>
                <w:lang w:val="es-ES"/>
              </w:rPr>
              <w:t>2 568,9</w:t>
            </w:r>
          </w:p>
        </w:tc>
        <w:tc>
          <w:tcPr>
            <w:tcW w:w="1170" w:type="dxa"/>
            <w:tcBorders>
              <w:bottom w:val="single" w:sz="8" w:space="0" w:color="000000"/>
            </w:tcBorders>
            <w:tcMar>
              <w:top w:w="0" w:type="dxa"/>
              <w:left w:w="108" w:type="dxa"/>
              <w:bottom w:w="0" w:type="dxa"/>
              <w:right w:w="108" w:type="dxa"/>
            </w:tcMar>
          </w:tcPr>
          <w:p w14:paraId="7656D6FE" w14:textId="77777777" w:rsidR="00777F73" w:rsidRPr="00F05461" w:rsidRDefault="00777F73" w:rsidP="00403C5E">
            <w:pPr>
              <w:pStyle w:val="Tabletext"/>
              <w:ind w:right="340"/>
              <w:jc w:val="right"/>
              <w:rPr>
                <w:lang w:val="es-ES"/>
              </w:rPr>
            </w:pPr>
            <w:r w:rsidRPr="00F05461">
              <w:rPr>
                <w:lang w:val="es-ES"/>
              </w:rPr>
              <w:t>696,8</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7C82C10F" w14:textId="77777777" w:rsidR="00777F73" w:rsidRPr="00F05461" w:rsidRDefault="00777F73" w:rsidP="00403C5E">
            <w:pPr>
              <w:pStyle w:val="Tabletext"/>
              <w:ind w:right="454"/>
              <w:jc w:val="right"/>
              <w:rPr>
                <w:lang w:val="es-ES"/>
              </w:rPr>
            </w:pPr>
            <w:r w:rsidRPr="00F05461">
              <w:rPr>
                <w:lang w:val="es-ES"/>
              </w:rPr>
              <w:t>3 265,7</w:t>
            </w:r>
          </w:p>
        </w:tc>
      </w:tr>
      <w:tr w:rsidR="00777F73" w:rsidRPr="00F05461" w14:paraId="086BBD7E" w14:textId="77777777" w:rsidTr="006C3476">
        <w:trPr>
          <w:jc w:val="center"/>
        </w:trPr>
        <w:tc>
          <w:tcPr>
            <w:tcW w:w="1277" w:type="dxa"/>
            <w:tcBorders>
              <w:left w:val="single" w:sz="8" w:space="0" w:color="000000"/>
              <w:bottom w:val="single" w:sz="8" w:space="0" w:color="000000"/>
            </w:tcBorders>
            <w:tcMar>
              <w:top w:w="0" w:type="dxa"/>
              <w:left w:w="108" w:type="dxa"/>
              <w:bottom w:w="0" w:type="dxa"/>
              <w:right w:w="108" w:type="dxa"/>
            </w:tcMar>
          </w:tcPr>
          <w:p w14:paraId="7EC2B24E" w14:textId="77777777" w:rsidR="00777F73" w:rsidRPr="00F05461" w:rsidRDefault="00777F73" w:rsidP="001E7BC1">
            <w:pPr>
              <w:pStyle w:val="Tabletext"/>
              <w:rPr>
                <w:lang w:val="es-ES"/>
              </w:rPr>
            </w:pPr>
            <w:r w:rsidRPr="00F05461">
              <w:rPr>
                <w:lang w:val="es-ES"/>
              </w:rPr>
              <w:t>Asia-Pacífico</w:t>
            </w:r>
          </w:p>
        </w:tc>
        <w:tc>
          <w:tcPr>
            <w:tcW w:w="1171" w:type="dxa"/>
            <w:tcBorders>
              <w:bottom w:val="single" w:sz="8" w:space="0" w:color="000000"/>
            </w:tcBorders>
            <w:noWrap/>
            <w:tcMar>
              <w:top w:w="0" w:type="dxa"/>
              <w:left w:w="108" w:type="dxa"/>
              <w:bottom w:w="0" w:type="dxa"/>
              <w:right w:w="108" w:type="dxa"/>
            </w:tcMar>
          </w:tcPr>
          <w:p w14:paraId="0E3F5F90" w14:textId="77777777" w:rsidR="00777F73" w:rsidRPr="00F05461" w:rsidRDefault="00777F73" w:rsidP="00403C5E">
            <w:pPr>
              <w:pStyle w:val="Tabletext"/>
              <w:ind w:right="624"/>
              <w:jc w:val="right"/>
              <w:rPr>
                <w:lang w:val="es-ES"/>
              </w:rPr>
            </w:pPr>
            <w:r w:rsidRPr="00F05461">
              <w:rPr>
                <w:lang w:val="es-ES"/>
              </w:rPr>
              <w:t>15</w:t>
            </w:r>
          </w:p>
        </w:tc>
        <w:tc>
          <w:tcPr>
            <w:tcW w:w="1450" w:type="dxa"/>
            <w:tcBorders>
              <w:bottom w:val="single" w:sz="8" w:space="0" w:color="000000"/>
            </w:tcBorders>
            <w:tcMar>
              <w:top w:w="0" w:type="dxa"/>
              <w:left w:w="108" w:type="dxa"/>
              <w:bottom w:w="0" w:type="dxa"/>
              <w:right w:w="108" w:type="dxa"/>
            </w:tcMar>
          </w:tcPr>
          <w:p w14:paraId="3041C94A" w14:textId="77777777" w:rsidR="00777F73" w:rsidRPr="00F05461" w:rsidRDefault="00777F73" w:rsidP="00403C5E">
            <w:pPr>
              <w:pStyle w:val="Tabletext"/>
              <w:ind w:right="510"/>
              <w:jc w:val="right"/>
              <w:rPr>
                <w:lang w:val="es-ES"/>
              </w:rPr>
            </w:pPr>
            <w:r w:rsidRPr="00F05461">
              <w:rPr>
                <w:lang w:val="es-ES"/>
              </w:rPr>
              <w:t>6 374,1</w:t>
            </w:r>
          </w:p>
        </w:tc>
        <w:tc>
          <w:tcPr>
            <w:tcW w:w="1170" w:type="dxa"/>
            <w:tcBorders>
              <w:bottom w:val="single" w:sz="8" w:space="0" w:color="000000"/>
            </w:tcBorders>
            <w:tcMar>
              <w:top w:w="0" w:type="dxa"/>
              <w:left w:w="108" w:type="dxa"/>
              <w:bottom w:w="0" w:type="dxa"/>
              <w:right w:w="108" w:type="dxa"/>
            </w:tcMar>
          </w:tcPr>
          <w:p w14:paraId="66D3FBA4" w14:textId="77777777" w:rsidR="00777F73" w:rsidRPr="00F05461" w:rsidRDefault="00777F73" w:rsidP="00403C5E">
            <w:pPr>
              <w:pStyle w:val="Tabletext"/>
              <w:ind w:right="340"/>
              <w:jc w:val="right"/>
              <w:rPr>
                <w:lang w:val="es-ES"/>
              </w:rPr>
            </w:pPr>
            <w:r w:rsidRPr="00F05461">
              <w:rPr>
                <w:lang w:val="es-ES"/>
              </w:rPr>
              <w:t>851,8</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6D69A1A9" w14:textId="77777777" w:rsidR="00777F73" w:rsidRPr="00F05461" w:rsidRDefault="00777F73" w:rsidP="00403C5E">
            <w:pPr>
              <w:pStyle w:val="Tabletext"/>
              <w:ind w:right="454"/>
              <w:jc w:val="right"/>
              <w:rPr>
                <w:lang w:val="es-ES"/>
              </w:rPr>
            </w:pPr>
            <w:r w:rsidRPr="00F05461">
              <w:rPr>
                <w:lang w:val="es-ES"/>
              </w:rPr>
              <w:t>7 225,9</w:t>
            </w:r>
          </w:p>
        </w:tc>
      </w:tr>
      <w:tr w:rsidR="00777F73" w:rsidRPr="00F05461" w14:paraId="49A84FE0" w14:textId="77777777" w:rsidTr="006C3476">
        <w:trPr>
          <w:jc w:val="center"/>
        </w:trPr>
        <w:tc>
          <w:tcPr>
            <w:tcW w:w="1277" w:type="dxa"/>
            <w:tcBorders>
              <w:left w:val="single" w:sz="8" w:space="0" w:color="000000"/>
              <w:bottom w:val="single" w:sz="8" w:space="0" w:color="000000"/>
            </w:tcBorders>
            <w:tcMar>
              <w:top w:w="0" w:type="dxa"/>
              <w:left w:w="108" w:type="dxa"/>
              <w:bottom w:w="0" w:type="dxa"/>
              <w:right w:w="108" w:type="dxa"/>
            </w:tcMar>
          </w:tcPr>
          <w:p w14:paraId="2851503C" w14:textId="7CF700A4" w:rsidR="00777F73" w:rsidRPr="00F05461" w:rsidRDefault="00777F73" w:rsidP="001E7BC1">
            <w:pPr>
              <w:pStyle w:val="Tabletext"/>
              <w:rPr>
                <w:lang w:val="es-ES"/>
              </w:rPr>
            </w:pPr>
            <w:r w:rsidRPr="00F05461">
              <w:rPr>
                <w:lang w:val="es-ES"/>
              </w:rPr>
              <w:t>CEI</w:t>
            </w:r>
          </w:p>
        </w:tc>
        <w:tc>
          <w:tcPr>
            <w:tcW w:w="1171" w:type="dxa"/>
            <w:tcBorders>
              <w:bottom w:val="single" w:sz="8" w:space="0" w:color="000000"/>
            </w:tcBorders>
            <w:tcMar>
              <w:top w:w="0" w:type="dxa"/>
              <w:left w:w="108" w:type="dxa"/>
              <w:bottom w:w="0" w:type="dxa"/>
              <w:right w:w="108" w:type="dxa"/>
            </w:tcMar>
          </w:tcPr>
          <w:p w14:paraId="527FCFE2" w14:textId="77777777" w:rsidR="00777F73" w:rsidRPr="00F05461" w:rsidRDefault="00777F73" w:rsidP="00403C5E">
            <w:pPr>
              <w:pStyle w:val="Tabletext"/>
              <w:ind w:right="624"/>
              <w:jc w:val="right"/>
              <w:rPr>
                <w:lang w:val="es-ES"/>
              </w:rPr>
            </w:pPr>
            <w:r w:rsidRPr="00F05461">
              <w:rPr>
                <w:lang w:val="es-ES"/>
              </w:rPr>
              <w:t>3</w:t>
            </w:r>
          </w:p>
        </w:tc>
        <w:tc>
          <w:tcPr>
            <w:tcW w:w="1450" w:type="dxa"/>
            <w:tcBorders>
              <w:bottom w:val="single" w:sz="8" w:space="0" w:color="000000"/>
            </w:tcBorders>
            <w:tcMar>
              <w:top w:w="0" w:type="dxa"/>
              <w:left w:w="108" w:type="dxa"/>
              <w:bottom w:w="0" w:type="dxa"/>
              <w:right w:w="108" w:type="dxa"/>
            </w:tcMar>
          </w:tcPr>
          <w:p w14:paraId="0C56F2E3" w14:textId="77777777" w:rsidR="00777F73" w:rsidRPr="00F05461" w:rsidRDefault="00777F73" w:rsidP="00403C5E">
            <w:pPr>
              <w:pStyle w:val="Tabletext"/>
              <w:ind w:right="510"/>
              <w:jc w:val="right"/>
              <w:rPr>
                <w:lang w:val="es-ES"/>
              </w:rPr>
            </w:pPr>
            <w:r w:rsidRPr="00F05461">
              <w:rPr>
                <w:lang w:val="es-ES"/>
              </w:rPr>
              <w:t>344,1</w:t>
            </w:r>
          </w:p>
        </w:tc>
        <w:tc>
          <w:tcPr>
            <w:tcW w:w="1170" w:type="dxa"/>
            <w:tcBorders>
              <w:bottom w:val="single" w:sz="8" w:space="0" w:color="000000"/>
            </w:tcBorders>
            <w:tcMar>
              <w:top w:w="0" w:type="dxa"/>
              <w:left w:w="108" w:type="dxa"/>
              <w:bottom w:w="0" w:type="dxa"/>
              <w:right w:w="108" w:type="dxa"/>
            </w:tcMar>
          </w:tcPr>
          <w:p w14:paraId="7EB0A383" w14:textId="77777777" w:rsidR="00777F73" w:rsidRPr="00F05461" w:rsidRDefault="00777F73" w:rsidP="00403C5E">
            <w:pPr>
              <w:pStyle w:val="Tabletext"/>
              <w:ind w:right="340"/>
              <w:jc w:val="right"/>
              <w:rPr>
                <w:lang w:val="es-ES"/>
              </w:rPr>
            </w:pPr>
            <w:r w:rsidRPr="00F05461">
              <w:rPr>
                <w:lang w:val="es-ES"/>
              </w:rPr>
              <w:t>509,5</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597DC981" w14:textId="77777777" w:rsidR="00777F73" w:rsidRPr="00F05461" w:rsidRDefault="00777F73" w:rsidP="00403C5E">
            <w:pPr>
              <w:pStyle w:val="Tabletext"/>
              <w:ind w:right="454"/>
              <w:jc w:val="right"/>
              <w:rPr>
                <w:lang w:val="es-ES"/>
              </w:rPr>
            </w:pPr>
            <w:r w:rsidRPr="00F05461">
              <w:rPr>
                <w:lang w:val="es-ES"/>
              </w:rPr>
              <w:t>853,6</w:t>
            </w:r>
          </w:p>
        </w:tc>
      </w:tr>
      <w:tr w:rsidR="00777F73" w:rsidRPr="00F05461" w14:paraId="1A408EE7" w14:textId="77777777" w:rsidTr="006C3476">
        <w:trPr>
          <w:jc w:val="center"/>
        </w:trPr>
        <w:tc>
          <w:tcPr>
            <w:tcW w:w="1277" w:type="dxa"/>
            <w:tcBorders>
              <w:left w:val="single" w:sz="8" w:space="0" w:color="000000"/>
              <w:bottom w:val="single" w:sz="8" w:space="0" w:color="000000"/>
            </w:tcBorders>
            <w:tcMar>
              <w:top w:w="0" w:type="dxa"/>
              <w:left w:w="108" w:type="dxa"/>
              <w:bottom w:w="0" w:type="dxa"/>
              <w:right w:w="108" w:type="dxa"/>
            </w:tcMar>
          </w:tcPr>
          <w:p w14:paraId="590D216F" w14:textId="77777777" w:rsidR="00777F73" w:rsidRPr="00F05461" w:rsidRDefault="00777F73" w:rsidP="001E7BC1">
            <w:pPr>
              <w:pStyle w:val="Tabletext"/>
              <w:rPr>
                <w:lang w:val="es-ES"/>
              </w:rPr>
            </w:pPr>
            <w:r w:rsidRPr="00F05461">
              <w:rPr>
                <w:lang w:val="es-ES"/>
              </w:rPr>
              <w:t>Europa</w:t>
            </w:r>
          </w:p>
        </w:tc>
        <w:tc>
          <w:tcPr>
            <w:tcW w:w="1171" w:type="dxa"/>
            <w:tcBorders>
              <w:bottom w:val="single" w:sz="8" w:space="0" w:color="000000"/>
            </w:tcBorders>
            <w:tcMar>
              <w:top w:w="0" w:type="dxa"/>
              <w:left w:w="108" w:type="dxa"/>
              <w:bottom w:w="0" w:type="dxa"/>
              <w:right w:w="108" w:type="dxa"/>
            </w:tcMar>
          </w:tcPr>
          <w:p w14:paraId="67C89017" w14:textId="77777777" w:rsidR="00777F73" w:rsidRPr="00F05461" w:rsidRDefault="00777F73" w:rsidP="00403C5E">
            <w:pPr>
              <w:pStyle w:val="Tabletext"/>
              <w:ind w:right="624"/>
              <w:jc w:val="right"/>
              <w:rPr>
                <w:lang w:val="es-ES"/>
              </w:rPr>
            </w:pPr>
            <w:r w:rsidRPr="00F05461">
              <w:rPr>
                <w:lang w:val="es-ES"/>
              </w:rPr>
              <w:t>3</w:t>
            </w:r>
          </w:p>
        </w:tc>
        <w:tc>
          <w:tcPr>
            <w:tcW w:w="1450" w:type="dxa"/>
            <w:tcBorders>
              <w:bottom w:val="single" w:sz="8" w:space="0" w:color="000000"/>
            </w:tcBorders>
            <w:tcMar>
              <w:top w:w="0" w:type="dxa"/>
              <w:left w:w="108" w:type="dxa"/>
              <w:bottom w:w="0" w:type="dxa"/>
              <w:right w:w="108" w:type="dxa"/>
            </w:tcMar>
          </w:tcPr>
          <w:p w14:paraId="144CAA5C" w14:textId="77777777" w:rsidR="00777F73" w:rsidRPr="00F05461" w:rsidRDefault="00777F73" w:rsidP="00403C5E">
            <w:pPr>
              <w:pStyle w:val="Tabletext"/>
              <w:ind w:right="510"/>
              <w:jc w:val="right"/>
              <w:rPr>
                <w:lang w:val="es-ES"/>
              </w:rPr>
            </w:pPr>
            <w:r w:rsidRPr="00F05461">
              <w:rPr>
                <w:lang w:val="es-ES"/>
              </w:rPr>
              <w:t>411,1</w:t>
            </w:r>
          </w:p>
        </w:tc>
        <w:tc>
          <w:tcPr>
            <w:tcW w:w="1170" w:type="dxa"/>
            <w:tcBorders>
              <w:bottom w:val="single" w:sz="8" w:space="0" w:color="000000"/>
            </w:tcBorders>
            <w:tcMar>
              <w:top w:w="0" w:type="dxa"/>
              <w:left w:w="108" w:type="dxa"/>
              <w:bottom w:w="0" w:type="dxa"/>
              <w:right w:w="108" w:type="dxa"/>
            </w:tcMar>
          </w:tcPr>
          <w:p w14:paraId="5C304364" w14:textId="77777777" w:rsidR="00777F73" w:rsidRPr="00F05461" w:rsidRDefault="00777F73" w:rsidP="00403C5E">
            <w:pPr>
              <w:pStyle w:val="Tabletext"/>
              <w:ind w:right="340"/>
              <w:jc w:val="right"/>
              <w:rPr>
                <w:lang w:val="es-ES"/>
              </w:rPr>
            </w:pPr>
            <w:r w:rsidRPr="00F05461">
              <w:rPr>
                <w:lang w:val="es-ES"/>
              </w:rPr>
              <w:t>45,6</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42964778" w14:textId="77777777" w:rsidR="00777F73" w:rsidRPr="00F05461" w:rsidRDefault="00777F73" w:rsidP="00403C5E">
            <w:pPr>
              <w:pStyle w:val="Tabletext"/>
              <w:ind w:right="454"/>
              <w:jc w:val="right"/>
              <w:rPr>
                <w:lang w:val="es-ES"/>
              </w:rPr>
            </w:pPr>
            <w:r w:rsidRPr="00F05461">
              <w:rPr>
                <w:lang w:val="es-ES"/>
              </w:rPr>
              <w:t>456,7</w:t>
            </w:r>
          </w:p>
        </w:tc>
      </w:tr>
      <w:tr w:rsidR="00777F73" w:rsidRPr="00F05461" w14:paraId="0B303EF2" w14:textId="77777777" w:rsidTr="006C3476">
        <w:trPr>
          <w:jc w:val="center"/>
        </w:trPr>
        <w:tc>
          <w:tcPr>
            <w:tcW w:w="1277" w:type="dxa"/>
            <w:tcBorders>
              <w:left w:val="single" w:sz="8" w:space="0" w:color="000000"/>
              <w:bottom w:val="single" w:sz="8" w:space="0" w:color="000000"/>
            </w:tcBorders>
            <w:tcMar>
              <w:top w:w="0" w:type="dxa"/>
              <w:left w:w="108" w:type="dxa"/>
              <w:bottom w:w="0" w:type="dxa"/>
              <w:right w:w="108" w:type="dxa"/>
            </w:tcMar>
          </w:tcPr>
          <w:p w14:paraId="39B6F242" w14:textId="77777777" w:rsidR="00777F73" w:rsidRPr="00F05461" w:rsidRDefault="00777F73" w:rsidP="001E7BC1">
            <w:pPr>
              <w:pStyle w:val="Tabletext"/>
              <w:rPr>
                <w:lang w:val="es-ES"/>
              </w:rPr>
            </w:pPr>
            <w:r w:rsidRPr="00F05461">
              <w:rPr>
                <w:lang w:val="es-ES"/>
              </w:rPr>
              <w:t>Multirregional</w:t>
            </w:r>
            <w:r w:rsidRPr="00F05461">
              <w:rPr>
                <w:rStyle w:val="FootnoteReference"/>
                <w:lang w:val="es-ES"/>
              </w:rPr>
              <w:t>*</w:t>
            </w:r>
          </w:p>
        </w:tc>
        <w:tc>
          <w:tcPr>
            <w:tcW w:w="1171" w:type="dxa"/>
            <w:tcBorders>
              <w:bottom w:val="single" w:sz="8" w:space="0" w:color="000000"/>
            </w:tcBorders>
            <w:noWrap/>
            <w:tcMar>
              <w:top w:w="0" w:type="dxa"/>
              <w:left w:w="108" w:type="dxa"/>
              <w:bottom w:w="0" w:type="dxa"/>
              <w:right w:w="108" w:type="dxa"/>
            </w:tcMar>
          </w:tcPr>
          <w:p w14:paraId="3A78AC9D" w14:textId="77777777" w:rsidR="00777F73" w:rsidRPr="00F05461" w:rsidRDefault="00777F73" w:rsidP="00403C5E">
            <w:pPr>
              <w:pStyle w:val="Tabletext"/>
              <w:ind w:right="624"/>
              <w:jc w:val="right"/>
              <w:rPr>
                <w:lang w:val="es-ES"/>
              </w:rPr>
            </w:pPr>
            <w:r w:rsidRPr="00F05461">
              <w:rPr>
                <w:lang w:val="es-ES"/>
              </w:rPr>
              <w:t>43</w:t>
            </w:r>
          </w:p>
        </w:tc>
        <w:tc>
          <w:tcPr>
            <w:tcW w:w="1450" w:type="dxa"/>
            <w:tcBorders>
              <w:bottom w:val="single" w:sz="8" w:space="0" w:color="000000"/>
            </w:tcBorders>
            <w:tcMar>
              <w:top w:w="0" w:type="dxa"/>
              <w:left w:w="108" w:type="dxa"/>
              <w:bottom w:w="0" w:type="dxa"/>
              <w:right w:w="108" w:type="dxa"/>
            </w:tcMar>
          </w:tcPr>
          <w:p w14:paraId="4282C652" w14:textId="77777777" w:rsidR="00777F73" w:rsidRPr="00F05461" w:rsidRDefault="00777F73" w:rsidP="00403C5E">
            <w:pPr>
              <w:pStyle w:val="Tabletext"/>
              <w:ind w:right="510"/>
              <w:jc w:val="right"/>
              <w:rPr>
                <w:lang w:val="es-ES"/>
              </w:rPr>
            </w:pPr>
            <w:r w:rsidRPr="00F05461">
              <w:rPr>
                <w:lang w:val="es-ES"/>
              </w:rPr>
              <w:t>25 164,9</w:t>
            </w:r>
          </w:p>
        </w:tc>
        <w:tc>
          <w:tcPr>
            <w:tcW w:w="1170" w:type="dxa"/>
            <w:tcBorders>
              <w:bottom w:val="single" w:sz="8" w:space="0" w:color="000000"/>
            </w:tcBorders>
            <w:tcMar>
              <w:top w:w="0" w:type="dxa"/>
              <w:left w:w="108" w:type="dxa"/>
              <w:bottom w:w="0" w:type="dxa"/>
              <w:right w:w="108" w:type="dxa"/>
            </w:tcMar>
          </w:tcPr>
          <w:p w14:paraId="2DFF15FA" w14:textId="77777777" w:rsidR="00777F73" w:rsidRPr="00F05461" w:rsidRDefault="00777F73" w:rsidP="00403C5E">
            <w:pPr>
              <w:pStyle w:val="Tabletext"/>
              <w:ind w:right="340"/>
              <w:jc w:val="right"/>
              <w:rPr>
                <w:lang w:val="es-ES"/>
              </w:rPr>
            </w:pPr>
            <w:r w:rsidRPr="00F05461">
              <w:rPr>
                <w:lang w:val="es-ES"/>
              </w:rPr>
              <w:t>7 880,7</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2DFAD7A9" w14:textId="77777777" w:rsidR="00777F73" w:rsidRPr="00F05461" w:rsidRDefault="00777F73" w:rsidP="00403C5E">
            <w:pPr>
              <w:pStyle w:val="Tabletext"/>
              <w:ind w:right="454"/>
              <w:jc w:val="right"/>
              <w:rPr>
                <w:lang w:val="es-ES"/>
              </w:rPr>
            </w:pPr>
            <w:r w:rsidRPr="00F05461">
              <w:rPr>
                <w:lang w:val="es-ES"/>
              </w:rPr>
              <w:t>33 045,5</w:t>
            </w:r>
          </w:p>
        </w:tc>
      </w:tr>
      <w:tr w:rsidR="00777F73" w:rsidRPr="00F05461" w14:paraId="3759C2F4" w14:textId="77777777" w:rsidTr="006C3476">
        <w:trPr>
          <w:jc w:val="center"/>
        </w:trPr>
        <w:tc>
          <w:tcPr>
            <w:tcW w:w="1277" w:type="dxa"/>
            <w:tcBorders>
              <w:left w:val="single" w:sz="8" w:space="0" w:color="000000"/>
              <w:bottom w:val="single" w:sz="8" w:space="0" w:color="000000"/>
            </w:tcBorders>
            <w:shd w:val="clear" w:color="auto" w:fill="C1E4F5"/>
            <w:noWrap/>
            <w:tcMar>
              <w:top w:w="0" w:type="dxa"/>
              <w:left w:w="108" w:type="dxa"/>
              <w:bottom w:w="0" w:type="dxa"/>
              <w:right w:w="108" w:type="dxa"/>
            </w:tcMar>
            <w:vAlign w:val="center"/>
          </w:tcPr>
          <w:p w14:paraId="54EB8781" w14:textId="77777777" w:rsidR="00777F73" w:rsidRPr="00F05461" w:rsidRDefault="00777F73" w:rsidP="001E7BC1">
            <w:pPr>
              <w:pStyle w:val="Tabletext"/>
              <w:rPr>
                <w:b/>
                <w:bCs/>
                <w:lang w:val="es-ES"/>
              </w:rPr>
            </w:pPr>
            <w:r w:rsidRPr="00F05461">
              <w:rPr>
                <w:b/>
                <w:bCs/>
                <w:lang w:val="es-ES"/>
              </w:rPr>
              <w:t>Total</w:t>
            </w:r>
          </w:p>
        </w:tc>
        <w:tc>
          <w:tcPr>
            <w:tcW w:w="1171" w:type="dxa"/>
            <w:tcBorders>
              <w:bottom w:val="single" w:sz="8" w:space="0" w:color="000000"/>
            </w:tcBorders>
            <w:shd w:val="clear" w:color="auto" w:fill="C1E4F5"/>
            <w:noWrap/>
            <w:tcMar>
              <w:top w:w="0" w:type="dxa"/>
              <w:left w:w="108" w:type="dxa"/>
              <w:bottom w:w="0" w:type="dxa"/>
              <w:right w:w="108" w:type="dxa"/>
            </w:tcMar>
          </w:tcPr>
          <w:p w14:paraId="6ABA458A" w14:textId="77777777" w:rsidR="00777F73" w:rsidRPr="00F05461" w:rsidRDefault="00777F73" w:rsidP="00403C5E">
            <w:pPr>
              <w:pStyle w:val="Tabletext"/>
              <w:ind w:right="624"/>
              <w:jc w:val="right"/>
              <w:rPr>
                <w:lang w:val="es-ES"/>
              </w:rPr>
            </w:pPr>
            <w:r w:rsidRPr="00F05461">
              <w:rPr>
                <w:b/>
                <w:bCs/>
                <w:lang w:val="es-ES"/>
              </w:rPr>
              <w:t>106</w:t>
            </w:r>
          </w:p>
        </w:tc>
        <w:tc>
          <w:tcPr>
            <w:tcW w:w="1450" w:type="dxa"/>
            <w:tcBorders>
              <w:bottom w:val="single" w:sz="8" w:space="0" w:color="000000"/>
            </w:tcBorders>
            <w:shd w:val="clear" w:color="auto" w:fill="C1E4F5"/>
            <w:noWrap/>
            <w:tcMar>
              <w:top w:w="0" w:type="dxa"/>
              <w:left w:w="108" w:type="dxa"/>
              <w:bottom w:w="0" w:type="dxa"/>
              <w:right w:w="108" w:type="dxa"/>
            </w:tcMar>
          </w:tcPr>
          <w:p w14:paraId="070AABA2" w14:textId="77777777" w:rsidR="00777F73" w:rsidRPr="00F05461" w:rsidRDefault="00777F73" w:rsidP="00403C5E">
            <w:pPr>
              <w:pStyle w:val="Tabletext"/>
              <w:ind w:right="510"/>
              <w:jc w:val="right"/>
              <w:rPr>
                <w:lang w:val="es-ES"/>
              </w:rPr>
            </w:pPr>
            <w:r w:rsidRPr="00F05461">
              <w:rPr>
                <w:b/>
                <w:bCs/>
                <w:lang w:val="es-ES"/>
              </w:rPr>
              <w:t>68 022,0</w:t>
            </w:r>
          </w:p>
        </w:tc>
        <w:tc>
          <w:tcPr>
            <w:tcW w:w="1170" w:type="dxa"/>
            <w:tcBorders>
              <w:bottom w:val="single" w:sz="8" w:space="0" w:color="000000"/>
            </w:tcBorders>
            <w:shd w:val="clear" w:color="auto" w:fill="C1E4F5"/>
            <w:noWrap/>
            <w:tcMar>
              <w:top w:w="0" w:type="dxa"/>
              <w:left w:w="108" w:type="dxa"/>
              <w:bottom w:w="0" w:type="dxa"/>
              <w:right w:w="108" w:type="dxa"/>
            </w:tcMar>
          </w:tcPr>
          <w:p w14:paraId="3F6719ED" w14:textId="6A51C833" w:rsidR="00777F73" w:rsidRPr="00F05461" w:rsidRDefault="00777F73" w:rsidP="00403C5E">
            <w:pPr>
              <w:pStyle w:val="Tabletext"/>
              <w:ind w:right="340"/>
              <w:jc w:val="right"/>
              <w:rPr>
                <w:lang w:val="es-ES"/>
              </w:rPr>
            </w:pPr>
            <w:r w:rsidRPr="00F05461">
              <w:rPr>
                <w:b/>
                <w:bCs/>
                <w:lang w:val="es-ES"/>
              </w:rPr>
              <w:t>11</w:t>
            </w:r>
            <w:r w:rsidR="008A4871" w:rsidRPr="00F05461">
              <w:rPr>
                <w:b/>
                <w:bCs/>
                <w:lang w:val="es-ES"/>
              </w:rPr>
              <w:t> </w:t>
            </w:r>
            <w:r w:rsidRPr="00F05461">
              <w:rPr>
                <w:b/>
                <w:bCs/>
                <w:lang w:val="es-ES"/>
              </w:rPr>
              <w:t>726,5</w:t>
            </w:r>
          </w:p>
        </w:tc>
        <w:tc>
          <w:tcPr>
            <w:tcW w:w="1344" w:type="dxa"/>
            <w:tcBorders>
              <w:bottom w:val="single" w:sz="8" w:space="0" w:color="000000"/>
              <w:right w:val="single" w:sz="8" w:space="0" w:color="000000"/>
            </w:tcBorders>
            <w:shd w:val="clear" w:color="auto" w:fill="C1E4F5"/>
            <w:noWrap/>
            <w:tcMar>
              <w:top w:w="0" w:type="dxa"/>
              <w:left w:w="108" w:type="dxa"/>
              <w:bottom w:w="0" w:type="dxa"/>
              <w:right w:w="108" w:type="dxa"/>
            </w:tcMar>
          </w:tcPr>
          <w:p w14:paraId="715A7C26" w14:textId="1D794DF2" w:rsidR="00777F73" w:rsidRPr="00F05461" w:rsidRDefault="00777F73" w:rsidP="00403C5E">
            <w:pPr>
              <w:pStyle w:val="Tabletext"/>
              <w:ind w:right="454"/>
              <w:jc w:val="right"/>
              <w:rPr>
                <w:lang w:val="es-ES"/>
              </w:rPr>
            </w:pPr>
            <w:r w:rsidRPr="00F05461">
              <w:rPr>
                <w:b/>
                <w:bCs/>
                <w:lang w:val="es-ES"/>
              </w:rPr>
              <w:t>79</w:t>
            </w:r>
            <w:r w:rsidR="008A4871" w:rsidRPr="00F05461">
              <w:rPr>
                <w:b/>
                <w:bCs/>
                <w:lang w:val="es-ES"/>
              </w:rPr>
              <w:t> </w:t>
            </w:r>
            <w:r w:rsidRPr="00F05461">
              <w:rPr>
                <w:b/>
                <w:bCs/>
                <w:lang w:val="es-ES"/>
              </w:rPr>
              <w:t>748,5</w:t>
            </w:r>
          </w:p>
        </w:tc>
      </w:tr>
    </w:tbl>
    <w:p w14:paraId="46E78A07" w14:textId="22375F88" w:rsidR="00B1145C" w:rsidRPr="00F05461" w:rsidRDefault="00B1145C" w:rsidP="00777F73">
      <w:pPr>
        <w:pStyle w:val="Tablelegend"/>
        <w:rPr>
          <w:lang w:val="es-ES"/>
        </w:rPr>
      </w:pPr>
      <w:r w:rsidRPr="00F05461">
        <w:rPr>
          <w:rStyle w:val="FootnoteReference"/>
          <w:lang w:val="es-ES"/>
        </w:rPr>
        <w:t>*</w:t>
      </w:r>
      <w:r w:rsidR="00005200" w:rsidRPr="00F05461">
        <w:rPr>
          <w:lang w:val="es-ES"/>
        </w:rPr>
        <w:tab/>
      </w:r>
      <w:r w:rsidRPr="00F05461">
        <w:rPr>
          <w:lang w:val="es-ES"/>
        </w:rPr>
        <w:t>Proyectos multirregionales o proyectos que benefician a todas las regiones</w:t>
      </w:r>
      <w:r w:rsidR="006D6680" w:rsidRPr="00F05461">
        <w:rPr>
          <w:lang w:val="es-ES"/>
        </w:rPr>
        <w:t>.</w:t>
      </w:r>
    </w:p>
    <w:p w14:paraId="3BA6FCEB" w14:textId="41EB261C" w:rsidR="00B1145C" w:rsidRPr="00F05461" w:rsidRDefault="00B1145C" w:rsidP="00777F73">
      <w:pPr>
        <w:pStyle w:val="Normalaftertitle"/>
        <w:rPr>
          <w:lang w:val="es-ES"/>
        </w:rPr>
      </w:pPr>
      <w:r w:rsidRPr="00F05461">
        <w:rPr>
          <w:lang w:val="es-ES"/>
        </w:rPr>
        <w:t>En 2025, la</w:t>
      </w:r>
      <w:r w:rsidR="008A4871" w:rsidRPr="00F05461">
        <w:rPr>
          <w:lang w:val="es-ES"/>
        </w:rPr>
        <w:t> </w:t>
      </w:r>
      <w:r w:rsidRPr="00F05461">
        <w:rPr>
          <w:lang w:val="es-ES"/>
        </w:rPr>
        <w:t>BDT firmó un total de 26</w:t>
      </w:r>
      <w:r w:rsidR="00BE5909" w:rsidRPr="00F05461">
        <w:rPr>
          <w:lang w:val="es-ES"/>
        </w:rPr>
        <w:t> </w:t>
      </w:r>
      <w:r w:rsidRPr="00F05461">
        <w:rPr>
          <w:lang w:val="es-ES"/>
        </w:rPr>
        <w:t>nuevos proyectos por un valor de 4,3</w:t>
      </w:r>
      <w:r w:rsidR="008A4871" w:rsidRPr="00F05461">
        <w:rPr>
          <w:lang w:val="es-ES"/>
        </w:rPr>
        <w:t> </w:t>
      </w:r>
      <w:r w:rsidRPr="00F05461">
        <w:rPr>
          <w:lang w:val="es-ES"/>
        </w:rPr>
        <w:t>millones</w:t>
      </w:r>
      <w:r w:rsidR="008A4871" w:rsidRPr="00F05461">
        <w:rPr>
          <w:lang w:val="es-ES"/>
        </w:rPr>
        <w:t> </w:t>
      </w:r>
      <w:r w:rsidRPr="00F05461">
        <w:rPr>
          <w:lang w:val="es-ES"/>
        </w:rPr>
        <w:t>CHF. Con estas cifras, la</w:t>
      </w:r>
      <w:r w:rsidR="008A4871" w:rsidRPr="00F05461">
        <w:rPr>
          <w:lang w:val="es-ES"/>
        </w:rPr>
        <w:t> </w:t>
      </w:r>
      <w:r w:rsidRPr="00F05461">
        <w:rPr>
          <w:lang w:val="es-ES"/>
        </w:rPr>
        <w:t>BDT cerró el ciclo de la</w:t>
      </w:r>
      <w:r w:rsidR="00BE5909" w:rsidRPr="00F05461">
        <w:rPr>
          <w:lang w:val="es-ES"/>
        </w:rPr>
        <w:t> </w:t>
      </w:r>
      <w:r w:rsidRPr="00F05461">
        <w:rPr>
          <w:lang w:val="es-ES"/>
        </w:rPr>
        <w:t>CMDT anterior (2023-2025) con un total de 91</w:t>
      </w:r>
      <w:r w:rsidR="008A4871" w:rsidRPr="00F05461">
        <w:rPr>
          <w:lang w:val="es-ES"/>
        </w:rPr>
        <w:t> </w:t>
      </w:r>
      <w:r w:rsidRPr="00F05461">
        <w:rPr>
          <w:lang w:val="es-ES"/>
        </w:rPr>
        <w:t>nuevos proyectos firmados por valor de 51</w:t>
      </w:r>
      <w:r w:rsidR="008A4871" w:rsidRPr="00F05461">
        <w:rPr>
          <w:lang w:val="es-ES"/>
        </w:rPr>
        <w:t> </w:t>
      </w:r>
      <w:r w:rsidRPr="00F05461">
        <w:rPr>
          <w:lang w:val="es-ES"/>
        </w:rPr>
        <w:t>millones</w:t>
      </w:r>
      <w:r w:rsidR="008A4871" w:rsidRPr="00F05461">
        <w:rPr>
          <w:lang w:val="es-ES"/>
        </w:rPr>
        <w:t> </w:t>
      </w:r>
      <w:r w:rsidRPr="00F05461">
        <w:rPr>
          <w:lang w:val="es-ES"/>
        </w:rPr>
        <w:t xml:space="preserve">CHF. A pesar de tratarse de un periodo de ejecución más corto, de </w:t>
      </w:r>
      <w:r w:rsidR="00FD399B" w:rsidRPr="00F05461">
        <w:rPr>
          <w:lang w:val="es-ES"/>
        </w:rPr>
        <w:t>tres </w:t>
      </w:r>
      <w:r w:rsidRPr="00F05461">
        <w:rPr>
          <w:lang w:val="es-ES"/>
        </w:rPr>
        <w:t>años, el número total de proyectos firmados durante el ciclo representa una tendencia positiva en términos de movilización de recursos, que continúa la tendencia al alza ya lograda durante el ciclo de la</w:t>
      </w:r>
      <w:r w:rsidR="008A4871" w:rsidRPr="00F05461">
        <w:rPr>
          <w:lang w:val="es-ES"/>
        </w:rPr>
        <w:t> </w:t>
      </w:r>
      <w:r w:rsidRPr="00F05461">
        <w:rPr>
          <w:lang w:val="es-ES"/>
        </w:rPr>
        <w:t>CMDT-17 (2018-2022) (véa</w:t>
      </w:r>
      <w:r w:rsidR="00082665" w:rsidRPr="00F05461">
        <w:rPr>
          <w:lang w:val="es-ES"/>
        </w:rPr>
        <w:t>n</w:t>
      </w:r>
      <w:r w:rsidRPr="00F05461">
        <w:rPr>
          <w:lang w:val="es-ES"/>
        </w:rPr>
        <w:t>se las Figuras</w:t>
      </w:r>
      <w:r w:rsidR="008A4871" w:rsidRPr="00F05461">
        <w:rPr>
          <w:lang w:val="es-ES"/>
        </w:rPr>
        <w:t> </w:t>
      </w:r>
      <w:hyperlink w:anchor="Figure_18" w:history="1">
        <w:r w:rsidR="00082665" w:rsidRPr="00F05461">
          <w:rPr>
            <w:rStyle w:val="Hyperlink"/>
            <w:rFonts w:eastAsia="Times New Roman" w:cs="Times New Roman"/>
            <w:szCs w:val="20"/>
            <w:lang w:val="es-ES"/>
          </w:rPr>
          <w:t>18</w:t>
        </w:r>
      </w:hyperlink>
      <w:r w:rsidRPr="00F05461">
        <w:rPr>
          <w:lang w:val="es-ES"/>
        </w:rPr>
        <w:t xml:space="preserve"> y </w:t>
      </w:r>
      <w:hyperlink w:anchor="Figure_19" w:history="1">
        <w:r w:rsidR="00082665" w:rsidRPr="00F05461">
          <w:rPr>
            <w:rStyle w:val="Hyperlink"/>
            <w:rFonts w:eastAsia="Times New Roman" w:cs="Times New Roman"/>
            <w:szCs w:val="20"/>
            <w:lang w:val="es-ES"/>
          </w:rPr>
          <w:t>19</w:t>
        </w:r>
      </w:hyperlink>
      <w:r w:rsidRPr="00F05461">
        <w:rPr>
          <w:lang w:val="es-ES"/>
        </w:rPr>
        <w:t xml:space="preserve">). Estos nuevos proyectos son de carácter multirregional, regional y nacional, y abarcan toda la gama de prioridades </w:t>
      </w:r>
      <w:r w:rsidR="00A10309" w:rsidRPr="00F05461">
        <w:rPr>
          <w:lang w:val="es-ES"/>
        </w:rPr>
        <w:t>del UIT</w:t>
      </w:r>
      <w:r w:rsidR="00A10309" w:rsidRPr="00F05461">
        <w:rPr>
          <w:lang w:val="es-ES"/>
        </w:rPr>
        <w:noBreakHyphen/>
      </w:r>
      <w:r w:rsidRPr="00F05461">
        <w:rPr>
          <w:lang w:val="es-ES"/>
        </w:rPr>
        <w:t>D definidas en el Plan de Acción de Kigali de la</w:t>
      </w:r>
      <w:r w:rsidR="00BE5909" w:rsidRPr="00F05461">
        <w:rPr>
          <w:lang w:val="es-ES"/>
        </w:rPr>
        <w:t> </w:t>
      </w:r>
      <w:r w:rsidRPr="00F05461">
        <w:rPr>
          <w:lang w:val="es-ES"/>
        </w:rPr>
        <w:t>CMDT.</w:t>
      </w:r>
    </w:p>
    <w:p w14:paraId="199639D7" w14:textId="68D9F73B" w:rsidR="00D900CF" w:rsidRPr="00F05461" w:rsidRDefault="00D900CF" w:rsidP="006D6680">
      <w:pPr>
        <w:pStyle w:val="Figure"/>
        <w:rPr>
          <w:lang w:val="es-ES"/>
        </w:rPr>
      </w:pPr>
      <w:r w:rsidRPr="00F05461">
        <w:rPr>
          <w:noProof/>
          <w:lang w:val="es-ES"/>
        </w:rPr>
        <w:lastRenderedPageBreak/>
        <w:drawing>
          <wp:inline distT="0" distB="0" distL="0" distR="0" wp14:anchorId="3E62688A" wp14:editId="0B72BDD0">
            <wp:extent cx="5360400" cy="214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360400" cy="2142000"/>
                    </a:xfrm>
                    <a:prstGeom prst="rect">
                      <a:avLst/>
                    </a:prstGeom>
                    <a:noFill/>
                  </pic:spPr>
                </pic:pic>
              </a:graphicData>
            </a:graphic>
          </wp:inline>
        </w:drawing>
      </w:r>
    </w:p>
    <w:p w14:paraId="0727067F" w14:textId="25B13049" w:rsidR="00B1145C" w:rsidRPr="00F05461" w:rsidRDefault="00B1145C" w:rsidP="007758F2">
      <w:pPr>
        <w:pStyle w:val="Tablelegend"/>
        <w:jc w:val="center"/>
        <w:rPr>
          <w:i/>
          <w:iCs/>
          <w:color w:val="1F497D"/>
          <w:lang w:val="es-ES"/>
        </w:rPr>
      </w:pPr>
      <w:bookmarkStart w:id="79" w:name="Figure_18"/>
      <w:r w:rsidRPr="00F05461">
        <w:rPr>
          <w:i/>
          <w:iCs/>
          <w:color w:val="1F497D"/>
          <w:lang w:val="es-ES"/>
        </w:rPr>
        <w:t>Figura</w:t>
      </w:r>
      <w:r w:rsidR="001473A4" w:rsidRPr="00F05461">
        <w:rPr>
          <w:i/>
          <w:iCs/>
          <w:color w:val="1F497D"/>
          <w:lang w:val="es-ES"/>
        </w:rPr>
        <w:t> </w:t>
      </w:r>
      <w:r w:rsidRPr="00F05461">
        <w:rPr>
          <w:i/>
          <w:iCs/>
          <w:color w:val="1F497D"/>
          <w:lang w:val="es-ES"/>
        </w:rPr>
        <w:t xml:space="preserve">18. Nuevos proyectos suscritos por </w:t>
      </w:r>
      <w:r w:rsidR="00296F03" w:rsidRPr="00F05461">
        <w:rPr>
          <w:i/>
          <w:iCs/>
          <w:color w:val="1F497D"/>
          <w:lang w:val="es-ES"/>
        </w:rPr>
        <w:t>la UIT</w:t>
      </w:r>
      <w:r w:rsidRPr="00F05461">
        <w:rPr>
          <w:i/>
          <w:iCs/>
          <w:color w:val="1F497D"/>
          <w:lang w:val="es-ES"/>
        </w:rPr>
        <w:t>, por año de firma (2015-2025)</w:t>
      </w:r>
    </w:p>
    <w:p w14:paraId="2C448041" w14:textId="46ECB461" w:rsidR="005E060C" w:rsidRPr="00F05461" w:rsidRDefault="005E060C" w:rsidP="005E060C">
      <w:pPr>
        <w:pStyle w:val="Figure"/>
        <w:rPr>
          <w:lang w:val="es-ES"/>
        </w:rPr>
      </w:pPr>
      <w:bookmarkStart w:id="80" w:name="Figure_19"/>
      <w:bookmarkEnd w:id="79"/>
      <w:bookmarkEnd w:id="80"/>
      <w:r w:rsidRPr="00F05461">
        <w:rPr>
          <w:noProof/>
          <w:lang w:val="es-ES"/>
        </w:rPr>
        <w:drawing>
          <wp:inline distT="0" distB="0" distL="0" distR="0" wp14:anchorId="58873447" wp14:editId="6FE0C583">
            <wp:extent cx="4507200" cy="2206800"/>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507200" cy="2206800"/>
                    </a:xfrm>
                    <a:prstGeom prst="rect">
                      <a:avLst/>
                    </a:prstGeom>
                    <a:noFill/>
                  </pic:spPr>
                </pic:pic>
              </a:graphicData>
            </a:graphic>
          </wp:inline>
        </w:drawing>
      </w:r>
    </w:p>
    <w:p w14:paraId="10A4B30D" w14:textId="4985C788" w:rsidR="00B1145C" w:rsidRPr="00F05461" w:rsidRDefault="00B1145C" w:rsidP="007758F2">
      <w:pPr>
        <w:pStyle w:val="Tablelegend"/>
        <w:jc w:val="center"/>
        <w:rPr>
          <w:i/>
          <w:iCs/>
          <w:color w:val="1F497D"/>
          <w:lang w:val="es-ES"/>
        </w:rPr>
      </w:pPr>
      <w:r w:rsidRPr="00F05461">
        <w:rPr>
          <w:i/>
          <w:iCs/>
          <w:color w:val="1F497D"/>
          <w:lang w:val="es-ES"/>
        </w:rPr>
        <w:t>Figura</w:t>
      </w:r>
      <w:r w:rsidR="001473A4" w:rsidRPr="00F05461">
        <w:rPr>
          <w:i/>
          <w:iCs/>
          <w:color w:val="1F497D"/>
          <w:lang w:val="es-ES"/>
        </w:rPr>
        <w:t> </w:t>
      </w:r>
      <w:r w:rsidRPr="00F05461">
        <w:rPr>
          <w:i/>
          <w:iCs/>
          <w:color w:val="1F497D"/>
          <w:lang w:val="es-ES"/>
        </w:rPr>
        <w:t>19. Financiación movilizada en nuevos proyectos firmados, por ciclos de la CMDT</w:t>
      </w:r>
    </w:p>
    <w:p w14:paraId="1975A243" w14:textId="357FD7EC" w:rsidR="00B1145C" w:rsidRPr="00F05461" w:rsidRDefault="00B1145C" w:rsidP="00777F73">
      <w:pPr>
        <w:pStyle w:val="Normalaftertitle"/>
        <w:rPr>
          <w:lang w:val="es-ES"/>
        </w:rPr>
      </w:pPr>
      <w:r w:rsidRPr="00F05461">
        <w:rPr>
          <w:lang w:val="es-ES"/>
        </w:rPr>
        <w:t>En cuanto a la fuente de financiación, el 90</w:t>
      </w:r>
      <w:r w:rsidR="001473A4" w:rsidRPr="00F05461">
        <w:rPr>
          <w:lang w:val="es-ES"/>
        </w:rPr>
        <w:t> </w:t>
      </w:r>
      <w:r w:rsidR="001D269F" w:rsidRPr="00F05461">
        <w:rPr>
          <w:lang w:val="es-ES"/>
        </w:rPr>
        <w:t>por ciento</w:t>
      </w:r>
      <w:r w:rsidRPr="00F05461">
        <w:rPr>
          <w:lang w:val="es-ES"/>
        </w:rPr>
        <w:t xml:space="preserve"> de los fondos para los nuevos proyectos firmados durante el ciclo de la</w:t>
      </w:r>
      <w:r w:rsidR="00BE5909" w:rsidRPr="00F05461">
        <w:rPr>
          <w:lang w:val="es-ES"/>
        </w:rPr>
        <w:t> </w:t>
      </w:r>
      <w:r w:rsidRPr="00F05461">
        <w:rPr>
          <w:lang w:val="es-ES"/>
        </w:rPr>
        <w:t xml:space="preserve">CMDT </w:t>
      </w:r>
      <w:r w:rsidR="00B933C5" w:rsidRPr="00F05461">
        <w:rPr>
          <w:lang w:val="es-ES"/>
        </w:rPr>
        <w:t>de 202</w:t>
      </w:r>
      <w:r w:rsidR="00711F8C" w:rsidRPr="00F05461">
        <w:rPr>
          <w:lang w:val="es-ES"/>
        </w:rPr>
        <w:t>3</w:t>
      </w:r>
      <w:r w:rsidRPr="00F05461">
        <w:rPr>
          <w:lang w:val="es-ES"/>
        </w:rPr>
        <w:t>-2025 procedían de fondos extrapresupuestarios de terceros movilizados por la</w:t>
      </w:r>
      <w:r w:rsidR="008A4871" w:rsidRPr="00F05461">
        <w:rPr>
          <w:lang w:val="es-ES"/>
        </w:rPr>
        <w:t> </w:t>
      </w:r>
      <w:r w:rsidRPr="00F05461">
        <w:rPr>
          <w:lang w:val="es-ES"/>
        </w:rPr>
        <w:t>BDT, mientras que el 10</w:t>
      </w:r>
      <w:r w:rsidR="001473A4" w:rsidRPr="00F05461">
        <w:rPr>
          <w:lang w:val="es-ES"/>
        </w:rPr>
        <w:t> </w:t>
      </w:r>
      <w:r w:rsidR="001D269F" w:rsidRPr="00F05461">
        <w:rPr>
          <w:lang w:val="es-ES"/>
        </w:rPr>
        <w:t>por ciento</w:t>
      </w:r>
      <w:r w:rsidRPr="00F05461">
        <w:rPr>
          <w:lang w:val="es-ES"/>
        </w:rPr>
        <w:t xml:space="preserve"> restante procedía de la atribución de fondos iniciales de </w:t>
      </w:r>
      <w:r w:rsidR="00296F03" w:rsidRPr="00F05461">
        <w:rPr>
          <w:lang w:val="es-ES"/>
        </w:rPr>
        <w:t>la UIT</w:t>
      </w:r>
      <w:r w:rsidRPr="00F05461">
        <w:rPr>
          <w:lang w:val="es-ES"/>
        </w:rPr>
        <w:t xml:space="preserve"> a través del</w:t>
      </w:r>
      <w:r w:rsidR="005E060C" w:rsidRPr="00F05461">
        <w:rPr>
          <w:lang w:val="es-ES"/>
        </w:rPr>
        <w:t> </w:t>
      </w:r>
      <w:r w:rsidRPr="00F05461">
        <w:rPr>
          <w:lang w:val="es-ES"/>
        </w:rPr>
        <w:t xml:space="preserve">FD-TIC de </w:t>
      </w:r>
      <w:r w:rsidR="00296F03" w:rsidRPr="00F05461">
        <w:rPr>
          <w:lang w:val="es-ES"/>
        </w:rPr>
        <w:t>la UIT</w:t>
      </w:r>
      <w:r w:rsidRPr="00F05461">
        <w:rPr>
          <w:lang w:val="es-ES"/>
        </w:rPr>
        <w:t xml:space="preserve">. En particular, puesto que </w:t>
      </w:r>
      <w:r w:rsidR="00296F03" w:rsidRPr="00F05461">
        <w:rPr>
          <w:lang w:val="es-ES"/>
        </w:rPr>
        <w:t>la UIT</w:t>
      </w:r>
      <w:r w:rsidRPr="00F05461">
        <w:rPr>
          <w:lang w:val="es-ES"/>
        </w:rPr>
        <w:t xml:space="preserve"> no es una institución de financiación, la firma de nuevos proyectos depende en gran medida de la disponibilidad de socios financiadores dispuestos a respaldar los trabajos de </w:t>
      </w:r>
      <w:r w:rsidR="00296F03" w:rsidRPr="00F05461">
        <w:rPr>
          <w:lang w:val="es-ES"/>
        </w:rPr>
        <w:t>la UIT</w:t>
      </w:r>
      <w:r w:rsidRPr="00F05461">
        <w:rPr>
          <w:lang w:val="es-ES"/>
        </w:rPr>
        <w:t>. Sin embargo, el</w:t>
      </w:r>
      <w:r w:rsidR="007758F2" w:rsidRPr="00F05461">
        <w:rPr>
          <w:lang w:val="es-ES"/>
        </w:rPr>
        <w:t> </w:t>
      </w:r>
      <w:r w:rsidRPr="00F05461">
        <w:rPr>
          <w:lang w:val="es-ES"/>
        </w:rPr>
        <w:t>FD</w:t>
      </w:r>
      <w:r w:rsidR="007758F2" w:rsidRPr="00F05461">
        <w:rPr>
          <w:lang w:val="es-ES"/>
        </w:rPr>
        <w:noBreakHyphen/>
      </w:r>
      <w:r w:rsidRPr="00F05461">
        <w:rPr>
          <w:lang w:val="es-ES"/>
        </w:rPr>
        <w:t xml:space="preserve">TIC ha proporcionado un recurso fundamental para facilitar la puesta en marcha de los nuevos proyectos </w:t>
      </w:r>
      <w:r w:rsidR="00A10309" w:rsidRPr="00F05461">
        <w:rPr>
          <w:lang w:val="es-ES"/>
        </w:rPr>
        <w:t>del UIT</w:t>
      </w:r>
      <w:r w:rsidR="00A10309" w:rsidRPr="00F05461">
        <w:rPr>
          <w:lang w:val="es-ES"/>
        </w:rPr>
        <w:noBreakHyphen/>
      </w:r>
      <w:r w:rsidRPr="00F05461">
        <w:rPr>
          <w:lang w:val="es-ES"/>
        </w:rPr>
        <w:t>D, ya que un número cada vez mayor de donantes exige que los organismos que reciben fondos faciliten un cierto nivel de cofinanciación para garantizar la viabilidad de nuevos proyectos. Esto demuestra la importancia fundamental del</w:t>
      </w:r>
      <w:r w:rsidR="007758F2" w:rsidRPr="00F05461">
        <w:rPr>
          <w:lang w:val="es-ES"/>
        </w:rPr>
        <w:t> </w:t>
      </w:r>
      <w:r w:rsidRPr="00F05461">
        <w:rPr>
          <w:lang w:val="es-ES"/>
        </w:rPr>
        <w:t>FD</w:t>
      </w:r>
      <w:r w:rsidR="007758F2" w:rsidRPr="00F05461">
        <w:rPr>
          <w:lang w:val="es-ES"/>
        </w:rPr>
        <w:noBreakHyphen/>
      </w:r>
      <w:r w:rsidRPr="00F05461">
        <w:rPr>
          <w:lang w:val="es-ES"/>
        </w:rPr>
        <w:t>TIC como mecanismo clave para mejorar la labor de movilización de recursos realizada por la</w:t>
      </w:r>
      <w:r w:rsidR="008A4871" w:rsidRPr="00F05461">
        <w:rPr>
          <w:lang w:val="es-ES"/>
        </w:rPr>
        <w:t> </w:t>
      </w:r>
      <w:r w:rsidRPr="00F05461">
        <w:rPr>
          <w:lang w:val="es-ES"/>
        </w:rPr>
        <w:t xml:space="preserve">BDT en apoyo a los Estados Miembros de </w:t>
      </w:r>
      <w:r w:rsidR="00296F03" w:rsidRPr="00F05461">
        <w:rPr>
          <w:lang w:val="es-ES"/>
        </w:rPr>
        <w:t>la UIT</w:t>
      </w:r>
      <w:r w:rsidRPr="00F05461">
        <w:rPr>
          <w:lang w:val="es-ES"/>
        </w:rPr>
        <w:t>.</w:t>
      </w:r>
    </w:p>
    <w:p w14:paraId="50DEA214" w14:textId="60A30F35" w:rsidR="00B1145C" w:rsidRPr="00F05461" w:rsidRDefault="00B1145C" w:rsidP="00B1145C">
      <w:pPr>
        <w:rPr>
          <w:lang w:val="es-ES"/>
        </w:rPr>
      </w:pPr>
      <w:r w:rsidRPr="00F05461">
        <w:rPr>
          <w:lang w:val="es-ES"/>
        </w:rPr>
        <w:t xml:space="preserve">Asimismo, en 2025 </w:t>
      </w:r>
      <w:r w:rsidR="00296F03" w:rsidRPr="00F05461">
        <w:rPr>
          <w:lang w:val="es-ES"/>
        </w:rPr>
        <w:t>la UIT</w:t>
      </w:r>
      <w:r w:rsidRPr="00F05461">
        <w:rPr>
          <w:lang w:val="es-ES"/>
        </w:rPr>
        <w:t xml:space="preserve"> siguió reforzando las prácticas de gestión de proyectos aplicadas al conjunto de proyectos de la Unión. Esto incluyó la intensificación de la comunicación a los socios, la continuación del funcionamiento de la Junta de Proyectos y el refuerzo de la función de supervisión de proyectos.</w:t>
      </w:r>
    </w:p>
    <w:p w14:paraId="07FCCCE2" w14:textId="7B444B9A" w:rsidR="00B1145C" w:rsidRPr="00F05461" w:rsidRDefault="00B1145C" w:rsidP="00B1145C">
      <w:pPr>
        <w:rPr>
          <w:lang w:val="es-ES"/>
        </w:rPr>
      </w:pPr>
      <w:r w:rsidRPr="00F05461">
        <w:rPr>
          <w:lang w:val="es-ES"/>
        </w:rPr>
        <w:t xml:space="preserve">Se puede obtener más información y datos al respecto en el </w:t>
      </w:r>
      <w:hyperlink r:id="rId259" w:history="1">
        <w:r w:rsidRPr="00F05461">
          <w:rPr>
            <w:rStyle w:val="Hyperlink"/>
            <w:rFonts w:eastAsia="Times New Roman" w:cs="Times New Roman"/>
            <w:szCs w:val="20"/>
            <w:lang w:val="es-ES"/>
          </w:rPr>
          <w:t xml:space="preserve">portal de proyectos </w:t>
        </w:r>
        <w:r w:rsidR="00A10309" w:rsidRPr="00F05461">
          <w:rPr>
            <w:rStyle w:val="Hyperlink"/>
            <w:rFonts w:eastAsia="Times New Roman" w:cs="Times New Roman"/>
            <w:szCs w:val="20"/>
            <w:lang w:val="es-ES"/>
          </w:rPr>
          <w:t>del UIT</w:t>
        </w:r>
        <w:r w:rsidR="00A10309"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D</w:t>
        </w:r>
      </w:hyperlink>
      <w:r w:rsidRPr="00F05461">
        <w:rPr>
          <w:lang w:val="es-ES"/>
        </w:rPr>
        <w:t xml:space="preserve"> y en el nuevo </w:t>
      </w:r>
      <w:hyperlink r:id="rId260" w:history="1">
        <w:r w:rsidRPr="00F05461">
          <w:rPr>
            <w:rStyle w:val="Hyperlink"/>
            <w:rFonts w:eastAsia="Times New Roman" w:cs="Times New Roman"/>
            <w:szCs w:val="20"/>
            <w:lang w:val="es-ES"/>
          </w:rPr>
          <w:t xml:space="preserve">tablero dirigido a los Miembros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sobre la situación de los proyectos</w:t>
        </w:r>
      </w:hyperlink>
      <w:r w:rsidRPr="00F05461">
        <w:rPr>
          <w:lang w:val="es-ES"/>
        </w:rPr>
        <w:t>.</w:t>
      </w:r>
    </w:p>
    <w:p w14:paraId="084CB7FF" w14:textId="77777777" w:rsidR="00B1145C" w:rsidRPr="00F05461" w:rsidRDefault="00B1145C" w:rsidP="003E558F">
      <w:pPr>
        <w:pStyle w:val="Heading2"/>
        <w:rPr>
          <w:lang w:val="es-ES"/>
        </w:rPr>
      </w:pPr>
      <w:bookmarkStart w:id="81" w:name="_Toc227137479"/>
      <w:r w:rsidRPr="00F05461">
        <w:rPr>
          <w:lang w:val="es-ES"/>
        </w:rPr>
        <w:lastRenderedPageBreak/>
        <w:t>4.8</w:t>
      </w:r>
      <w:r w:rsidRPr="00F05461">
        <w:rPr>
          <w:lang w:val="es-ES"/>
        </w:rPr>
        <w:tab/>
        <w:t>Plataformas de reunión</w:t>
      </w:r>
      <w:bookmarkEnd w:id="81"/>
    </w:p>
    <w:p w14:paraId="023B6677" w14:textId="1BCCBEE4" w:rsidR="00B1145C" w:rsidRPr="00F05461" w:rsidRDefault="00B1145C" w:rsidP="003E558F">
      <w:pPr>
        <w:pStyle w:val="Heading3"/>
      </w:pPr>
      <w:bookmarkStart w:id="82" w:name="_Toc227137480"/>
      <w:r w:rsidRPr="00F05461">
        <w:t>4.8.1</w:t>
      </w:r>
      <w:r w:rsidRPr="00F05461">
        <w:tab/>
        <w:t xml:space="preserve">Proceso de </w:t>
      </w:r>
      <w:r w:rsidR="00026A3E" w:rsidRPr="00F05461">
        <w:t>la CMSI</w:t>
      </w:r>
      <w:bookmarkEnd w:id="82"/>
    </w:p>
    <w:p w14:paraId="3BD698E1" w14:textId="2D0EE9C6" w:rsidR="00B1145C" w:rsidRPr="00F05461" w:rsidRDefault="00B1145C" w:rsidP="00B1145C">
      <w:pPr>
        <w:rPr>
          <w:lang w:val="es-ES"/>
        </w:rPr>
      </w:pPr>
      <w:r w:rsidRPr="00F05461">
        <w:rPr>
          <w:lang w:val="es-ES"/>
        </w:rPr>
        <w:t>La</w:t>
      </w:r>
      <w:r w:rsidR="000675DC" w:rsidRPr="00F05461">
        <w:rPr>
          <w:lang w:val="es-ES"/>
        </w:rPr>
        <w:t> </w:t>
      </w:r>
      <w:hyperlink r:id="rId261" w:history="1">
        <w:r w:rsidRPr="00F05461">
          <w:rPr>
            <w:rStyle w:val="Hyperlink"/>
            <w:rFonts w:eastAsia="Times New Roman" w:cs="Times New Roman"/>
            <w:szCs w:val="20"/>
            <w:lang w:val="es-ES"/>
          </w:rPr>
          <w:t>CMSI</w:t>
        </w:r>
      </w:hyperlink>
      <w:r w:rsidRPr="00F05461">
        <w:rPr>
          <w:lang w:val="es-ES"/>
        </w:rPr>
        <w:t xml:space="preserve"> sigue proporcionando un marco mundial clave para el desarrollo digital inclusivo y centrado en las personas y para hacer avanzar la Agenda</w:t>
      </w:r>
      <w:r w:rsidR="00BE5909" w:rsidRPr="00F05461">
        <w:rPr>
          <w:lang w:val="es-ES"/>
        </w:rPr>
        <w:t> </w:t>
      </w:r>
      <w:r w:rsidRPr="00F05461">
        <w:rPr>
          <w:lang w:val="es-ES"/>
        </w:rPr>
        <w:t xml:space="preserve">2030 para el Desarrollo Sostenible. Como facilitador principal, </w:t>
      </w:r>
      <w:r w:rsidR="00296F03" w:rsidRPr="00F05461">
        <w:rPr>
          <w:lang w:val="es-ES"/>
        </w:rPr>
        <w:t>la UIT</w:t>
      </w:r>
      <w:r w:rsidRPr="00F05461">
        <w:rPr>
          <w:lang w:val="es-ES"/>
        </w:rPr>
        <w:t xml:space="preserve"> dirige la aplicación de las líneas de acción de </w:t>
      </w:r>
      <w:r w:rsidR="00026A3E" w:rsidRPr="00F05461">
        <w:rPr>
          <w:lang w:val="es-ES"/>
        </w:rPr>
        <w:t>la CMSI</w:t>
      </w:r>
      <w:r w:rsidRPr="00F05461">
        <w:rPr>
          <w:lang w:val="es-ES"/>
        </w:rPr>
        <w:t>, fortalece la participación multilateral y apoya las iniciativas de transformación digital coordinadas.</w:t>
      </w:r>
    </w:p>
    <w:p w14:paraId="32B3CBAE" w14:textId="036F4C37" w:rsidR="00B1145C" w:rsidRPr="00F05461" w:rsidRDefault="00B1145C" w:rsidP="00D27147">
      <w:pPr>
        <w:rPr>
          <w:lang w:val="es-ES"/>
        </w:rPr>
      </w:pPr>
      <w:r w:rsidRPr="00F05461">
        <w:rPr>
          <w:lang w:val="es-ES"/>
        </w:rPr>
        <w:t xml:space="preserve">De acuerdo con la </w:t>
      </w:r>
      <w:hyperlink r:id="rId262" w:history="1">
        <w:r w:rsidRPr="00F05461">
          <w:rPr>
            <w:rStyle w:val="Hyperlink"/>
            <w:rFonts w:eastAsia="Times New Roman" w:cs="Times New Roman"/>
            <w:szCs w:val="20"/>
            <w:lang w:val="es-ES"/>
          </w:rPr>
          <w:t>Resolución</w:t>
        </w:r>
        <w:r w:rsidR="001473A4" w:rsidRPr="00F05461">
          <w:rPr>
            <w:rStyle w:val="Hyperlink"/>
            <w:rFonts w:eastAsia="Times New Roman" w:cs="Times New Roman"/>
            <w:szCs w:val="20"/>
            <w:lang w:val="es-ES"/>
          </w:rPr>
          <w:t> </w:t>
        </w:r>
        <w:r w:rsidRPr="00F05461">
          <w:rPr>
            <w:rStyle w:val="Hyperlink"/>
            <w:rFonts w:eastAsia="Times New Roman" w:cs="Times New Roman"/>
            <w:szCs w:val="20"/>
            <w:lang w:val="es-ES"/>
          </w:rPr>
          <w:t>140 (Rev.</w:t>
        </w:r>
        <w:r w:rsidR="00BE5909" w:rsidRPr="00F05461">
          <w:rPr>
            <w:rStyle w:val="Hyperlink"/>
            <w:rFonts w:eastAsia="Times New Roman" w:cs="Times New Roman"/>
            <w:szCs w:val="20"/>
            <w:lang w:val="es-ES"/>
          </w:rPr>
          <w:t> </w:t>
        </w:r>
        <w:r w:rsidRPr="00F05461">
          <w:rPr>
            <w:rStyle w:val="Hyperlink"/>
            <w:rFonts w:eastAsia="Times New Roman" w:cs="Times New Roman"/>
            <w:szCs w:val="20"/>
            <w:lang w:val="es-ES"/>
          </w:rPr>
          <w:t>Bucarest, 2022)</w:t>
        </w:r>
      </w:hyperlink>
      <w:r w:rsidRPr="00F05461">
        <w:rPr>
          <w:lang w:val="es-ES"/>
        </w:rPr>
        <w:t xml:space="preserve"> de la Conferencia de Plenipotenciarios, las Resoluciones</w:t>
      </w:r>
      <w:r w:rsidR="001473A4" w:rsidRPr="00F05461">
        <w:rPr>
          <w:lang w:val="es-ES"/>
        </w:rPr>
        <w:t> </w:t>
      </w:r>
      <w:hyperlink r:id="rId263" w:history="1">
        <w:r w:rsidRPr="00F05461">
          <w:rPr>
            <w:rStyle w:val="Hyperlink"/>
            <w:rFonts w:eastAsia="Times New Roman" w:cs="Times New Roman"/>
            <w:szCs w:val="20"/>
            <w:lang w:val="es-ES"/>
          </w:rPr>
          <w:t>1332 (Mod.</w:t>
        </w:r>
        <w:r w:rsidR="00BE5909" w:rsidRPr="00F05461">
          <w:rPr>
            <w:rStyle w:val="Hyperlink"/>
            <w:rFonts w:eastAsia="Times New Roman" w:cs="Times New Roman"/>
            <w:szCs w:val="20"/>
            <w:lang w:val="es-ES"/>
          </w:rPr>
          <w:t> </w:t>
        </w:r>
        <w:r w:rsidRPr="00F05461">
          <w:rPr>
            <w:rStyle w:val="Hyperlink"/>
            <w:rFonts w:eastAsia="Times New Roman" w:cs="Times New Roman"/>
            <w:szCs w:val="20"/>
            <w:lang w:val="es-ES"/>
          </w:rPr>
          <w:t>2024)</w:t>
        </w:r>
      </w:hyperlink>
      <w:r w:rsidRPr="00F05461">
        <w:rPr>
          <w:lang w:val="es-ES"/>
        </w:rPr>
        <w:t xml:space="preserve"> y </w:t>
      </w:r>
      <w:hyperlink r:id="rId264" w:history="1">
        <w:r w:rsidRPr="00F05461">
          <w:rPr>
            <w:rStyle w:val="Hyperlink"/>
            <w:rFonts w:eastAsia="Times New Roman" w:cs="Times New Roman"/>
            <w:szCs w:val="20"/>
            <w:lang w:val="es-ES"/>
          </w:rPr>
          <w:t>1334 (Mod.</w:t>
        </w:r>
        <w:r w:rsidR="00BE5909" w:rsidRPr="00F05461">
          <w:rPr>
            <w:rStyle w:val="Hyperlink"/>
            <w:rFonts w:eastAsia="Times New Roman" w:cs="Times New Roman"/>
            <w:szCs w:val="20"/>
            <w:lang w:val="es-ES"/>
          </w:rPr>
          <w:t> </w:t>
        </w:r>
        <w:r w:rsidRPr="00F05461">
          <w:rPr>
            <w:rStyle w:val="Hyperlink"/>
            <w:rFonts w:eastAsia="Times New Roman" w:cs="Times New Roman"/>
            <w:szCs w:val="20"/>
            <w:lang w:val="es-ES"/>
          </w:rPr>
          <w:t>2023)</w:t>
        </w:r>
      </w:hyperlink>
      <w:r w:rsidRPr="00F05461">
        <w:rPr>
          <w:lang w:val="es-ES"/>
        </w:rPr>
        <w:t xml:space="preserve"> del Consejo y, desde el punto de vista de los Sectores, la </w:t>
      </w:r>
      <w:hyperlink r:id="rId265" w:history="1">
        <w:r w:rsidRPr="00F05461">
          <w:rPr>
            <w:rStyle w:val="Hyperlink"/>
            <w:rFonts w:eastAsia="Times New Roman" w:cs="Times New Roman"/>
            <w:szCs w:val="20"/>
            <w:lang w:val="es-ES"/>
          </w:rPr>
          <w:t>Resolución</w:t>
        </w:r>
        <w:r w:rsidR="00D27147" w:rsidRPr="00F05461">
          <w:rPr>
            <w:rStyle w:val="Hyperlink"/>
            <w:rFonts w:eastAsia="Times New Roman" w:cs="Times New Roman"/>
            <w:szCs w:val="20"/>
            <w:lang w:val="es-ES"/>
          </w:rPr>
          <w:t> </w:t>
        </w:r>
        <w:r w:rsidRPr="00F05461">
          <w:rPr>
            <w:rStyle w:val="Hyperlink"/>
            <w:rFonts w:eastAsia="Times New Roman" w:cs="Times New Roman"/>
            <w:szCs w:val="20"/>
            <w:lang w:val="es-ES"/>
          </w:rPr>
          <w:t>30 (Rev.</w:t>
        </w:r>
        <w:r w:rsidR="00BE5909" w:rsidRPr="00F05461">
          <w:rPr>
            <w:rStyle w:val="Hyperlink"/>
            <w:rFonts w:eastAsia="Times New Roman" w:cs="Times New Roman"/>
            <w:szCs w:val="20"/>
            <w:lang w:val="es-ES"/>
          </w:rPr>
          <w:t> </w:t>
        </w:r>
        <w:r w:rsidRPr="00F05461">
          <w:rPr>
            <w:rStyle w:val="Hyperlink"/>
            <w:rFonts w:eastAsia="Times New Roman" w:cs="Times New Roman"/>
            <w:szCs w:val="20"/>
            <w:lang w:val="es-ES"/>
          </w:rPr>
          <w:t>Bakú, 2025)</w:t>
        </w:r>
      </w:hyperlink>
      <w:r w:rsidRPr="00F05461">
        <w:rPr>
          <w:lang w:val="es-ES"/>
        </w:rPr>
        <w:t xml:space="preserve"> de la</w:t>
      </w:r>
      <w:r w:rsidR="00BE5909" w:rsidRPr="00F05461">
        <w:rPr>
          <w:lang w:val="es-ES"/>
        </w:rPr>
        <w:t> </w:t>
      </w:r>
      <w:r w:rsidRPr="00F05461">
        <w:rPr>
          <w:lang w:val="es-ES"/>
        </w:rPr>
        <w:t xml:space="preserve">CMDT, la </w:t>
      </w:r>
      <w:hyperlink r:id="rId266" w:history="1">
        <w:r w:rsidRPr="00F05461">
          <w:rPr>
            <w:rStyle w:val="Hyperlink"/>
            <w:rFonts w:eastAsia="Times New Roman" w:cs="Times New Roman"/>
            <w:szCs w:val="20"/>
            <w:lang w:val="es-ES"/>
          </w:rPr>
          <w:t>Resolución</w:t>
        </w:r>
        <w:r w:rsidR="00D27147" w:rsidRPr="00F05461">
          <w:rPr>
            <w:rStyle w:val="Hyperlink"/>
            <w:rFonts w:eastAsia="Times New Roman" w:cs="Times New Roman"/>
            <w:szCs w:val="20"/>
            <w:lang w:val="es-ES"/>
          </w:rPr>
          <w:t> </w:t>
        </w:r>
        <w:r w:rsidRPr="00F05461">
          <w:rPr>
            <w:rStyle w:val="Hyperlink"/>
            <w:rFonts w:eastAsia="Times New Roman" w:cs="Times New Roman"/>
            <w:szCs w:val="20"/>
            <w:lang w:val="es-ES"/>
          </w:rPr>
          <w:t>75 (Rev.</w:t>
        </w:r>
        <w:r w:rsidR="00BE5909" w:rsidRPr="00F05461">
          <w:rPr>
            <w:rStyle w:val="Hyperlink"/>
            <w:rFonts w:eastAsia="Times New Roman" w:cs="Times New Roman"/>
            <w:szCs w:val="20"/>
            <w:lang w:val="es-ES"/>
          </w:rPr>
          <w:t> </w:t>
        </w:r>
        <w:r w:rsidRPr="00F05461">
          <w:rPr>
            <w:rStyle w:val="Hyperlink"/>
            <w:rFonts w:eastAsia="Times New Roman" w:cs="Times New Roman"/>
            <w:szCs w:val="20"/>
            <w:lang w:val="es-ES"/>
          </w:rPr>
          <w:t>Ginebra, 2022)</w:t>
        </w:r>
      </w:hyperlink>
      <w:r w:rsidRPr="00F05461">
        <w:rPr>
          <w:lang w:val="es-ES"/>
        </w:rPr>
        <w:t xml:space="preserve"> de la</w:t>
      </w:r>
      <w:r w:rsidR="001473A4" w:rsidRPr="00F05461">
        <w:rPr>
          <w:lang w:val="es-ES"/>
        </w:rPr>
        <w:t> </w:t>
      </w:r>
      <w:r w:rsidRPr="00F05461">
        <w:rPr>
          <w:lang w:val="es-ES"/>
        </w:rPr>
        <w:t xml:space="preserve">AMNT y la </w:t>
      </w:r>
      <w:hyperlink r:id="rId267" w:history="1">
        <w:r w:rsidRPr="00F05461">
          <w:rPr>
            <w:rStyle w:val="Hyperlink"/>
            <w:rFonts w:eastAsia="Times New Roman" w:cs="Times New Roman"/>
            <w:szCs w:val="20"/>
            <w:lang w:val="es-ES"/>
          </w:rPr>
          <w:t>Resolución</w:t>
        </w:r>
        <w:r w:rsidR="00D27147" w:rsidRPr="00F05461">
          <w:rPr>
            <w:rStyle w:val="Hyperlink"/>
            <w:rFonts w:eastAsia="Times New Roman" w:cs="Times New Roman"/>
            <w:szCs w:val="20"/>
            <w:lang w:val="es-ES"/>
          </w:rPr>
          <w:t> </w:t>
        </w:r>
        <w:r w:rsidR="00F14E7E" w:rsidRPr="00F05461">
          <w:rPr>
            <w:rStyle w:val="Hyperlink"/>
            <w:rFonts w:eastAsia="Times New Roman" w:cs="Times New Roman"/>
            <w:szCs w:val="20"/>
            <w:lang w:val="es-ES"/>
          </w:rPr>
          <w:t>UIT-R 61-3 (Rev. Dubái, 2023)</w:t>
        </w:r>
      </w:hyperlink>
      <w:r w:rsidRPr="00F05461">
        <w:rPr>
          <w:lang w:val="es-ES"/>
        </w:rPr>
        <w:t xml:space="preserve"> de la</w:t>
      </w:r>
      <w:r w:rsidR="001473A4" w:rsidRPr="00F05461">
        <w:rPr>
          <w:lang w:val="es-ES"/>
        </w:rPr>
        <w:t> </w:t>
      </w:r>
      <w:r w:rsidRPr="00F05461">
        <w:rPr>
          <w:lang w:val="es-ES"/>
        </w:rPr>
        <w:t>AR, desde la</w:t>
      </w:r>
      <w:r w:rsidR="00026A3E" w:rsidRPr="00F05461">
        <w:rPr>
          <w:lang w:val="es-ES"/>
        </w:rPr>
        <w:t> </w:t>
      </w:r>
      <w:r w:rsidRPr="00F05461">
        <w:rPr>
          <w:lang w:val="es-ES"/>
        </w:rPr>
        <w:t>PP</w:t>
      </w:r>
      <w:r w:rsidR="00026A3E" w:rsidRPr="00F05461">
        <w:rPr>
          <w:lang w:val="es-ES"/>
        </w:rPr>
        <w:noBreakHyphen/>
      </w:r>
      <w:r w:rsidRPr="00F05461">
        <w:rPr>
          <w:lang w:val="es-ES"/>
        </w:rPr>
        <w:t xml:space="preserve">22, </w:t>
      </w:r>
      <w:r w:rsidR="00296F03" w:rsidRPr="00F05461">
        <w:rPr>
          <w:lang w:val="es-ES"/>
        </w:rPr>
        <w:t>la UIT</w:t>
      </w:r>
      <w:r w:rsidRPr="00F05461">
        <w:rPr>
          <w:lang w:val="es-ES"/>
        </w:rPr>
        <w:t xml:space="preserve"> ha acogido tres eventos del Foro de </w:t>
      </w:r>
      <w:r w:rsidR="00026A3E" w:rsidRPr="00F05461">
        <w:rPr>
          <w:lang w:val="es-ES"/>
        </w:rPr>
        <w:t>la CMSI</w:t>
      </w:r>
      <w:r w:rsidRPr="00F05461">
        <w:rPr>
          <w:lang w:val="es-ES"/>
        </w:rPr>
        <w:t xml:space="preserve">, cuyas ediciones </w:t>
      </w:r>
      <w:r w:rsidR="00B933C5" w:rsidRPr="00F05461">
        <w:rPr>
          <w:lang w:val="es-ES"/>
        </w:rPr>
        <w:t>de 202</w:t>
      </w:r>
      <w:r w:rsidR="00711F8C" w:rsidRPr="00F05461">
        <w:rPr>
          <w:lang w:val="es-ES"/>
        </w:rPr>
        <w:t>4</w:t>
      </w:r>
      <w:r w:rsidRPr="00F05461">
        <w:rPr>
          <w:lang w:val="es-ES"/>
        </w:rPr>
        <w:t xml:space="preserve"> y 2025 se celebraron como Eventos de Alto Nivel de </w:t>
      </w:r>
      <w:r w:rsidR="00026A3E" w:rsidRPr="00F05461">
        <w:rPr>
          <w:lang w:val="es-ES"/>
        </w:rPr>
        <w:t>la CMSI</w:t>
      </w:r>
      <w:r w:rsidRPr="00F05461">
        <w:rPr>
          <w:lang w:val="es-ES"/>
        </w:rPr>
        <w:t xml:space="preserve">+20, contribuyendo así al examen general y proporcionando una plataforma mundial para el diálogo y la cooperación. La plataforma </w:t>
      </w:r>
      <w:hyperlink r:id="rId268" w:history="1">
        <w:r w:rsidRPr="00F05461">
          <w:rPr>
            <w:rStyle w:val="Hyperlink"/>
            <w:rFonts w:eastAsia="Times New Roman" w:cs="Times New Roman"/>
            <w:szCs w:val="20"/>
            <w:lang w:val="es-ES"/>
          </w:rPr>
          <w:t xml:space="preserve">Inventario de </w:t>
        </w:r>
        <w:r w:rsidR="00026A3E" w:rsidRPr="00F05461">
          <w:rPr>
            <w:rStyle w:val="Hyperlink"/>
            <w:rFonts w:eastAsia="Times New Roman" w:cs="Times New Roman"/>
            <w:szCs w:val="20"/>
            <w:lang w:val="es-ES"/>
          </w:rPr>
          <w:t>la CMSI</w:t>
        </w:r>
      </w:hyperlink>
      <w:r w:rsidRPr="00F05461">
        <w:rPr>
          <w:lang w:val="es-ES"/>
        </w:rPr>
        <w:t xml:space="preserve"> contiene actualmente más de </w:t>
      </w:r>
      <w:r w:rsidR="005E1172" w:rsidRPr="00F05461">
        <w:rPr>
          <w:lang w:val="es-ES"/>
        </w:rPr>
        <w:t>21</w:t>
      </w:r>
      <w:r w:rsidR="00D27147" w:rsidRPr="00F05461">
        <w:rPr>
          <w:lang w:val="es-ES"/>
        </w:rPr>
        <w:t> </w:t>
      </w:r>
      <w:r w:rsidRPr="00F05461">
        <w:rPr>
          <w:lang w:val="es-ES"/>
        </w:rPr>
        <w:t>000</w:t>
      </w:r>
      <w:r w:rsidR="00D27147" w:rsidRPr="00F05461">
        <w:rPr>
          <w:lang w:val="es-ES"/>
        </w:rPr>
        <w:t> </w:t>
      </w:r>
      <w:r w:rsidRPr="00FD4537">
        <w:rPr>
          <w:lang w:val="es-ES"/>
        </w:rPr>
        <w:t>proyectos</w:t>
      </w:r>
      <w:r w:rsidRPr="00F05461">
        <w:rPr>
          <w:i/>
          <w:iCs/>
          <w:lang w:val="es-ES"/>
        </w:rPr>
        <w:t xml:space="preserve"> </w:t>
      </w:r>
      <w:r w:rsidRPr="00FD4537">
        <w:rPr>
          <w:lang w:val="es-ES"/>
        </w:rPr>
        <w:t>de</w:t>
      </w:r>
      <w:r w:rsidRPr="00F05461">
        <w:rPr>
          <w:i/>
          <w:iCs/>
          <w:lang w:val="es-ES"/>
        </w:rPr>
        <w:t xml:space="preserve"> TIC para el desarrollo</w:t>
      </w:r>
      <w:r w:rsidRPr="00F05461">
        <w:rPr>
          <w:lang w:val="es-ES"/>
        </w:rPr>
        <w:t xml:space="preserve">, y los </w:t>
      </w:r>
      <w:hyperlink r:id="rId269" w:history="1">
        <w:r w:rsidRPr="00F05461">
          <w:rPr>
            <w:rStyle w:val="Hyperlink"/>
            <w:rFonts w:eastAsia="Times New Roman" w:cs="Times New Roman"/>
            <w:szCs w:val="20"/>
            <w:lang w:val="es-ES"/>
          </w:rPr>
          <w:t xml:space="preserve">Premios de </w:t>
        </w:r>
        <w:r w:rsidR="00026A3E" w:rsidRPr="00F05461">
          <w:rPr>
            <w:rStyle w:val="Hyperlink"/>
            <w:rFonts w:eastAsia="Times New Roman" w:cs="Times New Roman"/>
            <w:szCs w:val="20"/>
            <w:lang w:val="es-ES"/>
          </w:rPr>
          <w:t>la CMSI</w:t>
        </w:r>
      </w:hyperlink>
      <w:r w:rsidRPr="00F05461">
        <w:rPr>
          <w:lang w:val="es-ES"/>
        </w:rPr>
        <w:t xml:space="preserve"> continúan seleccionando iniciativas digitales de gran repercusión, con más de 3</w:t>
      </w:r>
      <w:r w:rsidR="00D27147" w:rsidRPr="00F05461">
        <w:rPr>
          <w:lang w:val="es-ES"/>
        </w:rPr>
        <w:t> </w:t>
      </w:r>
      <w:r w:rsidRPr="00F05461">
        <w:rPr>
          <w:lang w:val="es-ES"/>
        </w:rPr>
        <w:t>000</w:t>
      </w:r>
      <w:r w:rsidR="00D27147" w:rsidRPr="00F05461">
        <w:rPr>
          <w:lang w:val="es-ES"/>
        </w:rPr>
        <w:t> </w:t>
      </w:r>
      <w:r w:rsidRPr="00F05461">
        <w:rPr>
          <w:lang w:val="es-ES"/>
        </w:rPr>
        <w:t>comunicaciones recibidas en los últimos tres</w:t>
      </w:r>
      <w:r w:rsidR="00FD399B" w:rsidRPr="00F05461">
        <w:rPr>
          <w:lang w:val="es-ES"/>
        </w:rPr>
        <w:t> </w:t>
      </w:r>
      <w:r w:rsidRPr="00F05461">
        <w:rPr>
          <w:lang w:val="es-ES"/>
        </w:rPr>
        <w:t>años.</w:t>
      </w:r>
    </w:p>
    <w:p w14:paraId="369997D2" w14:textId="1E24C0AD" w:rsidR="00B1145C" w:rsidRPr="00F05461" w:rsidRDefault="00B1145C" w:rsidP="00B1145C">
      <w:pPr>
        <w:rPr>
          <w:lang w:val="es-ES"/>
        </w:rPr>
      </w:pPr>
      <w:r w:rsidRPr="00F05461">
        <w:rPr>
          <w:lang w:val="es-ES"/>
        </w:rPr>
        <w:t xml:space="preserve">En el documento </w:t>
      </w:r>
      <w:r>
        <w:fldChar w:fldCharType="begin"/>
      </w:r>
      <w:r w:rsidRPr="009A0A46">
        <w:rPr>
          <w:lang w:val="es-ES"/>
        </w:rPr>
        <w:instrText>HYPERLINK "https://www.itu.int/dms_pub/itu-s/md/26/cwgwsis44/c/S26-CWGWSIS44-C-0002!R1!MSW-E.docx"</w:instrText>
      </w:r>
      <w:r>
        <w:fldChar w:fldCharType="separate"/>
      </w:r>
      <w:r w:rsidRPr="00F05461">
        <w:rPr>
          <w:rStyle w:val="Hyperlink"/>
          <w:rFonts w:eastAsia="Times New Roman" w:cs="Times New Roman"/>
          <w:i/>
          <w:iCs/>
          <w:szCs w:val="20"/>
          <w:lang w:val="es-ES"/>
        </w:rPr>
        <w:t>Final and Comprehensive Report on the ITU Activities for WSIS Implementation and the 2030 Sustainable Development Agenda Together with Proposals for Further Activities</w:t>
      </w:r>
      <w:r>
        <w:fldChar w:fldCharType="end"/>
      </w:r>
      <w:r w:rsidRPr="00F05461">
        <w:rPr>
          <w:lang w:val="es-ES"/>
        </w:rPr>
        <w:t xml:space="preserve"> se presenta toda la información sobre todas las actividades realizadas por </w:t>
      </w:r>
      <w:r w:rsidR="00296F03" w:rsidRPr="00F05461">
        <w:rPr>
          <w:lang w:val="es-ES"/>
        </w:rPr>
        <w:t>la UIT</w:t>
      </w:r>
      <w:r w:rsidRPr="00F05461">
        <w:rPr>
          <w:lang w:val="es-ES"/>
        </w:rPr>
        <w:t xml:space="preserve"> (a través de la arquitectura de </w:t>
      </w:r>
      <w:r w:rsidR="00026A3E" w:rsidRPr="00F05461">
        <w:rPr>
          <w:lang w:val="es-ES"/>
        </w:rPr>
        <w:t>la CMSI</w:t>
      </w:r>
      <w:r w:rsidRPr="00F05461">
        <w:rPr>
          <w:lang w:val="es-ES"/>
        </w:rPr>
        <w:t>) desde la</w:t>
      </w:r>
      <w:r w:rsidR="00026A3E" w:rsidRPr="00F05461">
        <w:rPr>
          <w:lang w:val="es-ES"/>
        </w:rPr>
        <w:t> </w:t>
      </w:r>
      <w:r w:rsidRPr="00F05461">
        <w:rPr>
          <w:lang w:val="es-ES"/>
        </w:rPr>
        <w:t>PP</w:t>
      </w:r>
      <w:r w:rsidR="00026A3E" w:rsidRPr="00F05461">
        <w:rPr>
          <w:lang w:val="es-ES"/>
        </w:rPr>
        <w:noBreakHyphen/>
      </w:r>
      <w:r w:rsidRPr="00F05461">
        <w:rPr>
          <w:lang w:val="es-ES"/>
        </w:rPr>
        <w:t xml:space="preserve">22 para la aplicación del proceso de </w:t>
      </w:r>
      <w:r w:rsidR="00026A3E" w:rsidRPr="00F05461">
        <w:rPr>
          <w:lang w:val="es-ES"/>
        </w:rPr>
        <w:t>la CMSI</w:t>
      </w:r>
      <w:r w:rsidRPr="00F05461">
        <w:rPr>
          <w:lang w:val="es-ES"/>
        </w:rPr>
        <w:t xml:space="preserve"> y la Agenda</w:t>
      </w:r>
      <w:r w:rsidR="00BE5909" w:rsidRPr="00F05461">
        <w:rPr>
          <w:lang w:val="es-ES"/>
        </w:rPr>
        <w:t> </w:t>
      </w:r>
      <w:r w:rsidRPr="00F05461">
        <w:rPr>
          <w:lang w:val="es-ES"/>
        </w:rPr>
        <w:t xml:space="preserve">2030 para el Desarrollo Sostenible. Por último, los </w:t>
      </w:r>
      <w:hyperlink r:id="rId270" w:history="1">
        <w:r w:rsidRPr="00F05461">
          <w:rPr>
            <w:rStyle w:val="Hyperlink"/>
            <w:rFonts w:eastAsia="Times New Roman" w:cs="Times New Roman"/>
            <w:szCs w:val="20"/>
            <w:lang w:val="es-ES"/>
          </w:rPr>
          <w:t xml:space="preserve">informes anuales sobre la contribución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a la aplicación de los resultados de </w:t>
        </w:r>
        <w:r w:rsidR="00026A3E" w:rsidRPr="00F05461">
          <w:rPr>
            <w:rStyle w:val="Hyperlink"/>
            <w:rFonts w:eastAsia="Times New Roman" w:cs="Times New Roman"/>
            <w:szCs w:val="20"/>
            <w:lang w:val="es-ES"/>
          </w:rPr>
          <w:t>la CMSI</w:t>
        </w:r>
      </w:hyperlink>
      <w:r w:rsidRPr="00F05461">
        <w:rPr>
          <w:lang w:val="es-ES"/>
        </w:rPr>
        <w:t xml:space="preserve"> se centran en las principales iniciativas y actividades relacionadas con </w:t>
      </w:r>
      <w:r w:rsidR="00026A3E" w:rsidRPr="00F05461">
        <w:rPr>
          <w:lang w:val="es-ES"/>
        </w:rPr>
        <w:t>la CMSI</w:t>
      </w:r>
      <w:r w:rsidRPr="00F05461">
        <w:rPr>
          <w:lang w:val="es-ES"/>
        </w:rPr>
        <w:t xml:space="preserve"> de los tres Sectores de </w:t>
      </w:r>
      <w:r w:rsidR="00296F03" w:rsidRPr="00F05461">
        <w:rPr>
          <w:lang w:val="es-ES"/>
        </w:rPr>
        <w:t>la UIT</w:t>
      </w:r>
      <w:r w:rsidRPr="00F05461">
        <w:rPr>
          <w:lang w:val="es-ES"/>
        </w:rPr>
        <w:t xml:space="preserve"> (Normalización, Radiocomunicaciones y Desarrollo) y de la Secretaría General, destacando los progresos operativos y de políticas hacia el cumplimiento de los mandatos de </w:t>
      </w:r>
      <w:r w:rsidR="00296F03" w:rsidRPr="00F05461">
        <w:rPr>
          <w:lang w:val="es-ES"/>
        </w:rPr>
        <w:t>la UIT</w:t>
      </w:r>
      <w:r w:rsidRPr="00F05461">
        <w:rPr>
          <w:lang w:val="es-ES"/>
        </w:rPr>
        <w:t xml:space="preserve"> relacionados con </w:t>
      </w:r>
      <w:r w:rsidR="00026A3E" w:rsidRPr="00F05461">
        <w:rPr>
          <w:lang w:val="es-ES"/>
        </w:rPr>
        <w:t>la CMSI</w:t>
      </w:r>
      <w:r w:rsidRPr="00F05461">
        <w:rPr>
          <w:lang w:val="es-ES"/>
        </w:rPr>
        <w:t>.</w:t>
      </w:r>
    </w:p>
    <w:p w14:paraId="3D622350" w14:textId="01D1D546" w:rsidR="00B1145C" w:rsidRPr="00F05461" w:rsidRDefault="00B1145C" w:rsidP="00D27147">
      <w:pPr>
        <w:pStyle w:val="Headingb"/>
      </w:pPr>
      <w:r w:rsidRPr="00F05461">
        <w:t xml:space="preserve">Foro de </w:t>
      </w:r>
      <w:r w:rsidR="00026A3E" w:rsidRPr="00F05461">
        <w:t>la CMSI</w:t>
      </w:r>
    </w:p>
    <w:p w14:paraId="78F18D99" w14:textId="3FD77DBB" w:rsidR="00B1145C" w:rsidRPr="00F05461" w:rsidRDefault="00B1145C" w:rsidP="00B1145C">
      <w:pPr>
        <w:rPr>
          <w:lang w:val="es-ES"/>
        </w:rPr>
      </w:pPr>
      <w:r w:rsidRPr="00F05461">
        <w:rPr>
          <w:lang w:val="es-ES"/>
        </w:rPr>
        <w:t xml:space="preserve">El </w:t>
      </w:r>
      <w:hyperlink r:id="rId271" w:history="1">
        <w:r w:rsidRPr="00F05461">
          <w:rPr>
            <w:rStyle w:val="Hyperlink"/>
            <w:rFonts w:eastAsia="Times New Roman" w:cs="Times New Roman"/>
            <w:szCs w:val="20"/>
            <w:lang w:val="es-ES"/>
          </w:rPr>
          <w:t xml:space="preserve">Foro de </w:t>
        </w:r>
        <w:r w:rsidR="00026A3E" w:rsidRPr="00F05461">
          <w:rPr>
            <w:rStyle w:val="Hyperlink"/>
            <w:rFonts w:eastAsia="Times New Roman" w:cs="Times New Roman"/>
            <w:szCs w:val="20"/>
            <w:lang w:val="es-ES"/>
          </w:rPr>
          <w:t>la CMSI</w:t>
        </w:r>
      </w:hyperlink>
      <w:r w:rsidRPr="00F05461">
        <w:rPr>
          <w:lang w:val="es-ES"/>
        </w:rPr>
        <w:t xml:space="preserve">, acogido por </w:t>
      </w:r>
      <w:r w:rsidR="00296F03" w:rsidRPr="00F05461">
        <w:rPr>
          <w:lang w:val="es-ES"/>
        </w:rPr>
        <w:t>la UIT</w:t>
      </w:r>
      <w:r w:rsidRPr="00F05461">
        <w:rPr>
          <w:lang w:val="es-ES"/>
        </w:rPr>
        <w:t xml:space="preserve"> (</w:t>
      </w:r>
      <w:proofErr w:type="gramStart"/>
      <w:r w:rsidRPr="00F05461">
        <w:rPr>
          <w:lang w:val="es-ES"/>
        </w:rPr>
        <w:t>conjuntamente con</w:t>
      </w:r>
      <w:proofErr w:type="gramEnd"/>
      <w:r w:rsidRPr="00F05461">
        <w:rPr>
          <w:lang w:val="es-ES"/>
        </w:rPr>
        <w:t xml:space="preserve"> Suiza en 2024 y 2025) y organizado </w:t>
      </w:r>
      <w:proofErr w:type="gramStart"/>
      <w:r w:rsidRPr="00F05461">
        <w:rPr>
          <w:lang w:val="es-ES"/>
        </w:rPr>
        <w:t>conjuntamente con</w:t>
      </w:r>
      <w:proofErr w:type="gramEnd"/>
      <w:r w:rsidRPr="00F05461">
        <w:rPr>
          <w:lang w:val="es-ES"/>
        </w:rPr>
        <w:t xml:space="preserve"> la</w:t>
      </w:r>
      <w:r w:rsidR="001473A4" w:rsidRPr="00F05461">
        <w:rPr>
          <w:lang w:val="es-ES"/>
        </w:rPr>
        <w:t> </w:t>
      </w:r>
      <w:r w:rsidRPr="00F05461">
        <w:rPr>
          <w:lang w:val="es-ES"/>
        </w:rPr>
        <w:t>UNESCO, el</w:t>
      </w:r>
      <w:r w:rsidR="001473A4" w:rsidRPr="00F05461">
        <w:rPr>
          <w:lang w:val="es-ES"/>
        </w:rPr>
        <w:t> </w:t>
      </w:r>
      <w:r w:rsidRPr="00F05461">
        <w:rPr>
          <w:lang w:val="es-ES"/>
        </w:rPr>
        <w:t>PNUD y la</w:t>
      </w:r>
      <w:r w:rsidR="001473A4" w:rsidRPr="00F05461">
        <w:rPr>
          <w:lang w:val="es-ES"/>
        </w:rPr>
        <w:t> </w:t>
      </w:r>
      <w:r w:rsidRPr="00F05461">
        <w:rPr>
          <w:lang w:val="es-ES"/>
        </w:rPr>
        <w:t>UNCTAD en colaboración con más de 50</w:t>
      </w:r>
      <w:r w:rsidR="001473A4" w:rsidRPr="00F05461">
        <w:rPr>
          <w:lang w:val="es-ES"/>
        </w:rPr>
        <w:t> </w:t>
      </w:r>
      <w:r w:rsidRPr="00F05461">
        <w:rPr>
          <w:lang w:val="es-ES"/>
        </w:rPr>
        <w:t xml:space="preserve">socios de las Naciones Unidas, es una plataforma mundial destacada para promover el desarrollo digital inclusivo y examinar los avances de las líneas de acción de </w:t>
      </w:r>
      <w:r w:rsidR="00026A3E" w:rsidRPr="00F05461">
        <w:rPr>
          <w:lang w:val="es-ES"/>
        </w:rPr>
        <w:t>la CMSI</w:t>
      </w:r>
      <w:r w:rsidRPr="00F05461">
        <w:rPr>
          <w:lang w:val="es-ES"/>
        </w:rPr>
        <w:t xml:space="preserve">. Mediante la creación de capacidad, las asociaciones y el intercambio de conocimientos, ha </w:t>
      </w:r>
      <w:r w:rsidR="00D27147" w:rsidRPr="00F05461">
        <w:rPr>
          <w:lang w:val="es-ES"/>
        </w:rPr>
        <w:t>atraído</w:t>
      </w:r>
      <w:r w:rsidRPr="00F05461">
        <w:rPr>
          <w:lang w:val="es-ES"/>
        </w:rPr>
        <w:t xml:space="preserve"> a más de 50</w:t>
      </w:r>
      <w:r w:rsidR="001473A4" w:rsidRPr="00F05461">
        <w:rPr>
          <w:lang w:val="es-ES"/>
        </w:rPr>
        <w:t> </w:t>
      </w:r>
      <w:r w:rsidRPr="00F05461">
        <w:rPr>
          <w:lang w:val="es-ES"/>
        </w:rPr>
        <w:t>000</w:t>
      </w:r>
      <w:r w:rsidR="001473A4" w:rsidRPr="00F05461">
        <w:rPr>
          <w:lang w:val="es-ES"/>
        </w:rPr>
        <w:t> </w:t>
      </w:r>
      <w:r w:rsidRPr="00F05461">
        <w:rPr>
          <w:lang w:val="es-ES"/>
        </w:rPr>
        <w:t>partes interesadas de más de 160</w:t>
      </w:r>
      <w:r w:rsidR="001473A4" w:rsidRPr="00F05461">
        <w:rPr>
          <w:lang w:val="es-ES"/>
        </w:rPr>
        <w:t> </w:t>
      </w:r>
      <w:r w:rsidRPr="00F05461">
        <w:rPr>
          <w:lang w:val="es-ES"/>
        </w:rPr>
        <w:t xml:space="preserve">países, dando forma a una visión compartida y una hoja de ruta práctica para el desarrollo digital y las tecnologías emergentes. El Foro de </w:t>
      </w:r>
      <w:r w:rsidR="00026A3E" w:rsidRPr="00F05461">
        <w:rPr>
          <w:lang w:val="es-ES"/>
        </w:rPr>
        <w:t>la CMSI</w:t>
      </w:r>
      <w:r w:rsidRPr="00F05461">
        <w:rPr>
          <w:lang w:val="es-ES"/>
        </w:rPr>
        <w:t xml:space="preserve"> </w:t>
      </w:r>
      <w:r w:rsidR="00B933C5" w:rsidRPr="00F05461">
        <w:rPr>
          <w:lang w:val="es-ES"/>
        </w:rPr>
        <w:t>de 202</w:t>
      </w:r>
      <w:r w:rsidR="00711F8C" w:rsidRPr="00F05461">
        <w:rPr>
          <w:lang w:val="es-ES"/>
        </w:rPr>
        <w:t>3</w:t>
      </w:r>
      <w:r w:rsidRPr="00F05461">
        <w:rPr>
          <w:lang w:val="es-ES"/>
        </w:rPr>
        <w:t xml:space="preserve"> se centró en el tema </w:t>
      </w:r>
      <w:r w:rsidR="007921C3" w:rsidRPr="00F05461">
        <w:rPr>
          <w:lang w:val="es-ES"/>
        </w:rPr>
        <w:t>«</w:t>
      </w:r>
      <w:hyperlink r:id="rId272" w:history="1">
        <w:r w:rsidRPr="00F05461">
          <w:rPr>
            <w:rStyle w:val="Hyperlink"/>
            <w:rFonts w:eastAsia="Times New Roman" w:cs="Times New Roman"/>
            <w:szCs w:val="20"/>
            <w:lang w:val="es-ES"/>
          </w:rPr>
          <w:t xml:space="preserve">Líneas de Acción de </w:t>
        </w:r>
        <w:r w:rsidR="00026A3E" w:rsidRPr="00F05461">
          <w:rPr>
            <w:rStyle w:val="Hyperlink"/>
            <w:rFonts w:eastAsia="Times New Roman" w:cs="Times New Roman"/>
            <w:szCs w:val="20"/>
            <w:lang w:val="es-ES"/>
          </w:rPr>
          <w:t>la CMSI</w:t>
        </w:r>
        <w:r w:rsidRPr="00F05461">
          <w:rPr>
            <w:rStyle w:val="Hyperlink"/>
            <w:rFonts w:eastAsia="Times New Roman" w:cs="Times New Roman"/>
            <w:szCs w:val="20"/>
            <w:lang w:val="es-ES"/>
          </w:rPr>
          <w:t xml:space="preserve"> para reconstruir mejor y acelerar el logro de los</w:t>
        </w:r>
        <w:r w:rsidR="008A4871" w:rsidRPr="00F05461">
          <w:rPr>
            <w:rStyle w:val="Hyperlink"/>
            <w:rFonts w:eastAsia="Times New Roman" w:cs="Times New Roman"/>
            <w:szCs w:val="20"/>
            <w:lang w:val="es-ES"/>
          </w:rPr>
          <w:t> </w:t>
        </w:r>
        <w:r w:rsidRPr="00F05461">
          <w:rPr>
            <w:rStyle w:val="Hyperlink"/>
            <w:rFonts w:eastAsia="Times New Roman" w:cs="Times New Roman"/>
            <w:szCs w:val="20"/>
            <w:lang w:val="es-ES"/>
          </w:rPr>
          <w:t>ODS</w:t>
        </w:r>
      </w:hyperlink>
      <w:r w:rsidR="007921C3" w:rsidRPr="00F05461">
        <w:rPr>
          <w:lang w:val="es-ES"/>
        </w:rPr>
        <w:t>»</w:t>
      </w:r>
      <w:r w:rsidRPr="00F05461">
        <w:rPr>
          <w:lang w:val="es-ES"/>
        </w:rPr>
        <w:t xml:space="preserve">; el </w:t>
      </w:r>
      <w:hyperlink r:id="rId273" w:history="1">
        <w:r w:rsidRPr="00F05461">
          <w:rPr>
            <w:rStyle w:val="Hyperlink"/>
            <w:rFonts w:eastAsia="Times New Roman" w:cs="Times New Roman"/>
            <w:szCs w:val="20"/>
            <w:lang w:val="es-ES"/>
          </w:rPr>
          <w:t xml:space="preserve">Evento de Alto Nivel del Foro de </w:t>
        </w:r>
        <w:r w:rsidR="00026A3E" w:rsidRPr="00F05461">
          <w:rPr>
            <w:rStyle w:val="Hyperlink"/>
            <w:rFonts w:eastAsia="Times New Roman" w:cs="Times New Roman"/>
            <w:szCs w:val="20"/>
            <w:lang w:val="es-ES"/>
          </w:rPr>
          <w:t>la CMSI</w:t>
        </w:r>
        <w:r w:rsidRPr="00F05461">
          <w:rPr>
            <w:rStyle w:val="Hyperlink"/>
            <w:rFonts w:eastAsia="Times New Roman" w:cs="Times New Roman"/>
            <w:szCs w:val="20"/>
            <w:lang w:val="es-ES"/>
          </w:rPr>
          <w:t xml:space="preserve">+20 </w:t>
        </w:r>
        <w:r w:rsidR="00B933C5" w:rsidRPr="00F05461">
          <w:rPr>
            <w:rStyle w:val="Hyperlink"/>
            <w:rFonts w:eastAsia="Times New Roman" w:cs="Times New Roman"/>
            <w:szCs w:val="20"/>
            <w:lang w:val="es-ES"/>
          </w:rPr>
          <w:t>de 202</w:t>
        </w:r>
        <w:r w:rsidR="00711F8C" w:rsidRPr="00F05461">
          <w:rPr>
            <w:rStyle w:val="Hyperlink"/>
            <w:rFonts w:eastAsia="Times New Roman" w:cs="Times New Roman"/>
            <w:szCs w:val="20"/>
            <w:lang w:val="es-ES"/>
          </w:rPr>
          <w:t>4</w:t>
        </w:r>
      </w:hyperlink>
      <w:r w:rsidRPr="00F05461">
        <w:rPr>
          <w:lang w:val="es-ES"/>
        </w:rPr>
        <w:t xml:space="preserve"> pasó revista a dos décadas de progreso; y el </w:t>
      </w:r>
      <w:hyperlink r:id="rId274" w:history="1">
        <w:r w:rsidRPr="00F05461">
          <w:rPr>
            <w:rStyle w:val="Hyperlink"/>
            <w:rFonts w:eastAsia="Times New Roman" w:cs="Times New Roman"/>
            <w:szCs w:val="20"/>
            <w:lang w:val="es-ES"/>
          </w:rPr>
          <w:t xml:space="preserve">Evento de Alto Nivel de </w:t>
        </w:r>
        <w:r w:rsidR="00026A3E" w:rsidRPr="00F05461">
          <w:rPr>
            <w:rStyle w:val="Hyperlink"/>
            <w:rFonts w:eastAsia="Times New Roman" w:cs="Times New Roman"/>
            <w:szCs w:val="20"/>
            <w:lang w:val="es-ES"/>
          </w:rPr>
          <w:t>la CMSI</w:t>
        </w:r>
        <w:r w:rsidRPr="00F05461">
          <w:rPr>
            <w:rStyle w:val="Hyperlink"/>
            <w:rFonts w:eastAsia="Times New Roman" w:cs="Times New Roman"/>
            <w:szCs w:val="20"/>
            <w:lang w:val="es-ES"/>
          </w:rPr>
          <w:t xml:space="preserve">+20 </w:t>
        </w:r>
        <w:r w:rsidR="00B933C5" w:rsidRPr="00F05461">
          <w:rPr>
            <w:rStyle w:val="Hyperlink"/>
            <w:rFonts w:eastAsia="Times New Roman" w:cs="Times New Roman"/>
            <w:szCs w:val="20"/>
            <w:lang w:val="es-ES"/>
          </w:rPr>
          <w:t>de 202</w:t>
        </w:r>
        <w:r w:rsidR="00711F8C" w:rsidRPr="00F05461">
          <w:rPr>
            <w:rStyle w:val="Hyperlink"/>
            <w:rFonts w:eastAsia="Times New Roman" w:cs="Times New Roman"/>
            <w:szCs w:val="20"/>
            <w:lang w:val="es-ES"/>
          </w:rPr>
          <w:t>5</w:t>
        </w:r>
      </w:hyperlink>
      <w:r w:rsidRPr="00F05461">
        <w:rPr>
          <w:lang w:val="es-ES"/>
        </w:rPr>
        <w:t xml:space="preserve"> reafirmó la contribución de </w:t>
      </w:r>
      <w:r w:rsidR="00026A3E" w:rsidRPr="00F05461">
        <w:rPr>
          <w:lang w:val="es-ES"/>
        </w:rPr>
        <w:t>la CMSI</w:t>
      </w:r>
      <w:r w:rsidRPr="00F05461">
        <w:rPr>
          <w:lang w:val="es-ES"/>
        </w:rPr>
        <w:t xml:space="preserve"> a la definición de las características de la cooperación digital mundial y sentó las bases para el examen de </w:t>
      </w:r>
      <w:r w:rsidR="00026A3E" w:rsidRPr="00F05461">
        <w:rPr>
          <w:lang w:val="es-ES"/>
        </w:rPr>
        <w:t>la CMSI</w:t>
      </w:r>
      <w:r w:rsidRPr="00F05461">
        <w:rPr>
          <w:lang w:val="es-ES"/>
        </w:rPr>
        <w:t>+20 que realizaría la Asamblea General de las Naciones Unidas.</w:t>
      </w:r>
    </w:p>
    <w:p w14:paraId="65D2291B" w14:textId="26653728" w:rsidR="00B1145C" w:rsidRPr="00F05461" w:rsidRDefault="00B1145C" w:rsidP="00195DF7">
      <w:pPr>
        <w:pStyle w:val="Headingb"/>
        <w:tabs>
          <w:tab w:val="left" w:pos="8567"/>
        </w:tabs>
      </w:pPr>
      <w:r w:rsidRPr="00F05461">
        <w:lastRenderedPageBreak/>
        <w:t xml:space="preserve">Contribución de </w:t>
      </w:r>
      <w:r w:rsidR="00296F03" w:rsidRPr="00F05461">
        <w:t>la UIT</w:t>
      </w:r>
      <w:r w:rsidRPr="00F05461">
        <w:t xml:space="preserve"> al proceso de examen de </w:t>
      </w:r>
      <w:r w:rsidR="00026A3E" w:rsidRPr="00F05461">
        <w:t>la CMSI</w:t>
      </w:r>
      <w:r w:rsidRPr="00F05461">
        <w:t>+20</w:t>
      </w:r>
    </w:p>
    <w:p w14:paraId="4A7FDAD5" w14:textId="6A097C1B" w:rsidR="00B1145C" w:rsidRPr="00F05461" w:rsidRDefault="00B1145C" w:rsidP="00B1145C">
      <w:pPr>
        <w:rPr>
          <w:lang w:val="es-ES"/>
        </w:rPr>
      </w:pPr>
      <w:r w:rsidRPr="00F05461">
        <w:rPr>
          <w:lang w:val="es-ES"/>
        </w:rPr>
        <w:t xml:space="preserve">Como organismo de las Naciones Unidas para las tecnologías digitales e institución fundadora del proceso de </w:t>
      </w:r>
      <w:r w:rsidR="00026A3E" w:rsidRPr="00F05461">
        <w:rPr>
          <w:lang w:val="es-ES"/>
        </w:rPr>
        <w:t>la CMSI</w:t>
      </w:r>
      <w:r w:rsidRPr="00F05461">
        <w:rPr>
          <w:lang w:val="es-ES"/>
        </w:rPr>
        <w:t xml:space="preserve">, </w:t>
      </w:r>
      <w:r w:rsidR="00296F03" w:rsidRPr="00F05461">
        <w:rPr>
          <w:lang w:val="es-ES"/>
        </w:rPr>
        <w:t>la UIT</w:t>
      </w:r>
      <w:r w:rsidRPr="00F05461">
        <w:rPr>
          <w:lang w:val="es-ES"/>
        </w:rPr>
        <w:t xml:space="preserve"> desempeñó un papel fundamental durante todo el proceso de examen de </w:t>
      </w:r>
      <w:r w:rsidR="00026A3E" w:rsidRPr="00F05461">
        <w:rPr>
          <w:lang w:val="es-ES"/>
        </w:rPr>
        <w:t>la CMSI</w:t>
      </w:r>
      <w:r w:rsidRPr="00F05461">
        <w:rPr>
          <w:lang w:val="es-ES"/>
        </w:rPr>
        <w:t xml:space="preserve">+20. Contribuyó activamente y brindó apoyo al proceso preparatorio dirigido por la Asamblea General de las Naciones Unidas; en este sentido, colaboró con los cofacilitadores de </w:t>
      </w:r>
      <w:r w:rsidR="00026A3E" w:rsidRPr="00F05461">
        <w:rPr>
          <w:lang w:val="es-ES"/>
        </w:rPr>
        <w:t>la CMSI</w:t>
      </w:r>
      <w:r w:rsidRPr="00F05461">
        <w:rPr>
          <w:lang w:val="es-ES"/>
        </w:rPr>
        <w:t xml:space="preserve">+20, participó en reuniones consultivas y proporcionó contribuciones sustantivas para el documento final de </w:t>
      </w:r>
      <w:r w:rsidR="00026A3E" w:rsidRPr="00F05461">
        <w:rPr>
          <w:lang w:val="es-ES"/>
        </w:rPr>
        <w:t>la CMSI</w:t>
      </w:r>
      <w:r w:rsidRPr="00F05461">
        <w:rPr>
          <w:lang w:val="es-ES"/>
        </w:rPr>
        <w:t xml:space="preserve">+20, tal y como se documenta </w:t>
      </w:r>
      <w:hyperlink r:id="rId275" w:history="1">
        <w:r w:rsidRPr="00F05461">
          <w:rPr>
            <w:rStyle w:val="Hyperlink"/>
            <w:rFonts w:eastAsia="Times New Roman" w:cs="Times New Roman"/>
            <w:szCs w:val="20"/>
            <w:lang w:val="es-ES"/>
          </w:rPr>
          <w:t>aquí</w:t>
        </w:r>
      </w:hyperlink>
      <w:r w:rsidRPr="00F05461">
        <w:rPr>
          <w:lang w:val="es-ES"/>
        </w:rPr>
        <w:t xml:space="preserve"> en la página dedicada a la secretaría de </w:t>
      </w:r>
      <w:r w:rsidR="00026A3E" w:rsidRPr="00F05461">
        <w:rPr>
          <w:lang w:val="es-ES"/>
        </w:rPr>
        <w:t>la CMSI</w:t>
      </w:r>
      <w:r w:rsidRPr="00F05461">
        <w:rPr>
          <w:lang w:val="es-ES"/>
        </w:rPr>
        <w:t xml:space="preserve">+20. </w:t>
      </w:r>
      <w:r w:rsidR="00296F03" w:rsidRPr="00F05461">
        <w:rPr>
          <w:lang w:val="es-ES"/>
        </w:rPr>
        <w:t>La UIT</w:t>
      </w:r>
      <w:r w:rsidRPr="00F05461">
        <w:rPr>
          <w:lang w:val="es-ES"/>
        </w:rPr>
        <w:t xml:space="preserve"> se basó en la </w:t>
      </w:r>
      <w:hyperlink r:id="rId276" w:history="1">
        <w:r w:rsidRPr="00F05461">
          <w:rPr>
            <w:rStyle w:val="Hyperlink"/>
            <w:rFonts w:eastAsia="Times New Roman" w:cs="Times New Roman"/>
            <w:i/>
            <w:iCs/>
            <w:szCs w:val="20"/>
            <w:lang w:val="es-ES"/>
          </w:rPr>
          <w:t xml:space="preserve">hoja de ruta de </w:t>
        </w:r>
        <w:r w:rsidR="00026A3E" w:rsidRPr="00F05461">
          <w:rPr>
            <w:rStyle w:val="Hyperlink"/>
            <w:rFonts w:eastAsia="Times New Roman" w:cs="Times New Roman"/>
            <w:i/>
            <w:iCs/>
            <w:szCs w:val="20"/>
            <w:lang w:val="es-ES"/>
          </w:rPr>
          <w:t>la CMSI</w:t>
        </w:r>
        <w:r w:rsidRPr="00F05461">
          <w:rPr>
            <w:rStyle w:val="Hyperlink"/>
            <w:rFonts w:eastAsia="Times New Roman" w:cs="Times New Roman"/>
            <w:i/>
            <w:iCs/>
            <w:szCs w:val="20"/>
            <w:lang w:val="es-ES"/>
          </w:rPr>
          <w:t>+20</w:t>
        </w:r>
      </w:hyperlink>
      <w:r w:rsidRPr="00F05461">
        <w:rPr>
          <w:lang w:val="es-ES"/>
        </w:rPr>
        <w:t xml:space="preserve"> del Secretario General de </w:t>
      </w:r>
      <w:r w:rsidR="00296F03" w:rsidRPr="00F05461">
        <w:rPr>
          <w:lang w:val="es-ES"/>
        </w:rPr>
        <w:t>la UIT</w:t>
      </w:r>
      <w:r w:rsidRPr="00F05461">
        <w:rPr>
          <w:lang w:val="es-ES"/>
        </w:rPr>
        <w:t xml:space="preserve">, que define la orientación estratégica de la participación de </w:t>
      </w:r>
      <w:r w:rsidR="00296F03" w:rsidRPr="00F05461">
        <w:rPr>
          <w:lang w:val="es-ES"/>
        </w:rPr>
        <w:t>la UIT</w:t>
      </w:r>
      <w:r w:rsidRPr="00F05461">
        <w:rPr>
          <w:lang w:val="es-ES"/>
        </w:rPr>
        <w:t xml:space="preserve"> en el proceso de examen de </w:t>
      </w:r>
      <w:r w:rsidR="00026A3E" w:rsidRPr="00F05461">
        <w:rPr>
          <w:lang w:val="es-ES"/>
        </w:rPr>
        <w:t>la CMSI</w:t>
      </w:r>
      <w:r w:rsidRPr="00F05461">
        <w:rPr>
          <w:lang w:val="es-ES"/>
        </w:rPr>
        <w:t xml:space="preserve">+20 y sus actividades preparatorias. El Secretario General preparó el informe </w:t>
      </w:r>
      <w:hyperlink r:id="rId277" w:history="1">
        <w:r w:rsidRPr="00F05461">
          <w:rPr>
            <w:rStyle w:val="Hyperlink"/>
            <w:rFonts w:eastAsia="Times New Roman" w:cs="Times New Roman"/>
            <w:i/>
            <w:iCs/>
            <w:szCs w:val="20"/>
            <w:lang w:val="es-ES"/>
          </w:rPr>
          <w:t>WSIS+20 Report: Building a digital future for all</w:t>
        </w:r>
      </w:hyperlink>
      <w:r w:rsidRPr="00F05461">
        <w:rPr>
          <w:lang w:val="es-ES"/>
        </w:rPr>
        <w:t xml:space="preserve">, en el que se documentan dos decenios de aplicación de </w:t>
      </w:r>
      <w:r w:rsidR="00026A3E" w:rsidRPr="00F05461">
        <w:rPr>
          <w:lang w:val="es-ES"/>
        </w:rPr>
        <w:t>la CMSI</w:t>
      </w:r>
      <w:r w:rsidRPr="00F05461">
        <w:rPr>
          <w:lang w:val="es-ES"/>
        </w:rPr>
        <w:t xml:space="preserve"> y las contribuciones de </w:t>
      </w:r>
      <w:r w:rsidR="00296F03" w:rsidRPr="00F05461">
        <w:rPr>
          <w:lang w:val="es-ES"/>
        </w:rPr>
        <w:t>la UIT</w:t>
      </w:r>
      <w:r w:rsidRPr="00F05461">
        <w:rPr>
          <w:lang w:val="es-ES"/>
        </w:rPr>
        <w:t xml:space="preserve"> en materia de políticas, asistencia técnica, capacitación, datos y asociaciones, y lo presentó al examen de </w:t>
      </w:r>
      <w:r w:rsidR="00026A3E" w:rsidRPr="00F05461">
        <w:rPr>
          <w:lang w:val="es-ES"/>
        </w:rPr>
        <w:t>la CMSI</w:t>
      </w:r>
      <w:r w:rsidRPr="00F05461">
        <w:rPr>
          <w:lang w:val="es-ES"/>
        </w:rPr>
        <w:t>+20 dirigido por la</w:t>
      </w:r>
      <w:r w:rsidR="00A154BC" w:rsidRPr="00F05461">
        <w:rPr>
          <w:lang w:val="es-ES"/>
        </w:rPr>
        <w:t xml:space="preserve"> Asamblea General de las Naciones Unidas (</w:t>
      </w:r>
      <w:r w:rsidRPr="00F05461">
        <w:rPr>
          <w:lang w:val="es-ES"/>
        </w:rPr>
        <w:t>AGNU</w:t>
      </w:r>
      <w:r w:rsidR="00A154BC" w:rsidRPr="00F05461">
        <w:rPr>
          <w:lang w:val="es-ES"/>
        </w:rPr>
        <w:t>)</w:t>
      </w:r>
      <w:r w:rsidRPr="00F05461">
        <w:rPr>
          <w:lang w:val="es-ES"/>
        </w:rPr>
        <w:t xml:space="preserve"> para su consideración.</w:t>
      </w:r>
    </w:p>
    <w:p w14:paraId="25FAF80B" w14:textId="4CE9B313" w:rsidR="00B1145C" w:rsidRPr="00F05461" w:rsidRDefault="00B1145C" w:rsidP="00B1145C">
      <w:pPr>
        <w:rPr>
          <w:lang w:val="es-ES"/>
        </w:rPr>
      </w:pPr>
      <w:r w:rsidRPr="00F05461">
        <w:rPr>
          <w:lang w:val="es-ES"/>
        </w:rPr>
        <w:t xml:space="preserve">El Presidente del Grupo de Trabajo del Consejo sobre </w:t>
      </w:r>
      <w:r w:rsidR="00026A3E" w:rsidRPr="00F05461">
        <w:rPr>
          <w:lang w:val="es-ES"/>
        </w:rPr>
        <w:t>la CMSI</w:t>
      </w:r>
      <w:r w:rsidRPr="00F05461">
        <w:rPr>
          <w:lang w:val="es-ES"/>
        </w:rPr>
        <w:t xml:space="preserve"> y los</w:t>
      </w:r>
      <w:r w:rsidR="008A4871" w:rsidRPr="00F05461">
        <w:rPr>
          <w:lang w:val="es-ES"/>
        </w:rPr>
        <w:t> </w:t>
      </w:r>
      <w:r w:rsidRPr="00F05461">
        <w:rPr>
          <w:lang w:val="es-ES"/>
        </w:rPr>
        <w:t xml:space="preserve">ODS (GTC-CMSI+ODS) transmitió el resumen de la </w:t>
      </w:r>
      <w:hyperlink r:id="rId278" w:history="1">
        <w:r w:rsidRPr="00F05461">
          <w:rPr>
            <w:rStyle w:val="Hyperlink"/>
            <w:rFonts w:eastAsia="Times New Roman" w:cs="Times New Roman"/>
            <w:szCs w:val="20"/>
            <w:lang w:val="es-ES"/>
          </w:rPr>
          <w:t xml:space="preserve">solicitud de contribuciones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sobre el examen de </w:t>
        </w:r>
        <w:r w:rsidR="00026A3E" w:rsidRPr="00F05461">
          <w:rPr>
            <w:rStyle w:val="Hyperlink"/>
            <w:rFonts w:eastAsia="Times New Roman" w:cs="Times New Roman"/>
            <w:szCs w:val="20"/>
            <w:lang w:val="es-ES"/>
          </w:rPr>
          <w:t>la CMSI</w:t>
        </w:r>
        <w:r w:rsidRPr="00F05461">
          <w:rPr>
            <w:rStyle w:val="Hyperlink"/>
            <w:rFonts w:eastAsia="Times New Roman" w:cs="Times New Roman"/>
            <w:szCs w:val="20"/>
            <w:lang w:val="es-ES"/>
          </w:rPr>
          <w:t>+20</w:t>
        </w:r>
      </w:hyperlink>
      <w:r w:rsidRPr="00F05461">
        <w:rPr>
          <w:lang w:val="es-ES"/>
        </w:rPr>
        <w:t xml:space="preserve">, coordinada a través del GTC-CMSI+ODS, al examen de </w:t>
      </w:r>
      <w:r w:rsidR="00026A3E" w:rsidRPr="00F05461">
        <w:rPr>
          <w:lang w:val="es-ES"/>
        </w:rPr>
        <w:t>la CMSI</w:t>
      </w:r>
      <w:r w:rsidRPr="00F05461">
        <w:rPr>
          <w:lang w:val="es-ES"/>
        </w:rPr>
        <w:t>+20 dirigido por la</w:t>
      </w:r>
      <w:r w:rsidR="008A4871" w:rsidRPr="00F05461">
        <w:rPr>
          <w:lang w:val="es-ES"/>
        </w:rPr>
        <w:t> </w:t>
      </w:r>
      <w:r w:rsidRPr="00F05461">
        <w:rPr>
          <w:lang w:val="es-ES"/>
        </w:rPr>
        <w:t xml:space="preserve">AGNU, y así garantizó que las diferentes perspectivas de los gobiernos y las partes interesadas quedaran reflejadas y contribuyeran al proceso general. Se puede obtener información más detallada sobre el resultado del examen de </w:t>
      </w:r>
      <w:r w:rsidR="00026A3E" w:rsidRPr="00F05461">
        <w:rPr>
          <w:lang w:val="es-ES"/>
        </w:rPr>
        <w:t>la CMSI</w:t>
      </w:r>
      <w:r w:rsidRPr="00F05461">
        <w:rPr>
          <w:lang w:val="es-ES"/>
        </w:rPr>
        <w:t>+20 por la</w:t>
      </w:r>
      <w:r w:rsidR="008A4871" w:rsidRPr="00F05461">
        <w:rPr>
          <w:lang w:val="es-ES"/>
        </w:rPr>
        <w:t> </w:t>
      </w:r>
      <w:r w:rsidRPr="00F05461">
        <w:rPr>
          <w:lang w:val="es-ES"/>
        </w:rPr>
        <w:t xml:space="preserve">AGNU y la contribución de </w:t>
      </w:r>
      <w:r w:rsidR="00296F03" w:rsidRPr="00F05461">
        <w:rPr>
          <w:lang w:val="es-ES"/>
        </w:rPr>
        <w:t>la UIT</w:t>
      </w:r>
      <w:r w:rsidRPr="00F05461">
        <w:rPr>
          <w:lang w:val="es-ES"/>
        </w:rPr>
        <w:t xml:space="preserve"> al proceso de examen y sus resultados de seguimiento en el </w:t>
      </w:r>
      <w:hyperlink r:id="rId279" w:history="1">
        <w:r w:rsidRPr="00F05461">
          <w:rPr>
            <w:rStyle w:val="Hyperlink"/>
            <w:rFonts w:eastAsia="Times New Roman" w:cs="Times New Roman"/>
            <w:szCs w:val="20"/>
            <w:lang w:val="es-ES"/>
          </w:rPr>
          <w:t>informe de la</w:t>
        </w:r>
        <w:r w:rsidR="008A4871" w:rsidRPr="00F05461">
          <w:rPr>
            <w:rStyle w:val="Hyperlink"/>
            <w:rFonts w:eastAsia="Times New Roman" w:cs="Times New Roman"/>
            <w:szCs w:val="20"/>
            <w:lang w:val="es-ES"/>
          </w:rPr>
          <w:t> </w:t>
        </w:r>
        <w:r w:rsidRPr="00F05461">
          <w:rPr>
            <w:rStyle w:val="Hyperlink"/>
            <w:rFonts w:eastAsia="Times New Roman" w:cs="Times New Roman"/>
            <w:szCs w:val="20"/>
            <w:lang w:val="es-ES"/>
          </w:rPr>
          <w:t xml:space="preserve">AGNU sobre el examen general de la aplicación de los resultados de </w:t>
        </w:r>
        <w:r w:rsidR="00026A3E" w:rsidRPr="00F05461">
          <w:rPr>
            <w:rStyle w:val="Hyperlink"/>
            <w:rFonts w:eastAsia="Times New Roman" w:cs="Times New Roman"/>
            <w:szCs w:val="20"/>
            <w:lang w:val="es-ES"/>
          </w:rPr>
          <w:t>la CMSI</w:t>
        </w:r>
      </w:hyperlink>
      <w:r w:rsidRPr="00F05461">
        <w:rPr>
          <w:lang w:val="es-ES"/>
        </w:rPr>
        <w:t>.</w:t>
      </w:r>
    </w:p>
    <w:p w14:paraId="280A8F98" w14:textId="3875B1EB" w:rsidR="00B1145C" w:rsidRPr="00F05461" w:rsidRDefault="00B1145C" w:rsidP="003D6DC1">
      <w:pPr>
        <w:pStyle w:val="Headingb"/>
      </w:pPr>
      <w:r w:rsidRPr="00F05461">
        <w:t>Grupo de las Naciones Unidas sobre la Sociedad de la Información</w:t>
      </w:r>
    </w:p>
    <w:p w14:paraId="38338CA4" w14:textId="78F488FE" w:rsidR="00B1145C" w:rsidRPr="00F05461" w:rsidRDefault="00296F03" w:rsidP="00B1145C">
      <w:pPr>
        <w:rPr>
          <w:lang w:val="es-ES"/>
        </w:rPr>
      </w:pPr>
      <w:r w:rsidRPr="00F05461">
        <w:rPr>
          <w:lang w:val="es-ES"/>
        </w:rPr>
        <w:t>La UIT</w:t>
      </w:r>
      <w:r w:rsidR="00B1145C" w:rsidRPr="00F05461">
        <w:rPr>
          <w:lang w:val="es-ES"/>
        </w:rPr>
        <w:t xml:space="preserve">, que ejerce la Secretaría del </w:t>
      </w:r>
      <w:hyperlink r:id="rId280" w:history="1">
        <w:r w:rsidR="00B1145C" w:rsidRPr="00F05461">
          <w:rPr>
            <w:rStyle w:val="Hyperlink"/>
            <w:rFonts w:eastAsia="Times New Roman" w:cs="Times New Roman"/>
            <w:szCs w:val="20"/>
            <w:lang w:val="es-ES"/>
          </w:rPr>
          <w:t>Grupo de las Naciones Unidas sobre la Sociedad de la Información</w:t>
        </w:r>
      </w:hyperlink>
      <w:r w:rsidR="00B1145C" w:rsidRPr="00F05461">
        <w:rPr>
          <w:lang w:val="es-ES"/>
        </w:rPr>
        <w:t xml:space="preserve"> de manera permanente y la Presidencia y Vicepresidencia de forma rotatoria, impulsa la coordinación, el liderazgo y la dirección estratégica de la cooperación digital en todo el sistema de las Naciones Unidas. El Grupo, que es el mecanismo interinstitucional del sistema de las Naciones Unidas para promover la coherencia de las políticas y la coordinación de los asuntos digitales de los programas, está integrado por 31</w:t>
      </w:r>
      <w:r w:rsidR="00BE5909" w:rsidRPr="00F05461">
        <w:rPr>
          <w:lang w:val="es-ES"/>
        </w:rPr>
        <w:t> </w:t>
      </w:r>
      <w:r w:rsidR="00B1145C" w:rsidRPr="00F05461">
        <w:rPr>
          <w:lang w:val="es-ES"/>
        </w:rPr>
        <w:t>entidades de las Naciones Unidas y 17</w:t>
      </w:r>
      <w:r w:rsidR="00195DF7" w:rsidRPr="00F05461">
        <w:rPr>
          <w:lang w:val="es-ES"/>
        </w:rPr>
        <w:t> </w:t>
      </w:r>
      <w:r w:rsidR="00B1145C" w:rsidRPr="00F05461">
        <w:rPr>
          <w:lang w:val="es-ES"/>
        </w:rPr>
        <w:t xml:space="preserve">observadores. Desde la adopción del Pacto Digital Global en 2024, el Grupo ha dirigido su ejecución a través de la </w:t>
      </w:r>
      <w:hyperlink r:id="rId281" w:history="1">
        <w:r w:rsidR="00B1145C" w:rsidRPr="00F05461">
          <w:rPr>
            <w:rStyle w:val="Hyperlink"/>
            <w:rFonts w:eastAsia="Times New Roman" w:cs="Times New Roman"/>
            <w:szCs w:val="20"/>
            <w:lang w:val="es-ES"/>
          </w:rPr>
          <w:t xml:space="preserve">Matriz del Proceso de </w:t>
        </w:r>
        <w:r w:rsidR="00026A3E" w:rsidRPr="00F05461">
          <w:rPr>
            <w:rStyle w:val="Hyperlink"/>
            <w:rFonts w:eastAsia="Times New Roman" w:cs="Times New Roman"/>
            <w:szCs w:val="20"/>
            <w:lang w:val="es-ES"/>
          </w:rPr>
          <w:t>la CMSI</w:t>
        </w:r>
        <w:r w:rsidR="00B1145C" w:rsidRPr="00F05461">
          <w:rPr>
            <w:rStyle w:val="Hyperlink"/>
            <w:rFonts w:eastAsia="Times New Roman" w:cs="Times New Roman"/>
            <w:szCs w:val="20"/>
            <w:lang w:val="es-ES"/>
          </w:rPr>
          <w:t xml:space="preserve"> y la Agenda</w:t>
        </w:r>
        <w:r w:rsidR="00472712"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2030 del Pacto</w:t>
        </w:r>
      </w:hyperlink>
      <w:r w:rsidR="00B1145C" w:rsidRPr="00F05461">
        <w:rPr>
          <w:lang w:val="es-ES"/>
        </w:rPr>
        <w:t xml:space="preserve">, al tiempo que ha contribuido a importantes eventos digitales y de desarrollo, como el examen de </w:t>
      </w:r>
      <w:r w:rsidR="00026A3E" w:rsidRPr="00F05461">
        <w:rPr>
          <w:lang w:val="es-ES"/>
        </w:rPr>
        <w:t>la CMSI</w:t>
      </w:r>
      <w:r w:rsidR="00B1145C" w:rsidRPr="00F05461">
        <w:rPr>
          <w:lang w:val="es-ES"/>
        </w:rPr>
        <w:t>+20, el Foro Político de Alto Nivel (FPAN) y el Foro para la Gobernanza de Internet.</w:t>
      </w:r>
    </w:p>
    <w:p w14:paraId="2CA741ED" w14:textId="77777777" w:rsidR="00B1145C" w:rsidRPr="00F05461" w:rsidRDefault="00B1145C" w:rsidP="00472712">
      <w:pPr>
        <w:pStyle w:val="Headingb"/>
      </w:pPr>
      <w:r w:rsidRPr="00F05461">
        <w:t>Actividades en curso</w:t>
      </w:r>
    </w:p>
    <w:p w14:paraId="2798EC7A" w14:textId="79807510" w:rsidR="00B1145C" w:rsidRPr="00F05461" w:rsidRDefault="00296F03" w:rsidP="00B1145C">
      <w:pPr>
        <w:rPr>
          <w:lang w:val="es-ES"/>
        </w:rPr>
      </w:pPr>
      <w:r w:rsidRPr="00F05461">
        <w:rPr>
          <w:lang w:val="es-ES"/>
        </w:rPr>
        <w:t>La UIT</w:t>
      </w:r>
      <w:r w:rsidR="00B1145C" w:rsidRPr="00F05461">
        <w:rPr>
          <w:lang w:val="es-ES"/>
        </w:rPr>
        <w:t xml:space="preserve"> mantiene y mejora la base de datos del </w:t>
      </w:r>
      <w:hyperlink r:id="rId282" w:history="1">
        <w:r w:rsidR="00B1145C" w:rsidRPr="00F05461">
          <w:rPr>
            <w:rStyle w:val="Hyperlink"/>
            <w:rFonts w:eastAsia="Times New Roman" w:cs="Times New Roman"/>
            <w:szCs w:val="20"/>
            <w:lang w:val="es-ES"/>
          </w:rPr>
          <w:t xml:space="preserve">Inventario de </w:t>
        </w:r>
        <w:r w:rsidR="00026A3E" w:rsidRPr="00F05461">
          <w:rPr>
            <w:rStyle w:val="Hyperlink"/>
            <w:rFonts w:eastAsia="Times New Roman" w:cs="Times New Roman"/>
            <w:szCs w:val="20"/>
            <w:lang w:val="es-ES"/>
          </w:rPr>
          <w:t>la CMSI</w:t>
        </w:r>
      </w:hyperlink>
      <w:r w:rsidR="00B1145C" w:rsidRPr="00F05461">
        <w:rPr>
          <w:lang w:val="es-ES"/>
        </w:rPr>
        <w:t xml:space="preserve">, un repositorio mundial con más de </w:t>
      </w:r>
      <w:r w:rsidR="005E1172" w:rsidRPr="00F05461">
        <w:rPr>
          <w:lang w:val="es-ES"/>
        </w:rPr>
        <w:t>21</w:t>
      </w:r>
      <w:r w:rsidR="008A4871" w:rsidRPr="00F05461">
        <w:rPr>
          <w:lang w:val="es-ES"/>
        </w:rPr>
        <w:t> </w:t>
      </w:r>
      <w:r w:rsidR="00B1145C" w:rsidRPr="00F05461">
        <w:rPr>
          <w:lang w:val="es-ES"/>
        </w:rPr>
        <w:t>000</w:t>
      </w:r>
      <w:r w:rsidR="008A4871" w:rsidRPr="00F05461">
        <w:rPr>
          <w:lang w:val="es-ES"/>
        </w:rPr>
        <w:t> </w:t>
      </w:r>
      <w:r w:rsidR="00B1145C" w:rsidRPr="00F05461">
        <w:rPr>
          <w:lang w:val="es-ES"/>
        </w:rPr>
        <w:t>iniciativas relacionadas con las</w:t>
      </w:r>
      <w:r w:rsidR="008A4871" w:rsidRPr="00F05461">
        <w:rPr>
          <w:lang w:val="es-ES"/>
        </w:rPr>
        <w:t> </w:t>
      </w:r>
      <w:r w:rsidR="00B1145C" w:rsidRPr="00F05461">
        <w:rPr>
          <w:lang w:val="es-ES"/>
        </w:rPr>
        <w:t xml:space="preserve">TIC y acordes con las líneas de acción de </w:t>
      </w:r>
      <w:r w:rsidR="00026A3E" w:rsidRPr="00F05461">
        <w:rPr>
          <w:lang w:val="es-ES"/>
        </w:rPr>
        <w:t>la CMSI</w:t>
      </w:r>
      <w:r w:rsidR="00B1145C" w:rsidRPr="00F05461">
        <w:rPr>
          <w:lang w:val="es-ES"/>
        </w:rPr>
        <w:t>, lo</w:t>
      </w:r>
      <w:r w:rsidR="008A4871" w:rsidRPr="00F05461">
        <w:rPr>
          <w:lang w:val="es-ES"/>
        </w:rPr>
        <w:t>s </w:t>
      </w:r>
      <w:r w:rsidR="00B1145C" w:rsidRPr="00F05461">
        <w:rPr>
          <w:lang w:val="es-ES"/>
        </w:rPr>
        <w:t xml:space="preserve">ODS y el Pacto Digital Global que constituye una herramienta fundamental para la transparencia, el intercambio de conocimientos, las políticas basadas en datos empíricos y la innovación, al tiempo que alienta a las partes interesadas a participar y respaldar el desarrollo de herramientas analíticas que generen perspectivas estratégicas y a actualizar las herramientas existentes. Su función, incluidos los Premios de </w:t>
      </w:r>
      <w:r w:rsidR="00026A3E" w:rsidRPr="00F05461">
        <w:rPr>
          <w:lang w:val="es-ES"/>
        </w:rPr>
        <w:t>la CMSI</w:t>
      </w:r>
      <w:r w:rsidR="00B1145C" w:rsidRPr="00F05461">
        <w:rPr>
          <w:lang w:val="es-ES"/>
        </w:rPr>
        <w:t xml:space="preserve">, se describe en la </w:t>
      </w:r>
      <w:hyperlink r:id="rId283" w:history="1">
        <w:r w:rsidR="00B1145C" w:rsidRPr="00FD4537">
          <w:rPr>
            <w:rStyle w:val="Hyperlink"/>
            <w:rFonts w:eastAsia="Times New Roman" w:cs="Times New Roman"/>
            <w:szCs w:val="20"/>
            <w:lang w:val="es-ES"/>
          </w:rPr>
          <w:t>Resolución</w:t>
        </w:r>
        <w:r w:rsidR="00BE5909" w:rsidRPr="00FD4537">
          <w:rPr>
            <w:rStyle w:val="Hyperlink"/>
            <w:rFonts w:eastAsia="Times New Roman" w:cs="Times New Roman"/>
            <w:szCs w:val="20"/>
            <w:lang w:val="es-ES"/>
          </w:rPr>
          <w:t> </w:t>
        </w:r>
        <w:r w:rsidR="00B1145C" w:rsidRPr="00FD4537">
          <w:rPr>
            <w:rStyle w:val="Hyperlink"/>
            <w:rFonts w:eastAsia="Times New Roman" w:cs="Times New Roman"/>
            <w:szCs w:val="20"/>
            <w:lang w:val="es-ES"/>
          </w:rPr>
          <w:t>E/RES/2025/18</w:t>
        </w:r>
      </w:hyperlink>
      <w:r w:rsidR="00B1145C" w:rsidRPr="00F05461">
        <w:rPr>
          <w:lang w:val="es-ES"/>
        </w:rPr>
        <w:t xml:space="preserve"> del</w:t>
      </w:r>
      <w:r w:rsidR="008A4871" w:rsidRPr="00F05461">
        <w:rPr>
          <w:lang w:val="es-ES"/>
        </w:rPr>
        <w:t> </w:t>
      </w:r>
      <w:r w:rsidR="00B1145C" w:rsidRPr="00F05461">
        <w:rPr>
          <w:lang w:val="es-ES"/>
        </w:rPr>
        <w:t>ECOSOC.</w:t>
      </w:r>
    </w:p>
    <w:p w14:paraId="30B4D3D2" w14:textId="22225066" w:rsidR="00B1145C" w:rsidRPr="00F05461" w:rsidRDefault="00B1145C" w:rsidP="00B1145C">
      <w:pPr>
        <w:rPr>
          <w:lang w:val="es-ES"/>
        </w:rPr>
      </w:pPr>
      <w:r w:rsidRPr="00F05461">
        <w:rPr>
          <w:lang w:val="es-ES"/>
        </w:rPr>
        <w:lastRenderedPageBreak/>
        <w:t xml:space="preserve">Desde 2012, </w:t>
      </w:r>
      <w:r w:rsidR="00296F03" w:rsidRPr="00F05461">
        <w:rPr>
          <w:lang w:val="es-ES"/>
        </w:rPr>
        <w:t>la UIT</w:t>
      </w:r>
      <w:r w:rsidRPr="00F05461">
        <w:rPr>
          <w:lang w:val="es-ES"/>
        </w:rPr>
        <w:t xml:space="preserve"> organiza los </w:t>
      </w:r>
      <w:hyperlink r:id="rId284" w:history="1">
        <w:r w:rsidRPr="00F05461">
          <w:rPr>
            <w:rStyle w:val="Hyperlink"/>
            <w:rFonts w:eastAsia="Times New Roman" w:cs="Times New Roman"/>
            <w:szCs w:val="20"/>
            <w:lang w:val="es-ES"/>
          </w:rPr>
          <w:t xml:space="preserve">Premios de </w:t>
        </w:r>
        <w:r w:rsidR="00026A3E" w:rsidRPr="00F05461">
          <w:rPr>
            <w:rStyle w:val="Hyperlink"/>
            <w:rFonts w:eastAsia="Times New Roman" w:cs="Times New Roman"/>
            <w:szCs w:val="20"/>
            <w:lang w:val="es-ES"/>
          </w:rPr>
          <w:t>la CMSI</w:t>
        </w:r>
      </w:hyperlink>
      <w:r w:rsidRPr="00F05461">
        <w:rPr>
          <w:lang w:val="es-ES"/>
        </w:rPr>
        <w:t xml:space="preserve">, </w:t>
      </w:r>
      <w:r w:rsidR="00A13CA3" w:rsidRPr="00F05461">
        <w:rPr>
          <w:lang w:val="es-ES"/>
        </w:rPr>
        <w:t xml:space="preserve">el certamen más esperado del mundo en el ámbito de </w:t>
      </w:r>
      <w:r w:rsidRPr="00F05461">
        <w:rPr>
          <w:lang w:val="es-ES"/>
        </w:rPr>
        <w:t>las prácticas</w:t>
      </w:r>
      <w:r w:rsidR="006D6680" w:rsidRPr="00F05461">
        <w:rPr>
          <w:lang w:val="es-ES"/>
        </w:rPr>
        <w:t xml:space="preserve"> idóneas</w:t>
      </w:r>
      <w:r w:rsidRPr="00F05461">
        <w:rPr>
          <w:lang w:val="es-ES"/>
        </w:rPr>
        <w:t xml:space="preserve"> </w:t>
      </w:r>
      <w:r w:rsidR="00A13CA3" w:rsidRPr="00F05461">
        <w:rPr>
          <w:lang w:val="es-ES"/>
        </w:rPr>
        <w:t>en materia de lo d</w:t>
      </w:r>
      <w:r w:rsidRPr="00F05461">
        <w:rPr>
          <w:lang w:val="es-ES"/>
        </w:rPr>
        <w:t>igital para el desarrollo</w:t>
      </w:r>
      <w:r w:rsidR="00A13CA3" w:rsidRPr="00F05461">
        <w:rPr>
          <w:lang w:val="es-ES"/>
        </w:rPr>
        <w:t xml:space="preserve">. Hasta la fecha se ha reconocido </w:t>
      </w:r>
      <w:r w:rsidRPr="00F05461">
        <w:rPr>
          <w:lang w:val="es-ES"/>
        </w:rPr>
        <w:t>la excelencia y la innovación de más de 9</w:t>
      </w:r>
      <w:r w:rsidR="008A4871" w:rsidRPr="00F05461">
        <w:rPr>
          <w:lang w:val="es-ES"/>
        </w:rPr>
        <w:t> </w:t>
      </w:r>
      <w:r w:rsidRPr="00F05461">
        <w:rPr>
          <w:lang w:val="es-ES"/>
        </w:rPr>
        <w:t>000</w:t>
      </w:r>
      <w:r w:rsidR="008A4871" w:rsidRPr="00F05461">
        <w:rPr>
          <w:lang w:val="es-ES"/>
        </w:rPr>
        <w:t> </w:t>
      </w:r>
      <w:r w:rsidRPr="00F05461">
        <w:rPr>
          <w:lang w:val="es-ES"/>
        </w:rPr>
        <w:t>proyectos</w:t>
      </w:r>
      <w:r w:rsidR="00A13CA3" w:rsidRPr="00F05461">
        <w:rPr>
          <w:lang w:val="es-ES"/>
        </w:rPr>
        <w:t xml:space="preserve"> y</w:t>
      </w:r>
      <w:r w:rsidRPr="00F05461">
        <w:rPr>
          <w:lang w:val="es-ES"/>
        </w:rPr>
        <w:t xml:space="preserve"> </w:t>
      </w:r>
      <w:r w:rsidR="00A13CA3" w:rsidRPr="00F05461">
        <w:rPr>
          <w:lang w:val="es-ES"/>
        </w:rPr>
        <w:t>se h</w:t>
      </w:r>
      <w:r w:rsidRPr="00F05461">
        <w:rPr>
          <w:lang w:val="es-ES"/>
        </w:rPr>
        <w:t>a premiado a 252</w:t>
      </w:r>
      <w:r w:rsidR="008A4871" w:rsidRPr="00F05461">
        <w:rPr>
          <w:lang w:val="es-ES"/>
        </w:rPr>
        <w:t> </w:t>
      </w:r>
      <w:r w:rsidRPr="00F05461">
        <w:rPr>
          <w:lang w:val="es-ES"/>
        </w:rPr>
        <w:t>ganadores y 720</w:t>
      </w:r>
      <w:r w:rsidR="008A4871" w:rsidRPr="00F05461">
        <w:rPr>
          <w:lang w:val="es-ES"/>
        </w:rPr>
        <w:t> </w:t>
      </w:r>
      <w:r w:rsidRPr="00F05461">
        <w:rPr>
          <w:lang w:val="es-ES"/>
        </w:rPr>
        <w:t xml:space="preserve">campeones, </w:t>
      </w:r>
      <w:r w:rsidR="00A13CA3" w:rsidRPr="00F05461">
        <w:rPr>
          <w:lang w:val="es-ES"/>
        </w:rPr>
        <w:t xml:space="preserve">con la participación de </w:t>
      </w:r>
      <w:r w:rsidRPr="00F05461">
        <w:rPr>
          <w:lang w:val="es-ES"/>
        </w:rPr>
        <w:t xml:space="preserve">cientos de miles de partes interesadas y ha beneficiados a millones de personas. Los ganadores </w:t>
      </w:r>
      <w:r w:rsidR="00B933C5" w:rsidRPr="00F05461">
        <w:rPr>
          <w:lang w:val="es-ES"/>
        </w:rPr>
        <w:t>de 202</w:t>
      </w:r>
      <w:r w:rsidR="00711F8C" w:rsidRPr="00F05461">
        <w:rPr>
          <w:lang w:val="es-ES"/>
        </w:rPr>
        <w:t>3</w:t>
      </w:r>
      <w:r w:rsidRPr="00F05461">
        <w:rPr>
          <w:lang w:val="es-ES"/>
        </w:rPr>
        <w:t>-2025 están disponibles en línea.</w:t>
      </w:r>
    </w:p>
    <w:p w14:paraId="242EEE6A" w14:textId="77121FB6" w:rsidR="00B1145C" w:rsidRPr="00F05461" w:rsidRDefault="00B1145C" w:rsidP="00B1145C">
      <w:pPr>
        <w:rPr>
          <w:lang w:val="es-ES"/>
        </w:rPr>
      </w:pPr>
      <w:r w:rsidRPr="00F05461">
        <w:rPr>
          <w:lang w:val="es-ES"/>
        </w:rPr>
        <w:t xml:space="preserve">Desde 2011, </w:t>
      </w:r>
      <w:r w:rsidR="00296F03" w:rsidRPr="00F05461">
        <w:rPr>
          <w:lang w:val="es-ES"/>
        </w:rPr>
        <w:t>la UIT</w:t>
      </w:r>
      <w:r w:rsidRPr="00F05461">
        <w:rPr>
          <w:lang w:val="es-ES"/>
        </w:rPr>
        <w:t xml:space="preserve"> ha coordinado el </w:t>
      </w:r>
      <w:hyperlink r:id="rId285" w:history="1">
        <w:r w:rsidRPr="00F05461">
          <w:rPr>
            <w:rStyle w:val="Hyperlink"/>
            <w:rFonts w:eastAsia="Times New Roman" w:cs="Times New Roman"/>
            <w:szCs w:val="20"/>
            <w:lang w:val="es-ES"/>
          </w:rPr>
          <w:t xml:space="preserve">Fondo Fiduciario de </w:t>
        </w:r>
        <w:r w:rsidR="00026A3E" w:rsidRPr="00F05461">
          <w:rPr>
            <w:rStyle w:val="Hyperlink"/>
            <w:rFonts w:eastAsia="Times New Roman" w:cs="Times New Roman"/>
            <w:szCs w:val="20"/>
            <w:lang w:val="es-ES"/>
          </w:rPr>
          <w:t>la CMSI</w:t>
        </w:r>
      </w:hyperlink>
      <w:r w:rsidRPr="00F05461">
        <w:rPr>
          <w:lang w:val="es-ES"/>
        </w:rPr>
        <w:t>, creado en virtud de la Resolución</w:t>
      </w:r>
      <w:r w:rsidR="00026A3E" w:rsidRPr="00F05461">
        <w:rPr>
          <w:lang w:val="es-ES"/>
        </w:rPr>
        <w:t> </w:t>
      </w:r>
      <w:r w:rsidRPr="00F05461">
        <w:rPr>
          <w:lang w:val="es-ES"/>
        </w:rPr>
        <w:t>140 de la</w:t>
      </w:r>
      <w:r w:rsidR="00026A3E" w:rsidRPr="00F05461">
        <w:rPr>
          <w:lang w:val="es-ES"/>
        </w:rPr>
        <w:t> </w:t>
      </w:r>
      <w:r w:rsidRPr="00F05461">
        <w:rPr>
          <w:lang w:val="es-ES"/>
        </w:rPr>
        <w:t xml:space="preserve">PP, para apoyar la aplicación de </w:t>
      </w:r>
      <w:r w:rsidR="00026A3E" w:rsidRPr="00F05461">
        <w:rPr>
          <w:lang w:val="es-ES"/>
        </w:rPr>
        <w:t>la CMSI</w:t>
      </w:r>
      <w:r w:rsidRPr="00F05461">
        <w:rPr>
          <w:lang w:val="es-ES"/>
        </w:rPr>
        <w:t>. De conformidad con las Resoluciones</w:t>
      </w:r>
      <w:r w:rsidR="00026A3E" w:rsidRPr="00F05461">
        <w:rPr>
          <w:lang w:val="es-ES"/>
        </w:rPr>
        <w:t> </w:t>
      </w:r>
      <w:r w:rsidRPr="00F05461">
        <w:rPr>
          <w:lang w:val="es-ES"/>
        </w:rPr>
        <w:t xml:space="preserve">1332 y 1334 del Consejo, se alienta a todos los Miembros y partes interesadas a contribuir voluntariamente y se reconoce el apoyo de los socios del Foro de </w:t>
      </w:r>
      <w:r w:rsidR="00026A3E" w:rsidRPr="00F05461">
        <w:rPr>
          <w:lang w:val="es-ES"/>
        </w:rPr>
        <w:t>la CMSI</w:t>
      </w:r>
      <w:r w:rsidRPr="00F05461">
        <w:rPr>
          <w:lang w:val="es-ES"/>
        </w:rPr>
        <w:t xml:space="preserve"> </w:t>
      </w:r>
      <w:r w:rsidR="00B933C5" w:rsidRPr="00F05461">
        <w:rPr>
          <w:lang w:val="es-ES"/>
        </w:rPr>
        <w:t>de 202</w:t>
      </w:r>
      <w:r w:rsidR="00711F8C" w:rsidRPr="00F05461">
        <w:rPr>
          <w:lang w:val="es-ES"/>
        </w:rPr>
        <w:t>3</w:t>
      </w:r>
      <w:r w:rsidRPr="00F05461">
        <w:rPr>
          <w:lang w:val="es-ES"/>
        </w:rPr>
        <w:t xml:space="preserve"> y de los eventos de alto nivel de </w:t>
      </w:r>
      <w:r w:rsidR="00026A3E" w:rsidRPr="00F05461">
        <w:rPr>
          <w:lang w:val="es-ES"/>
        </w:rPr>
        <w:t>la CMSI</w:t>
      </w:r>
      <w:r w:rsidRPr="00F05461">
        <w:rPr>
          <w:lang w:val="es-ES"/>
        </w:rPr>
        <w:t xml:space="preserve">+20 </w:t>
      </w:r>
      <w:r w:rsidR="00B933C5" w:rsidRPr="00F05461">
        <w:rPr>
          <w:lang w:val="es-ES"/>
        </w:rPr>
        <w:t>de 202</w:t>
      </w:r>
      <w:r w:rsidR="00711F8C" w:rsidRPr="00F05461">
        <w:rPr>
          <w:lang w:val="es-ES"/>
        </w:rPr>
        <w:t>4</w:t>
      </w:r>
      <w:r w:rsidRPr="00F05461">
        <w:rPr>
          <w:lang w:val="es-ES"/>
        </w:rPr>
        <w:t>-2025.</w:t>
      </w:r>
    </w:p>
    <w:p w14:paraId="377D2B28" w14:textId="642B08CC" w:rsidR="00B1145C" w:rsidRPr="00F05461" w:rsidRDefault="00296F03" w:rsidP="00E221BF">
      <w:pPr>
        <w:keepNext/>
        <w:keepLines/>
        <w:rPr>
          <w:lang w:val="es-ES"/>
        </w:rPr>
      </w:pPr>
      <w:r w:rsidRPr="00F05461">
        <w:rPr>
          <w:lang w:val="es-ES"/>
        </w:rPr>
        <w:t>La UIT</w:t>
      </w:r>
      <w:r w:rsidR="00B1145C" w:rsidRPr="00F05461">
        <w:rPr>
          <w:lang w:val="es-ES"/>
        </w:rPr>
        <w:t xml:space="preserve"> participa en el Comité Directivo de la </w:t>
      </w:r>
      <w:hyperlink r:id="rId286" w:history="1">
        <w:r w:rsidR="00B1145C" w:rsidRPr="00F05461">
          <w:rPr>
            <w:rStyle w:val="Hyperlink"/>
            <w:rFonts w:eastAsia="Times New Roman" w:cs="Times New Roman"/>
            <w:szCs w:val="20"/>
            <w:lang w:val="es-ES"/>
          </w:rPr>
          <w:t xml:space="preserve">Asociación para la </w:t>
        </w:r>
        <w:r w:rsidR="00BE12D6" w:rsidRPr="00F05461">
          <w:rPr>
            <w:rStyle w:val="Hyperlink"/>
            <w:rFonts w:eastAsia="Times New Roman" w:cs="Times New Roman"/>
            <w:szCs w:val="20"/>
            <w:lang w:val="es-ES"/>
          </w:rPr>
          <w:t>m</w:t>
        </w:r>
        <w:r w:rsidR="00B1145C" w:rsidRPr="00F05461">
          <w:rPr>
            <w:rStyle w:val="Hyperlink"/>
            <w:rFonts w:eastAsia="Times New Roman" w:cs="Times New Roman"/>
            <w:szCs w:val="20"/>
            <w:lang w:val="es-ES"/>
          </w:rPr>
          <w:t>edición de las</w:t>
        </w:r>
        <w:r w:rsidR="008A4871" w:rsidRPr="00F05461">
          <w:rPr>
            <w:rStyle w:val="Hyperlink"/>
            <w:rFonts w:eastAsia="Times New Roman" w:cs="Times New Roman"/>
            <w:szCs w:val="20"/>
            <w:lang w:val="es-ES"/>
          </w:rPr>
          <w:t> </w:t>
        </w:r>
        <w:r w:rsidR="00B1145C" w:rsidRPr="00F05461">
          <w:rPr>
            <w:rStyle w:val="Hyperlink"/>
            <w:rFonts w:eastAsia="Times New Roman" w:cs="Times New Roman"/>
            <w:szCs w:val="20"/>
            <w:lang w:val="es-ES"/>
          </w:rPr>
          <w:t xml:space="preserve">TIC para el </w:t>
        </w:r>
        <w:r w:rsidR="00BE12D6" w:rsidRPr="00F05461">
          <w:rPr>
            <w:rStyle w:val="Hyperlink"/>
            <w:rFonts w:eastAsia="Times New Roman" w:cs="Times New Roman"/>
            <w:szCs w:val="20"/>
            <w:lang w:val="es-ES"/>
          </w:rPr>
          <w:t>d</w:t>
        </w:r>
        <w:r w:rsidR="00B1145C" w:rsidRPr="00F05461">
          <w:rPr>
            <w:rStyle w:val="Hyperlink"/>
            <w:rFonts w:eastAsia="Times New Roman" w:cs="Times New Roman"/>
            <w:szCs w:val="20"/>
            <w:lang w:val="es-ES"/>
          </w:rPr>
          <w:t>esarrollo</w:t>
        </w:r>
      </w:hyperlink>
      <w:r w:rsidR="00B1145C" w:rsidRPr="00F05461">
        <w:rPr>
          <w:lang w:val="es-ES"/>
        </w:rPr>
        <w:t>, junto con la</w:t>
      </w:r>
      <w:r w:rsidR="00440D30" w:rsidRPr="00F05461">
        <w:rPr>
          <w:lang w:val="es-ES"/>
        </w:rPr>
        <w:t> </w:t>
      </w:r>
      <w:r w:rsidR="00B1145C" w:rsidRPr="00F05461">
        <w:rPr>
          <w:lang w:val="es-ES"/>
        </w:rPr>
        <w:t xml:space="preserve">UNCTAD y el Departamento de Asuntos Económicos y Sociales de las Naciones Unidas. La Asociación mejora la calidad y la disponibilidad de los datos sobre TIC para el desarrollo sostenible mediante el establecimiento de las correspondencias entre los indicadores clave y las líneas de acción de </w:t>
      </w:r>
      <w:r w:rsidR="00026A3E" w:rsidRPr="00F05461">
        <w:rPr>
          <w:lang w:val="es-ES"/>
        </w:rPr>
        <w:t>la CMSI</w:t>
      </w:r>
      <w:r w:rsidR="00B1145C" w:rsidRPr="00F05461">
        <w:rPr>
          <w:lang w:val="es-ES"/>
        </w:rPr>
        <w:t>, el Pacto Digital Global y el marco de conectividad universal efectiva de las Naciones Unidas, la detección de las carencias y el apoyo al examen de 20</w:t>
      </w:r>
      <w:r w:rsidR="00FD399B" w:rsidRPr="00F05461">
        <w:rPr>
          <w:lang w:val="es-ES"/>
        </w:rPr>
        <w:t> </w:t>
      </w:r>
      <w:r w:rsidR="00B1145C" w:rsidRPr="00F05461">
        <w:rPr>
          <w:lang w:val="es-ES"/>
        </w:rPr>
        <w:t xml:space="preserve">años de </w:t>
      </w:r>
      <w:r w:rsidR="00026A3E" w:rsidRPr="00F05461">
        <w:rPr>
          <w:lang w:val="es-ES"/>
        </w:rPr>
        <w:t>la CMSI</w:t>
      </w:r>
      <w:r w:rsidR="00B1145C" w:rsidRPr="00F05461">
        <w:rPr>
          <w:lang w:val="es-ES"/>
        </w:rPr>
        <w:t xml:space="preserve">+20; </w:t>
      </w:r>
      <w:r w:rsidRPr="00F05461">
        <w:rPr>
          <w:lang w:val="es-ES"/>
        </w:rPr>
        <w:t>la UIT</w:t>
      </w:r>
      <w:r w:rsidR="00B1145C" w:rsidRPr="00F05461">
        <w:rPr>
          <w:lang w:val="es-ES"/>
        </w:rPr>
        <w:t xml:space="preserve"> almacena todos los datos básicos en el </w:t>
      </w:r>
      <w:hyperlink r:id="rId287" w:history="1">
        <w:r w:rsidR="00B1145C" w:rsidRPr="00F05461">
          <w:rPr>
            <w:rStyle w:val="Hyperlink"/>
            <w:rFonts w:eastAsia="Times New Roman" w:cs="Times New Roman"/>
            <w:szCs w:val="20"/>
            <w:lang w:val="es-ES"/>
          </w:rPr>
          <w:t xml:space="preserve">Centro de datos de </w:t>
        </w:r>
        <w:r w:rsidRPr="00F05461">
          <w:rPr>
            <w:rStyle w:val="Hyperlink"/>
            <w:rFonts w:eastAsia="Times New Roman" w:cs="Times New Roman"/>
            <w:szCs w:val="20"/>
            <w:lang w:val="es-ES"/>
          </w:rPr>
          <w:t>la UIT</w:t>
        </w:r>
      </w:hyperlink>
      <w:r w:rsidR="00B1145C" w:rsidRPr="00F05461">
        <w:rPr>
          <w:lang w:val="es-ES"/>
        </w:rPr>
        <w:t>.</w:t>
      </w:r>
    </w:p>
    <w:p w14:paraId="57ED5E6B" w14:textId="77777777" w:rsidR="00B1145C" w:rsidRPr="00F05461" w:rsidRDefault="00B1145C" w:rsidP="003E558F">
      <w:pPr>
        <w:pStyle w:val="Heading3"/>
      </w:pPr>
      <w:bookmarkStart w:id="83" w:name="_4.8.2_AI_for"/>
      <w:bookmarkStart w:id="84" w:name="_Toc227137481"/>
      <w:bookmarkEnd w:id="83"/>
      <w:r w:rsidRPr="00F05461">
        <w:t>4.8.2</w:t>
      </w:r>
      <w:r w:rsidRPr="00F05461">
        <w:tab/>
        <w:t>AI for Good</w:t>
      </w:r>
      <w:bookmarkEnd w:id="84"/>
    </w:p>
    <w:p w14:paraId="484C1440" w14:textId="22DA1B6A" w:rsidR="00B1145C" w:rsidRPr="00F05461" w:rsidRDefault="00B1145C" w:rsidP="00B1145C">
      <w:pPr>
        <w:rPr>
          <w:lang w:val="es-ES"/>
        </w:rPr>
      </w:pPr>
      <w:r>
        <w:fldChar w:fldCharType="begin"/>
      </w:r>
      <w:r w:rsidRPr="009A0A46">
        <w:rPr>
          <w:lang w:val="es-ES"/>
        </w:rPr>
        <w:instrText>HYPERLINK "https://aiforgood.itu.int/"</w:instrText>
      </w:r>
      <w:r>
        <w:fldChar w:fldCharType="separate"/>
      </w:r>
      <w:r w:rsidRPr="00F05461">
        <w:rPr>
          <w:rStyle w:val="Hyperlink"/>
          <w:rFonts w:eastAsia="Times New Roman" w:cs="Times New Roman"/>
          <w:szCs w:val="20"/>
          <w:lang w:val="es-ES"/>
        </w:rPr>
        <w:t>AI for Good</w:t>
      </w:r>
      <w:r>
        <w:fldChar w:fldCharType="end"/>
      </w:r>
      <w:r w:rsidRPr="00F05461">
        <w:rPr>
          <w:lang w:val="es-ES"/>
        </w:rPr>
        <w:t xml:space="preserve"> ha seguido expandiéndose como la principal plataforma de las Naciones Unidas orientada a la acción para la</w:t>
      </w:r>
      <w:r w:rsidR="00276E5C">
        <w:rPr>
          <w:lang w:val="es-ES"/>
        </w:rPr>
        <w:t> IA</w:t>
      </w:r>
      <w:r w:rsidRPr="00F05461">
        <w:rPr>
          <w:lang w:val="es-ES"/>
        </w:rPr>
        <w:t>. Su objetivo es identificar soluciones prácticas de</w:t>
      </w:r>
      <w:r w:rsidR="003C7DDE">
        <w:rPr>
          <w:lang w:val="es-ES"/>
        </w:rPr>
        <w:t> </w:t>
      </w:r>
      <w:r w:rsidRPr="00F05461">
        <w:rPr>
          <w:lang w:val="es-ES"/>
        </w:rPr>
        <w:t>IA que permitan avanzar en los</w:t>
      </w:r>
      <w:r w:rsidR="008A4871" w:rsidRPr="00F05461">
        <w:rPr>
          <w:lang w:val="es-ES"/>
        </w:rPr>
        <w:t> </w:t>
      </w:r>
      <w:r w:rsidRPr="00F05461">
        <w:rPr>
          <w:lang w:val="es-ES"/>
        </w:rPr>
        <w:t xml:space="preserve">ODS. Dirigida por </w:t>
      </w:r>
      <w:r w:rsidR="00296F03" w:rsidRPr="00F05461">
        <w:rPr>
          <w:lang w:val="es-ES"/>
        </w:rPr>
        <w:t>la UIT</w:t>
      </w:r>
      <w:r w:rsidRPr="00F05461">
        <w:rPr>
          <w:lang w:val="es-ES"/>
        </w:rPr>
        <w:t xml:space="preserve"> y respaldada por más de 40</w:t>
      </w:r>
      <w:r w:rsidR="00936437" w:rsidRPr="00F05461">
        <w:rPr>
          <w:lang w:val="es-ES"/>
        </w:rPr>
        <w:t> </w:t>
      </w:r>
      <w:r w:rsidRPr="00F05461">
        <w:rPr>
          <w:lang w:val="es-ES"/>
        </w:rPr>
        <w:t xml:space="preserve">organismos de las Naciones Unidas, la iniciativa funciona a través de tres vías (Aprender, Construir y Conectar) y mantiene un </w:t>
      </w:r>
      <w:hyperlink r:id="rId288" w:history="1">
        <w:r w:rsidRPr="00F05461">
          <w:rPr>
            <w:rStyle w:val="Hyperlink"/>
            <w:rFonts w:eastAsia="Times New Roman" w:cs="Times New Roman"/>
            <w:szCs w:val="20"/>
            <w:lang w:val="es-ES"/>
          </w:rPr>
          <w:t>programa digital</w:t>
        </w:r>
      </w:hyperlink>
      <w:r w:rsidRPr="00F05461">
        <w:rPr>
          <w:lang w:val="es-ES"/>
        </w:rPr>
        <w:t xml:space="preserve"> durante todo el año con seminarios web, sesiones de expertos y actividades colaborativas frecuentes.</w:t>
      </w:r>
    </w:p>
    <w:p w14:paraId="29B1ABE0" w14:textId="4A83B108" w:rsidR="00B1145C" w:rsidRPr="00F05461" w:rsidRDefault="00B1145C" w:rsidP="00B1145C">
      <w:pPr>
        <w:rPr>
          <w:lang w:val="es-ES"/>
        </w:rPr>
      </w:pPr>
      <w:r w:rsidRPr="00F05461">
        <w:rPr>
          <w:lang w:val="es-ES"/>
        </w:rPr>
        <w:t xml:space="preserve">Un elemento central de este ecosistema es la </w:t>
      </w:r>
      <w:hyperlink r:id="rId289" w:history="1">
        <w:r w:rsidRPr="00F05461">
          <w:rPr>
            <w:rStyle w:val="Hyperlink"/>
            <w:rFonts w:eastAsia="Times New Roman" w:cs="Times New Roman"/>
            <w:szCs w:val="20"/>
            <w:lang w:val="es-ES"/>
          </w:rPr>
          <w:t>red neural AI for Good</w:t>
        </w:r>
      </w:hyperlink>
      <w:r w:rsidRPr="00F05461">
        <w:rPr>
          <w:lang w:val="es-ES"/>
        </w:rPr>
        <w:t>, una comunidad de establecimiento de contactos basada en IA, que creció de 15</w:t>
      </w:r>
      <w:r w:rsidR="00AC4745" w:rsidRPr="00F05461">
        <w:rPr>
          <w:lang w:val="es-ES"/>
        </w:rPr>
        <w:t> </w:t>
      </w:r>
      <w:r w:rsidRPr="00F05461">
        <w:rPr>
          <w:lang w:val="es-ES"/>
        </w:rPr>
        <w:t>000</w:t>
      </w:r>
      <w:r w:rsidR="00AC4745" w:rsidRPr="00F05461">
        <w:rPr>
          <w:lang w:val="es-ES"/>
        </w:rPr>
        <w:t> </w:t>
      </w:r>
      <w:r w:rsidRPr="00F05461">
        <w:rPr>
          <w:lang w:val="es-ES"/>
        </w:rPr>
        <w:t>miembros en 2023 a más de 35</w:t>
      </w:r>
      <w:r w:rsidR="00AC4745" w:rsidRPr="00F05461">
        <w:rPr>
          <w:lang w:val="es-ES"/>
        </w:rPr>
        <w:t> </w:t>
      </w:r>
      <w:r w:rsidRPr="00F05461">
        <w:rPr>
          <w:lang w:val="es-ES"/>
        </w:rPr>
        <w:t>000 en 2024, con una comunidad en línea ampliada que supera los 137</w:t>
      </w:r>
      <w:r w:rsidR="00AC4745" w:rsidRPr="00F05461">
        <w:rPr>
          <w:lang w:val="es-ES"/>
        </w:rPr>
        <w:t> </w:t>
      </w:r>
      <w:r w:rsidRPr="00F05461">
        <w:rPr>
          <w:lang w:val="es-ES"/>
        </w:rPr>
        <w:t>000</w:t>
      </w:r>
      <w:r w:rsidR="00AC4745" w:rsidRPr="00F05461">
        <w:rPr>
          <w:lang w:val="es-ES"/>
        </w:rPr>
        <w:t> </w:t>
      </w:r>
      <w:r w:rsidRPr="00F05461">
        <w:rPr>
          <w:lang w:val="es-ES"/>
        </w:rPr>
        <w:t>participantes. Los mecanismos de establecimiento inteligente de contactos de la plataforma apoyan la cooperación mundial y la innovación centrada en los</w:t>
      </w:r>
      <w:r w:rsidR="008A4871" w:rsidRPr="00F05461">
        <w:rPr>
          <w:lang w:val="es-ES"/>
        </w:rPr>
        <w:t> </w:t>
      </w:r>
      <w:r w:rsidRPr="00F05461">
        <w:rPr>
          <w:lang w:val="es-ES"/>
        </w:rPr>
        <w:t>ODS, fomentando asociaciones eficaces en los diferentes sectores y regiones.</w:t>
      </w:r>
    </w:p>
    <w:p w14:paraId="201B74F0" w14:textId="6CFAB544" w:rsidR="00B1145C" w:rsidRPr="00F05461" w:rsidRDefault="00B1145C" w:rsidP="00B1145C">
      <w:pPr>
        <w:rPr>
          <w:lang w:val="es-ES"/>
        </w:rPr>
      </w:pPr>
      <w:r w:rsidRPr="00F05461">
        <w:rPr>
          <w:lang w:val="es-ES"/>
        </w:rPr>
        <w:t xml:space="preserve">La </w:t>
      </w:r>
      <w:hyperlink r:id="rId290" w:history="1">
        <w:r w:rsidRPr="00F05461">
          <w:rPr>
            <w:rStyle w:val="Hyperlink"/>
            <w:rFonts w:eastAsia="Times New Roman" w:cs="Times New Roman"/>
            <w:szCs w:val="20"/>
            <w:lang w:val="es-ES"/>
          </w:rPr>
          <w:t>Cumbre Mundial AI for Good</w:t>
        </w:r>
      </w:hyperlink>
      <w:r w:rsidRPr="00F05461">
        <w:rPr>
          <w:lang w:val="es-ES"/>
        </w:rPr>
        <w:t xml:space="preserve"> anual sigue siendo el evento emblemático de la iniciativa. Su </w:t>
      </w:r>
      <w:hyperlink r:id="rId291" w:history="1">
        <w:r w:rsidRPr="00F05461">
          <w:rPr>
            <w:rStyle w:val="Hyperlink"/>
            <w:rFonts w:eastAsia="Times New Roman" w:cs="Times New Roman"/>
            <w:szCs w:val="20"/>
            <w:lang w:val="es-ES"/>
          </w:rPr>
          <w:t xml:space="preserve">edición </w:t>
        </w:r>
        <w:r w:rsidR="00B933C5" w:rsidRPr="00F05461">
          <w:rPr>
            <w:rStyle w:val="Hyperlink"/>
            <w:rFonts w:eastAsia="Times New Roman" w:cs="Times New Roman"/>
            <w:szCs w:val="20"/>
            <w:lang w:val="es-ES"/>
          </w:rPr>
          <w:t>de 202</w:t>
        </w:r>
        <w:r w:rsidR="00711F8C" w:rsidRPr="00F05461">
          <w:rPr>
            <w:rStyle w:val="Hyperlink"/>
            <w:rFonts w:eastAsia="Times New Roman" w:cs="Times New Roman"/>
            <w:szCs w:val="20"/>
            <w:lang w:val="es-ES"/>
          </w:rPr>
          <w:t>3</w:t>
        </w:r>
      </w:hyperlink>
      <w:r w:rsidRPr="00F05461">
        <w:rPr>
          <w:lang w:val="es-ES"/>
        </w:rPr>
        <w:t xml:space="preserve"> en Ginebra reunió a más de 3</w:t>
      </w:r>
      <w:r w:rsidR="00FD399B" w:rsidRPr="00F05461">
        <w:rPr>
          <w:lang w:val="es-ES"/>
        </w:rPr>
        <w:t> </w:t>
      </w:r>
      <w:r w:rsidRPr="00F05461">
        <w:rPr>
          <w:lang w:val="es-ES"/>
        </w:rPr>
        <w:t>000</w:t>
      </w:r>
      <w:r w:rsidR="00FD399B" w:rsidRPr="00F05461">
        <w:rPr>
          <w:lang w:val="es-ES"/>
        </w:rPr>
        <w:t> </w:t>
      </w:r>
      <w:r w:rsidRPr="00F05461">
        <w:rPr>
          <w:lang w:val="es-ES"/>
        </w:rPr>
        <w:t xml:space="preserve">participantes y acogió la mayor asamblea mundial de robots humanoides y especializados, complementada por talleres de aprendizaje automático de nivel experto. En 2024, la </w:t>
      </w:r>
      <w:hyperlink r:id="rId292" w:history="1">
        <w:r w:rsidRPr="00F05461">
          <w:rPr>
            <w:rStyle w:val="Hyperlink"/>
            <w:rFonts w:eastAsia="Times New Roman" w:cs="Times New Roman"/>
            <w:szCs w:val="20"/>
            <w:lang w:val="es-ES"/>
          </w:rPr>
          <w:t>Cumbre Mundial AI for Good</w:t>
        </w:r>
      </w:hyperlink>
      <w:r w:rsidRPr="00F05461">
        <w:rPr>
          <w:lang w:val="es-ES"/>
        </w:rPr>
        <w:t xml:space="preserve"> se expandió considerablemente, atrajo a más de 5</w:t>
      </w:r>
      <w:r w:rsidR="00FD399B" w:rsidRPr="00F05461">
        <w:rPr>
          <w:lang w:val="es-ES"/>
        </w:rPr>
        <w:t> </w:t>
      </w:r>
      <w:r w:rsidRPr="00F05461">
        <w:rPr>
          <w:lang w:val="es-ES"/>
        </w:rPr>
        <w:t>000</w:t>
      </w:r>
      <w:r w:rsidR="00FD399B" w:rsidRPr="00F05461">
        <w:rPr>
          <w:lang w:val="es-ES"/>
        </w:rPr>
        <w:t> </w:t>
      </w:r>
      <w:r w:rsidRPr="00F05461">
        <w:rPr>
          <w:lang w:val="es-ES"/>
        </w:rPr>
        <w:t>participantes presenciales, 27</w:t>
      </w:r>
      <w:r w:rsidR="00AC4745" w:rsidRPr="00F05461">
        <w:rPr>
          <w:lang w:val="es-ES"/>
        </w:rPr>
        <w:t> </w:t>
      </w:r>
      <w:r w:rsidRPr="00F05461">
        <w:rPr>
          <w:lang w:val="es-ES"/>
        </w:rPr>
        <w:t>organizaciones asociadas de las Naciones Unidas y 183</w:t>
      </w:r>
      <w:r w:rsidR="00FD399B" w:rsidRPr="00F05461">
        <w:rPr>
          <w:lang w:val="es-ES"/>
        </w:rPr>
        <w:t> </w:t>
      </w:r>
      <w:r w:rsidRPr="00F05461">
        <w:rPr>
          <w:lang w:val="es-ES"/>
        </w:rPr>
        <w:t>países representados y recibió más de 900</w:t>
      </w:r>
      <w:r w:rsidR="00AC4745" w:rsidRPr="00F05461">
        <w:rPr>
          <w:lang w:val="es-ES"/>
        </w:rPr>
        <w:t> </w:t>
      </w:r>
      <w:r w:rsidRPr="00F05461">
        <w:rPr>
          <w:lang w:val="es-ES"/>
        </w:rPr>
        <w:t>000</w:t>
      </w:r>
      <w:r w:rsidR="00AC4745" w:rsidRPr="00F05461">
        <w:rPr>
          <w:lang w:val="es-ES"/>
        </w:rPr>
        <w:t> </w:t>
      </w:r>
      <w:r w:rsidRPr="00F05461">
        <w:rPr>
          <w:lang w:val="es-ES"/>
        </w:rPr>
        <w:t>visitas en línea. Estos eventos, que acogen la presentación de aplicaciones pioneras y conectan a innovadores con responsables de la formulación de políticas, investigadores y líderes de la industria para ampliar las soluciones de</w:t>
      </w:r>
      <w:r w:rsidR="003C7DDE">
        <w:rPr>
          <w:lang w:val="es-ES"/>
        </w:rPr>
        <w:t> </w:t>
      </w:r>
      <w:r w:rsidRPr="00F05461">
        <w:rPr>
          <w:lang w:val="es-ES"/>
        </w:rPr>
        <w:t>IA a nivel mundial, siguieron funcionando como escaparate principal del sistema de las Naciones Unidas para las tecnologías de</w:t>
      </w:r>
      <w:r w:rsidR="003C7DDE">
        <w:rPr>
          <w:lang w:val="es-ES"/>
        </w:rPr>
        <w:t> </w:t>
      </w:r>
      <w:r w:rsidRPr="00F05461">
        <w:rPr>
          <w:lang w:val="es-ES"/>
        </w:rPr>
        <w:t>IA de vanguardia.</w:t>
      </w:r>
    </w:p>
    <w:p w14:paraId="5861D661" w14:textId="24EEF72F" w:rsidR="00B1145C" w:rsidRPr="00F05461" w:rsidRDefault="00B1145C" w:rsidP="00B1145C">
      <w:pPr>
        <w:rPr>
          <w:lang w:val="es-ES"/>
        </w:rPr>
      </w:pPr>
      <w:r w:rsidRPr="00F05461">
        <w:rPr>
          <w:lang w:val="es-ES"/>
        </w:rPr>
        <w:lastRenderedPageBreak/>
        <w:t xml:space="preserve">AI for Good consolidó aún más su impacto mundial mediante el desarrollo de nuevas iniciativas, incluida la </w:t>
      </w:r>
      <w:hyperlink r:id="rId293" w:history="1">
        <w:r w:rsidR="000C74EB" w:rsidRPr="00F05461">
          <w:rPr>
            <w:rStyle w:val="Hyperlink"/>
            <w:rFonts w:eastAsia="Times New Roman" w:cs="Times New Roman"/>
            <w:szCs w:val="20"/>
            <w:lang w:val="es-ES"/>
          </w:rPr>
          <w:t>Coalición de Competencias en IA</w:t>
        </w:r>
      </w:hyperlink>
      <w:r w:rsidR="000C74EB" w:rsidRPr="00F05461">
        <w:rPr>
          <w:lang w:val="es-ES"/>
        </w:rPr>
        <w:t xml:space="preserve"> </w:t>
      </w:r>
      <w:r w:rsidRPr="00F05461">
        <w:rPr>
          <w:lang w:val="es-ES"/>
        </w:rPr>
        <w:t xml:space="preserve">para llevar la educación y la capacitación en IA a todo el mundo. El programa también promovió la participación regional, como acreditan la </w:t>
      </w:r>
      <w:r>
        <w:fldChar w:fldCharType="begin"/>
      </w:r>
      <w:r w:rsidRPr="009A0A46">
        <w:rPr>
          <w:lang w:val="es-ES"/>
        </w:rPr>
        <w:instrText>HYPERLINK "https://aiforgood.itu.int/impact-initiative/"</w:instrText>
      </w:r>
      <w:r>
        <w:fldChar w:fldCharType="separate"/>
      </w:r>
      <w:r w:rsidRPr="00F05461">
        <w:rPr>
          <w:rStyle w:val="Hyperlink"/>
          <w:rFonts w:eastAsia="Times New Roman" w:cs="Times New Roman"/>
          <w:szCs w:val="20"/>
          <w:lang w:val="es-ES"/>
        </w:rPr>
        <w:t>iniciativa AI for Good Impact</w:t>
      </w:r>
      <w:r>
        <w:fldChar w:fldCharType="end"/>
      </w:r>
      <w:r w:rsidRPr="00F05461">
        <w:rPr>
          <w:lang w:val="es-ES"/>
        </w:rPr>
        <w:t xml:space="preserve"> que se puso en marcha en diferentes regiones, como India, durante un evento en 2024 y los preparativos para el evento </w:t>
      </w:r>
      <w:r>
        <w:fldChar w:fldCharType="begin"/>
      </w:r>
      <w:r w:rsidRPr="009A0A46">
        <w:rPr>
          <w:lang w:val="es-ES"/>
        </w:rPr>
        <w:instrText>HYPERLINK "https://aiforgood.itu.int/event/impact-africa/"</w:instrText>
      </w:r>
      <w:r>
        <w:fldChar w:fldCharType="separate"/>
      </w:r>
      <w:r w:rsidRPr="00F05461">
        <w:rPr>
          <w:rStyle w:val="Hyperlink"/>
          <w:rFonts w:eastAsia="Times New Roman" w:cs="Times New Roman"/>
          <w:szCs w:val="20"/>
          <w:lang w:val="es-ES"/>
        </w:rPr>
        <w:t>AI for Good Impact Africa</w:t>
      </w:r>
      <w:r>
        <w:fldChar w:fldCharType="end"/>
      </w:r>
      <w:r w:rsidRPr="00F05461">
        <w:rPr>
          <w:lang w:val="es-ES"/>
        </w:rPr>
        <w:t>, previsto para 2025 en Sudáfrica y organizado en asociación con la Secretaría del G20. A lo largo de estos años, AI for Good ha reforzado su papel como plataforma inclusiva, fiable y con visión de futuro dedicada a la utilización de la</w:t>
      </w:r>
      <w:r w:rsidR="008A4871" w:rsidRPr="00F05461">
        <w:rPr>
          <w:lang w:val="es-ES"/>
        </w:rPr>
        <w:t> </w:t>
      </w:r>
      <w:r w:rsidRPr="00F05461">
        <w:rPr>
          <w:lang w:val="es-ES"/>
        </w:rPr>
        <w:t>IA en beneficio de todos, en todas partes, y al mismo tiempo ha acelerado el avance hacia los</w:t>
      </w:r>
      <w:r w:rsidR="008A4871" w:rsidRPr="00F05461">
        <w:rPr>
          <w:lang w:val="es-ES"/>
        </w:rPr>
        <w:t> </w:t>
      </w:r>
      <w:r w:rsidRPr="00F05461">
        <w:rPr>
          <w:lang w:val="es-ES"/>
        </w:rPr>
        <w:t>ODS.</w:t>
      </w:r>
    </w:p>
    <w:p w14:paraId="3C6A341C" w14:textId="39C7C72A" w:rsidR="00B1145C" w:rsidRPr="00F05461" w:rsidRDefault="00B1145C" w:rsidP="003E558F">
      <w:pPr>
        <w:pStyle w:val="Heading3"/>
      </w:pPr>
      <w:bookmarkStart w:id="85" w:name="_Toc227137482"/>
      <w:r w:rsidRPr="00F05461">
        <w:t>4.8.3</w:t>
      </w:r>
      <w:r w:rsidRPr="00F05461">
        <w:tab/>
        <w:t>Simposio Mundial de Normalización</w:t>
      </w:r>
      <w:bookmarkEnd w:id="85"/>
    </w:p>
    <w:p w14:paraId="515DED17" w14:textId="44D01883" w:rsidR="00B1145C" w:rsidRPr="00F05461" w:rsidRDefault="00B1145C" w:rsidP="00E221BF">
      <w:pPr>
        <w:keepNext/>
        <w:keepLines/>
        <w:rPr>
          <w:lang w:val="es-ES"/>
        </w:rPr>
      </w:pPr>
      <w:r w:rsidRPr="00F05461">
        <w:rPr>
          <w:lang w:val="es-ES"/>
        </w:rPr>
        <w:t xml:space="preserve">El </w:t>
      </w:r>
      <w:hyperlink r:id="rId294" w:history="1">
        <w:r w:rsidRPr="00F05461">
          <w:rPr>
            <w:rStyle w:val="Hyperlink"/>
            <w:rFonts w:eastAsia="Times New Roman" w:cs="Times New Roman"/>
            <w:szCs w:val="20"/>
            <w:lang w:val="es-ES"/>
          </w:rPr>
          <w:t>quinto Simposio Mundial de Normalización (SMN-24)</w:t>
        </w:r>
      </w:hyperlink>
      <w:r w:rsidRPr="00F05461">
        <w:rPr>
          <w:lang w:val="es-ES"/>
        </w:rPr>
        <w:t xml:space="preserve"> se celebró el 14 de octubre </w:t>
      </w:r>
      <w:r w:rsidR="00B933C5" w:rsidRPr="00F05461">
        <w:rPr>
          <w:lang w:val="es-ES"/>
        </w:rPr>
        <w:t>de 202</w:t>
      </w:r>
      <w:r w:rsidR="00711F8C" w:rsidRPr="00F05461">
        <w:rPr>
          <w:lang w:val="es-ES"/>
        </w:rPr>
        <w:t>4</w:t>
      </w:r>
      <w:r w:rsidRPr="00F05461">
        <w:rPr>
          <w:lang w:val="es-ES"/>
        </w:rPr>
        <w:t xml:space="preserve"> en Nueva Delhi y ofreció una plataforma dinámica para líderes de opinión, innovadores y encargados de adoptar decisiones de todo el mundo. Este evento inclusivo, en el que participaron tanto Miembros como no miembros de </w:t>
      </w:r>
      <w:r w:rsidR="00296F03" w:rsidRPr="00F05461">
        <w:rPr>
          <w:lang w:val="es-ES"/>
        </w:rPr>
        <w:t>la UIT</w:t>
      </w:r>
      <w:r w:rsidRPr="00F05461">
        <w:rPr>
          <w:lang w:val="es-ES"/>
        </w:rPr>
        <w:t>, actuó como precursor de la AMNT-24 que tuvo lugar inmediatamente después.</w:t>
      </w:r>
    </w:p>
    <w:p w14:paraId="1B5D59CF" w14:textId="1CBE3984" w:rsidR="00B1145C" w:rsidRPr="00F05461" w:rsidRDefault="00B1145C" w:rsidP="00B1145C">
      <w:pPr>
        <w:rPr>
          <w:lang w:val="es-ES"/>
        </w:rPr>
      </w:pPr>
      <w:r w:rsidRPr="00F05461">
        <w:rPr>
          <w:lang w:val="es-ES"/>
        </w:rPr>
        <w:t xml:space="preserve">El SMN-24 se centró en el tema </w:t>
      </w:r>
      <w:r w:rsidR="007921C3" w:rsidRPr="00F05461">
        <w:rPr>
          <w:lang w:val="es-ES"/>
        </w:rPr>
        <w:t>«</w:t>
      </w:r>
      <w:r w:rsidRPr="00F05461">
        <w:rPr>
          <w:lang w:val="es-ES"/>
        </w:rPr>
        <w:t>Trazar la próxima ola digital: tecnologías emergentes, innovación y normas internacionales</w:t>
      </w:r>
      <w:r w:rsidR="007921C3" w:rsidRPr="00F05461">
        <w:rPr>
          <w:lang w:val="es-ES"/>
        </w:rPr>
        <w:t>»</w:t>
      </w:r>
      <w:r w:rsidRPr="00F05461">
        <w:rPr>
          <w:lang w:val="es-ES"/>
        </w:rPr>
        <w:t xml:space="preserve"> y destacó el papel fundamental de las tecnologías de vanguardia y las normas internacionales en la configuración del panorama digital. Un aspecto destacado del Simposio fue el Segmento de Alto Nivel, que reunió a ministros y líderes de la industria para debatir y orientar el futuro de la innovación con el objetivo de estimular un cambio transformador a escala mundial.</w:t>
      </w:r>
    </w:p>
    <w:p w14:paraId="674B147E" w14:textId="5F8E7048" w:rsidR="00B1145C" w:rsidRPr="00F05461" w:rsidRDefault="00B1145C" w:rsidP="00B1145C">
      <w:pPr>
        <w:rPr>
          <w:lang w:val="es-ES"/>
        </w:rPr>
      </w:pPr>
      <w:r w:rsidRPr="00F05461">
        <w:rPr>
          <w:lang w:val="es-ES"/>
        </w:rPr>
        <w:t xml:space="preserve">Aprovechando este impulso, el SMN-24 concluyó con una serie de recomendaciones prácticas en las que se destaca la importancia de las normas internacionales para apoyar la innovación, las tecnologías emergentes y el desarrollo sostenible. Las </w:t>
      </w:r>
      <w:hyperlink r:id="rId295" w:anchor="p=1" w:history="1">
        <w:r w:rsidRPr="00F05461">
          <w:rPr>
            <w:rStyle w:val="Hyperlink"/>
            <w:rFonts w:eastAsia="Times New Roman" w:cs="Times New Roman"/>
            <w:szCs w:val="20"/>
            <w:lang w:val="es-ES"/>
          </w:rPr>
          <w:t>conclusiones del SMN</w:t>
        </w:r>
        <w:r w:rsidR="00F45E08"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24</w:t>
        </w:r>
      </w:hyperlink>
      <w:r w:rsidRPr="00F05461">
        <w:rPr>
          <w:lang w:val="es-ES"/>
        </w:rPr>
        <w:t xml:space="preserve"> reafirmaron el papel de </w:t>
      </w:r>
      <w:r w:rsidR="00296F03" w:rsidRPr="00F05461">
        <w:rPr>
          <w:lang w:val="es-ES"/>
        </w:rPr>
        <w:t>la UIT</w:t>
      </w:r>
      <w:r w:rsidRPr="00F05461">
        <w:rPr>
          <w:lang w:val="es-ES"/>
        </w:rPr>
        <w:t xml:space="preserve"> como plataforma central para fomentar la colaboración entre los gobiernos, la industria, las instituciones académicas y la sociedad civil, y subrayaron la necesidad de coordinar los esfuerzos para aprovechar las normas existentes en favor de la transformación digital de las sociedades de todo el mundo.</w:t>
      </w:r>
    </w:p>
    <w:p w14:paraId="465E0BC0" w14:textId="77777777" w:rsidR="00B1145C" w:rsidRPr="00F05461" w:rsidRDefault="00B1145C" w:rsidP="003E558F">
      <w:pPr>
        <w:pStyle w:val="Heading3"/>
      </w:pPr>
      <w:bookmarkStart w:id="86" w:name="_Toc227137483"/>
      <w:r w:rsidRPr="00F05461">
        <w:t>4.8.4</w:t>
      </w:r>
      <w:r w:rsidRPr="00F05461">
        <w:tab/>
        <w:t>Simposio Mundial para Organismos Reguladores</w:t>
      </w:r>
      <w:bookmarkEnd w:id="86"/>
    </w:p>
    <w:p w14:paraId="20F5A6C2" w14:textId="612BF316" w:rsidR="00B1145C" w:rsidRPr="00F05461" w:rsidRDefault="00B1145C" w:rsidP="00B1145C">
      <w:pPr>
        <w:rPr>
          <w:lang w:val="es-ES"/>
        </w:rPr>
      </w:pPr>
      <w:r w:rsidRPr="00F05461">
        <w:rPr>
          <w:lang w:val="es-ES"/>
        </w:rPr>
        <w:t>Durante el periodo 2022-2025, el Simposio Mundial para Organismos Reguladores (</w:t>
      </w:r>
      <w:hyperlink r:id="rId296" w:history="1">
        <w:r w:rsidRPr="00F05461">
          <w:rPr>
            <w:rStyle w:val="Hyperlink"/>
            <w:rFonts w:eastAsia="Times New Roman" w:cs="Times New Roman"/>
            <w:szCs w:val="20"/>
            <w:lang w:val="es-ES"/>
          </w:rPr>
          <w:t>GSR</w:t>
        </w:r>
      </w:hyperlink>
      <w:r w:rsidRPr="00F05461">
        <w:rPr>
          <w:lang w:val="es-ES"/>
        </w:rPr>
        <w:t>) constituyó la principal plataforma mundial para adaptar el mandato reglamentario a los rápidos cambios tecnológicos y se centró en enfoques reglamentarios innovadores esenciales para fomentar la transformación digital y la inclusividad en todo el mundo. La participación en el</w:t>
      </w:r>
      <w:r w:rsidR="00C0551E" w:rsidRPr="00F05461">
        <w:rPr>
          <w:lang w:val="es-ES"/>
        </w:rPr>
        <w:t> </w:t>
      </w:r>
      <w:r w:rsidRPr="00F05461">
        <w:rPr>
          <w:lang w:val="es-ES"/>
        </w:rPr>
        <w:t>GSR aumentó paulatinamente a lo largo del ciclo 2023-2025, pasando de unos 750</w:t>
      </w:r>
      <w:r w:rsidR="00113136" w:rsidRPr="00F05461">
        <w:rPr>
          <w:lang w:val="es-ES"/>
        </w:rPr>
        <w:t> </w:t>
      </w:r>
      <w:r w:rsidRPr="00F05461">
        <w:rPr>
          <w:lang w:val="es-ES"/>
        </w:rPr>
        <w:t>delegados en el GSR-23 a unos 1</w:t>
      </w:r>
      <w:r w:rsidR="00113136" w:rsidRPr="00F05461">
        <w:rPr>
          <w:lang w:val="es-ES"/>
        </w:rPr>
        <w:t> </w:t>
      </w:r>
      <w:r w:rsidRPr="00F05461">
        <w:rPr>
          <w:lang w:val="es-ES"/>
        </w:rPr>
        <w:t>200 en el GSR-25, lo que refleja el compromiso mundial creciente con la innovación reglamentaria. En estos tres</w:t>
      </w:r>
      <w:r w:rsidR="00FD399B" w:rsidRPr="00F05461">
        <w:rPr>
          <w:lang w:val="es-ES"/>
        </w:rPr>
        <w:t> </w:t>
      </w:r>
      <w:r w:rsidRPr="00F05461">
        <w:rPr>
          <w:lang w:val="es-ES"/>
        </w:rPr>
        <w:t xml:space="preserve">años, el proceso del GSR produjo varias </w:t>
      </w:r>
      <w:r>
        <w:fldChar w:fldCharType="begin"/>
      </w:r>
      <w:r w:rsidRPr="009A0A46">
        <w:rPr>
          <w:lang w:val="es-ES"/>
        </w:rPr>
        <w:instrText>HYPERLINK "https://www.itu.int/en/ITU-D/Regulatory-Market/Pages/bestpractices.aspx"</w:instrText>
      </w:r>
      <w:r>
        <w:fldChar w:fldCharType="separate"/>
      </w:r>
      <w:r w:rsidRPr="00E221BF">
        <w:rPr>
          <w:rStyle w:val="Hyperlink"/>
          <w:rFonts w:eastAsia="Times New Roman" w:cs="Times New Roman"/>
          <w:szCs w:val="20"/>
          <w:lang w:val="es-ES"/>
        </w:rPr>
        <w:t xml:space="preserve">directrices de prácticas </w:t>
      </w:r>
      <w:r w:rsidR="00C0551E" w:rsidRPr="00E221BF">
        <w:rPr>
          <w:rStyle w:val="Hyperlink"/>
          <w:rFonts w:eastAsia="Times New Roman" w:cs="Times New Roman"/>
          <w:szCs w:val="20"/>
          <w:lang w:val="es-ES"/>
        </w:rPr>
        <w:t>ó</w:t>
      </w:r>
      <w:r w:rsidRPr="00E221BF">
        <w:rPr>
          <w:rStyle w:val="Hyperlink"/>
          <w:rFonts w:eastAsia="Times New Roman" w:cs="Times New Roman"/>
          <w:szCs w:val="20"/>
          <w:lang w:val="es-ES"/>
        </w:rPr>
        <w:t>ptimas</w:t>
      </w:r>
      <w:r>
        <w:fldChar w:fldCharType="end"/>
      </w:r>
      <w:r w:rsidRPr="00F05461">
        <w:rPr>
          <w:lang w:val="es-ES"/>
        </w:rPr>
        <w:t xml:space="preserve"> consecutivas que reforzaron el papel de los reguladores como creadores de ecosistemas digitales y definió estrategias claras para el desarrollo digital inclusivo, antropocéntrico y sostenible en todo el mundo.</w:t>
      </w:r>
    </w:p>
    <w:p w14:paraId="0B0B2A6F" w14:textId="09A2DC95" w:rsidR="00B1145C" w:rsidRPr="00F05461" w:rsidRDefault="00B1145C" w:rsidP="00B1145C">
      <w:pPr>
        <w:rPr>
          <w:lang w:val="es-ES"/>
        </w:rPr>
      </w:pPr>
      <w:r w:rsidRPr="00F05461">
        <w:rPr>
          <w:lang w:val="es-ES"/>
        </w:rPr>
        <w:t xml:space="preserve">En el GSR-23, celebrado en Sharm el-Sheikh (Egipto) del 5 al 8 de junio </w:t>
      </w:r>
      <w:r w:rsidR="00B933C5" w:rsidRPr="00F05461">
        <w:rPr>
          <w:lang w:val="es-ES"/>
        </w:rPr>
        <w:t>de 202</w:t>
      </w:r>
      <w:r w:rsidR="00711F8C" w:rsidRPr="00F05461">
        <w:rPr>
          <w:lang w:val="es-ES"/>
        </w:rPr>
        <w:t>3</w:t>
      </w:r>
      <w:r w:rsidRPr="00F05461">
        <w:rPr>
          <w:lang w:val="es-ES"/>
        </w:rPr>
        <w:t xml:space="preserve"> con el tema de la conectividad digital, los participantes hablaron sobre temas como la seguridad de la infancia en línea, el acceso asequible a la tecnología y la sostenibilidad en la transformación digital. El evento culminó con la aprobación de las </w:t>
      </w:r>
      <w:hyperlink r:id="rId297" w:history="1">
        <w:r w:rsidRPr="00E221BF">
          <w:rPr>
            <w:rStyle w:val="Hyperlink"/>
            <w:rFonts w:eastAsia="Times New Roman" w:cs="Times New Roman"/>
            <w:szCs w:val="20"/>
            <w:lang w:val="es-ES"/>
          </w:rPr>
          <w:t>directrices de prácticas óptimas</w:t>
        </w:r>
      </w:hyperlink>
      <w:r w:rsidRPr="00F05461">
        <w:rPr>
          <w:lang w:val="es-ES"/>
        </w:rPr>
        <w:t xml:space="preserve"> para </w:t>
      </w:r>
      <w:r w:rsidRPr="00F05461">
        <w:rPr>
          <w:lang w:val="es-ES"/>
        </w:rPr>
        <w:lastRenderedPageBreak/>
        <w:t>promover un futuro digital inclusivo, que proporcionan estrategias para mejorar la conectividad y las prácticas reglamentarias.</w:t>
      </w:r>
    </w:p>
    <w:p w14:paraId="4667A284" w14:textId="102BF185" w:rsidR="00B1145C" w:rsidRPr="00F05461" w:rsidRDefault="00B1145C" w:rsidP="00B1145C">
      <w:pPr>
        <w:rPr>
          <w:lang w:val="es-ES"/>
        </w:rPr>
      </w:pPr>
      <w:r w:rsidRPr="00F05461">
        <w:rPr>
          <w:lang w:val="es-ES"/>
        </w:rPr>
        <w:t xml:space="preserve">Tras el GSR-23, el GSR-24 se celebró en Kampala (Uganda) del 1 al 4 de julio </w:t>
      </w:r>
      <w:r w:rsidR="00B933C5" w:rsidRPr="00F05461">
        <w:rPr>
          <w:lang w:val="es-ES"/>
        </w:rPr>
        <w:t>de 202</w:t>
      </w:r>
      <w:r w:rsidR="00711F8C" w:rsidRPr="00F05461">
        <w:rPr>
          <w:lang w:val="es-ES"/>
        </w:rPr>
        <w:t>4</w:t>
      </w:r>
      <w:r w:rsidRPr="00F05461">
        <w:rPr>
          <w:lang w:val="es-ES"/>
        </w:rPr>
        <w:t xml:space="preserve">. La atención se centró en la creación de reglamentaciones eficaces para infraestructuras de vanguardia y tecnologías transformadoras, que dieron lugar a nuevas </w:t>
      </w:r>
      <w:hyperlink r:id="rId298" w:history="1">
        <w:r w:rsidRPr="00F05461">
          <w:rPr>
            <w:rStyle w:val="Hyperlink"/>
            <w:rFonts w:eastAsia="Times New Roman" w:cs="Times New Roman"/>
            <w:szCs w:val="20"/>
            <w:lang w:val="es-ES"/>
          </w:rPr>
          <w:t xml:space="preserve">directrices de prácticas </w:t>
        </w:r>
        <w:r w:rsidR="00203659" w:rsidRPr="00F05461">
          <w:rPr>
            <w:rStyle w:val="Hyperlink"/>
            <w:rFonts w:eastAsia="Times New Roman" w:cs="Times New Roman"/>
            <w:szCs w:val="20"/>
            <w:lang w:val="es-ES"/>
          </w:rPr>
          <w:t>idóneas</w:t>
        </w:r>
      </w:hyperlink>
      <w:r w:rsidRPr="00F05461">
        <w:rPr>
          <w:lang w:val="es-ES"/>
        </w:rPr>
        <w:t xml:space="preserve"> para ayudar a los reguladores de las</w:t>
      </w:r>
      <w:r w:rsidR="008A4871" w:rsidRPr="00F05461">
        <w:rPr>
          <w:lang w:val="es-ES"/>
        </w:rPr>
        <w:t> </w:t>
      </w:r>
      <w:r w:rsidRPr="00F05461">
        <w:rPr>
          <w:lang w:val="es-ES"/>
        </w:rPr>
        <w:t>TIC a apoyar las economías digitales sostenibles.</w:t>
      </w:r>
    </w:p>
    <w:p w14:paraId="10D272A7" w14:textId="4FC95DCE" w:rsidR="00B1145C" w:rsidRPr="00F05461" w:rsidRDefault="00B1145C" w:rsidP="00B1145C">
      <w:pPr>
        <w:rPr>
          <w:lang w:val="es-ES"/>
        </w:rPr>
      </w:pPr>
      <w:r w:rsidRPr="00F05461">
        <w:rPr>
          <w:lang w:val="es-ES"/>
        </w:rPr>
        <w:t xml:space="preserve">La edición más reciente del evento, el GSR-25, tuvo lugar en Riad (Arabia Saudita) del 31 de agosto al 3 de septiembre </w:t>
      </w:r>
      <w:r w:rsidR="00B933C5" w:rsidRPr="00F05461">
        <w:rPr>
          <w:lang w:val="es-ES"/>
        </w:rPr>
        <w:t>de 202</w:t>
      </w:r>
      <w:r w:rsidR="00711F8C" w:rsidRPr="00F05461">
        <w:rPr>
          <w:lang w:val="es-ES"/>
        </w:rPr>
        <w:t>5</w:t>
      </w:r>
      <w:r w:rsidRPr="00F05461">
        <w:rPr>
          <w:lang w:val="es-ES"/>
        </w:rPr>
        <w:t xml:space="preserve"> con el tema </w:t>
      </w:r>
      <w:r w:rsidR="007921C3" w:rsidRPr="00F05461">
        <w:rPr>
          <w:lang w:val="es-ES"/>
        </w:rPr>
        <w:t>«</w:t>
      </w:r>
      <w:r w:rsidRPr="00F05461">
        <w:rPr>
          <w:lang w:val="es-ES"/>
        </w:rPr>
        <w:t>Reglamentación para el desarrollo digital sostenible</w:t>
      </w:r>
      <w:r w:rsidR="007921C3" w:rsidRPr="00F05461">
        <w:rPr>
          <w:lang w:val="es-ES"/>
        </w:rPr>
        <w:t>»</w:t>
      </w:r>
      <w:r w:rsidRPr="00F05461">
        <w:rPr>
          <w:lang w:val="es-ES"/>
        </w:rPr>
        <w:t xml:space="preserve">. Los debates principales hicieron hincapié en la colaboración, la innovación y la cooperación transfronteriza entre organismos reguladores. Las </w:t>
      </w:r>
      <w:hyperlink r:id="rId299" w:anchor="p=1" w:history="1">
        <w:r w:rsidRPr="00F05461">
          <w:rPr>
            <w:rStyle w:val="Hyperlink"/>
            <w:rFonts w:eastAsia="Times New Roman" w:cs="Times New Roman"/>
            <w:szCs w:val="20"/>
            <w:lang w:val="es-ES"/>
          </w:rPr>
          <w:t>directrices sobre prácticas óptimas del GSR-25</w:t>
        </w:r>
      </w:hyperlink>
      <w:r w:rsidRPr="00F05461">
        <w:rPr>
          <w:lang w:val="es-ES"/>
        </w:rPr>
        <w:t xml:space="preserve"> respaldan el papel de los reguladores como creadores de ecosistemas digitales y subrayan la necesidad de innovar en las prácticas reglamentarias y de adoptar un enfoque centrado en el ser humano para garantizar que la transformación digital beneficie a todas las personas.</w:t>
      </w:r>
    </w:p>
    <w:p w14:paraId="74853C31" w14:textId="22B374CF" w:rsidR="00B1145C" w:rsidRPr="00F05461" w:rsidRDefault="00B1145C" w:rsidP="00B1145C">
      <w:pPr>
        <w:rPr>
          <w:lang w:val="es-ES"/>
        </w:rPr>
      </w:pPr>
      <w:r w:rsidRPr="00F05461">
        <w:rPr>
          <w:lang w:val="es-ES"/>
        </w:rPr>
        <w:t xml:space="preserve">Las prioridades temáticas fundamentales, incluida la seguridad de la infancia en línea, la conectividad universal y efectiva, la sostenibilidad medioambiental (lo digital ecológico) y la infraestructura digital fiable, se mantuvieron constantes a lo largo del periodo y se fue profundizando en ellas de manera progresiva. La serie consolidó la necesidad de una colaboración pangubernamental e intersectorial para alcanzar las metas estratégicas de </w:t>
      </w:r>
      <w:r w:rsidR="00296F03" w:rsidRPr="00F05461">
        <w:rPr>
          <w:lang w:val="es-ES"/>
        </w:rPr>
        <w:t>la UIT</w:t>
      </w:r>
      <w:r w:rsidRPr="00F05461">
        <w:rPr>
          <w:lang w:val="es-ES"/>
        </w:rPr>
        <w:t>.</w:t>
      </w:r>
    </w:p>
    <w:p w14:paraId="3663279A" w14:textId="61B158F1" w:rsidR="00B1145C" w:rsidRPr="00F05461" w:rsidRDefault="00B1145C" w:rsidP="003E558F">
      <w:pPr>
        <w:pStyle w:val="Heading3"/>
      </w:pPr>
      <w:bookmarkStart w:id="87" w:name="_Toc227137484"/>
      <w:r w:rsidRPr="00F05461">
        <w:t>4.8.5</w:t>
      </w:r>
      <w:r w:rsidRPr="00F05461">
        <w:tab/>
        <w:t xml:space="preserve">Participación de las instituciones académicas en la labor de </w:t>
      </w:r>
      <w:r w:rsidR="00296F03" w:rsidRPr="00F05461">
        <w:t>la UIT</w:t>
      </w:r>
      <w:bookmarkEnd w:id="87"/>
    </w:p>
    <w:p w14:paraId="14F305E8" w14:textId="318317B2" w:rsidR="00B1145C" w:rsidRPr="00F05461" w:rsidRDefault="00B1145C" w:rsidP="00B1145C">
      <w:pPr>
        <w:rPr>
          <w:lang w:val="es-ES"/>
        </w:rPr>
      </w:pPr>
      <w:r w:rsidRPr="00F05461">
        <w:rPr>
          <w:lang w:val="es-ES"/>
        </w:rPr>
        <w:t>Más de 180</w:t>
      </w:r>
      <w:r w:rsidR="00986AAA" w:rsidRPr="00F05461">
        <w:rPr>
          <w:lang w:val="es-ES"/>
        </w:rPr>
        <w:t> </w:t>
      </w:r>
      <w:r w:rsidRPr="00F05461">
        <w:rPr>
          <w:lang w:val="es-ES"/>
        </w:rPr>
        <w:t xml:space="preserve">universidades e instituciones de investigación participan en </w:t>
      </w:r>
      <w:r w:rsidR="00296F03" w:rsidRPr="00F05461">
        <w:rPr>
          <w:lang w:val="es-ES"/>
        </w:rPr>
        <w:t>la UIT</w:t>
      </w:r>
      <w:r w:rsidRPr="00F05461">
        <w:rPr>
          <w:lang w:val="es-ES"/>
        </w:rPr>
        <w:t xml:space="preserve"> como Instituciones Académicas Miembros y contribuyen regularmente a los trabajos de la Unión. El número de Instituciones Académicas que intervienen en las actividades de </w:t>
      </w:r>
      <w:r w:rsidR="00296F03" w:rsidRPr="00F05461">
        <w:rPr>
          <w:lang w:val="es-ES"/>
        </w:rPr>
        <w:t>la UIT</w:t>
      </w:r>
      <w:r w:rsidRPr="00F05461">
        <w:rPr>
          <w:lang w:val="es-ES"/>
        </w:rPr>
        <w:t xml:space="preserve"> está en constante aumento.</w:t>
      </w:r>
    </w:p>
    <w:p w14:paraId="4A364948" w14:textId="4E71EBFD" w:rsidR="00B1145C" w:rsidRPr="00F05461" w:rsidRDefault="00B1145C" w:rsidP="00B1145C">
      <w:pPr>
        <w:rPr>
          <w:lang w:val="es-ES"/>
        </w:rPr>
      </w:pPr>
      <w:r w:rsidRPr="00F05461">
        <w:rPr>
          <w:lang w:val="es-ES"/>
        </w:rPr>
        <w:t xml:space="preserve">Las </w:t>
      </w:r>
      <w:hyperlink r:id="rId300" w:history="1">
        <w:r w:rsidRPr="00F05461">
          <w:rPr>
            <w:rStyle w:val="Hyperlink"/>
            <w:rFonts w:eastAsia="Times New Roman" w:cs="Times New Roman"/>
            <w:szCs w:val="20"/>
            <w:lang w:val="es-ES"/>
          </w:rPr>
          <w:t xml:space="preserve">Instituciones Académicas Miembros de </w:t>
        </w:r>
        <w:r w:rsidR="00296F03" w:rsidRPr="00F05461">
          <w:rPr>
            <w:rStyle w:val="Hyperlink"/>
            <w:rFonts w:eastAsia="Times New Roman" w:cs="Times New Roman"/>
            <w:szCs w:val="20"/>
            <w:lang w:val="es-ES"/>
          </w:rPr>
          <w:t>la UIT</w:t>
        </w:r>
      </w:hyperlink>
      <w:r w:rsidRPr="00F05461">
        <w:rPr>
          <w:lang w:val="es-ES"/>
        </w:rPr>
        <w:t xml:space="preserve">, la </w:t>
      </w:r>
      <w:hyperlink r:id="rId301" w:history="1">
        <w:r w:rsidRPr="00F05461">
          <w:rPr>
            <w:rStyle w:val="Hyperlink"/>
            <w:rFonts w:eastAsia="Times New Roman" w:cs="Times New Roman"/>
            <w:szCs w:val="20"/>
            <w:lang w:val="es-ES"/>
          </w:rPr>
          <w:t xml:space="preserve">Gaceta de </w:t>
        </w:r>
        <w:r w:rsidR="00296F03" w:rsidRPr="00F05461">
          <w:rPr>
            <w:rStyle w:val="Hyperlink"/>
            <w:rFonts w:eastAsia="Times New Roman" w:cs="Times New Roman"/>
            <w:szCs w:val="20"/>
            <w:lang w:val="es-ES"/>
          </w:rPr>
          <w:t>la UIT</w:t>
        </w:r>
      </w:hyperlink>
      <w:r w:rsidRPr="00F05461">
        <w:rPr>
          <w:lang w:val="es-ES"/>
        </w:rPr>
        <w:t xml:space="preserve">, las </w:t>
      </w:r>
      <w:hyperlink r:id="rId302" w:history="1">
        <w:r w:rsidRPr="00F05461">
          <w:rPr>
            <w:rStyle w:val="Hyperlink"/>
            <w:rFonts w:eastAsia="Times New Roman" w:cs="Times New Roman"/>
            <w:szCs w:val="20"/>
            <w:lang w:val="es-ES"/>
          </w:rPr>
          <w:t xml:space="preserve">conferencias Caleidoscopio de </w:t>
        </w:r>
        <w:r w:rsidR="00296F03" w:rsidRPr="00F05461">
          <w:rPr>
            <w:rStyle w:val="Hyperlink"/>
            <w:rFonts w:eastAsia="Times New Roman" w:cs="Times New Roman"/>
            <w:szCs w:val="20"/>
            <w:lang w:val="es-ES"/>
          </w:rPr>
          <w:t>la UIT</w:t>
        </w:r>
      </w:hyperlink>
      <w:r w:rsidRPr="00F05461">
        <w:rPr>
          <w:lang w:val="es-ES"/>
        </w:rPr>
        <w:t xml:space="preserve">, el </w:t>
      </w:r>
      <w:hyperlink r:id="rId303" w:history="1">
        <w:r w:rsidRPr="00F05461">
          <w:rPr>
            <w:rStyle w:val="Hyperlink"/>
            <w:rFonts w:eastAsia="Times New Roman" w:cs="Times New Roman"/>
            <w:szCs w:val="20"/>
            <w:lang w:val="es-ES"/>
          </w:rPr>
          <w:t>Órgano Consultivo Académico sobre Tecnologías Incipientes</w:t>
        </w:r>
      </w:hyperlink>
      <w:r w:rsidRPr="00F05461">
        <w:rPr>
          <w:lang w:val="es-ES"/>
        </w:rPr>
        <w:t xml:space="preserve"> y los proyectos de final de carrera constituyen importantes canales de participación de las instituciones académicas en los trabajos de la Unión. Estas iniciativas fomentan la colaboración entre las instituciones académicas y la industria, impulsando la investigación y el desarrollo y acelerando la transición de las innovaciones de vanguardia desde el laboratorio hasta el mercado. Las iniciativas señaladas anteriormente ofrecen numerosas oportunidades adicionales, como la investigación científica y tecnológica, la formación, las publicaciones, los eventos y muchas otras iniciativas de </w:t>
      </w:r>
      <w:r w:rsidR="00296F03" w:rsidRPr="00F05461">
        <w:rPr>
          <w:lang w:val="es-ES"/>
        </w:rPr>
        <w:t>la UIT</w:t>
      </w:r>
      <w:r w:rsidRPr="00F05461">
        <w:rPr>
          <w:lang w:val="es-ES"/>
        </w:rPr>
        <w:t>, para involucrar a las instituciones académicas.</w:t>
      </w:r>
    </w:p>
    <w:p w14:paraId="1FA62B3F" w14:textId="77777777" w:rsidR="00B1145C" w:rsidRPr="00F05461" w:rsidRDefault="00B1145C" w:rsidP="000F0EB4">
      <w:pPr>
        <w:pStyle w:val="Headingb"/>
      </w:pPr>
      <w:r w:rsidRPr="00F05461">
        <w:t>Órgano Consultivo Académico sobre Tecnologías Incipientes</w:t>
      </w:r>
    </w:p>
    <w:p w14:paraId="44D5CC6E" w14:textId="6A3DF4CA" w:rsidR="00B1145C" w:rsidRPr="00F05461" w:rsidRDefault="00B1145C" w:rsidP="00AA3A2B">
      <w:pPr>
        <w:rPr>
          <w:lang w:val="es-ES"/>
        </w:rPr>
      </w:pPr>
      <w:r w:rsidRPr="00F05461">
        <w:rPr>
          <w:lang w:val="es-ES"/>
        </w:rPr>
        <w:t xml:space="preserve">El </w:t>
      </w:r>
      <w:hyperlink r:id="rId304" w:history="1">
        <w:r w:rsidRPr="00F05461">
          <w:rPr>
            <w:rStyle w:val="Hyperlink"/>
            <w:rFonts w:eastAsia="Times New Roman" w:cs="Times New Roman"/>
            <w:szCs w:val="20"/>
            <w:lang w:val="es-ES"/>
          </w:rPr>
          <w:t>Órgano Consultivo Académico sobre Tecnologías Incipientes</w:t>
        </w:r>
      </w:hyperlink>
      <w:r w:rsidRPr="00F05461">
        <w:rPr>
          <w:lang w:val="es-ES"/>
        </w:rPr>
        <w:t xml:space="preserve"> inició sus actividades en septiembre </w:t>
      </w:r>
      <w:r w:rsidR="00B933C5" w:rsidRPr="00F05461">
        <w:rPr>
          <w:lang w:val="es-ES"/>
        </w:rPr>
        <w:t>de 202</w:t>
      </w:r>
      <w:r w:rsidR="00711F8C" w:rsidRPr="00F05461">
        <w:rPr>
          <w:lang w:val="es-ES"/>
        </w:rPr>
        <w:t>5</w:t>
      </w:r>
      <w:r w:rsidRPr="00F05461">
        <w:rPr>
          <w:lang w:val="es-ES"/>
        </w:rPr>
        <w:t xml:space="preserve"> con la elaboración de notas de políticas informativas y análisis prospectivos sobre la evolución del papel y la influencia de la innovación. El Órgano reúne a 26</w:t>
      </w:r>
      <w:r w:rsidR="003052AB" w:rsidRPr="00F05461">
        <w:rPr>
          <w:lang w:val="es-ES"/>
        </w:rPr>
        <w:t> </w:t>
      </w:r>
      <w:r w:rsidRPr="00F05461">
        <w:rPr>
          <w:lang w:val="es-ES"/>
        </w:rPr>
        <w:t>expertos destacados de diferentes regiones del mundo para examinar cómo las tecnologías incipientes pueden prestar mejor servicio a la sociedad.</w:t>
      </w:r>
    </w:p>
    <w:p w14:paraId="591068CF" w14:textId="77777777" w:rsidR="00B1145C" w:rsidRPr="00F05461" w:rsidRDefault="00B1145C" w:rsidP="000F0EB4">
      <w:pPr>
        <w:pStyle w:val="Headingb"/>
      </w:pPr>
      <w:r w:rsidRPr="00F05461">
        <w:lastRenderedPageBreak/>
        <w:t>Proyectos de final de carrera</w:t>
      </w:r>
    </w:p>
    <w:p w14:paraId="6591A6A9" w14:textId="0AD9444F" w:rsidR="00B1145C" w:rsidRPr="00F05461" w:rsidRDefault="00B1145C" w:rsidP="00B1145C">
      <w:pPr>
        <w:rPr>
          <w:lang w:val="es-ES"/>
        </w:rPr>
      </w:pPr>
      <w:r w:rsidRPr="00F05461">
        <w:rPr>
          <w:lang w:val="es-ES"/>
        </w:rPr>
        <w:t xml:space="preserve">También existe la oportunidad de colaborar en proyectos de final de carrera, que sirven de puente entre el aprendizaje académico y los desafíos del mundo real. De esta manera, los estudiantes trabajan en problemas globales urgentes y consiguen experiencia práctica. </w:t>
      </w:r>
      <w:r w:rsidR="00296F03" w:rsidRPr="00F05461">
        <w:rPr>
          <w:lang w:val="es-ES"/>
        </w:rPr>
        <w:t>La UIT</w:t>
      </w:r>
      <w:r w:rsidRPr="00F05461">
        <w:rPr>
          <w:lang w:val="es-ES"/>
        </w:rPr>
        <w:t xml:space="preserve"> propone desafíos del mundo real para que los estudiantes apliquen sus conocimientos, desarrollen soluciones innovadoras y adquieran experiencia práctica.</w:t>
      </w:r>
    </w:p>
    <w:p w14:paraId="1FB39CF4" w14:textId="3D612BBF" w:rsidR="00B1145C" w:rsidRPr="00F05461" w:rsidRDefault="00B1145C" w:rsidP="003E558F">
      <w:pPr>
        <w:pStyle w:val="Heading4"/>
      </w:pPr>
      <w:r w:rsidRPr="00F05461">
        <w:t>4.8.5.1</w:t>
      </w:r>
      <w:r w:rsidR="003052AB" w:rsidRPr="00F05461">
        <w:tab/>
      </w:r>
      <w:r w:rsidRPr="00F05461">
        <w:t xml:space="preserve">La Gaceta de </w:t>
      </w:r>
      <w:r w:rsidR="00296F03" w:rsidRPr="00F05461">
        <w:t>la UIT</w:t>
      </w:r>
    </w:p>
    <w:p w14:paraId="48990446" w14:textId="76D1AF03" w:rsidR="00B1145C" w:rsidRPr="00F05461" w:rsidRDefault="00B1145C" w:rsidP="00E221BF">
      <w:pPr>
        <w:keepNext/>
        <w:keepLines/>
        <w:rPr>
          <w:lang w:val="es-ES"/>
        </w:rPr>
      </w:pPr>
      <w:r w:rsidRPr="00F05461">
        <w:rPr>
          <w:lang w:val="es-ES"/>
        </w:rPr>
        <w:t xml:space="preserve">La </w:t>
      </w:r>
      <w:hyperlink r:id="rId305" w:history="1">
        <w:r w:rsidRPr="00F05461">
          <w:rPr>
            <w:rStyle w:val="Hyperlink"/>
            <w:rFonts w:eastAsia="Times New Roman" w:cs="Times New Roman"/>
            <w:szCs w:val="20"/>
            <w:lang w:val="es-ES"/>
          </w:rPr>
          <w:t xml:space="preserve">Gaceta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sobre tecnologías futuras y en evolución (ITU J-FET)</w:t>
        </w:r>
      </w:hyperlink>
      <w:r w:rsidRPr="00F05461">
        <w:rPr>
          <w:lang w:val="es-ES"/>
        </w:rPr>
        <w:t xml:space="preserve"> sigue siendo una plataforma inclusiva y de alta calidad para la investigación sobre comunicaciones, redes y tecnologías emergentes. La revista, que se publica trimestralmente en línea y acepta contribuciones durante todo el año, ofrece una cobertura científica exhaustiva de todos los ámbitos emergentes de interés para la labor de </w:t>
      </w:r>
      <w:r w:rsidR="00296F03" w:rsidRPr="00F05461">
        <w:rPr>
          <w:lang w:val="es-ES"/>
        </w:rPr>
        <w:t>la UIT</w:t>
      </w:r>
      <w:r w:rsidRPr="00F05461">
        <w:rPr>
          <w:lang w:val="es-ES"/>
        </w:rPr>
        <w:t xml:space="preserve">, como el metaverso y los avances en IA, computación periférica y redes de satélites en órbita terrestre baja, entre otros. La Gaceta de </w:t>
      </w:r>
      <w:r w:rsidR="00296F03" w:rsidRPr="00F05461">
        <w:rPr>
          <w:lang w:val="es-ES"/>
        </w:rPr>
        <w:t>la UIT</w:t>
      </w:r>
      <w:r w:rsidRPr="00F05461">
        <w:rPr>
          <w:lang w:val="es-ES"/>
        </w:rPr>
        <w:t xml:space="preserve"> es gratuita tanto para los lectores como para los autores.</w:t>
      </w:r>
    </w:p>
    <w:p w14:paraId="3145BDC8" w14:textId="00BD6373" w:rsidR="00B1145C" w:rsidRPr="00F05461" w:rsidRDefault="00B1145C" w:rsidP="00B1145C">
      <w:pPr>
        <w:rPr>
          <w:lang w:val="es-ES"/>
        </w:rPr>
      </w:pPr>
      <w:r w:rsidRPr="00F05461">
        <w:rPr>
          <w:lang w:val="es-ES"/>
        </w:rPr>
        <w:t xml:space="preserve">Además de la investigación revisada por pares, la Gaceta de </w:t>
      </w:r>
      <w:r w:rsidR="00296F03" w:rsidRPr="00F05461">
        <w:rPr>
          <w:lang w:val="es-ES"/>
        </w:rPr>
        <w:t>la UIT</w:t>
      </w:r>
      <w:r w:rsidRPr="00F05461">
        <w:rPr>
          <w:lang w:val="es-ES"/>
        </w:rPr>
        <w:t xml:space="preserve"> permite visualizar </w:t>
      </w:r>
      <w:hyperlink r:id="rId306" w:history="1">
        <w:r w:rsidRPr="00F05461">
          <w:rPr>
            <w:rStyle w:val="Hyperlink"/>
            <w:rFonts w:eastAsia="Times New Roman" w:cs="Times New Roman"/>
            <w:szCs w:val="20"/>
            <w:lang w:val="es-ES"/>
          </w:rPr>
          <w:t xml:space="preserve">la serie de seminarios web de la Gaceta de </w:t>
        </w:r>
        <w:r w:rsidR="00296F03" w:rsidRPr="00F05461">
          <w:rPr>
            <w:rStyle w:val="Hyperlink"/>
            <w:rFonts w:eastAsia="Times New Roman" w:cs="Times New Roman"/>
            <w:szCs w:val="20"/>
            <w:lang w:val="es-ES"/>
          </w:rPr>
          <w:t>la UIT</w:t>
        </w:r>
      </w:hyperlink>
      <w:r w:rsidRPr="00F05461">
        <w:rPr>
          <w:lang w:val="es-ES"/>
        </w:rPr>
        <w:t xml:space="preserve">, esto es, debates de seminarios web grabados en los que participan personalidades destacadas del mundo académico y directores de tecnología. Desde el lanzamiento de su serie especial de seminarios web </w:t>
      </w:r>
      <w:r w:rsidR="00B933C5" w:rsidRPr="00F05461">
        <w:rPr>
          <w:lang w:val="es-ES"/>
        </w:rPr>
        <w:t>de 202</w:t>
      </w:r>
      <w:r w:rsidR="00711F8C" w:rsidRPr="00F05461">
        <w:rPr>
          <w:lang w:val="es-ES"/>
        </w:rPr>
        <w:t>2</w:t>
      </w:r>
      <w:r w:rsidRPr="00F05461">
        <w:rPr>
          <w:lang w:val="es-ES"/>
        </w:rPr>
        <w:t>, la Gaceta ha incluido intervenciones de alto nivel de organizaciones como NTT DOCOMO, O-RAN Alliance, GSMA, Nokia y China Mobile, así como de prestigiosas universidades de todo el mundo. Para completar la misión de la Gaceta, estos seminarios web fomentan el diálogo entre investigadores y líderes de la industria, promueven el intercambio de conocimientos y contribuyen al estudio de tecnologías futuras y en evolución por parte de la comunidad de investigación mundial</w:t>
      </w:r>
      <w:r w:rsidR="00914C6E" w:rsidRPr="00F05461">
        <w:rPr>
          <w:lang w:val="es-ES"/>
        </w:rPr>
        <w:t>.</w:t>
      </w:r>
    </w:p>
    <w:p w14:paraId="5B8E7F04" w14:textId="67D4160C" w:rsidR="00B1145C" w:rsidRPr="00F05461" w:rsidRDefault="00B1145C" w:rsidP="00B1145C">
      <w:pPr>
        <w:rPr>
          <w:lang w:val="es-ES"/>
        </w:rPr>
      </w:pPr>
      <w:r w:rsidRPr="00F05461">
        <w:rPr>
          <w:lang w:val="es-ES"/>
        </w:rPr>
        <w:t xml:space="preserve">Además de los artículos de investigación, la Gaceta comprende también las grabaciones de los </w:t>
      </w:r>
      <w:hyperlink r:id="rId307" w:history="1">
        <w:r w:rsidRPr="00F05461">
          <w:rPr>
            <w:rStyle w:val="Hyperlink"/>
            <w:rFonts w:eastAsia="Times New Roman" w:cs="Times New Roman"/>
            <w:szCs w:val="20"/>
            <w:lang w:val="es-ES"/>
          </w:rPr>
          <w:t>debates de seminarios web</w:t>
        </w:r>
      </w:hyperlink>
      <w:r w:rsidRPr="00F05461">
        <w:rPr>
          <w:lang w:val="es-ES"/>
        </w:rPr>
        <w:t xml:space="preserve"> entre investigadores de alto nivel y líderes de la industria.</w:t>
      </w:r>
    </w:p>
    <w:p w14:paraId="04ABA2BC" w14:textId="77777777" w:rsidR="00B1145C" w:rsidRPr="00F05461" w:rsidRDefault="00B1145C" w:rsidP="003E558F">
      <w:pPr>
        <w:pStyle w:val="Heading4"/>
      </w:pPr>
      <w:r w:rsidRPr="00F05461">
        <w:t>4.8.5.2</w:t>
      </w:r>
      <w:r w:rsidRPr="00F05461">
        <w:tab/>
        <w:t>Conferencia académica Caleidoscopio</w:t>
      </w:r>
    </w:p>
    <w:p w14:paraId="478EB773" w14:textId="1B2361AD" w:rsidR="00B1145C" w:rsidRPr="00F05461" w:rsidRDefault="00B1145C" w:rsidP="00B1145C">
      <w:pPr>
        <w:rPr>
          <w:lang w:val="es-ES"/>
        </w:rPr>
      </w:pPr>
      <w:r w:rsidRPr="00F05461">
        <w:rPr>
          <w:lang w:val="es-ES"/>
        </w:rPr>
        <w:t xml:space="preserve">La serie de conferencias académicas </w:t>
      </w:r>
      <w:hyperlink r:id="rId308" w:history="1">
        <w:r w:rsidRPr="00F05461">
          <w:rPr>
            <w:rStyle w:val="Hyperlink"/>
            <w:rFonts w:eastAsia="Times New Roman" w:cs="Times New Roman"/>
            <w:szCs w:val="20"/>
            <w:lang w:val="es-ES"/>
          </w:rPr>
          <w:t xml:space="preserve">Caleidoscopio de </w:t>
        </w:r>
        <w:r w:rsidR="00296F03" w:rsidRPr="00F05461">
          <w:rPr>
            <w:rStyle w:val="Hyperlink"/>
            <w:rFonts w:eastAsia="Times New Roman" w:cs="Times New Roman"/>
            <w:szCs w:val="20"/>
            <w:lang w:val="es-ES"/>
          </w:rPr>
          <w:t>la UIT</w:t>
        </w:r>
      </w:hyperlink>
      <w:r w:rsidRPr="00F05461">
        <w:rPr>
          <w:lang w:val="es-ES"/>
        </w:rPr>
        <w:t>, copatrocinada técnicamente por el</w:t>
      </w:r>
      <w:r w:rsidR="00232547" w:rsidRPr="00F05461">
        <w:rPr>
          <w:lang w:val="es-ES"/>
        </w:rPr>
        <w:t> </w:t>
      </w:r>
      <w:r w:rsidRPr="00F05461">
        <w:rPr>
          <w:lang w:val="es-ES"/>
        </w:rPr>
        <w:t>IEEE y la Sociedad de Comunicaciones del</w:t>
      </w:r>
      <w:r w:rsidR="00232547" w:rsidRPr="00F05461">
        <w:rPr>
          <w:lang w:val="es-ES"/>
        </w:rPr>
        <w:t> </w:t>
      </w:r>
      <w:r w:rsidRPr="00F05461">
        <w:rPr>
          <w:lang w:val="es-ES"/>
        </w:rPr>
        <w:t xml:space="preserve">IEEE, siguió dando a conocer las nuevas tendencias de la investigación y su pertinencia para la normalización internacional en los últimos años. </w:t>
      </w:r>
      <w:hyperlink r:id="rId309" w:history="1">
        <w:r w:rsidRPr="00F05461">
          <w:rPr>
            <w:rStyle w:val="Hyperlink"/>
            <w:rFonts w:eastAsia="Times New Roman" w:cs="Times New Roman"/>
            <w:szCs w:val="20"/>
            <w:lang w:val="es-ES"/>
          </w:rPr>
          <w:t>Caleidoscopio</w:t>
        </w:r>
        <w:r w:rsidR="00232547" w:rsidRPr="00F05461">
          <w:rPr>
            <w:rStyle w:val="Hyperlink"/>
            <w:rFonts w:eastAsia="Times New Roman" w:cs="Times New Roman"/>
            <w:szCs w:val="20"/>
            <w:lang w:val="es-ES"/>
          </w:rPr>
          <w:t> </w:t>
        </w:r>
        <w:r w:rsidRPr="00F05461">
          <w:rPr>
            <w:rStyle w:val="Hyperlink"/>
            <w:rFonts w:eastAsia="Times New Roman" w:cs="Times New Roman"/>
            <w:szCs w:val="20"/>
            <w:lang w:val="es-ES"/>
          </w:rPr>
          <w:t>2022</w:t>
        </w:r>
      </w:hyperlink>
      <w:r w:rsidRPr="00F05461">
        <w:rPr>
          <w:lang w:val="es-ES"/>
        </w:rPr>
        <w:t xml:space="preserve">, celebrada en Accra (Ghana), analizó el tema de la innovación para el metaverso a través de sesiones magistrales, presentaciones de informes, demostraciones y exposiciones de estudiantes. Sobre esta base, </w:t>
      </w:r>
      <w:hyperlink r:id="rId310" w:history="1">
        <w:r w:rsidRPr="00F05461">
          <w:rPr>
            <w:rStyle w:val="Hyperlink"/>
            <w:rFonts w:eastAsia="Times New Roman" w:cs="Times New Roman"/>
            <w:szCs w:val="20"/>
            <w:lang w:val="es-ES"/>
          </w:rPr>
          <w:t>Caleidoscopio</w:t>
        </w:r>
        <w:r w:rsidR="00232547" w:rsidRPr="00F05461">
          <w:rPr>
            <w:rStyle w:val="Hyperlink"/>
            <w:rFonts w:eastAsia="Times New Roman" w:cs="Times New Roman"/>
            <w:szCs w:val="20"/>
            <w:lang w:val="es-ES"/>
          </w:rPr>
          <w:t> </w:t>
        </w:r>
        <w:r w:rsidRPr="00F05461">
          <w:rPr>
            <w:rStyle w:val="Hyperlink"/>
            <w:rFonts w:eastAsia="Times New Roman" w:cs="Times New Roman"/>
            <w:szCs w:val="20"/>
            <w:lang w:val="es-ES"/>
          </w:rPr>
          <w:t>2024</w:t>
        </w:r>
      </w:hyperlink>
      <w:r w:rsidRPr="00F05461">
        <w:rPr>
          <w:lang w:val="es-ES"/>
        </w:rPr>
        <w:t>, organizada en Nueva Delhi junto con la</w:t>
      </w:r>
      <w:r w:rsidR="001473A4" w:rsidRPr="00F05461">
        <w:rPr>
          <w:lang w:val="es-ES"/>
        </w:rPr>
        <w:t> </w:t>
      </w:r>
      <w:r w:rsidRPr="00F05461">
        <w:rPr>
          <w:lang w:val="es-ES"/>
        </w:rPr>
        <w:t>AMNT</w:t>
      </w:r>
      <w:r w:rsidR="001473A4" w:rsidRPr="00F05461">
        <w:rPr>
          <w:lang w:val="es-ES"/>
        </w:rPr>
        <w:noBreakHyphen/>
      </w:r>
      <w:r w:rsidRPr="00F05461">
        <w:rPr>
          <w:lang w:val="es-ES"/>
        </w:rPr>
        <w:t>24, se centró en la innovación y la transformación digital para un mundo sostenible e incluyó una sesión especial sobre la participación juvenil en la labor de formulación de normas y el apoyo a la próxima generación de generadores de consenso, haciendo hincapié en la importancia de las tecnologías digitales para hacer frente a los desafíos mundiales y en la urgente necesidad de conectar al tercio de la población mundial que aún no está conectada, por lo que Caleidoscopio se ha consolidado como plataforma fundamental que vincula la investigación académica con las prioridades mundiales de normalización. En 2025 se lanzó la 16</w:t>
      </w:r>
      <w:r w:rsidR="009B2D1C" w:rsidRPr="00F05461">
        <w:rPr>
          <w:lang w:val="es-ES"/>
        </w:rPr>
        <w:t>.</w:t>
      </w:r>
      <w:r w:rsidRPr="00F05461">
        <w:rPr>
          <w:lang w:val="es-ES"/>
        </w:rPr>
        <w:t>ª</w:t>
      </w:r>
      <w:r w:rsidR="009B2D1C" w:rsidRPr="00F05461">
        <w:rPr>
          <w:lang w:val="es-ES"/>
        </w:rPr>
        <w:t> </w:t>
      </w:r>
      <w:r w:rsidRPr="00F05461">
        <w:rPr>
          <w:lang w:val="es-ES"/>
        </w:rPr>
        <w:t xml:space="preserve">edición de la conferencia, con el tema </w:t>
      </w:r>
      <w:r w:rsidR="007921C3" w:rsidRPr="00F05461">
        <w:rPr>
          <w:lang w:val="es-ES"/>
        </w:rPr>
        <w:t>«</w:t>
      </w:r>
      <w:hyperlink r:id="rId311" w:history="1">
        <w:r w:rsidRPr="00F05461">
          <w:rPr>
            <w:rStyle w:val="Hyperlink"/>
            <w:rFonts w:eastAsia="Times New Roman" w:cs="Times New Roman"/>
            <w:szCs w:val="20"/>
            <w:lang w:val="es-ES"/>
          </w:rPr>
          <w:t>La</w:t>
        </w:r>
        <w:r w:rsidR="008A4871" w:rsidRPr="00F05461">
          <w:rPr>
            <w:rStyle w:val="Hyperlink"/>
            <w:rFonts w:eastAsia="Times New Roman" w:cs="Times New Roman"/>
            <w:szCs w:val="20"/>
            <w:lang w:val="es-ES"/>
          </w:rPr>
          <w:t> </w:t>
        </w:r>
        <w:r w:rsidRPr="00F05461">
          <w:rPr>
            <w:rStyle w:val="Hyperlink"/>
            <w:rFonts w:eastAsia="Times New Roman" w:cs="Times New Roman"/>
            <w:szCs w:val="20"/>
            <w:lang w:val="es-ES"/>
          </w:rPr>
          <w:t>IA y las tecnologías de vanguardia para el bien</w:t>
        </w:r>
      </w:hyperlink>
      <w:r w:rsidR="007921C3" w:rsidRPr="00F05461">
        <w:rPr>
          <w:lang w:val="es-ES"/>
        </w:rPr>
        <w:t>»</w:t>
      </w:r>
      <w:r w:rsidRPr="00F05461">
        <w:rPr>
          <w:lang w:val="es-ES"/>
        </w:rPr>
        <w:t>. Caleidoscopio</w:t>
      </w:r>
      <w:r w:rsidR="00232547" w:rsidRPr="00F05461">
        <w:rPr>
          <w:lang w:val="es-ES"/>
        </w:rPr>
        <w:t> </w:t>
      </w:r>
      <w:r w:rsidRPr="00F05461">
        <w:rPr>
          <w:lang w:val="es-ES"/>
        </w:rPr>
        <w:t xml:space="preserve">2026, que estará organizada por la </w:t>
      </w:r>
      <w:hyperlink r:id="rId312" w:history="1">
        <w:r w:rsidR="008444A5">
          <w:rPr>
            <w:rStyle w:val="Hyperlink"/>
            <w:rFonts w:eastAsia="Times New Roman" w:cs="Times New Roman"/>
            <w:szCs w:val="20"/>
            <w:lang w:val="es-ES"/>
          </w:rPr>
          <w:t>Cumbre Mundial AI for Good de 2026</w:t>
        </w:r>
      </w:hyperlink>
      <w:r w:rsidRPr="00F05461">
        <w:rPr>
          <w:lang w:val="es-ES"/>
        </w:rPr>
        <w:t xml:space="preserve"> en julio, contará con investigaciones multidisciplinarias que analizarán de qué modo interactúan </w:t>
      </w:r>
      <w:r w:rsidRPr="00F05461">
        <w:rPr>
          <w:lang w:val="es-ES"/>
        </w:rPr>
        <w:lastRenderedPageBreak/>
        <w:t>las tecnologías de vanguardia, como la</w:t>
      </w:r>
      <w:r w:rsidR="008A4871" w:rsidRPr="00F05461">
        <w:rPr>
          <w:lang w:val="es-ES"/>
        </w:rPr>
        <w:t> </w:t>
      </w:r>
      <w:r w:rsidRPr="00F05461">
        <w:rPr>
          <w:lang w:val="es-ES"/>
        </w:rPr>
        <w:t>IA, la interfaz cerebro-ordenador, la</w:t>
      </w:r>
      <w:r w:rsidR="008A4871" w:rsidRPr="00F05461">
        <w:rPr>
          <w:lang w:val="es-ES"/>
        </w:rPr>
        <w:t> </w:t>
      </w:r>
      <w:r w:rsidRPr="00F05461">
        <w:rPr>
          <w:lang w:val="es-ES"/>
        </w:rPr>
        <w:t>IA corporizada, la conducción autónoma, la informática geoespacial y espacial y la información cuántica, con las telecomunicaciones. Los participantes intercambiarán ideas sobre estas innovaciones, sus repercusiones socioeconómicas, las políticas necesarias para el desarrollo sostenible y las consideraciones éticas que rigen su utilización.</w:t>
      </w:r>
    </w:p>
    <w:p w14:paraId="4920969C" w14:textId="61A1F430" w:rsidR="00B1145C" w:rsidRPr="00F05461" w:rsidRDefault="00B1145C" w:rsidP="003E558F">
      <w:pPr>
        <w:pStyle w:val="Heading4"/>
      </w:pPr>
      <w:bookmarkStart w:id="88" w:name="_4.8.5.3_Seminarios_y"/>
      <w:bookmarkEnd w:id="88"/>
      <w:r w:rsidRPr="00F05461">
        <w:t>4.8.5.3</w:t>
      </w:r>
      <w:r w:rsidRPr="00F05461">
        <w:tab/>
        <w:t xml:space="preserve">Seminarios y talleres: </w:t>
      </w:r>
      <w:r w:rsidR="00232547" w:rsidRPr="00F05461">
        <w:t>p</w:t>
      </w:r>
      <w:r w:rsidRPr="00F05461">
        <w:t>rofundización</w:t>
      </w:r>
    </w:p>
    <w:p w14:paraId="023EC4BA" w14:textId="3C6DC035" w:rsidR="00B1145C" w:rsidRPr="00F05461" w:rsidRDefault="00B1145C" w:rsidP="00B1145C">
      <w:pPr>
        <w:rPr>
          <w:lang w:val="es-ES"/>
        </w:rPr>
      </w:pPr>
      <w:r w:rsidRPr="00F05461">
        <w:rPr>
          <w:lang w:val="es-ES"/>
        </w:rPr>
        <w:t xml:space="preserve">Los seminarios y talleres de profundización son esenciales para la implicación de </w:t>
      </w:r>
      <w:r w:rsidR="00296F03" w:rsidRPr="00F05461">
        <w:rPr>
          <w:lang w:val="es-ES"/>
        </w:rPr>
        <w:t>la UIT</w:t>
      </w:r>
      <w:r w:rsidRPr="00F05461">
        <w:rPr>
          <w:lang w:val="es-ES"/>
        </w:rPr>
        <w:t xml:space="preserve"> en los Sectores de Radiocomunicaciones, Normalización y Desarrollo.</w:t>
      </w:r>
    </w:p>
    <w:p w14:paraId="3D0DD62F" w14:textId="77777777" w:rsidR="00B1145C" w:rsidRPr="00F05461" w:rsidRDefault="00B1145C" w:rsidP="009B2D1C">
      <w:pPr>
        <w:pStyle w:val="Heading4"/>
      </w:pPr>
      <w:r w:rsidRPr="00F05461">
        <w:t>UIT-R</w:t>
      </w:r>
    </w:p>
    <w:p w14:paraId="56DE8EE9" w14:textId="77777777" w:rsidR="00B1145C" w:rsidRPr="00F05461" w:rsidRDefault="00B1145C" w:rsidP="009B2D1C">
      <w:pPr>
        <w:pStyle w:val="Heading4"/>
      </w:pPr>
      <w:r w:rsidRPr="00F05461">
        <w:t>Seminarios</w:t>
      </w:r>
    </w:p>
    <w:p w14:paraId="331D5637" w14:textId="3FC5F3BD" w:rsidR="00B1145C" w:rsidRPr="00F05461" w:rsidRDefault="00B1145C" w:rsidP="007939E0">
      <w:pPr>
        <w:rPr>
          <w:lang w:val="es-ES"/>
        </w:rPr>
      </w:pPr>
      <w:r w:rsidRPr="00F05461">
        <w:rPr>
          <w:lang w:val="es-ES"/>
        </w:rPr>
        <w:t>El</w:t>
      </w:r>
      <w:r w:rsidR="007939E0" w:rsidRPr="00F05461">
        <w:rPr>
          <w:lang w:val="es-ES"/>
        </w:rPr>
        <w:t> </w:t>
      </w:r>
      <w:r w:rsidRPr="00F05461">
        <w:rPr>
          <w:lang w:val="es-ES"/>
        </w:rPr>
        <w:t>UIT</w:t>
      </w:r>
      <w:r w:rsidR="007939E0" w:rsidRPr="00F05461">
        <w:rPr>
          <w:lang w:val="es-ES"/>
        </w:rPr>
        <w:noBreakHyphen/>
      </w:r>
      <w:r w:rsidRPr="00F05461">
        <w:rPr>
          <w:lang w:val="es-ES"/>
        </w:rPr>
        <w:t>R organizó un completo programa de seminarios mundiales y regionales de radiocomunicaciones para reforzar el conocimiento mundial sobre el Reglamento de Radiocomunicaciones y la gestión del espectro de radiofrecuencias y las órbitas de satélites. Entre otras actividades, se celebraron el Seminario Mundial de Radiocomunicaciones (</w:t>
      </w:r>
      <w:hyperlink r:id="rId313" w:history="1">
        <w:r w:rsidRPr="00F05461">
          <w:rPr>
            <w:rStyle w:val="Hyperlink"/>
            <w:rFonts w:eastAsia="Times New Roman" w:cs="Times New Roman"/>
            <w:szCs w:val="20"/>
            <w:lang w:val="es-ES"/>
          </w:rPr>
          <w:t>SMR</w:t>
        </w:r>
        <w:r w:rsidR="009B2D1C"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22</w:t>
        </w:r>
      </w:hyperlink>
      <w:r w:rsidRPr="00F05461">
        <w:rPr>
          <w:lang w:val="es-ES"/>
        </w:rPr>
        <w:t xml:space="preserve">) y los </w:t>
      </w:r>
      <w:hyperlink r:id="rId314" w:history="1">
        <w:r w:rsidRPr="00F05461">
          <w:rPr>
            <w:rStyle w:val="Hyperlink"/>
            <w:rFonts w:eastAsia="Times New Roman" w:cs="Times New Roman"/>
            <w:szCs w:val="20"/>
            <w:lang w:val="es-ES"/>
          </w:rPr>
          <w:t>Seminarios Regionales de Radiocomunicaciones</w:t>
        </w:r>
      </w:hyperlink>
      <w:r w:rsidRPr="00F05461">
        <w:rPr>
          <w:lang w:val="es-ES"/>
        </w:rPr>
        <w:t xml:space="preserve"> en los </w:t>
      </w:r>
      <w:hyperlink r:id="rId315" w:history="1">
        <w:r w:rsidRPr="00F05461">
          <w:rPr>
            <w:rStyle w:val="Hyperlink"/>
            <w:rFonts w:eastAsia="Times New Roman" w:cs="Times New Roman"/>
            <w:szCs w:val="20"/>
            <w:lang w:val="es-ES"/>
          </w:rPr>
          <w:t>Estados Árabes</w:t>
        </w:r>
      </w:hyperlink>
      <w:r w:rsidRPr="00F05461">
        <w:rPr>
          <w:lang w:val="es-ES"/>
        </w:rPr>
        <w:t xml:space="preserve">, </w:t>
      </w:r>
      <w:hyperlink r:id="rId316" w:history="1">
        <w:r w:rsidRPr="00F05461">
          <w:rPr>
            <w:rStyle w:val="Hyperlink"/>
            <w:rFonts w:eastAsia="Times New Roman" w:cs="Times New Roman"/>
            <w:szCs w:val="20"/>
            <w:lang w:val="es-ES"/>
          </w:rPr>
          <w:t>Europa</w:t>
        </w:r>
      </w:hyperlink>
      <w:r w:rsidRPr="00F05461">
        <w:rPr>
          <w:lang w:val="es-ES"/>
        </w:rPr>
        <w:t xml:space="preserve">, </w:t>
      </w:r>
      <w:hyperlink r:id="rId317" w:history="1">
        <w:r w:rsidRPr="00F05461">
          <w:rPr>
            <w:rStyle w:val="Hyperlink"/>
            <w:rFonts w:eastAsia="Times New Roman" w:cs="Times New Roman"/>
            <w:szCs w:val="20"/>
            <w:lang w:val="es-ES"/>
          </w:rPr>
          <w:t>Asia-Pacífico</w:t>
        </w:r>
      </w:hyperlink>
      <w:r w:rsidRPr="00F05461">
        <w:rPr>
          <w:lang w:val="es-ES"/>
        </w:rPr>
        <w:t xml:space="preserve"> y, posteriormente, en </w:t>
      </w:r>
      <w:hyperlink r:id="rId318" w:history="1">
        <w:r w:rsidRPr="00F05461">
          <w:rPr>
            <w:rStyle w:val="Hyperlink"/>
            <w:rFonts w:eastAsia="Times New Roman" w:cs="Times New Roman"/>
            <w:szCs w:val="20"/>
            <w:lang w:val="es-ES"/>
          </w:rPr>
          <w:t>las Américas</w:t>
        </w:r>
      </w:hyperlink>
      <w:r w:rsidRPr="00F05461">
        <w:rPr>
          <w:lang w:val="es-ES"/>
        </w:rPr>
        <w:t xml:space="preserve">, </w:t>
      </w:r>
      <w:hyperlink r:id="rId319" w:history="1">
        <w:r w:rsidRPr="00F05461">
          <w:rPr>
            <w:rStyle w:val="Hyperlink"/>
            <w:rFonts w:eastAsia="Times New Roman" w:cs="Times New Roman"/>
            <w:szCs w:val="20"/>
            <w:lang w:val="es-ES"/>
          </w:rPr>
          <w:t>África</w:t>
        </w:r>
      </w:hyperlink>
      <w:r w:rsidRPr="00F05461">
        <w:rPr>
          <w:lang w:val="es-ES"/>
        </w:rPr>
        <w:t xml:space="preserve"> y la </w:t>
      </w:r>
      <w:hyperlink r:id="rId320" w:history="1">
        <w:r w:rsidRPr="00F05461">
          <w:rPr>
            <w:rStyle w:val="Hyperlink"/>
            <w:rFonts w:eastAsia="Times New Roman" w:cs="Times New Roman"/>
            <w:szCs w:val="20"/>
            <w:lang w:val="es-ES"/>
          </w:rPr>
          <w:t>región de la</w:t>
        </w:r>
        <w:r w:rsidR="00FD399B" w:rsidRPr="00F05461">
          <w:rPr>
            <w:rStyle w:val="Hyperlink"/>
            <w:rFonts w:eastAsia="Times New Roman" w:cs="Times New Roman"/>
            <w:szCs w:val="20"/>
            <w:lang w:val="es-ES"/>
          </w:rPr>
          <w:t> </w:t>
        </w:r>
        <w:r w:rsidRPr="00F05461">
          <w:rPr>
            <w:rStyle w:val="Hyperlink"/>
            <w:rFonts w:eastAsia="Times New Roman" w:cs="Times New Roman"/>
            <w:szCs w:val="20"/>
            <w:lang w:val="es-ES"/>
          </w:rPr>
          <w:t>CEI</w:t>
        </w:r>
      </w:hyperlink>
      <w:r w:rsidRPr="00F05461">
        <w:rPr>
          <w:lang w:val="es-ES"/>
        </w:rPr>
        <w:t xml:space="preserve">. Estos seminarios ofrecieron formación práctica sobre los procedimientos de notificación de </w:t>
      </w:r>
      <w:r w:rsidR="00296F03" w:rsidRPr="00F05461">
        <w:rPr>
          <w:lang w:val="es-ES"/>
        </w:rPr>
        <w:t>la UIT</w:t>
      </w:r>
      <w:r w:rsidRPr="00F05461">
        <w:rPr>
          <w:lang w:val="es-ES"/>
        </w:rPr>
        <w:t xml:space="preserve">, las herramientas informáticas y las tendencias de los servicios y bases de datos de radiocomunicaciones, y organizaron foros regionales sobre la evolución de las tendencias de las radiocomunicaciones. El último Seminario Mundial de Radiocomunicaciones, </w:t>
      </w:r>
      <w:hyperlink r:id="rId321" w:history="1">
        <w:r w:rsidRPr="00F05461">
          <w:rPr>
            <w:rStyle w:val="Hyperlink"/>
            <w:rFonts w:eastAsia="Times New Roman" w:cs="Times New Roman"/>
            <w:szCs w:val="20"/>
            <w:lang w:val="es-ES"/>
          </w:rPr>
          <w:t>SMR-24</w:t>
        </w:r>
      </w:hyperlink>
      <w:r w:rsidRPr="00F05461">
        <w:rPr>
          <w:lang w:val="es-ES"/>
        </w:rPr>
        <w:t>, se celebró en Ginebra y se acompañó de eventos de divulgación para apoyar la capacitación regional.</w:t>
      </w:r>
    </w:p>
    <w:p w14:paraId="07814018" w14:textId="77777777" w:rsidR="00B1145C" w:rsidRPr="00F05461" w:rsidRDefault="00B1145C" w:rsidP="009B2D1C">
      <w:pPr>
        <w:pStyle w:val="Heading4"/>
      </w:pPr>
      <w:r w:rsidRPr="00F05461">
        <w:t>Talleres</w:t>
      </w:r>
    </w:p>
    <w:p w14:paraId="04849078" w14:textId="3A816956" w:rsidR="00B1145C" w:rsidRPr="00F05461" w:rsidRDefault="00B1145C" w:rsidP="00B1145C">
      <w:pPr>
        <w:rPr>
          <w:lang w:val="es-ES"/>
        </w:rPr>
      </w:pPr>
      <w:r w:rsidRPr="00F05461">
        <w:rPr>
          <w:lang w:val="es-ES"/>
        </w:rPr>
        <w:t>El</w:t>
      </w:r>
      <w:r w:rsidR="007939E0" w:rsidRPr="00F05461">
        <w:rPr>
          <w:lang w:val="es-ES"/>
        </w:rPr>
        <w:t> </w:t>
      </w:r>
      <w:r w:rsidRPr="00F05461">
        <w:rPr>
          <w:lang w:val="es-ES"/>
        </w:rPr>
        <w:t>UIT</w:t>
      </w:r>
      <w:r w:rsidR="007939E0" w:rsidRPr="00F05461">
        <w:rPr>
          <w:lang w:val="es-ES"/>
        </w:rPr>
        <w:noBreakHyphen/>
      </w:r>
      <w:r w:rsidRPr="00F05461">
        <w:rPr>
          <w:lang w:val="es-ES"/>
        </w:rPr>
        <w:t xml:space="preserve">R también amplió su programa de talleres temáticos, organizando sesiones informativas interregionales sobre los </w:t>
      </w:r>
      <w:hyperlink r:id="rId322" w:history="1">
        <w:r w:rsidRPr="00F05461">
          <w:rPr>
            <w:rStyle w:val="Hyperlink"/>
            <w:rFonts w:eastAsia="Times New Roman" w:cs="Times New Roman"/>
            <w:szCs w:val="20"/>
            <w:lang w:val="es-ES"/>
          </w:rPr>
          <w:t>preparativos de la CMR-27</w:t>
        </w:r>
      </w:hyperlink>
      <w:r w:rsidRPr="00F05461">
        <w:rPr>
          <w:lang w:val="es-ES"/>
        </w:rPr>
        <w:t xml:space="preserve"> y numerosos talleres (</w:t>
      </w:r>
      <w:r w:rsidR="007921C3" w:rsidRPr="00F05461">
        <w:rPr>
          <w:lang w:val="es-ES"/>
        </w:rPr>
        <w:t>«</w:t>
      </w:r>
      <w:hyperlink r:id="rId323" w:history="1">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al servicio del espacio</w:t>
        </w:r>
      </w:hyperlink>
      <w:r w:rsidR="007921C3" w:rsidRPr="00F05461">
        <w:rPr>
          <w:lang w:val="es-ES"/>
        </w:rPr>
        <w:t>»</w:t>
      </w:r>
      <w:r w:rsidRPr="00F05461">
        <w:rPr>
          <w:lang w:val="es-ES"/>
        </w:rPr>
        <w:t xml:space="preserve">, </w:t>
      </w:r>
      <w:r w:rsidR="007921C3" w:rsidRPr="00F05461">
        <w:rPr>
          <w:lang w:val="es-ES"/>
        </w:rPr>
        <w:t>«</w:t>
      </w:r>
      <w:hyperlink r:id="rId324" w:history="1">
        <w:r w:rsidRPr="00F05461">
          <w:rPr>
            <w:rStyle w:val="Hyperlink"/>
            <w:rFonts w:eastAsia="Times New Roman" w:cs="Times New Roman"/>
            <w:szCs w:val="20"/>
            <w:lang w:val="es-ES"/>
          </w:rPr>
          <w:t>La radiodifusión en tiempos de crisis</w:t>
        </w:r>
      </w:hyperlink>
      <w:r w:rsidR="007921C3" w:rsidRPr="00F05461">
        <w:rPr>
          <w:lang w:val="es-ES"/>
        </w:rPr>
        <w:t>»</w:t>
      </w:r>
      <w:r w:rsidRPr="00F05461">
        <w:rPr>
          <w:lang w:val="es-ES"/>
        </w:rPr>
        <w:t xml:space="preserve">, </w:t>
      </w:r>
      <w:r w:rsidR="007921C3" w:rsidRPr="00F05461">
        <w:rPr>
          <w:lang w:val="es-ES"/>
        </w:rPr>
        <w:t>«</w:t>
      </w:r>
      <w:hyperlink r:id="rId325" w:history="1">
        <w:r w:rsidRPr="00F05461">
          <w:rPr>
            <w:rStyle w:val="Hyperlink"/>
            <w:rFonts w:eastAsia="Times New Roman" w:cs="Times New Roman"/>
            <w:szCs w:val="20"/>
            <w:lang w:val="es-ES"/>
          </w:rPr>
          <w:t xml:space="preserve">Taller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sobre el futuro de la televisión para Europa</w:t>
        </w:r>
      </w:hyperlink>
      <w:r w:rsidR="007921C3" w:rsidRPr="00F05461">
        <w:rPr>
          <w:lang w:val="es-ES"/>
        </w:rPr>
        <w:t>»</w:t>
      </w:r>
      <w:r w:rsidR="00E26C71" w:rsidRPr="00F05461">
        <w:rPr>
          <w:lang w:val="es-ES"/>
        </w:rPr>
        <w:t>,</w:t>
      </w:r>
      <w:r w:rsidRPr="00F05461">
        <w:rPr>
          <w:lang w:val="es-ES"/>
        </w:rPr>
        <w:t xml:space="preserve"> </w:t>
      </w:r>
      <w:r w:rsidR="007921C3" w:rsidRPr="00F05461">
        <w:rPr>
          <w:lang w:val="es-ES"/>
        </w:rPr>
        <w:t>«</w:t>
      </w:r>
      <w:hyperlink r:id="rId326" w:history="1">
        <w:r w:rsidRPr="00F05461">
          <w:rPr>
            <w:rStyle w:val="Hyperlink"/>
            <w:rFonts w:eastAsia="Times New Roman" w:cs="Times New Roman"/>
            <w:szCs w:val="20"/>
            <w:lang w:val="es-ES"/>
          </w:rPr>
          <w:t>Demostraciones sobre el futuro de la radiodifusión</w:t>
        </w:r>
      </w:hyperlink>
      <w:r w:rsidR="007921C3" w:rsidRPr="00F05461">
        <w:rPr>
          <w:lang w:val="es-ES"/>
        </w:rPr>
        <w:t>»</w:t>
      </w:r>
      <w:r w:rsidRPr="00F05461">
        <w:rPr>
          <w:lang w:val="es-ES"/>
        </w:rPr>
        <w:t xml:space="preserve"> y </w:t>
      </w:r>
      <w:r w:rsidR="007921C3" w:rsidRPr="00F05461">
        <w:rPr>
          <w:lang w:val="es-ES"/>
        </w:rPr>
        <w:t>«</w:t>
      </w:r>
      <w:hyperlink r:id="rId327" w:history="1">
        <w:r w:rsidRPr="00F05461">
          <w:rPr>
            <w:rStyle w:val="Hyperlink"/>
            <w:rFonts w:eastAsia="Times New Roman" w:cs="Times New Roman"/>
            <w:szCs w:val="20"/>
            <w:lang w:val="es-ES"/>
          </w:rPr>
          <w:t xml:space="preserve">Taller </w:t>
        </w:r>
        <w:r w:rsidR="00A10309" w:rsidRPr="00F05461">
          <w:rPr>
            <w:rStyle w:val="Hyperlink"/>
            <w:rFonts w:eastAsia="Times New Roman" w:cs="Times New Roman"/>
            <w:szCs w:val="20"/>
            <w:lang w:val="es-ES"/>
          </w:rPr>
          <w:t>del UIT</w:t>
        </w:r>
        <w:r w:rsidR="00A10309"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R sobre sistemas de acceso inalámbrico fijo</w:t>
        </w:r>
      </w:hyperlink>
      <w:r w:rsidR="007921C3" w:rsidRPr="00F05461">
        <w:rPr>
          <w:lang w:val="es-ES"/>
        </w:rPr>
        <w:t>»</w:t>
      </w:r>
      <w:r w:rsidRPr="00F05461">
        <w:rPr>
          <w:lang w:val="es-ES"/>
        </w:rPr>
        <w:t xml:space="preserve">), además de talleres especializados sobre el </w:t>
      </w:r>
      <w:hyperlink r:id="rId328" w:history="1">
        <w:r w:rsidRPr="00F05461">
          <w:rPr>
            <w:rStyle w:val="Hyperlink"/>
            <w:rFonts w:eastAsia="Times New Roman" w:cs="Times New Roman"/>
            <w:szCs w:val="20"/>
            <w:lang w:val="es-ES"/>
          </w:rPr>
          <w:t>Cuadro nacional de atribución de bandas de frecuencias</w:t>
        </w:r>
      </w:hyperlink>
      <w:r w:rsidRPr="00F05461">
        <w:rPr>
          <w:lang w:val="es-ES"/>
        </w:rPr>
        <w:t xml:space="preserve"> en las tres regiones de </w:t>
      </w:r>
      <w:r w:rsidR="00296F03" w:rsidRPr="00F05461">
        <w:rPr>
          <w:lang w:val="es-ES"/>
        </w:rPr>
        <w:t>la UIT</w:t>
      </w:r>
      <w:r w:rsidRPr="00F05461">
        <w:rPr>
          <w:lang w:val="es-ES"/>
        </w:rPr>
        <w:t xml:space="preserve">. Entre los años 2023 y 2025 se prestó asistencia técnica adicional, en particular en forma de </w:t>
      </w:r>
      <w:hyperlink r:id="rId329" w:history="1">
        <w:r w:rsidRPr="00F05461">
          <w:rPr>
            <w:rStyle w:val="Hyperlink"/>
            <w:rFonts w:eastAsia="Times New Roman" w:cs="Times New Roman"/>
            <w:szCs w:val="20"/>
            <w:lang w:val="es-ES"/>
          </w:rPr>
          <w:t>apoyo a las 16</w:t>
        </w:r>
        <w:r w:rsidR="007921C3" w:rsidRPr="00F05461">
          <w:rPr>
            <w:rStyle w:val="Hyperlink"/>
            <w:rFonts w:eastAsia="Times New Roman" w:cs="Times New Roman"/>
            <w:szCs w:val="20"/>
            <w:lang w:val="es-ES"/>
          </w:rPr>
          <w:t> </w:t>
        </w:r>
        <w:r w:rsidRPr="00F05461">
          <w:rPr>
            <w:rStyle w:val="Hyperlink"/>
            <w:rFonts w:eastAsia="Times New Roman" w:cs="Times New Roman"/>
            <w:szCs w:val="20"/>
            <w:lang w:val="es-ES"/>
          </w:rPr>
          <w:t>administraciones de la Comunidad de Desarrollo del África Meridional (SADC)</w:t>
        </w:r>
      </w:hyperlink>
      <w:r w:rsidRPr="00F05461">
        <w:rPr>
          <w:lang w:val="es-ES"/>
        </w:rPr>
        <w:t xml:space="preserve"> para la iniciativa de redes de satélites compartidas de la</w:t>
      </w:r>
      <w:r w:rsidR="008A4871" w:rsidRPr="00F05461">
        <w:rPr>
          <w:lang w:val="es-ES"/>
        </w:rPr>
        <w:t> </w:t>
      </w:r>
      <w:r w:rsidRPr="00F05461">
        <w:rPr>
          <w:lang w:val="es-ES"/>
        </w:rPr>
        <w:t xml:space="preserve">SADC, mediante talleres presenciales y reuniones virtuales. Otras sesiones científicas, como el </w:t>
      </w:r>
      <w:hyperlink r:id="rId330" w:history="1">
        <w:r w:rsidRPr="00F05461">
          <w:rPr>
            <w:rStyle w:val="Hyperlink"/>
            <w:rFonts w:eastAsia="Times New Roman" w:cs="Times New Roman"/>
            <w:szCs w:val="20"/>
            <w:lang w:val="es-ES"/>
          </w:rPr>
          <w:t>Seminario OMM-UIT sobre Observación de la Tierra para los</w:t>
        </w:r>
        <w:r w:rsidR="008A4871" w:rsidRPr="00F05461">
          <w:rPr>
            <w:rStyle w:val="Hyperlink"/>
            <w:rFonts w:eastAsia="Times New Roman" w:cs="Times New Roman"/>
            <w:szCs w:val="20"/>
            <w:lang w:val="es-ES"/>
          </w:rPr>
          <w:t> </w:t>
        </w:r>
        <w:r w:rsidRPr="00F05461">
          <w:rPr>
            <w:rStyle w:val="Hyperlink"/>
            <w:rFonts w:eastAsia="Times New Roman" w:cs="Times New Roman"/>
            <w:szCs w:val="20"/>
            <w:lang w:val="es-ES"/>
          </w:rPr>
          <w:t>ODS</w:t>
        </w:r>
      </w:hyperlink>
      <w:r w:rsidRPr="00F05461">
        <w:rPr>
          <w:lang w:val="es-ES"/>
        </w:rPr>
        <w:t xml:space="preserve"> y el </w:t>
      </w:r>
      <w:hyperlink r:id="rId331" w:history="1">
        <w:r w:rsidRPr="00F05461">
          <w:rPr>
            <w:rStyle w:val="Hyperlink"/>
            <w:rFonts w:eastAsia="Times New Roman" w:cs="Times New Roman"/>
            <w:szCs w:val="20"/>
            <w:lang w:val="es-ES"/>
          </w:rPr>
          <w:t xml:space="preserve">Taller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sobre Radioastronomía</w:t>
        </w:r>
      </w:hyperlink>
      <w:r w:rsidRPr="00F05461">
        <w:rPr>
          <w:lang w:val="es-ES"/>
        </w:rPr>
        <w:t>, reforzaron la contribución de la Oficina de Radiocomunicaciones al avance del conocimiento de las radiocomunicaciones y la coordinación mundial del espectro.</w:t>
      </w:r>
    </w:p>
    <w:p w14:paraId="6CA70476" w14:textId="77777777" w:rsidR="00B1145C" w:rsidRPr="00F05461" w:rsidRDefault="00B1145C" w:rsidP="00C26A38">
      <w:pPr>
        <w:pStyle w:val="Heading4"/>
      </w:pPr>
      <w:r w:rsidRPr="00F05461">
        <w:t>UIT-T</w:t>
      </w:r>
    </w:p>
    <w:p w14:paraId="5E631DE6" w14:textId="6EA21229" w:rsidR="00B1145C" w:rsidRPr="00F05461" w:rsidRDefault="00B1145C" w:rsidP="00B1145C">
      <w:pPr>
        <w:rPr>
          <w:lang w:val="es-ES"/>
        </w:rPr>
      </w:pPr>
      <w:r w:rsidRPr="00F05461">
        <w:rPr>
          <w:lang w:val="es-ES"/>
        </w:rPr>
        <w:t>El</w:t>
      </w:r>
      <w:r w:rsidR="007939E0" w:rsidRPr="00F05461">
        <w:rPr>
          <w:lang w:val="es-ES"/>
        </w:rPr>
        <w:t> </w:t>
      </w:r>
      <w:r w:rsidRPr="00F05461">
        <w:rPr>
          <w:lang w:val="es-ES"/>
        </w:rPr>
        <w:t>UIT</w:t>
      </w:r>
      <w:r w:rsidR="007939E0" w:rsidRPr="00F05461">
        <w:rPr>
          <w:lang w:val="es-ES"/>
        </w:rPr>
        <w:noBreakHyphen/>
      </w:r>
      <w:r w:rsidRPr="00F05461">
        <w:rPr>
          <w:lang w:val="es-ES"/>
        </w:rPr>
        <w:t xml:space="preserve">T mantuvo un alto nivel de implicación mediante la celebración de seminarios, talleres, simposios y seminarios web cada vez más diversos. Organizó numerosos </w:t>
      </w:r>
      <w:hyperlink r:id="rId332" w:history="1">
        <w:r w:rsidRPr="00F05461">
          <w:rPr>
            <w:rStyle w:val="Hyperlink"/>
            <w:rFonts w:eastAsia="Times New Roman" w:cs="Times New Roman"/>
            <w:szCs w:val="20"/>
            <w:lang w:val="es-ES"/>
          </w:rPr>
          <w:t>eventos no reglamentarios</w:t>
        </w:r>
      </w:hyperlink>
      <w:r w:rsidRPr="00F05461">
        <w:rPr>
          <w:lang w:val="es-ES"/>
        </w:rPr>
        <w:t xml:space="preserve">, virtuales, híbridos y presenciales, destacando la fuerte participación en la </w:t>
      </w:r>
      <w:hyperlink r:id="rId333" w:history="1">
        <w:r w:rsidRPr="00F05461">
          <w:rPr>
            <w:rStyle w:val="Hyperlink"/>
            <w:rFonts w:eastAsia="Times New Roman" w:cs="Times New Roman"/>
            <w:szCs w:val="20"/>
            <w:lang w:val="es-ES"/>
          </w:rPr>
          <w:t>Conferencia</w:t>
        </w:r>
        <w:r w:rsidR="007939E0" w:rsidRPr="00F05461">
          <w:rPr>
            <w:rStyle w:val="Hyperlink"/>
            <w:rFonts w:eastAsia="Times New Roman" w:cs="Times New Roman"/>
            <w:szCs w:val="20"/>
            <w:lang w:val="es-ES"/>
          </w:rPr>
          <w:t> </w:t>
        </w:r>
        <w:r w:rsidRPr="00F05461">
          <w:rPr>
            <w:rStyle w:val="Hyperlink"/>
            <w:rFonts w:eastAsia="Times New Roman" w:cs="Times New Roman"/>
            <w:szCs w:val="20"/>
            <w:lang w:val="es-ES"/>
          </w:rPr>
          <w:t>DC3</w:t>
        </w:r>
      </w:hyperlink>
      <w:r w:rsidRPr="00F05461">
        <w:rPr>
          <w:lang w:val="es-ES"/>
        </w:rPr>
        <w:t xml:space="preserve"> sobre divisas digitales. La actividad continuó creciendo, con más de 100</w:t>
      </w:r>
      <w:r w:rsidR="00B61F2C" w:rsidRPr="00F05461">
        <w:rPr>
          <w:lang w:val="es-ES"/>
        </w:rPr>
        <w:t> </w:t>
      </w:r>
      <w:r w:rsidRPr="00F05461">
        <w:rPr>
          <w:lang w:val="es-ES"/>
        </w:rPr>
        <w:t xml:space="preserve">talleres en </w:t>
      </w:r>
      <w:hyperlink r:id="rId334" w:history="1">
        <w:r w:rsidRPr="00F05461">
          <w:rPr>
            <w:rStyle w:val="Hyperlink"/>
            <w:rFonts w:eastAsia="Times New Roman" w:cs="Times New Roman"/>
            <w:szCs w:val="20"/>
            <w:lang w:val="es-ES"/>
          </w:rPr>
          <w:t>2022</w:t>
        </w:r>
      </w:hyperlink>
      <w:r w:rsidRPr="00F05461">
        <w:rPr>
          <w:lang w:val="es-ES"/>
        </w:rPr>
        <w:t xml:space="preserve">, </w:t>
      </w:r>
      <w:hyperlink r:id="rId335" w:history="1">
        <w:r w:rsidRPr="00F05461">
          <w:rPr>
            <w:rStyle w:val="Hyperlink"/>
            <w:rFonts w:eastAsia="Times New Roman" w:cs="Times New Roman"/>
            <w:szCs w:val="20"/>
            <w:lang w:val="es-ES"/>
          </w:rPr>
          <w:t>2023</w:t>
        </w:r>
      </w:hyperlink>
      <w:r w:rsidRPr="00F05461">
        <w:rPr>
          <w:lang w:val="es-ES"/>
        </w:rPr>
        <w:t xml:space="preserve">, </w:t>
      </w:r>
      <w:hyperlink r:id="rId336" w:history="1">
        <w:r w:rsidRPr="00F05461">
          <w:rPr>
            <w:rStyle w:val="Hyperlink"/>
            <w:rFonts w:eastAsia="Times New Roman" w:cs="Times New Roman"/>
            <w:szCs w:val="20"/>
            <w:lang w:val="es-ES"/>
          </w:rPr>
          <w:t>2024</w:t>
        </w:r>
      </w:hyperlink>
      <w:r w:rsidRPr="00F05461">
        <w:rPr>
          <w:lang w:val="es-ES"/>
        </w:rPr>
        <w:t xml:space="preserve"> y </w:t>
      </w:r>
      <w:hyperlink r:id="rId337" w:history="1">
        <w:r w:rsidRPr="00F05461">
          <w:rPr>
            <w:rStyle w:val="Hyperlink"/>
            <w:rFonts w:eastAsia="Times New Roman" w:cs="Times New Roman"/>
            <w:szCs w:val="20"/>
            <w:lang w:val="es-ES"/>
          </w:rPr>
          <w:t>2025</w:t>
        </w:r>
      </w:hyperlink>
      <w:r w:rsidRPr="00F05461">
        <w:rPr>
          <w:lang w:val="es-ES"/>
        </w:rPr>
        <w:t xml:space="preserve">, que complementaron la programación semanal que </w:t>
      </w:r>
      <w:r w:rsidRPr="00F05461">
        <w:rPr>
          <w:lang w:val="es-ES"/>
        </w:rPr>
        <w:lastRenderedPageBreak/>
        <w:t xml:space="preserve">ofrece la plataforma </w:t>
      </w:r>
      <w:hyperlink r:id="rId338" w:history="1">
        <w:r w:rsidRPr="00F05461">
          <w:rPr>
            <w:rStyle w:val="Hyperlink"/>
            <w:rFonts w:eastAsia="Times New Roman" w:cs="Times New Roman"/>
            <w:szCs w:val="20"/>
            <w:lang w:val="es-ES"/>
          </w:rPr>
          <w:t>AI for Good</w:t>
        </w:r>
      </w:hyperlink>
      <w:r w:rsidRPr="00F05461">
        <w:rPr>
          <w:lang w:val="es-ES"/>
        </w:rPr>
        <w:t xml:space="preserve"> durante todo el año. Estos eventos fortalecieron la colaboración con los socios externos, aumentaron la visibilidad de la labor de normalización </w:t>
      </w:r>
      <w:r w:rsidR="00A10309" w:rsidRPr="00F05461">
        <w:rPr>
          <w:lang w:val="es-ES"/>
        </w:rPr>
        <w:t>del UIT</w:t>
      </w:r>
      <w:r w:rsidR="00A10309" w:rsidRPr="00F05461">
        <w:rPr>
          <w:lang w:val="es-ES"/>
        </w:rPr>
        <w:noBreakHyphen/>
      </w:r>
      <w:r w:rsidRPr="00F05461">
        <w:rPr>
          <w:lang w:val="es-ES"/>
        </w:rPr>
        <w:t>T, apoyaron el aprendizaje entre pares y atrajeron a nuevos miembros. En conjunto, se ocuparon de las nuevas tendencias en la normalización mundial y contribuyeron a la elaboración y aplicación de normas internacionales.</w:t>
      </w:r>
    </w:p>
    <w:p w14:paraId="1B7EE449" w14:textId="77777777" w:rsidR="00B1145C" w:rsidRPr="00F05461" w:rsidRDefault="00B1145C" w:rsidP="00C26A38">
      <w:pPr>
        <w:pStyle w:val="Heading4"/>
      </w:pPr>
      <w:r w:rsidRPr="00F05461">
        <w:t>UIT-D</w:t>
      </w:r>
    </w:p>
    <w:p w14:paraId="30FFE941" w14:textId="24612092" w:rsidR="00F92BED" w:rsidRPr="00F05461" w:rsidRDefault="00B1145C" w:rsidP="00B1145C">
      <w:pPr>
        <w:rPr>
          <w:lang w:val="es-ES"/>
        </w:rPr>
      </w:pPr>
      <w:r w:rsidRPr="00F05461">
        <w:rPr>
          <w:lang w:val="es-ES"/>
        </w:rPr>
        <w:t xml:space="preserve">Los </w:t>
      </w:r>
      <w:hyperlink r:id="rId339" w:history="1">
        <w:r w:rsidRPr="00F05461">
          <w:rPr>
            <w:rStyle w:val="Hyperlink"/>
            <w:rFonts w:eastAsia="Times New Roman" w:cs="Times New Roman"/>
            <w:szCs w:val="20"/>
            <w:lang w:val="es-ES"/>
          </w:rPr>
          <w:t xml:space="preserve">seminarios y talleres </w:t>
        </w:r>
        <w:r w:rsidR="00A10309" w:rsidRPr="00F05461">
          <w:rPr>
            <w:rStyle w:val="Hyperlink"/>
            <w:rFonts w:eastAsia="Times New Roman" w:cs="Times New Roman"/>
            <w:szCs w:val="20"/>
            <w:lang w:val="es-ES"/>
          </w:rPr>
          <w:t>del UIT</w:t>
        </w:r>
        <w:r w:rsidR="00A10309"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D</w:t>
        </w:r>
      </w:hyperlink>
      <w:r w:rsidRPr="00F05461">
        <w:rPr>
          <w:lang w:val="es-ES"/>
        </w:rPr>
        <w:t xml:space="preserve"> continuaron siendo mecanismos esenciales para la creación de capacidad y el apoyo al desarrollo. La Oficina de Desarrollo de las Telecomunicaciones de </w:t>
      </w:r>
      <w:r w:rsidR="00296F03" w:rsidRPr="00F05461">
        <w:rPr>
          <w:lang w:val="es-ES"/>
        </w:rPr>
        <w:t>la UIT</w:t>
      </w:r>
      <w:r w:rsidRPr="00F05461">
        <w:rPr>
          <w:lang w:val="es-ES"/>
        </w:rPr>
        <w:t xml:space="preserve"> organizó 57</w:t>
      </w:r>
      <w:r w:rsidR="00F811A4" w:rsidRPr="00F05461">
        <w:rPr>
          <w:lang w:val="es-ES"/>
        </w:rPr>
        <w:t> </w:t>
      </w:r>
      <w:r w:rsidRPr="00F05461">
        <w:rPr>
          <w:lang w:val="es-ES"/>
        </w:rPr>
        <w:t xml:space="preserve">eventos en consonancia con el </w:t>
      </w:r>
      <w:hyperlink r:id="rId340" w:history="1">
        <w:r w:rsidRPr="00F05461">
          <w:rPr>
            <w:rStyle w:val="Hyperlink"/>
            <w:rFonts w:eastAsia="Times New Roman" w:cs="Times New Roman"/>
            <w:szCs w:val="20"/>
            <w:lang w:val="es-ES"/>
          </w:rPr>
          <w:t>Plan de Acción de Buenos Aires</w:t>
        </w:r>
      </w:hyperlink>
      <w:r w:rsidRPr="00F05461">
        <w:rPr>
          <w:lang w:val="es-ES"/>
        </w:rPr>
        <w:t xml:space="preserve"> en 2022, y hasta 143 en 2023 debido a la ejecución de proyectos y del </w:t>
      </w:r>
      <w:hyperlink r:id="rId341" w:history="1">
        <w:r w:rsidRPr="00F05461">
          <w:rPr>
            <w:rStyle w:val="Hyperlink"/>
            <w:rFonts w:eastAsia="Times New Roman" w:cs="Times New Roman"/>
            <w:szCs w:val="20"/>
            <w:lang w:val="es-ES"/>
          </w:rPr>
          <w:t>Plan de Acción de Kigali</w:t>
        </w:r>
      </w:hyperlink>
      <w:r w:rsidRPr="00F05461">
        <w:rPr>
          <w:lang w:val="es-ES"/>
        </w:rPr>
        <w:t>. En 2024, el</w:t>
      </w:r>
      <w:r w:rsidR="00BE5909" w:rsidRPr="00F05461">
        <w:rPr>
          <w:lang w:val="es-ES"/>
        </w:rPr>
        <w:t> </w:t>
      </w:r>
      <w:r w:rsidRPr="00F05461">
        <w:rPr>
          <w:lang w:val="es-ES"/>
        </w:rPr>
        <w:t>UIT</w:t>
      </w:r>
      <w:r w:rsidR="00BE5909" w:rsidRPr="00F05461">
        <w:rPr>
          <w:lang w:val="es-ES"/>
        </w:rPr>
        <w:noBreakHyphen/>
      </w:r>
      <w:r w:rsidRPr="00F05461">
        <w:rPr>
          <w:lang w:val="es-ES"/>
        </w:rPr>
        <w:t>D amplió considerablemente su participación y organizó 211</w:t>
      </w:r>
      <w:r w:rsidR="008A4871" w:rsidRPr="00F05461">
        <w:rPr>
          <w:lang w:val="es-ES"/>
        </w:rPr>
        <w:t> </w:t>
      </w:r>
      <w:r w:rsidRPr="00F05461">
        <w:rPr>
          <w:lang w:val="es-ES"/>
        </w:rPr>
        <w:t>eventos, entre seminarios, talleres, seminarios web y foros, centrados en el avance de la transformación digital sostenible. En 2025 se alcanzó el máximo de eventos celebrados, con 220</w:t>
      </w:r>
      <w:r w:rsidR="008A4871" w:rsidRPr="00F05461">
        <w:rPr>
          <w:lang w:val="es-ES"/>
        </w:rPr>
        <w:t> </w:t>
      </w:r>
      <w:r w:rsidRPr="00F05461">
        <w:rPr>
          <w:lang w:val="es-ES"/>
        </w:rPr>
        <w:t xml:space="preserve">actos estructurados como sesiones de capacitación sobre ciberseguridad, acceso digital, inclusión de género, empoderamiento juvenil, política y reglamentación, sostenibilidad medioambiental y fortalecimiento institucional. Entre ellos, cabe destacar los </w:t>
      </w:r>
      <w:hyperlink r:id="rId342" w:history="1">
        <w:r w:rsidRPr="00F05461">
          <w:rPr>
            <w:rStyle w:val="Hyperlink"/>
            <w:rFonts w:eastAsia="Times New Roman" w:cs="Times New Roman"/>
            <w:szCs w:val="20"/>
            <w:lang w:val="es-ES"/>
          </w:rPr>
          <w:t>cibersimulacros</w:t>
        </w:r>
      </w:hyperlink>
      <w:r w:rsidRPr="00F05461">
        <w:rPr>
          <w:lang w:val="es-ES"/>
        </w:rPr>
        <w:t xml:space="preserve"> llevados a cabo en múltiples regiones, la serie sobre integración de la perspectiva de género en las</w:t>
      </w:r>
      <w:r w:rsidR="008A4871" w:rsidRPr="00F05461">
        <w:rPr>
          <w:lang w:val="es-ES"/>
        </w:rPr>
        <w:t> </w:t>
      </w:r>
      <w:r w:rsidRPr="00F05461">
        <w:rPr>
          <w:lang w:val="es-ES"/>
        </w:rPr>
        <w:t xml:space="preserve">TIC, los eventos regionales del </w:t>
      </w:r>
      <w:hyperlink r:id="rId343" w:history="1">
        <w:r w:rsidRPr="00F05461">
          <w:rPr>
            <w:rStyle w:val="Hyperlink"/>
            <w:rFonts w:eastAsia="Times New Roman" w:cs="Times New Roman"/>
            <w:szCs w:val="20"/>
            <w:lang w:val="es-ES"/>
          </w:rPr>
          <w:t>Día de las Niñas en las</w:t>
        </w:r>
        <w:r w:rsidR="008A4871" w:rsidRPr="00F05461">
          <w:rPr>
            <w:rStyle w:val="Hyperlink"/>
            <w:rFonts w:eastAsia="Times New Roman" w:cs="Times New Roman"/>
            <w:szCs w:val="20"/>
            <w:lang w:val="es-ES"/>
          </w:rPr>
          <w:t> </w:t>
        </w:r>
        <w:r w:rsidRPr="00F05461">
          <w:rPr>
            <w:rStyle w:val="Hyperlink"/>
            <w:rFonts w:eastAsia="Times New Roman" w:cs="Times New Roman"/>
            <w:szCs w:val="20"/>
            <w:lang w:val="es-ES"/>
          </w:rPr>
          <w:t>TIC</w:t>
        </w:r>
      </w:hyperlink>
      <w:r w:rsidRPr="00F05461">
        <w:rPr>
          <w:lang w:val="es-ES"/>
        </w:rPr>
        <w:t xml:space="preserve">, la formación sobre reglamentación digital, los talleres para partes interesadas sobre banda ancha y 5G, los seminarios sobre gestión de residuos electrónicos y los cursos </w:t>
      </w:r>
      <w:hyperlink r:id="rId344" w:history="1">
        <w:r w:rsidRPr="00F05461">
          <w:rPr>
            <w:rStyle w:val="Hyperlink"/>
            <w:rFonts w:eastAsia="Times New Roman" w:cs="Times New Roman"/>
            <w:szCs w:val="20"/>
            <w:lang w:val="es-ES"/>
          </w:rPr>
          <w:t>GovStack</w:t>
        </w:r>
      </w:hyperlink>
      <w:r w:rsidRPr="00F05461">
        <w:rPr>
          <w:lang w:val="es-ES"/>
        </w:rPr>
        <w:t xml:space="preserve"> y del</w:t>
      </w:r>
      <w:r w:rsidR="004F5E2D" w:rsidRPr="00F05461">
        <w:rPr>
          <w:lang w:val="es-ES"/>
        </w:rPr>
        <w:t> </w:t>
      </w:r>
      <w:hyperlink r:id="rId345" w:history="1">
        <w:r w:rsidR="004F5E2D" w:rsidRPr="00F05461">
          <w:rPr>
            <w:rStyle w:val="Hyperlink"/>
            <w:rFonts w:eastAsia="Times New Roman" w:cs="Times New Roman"/>
            <w:szCs w:val="20"/>
            <w:lang w:val="es-ES"/>
          </w:rPr>
          <w:t>CFA</w:t>
        </w:r>
      </w:hyperlink>
      <w:r w:rsidRPr="00F05461">
        <w:rPr>
          <w:lang w:val="es-ES"/>
        </w:rPr>
        <w:t xml:space="preserve"> de </w:t>
      </w:r>
      <w:r w:rsidR="00296F03" w:rsidRPr="00F05461">
        <w:rPr>
          <w:lang w:val="es-ES"/>
        </w:rPr>
        <w:t>la UIT</w:t>
      </w:r>
      <w:r w:rsidRPr="00F05461">
        <w:rPr>
          <w:lang w:val="es-ES"/>
        </w:rPr>
        <w:t>. Estas iniciativas proporcionaron conocimientos prácticos, fomentaron la colaboración y brindaron apoyo a los Estados Miembros para la creación de ecosistemas digitales resilientes e inclusivos.</w:t>
      </w:r>
    </w:p>
    <w:p w14:paraId="45A3BF59" w14:textId="38B21619" w:rsidR="00EE4C42" w:rsidRPr="00F05461" w:rsidRDefault="00EE4C42" w:rsidP="00EE4C42">
      <w:pPr>
        <w:rPr>
          <w:lang w:val="es-ES"/>
        </w:rPr>
      </w:pPr>
      <w:r w:rsidRPr="00F05461">
        <w:rPr>
          <w:lang w:val="es-ES"/>
        </w:rPr>
        <w:br w:type="page"/>
      </w:r>
    </w:p>
    <w:p w14:paraId="56BA9B7E" w14:textId="73305065" w:rsidR="007B4979" w:rsidRPr="00E221BF" w:rsidRDefault="007B4979" w:rsidP="007B4979">
      <w:pPr>
        <w:pStyle w:val="Heading1"/>
        <w:rPr>
          <w:color w:val="1F497D"/>
          <w:lang w:val="es-ES"/>
        </w:rPr>
      </w:pPr>
      <w:bookmarkStart w:id="89" w:name="_Toc224288825"/>
      <w:bookmarkStart w:id="90" w:name="_Toc227137485"/>
      <w:r w:rsidRPr="00E221BF">
        <w:rPr>
          <w:color w:val="1F497D"/>
          <w:lang w:val="es-ES"/>
        </w:rPr>
        <w:lastRenderedPageBreak/>
        <w:t>5</w:t>
      </w:r>
      <w:r w:rsidRPr="00E221BF">
        <w:rPr>
          <w:color w:val="1F497D"/>
          <w:lang w:val="es-ES"/>
        </w:rPr>
        <w:tab/>
      </w:r>
      <w:bookmarkEnd w:id="89"/>
      <w:r w:rsidRPr="00E221BF">
        <w:rPr>
          <w:color w:val="1F497D"/>
          <w:lang w:val="es-ES"/>
        </w:rPr>
        <w:t>Factores habilitadores</w:t>
      </w:r>
      <w:bookmarkEnd w:id="90"/>
    </w:p>
    <w:p w14:paraId="682B601B" w14:textId="2D9B95EB" w:rsidR="00105B73" w:rsidRPr="00F05461" w:rsidRDefault="00105B73" w:rsidP="00105B73">
      <w:pPr>
        <w:rPr>
          <w:lang w:val="es-ES"/>
        </w:rPr>
      </w:pPr>
      <w:r w:rsidRPr="00F05461">
        <w:rPr>
          <w:lang w:val="es-ES"/>
        </w:rPr>
        <w:t xml:space="preserve">El enfoque de </w:t>
      </w:r>
      <w:r w:rsidR="00296F03" w:rsidRPr="00F05461">
        <w:rPr>
          <w:lang w:val="es-ES"/>
        </w:rPr>
        <w:t>la UIT</w:t>
      </w:r>
      <w:r w:rsidRPr="00F05461">
        <w:rPr>
          <w:lang w:val="es-ES"/>
        </w:rPr>
        <w:t xml:space="preserve">, basado en la participación de sus Miembros, la presencia de la Unión en todas las regiones del mundo y su compromiso para fomentar la </w:t>
      </w:r>
      <w:r w:rsidR="000A1A1E" w:rsidRPr="00F05461">
        <w:rPr>
          <w:lang w:val="es-ES"/>
        </w:rPr>
        <w:t>participación</w:t>
      </w:r>
      <w:r w:rsidRPr="00F05461">
        <w:rPr>
          <w:lang w:val="es-ES"/>
        </w:rPr>
        <w:t xml:space="preserve"> de todas las partes le permiten </w:t>
      </w:r>
      <w:r w:rsidR="000A1A1E" w:rsidRPr="00F05461">
        <w:rPr>
          <w:lang w:val="es-ES"/>
        </w:rPr>
        <w:t xml:space="preserve">a </w:t>
      </w:r>
      <w:r w:rsidR="00296F03" w:rsidRPr="00F05461">
        <w:rPr>
          <w:lang w:val="es-ES"/>
        </w:rPr>
        <w:t>la UIT</w:t>
      </w:r>
      <w:r w:rsidRPr="00F05461">
        <w:rPr>
          <w:lang w:val="es-ES"/>
        </w:rPr>
        <w:t xml:space="preserve"> alcanzar sus objetivos a tenor de sus prioridades de manera más eficaz y eficiente.</w:t>
      </w:r>
    </w:p>
    <w:p w14:paraId="3153CD2F" w14:textId="77777777" w:rsidR="007B4979" w:rsidRPr="00F05461" w:rsidRDefault="007B4979" w:rsidP="007B4979">
      <w:pPr>
        <w:pStyle w:val="Heading2"/>
        <w:rPr>
          <w:lang w:val="es-ES"/>
        </w:rPr>
      </w:pPr>
      <w:bookmarkStart w:id="91" w:name="_Toc224288826"/>
      <w:bookmarkStart w:id="92" w:name="_Toc227137486"/>
      <w:r w:rsidRPr="00F05461">
        <w:rPr>
          <w:lang w:val="es-ES"/>
        </w:rPr>
        <w:t>5.1</w:t>
      </w:r>
      <w:r w:rsidRPr="00F05461">
        <w:rPr>
          <w:lang w:val="es-ES"/>
        </w:rPr>
        <w:tab/>
        <w:t>Enfoque impulsado por los Miembros</w:t>
      </w:r>
      <w:bookmarkEnd w:id="91"/>
      <w:bookmarkEnd w:id="92"/>
    </w:p>
    <w:p w14:paraId="76F364A7" w14:textId="3C487132" w:rsidR="007B4979" w:rsidRPr="00F05461" w:rsidRDefault="007B4979" w:rsidP="007B4979">
      <w:pPr>
        <w:rPr>
          <w:lang w:val="es-ES"/>
        </w:rPr>
      </w:pPr>
      <w:r w:rsidRPr="00F05461">
        <w:rPr>
          <w:lang w:val="es-ES"/>
        </w:rPr>
        <w:t xml:space="preserve">En 2025, </w:t>
      </w:r>
      <w:r w:rsidR="00296F03" w:rsidRPr="00F05461">
        <w:rPr>
          <w:lang w:val="es-ES"/>
        </w:rPr>
        <w:t>la UIT</w:t>
      </w:r>
      <w:r w:rsidRPr="00F05461">
        <w:rPr>
          <w:lang w:val="es-ES"/>
        </w:rPr>
        <w:t xml:space="preserve"> alcanzó su nivel más elevado de afiliación, al contar con 1</w:t>
      </w:r>
      <w:r w:rsidR="00587968" w:rsidRPr="00F05461">
        <w:rPr>
          <w:lang w:val="es-ES"/>
        </w:rPr>
        <w:t> </w:t>
      </w:r>
      <w:r w:rsidRPr="00F05461">
        <w:rPr>
          <w:lang w:val="es-ES"/>
        </w:rPr>
        <w:t>048</w:t>
      </w:r>
      <w:r w:rsidR="00587968" w:rsidRPr="00F05461">
        <w:rPr>
          <w:lang w:val="es-ES"/>
        </w:rPr>
        <w:t> </w:t>
      </w:r>
      <w:r w:rsidRPr="00F05461">
        <w:rPr>
          <w:lang w:val="es-ES"/>
        </w:rPr>
        <w:t>organismos participantes, incluidos 1</w:t>
      </w:r>
      <w:r w:rsidR="00587968" w:rsidRPr="00F05461">
        <w:rPr>
          <w:lang w:val="es-ES"/>
        </w:rPr>
        <w:t> </w:t>
      </w:r>
      <w:r w:rsidRPr="00F05461">
        <w:rPr>
          <w:lang w:val="es-ES"/>
        </w:rPr>
        <w:t>386</w:t>
      </w:r>
      <w:r w:rsidR="00587968" w:rsidRPr="00F05461">
        <w:rPr>
          <w:lang w:val="es-ES"/>
        </w:rPr>
        <w:t> </w:t>
      </w:r>
      <w:r w:rsidRPr="00F05461">
        <w:rPr>
          <w:lang w:val="es-ES"/>
        </w:rPr>
        <w:t>Miembros de Sector, Asociados e instituciones académicas, y los 402</w:t>
      </w:r>
      <w:r w:rsidR="00587968" w:rsidRPr="00F05461">
        <w:rPr>
          <w:lang w:val="es-ES"/>
        </w:rPr>
        <w:t> </w:t>
      </w:r>
      <w:r w:rsidRPr="00F05461">
        <w:rPr>
          <w:lang w:val="es-ES"/>
        </w:rPr>
        <w:t>nuevos miembros (+139</w:t>
      </w:r>
      <w:r w:rsidR="00587968" w:rsidRPr="00F05461">
        <w:rPr>
          <w:lang w:val="es-ES"/>
        </w:rPr>
        <w:t> </w:t>
      </w:r>
      <w:r w:rsidRPr="00F05461">
        <w:rPr>
          <w:lang w:val="es-ES"/>
        </w:rPr>
        <w:t xml:space="preserve">nuevos miembros netos) registrados </w:t>
      </w:r>
      <w:r w:rsidR="00B933C5" w:rsidRPr="00F05461">
        <w:rPr>
          <w:lang w:val="es-ES"/>
        </w:rPr>
        <w:t>de 202</w:t>
      </w:r>
      <w:r w:rsidRPr="00F05461">
        <w:rPr>
          <w:lang w:val="es-ES"/>
        </w:rPr>
        <w:t xml:space="preserve">2 a 2025. El aumento del número de miembros en todos los sectores y regiones refleja un compromiso y una colaboración ininterrumpidos con respecto a los objetivos de </w:t>
      </w:r>
      <w:r w:rsidR="00296F03" w:rsidRPr="00F05461">
        <w:rPr>
          <w:lang w:val="es-ES"/>
        </w:rPr>
        <w:t>la UIT</w:t>
      </w:r>
      <w:r w:rsidRPr="00F05461">
        <w:rPr>
          <w:lang w:val="es-ES"/>
        </w:rPr>
        <w:t>, a pesar de los retos en materia de retención y los riesgos financieros.</w:t>
      </w:r>
    </w:p>
    <w:p w14:paraId="7269600A" w14:textId="1520FC81" w:rsidR="007B4979" w:rsidRPr="00F05461" w:rsidRDefault="007B4979" w:rsidP="007B4979">
      <w:pPr>
        <w:rPr>
          <w:lang w:val="es-ES"/>
        </w:rPr>
      </w:pPr>
      <w:r w:rsidRPr="00F05461">
        <w:rPr>
          <w:lang w:val="es-ES"/>
        </w:rPr>
        <w:t>La pérdida de 263</w:t>
      </w:r>
      <w:r w:rsidR="00587968" w:rsidRPr="00F05461">
        <w:rPr>
          <w:lang w:val="es-ES"/>
        </w:rPr>
        <w:t> </w:t>
      </w:r>
      <w:r w:rsidRPr="00F05461">
        <w:rPr>
          <w:lang w:val="es-ES"/>
        </w:rPr>
        <w:t xml:space="preserve">miembros </w:t>
      </w:r>
      <w:r w:rsidR="00B933C5" w:rsidRPr="00F05461">
        <w:rPr>
          <w:lang w:val="es-ES"/>
        </w:rPr>
        <w:t>de 202</w:t>
      </w:r>
      <w:r w:rsidRPr="00F05461">
        <w:rPr>
          <w:lang w:val="es-ES"/>
        </w:rPr>
        <w:t xml:space="preserve">2 y 2025 pone de relieve un riesgo constante para la estabilidad, tanto en cuanto al presupuesto como a los estudios técnicos en curso, así como la necesidad de mantener un enfoque impulsado por los miembros, receptivo y orientado al servicio en la labor de </w:t>
      </w:r>
      <w:r w:rsidR="00296F03" w:rsidRPr="00F05461">
        <w:rPr>
          <w:lang w:val="es-ES"/>
        </w:rPr>
        <w:t>la UIT</w:t>
      </w:r>
      <w:r w:rsidRPr="00F05461">
        <w:rPr>
          <w:lang w:val="es-ES"/>
        </w:rPr>
        <w:t xml:space="preserve">. Sin embargo, los miembros de </w:t>
      </w:r>
      <w:r w:rsidR="00296F03" w:rsidRPr="00F05461">
        <w:rPr>
          <w:lang w:val="es-ES"/>
        </w:rPr>
        <w:t>la UIT</w:t>
      </w:r>
      <w:r w:rsidRPr="00F05461">
        <w:rPr>
          <w:lang w:val="es-ES"/>
        </w:rPr>
        <w:t xml:space="preserve"> han ido variando y aumentado paulatinamente para reflejar el ecosistema digital mundial en constante evolución. A raíz de dicha evolución, </w:t>
      </w:r>
      <w:r w:rsidR="00296F03" w:rsidRPr="00F05461">
        <w:rPr>
          <w:lang w:val="es-ES"/>
        </w:rPr>
        <w:t>la UIT</w:t>
      </w:r>
      <w:r w:rsidRPr="00F05461">
        <w:rPr>
          <w:lang w:val="es-ES"/>
        </w:rPr>
        <w:t xml:space="preserve"> adapta continuamente sus temas y métodos de trabajo para seguir constituyendo una plataforma mundial y neutral pertinente para sus miembros.</w:t>
      </w:r>
    </w:p>
    <w:p w14:paraId="4F9645C2" w14:textId="2ABC4C57" w:rsidR="007B4979" w:rsidRPr="00F05461" w:rsidRDefault="007B4979" w:rsidP="007B4979">
      <w:pPr>
        <w:rPr>
          <w:lang w:val="es-ES"/>
        </w:rPr>
      </w:pPr>
      <w:r w:rsidRPr="00F05461">
        <w:rPr>
          <w:lang w:val="es-ES"/>
        </w:rPr>
        <w:t xml:space="preserve">A finales </w:t>
      </w:r>
      <w:r w:rsidR="00B933C5" w:rsidRPr="00F05461">
        <w:rPr>
          <w:lang w:val="es-ES"/>
        </w:rPr>
        <w:t>de 202</w:t>
      </w:r>
      <w:r w:rsidRPr="00F05461">
        <w:rPr>
          <w:lang w:val="es-ES"/>
        </w:rPr>
        <w:t xml:space="preserve">5, </w:t>
      </w:r>
      <w:r w:rsidR="00296F03" w:rsidRPr="00F05461">
        <w:rPr>
          <w:lang w:val="es-ES"/>
        </w:rPr>
        <w:t>la UIT</w:t>
      </w:r>
      <w:r w:rsidRPr="00F05461">
        <w:rPr>
          <w:lang w:val="es-ES"/>
        </w:rPr>
        <w:t xml:space="preserve"> constaba con 1</w:t>
      </w:r>
      <w:r w:rsidR="00587968" w:rsidRPr="00F05461">
        <w:rPr>
          <w:lang w:val="es-ES"/>
        </w:rPr>
        <w:t> </w:t>
      </w:r>
      <w:r w:rsidRPr="00F05461">
        <w:rPr>
          <w:lang w:val="es-ES"/>
        </w:rPr>
        <w:t>048</w:t>
      </w:r>
      <w:r w:rsidR="00587968" w:rsidRPr="00F05461">
        <w:rPr>
          <w:lang w:val="es-ES"/>
        </w:rPr>
        <w:t> </w:t>
      </w:r>
      <w:r w:rsidRPr="00F05461">
        <w:rPr>
          <w:lang w:val="es-ES"/>
        </w:rPr>
        <w:t>organismos miembros (+102</w:t>
      </w:r>
      <w:r w:rsidR="00587968" w:rsidRPr="00F05461">
        <w:rPr>
          <w:lang w:val="es-ES"/>
        </w:rPr>
        <w:t> </w:t>
      </w:r>
      <w:r w:rsidRPr="00F05461">
        <w:rPr>
          <w:lang w:val="es-ES"/>
        </w:rPr>
        <w:t>nuevos/+44</w:t>
      </w:r>
      <w:r w:rsidR="00587968" w:rsidRPr="00F05461">
        <w:rPr>
          <w:lang w:val="es-ES"/>
        </w:rPr>
        <w:t> </w:t>
      </w:r>
      <w:r w:rsidRPr="00F05461">
        <w:rPr>
          <w:lang w:val="es-ES"/>
        </w:rPr>
        <w:t>nuevos organismos netos en un año), incluidos Miembros de Sector, Asociados e instituciones académicas.</w:t>
      </w:r>
    </w:p>
    <w:p w14:paraId="52FF137E" w14:textId="68564E0A" w:rsidR="007B4979" w:rsidRPr="00F05461" w:rsidRDefault="007B4979" w:rsidP="007B4979">
      <w:pPr>
        <w:rPr>
          <w:lang w:val="es-ES"/>
        </w:rPr>
      </w:pPr>
      <w:r w:rsidRPr="00F05461">
        <w:rPr>
          <w:lang w:val="es-ES"/>
        </w:rPr>
        <w:t>En el per</w:t>
      </w:r>
      <w:r w:rsidR="00587968" w:rsidRPr="00F05461">
        <w:rPr>
          <w:lang w:val="es-ES"/>
        </w:rPr>
        <w:t>i</w:t>
      </w:r>
      <w:r w:rsidRPr="00F05461">
        <w:rPr>
          <w:lang w:val="es-ES"/>
        </w:rPr>
        <w:t>odo comprendido entre 2022 y 2025:</w:t>
      </w:r>
    </w:p>
    <w:p w14:paraId="1E9BB7D2" w14:textId="3FF013EC" w:rsidR="007B4979" w:rsidRPr="00F05461" w:rsidRDefault="00587968" w:rsidP="00587968">
      <w:pPr>
        <w:pStyle w:val="enumlev1"/>
        <w:rPr>
          <w:lang w:val="es-ES"/>
        </w:rPr>
      </w:pPr>
      <w:r w:rsidRPr="00F05461">
        <w:rPr>
          <w:lang w:val="es-ES"/>
        </w:rPr>
        <w:t>•</w:t>
      </w:r>
      <w:r w:rsidRPr="00F05461">
        <w:rPr>
          <w:lang w:val="es-ES"/>
        </w:rPr>
        <w:tab/>
      </w:r>
      <w:r w:rsidR="007B4979" w:rsidRPr="00F05461">
        <w:rPr>
          <w:lang w:val="es-ES"/>
        </w:rPr>
        <w:t>Se registraron 1</w:t>
      </w:r>
      <w:r w:rsidRPr="00F05461">
        <w:rPr>
          <w:lang w:val="es-ES"/>
        </w:rPr>
        <w:t> </w:t>
      </w:r>
      <w:r w:rsidR="007B4979" w:rsidRPr="00F05461">
        <w:rPr>
          <w:lang w:val="es-ES"/>
        </w:rPr>
        <w:t>386</w:t>
      </w:r>
      <w:r w:rsidR="009E00E1" w:rsidRPr="00F05461">
        <w:rPr>
          <w:lang w:val="es-ES"/>
        </w:rPr>
        <w:t> </w:t>
      </w:r>
      <w:r w:rsidR="007B4979" w:rsidRPr="00F05461">
        <w:rPr>
          <w:lang w:val="es-ES"/>
        </w:rPr>
        <w:t>miembros en todos los sectores: +402</w:t>
      </w:r>
      <w:r w:rsidR="00A10309" w:rsidRPr="00F05461">
        <w:rPr>
          <w:lang w:val="es-ES"/>
        </w:rPr>
        <w:t> </w:t>
      </w:r>
      <w:r w:rsidR="007B4979" w:rsidRPr="00F05461">
        <w:rPr>
          <w:lang w:val="es-ES"/>
        </w:rPr>
        <w:t xml:space="preserve">nuevos y </w:t>
      </w:r>
      <w:r w:rsidR="009E00E1" w:rsidRPr="00F05461">
        <w:rPr>
          <w:lang w:val="es-ES"/>
        </w:rPr>
        <w:t>−</w:t>
      </w:r>
      <w:r w:rsidR="007B4979" w:rsidRPr="00F05461">
        <w:rPr>
          <w:lang w:val="es-ES"/>
        </w:rPr>
        <w:t>263 denunciados o excluidos.</w:t>
      </w:r>
    </w:p>
    <w:p w14:paraId="56E7AE1B" w14:textId="66A77807" w:rsidR="007B4979" w:rsidRPr="00F05461" w:rsidRDefault="00587968" w:rsidP="00587968">
      <w:pPr>
        <w:pStyle w:val="enumlev1"/>
        <w:rPr>
          <w:lang w:val="es-ES"/>
        </w:rPr>
      </w:pPr>
      <w:r w:rsidRPr="00F05461">
        <w:rPr>
          <w:lang w:val="es-ES"/>
        </w:rPr>
        <w:t>•</w:t>
      </w:r>
      <w:r w:rsidRPr="00F05461">
        <w:rPr>
          <w:lang w:val="es-ES"/>
        </w:rPr>
        <w:tab/>
      </w:r>
      <w:r w:rsidR="007B4979" w:rsidRPr="00F05461">
        <w:rPr>
          <w:lang w:val="es-ES"/>
        </w:rPr>
        <w:t>Los Miembros de Sector representaron el 42</w:t>
      </w:r>
      <w:r w:rsidRPr="00F05461">
        <w:rPr>
          <w:lang w:val="es-ES"/>
        </w:rPr>
        <w:t> </w:t>
      </w:r>
      <w:r w:rsidR="001D269F" w:rsidRPr="00F05461">
        <w:rPr>
          <w:lang w:val="es-ES"/>
        </w:rPr>
        <w:t>por ciento</w:t>
      </w:r>
      <w:r w:rsidR="007B4979" w:rsidRPr="00F05461">
        <w:rPr>
          <w:lang w:val="es-ES"/>
        </w:rPr>
        <w:t xml:space="preserve"> de todos los nuevos miembros, los Asociados el 39</w:t>
      </w:r>
      <w:r w:rsidRPr="00F05461">
        <w:rPr>
          <w:lang w:val="es-ES"/>
        </w:rPr>
        <w:t> </w:t>
      </w:r>
      <w:r w:rsidR="001D269F" w:rsidRPr="00F05461">
        <w:rPr>
          <w:lang w:val="es-ES"/>
        </w:rPr>
        <w:t>por ciento</w:t>
      </w:r>
      <w:r w:rsidR="007B4979" w:rsidRPr="00F05461">
        <w:rPr>
          <w:lang w:val="es-ES"/>
        </w:rPr>
        <w:t xml:space="preserve"> y las instituciones académicas el 19</w:t>
      </w:r>
      <w:r w:rsidRPr="00F05461">
        <w:rPr>
          <w:lang w:val="es-ES"/>
        </w:rPr>
        <w:t> </w:t>
      </w:r>
      <w:r w:rsidR="001D269F" w:rsidRPr="00F05461">
        <w:rPr>
          <w:lang w:val="es-ES"/>
        </w:rPr>
        <w:t>por ciento</w:t>
      </w:r>
      <w:r w:rsidR="007B4979" w:rsidRPr="00F05461">
        <w:rPr>
          <w:lang w:val="es-ES"/>
        </w:rPr>
        <w:t>.</w:t>
      </w:r>
    </w:p>
    <w:p w14:paraId="110F3234" w14:textId="6B70E56C" w:rsidR="007B4979" w:rsidRPr="00F05461" w:rsidRDefault="00587968" w:rsidP="00587968">
      <w:pPr>
        <w:pStyle w:val="enumlev1"/>
        <w:rPr>
          <w:lang w:val="es-ES"/>
        </w:rPr>
      </w:pPr>
      <w:r w:rsidRPr="00F05461">
        <w:rPr>
          <w:lang w:val="es-ES"/>
        </w:rPr>
        <w:t>•</w:t>
      </w:r>
      <w:r w:rsidRPr="00F05461">
        <w:rPr>
          <w:lang w:val="es-ES"/>
        </w:rPr>
        <w:tab/>
      </w:r>
      <w:r w:rsidR="007B4979" w:rsidRPr="00F05461">
        <w:rPr>
          <w:lang w:val="es-ES"/>
        </w:rPr>
        <w:t>Se produjo una evolución positiva en todos los sectores, con un saldo neto de nuevos miembros de +34 en el</w:t>
      </w:r>
      <w:r w:rsidR="009E00E1" w:rsidRPr="00F05461">
        <w:rPr>
          <w:lang w:val="es-ES"/>
        </w:rPr>
        <w:t> </w:t>
      </w:r>
      <w:r w:rsidR="007B4979" w:rsidRPr="00F05461">
        <w:rPr>
          <w:lang w:val="es-ES"/>
        </w:rPr>
        <w:t>UIT</w:t>
      </w:r>
      <w:r w:rsidR="009E00E1" w:rsidRPr="00F05461">
        <w:rPr>
          <w:lang w:val="es-ES"/>
        </w:rPr>
        <w:noBreakHyphen/>
      </w:r>
      <w:r w:rsidR="007B4979" w:rsidRPr="00F05461">
        <w:rPr>
          <w:lang w:val="es-ES"/>
        </w:rPr>
        <w:t>R, +21 en el</w:t>
      </w:r>
      <w:r w:rsidR="009E00E1" w:rsidRPr="00F05461">
        <w:rPr>
          <w:lang w:val="es-ES"/>
        </w:rPr>
        <w:t> </w:t>
      </w:r>
      <w:r w:rsidR="007B4979" w:rsidRPr="00F05461">
        <w:rPr>
          <w:lang w:val="es-ES"/>
        </w:rPr>
        <w:t>UIT</w:t>
      </w:r>
      <w:r w:rsidR="009E00E1" w:rsidRPr="00F05461">
        <w:rPr>
          <w:lang w:val="es-ES"/>
        </w:rPr>
        <w:noBreakHyphen/>
      </w:r>
      <w:r w:rsidR="007B4979" w:rsidRPr="00F05461">
        <w:rPr>
          <w:lang w:val="es-ES"/>
        </w:rPr>
        <w:t>T, +57 en el</w:t>
      </w:r>
      <w:r w:rsidR="009E00E1" w:rsidRPr="00F05461">
        <w:rPr>
          <w:lang w:val="es-ES"/>
        </w:rPr>
        <w:t> </w:t>
      </w:r>
      <w:r w:rsidR="007B4979" w:rsidRPr="00F05461">
        <w:rPr>
          <w:lang w:val="es-ES"/>
        </w:rPr>
        <w:t>UIT</w:t>
      </w:r>
      <w:r w:rsidR="009E00E1" w:rsidRPr="00F05461">
        <w:rPr>
          <w:lang w:val="es-ES"/>
        </w:rPr>
        <w:noBreakHyphen/>
      </w:r>
      <w:r w:rsidR="007B4979" w:rsidRPr="00F05461">
        <w:rPr>
          <w:lang w:val="es-ES"/>
        </w:rPr>
        <w:t>D y +27 en el sector académico.</w:t>
      </w:r>
    </w:p>
    <w:p w14:paraId="0F05BA0E" w14:textId="55BA84A6" w:rsidR="007B4979" w:rsidRPr="00F05461" w:rsidRDefault="00587968" w:rsidP="00587968">
      <w:pPr>
        <w:pStyle w:val="enumlev1"/>
        <w:rPr>
          <w:lang w:val="es-ES"/>
        </w:rPr>
      </w:pPr>
      <w:r w:rsidRPr="00F05461">
        <w:rPr>
          <w:lang w:val="es-ES"/>
        </w:rPr>
        <w:t>•</w:t>
      </w:r>
      <w:r w:rsidRPr="00F05461">
        <w:rPr>
          <w:lang w:val="es-ES"/>
        </w:rPr>
        <w:tab/>
      </w:r>
      <w:r w:rsidR="007B4979" w:rsidRPr="00F05461">
        <w:rPr>
          <w:lang w:val="es-ES"/>
        </w:rPr>
        <w:t>El número de miembros aumentó en todas las regiones, aunque el aumento a escala mundial obedeció principalmente a Asia</w:t>
      </w:r>
      <w:r w:rsidR="009E00E1" w:rsidRPr="00F05461">
        <w:rPr>
          <w:lang w:val="es-ES"/>
        </w:rPr>
        <w:noBreakHyphen/>
      </w:r>
      <w:r w:rsidR="007B4979" w:rsidRPr="00F05461">
        <w:rPr>
          <w:lang w:val="es-ES"/>
        </w:rPr>
        <w:t>Pacífico (+64 nuevos miembros netos: +153/</w:t>
      </w:r>
      <w:r w:rsidR="00A10309" w:rsidRPr="00F05461">
        <w:rPr>
          <w:lang w:val="es-ES"/>
        </w:rPr>
        <w:t>−</w:t>
      </w:r>
      <w:r w:rsidR="007B4979" w:rsidRPr="00F05461">
        <w:rPr>
          <w:lang w:val="es-ES"/>
        </w:rPr>
        <w:t>59) y Europa (+27 nuevos miembros netos: +116/</w:t>
      </w:r>
      <w:r w:rsidR="00A10309" w:rsidRPr="00F05461">
        <w:rPr>
          <w:lang w:val="es-ES"/>
        </w:rPr>
        <w:t>−</w:t>
      </w:r>
      <w:r w:rsidR="007B4979" w:rsidRPr="00F05461">
        <w:rPr>
          <w:lang w:val="es-ES"/>
        </w:rPr>
        <w:t>89), seguido de organizaciones internacionales o regionales (+22 nuevos miembros netos: +26/</w:t>
      </w:r>
      <w:r w:rsidR="00A10309" w:rsidRPr="00F05461">
        <w:rPr>
          <w:rFonts w:cs="Calibri"/>
          <w:lang w:val="es-ES"/>
        </w:rPr>
        <w:t>−</w:t>
      </w:r>
      <w:r w:rsidR="007B4979" w:rsidRPr="00F05461">
        <w:rPr>
          <w:lang w:val="es-ES"/>
        </w:rPr>
        <w:t>4).</w:t>
      </w:r>
    </w:p>
    <w:p w14:paraId="69BF514C" w14:textId="164CB9CC" w:rsidR="007B4979" w:rsidRPr="00F05461" w:rsidRDefault="00587968" w:rsidP="00587968">
      <w:pPr>
        <w:pStyle w:val="enumlev1"/>
        <w:rPr>
          <w:lang w:val="es-ES"/>
        </w:rPr>
      </w:pPr>
      <w:r w:rsidRPr="00F05461">
        <w:rPr>
          <w:lang w:val="es-ES"/>
        </w:rPr>
        <w:t>•</w:t>
      </w:r>
      <w:r w:rsidRPr="00F05461">
        <w:rPr>
          <w:lang w:val="es-ES"/>
        </w:rPr>
        <w:tab/>
      </w:r>
      <w:r w:rsidR="007B4979" w:rsidRPr="00F05461">
        <w:rPr>
          <w:lang w:val="es-ES"/>
        </w:rPr>
        <w:t>Durante el periodo de cuatro años comprendido entre 2022 y 2025, las contribuciones previstas aumentaron levemente, si bien se mantuvieron por debajo de 17</w:t>
      </w:r>
      <w:r w:rsidR="00A10309" w:rsidRPr="00F05461">
        <w:rPr>
          <w:lang w:val="es-ES"/>
        </w:rPr>
        <w:t> </w:t>
      </w:r>
      <w:r w:rsidR="007B4979" w:rsidRPr="00F05461">
        <w:rPr>
          <w:lang w:val="es-ES"/>
        </w:rPr>
        <w:t>millones de francos suizos (CHF), pese al aumento neto del número de miembros. Ello se debe al aumento ininterrumpido de las categorías de cuotas reducidas y de los organismos exentos.</w:t>
      </w:r>
    </w:p>
    <w:p w14:paraId="6B9EC2DF" w14:textId="7CEF95D0" w:rsidR="007B4979" w:rsidRPr="00F05461" w:rsidRDefault="00587968" w:rsidP="00587968">
      <w:pPr>
        <w:pStyle w:val="enumlev1"/>
        <w:rPr>
          <w:lang w:val="es-ES"/>
        </w:rPr>
      </w:pPr>
      <w:r w:rsidRPr="00F05461">
        <w:rPr>
          <w:lang w:val="es-ES"/>
        </w:rPr>
        <w:t>•</w:t>
      </w:r>
      <w:r w:rsidRPr="00F05461">
        <w:rPr>
          <w:lang w:val="es-ES"/>
        </w:rPr>
        <w:tab/>
      </w:r>
      <w:r w:rsidR="007B4979" w:rsidRPr="00F05461">
        <w:rPr>
          <w:lang w:val="es-ES"/>
        </w:rPr>
        <w:t xml:space="preserve">Tras el lento aumento registrado en 2024, la comunidad de </w:t>
      </w:r>
      <w:r w:rsidR="00A10309" w:rsidRPr="00F05461">
        <w:rPr>
          <w:lang w:val="es-ES"/>
        </w:rPr>
        <w:t>pymes</w:t>
      </w:r>
      <w:r w:rsidR="007B4979" w:rsidRPr="00F05461">
        <w:rPr>
          <w:lang w:val="es-ES"/>
        </w:rPr>
        <w:t xml:space="preserve"> vuelve a aumentar a un ritmo rápido. Miembros asociados con la opción de cuota reducida para </w:t>
      </w:r>
      <w:r w:rsidR="00A10309" w:rsidRPr="00F05461">
        <w:rPr>
          <w:lang w:val="es-ES"/>
        </w:rPr>
        <w:t>pymes</w:t>
      </w:r>
      <w:r w:rsidR="007B4979" w:rsidRPr="00F05461">
        <w:rPr>
          <w:lang w:val="es-ES"/>
        </w:rPr>
        <w:t xml:space="preserve">, disponible desde enero </w:t>
      </w:r>
      <w:r w:rsidR="00B933C5" w:rsidRPr="00F05461">
        <w:rPr>
          <w:lang w:val="es-ES"/>
        </w:rPr>
        <w:t>de 202</w:t>
      </w:r>
      <w:r w:rsidR="007B4979" w:rsidRPr="00F05461">
        <w:rPr>
          <w:lang w:val="es-ES"/>
        </w:rPr>
        <w:t>0: 120</w:t>
      </w:r>
      <w:r w:rsidR="009E00E1" w:rsidRPr="00F05461">
        <w:rPr>
          <w:lang w:val="es-ES"/>
        </w:rPr>
        <w:t> </w:t>
      </w:r>
      <w:r w:rsidR="007B4979" w:rsidRPr="00F05461">
        <w:rPr>
          <w:lang w:val="es-ES"/>
        </w:rPr>
        <w:t xml:space="preserve">miembros (33 </w:t>
      </w:r>
      <w:r w:rsidR="00A10309" w:rsidRPr="00F05461">
        <w:rPr>
          <w:lang w:val="es-ES"/>
        </w:rPr>
        <w:t>del UIT</w:t>
      </w:r>
      <w:r w:rsidR="00A10309" w:rsidRPr="00F05461">
        <w:rPr>
          <w:lang w:val="es-ES"/>
        </w:rPr>
        <w:noBreakHyphen/>
      </w:r>
      <w:r w:rsidR="007B4979" w:rsidRPr="00F05461">
        <w:rPr>
          <w:lang w:val="es-ES"/>
        </w:rPr>
        <w:t xml:space="preserve">R y 87 </w:t>
      </w:r>
      <w:r w:rsidR="00A10309" w:rsidRPr="00F05461">
        <w:rPr>
          <w:lang w:val="es-ES"/>
        </w:rPr>
        <w:t>del UIT</w:t>
      </w:r>
      <w:r w:rsidR="00A10309" w:rsidRPr="00F05461">
        <w:rPr>
          <w:lang w:val="es-ES"/>
        </w:rPr>
        <w:noBreakHyphen/>
      </w:r>
      <w:r w:rsidR="007B4979" w:rsidRPr="00F05461">
        <w:rPr>
          <w:lang w:val="es-ES"/>
        </w:rPr>
        <w:t xml:space="preserve">T) se han </w:t>
      </w:r>
      <w:r w:rsidR="007B4979" w:rsidRPr="00F05461">
        <w:rPr>
          <w:lang w:val="es-ES"/>
        </w:rPr>
        <w:lastRenderedPageBreak/>
        <w:t>beneficiado de cuotas reducidas. En 2025 se registraron más de 26</w:t>
      </w:r>
      <w:r w:rsidR="00A10309" w:rsidRPr="00F05461">
        <w:rPr>
          <w:lang w:val="es-ES"/>
        </w:rPr>
        <w:t> </w:t>
      </w:r>
      <w:r w:rsidR="007B4979" w:rsidRPr="00F05461">
        <w:rPr>
          <w:lang w:val="es-ES"/>
        </w:rPr>
        <w:t>nuevos organismos netos (+8 nuevos organismos netos en</w:t>
      </w:r>
      <w:r w:rsidR="00A10309" w:rsidRPr="00F05461">
        <w:rPr>
          <w:lang w:val="es-ES"/>
        </w:rPr>
        <w:t> </w:t>
      </w:r>
      <w:r w:rsidR="007B4979" w:rsidRPr="00F05461">
        <w:rPr>
          <w:lang w:val="es-ES"/>
        </w:rPr>
        <w:t>2024).</w:t>
      </w:r>
    </w:p>
    <w:p w14:paraId="51B72086" w14:textId="73975FDE" w:rsidR="007B4979" w:rsidRPr="00F05461" w:rsidRDefault="007B4979" w:rsidP="00AC3213">
      <w:pPr>
        <w:pStyle w:val="Figure"/>
        <w:rPr>
          <w:lang w:val="es-ES"/>
        </w:rPr>
      </w:pPr>
      <w:r w:rsidRPr="00F05461">
        <w:rPr>
          <w:noProof/>
          <w:lang w:val="es-ES"/>
        </w:rPr>
        <w:drawing>
          <wp:inline distT="0" distB="0" distL="0" distR="0" wp14:anchorId="3D6B37A5" wp14:editId="554283C4">
            <wp:extent cx="5760089" cy="3242306"/>
            <wp:effectExtent l="0" t="0" r="0" b="0"/>
            <wp:docPr id="109849493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5760089" cy="3242306"/>
                    </a:xfrm>
                    <a:prstGeom prst="rect">
                      <a:avLst/>
                    </a:prstGeom>
                    <a:noFill/>
                    <a:ln>
                      <a:noFill/>
                      <a:prstDash/>
                    </a:ln>
                  </pic:spPr>
                </pic:pic>
              </a:graphicData>
            </a:graphic>
          </wp:inline>
        </w:drawing>
      </w:r>
    </w:p>
    <w:p w14:paraId="796789F2" w14:textId="77777777" w:rsidR="007B4979" w:rsidRPr="00F05461" w:rsidRDefault="007B4979" w:rsidP="00587968">
      <w:pPr>
        <w:pStyle w:val="Figurelegend"/>
        <w:jc w:val="center"/>
        <w:rPr>
          <w:i/>
          <w:iCs/>
          <w:color w:val="1F497D"/>
          <w:lang w:val="es-ES"/>
        </w:rPr>
      </w:pPr>
      <w:r w:rsidRPr="00F05461">
        <w:rPr>
          <w:i/>
          <w:iCs/>
          <w:color w:val="1F497D"/>
          <w:lang w:val="es-ES"/>
        </w:rPr>
        <w:t>Figura 20. Evolución del número de miembros 2022-2025</w:t>
      </w:r>
    </w:p>
    <w:p w14:paraId="1423FDE1" w14:textId="77777777" w:rsidR="007B4979" w:rsidRPr="00F05461" w:rsidRDefault="007B4979" w:rsidP="007B4979">
      <w:pPr>
        <w:pStyle w:val="Heading2"/>
        <w:rPr>
          <w:lang w:val="es-ES"/>
        </w:rPr>
      </w:pPr>
      <w:bookmarkStart w:id="93" w:name="_Toc224288827"/>
      <w:bookmarkStart w:id="94" w:name="_Toc227137487"/>
      <w:r w:rsidRPr="00F05461">
        <w:rPr>
          <w:lang w:val="es-ES"/>
        </w:rPr>
        <w:t>5.2</w:t>
      </w:r>
      <w:r w:rsidRPr="00F05461">
        <w:rPr>
          <w:lang w:val="es-ES"/>
        </w:rPr>
        <w:tab/>
        <w:t>Presencia regional</w:t>
      </w:r>
      <w:bookmarkEnd w:id="93"/>
      <w:bookmarkEnd w:id="94"/>
    </w:p>
    <w:p w14:paraId="43CF690B" w14:textId="795A983E" w:rsidR="007B4979" w:rsidRPr="00F05461" w:rsidRDefault="007B4979" w:rsidP="007B4979">
      <w:pPr>
        <w:rPr>
          <w:lang w:val="es-ES"/>
        </w:rPr>
      </w:pPr>
      <w:r w:rsidRPr="00F05461">
        <w:rPr>
          <w:lang w:val="es-ES"/>
        </w:rPr>
        <w:t xml:space="preserve">La </w:t>
      </w:r>
      <w:hyperlink r:id="rId347" w:history="1">
        <w:r w:rsidRPr="00F05461">
          <w:rPr>
            <w:rStyle w:val="Hyperlink"/>
            <w:rFonts w:eastAsia="Times New Roman" w:cs="Times New Roman"/>
            <w:szCs w:val="20"/>
            <w:lang w:val="es-ES"/>
          </w:rPr>
          <w:t>presencia regional</w:t>
        </w:r>
      </w:hyperlink>
      <w:r w:rsidRPr="00F05461">
        <w:rPr>
          <w:lang w:val="es-ES"/>
        </w:rPr>
        <w:t xml:space="preserve"> constituye una extensión de </w:t>
      </w:r>
      <w:r w:rsidR="00296F03" w:rsidRPr="00F05461">
        <w:rPr>
          <w:lang w:val="es-ES"/>
        </w:rPr>
        <w:t>la UIT</w:t>
      </w:r>
      <w:r w:rsidRPr="00F05461">
        <w:rPr>
          <w:lang w:val="es-ES"/>
        </w:rPr>
        <w:t xml:space="preserve"> en su conjunto y desempeña un papel fundamental en el cumplimiento de la misión de </w:t>
      </w:r>
      <w:r w:rsidR="00296F03" w:rsidRPr="00F05461">
        <w:rPr>
          <w:lang w:val="es-ES"/>
        </w:rPr>
        <w:t>la UIT</w:t>
      </w:r>
      <w:r w:rsidRPr="00F05461">
        <w:rPr>
          <w:lang w:val="es-ES"/>
        </w:rPr>
        <w:t xml:space="preserve">, al tiempo que contribuye a tener una comprensión más cabal en </w:t>
      </w:r>
      <w:r w:rsidR="00296F03" w:rsidRPr="00F05461">
        <w:rPr>
          <w:lang w:val="es-ES"/>
        </w:rPr>
        <w:t>la UIT</w:t>
      </w:r>
      <w:r w:rsidRPr="00F05461">
        <w:rPr>
          <w:lang w:val="es-ES"/>
        </w:rPr>
        <w:t xml:space="preserve"> de las actividades a escala local y de su capacidad para responder eficazmente a las necesidades de los países. La presencia regional consolida la planificación estratégica para cada oficina regional o zona</w:t>
      </w:r>
      <w:r w:rsidR="005E060C" w:rsidRPr="00F05461">
        <w:rPr>
          <w:lang w:val="es-ES"/>
        </w:rPr>
        <w:t>l</w:t>
      </w:r>
      <w:r w:rsidRPr="00F05461">
        <w:rPr>
          <w:lang w:val="es-ES"/>
        </w:rPr>
        <w:t xml:space="preserve"> mediante la ejecución de programas e iniciativas que sean coherentes con l</w:t>
      </w:r>
      <w:r w:rsidR="004B58C7" w:rsidRPr="00F05461">
        <w:rPr>
          <w:lang w:val="es-ES"/>
        </w:rPr>
        <w:t>a</w:t>
      </w:r>
      <w:r w:rsidRPr="00F05461">
        <w:rPr>
          <w:lang w:val="es-ES"/>
        </w:rPr>
        <w:t xml:space="preserve">s </w:t>
      </w:r>
      <w:r w:rsidR="004B58C7" w:rsidRPr="00F05461">
        <w:rPr>
          <w:lang w:val="es-ES"/>
        </w:rPr>
        <w:t>metas</w:t>
      </w:r>
      <w:r w:rsidRPr="00F05461">
        <w:rPr>
          <w:lang w:val="es-ES"/>
        </w:rPr>
        <w:t xml:space="preserve"> estratégic</w:t>
      </w:r>
      <w:r w:rsidR="004B58C7" w:rsidRPr="00F05461">
        <w:rPr>
          <w:lang w:val="es-ES"/>
        </w:rPr>
        <w:t>a</w:t>
      </w:r>
      <w:r w:rsidRPr="00F05461">
        <w:rPr>
          <w:lang w:val="es-ES"/>
        </w:rPr>
        <w:t xml:space="preserve">s y las prioridades temáticas de </w:t>
      </w:r>
      <w:r w:rsidR="00296F03" w:rsidRPr="00F05461">
        <w:rPr>
          <w:lang w:val="es-ES"/>
        </w:rPr>
        <w:t>la UIT</w:t>
      </w:r>
      <w:r w:rsidRPr="00F05461">
        <w:rPr>
          <w:lang w:val="es-ES"/>
        </w:rPr>
        <w:t xml:space="preserve"> y se basen en ell</w:t>
      </w:r>
      <w:r w:rsidR="004B58C7" w:rsidRPr="00F05461">
        <w:rPr>
          <w:lang w:val="es-ES"/>
        </w:rPr>
        <w:t>a</w:t>
      </w:r>
      <w:r w:rsidRPr="00F05461">
        <w:rPr>
          <w:lang w:val="es-ES"/>
        </w:rPr>
        <w:t xml:space="preserve">s. Al aplicar los objetivos a escala mundial y aclarar las prioridades de los programas a escala regional, </w:t>
      </w:r>
      <w:r w:rsidR="00296F03" w:rsidRPr="00F05461">
        <w:rPr>
          <w:lang w:val="es-ES"/>
        </w:rPr>
        <w:t>la UIT</w:t>
      </w:r>
      <w:r w:rsidRPr="00F05461">
        <w:rPr>
          <w:lang w:val="es-ES"/>
        </w:rPr>
        <w:t xml:space="preserve"> busca asimismo mejorar su eficacia y repercusión de forma general a escala mundial.</w:t>
      </w:r>
    </w:p>
    <w:p w14:paraId="06FDAFB4" w14:textId="7EFCCE94" w:rsidR="007B4979" w:rsidRPr="00F05461" w:rsidRDefault="007B4979" w:rsidP="007B4979">
      <w:pPr>
        <w:rPr>
          <w:lang w:val="es-ES"/>
        </w:rPr>
      </w:pPr>
      <w:r w:rsidRPr="00F05461">
        <w:rPr>
          <w:lang w:val="es-ES"/>
        </w:rPr>
        <w:t xml:space="preserve">La presencia regional fortalece la función de </w:t>
      </w:r>
      <w:r w:rsidR="00296F03" w:rsidRPr="00F05461">
        <w:rPr>
          <w:lang w:val="es-ES"/>
        </w:rPr>
        <w:t>la UIT</w:t>
      </w:r>
      <w:r w:rsidRPr="00F05461">
        <w:rPr>
          <w:lang w:val="es-ES"/>
        </w:rPr>
        <w:t xml:space="preserve"> como organización propiciadora de cambios y la cooperación con las Naciones Unidas, con el fin de brindar más oportunidades regionales y, en consecuencia, abarcar más países y establecer prioridades más claras y de mayor repercusión con respecto a las actividades a escala nacional. También se despliegan esfuerzos para fortalecer la capacidad a escala regional, a fin de garantizar que las oficinas regionales y zona</w:t>
      </w:r>
      <w:r w:rsidR="009E00E1" w:rsidRPr="00F05461">
        <w:rPr>
          <w:lang w:val="es-ES"/>
        </w:rPr>
        <w:t>les</w:t>
      </w:r>
      <w:r w:rsidRPr="00F05461">
        <w:rPr>
          <w:lang w:val="es-ES"/>
        </w:rPr>
        <w:t xml:space="preserve"> puedan ejecutar los programas y actividades determinados en función de l</w:t>
      </w:r>
      <w:r w:rsidR="004B58C7" w:rsidRPr="00F05461">
        <w:rPr>
          <w:lang w:val="es-ES"/>
        </w:rPr>
        <w:t>a</w:t>
      </w:r>
      <w:r w:rsidRPr="00F05461">
        <w:rPr>
          <w:lang w:val="es-ES"/>
        </w:rPr>
        <w:t xml:space="preserve">s </w:t>
      </w:r>
      <w:r w:rsidR="004B58C7" w:rsidRPr="00F05461">
        <w:rPr>
          <w:lang w:val="es-ES"/>
        </w:rPr>
        <w:t>metas</w:t>
      </w:r>
      <w:r w:rsidRPr="00F05461">
        <w:rPr>
          <w:lang w:val="es-ES"/>
        </w:rPr>
        <w:t xml:space="preserve"> estratégic</w:t>
      </w:r>
      <w:r w:rsidR="004B58C7" w:rsidRPr="00F05461">
        <w:rPr>
          <w:lang w:val="es-ES"/>
        </w:rPr>
        <w:t>a</w:t>
      </w:r>
      <w:r w:rsidRPr="00F05461">
        <w:rPr>
          <w:lang w:val="es-ES"/>
        </w:rPr>
        <w:t xml:space="preserve">s y las prioridades temáticas de </w:t>
      </w:r>
      <w:r w:rsidR="00296F03" w:rsidRPr="00F05461">
        <w:rPr>
          <w:lang w:val="es-ES"/>
        </w:rPr>
        <w:t>la UIT</w:t>
      </w:r>
      <w:r w:rsidRPr="00F05461">
        <w:rPr>
          <w:lang w:val="es-ES"/>
        </w:rPr>
        <w:t>.</w:t>
      </w:r>
    </w:p>
    <w:p w14:paraId="4D4A44A9" w14:textId="5077FE85" w:rsidR="007B4979" w:rsidRPr="00F05461" w:rsidRDefault="007B4979" w:rsidP="007B4979">
      <w:pPr>
        <w:rPr>
          <w:lang w:val="es-ES"/>
        </w:rPr>
      </w:pPr>
      <w:r w:rsidRPr="00F05461">
        <w:rPr>
          <w:lang w:val="es-ES"/>
        </w:rPr>
        <w:t xml:space="preserve">De conformidad con las Recomendaciones de la reunión </w:t>
      </w:r>
      <w:r w:rsidR="00B933C5" w:rsidRPr="00F05461">
        <w:rPr>
          <w:lang w:val="es-ES"/>
        </w:rPr>
        <w:t>de 202</w:t>
      </w:r>
      <w:r w:rsidRPr="00F05461">
        <w:rPr>
          <w:lang w:val="es-ES"/>
        </w:rPr>
        <w:t>5 del Consejo (Informe de</w:t>
      </w:r>
      <w:r w:rsidR="009E00E1" w:rsidRPr="00F05461">
        <w:rPr>
          <w:lang w:val="es-ES"/>
        </w:rPr>
        <w:t xml:space="preserve"> </w:t>
      </w:r>
      <w:r w:rsidRPr="00F05461">
        <w:rPr>
          <w:lang w:val="es-ES"/>
        </w:rPr>
        <w:t>l</w:t>
      </w:r>
      <w:r w:rsidR="009E00E1" w:rsidRPr="00F05461">
        <w:rPr>
          <w:lang w:val="es-ES"/>
        </w:rPr>
        <w:t>a</w:t>
      </w:r>
      <w:r w:rsidRPr="00F05461">
        <w:rPr>
          <w:lang w:val="es-ES"/>
        </w:rPr>
        <w:t xml:space="preserve"> President</w:t>
      </w:r>
      <w:r w:rsidR="009E00E1" w:rsidRPr="00F05461">
        <w:rPr>
          <w:lang w:val="es-ES"/>
        </w:rPr>
        <w:t>a</w:t>
      </w:r>
      <w:r w:rsidRPr="00F05461">
        <w:rPr>
          <w:lang w:val="es-ES"/>
        </w:rPr>
        <w:t xml:space="preserve"> de la Comisión Permanente </w:t>
      </w:r>
      <w:r w:rsidR="009E00E1" w:rsidRPr="00F05461">
        <w:rPr>
          <w:lang w:val="es-ES"/>
        </w:rPr>
        <w:t>sobre</w:t>
      </w:r>
      <w:r w:rsidRPr="00F05461">
        <w:rPr>
          <w:lang w:val="es-ES"/>
        </w:rPr>
        <w:t xml:space="preserve"> Administración y Gestión, Documento</w:t>
      </w:r>
      <w:r w:rsidR="00A929E0" w:rsidRPr="00F05461">
        <w:rPr>
          <w:lang w:val="es-ES"/>
        </w:rPr>
        <w:t> </w:t>
      </w:r>
      <w:hyperlink r:id="rId348" w:history="1">
        <w:r w:rsidRPr="00F05461">
          <w:rPr>
            <w:rStyle w:val="Hyperlink"/>
            <w:rFonts w:eastAsia="Times New Roman" w:cs="Times New Roman"/>
            <w:szCs w:val="20"/>
            <w:lang w:val="es-ES"/>
          </w:rPr>
          <w:t>C25/105</w:t>
        </w:r>
      </w:hyperlink>
      <w:r w:rsidRPr="00F05461">
        <w:rPr>
          <w:lang w:val="es-ES"/>
        </w:rPr>
        <w:t>, párrafo</w:t>
      </w:r>
      <w:r w:rsidR="00A929E0" w:rsidRPr="00F05461">
        <w:rPr>
          <w:lang w:val="es-ES"/>
        </w:rPr>
        <w:t> </w:t>
      </w:r>
      <w:r w:rsidRPr="00F05461">
        <w:rPr>
          <w:lang w:val="es-ES"/>
        </w:rPr>
        <w:t>26, Anexos</w:t>
      </w:r>
      <w:r w:rsidR="00A929E0" w:rsidRPr="00F05461">
        <w:rPr>
          <w:lang w:val="es-ES"/>
        </w:rPr>
        <w:t> </w:t>
      </w:r>
      <w:r w:rsidRPr="00F05461">
        <w:rPr>
          <w:lang w:val="es-ES"/>
        </w:rPr>
        <w:t>H, A y 1), la</w:t>
      </w:r>
      <w:r w:rsidR="00105B73" w:rsidRPr="00F05461">
        <w:rPr>
          <w:lang w:val="es-ES"/>
        </w:rPr>
        <w:t xml:space="preserve"> Secretaría</w:t>
      </w:r>
      <w:r w:rsidRPr="00F05461">
        <w:rPr>
          <w:lang w:val="es-ES"/>
        </w:rPr>
        <w:t xml:space="preserve"> viene examinando desde julio </w:t>
      </w:r>
      <w:r w:rsidR="00B933C5" w:rsidRPr="00F05461">
        <w:rPr>
          <w:lang w:val="es-ES"/>
        </w:rPr>
        <w:t>de 202</w:t>
      </w:r>
      <w:r w:rsidRPr="00F05461">
        <w:rPr>
          <w:lang w:val="es-ES"/>
        </w:rPr>
        <w:t xml:space="preserve">5 la presencia regional de </w:t>
      </w:r>
      <w:r w:rsidR="00296F03" w:rsidRPr="00F05461">
        <w:rPr>
          <w:lang w:val="es-ES"/>
        </w:rPr>
        <w:t>la UIT</w:t>
      </w:r>
      <w:r w:rsidRPr="00F05461">
        <w:rPr>
          <w:lang w:val="es-ES"/>
        </w:rPr>
        <w:t>. Esos esfuerzos culminar</w:t>
      </w:r>
      <w:r w:rsidR="00105B73" w:rsidRPr="00F05461">
        <w:rPr>
          <w:lang w:val="es-ES"/>
        </w:rPr>
        <w:t>o</w:t>
      </w:r>
      <w:r w:rsidRPr="00F05461">
        <w:rPr>
          <w:lang w:val="es-ES"/>
        </w:rPr>
        <w:t xml:space="preserve">n en el informe final sobre la revisión de la presencia regional de </w:t>
      </w:r>
      <w:r w:rsidR="00296F03" w:rsidRPr="00F05461">
        <w:rPr>
          <w:lang w:val="es-ES"/>
        </w:rPr>
        <w:t>la UIT</w:t>
      </w:r>
      <w:r w:rsidR="00105B73" w:rsidRPr="00F05461">
        <w:rPr>
          <w:lang w:val="es-ES"/>
        </w:rPr>
        <w:t xml:space="preserve"> (Documento </w:t>
      </w:r>
      <w:hyperlink r:id="rId349" w:history="1">
        <w:r w:rsidR="00105B73" w:rsidRPr="00F05461">
          <w:rPr>
            <w:rStyle w:val="Hyperlink"/>
            <w:rFonts w:eastAsia="Times New Roman" w:cs="Times New Roman"/>
            <w:szCs w:val="20"/>
            <w:lang w:val="es-ES"/>
          </w:rPr>
          <w:t>C26/24</w:t>
        </w:r>
      </w:hyperlink>
      <w:r w:rsidR="00105B73" w:rsidRPr="00F05461">
        <w:rPr>
          <w:lang w:val="es-ES"/>
        </w:rPr>
        <w:t>)</w:t>
      </w:r>
      <w:r w:rsidRPr="00F05461">
        <w:rPr>
          <w:lang w:val="es-ES"/>
        </w:rPr>
        <w:t xml:space="preserve">, que se presentará en la reunión </w:t>
      </w:r>
      <w:r w:rsidR="00B933C5" w:rsidRPr="00F05461">
        <w:rPr>
          <w:lang w:val="es-ES"/>
        </w:rPr>
        <w:t>de 202</w:t>
      </w:r>
      <w:r w:rsidRPr="00F05461">
        <w:rPr>
          <w:lang w:val="es-ES"/>
        </w:rPr>
        <w:t xml:space="preserve">6 del Consejo, cuya celebración está prevista del 28 de abril al 8 de mayo </w:t>
      </w:r>
      <w:r w:rsidR="00B933C5" w:rsidRPr="00F05461">
        <w:rPr>
          <w:lang w:val="es-ES"/>
        </w:rPr>
        <w:t>de 202</w:t>
      </w:r>
      <w:r w:rsidRPr="00F05461">
        <w:rPr>
          <w:lang w:val="es-ES"/>
        </w:rPr>
        <w:t>6.</w:t>
      </w:r>
      <w:r w:rsidR="00105B73" w:rsidRPr="00F05461">
        <w:rPr>
          <w:lang w:val="es-ES"/>
        </w:rPr>
        <w:t xml:space="preserve"> La revisión pormenorizada se publicará en el Documento </w:t>
      </w:r>
      <w:hyperlink r:id="rId350" w:history="1">
        <w:r w:rsidR="00105B73" w:rsidRPr="00F05461">
          <w:rPr>
            <w:rStyle w:val="Hyperlink"/>
            <w:rFonts w:eastAsia="Times New Roman" w:cs="Times New Roman"/>
            <w:szCs w:val="20"/>
            <w:lang w:val="es-ES"/>
          </w:rPr>
          <w:t>C26/INF/10</w:t>
        </w:r>
      </w:hyperlink>
      <w:r w:rsidR="00105B73" w:rsidRPr="00F05461">
        <w:rPr>
          <w:lang w:val="es-ES"/>
        </w:rPr>
        <w:t>.</w:t>
      </w:r>
    </w:p>
    <w:p w14:paraId="3538F10B" w14:textId="77777777" w:rsidR="007B4979" w:rsidRPr="00F05461" w:rsidRDefault="007B4979" w:rsidP="00AC3213">
      <w:pPr>
        <w:pStyle w:val="Headingb"/>
      </w:pPr>
      <w:r w:rsidRPr="00F05461">
        <w:lastRenderedPageBreak/>
        <w:t>Iniciativas Regionales, 2026-2029</w:t>
      </w:r>
    </w:p>
    <w:p w14:paraId="6484112E" w14:textId="30684CF4" w:rsidR="007B4979" w:rsidRPr="00F05461" w:rsidRDefault="007B4979" w:rsidP="007B4979">
      <w:pPr>
        <w:rPr>
          <w:lang w:val="es-ES"/>
        </w:rPr>
      </w:pPr>
      <w:r w:rsidRPr="00F05461">
        <w:rPr>
          <w:lang w:val="es-ES"/>
        </w:rPr>
        <w:t>La</w:t>
      </w:r>
      <w:r w:rsidR="007B1984" w:rsidRPr="00F05461">
        <w:rPr>
          <w:lang w:val="es-ES"/>
        </w:rPr>
        <w:t> </w:t>
      </w:r>
      <w:hyperlink r:id="rId351" w:history="1">
        <w:r w:rsidR="007B1984" w:rsidRPr="00F05461">
          <w:rPr>
            <w:rStyle w:val="Hyperlink"/>
            <w:rFonts w:eastAsia="Times New Roman" w:cs="Times New Roman"/>
            <w:szCs w:val="20"/>
            <w:lang w:val="es-ES"/>
          </w:rPr>
          <w:t>CMDT</w:t>
        </w:r>
      </w:hyperlink>
      <w:r w:rsidRPr="00F05461">
        <w:rPr>
          <w:lang w:val="es-ES"/>
        </w:rPr>
        <w:t xml:space="preserve"> más reciente de </w:t>
      </w:r>
      <w:r w:rsidR="00296F03" w:rsidRPr="00F05461">
        <w:rPr>
          <w:lang w:val="es-ES"/>
        </w:rPr>
        <w:t>la UIT</w:t>
      </w:r>
      <w:r w:rsidRPr="00F05461">
        <w:rPr>
          <w:lang w:val="es-ES"/>
        </w:rPr>
        <w:t xml:space="preserve">, celebrada en Bakú en noviembre </w:t>
      </w:r>
      <w:r w:rsidR="00B933C5" w:rsidRPr="00F05461">
        <w:rPr>
          <w:lang w:val="es-ES"/>
        </w:rPr>
        <w:t>de 202</w:t>
      </w:r>
      <w:r w:rsidRPr="00F05461">
        <w:rPr>
          <w:lang w:val="es-ES"/>
        </w:rPr>
        <w:t>5, aprobó un nuevo conjunto de Iniciativas Regionales para el per</w:t>
      </w:r>
      <w:r w:rsidR="007B6111" w:rsidRPr="00F05461">
        <w:rPr>
          <w:lang w:val="es-ES"/>
        </w:rPr>
        <w:t>i</w:t>
      </w:r>
      <w:r w:rsidRPr="00F05461">
        <w:rPr>
          <w:lang w:val="es-ES"/>
        </w:rPr>
        <w:t xml:space="preserve">odo 2026-2029. Dichas iniciativas, esbozadas en el Plan de Acción de Bakú, abordan las necesidades específicas de cada región principal a escala mundial a fin de fomentar y facilitar la transformación digital. Consúltese la página web </w:t>
      </w:r>
      <w:r w:rsidR="00A10309" w:rsidRPr="00F05461">
        <w:rPr>
          <w:lang w:val="es-ES"/>
        </w:rPr>
        <w:t>del UIT</w:t>
      </w:r>
      <w:r w:rsidR="00A10309" w:rsidRPr="00F05461">
        <w:rPr>
          <w:lang w:val="es-ES"/>
        </w:rPr>
        <w:noBreakHyphen/>
      </w:r>
      <w:r w:rsidRPr="00F05461">
        <w:rPr>
          <w:lang w:val="es-ES"/>
        </w:rPr>
        <w:t xml:space="preserve">D para obtener más información sobre </w:t>
      </w:r>
      <w:hyperlink r:id="rId352" w:history="1">
        <w:r w:rsidRPr="00F05461">
          <w:rPr>
            <w:rStyle w:val="Hyperlink"/>
            <w:rFonts w:eastAsia="Times New Roman" w:cs="Times New Roman"/>
            <w:szCs w:val="20"/>
            <w:lang w:val="es-ES"/>
          </w:rPr>
          <w:t>Iniciativas Regionales</w:t>
        </w:r>
      </w:hyperlink>
      <w:r w:rsidRPr="00F05461">
        <w:rPr>
          <w:lang w:val="es-ES"/>
        </w:rPr>
        <w:t>.</w:t>
      </w:r>
    </w:p>
    <w:p w14:paraId="3993F7EA" w14:textId="77777777" w:rsidR="007B4979" w:rsidRPr="00F05461" w:rsidRDefault="007B4979" w:rsidP="007B4979">
      <w:pPr>
        <w:pStyle w:val="Heading2"/>
        <w:rPr>
          <w:lang w:val="es-ES"/>
        </w:rPr>
      </w:pPr>
      <w:bookmarkStart w:id="95" w:name="_Toc224288828"/>
      <w:bookmarkStart w:id="96" w:name="_Toc227137488"/>
      <w:r w:rsidRPr="00F05461">
        <w:rPr>
          <w:lang w:val="es-ES"/>
        </w:rPr>
        <w:t>5.3</w:t>
      </w:r>
      <w:r w:rsidRPr="00F05461">
        <w:rPr>
          <w:lang w:val="es-ES"/>
        </w:rPr>
        <w:tab/>
        <w:t>Participación de todos</w:t>
      </w:r>
      <w:bookmarkEnd w:id="95"/>
      <w:bookmarkEnd w:id="96"/>
    </w:p>
    <w:p w14:paraId="7C9A9C8D" w14:textId="73030FBF" w:rsidR="007B4979" w:rsidRPr="00F05461" w:rsidRDefault="007B4979" w:rsidP="00587968">
      <w:pPr>
        <w:pStyle w:val="Headingb"/>
        <w:rPr>
          <w:u w:val="single"/>
        </w:rPr>
      </w:pPr>
      <w:bookmarkStart w:id="97" w:name="_Toc217486234"/>
      <w:r w:rsidRPr="00F05461">
        <w:rPr>
          <w:u w:val="single"/>
        </w:rPr>
        <w:t>Utilización de las</w:t>
      </w:r>
      <w:r w:rsidR="00EB694D" w:rsidRPr="00F05461">
        <w:rPr>
          <w:u w:val="single"/>
        </w:rPr>
        <w:t> </w:t>
      </w:r>
      <w:r w:rsidRPr="00F05461">
        <w:rPr>
          <w:u w:val="single"/>
        </w:rPr>
        <w:t>TIC y acceso a las mismas en pie de igualdad por todos</w:t>
      </w:r>
    </w:p>
    <w:p w14:paraId="5274D78A" w14:textId="384396C6" w:rsidR="007B4979" w:rsidRPr="00F05461" w:rsidRDefault="007B4979" w:rsidP="007B4979">
      <w:pPr>
        <w:rPr>
          <w:lang w:val="es-ES"/>
        </w:rPr>
      </w:pPr>
      <w:r w:rsidRPr="00F05461">
        <w:rPr>
          <w:lang w:val="es-ES"/>
        </w:rPr>
        <w:t>La diversidad y la inclusión han desempeñado un papel primordial en la promoción de la inclusión digital a escala mundial con miras a forjar una sociedad digital inclusiva para todos, en particular las personas en situación de vulnerabilidad, entre ellas los jóvenes, las mujeres y las niñas, las personas de comunidades rurales, aisladas o indígenas, las personas con discapacidad y las personas de edad.</w:t>
      </w:r>
    </w:p>
    <w:p w14:paraId="677DAEF5" w14:textId="086F671E" w:rsidR="007B4979" w:rsidRPr="00F05461" w:rsidRDefault="007B4979" w:rsidP="007B4979">
      <w:pPr>
        <w:rPr>
          <w:lang w:val="es-ES"/>
        </w:rPr>
      </w:pPr>
      <w:bookmarkStart w:id="98" w:name="_Hlk219987138"/>
      <w:r w:rsidRPr="00F05461">
        <w:rPr>
          <w:lang w:val="es-ES"/>
        </w:rPr>
        <w:t xml:space="preserve">La labor de </w:t>
      </w:r>
      <w:r w:rsidR="00296F03" w:rsidRPr="00F05461">
        <w:rPr>
          <w:lang w:val="es-ES"/>
        </w:rPr>
        <w:t>la UIT</w:t>
      </w:r>
      <w:r w:rsidRPr="00F05461">
        <w:rPr>
          <w:lang w:val="es-ES"/>
        </w:rPr>
        <w:t xml:space="preserve"> en materia de inclusión digital se rige por un enfoque holístico e interseccional</w:t>
      </w:r>
      <w:bookmarkEnd w:id="98"/>
      <w:r w:rsidRPr="00F05461">
        <w:rPr>
          <w:lang w:val="es-ES"/>
        </w:rPr>
        <w:t xml:space="preserve"> que aborda las necesidades de las personas independientemente de su edad, capacidad, género, nivel educativo, situación socioeconómica y ubicación geográfica.</w:t>
      </w:r>
    </w:p>
    <w:p w14:paraId="5BADE76F" w14:textId="77777777" w:rsidR="007B4979" w:rsidRPr="00F05461" w:rsidRDefault="007B4979" w:rsidP="00587968">
      <w:pPr>
        <w:pStyle w:val="Headingb"/>
        <w:rPr>
          <w:u w:val="single"/>
        </w:rPr>
      </w:pPr>
      <w:r w:rsidRPr="00F05461">
        <w:rPr>
          <w:u w:val="single"/>
        </w:rPr>
        <w:t>Trabajo interseccional</w:t>
      </w:r>
    </w:p>
    <w:p w14:paraId="40F58930" w14:textId="11B9E51E" w:rsidR="00F10B38" w:rsidRPr="00F05461" w:rsidRDefault="00F10B38" w:rsidP="00F10B38">
      <w:pPr>
        <w:pStyle w:val="Figure"/>
        <w:rPr>
          <w:lang w:val="es-ES"/>
        </w:rPr>
      </w:pPr>
      <w:r w:rsidRPr="00F05461">
        <w:rPr>
          <w:noProof/>
          <w:lang w:val="es-ES"/>
        </w:rPr>
        <w:drawing>
          <wp:inline distT="0" distB="0" distL="0" distR="0" wp14:anchorId="18F14B9B" wp14:editId="239765A0">
            <wp:extent cx="3423600" cy="27504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423600" cy="2750400"/>
                    </a:xfrm>
                    <a:prstGeom prst="rect">
                      <a:avLst/>
                    </a:prstGeom>
                    <a:noFill/>
                  </pic:spPr>
                </pic:pic>
              </a:graphicData>
            </a:graphic>
          </wp:inline>
        </w:drawing>
      </w:r>
    </w:p>
    <w:p w14:paraId="11E112E9" w14:textId="6FA10766" w:rsidR="007B4979" w:rsidRPr="00F05461" w:rsidRDefault="007B4979" w:rsidP="00587968">
      <w:pPr>
        <w:pStyle w:val="Figurelegend"/>
        <w:jc w:val="center"/>
        <w:rPr>
          <w:i/>
          <w:iCs/>
          <w:color w:val="1F497D"/>
          <w:lang w:val="es-ES"/>
        </w:rPr>
      </w:pPr>
      <w:r w:rsidRPr="00F05461">
        <w:rPr>
          <w:i/>
          <w:iCs/>
          <w:color w:val="1F497D"/>
          <w:lang w:val="es-ES"/>
        </w:rPr>
        <w:t>Figura 21. Sociedad digital inclusiva</w:t>
      </w:r>
    </w:p>
    <w:p w14:paraId="029F2607" w14:textId="266C2011" w:rsidR="007B4979" w:rsidRPr="00F05461" w:rsidRDefault="007B4979" w:rsidP="007B4979">
      <w:pPr>
        <w:rPr>
          <w:b/>
          <w:bCs/>
          <w:lang w:val="es-ES"/>
        </w:rPr>
      </w:pPr>
      <w:r w:rsidRPr="00F05461">
        <w:rPr>
          <w:b/>
          <w:bCs/>
          <w:lang w:val="es-ES"/>
        </w:rPr>
        <w:t xml:space="preserve">Entre los principales logros del enfoque holístico e interseccional </w:t>
      </w:r>
      <w:r w:rsidR="00A10309" w:rsidRPr="00F05461">
        <w:rPr>
          <w:b/>
          <w:bCs/>
          <w:lang w:val="es-ES"/>
        </w:rPr>
        <w:t>del UIT</w:t>
      </w:r>
      <w:r w:rsidR="00A10309" w:rsidRPr="00F05461">
        <w:rPr>
          <w:b/>
          <w:bCs/>
          <w:lang w:val="es-ES"/>
        </w:rPr>
        <w:noBreakHyphen/>
      </w:r>
      <w:r w:rsidRPr="00F05461">
        <w:rPr>
          <w:b/>
          <w:bCs/>
          <w:lang w:val="es-ES"/>
        </w:rPr>
        <w:t>D figuran:</w:t>
      </w:r>
    </w:p>
    <w:p w14:paraId="2E82828E" w14:textId="3520FF5C" w:rsidR="007B4979" w:rsidRPr="00F05461" w:rsidRDefault="00587968" w:rsidP="00A10309">
      <w:pPr>
        <w:pStyle w:val="enumlev1"/>
        <w:rPr>
          <w:lang w:val="es-ES"/>
        </w:rPr>
      </w:pPr>
      <w:r w:rsidRPr="00F05461">
        <w:rPr>
          <w:lang w:val="es-ES"/>
        </w:rPr>
        <w:t>•</w:t>
      </w:r>
      <w:r w:rsidRPr="00F05461">
        <w:rPr>
          <w:lang w:val="es-ES"/>
        </w:rPr>
        <w:tab/>
      </w:r>
      <w:r w:rsidR="007B4979" w:rsidRPr="00F05461">
        <w:rPr>
          <w:lang w:val="es-ES"/>
        </w:rPr>
        <w:t>Fortalecimiento de la capacidad en materia de inclusión digital de más de 14</w:t>
      </w:r>
      <w:r w:rsidR="00A10309" w:rsidRPr="00F05461">
        <w:rPr>
          <w:lang w:val="es-ES"/>
        </w:rPr>
        <w:t> </w:t>
      </w:r>
      <w:r w:rsidR="007B4979" w:rsidRPr="00F05461">
        <w:rPr>
          <w:lang w:val="es-ES"/>
        </w:rPr>
        <w:t>000</w:t>
      </w:r>
      <w:r w:rsidR="00A10309" w:rsidRPr="00F05461">
        <w:rPr>
          <w:lang w:val="es-ES"/>
        </w:rPr>
        <w:t> </w:t>
      </w:r>
      <w:r w:rsidR="007B4979" w:rsidRPr="00F05461">
        <w:rPr>
          <w:lang w:val="es-ES"/>
        </w:rPr>
        <w:t xml:space="preserve">miembros de </w:t>
      </w:r>
      <w:r w:rsidR="00296F03" w:rsidRPr="00F05461">
        <w:rPr>
          <w:lang w:val="es-ES"/>
        </w:rPr>
        <w:t>la UIT</w:t>
      </w:r>
      <w:r w:rsidR="007B4979" w:rsidRPr="00F05461">
        <w:rPr>
          <w:lang w:val="es-ES"/>
        </w:rPr>
        <w:t>, partes interesadas y encargados de la formulación de políticas de más de 120</w:t>
      </w:r>
      <w:r w:rsidR="00A10309" w:rsidRPr="00F05461">
        <w:rPr>
          <w:lang w:val="es-ES"/>
        </w:rPr>
        <w:t> </w:t>
      </w:r>
      <w:r w:rsidR="007B4979" w:rsidRPr="00F05461">
        <w:rPr>
          <w:lang w:val="es-ES"/>
        </w:rPr>
        <w:t>países para fomentar el diseño y la aplicación de políticas y estrategias nacionales de inclusión digital.</w:t>
      </w:r>
    </w:p>
    <w:p w14:paraId="5FD75B47" w14:textId="6F787E1C" w:rsidR="007B4979" w:rsidRPr="00F05461" w:rsidRDefault="00587968" w:rsidP="00587968">
      <w:pPr>
        <w:pStyle w:val="enumlev1"/>
        <w:rPr>
          <w:lang w:val="es-ES"/>
        </w:rPr>
      </w:pPr>
      <w:r w:rsidRPr="00F05461">
        <w:rPr>
          <w:lang w:val="es-ES"/>
        </w:rPr>
        <w:t>•</w:t>
      </w:r>
      <w:r w:rsidRPr="00F05461">
        <w:rPr>
          <w:lang w:val="es-ES"/>
        </w:rPr>
        <w:tab/>
      </w:r>
      <w:r w:rsidR="007B4979" w:rsidRPr="00F05461">
        <w:rPr>
          <w:lang w:val="es-ES"/>
        </w:rPr>
        <w:t>Formación sobre inclusión digital adaptada y localizada destinada a más de 13</w:t>
      </w:r>
      <w:r w:rsidRPr="00F05461">
        <w:rPr>
          <w:lang w:val="es-ES"/>
        </w:rPr>
        <w:t> </w:t>
      </w:r>
      <w:r w:rsidR="007B4979" w:rsidRPr="00F05461">
        <w:rPr>
          <w:lang w:val="es-ES"/>
        </w:rPr>
        <w:t>000</w:t>
      </w:r>
      <w:r w:rsidRPr="00F05461">
        <w:rPr>
          <w:lang w:val="es-ES"/>
        </w:rPr>
        <w:t> </w:t>
      </w:r>
      <w:r w:rsidR="007B4979" w:rsidRPr="00F05461">
        <w:rPr>
          <w:lang w:val="es-ES"/>
        </w:rPr>
        <w:t>usuarios finales en más de 40</w:t>
      </w:r>
      <w:r w:rsidRPr="00F05461">
        <w:rPr>
          <w:lang w:val="es-ES"/>
        </w:rPr>
        <w:t> </w:t>
      </w:r>
      <w:r w:rsidR="007B4979" w:rsidRPr="00F05461">
        <w:rPr>
          <w:lang w:val="es-ES"/>
        </w:rPr>
        <w:t>países, incluidos usuarios con discapacidad visual en Pakistán, jóvenes en África y comunidades indígenas en América Latina.</w:t>
      </w:r>
    </w:p>
    <w:p w14:paraId="63D58D87" w14:textId="4167068B" w:rsidR="007B4979" w:rsidRPr="00F05461" w:rsidRDefault="00587968" w:rsidP="00587968">
      <w:pPr>
        <w:pStyle w:val="enumlev1"/>
        <w:rPr>
          <w:lang w:val="es-ES"/>
        </w:rPr>
      </w:pPr>
      <w:r w:rsidRPr="00F05461">
        <w:rPr>
          <w:lang w:val="es-ES"/>
        </w:rPr>
        <w:t>•</w:t>
      </w:r>
      <w:r w:rsidRPr="00F05461">
        <w:rPr>
          <w:lang w:val="es-ES"/>
        </w:rPr>
        <w:tab/>
      </w:r>
      <w:r w:rsidR="007B4979" w:rsidRPr="00F05461">
        <w:rPr>
          <w:lang w:val="es-ES"/>
        </w:rPr>
        <w:t>Apoyo específico a 12</w:t>
      </w:r>
      <w:r w:rsidRPr="00F05461">
        <w:rPr>
          <w:lang w:val="es-ES"/>
        </w:rPr>
        <w:t> </w:t>
      </w:r>
      <w:r w:rsidR="007B4979" w:rsidRPr="00F05461">
        <w:rPr>
          <w:lang w:val="es-ES"/>
        </w:rPr>
        <w:t>PMA, PDSL y PEID.</w:t>
      </w:r>
    </w:p>
    <w:p w14:paraId="12A372F9" w14:textId="7137AFE5" w:rsidR="007B4979" w:rsidRPr="00F05461" w:rsidRDefault="00587968" w:rsidP="00587968">
      <w:pPr>
        <w:pStyle w:val="enumlev1"/>
        <w:rPr>
          <w:lang w:val="es-ES"/>
        </w:rPr>
      </w:pPr>
      <w:r w:rsidRPr="00DF7000">
        <w:rPr>
          <w:lang w:val="es-ES"/>
        </w:rPr>
        <w:lastRenderedPageBreak/>
        <w:t>•</w:t>
      </w:r>
      <w:r w:rsidRPr="00F05461">
        <w:rPr>
          <w:lang w:val="es-ES"/>
        </w:rPr>
        <w:tab/>
      </w:r>
      <w:r w:rsidR="007B4979" w:rsidRPr="00F05461">
        <w:rPr>
          <w:lang w:val="es-ES"/>
        </w:rPr>
        <w:t>En particular, la labor de la</w:t>
      </w:r>
      <w:r w:rsidR="00A929E0" w:rsidRPr="00F05461">
        <w:rPr>
          <w:lang w:val="es-ES"/>
        </w:rPr>
        <w:t> </w:t>
      </w:r>
      <w:r w:rsidR="007B4979" w:rsidRPr="00F05461">
        <w:rPr>
          <w:lang w:val="es-ES"/>
        </w:rPr>
        <w:t>BDT en materia de inclusión digital ha tenido una repercusión eficaz en las siguientes esferas:</w:t>
      </w:r>
    </w:p>
    <w:p w14:paraId="237E88C2" w14:textId="2872E6AD" w:rsidR="007B4979" w:rsidRPr="00F05461" w:rsidRDefault="007B4979" w:rsidP="00AC3213">
      <w:pPr>
        <w:pStyle w:val="Headingb"/>
      </w:pPr>
      <w:r w:rsidRPr="00F05461">
        <w:t xml:space="preserve">Asesoramiento especializado y capacitación para formular políticas y estrategias </w:t>
      </w:r>
      <w:r w:rsidR="00105B73" w:rsidRPr="00F05461">
        <w:t>sobre</w:t>
      </w:r>
      <w:r w:rsidRPr="00F05461">
        <w:t xml:space="preserve"> inclusión digital</w:t>
      </w:r>
    </w:p>
    <w:p w14:paraId="48514D32" w14:textId="13FBEA12" w:rsidR="007B4979" w:rsidRPr="00F05461" w:rsidRDefault="007B4979" w:rsidP="007B4979">
      <w:pPr>
        <w:rPr>
          <w:lang w:val="es-ES"/>
        </w:rPr>
      </w:pPr>
      <w:r w:rsidRPr="00F05461">
        <w:rPr>
          <w:lang w:val="es-ES"/>
        </w:rPr>
        <w:t>La</w:t>
      </w:r>
      <w:r w:rsidR="00A929E0" w:rsidRPr="00F05461">
        <w:rPr>
          <w:lang w:val="es-ES"/>
        </w:rPr>
        <w:t> </w:t>
      </w:r>
      <w:r w:rsidRPr="00F05461">
        <w:rPr>
          <w:lang w:val="es-ES"/>
        </w:rPr>
        <w:t>BDT fortaleció la capacidad en materia de políticas de inclusión digital mediante apoyo experto e intervenciones a medida, y capacitó a más de 10</w:t>
      </w:r>
      <w:r w:rsidR="00EB694D" w:rsidRPr="00F05461">
        <w:rPr>
          <w:lang w:val="es-ES"/>
        </w:rPr>
        <w:t> </w:t>
      </w:r>
      <w:r w:rsidRPr="00F05461">
        <w:rPr>
          <w:lang w:val="es-ES"/>
        </w:rPr>
        <w:t>500</w:t>
      </w:r>
      <w:r w:rsidR="00EB694D" w:rsidRPr="00F05461">
        <w:rPr>
          <w:lang w:val="es-ES"/>
        </w:rPr>
        <w:t> </w:t>
      </w:r>
      <w:r w:rsidRPr="00F05461">
        <w:rPr>
          <w:lang w:val="es-ES"/>
        </w:rPr>
        <w:t>encargados de la formulación de políticas, instancias decisorias y partes interesadas de más de 120</w:t>
      </w:r>
      <w:r w:rsidR="00EB694D" w:rsidRPr="00F05461">
        <w:rPr>
          <w:lang w:val="es-ES"/>
        </w:rPr>
        <w:t> </w:t>
      </w:r>
      <w:r w:rsidRPr="00F05461">
        <w:rPr>
          <w:lang w:val="es-ES"/>
        </w:rPr>
        <w:t>países de África, Asia</w:t>
      </w:r>
      <w:r w:rsidR="00A929E0" w:rsidRPr="00F05461">
        <w:rPr>
          <w:lang w:val="es-ES"/>
        </w:rPr>
        <w:noBreakHyphen/>
      </w:r>
      <w:r w:rsidRPr="00F05461">
        <w:rPr>
          <w:lang w:val="es-ES"/>
        </w:rPr>
        <w:t>Pacífico, la</w:t>
      </w:r>
      <w:r w:rsidR="00A929E0" w:rsidRPr="00F05461">
        <w:rPr>
          <w:lang w:val="es-ES"/>
        </w:rPr>
        <w:t> </w:t>
      </w:r>
      <w:r w:rsidRPr="00F05461">
        <w:rPr>
          <w:lang w:val="es-ES"/>
        </w:rPr>
        <w:t xml:space="preserve">CEI, los Estados </w:t>
      </w:r>
      <w:r w:rsidR="001C403D" w:rsidRPr="00F05461">
        <w:rPr>
          <w:lang w:val="es-ES"/>
        </w:rPr>
        <w:t>Árabes</w:t>
      </w:r>
      <w:r w:rsidRPr="00F05461">
        <w:rPr>
          <w:lang w:val="es-ES"/>
        </w:rPr>
        <w:t xml:space="preserve">, </w:t>
      </w:r>
      <w:r w:rsidR="001C403D" w:rsidRPr="00F05461">
        <w:rPr>
          <w:lang w:val="es-ES"/>
        </w:rPr>
        <w:t xml:space="preserve">las </w:t>
      </w:r>
      <w:r w:rsidRPr="00F05461">
        <w:rPr>
          <w:lang w:val="es-ES"/>
        </w:rPr>
        <w:t>América</w:t>
      </w:r>
      <w:r w:rsidR="001C403D" w:rsidRPr="00F05461">
        <w:rPr>
          <w:lang w:val="es-ES"/>
        </w:rPr>
        <w:t>s</w:t>
      </w:r>
      <w:r w:rsidRPr="00F05461">
        <w:rPr>
          <w:lang w:val="es-ES"/>
        </w:rPr>
        <w:t xml:space="preserve"> y Europa. Esa capacitación permitió diseñar, desarrollar y aplicar estrategias, políticas y prácticas que promueven la inclusión digital y la equidad, al tiempo que garantizan que todas las personas, incluidas mujeres y niñas, personas de edad, personas con discapacidad y personas de comunidades aisladas o indígenas, puedan utilizar de manera equitativa los productos y servicios de las</w:t>
      </w:r>
      <w:r w:rsidR="00EB694D" w:rsidRPr="00F05461">
        <w:rPr>
          <w:lang w:val="es-ES"/>
        </w:rPr>
        <w:t> </w:t>
      </w:r>
      <w:r w:rsidRPr="00F05461">
        <w:rPr>
          <w:lang w:val="es-ES"/>
        </w:rPr>
        <w:t>TIC para comunicarse, participar y prosperar en el espacio digital.</w:t>
      </w:r>
    </w:p>
    <w:p w14:paraId="720B6561" w14:textId="30CAACA3" w:rsidR="007B4979" w:rsidRPr="00F05461" w:rsidRDefault="007B4979" w:rsidP="007B4979">
      <w:pPr>
        <w:rPr>
          <w:lang w:val="es-ES"/>
        </w:rPr>
      </w:pPr>
      <w:r w:rsidRPr="00F05461">
        <w:rPr>
          <w:lang w:val="es-ES"/>
        </w:rPr>
        <w:t>Esa amplia transferencia de conocimientos se logró mediante cursos de formación presenciales a medida a nivel ejecutivo, talleres y participación en plataformas a escalas regional y mundial, y otras plataformas de las Naciones Unidas que abordan las políticas digitales inclusivas, la incorporación de aspectos de género, la accesibilidad en el plano digital y a las</w:t>
      </w:r>
      <w:r w:rsidR="00EB694D" w:rsidRPr="00F05461">
        <w:rPr>
          <w:lang w:val="es-ES"/>
        </w:rPr>
        <w:t> </w:t>
      </w:r>
      <w:r w:rsidRPr="00F05461">
        <w:rPr>
          <w:lang w:val="es-ES"/>
        </w:rPr>
        <w:t>TIC, el envejecimiento y la participación de los jóvenes.</w:t>
      </w:r>
    </w:p>
    <w:p w14:paraId="3A3D41DC" w14:textId="0E7F7E31" w:rsidR="007B4979" w:rsidRPr="00F05461" w:rsidRDefault="007B4979" w:rsidP="007B4979">
      <w:pPr>
        <w:rPr>
          <w:lang w:val="es-ES"/>
        </w:rPr>
      </w:pPr>
      <w:r w:rsidRPr="00F05461">
        <w:rPr>
          <w:lang w:val="es-ES"/>
        </w:rPr>
        <w:t>Además de esta iniciativa, más de 3</w:t>
      </w:r>
      <w:r w:rsidR="00EB694D" w:rsidRPr="00F05461">
        <w:rPr>
          <w:lang w:val="es-ES"/>
        </w:rPr>
        <w:t> </w:t>
      </w:r>
      <w:r w:rsidRPr="00F05461">
        <w:rPr>
          <w:lang w:val="es-ES"/>
        </w:rPr>
        <w:t>500</w:t>
      </w:r>
      <w:r w:rsidR="00EB694D" w:rsidRPr="00F05461">
        <w:rPr>
          <w:lang w:val="es-ES"/>
        </w:rPr>
        <w:t> </w:t>
      </w:r>
      <w:r w:rsidRPr="00F05461">
        <w:rPr>
          <w:lang w:val="es-ES"/>
        </w:rPr>
        <w:t xml:space="preserve">miembros y partes interesadas de </w:t>
      </w:r>
      <w:r w:rsidR="00296F03" w:rsidRPr="00F05461">
        <w:rPr>
          <w:lang w:val="es-ES"/>
        </w:rPr>
        <w:t>la UIT</w:t>
      </w:r>
      <w:r w:rsidRPr="00F05461">
        <w:rPr>
          <w:lang w:val="es-ES"/>
        </w:rPr>
        <w:t xml:space="preserve"> fortalecieron su capacidad en aspectos de inclusión digital mediante la participación en cursos de autoaprendizaje a través de diversas plataformas, incluida la Academia de </w:t>
      </w:r>
      <w:r w:rsidR="00296F03" w:rsidRPr="00F05461">
        <w:rPr>
          <w:lang w:val="es-ES"/>
        </w:rPr>
        <w:t>la UIT</w:t>
      </w:r>
      <w:r w:rsidRPr="00F05461">
        <w:rPr>
          <w:lang w:val="es-ES"/>
        </w:rPr>
        <w:t>. Esa formación se imparte a título gratuito en formatos digitalmente accesibles (pueden utilizarlas también personas con discapacidad visual o auditiva) y en varios idiomas (en particular, inglés, francés, español, árabe, ruso y portugués), con contenido adaptado a cada contexto, a fin de garantizar la inclusividad y lograr un mayor alcance.</w:t>
      </w:r>
    </w:p>
    <w:p w14:paraId="5B146611" w14:textId="77777777" w:rsidR="007B4979" w:rsidRPr="00F05461" w:rsidRDefault="007B4979" w:rsidP="00AC3213">
      <w:pPr>
        <w:pStyle w:val="Headingb"/>
      </w:pPr>
      <w:r w:rsidRPr="00F05461">
        <w:t>Estrategia nacional de inclusión digital: modelo en evolución</w:t>
      </w:r>
    </w:p>
    <w:p w14:paraId="389C8F84" w14:textId="55B9E90E" w:rsidR="007B4979" w:rsidRPr="00F05461" w:rsidRDefault="007B4979" w:rsidP="007B4979">
      <w:pPr>
        <w:rPr>
          <w:lang w:val="es-ES"/>
        </w:rPr>
      </w:pPr>
      <w:r w:rsidRPr="00F05461">
        <w:rPr>
          <w:lang w:val="es-ES"/>
        </w:rPr>
        <w:t>También se promovieron y fomentaron experiencias al respecto para facilitar la elaboración de planes estratégicos nacionales sobre inclusión digital, formulados desde una perspectiva holística e interseccional con objeto de abordar las necesidades y los requisitos de todos los ciudadanos para utilizar la tecnología, comunicarse y participar en la sociedad digital. La</w:t>
      </w:r>
      <w:r w:rsidR="00A929E0" w:rsidRPr="00F05461">
        <w:rPr>
          <w:lang w:val="es-ES"/>
        </w:rPr>
        <w:t> </w:t>
      </w:r>
      <w:r w:rsidRPr="00F05461">
        <w:rPr>
          <w:lang w:val="es-ES"/>
        </w:rPr>
        <w:t xml:space="preserve">BDT puso en marcha un plan piloto en Burundi, con la intención de reproducir y seguir desarrollando este enfoque en otros países y regiones. Además, se elaboraron informes sobre políticas de género destinados a </w:t>
      </w:r>
      <w:hyperlink r:id="rId354" w:history="1">
        <w:r w:rsidRPr="00F05461">
          <w:rPr>
            <w:rStyle w:val="Hyperlink"/>
            <w:rFonts w:eastAsia="Times New Roman" w:cs="Times New Roman"/>
            <w:szCs w:val="20"/>
            <w:lang w:val="es-ES"/>
          </w:rPr>
          <w:t>Burundi</w:t>
        </w:r>
      </w:hyperlink>
      <w:r w:rsidRPr="00F05461">
        <w:rPr>
          <w:lang w:val="es-ES"/>
        </w:rPr>
        <w:t xml:space="preserve">, </w:t>
      </w:r>
      <w:hyperlink r:id="rId355" w:history="1">
        <w:r w:rsidRPr="00F05461">
          <w:rPr>
            <w:rStyle w:val="Hyperlink"/>
            <w:rFonts w:eastAsia="Times New Roman" w:cs="Times New Roman"/>
            <w:szCs w:val="20"/>
            <w:lang w:val="es-ES"/>
          </w:rPr>
          <w:t>Etiopía</w:t>
        </w:r>
      </w:hyperlink>
      <w:r w:rsidRPr="00F05461">
        <w:rPr>
          <w:lang w:val="es-ES"/>
        </w:rPr>
        <w:t>, Haití, la República Dominicana y Libia.</w:t>
      </w:r>
    </w:p>
    <w:p w14:paraId="693A7FA9" w14:textId="77777777" w:rsidR="007B4979" w:rsidRPr="00F05461" w:rsidRDefault="007B4979" w:rsidP="009E4631">
      <w:pPr>
        <w:pStyle w:val="Heading3"/>
      </w:pPr>
      <w:bookmarkStart w:id="99" w:name="_Toc224288829"/>
      <w:bookmarkStart w:id="100" w:name="_Toc227137489"/>
      <w:bookmarkEnd w:id="97"/>
      <w:r w:rsidRPr="00F05461">
        <w:t>5.3.1</w:t>
      </w:r>
      <w:r w:rsidRPr="00F05461">
        <w:tab/>
        <w:t>Igualdad de género</w:t>
      </w:r>
      <w:bookmarkEnd w:id="99"/>
      <w:bookmarkEnd w:id="100"/>
    </w:p>
    <w:p w14:paraId="044065E4" w14:textId="00541BDC" w:rsidR="007B4979" w:rsidRPr="00F05461" w:rsidRDefault="007B4979" w:rsidP="007B4979">
      <w:pPr>
        <w:rPr>
          <w:lang w:val="es-ES"/>
        </w:rPr>
      </w:pPr>
      <w:r w:rsidRPr="00F05461">
        <w:rPr>
          <w:lang w:val="es-ES"/>
        </w:rPr>
        <w:t xml:space="preserve">De los datos se desprende que </w:t>
      </w:r>
      <w:r w:rsidRPr="00F05461">
        <w:rPr>
          <w:b/>
          <w:bCs/>
          <w:lang w:val="es-ES"/>
        </w:rPr>
        <w:t>persiste disparidad de género en materia de acceso digital</w:t>
      </w:r>
      <w:r w:rsidRPr="00F05461">
        <w:rPr>
          <w:lang w:val="es-ES"/>
        </w:rPr>
        <w:t xml:space="preserve">: el 77 por ciento de los hombres y el 71 por ciento de las mujeres utilizan Internet en todo el mundo. Sin cambios desde 2019, la calificación a escala mundial de paridad de género se mantiene en 0,92, lo que denota que </w:t>
      </w:r>
      <w:r w:rsidRPr="00F05461">
        <w:rPr>
          <w:b/>
          <w:bCs/>
          <w:lang w:val="es-ES"/>
        </w:rPr>
        <w:t xml:space="preserve">no se han logrado avances generales </w:t>
      </w:r>
      <w:r w:rsidRPr="00F05461">
        <w:rPr>
          <w:lang w:val="es-ES"/>
        </w:rPr>
        <w:t xml:space="preserve">en los últimos años. </w:t>
      </w:r>
      <w:r w:rsidR="001C403D" w:rsidRPr="00F05461">
        <w:rPr>
          <w:lang w:val="es-ES"/>
        </w:rPr>
        <w:t xml:space="preserve">Las </w:t>
      </w:r>
      <w:r w:rsidRPr="00F05461">
        <w:rPr>
          <w:lang w:val="es-ES"/>
        </w:rPr>
        <w:t>América</w:t>
      </w:r>
      <w:r w:rsidR="001C403D" w:rsidRPr="00F05461">
        <w:rPr>
          <w:lang w:val="es-ES"/>
        </w:rPr>
        <w:t>s</w:t>
      </w:r>
      <w:r w:rsidRPr="00F05461">
        <w:rPr>
          <w:lang w:val="es-ES"/>
        </w:rPr>
        <w:t>, Europa, la</w:t>
      </w:r>
      <w:r w:rsidR="001C403D" w:rsidRPr="00F05461">
        <w:rPr>
          <w:lang w:val="es-ES"/>
        </w:rPr>
        <w:t> </w:t>
      </w:r>
      <w:r w:rsidRPr="00F05461">
        <w:rPr>
          <w:lang w:val="es-ES"/>
        </w:rPr>
        <w:t>CEI y los</w:t>
      </w:r>
      <w:r w:rsidR="001C403D" w:rsidRPr="00F05461">
        <w:rPr>
          <w:lang w:val="es-ES"/>
        </w:rPr>
        <w:t> PEID</w:t>
      </w:r>
      <w:r w:rsidRPr="00F05461">
        <w:rPr>
          <w:lang w:val="es-ES"/>
        </w:rPr>
        <w:t xml:space="preserve"> han logrado cierto grado de paridad, si bien persisten brechas sustanciales en Asia</w:t>
      </w:r>
      <w:r w:rsidR="00A10309" w:rsidRPr="00F05461">
        <w:rPr>
          <w:lang w:val="es-ES"/>
        </w:rPr>
        <w:noBreakHyphen/>
      </w:r>
      <w:r w:rsidRPr="00F05461">
        <w:rPr>
          <w:lang w:val="es-ES"/>
        </w:rPr>
        <w:t xml:space="preserve">Pacífico (0,91) y los Estados </w:t>
      </w:r>
      <w:r w:rsidR="001C403D" w:rsidRPr="00F05461">
        <w:rPr>
          <w:lang w:val="es-ES"/>
        </w:rPr>
        <w:t xml:space="preserve">Árabes </w:t>
      </w:r>
      <w:r w:rsidRPr="00F05461">
        <w:rPr>
          <w:lang w:val="es-ES"/>
        </w:rPr>
        <w:t>(0,86), y son más amplias en África, a pesar del avance de 0,70 a 0,78 desde</w:t>
      </w:r>
      <w:r w:rsidR="00A10309" w:rsidRPr="00F05461">
        <w:rPr>
          <w:lang w:val="es-ES"/>
        </w:rPr>
        <w:t> </w:t>
      </w:r>
      <w:r w:rsidRPr="00F05461">
        <w:rPr>
          <w:lang w:val="es-ES"/>
        </w:rPr>
        <w:t>2019. Cabe destacar que en los</w:t>
      </w:r>
      <w:r w:rsidR="001C403D" w:rsidRPr="00F05461">
        <w:rPr>
          <w:lang w:val="es-ES"/>
        </w:rPr>
        <w:t> PMA</w:t>
      </w:r>
      <w:r w:rsidRPr="00F05461">
        <w:rPr>
          <w:lang w:val="es-ES"/>
        </w:rPr>
        <w:t xml:space="preserve"> y en los</w:t>
      </w:r>
      <w:r w:rsidR="001C403D" w:rsidRPr="00F05461">
        <w:rPr>
          <w:lang w:val="es-ES"/>
        </w:rPr>
        <w:t> PDSL</w:t>
      </w:r>
      <w:r w:rsidRPr="00F05461">
        <w:rPr>
          <w:lang w:val="es-ES"/>
        </w:rPr>
        <w:t xml:space="preserve"> se siguen registrando brechas sustanciales. Pese al aumento de la </w:t>
      </w:r>
      <w:r w:rsidRPr="00F05461">
        <w:rPr>
          <w:lang w:val="es-ES"/>
        </w:rPr>
        <w:lastRenderedPageBreak/>
        <w:t xml:space="preserve">conectividad a escala mundial, las mujeres siguen estando excluidas de manera desproporcionada de la plena participación en el mundo digital, en particular en los países de ingresos más bajos (véase más información en la </w:t>
      </w:r>
      <w:hyperlink w:anchor="_3.2.2_Transformación_digital" w:history="1">
        <w:r w:rsidRPr="00F05461">
          <w:rPr>
            <w:rStyle w:val="Hyperlink"/>
            <w:rFonts w:eastAsia="Times New Roman" w:cs="Times New Roman"/>
            <w:szCs w:val="20"/>
            <w:lang w:val="es-ES"/>
          </w:rPr>
          <w:t>sección</w:t>
        </w:r>
        <w:r w:rsidR="00A10309" w:rsidRPr="00F05461">
          <w:rPr>
            <w:rStyle w:val="Hyperlink"/>
            <w:rFonts w:eastAsia="Times New Roman" w:cs="Times New Roman"/>
            <w:szCs w:val="20"/>
            <w:lang w:val="es-ES"/>
          </w:rPr>
          <w:t> </w:t>
        </w:r>
        <w:r w:rsidRPr="00F05461">
          <w:rPr>
            <w:rStyle w:val="Hyperlink"/>
            <w:rFonts w:eastAsia="Times New Roman" w:cs="Times New Roman"/>
            <w:szCs w:val="20"/>
            <w:lang w:val="es-ES"/>
          </w:rPr>
          <w:t>3.2.2</w:t>
        </w:r>
      </w:hyperlink>
      <w:r w:rsidRPr="00F05461">
        <w:rPr>
          <w:lang w:val="es-ES"/>
        </w:rPr>
        <w:t xml:space="preserve"> </w:t>
      </w:r>
      <w:r w:rsidR="001C403D" w:rsidRPr="00F05461">
        <w:rPr>
          <w:i/>
          <w:iCs/>
          <w:lang w:val="es-ES"/>
        </w:rPr>
        <w:t>supra</w:t>
      </w:r>
      <w:r w:rsidRPr="00F05461">
        <w:rPr>
          <w:lang w:val="es-ES"/>
        </w:rPr>
        <w:t>)</w:t>
      </w:r>
      <w:r w:rsidR="00A10309" w:rsidRPr="00F05461">
        <w:rPr>
          <w:lang w:val="es-ES"/>
        </w:rPr>
        <w:t>.</w:t>
      </w:r>
    </w:p>
    <w:p w14:paraId="35919A18" w14:textId="595C04EA" w:rsidR="007B4979" w:rsidRPr="00F05461" w:rsidRDefault="00296F03" w:rsidP="007B4979">
      <w:pPr>
        <w:rPr>
          <w:lang w:val="es-ES"/>
        </w:rPr>
      </w:pPr>
      <w:r w:rsidRPr="00F05461">
        <w:rPr>
          <w:lang w:val="es-ES"/>
        </w:rPr>
        <w:t>La UIT</w:t>
      </w:r>
      <w:r w:rsidR="007B4979" w:rsidRPr="00F05461">
        <w:rPr>
          <w:lang w:val="es-ES"/>
        </w:rPr>
        <w:t xml:space="preserve"> aplica un enfoque dual para abordar la disparidad: (1) intervenciones específicas para abordar directamente las brechas de género, y (2) incorporación de la perspectiva de género en todas las políticas, los programas y los procesos de toma de decisiones. El compromiso de </w:t>
      </w:r>
      <w:r w:rsidRPr="00F05461">
        <w:rPr>
          <w:lang w:val="es-ES"/>
        </w:rPr>
        <w:t>la UIT</w:t>
      </w:r>
      <w:r w:rsidR="007B4979" w:rsidRPr="00F05461">
        <w:rPr>
          <w:lang w:val="es-ES"/>
        </w:rPr>
        <w:t xml:space="preserve"> de integrar la igualdad de género en todas sus actividades se basa en la Resolución</w:t>
      </w:r>
      <w:r w:rsidR="00A10309" w:rsidRPr="00F05461">
        <w:rPr>
          <w:lang w:val="es-ES"/>
        </w:rPr>
        <w:t> </w:t>
      </w:r>
      <w:r w:rsidR="007B4979" w:rsidRPr="00F05461">
        <w:rPr>
          <w:lang w:val="es-ES"/>
        </w:rPr>
        <w:t>70.</w:t>
      </w:r>
    </w:p>
    <w:p w14:paraId="2DD16263" w14:textId="4D5A9B2F" w:rsidR="007B4979" w:rsidRPr="00F05461" w:rsidRDefault="007B4979" w:rsidP="007B4979">
      <w:pPr>
        <w:rPr>
          <w:lang w:val="es-ES"/>
        </w:rPr>
      </w:pPr>
      <w:r w:rsidRPr="00F05461">
        <w:rPr>
          <w:lang w:val="es-ES"/>
        </w:rPr>
        <w:t>Entre las intervenciones específicas de apoyo a las niñas y las mujeres en las</w:t>
      </w:r>
      <w:r w:rsidR="00EB694D" w:rsidRPr="00F05461">
        <w:rPr>
          <w:lang w:val="es-ES"/>
        </w:rPr>
        <w:t> </w:t>
      </w:r>
      <w:r w:rsidRPr="00F05461">
        <w:rPr>
          <w:lang w:val="es-ES"/>
        </w:rPr>
        <w:t xml:space="preserve">TIC se incluyen el </w:t>
      </w:r>
      <w:r>
        <w:fldChar w:fldCharType="begin"/>
      </w:r>
      <w:r w:rsidRPr="009A0A46">
        <w:rPr>
          <w:lang w:val="es-ES"/>
        </w:rPr>
        <w:instrText>HYPERLINK "https://www.itu.int/women-and-girls/girls-in-ict/"</w:instrText>
      </w:r>
      <w:r>
        <w:fldChar w:fldCharType="separate"/>
      </w:r>
      <w:r w:rsidRPr="00F05461">
        <w:rPr>
          <w:rStyle w:val="Hyperlink"/>
          <w:rFonts w:eastAsia="Times New Roman" w:cs="Times New Roman"/>
          <w:szCs w:val="20"/>
          <w:lang w:val="es-ES"/>
        </w:rPr>
        <w:t>Día Internacional de las Niñas en las</w:t>
      </w:r>
      <w:r w:rsidR="00EB694D" w:rsidRPr="00F05461">
        <w:rPr>
          <w:rStyle w:val="Hyperlink"/>
          <w:rFonts w:eastAsia="Times New Roman" w:cs="Times New Roman"/>
          <w:szCs w:val="20"/>
          <w:lang w:val="es-ES"/>
        </w:rPr>
        <w:t> </w:t>
      </w:r>
      <w:r w:rsidRPr="00F05461">
        <w:rPr>
          <w:rStyle w:val="Hyperlink"/>
          <w:rFonts w:eastAsia="Times New Roman" w:cs="Times New Roman"/>
          <w:szCs w:val="20"/>
          <w:lang w:val="es-ES"/>
        </w:rPr>
        <w:t>TIC</w:t>
      </w:r>
      <w:r>
        <w:fldChar w:fldCharType="end"/>
      </w:r>
      <w:r w:rsidRPr="00F05461">
        <w:rPr>
          <w:lang w:val="es-ES"/>
        </w:rPr>
        <w:t xml:space="preserve">, </w:t>
      </w:r>
      <w:r>
        <w:fldChar w:fldCharType="begin"/>
      </w:r>
      <w:r w:rsidRPr="009A0A46">
        <w:rPr>
          <w:lang w:val="es-ES"/>
        </w:rPr>
        <w:instrText>HYPERLINK "https://www.equalsintech.org/"</w:instrText>
      </w:r>
      <w:r>
        <w:fldChar w:fldCharType="separate"/>
      </w:r>
      <w:r w:rsidRPr="00F05461">
        <w:rPr>
          <w:rStyle w:val="Hyperlink"/>
          <w:rFonts w:eastAsia="Times New Roman" w:cs="Times New Roman"/>
          <w:szCs w:val="20"/>
          <w:lang w:val="es-ES"/>
        </w:rPr>
        <w:t>EQUALS</w:t>
      </w:r>
      <w:r>
        <w:fldChar w:fldCharType="end"/>
      </w:r>
      <w:r w:rsidRPr="00F05461">
        <w:rPr>
          <w:lang w:val="es-ES"/>
        </w:rPr>
        <w:t xml:space="preserve">, </w:t>
      </w:r>
      <w:r>
        <w:fldChar w:fldCharType="begin"/>
      </w:r>
      <w:r w:rsidRPr="009A0A46">
        <w:rPr>
          <w:lang w:val="es-ES"/>
        </w:rPr>
        <w:instrText>HYPERLINK "https://www.itu.int/en/ITU-D/Cybersecurity/Pages/Women-in-Cyber/Women-in-Cyber-Mentorship-Programme.aspx"</w:instrText>
      </w:r>
      <w:r>
        <w:fldChar w:fldCharType="separate"/>
      </w:r>
      <w:r w:rsidRPr="00F05461">
        <w:rPr>
          <w:rStyle w:val="Hyperlink"/>
          <w:rFonts w:eastAsia="Times New Roman" w:cs="Times New Roman"/>
          <w:szCs w:val="20"/>
          <w:lang w:val="es-ES"/>
        </w:rPr>
        <w:t>Women in Cyber</w:t>
      </w:r>
      <w:r>
        <w:fldChar w:fldCharType="end"/>
      </w:r>
      <w:r w:rsidRPr="00F05461">
        <w:rPr>
          <w:lang w:val="es-ES"/>
        </w:rPr>
        <w:t xml:space="preserve">, </w:t>
      </w:r>
      <w:r>
        <w:fldChar w:fldCharType="begin"/>
      </w:r>
      <w:r w:rsidRPr="009A0A46">
        <w:rPr>
          <w:lang w:val="es-ES"/>
        </w:rPr>
        <w:instrText>HYPERLINK "https://www.youtube.com/playlist?list=PLdCp2BJdjaQAJmm_GD2T15HgepUAuENQ-"</w:instrText>
      </w:r>
      <w:r>
        <w:fldChar w:fldCharType="separate"/>
      </w:r>
      <w:r w:rsidRPr="00F05461">
        <w:rPr>
          <w:rStyle w:val="Hyperlink"/>
          <w:rFonts w:eastAsia="Times New Roman" w:cs="Times New Roman"/>
          <w:szCs w:val="20"/>
          <w:lang w:val="es-ES"/>
        </w:rPr>
        <w:t>Talking Tech</w:t>
      </w:r>
      <w:r>
        <w:fldChar w:fldCharType="end"/>
      </w:r>
      <w:r w:rsidRPr="00F05461">
        <w:rPr>
          <w:lang w:val="es-ES"/>
        </w:rPr>
        <w:t xml:space="preserve">, </w:t>
      </w:r>
      <w:r>
        <w:fldChar w:fldCharType="begin"/>
      </w:r>
      <w:r w:rsidRPr="009A0A46">
        <w:rPr>
          <w:lang w:val="es-ES"/>
        </w:rPr>
        <w:instrText>HYPERLINK "https://www.equalsintech.org/her-digital-skills/"</w:instrText>
      </w:r>
      <w:r>
        <w:fldChar w:fldCharType="separate"/>
      </w:r>
      <w:r w:rsidRPr="00F05461">
        <w:rPr>
          <w:rStyle w:val="Hyperlink"/>
          <w:rFonts w:eastAsia="Times New Roman" w:cs="Times New Roman"/>
          <w:szCs w:val="20"/>
          <w:lang w:val="es-ES"/>
        </w:rPr>
        <w:t>Her Digital Skills</w:t>
      </w:r>
      <w:r>
        <w:fldChar w:fldCharType="end"/>
      </w:r>
      <w:r w:rsidRPr="00F05461">
        <w:rPr>
          <w:lang w:val="es-ES"/>
        </w:rPr>
        <w:t xml:space="preserve">, </w:t>
      </w:r>
      <w:r>
        <w:fldChar w:fldCharType="begin"/>
      </w:r>
      <w:r w:rsidRPr="009A0A46">
        <w:rPr>
          <w:lang w:val="es-ES"/>
        </w:rPr>
        <w:instrText>HYPERLINK "https://www.itu.int/en/ITU-D/Cybersecurity/Pages/Skills-Development/Her-CyberTracks.aspx"</w:instrText>
      </w:r>
      <w:r>
        <w:fldChar w:fldCharType="separate"/>
      </w:r>
      <w:r w:rsidRPr="00F05461">
        <w:rPr>
          <w:rStyle w:val="Hyperlink"/>
          <w:rFonts w:eastAsia="Times New Roman" w:cs="Times New Roman"/>
          <w:szCs w:val="20"/>
          <w:lang w:val="es-ES"/>
        </w:rPr>
        <w:t>Her CyberTracks</w:t>
      </w:r>
      <w:r>
        <w:fldChar w:fldCharType="end"/>
      </w:r>
      <w:r w:rsidRPr="00F05461">
        <w:rPr>
          <w:lang w:val="es-ES"/>
        </w:rPr>
        <w:t xml:space="preserve"> y las iniciativas Girls Can Code de </w:t>
      </w:r>
      <w:r>
        <w:fldChar w:fldCharType="begin"/>
      </w:r>
      <w:r w:rsidRPr="009A0A46">
        <w:rPr>
          <w:lang w:val="es-ES"/>
        </w:rPr>
        <w:instrText>HYPERLINK "https://www.itu.int/en/ITU-D/Regional-Presence/Africa/Pages/African-Girls-Can-Code-Initiative-(AGCCI)-II.aspx"</w:instrText>
      </w:r>
      <w:r>
        <w:fldChar w:fldCharType="separate"/>
      </w:r>
      <w:r w:rsidRPr="00F05461">
        <w:rPr>
          <w:rStyle w:val="Hyperlink"/>
          <w:rFonts w:eastAsia="Times New Roman" w:cs="Times New Roman"/>
          <w:szCs w:val="20"/>
          <w:lang w:val="es-ES"/>
        </w:rPr>
        <w:t>África</w:t>
      </w:r>
      <w:r>
        <w:fldChar w:fldCharType="end"/>
      </w:r>
      <w:r w:rsidRPr="00F05461">
        <w:rPr>
          <w:lang w:val="es-ES"/>
        </w:rPr>
        <w:t xml:space="preserve"> y </w:t>
      </w:r>
      <w:r w:rsidR="001C403D">
        <w:fldChar w:fldCharType="begin"/>
      </w:r>
      <w:r w:rsidR="001C403D" w:rsidRPr="009A0A46">
        <w:rPr>
          <w:lang w:val="es-ES"/>
        </w:rPr>
        <w:instrText>HYPERLINK "https://www.itu.int/hub/2020/12/americas-girls-can-code-leveling-the-tech-playing-field-for-girls-and-women/"</w:instrText>
      </w:r>
      <w:r w:rsidR="001C403D">
        <w:fldChar w:fldCharType="separate"/>
      </w:r>
      <w:r w:rsidR="001C403D" w:rsidRPr="00F05461">
        <w:rPr>
          <w:rStyle w:val="Hyperlink"/>
          <w:rFonts w:eastAsia="Times New Roman" w:cs="Times New Roman"/>
          <w:szCs w:val="20"/>
          <w:lang w:val="es-ES"/>
        </w:rPr>
        <w:t>las Américas</w:t>
      </w:r>
      <w:r w:rsidR="001C403D">
        <w:fldChar w:fldCharType="end"/>
      </w:r>
      <w:r w:rsidRPr="00F05461">
        <w:rPr>
          <w:lang w:val="es-ES"/>
        </w:rPr>
        <w:t>. Dichas iniciativas brindan formación, programas de tutoría y oportunidades para motivar a las niñas y las jóvenes a cursar estudios relacionados con las</w:t>
      </w:r>
      <w:r w:rsidR="00EB694D" w:rsidRPr="00F05461">
        <w:rPr>
          <w:lang w:val="es-ES"/>
        </w:rPr>
        <w:t> </w:t>
      </w:r>
      <w:r w:rsidRPr="00F05461">
        <w:rPr>
          <w:lang w:val="es-ES"/>
        </w:rPr>
        <w:t>TIC. En 2024, por ejemplo, Her Digital Skills impartió 21</w:t>
      </w:r>
      <w:r w:rsidR="00A10309" w:rsidRPr="00F05461">
        <w:rPr>
          <w:lang w:val="es-ES"/>
        </w:rPr>
        <w:t> </w:t>
      </w:r>
      <w:r w:rsidRPr="00F05461">
        <w:rPr>
          <w:lang w:val="es-ES"/>
        </w:rPr>
        <w:t>talleres, de los que se beneficiaron más de 1</w:t>
      </w:r>
      <w:r w:rsidR="00EB694D" w:rsidRPr="00F05461">
        <w:rPr>
          <w:lang w:val="es-ES"/>
        </w:rPr>
        <w:t> </w:t>
      </w:r>
      <w:r w:rsidRPr="00F05461">
        <w:rPr>
          <w:lang w:val="es-ES"/>
        </w:rPr>
        <w:t>700</w:t>
      </w:r>
      <w:r w:rsidR="00EB694D" w:rsidRPr="00F05461">
        <w:rPr>
          <w:lang w:val="es-ES"/>
        </w:rPr>
        <w:t> </w:t>
      </w:r>
      <w:r w:rsidRPr="00F05461">
        <w:rPr>
          <w:lang w:val="es-ES"/>
        </w:rPr>
        <w:t>participantes, al tiempo que Her CyberTracks formó a aproximadamente 300</w:t>
      </w:r>
      <w:r w:rsidR="00EB694D" w:rsidRPr="00F05461">
        <w:rPr>
          <w:lang w:val="es-ES"/>
        </w:rPr>
        <w:t> </w:t>
      </w:r>
      <w:r w:rsidRPr="00F05461">
        <w:rPr>
          <w:lang w:val="es-ES"/>
        </w:rPr>
        <w:t>mujeres en temas de ciberseguridad.</w:t>
      </w:r>
    </w:p>
    <w:p w14:paraId="54B8375F" w14:textId="5786A1D5" w:rsidR="007B4979" w:rsidRPr="00F05461" w:rsidRDefault="007B4979" w:rsidP="007B4979">
      <w:pPr>
        <w:rPr>
          <w:lang w:val="es-ES"/>
        </w:rPr>
      </w:pPr>
      <w:r w:rsidRPr="00F05461">
        <w:rPr>
          <w:lang w:val="es-ES"/>
        </w:rPr>
        <w:t>EQUALS</w:t>
      </w:r>
      <w:r w:rsidR="00A10309" w:rsidRPr="00F05461">
        <w:rPr>
          <w:lang w:val="es-ES"/>
        </w:rPr>
        <w:t> </w:t>
      </w:r>
      <w:r w:rsidRPr="00F05461">
        <w:rPr>
          <w:lang w:val="es-ES"/>
        </w:rPr>
        <w:t xml:space="preserve">2.0 pone de manifiesto su nueva etapa, con una estructura de gobernanza renovada y una visión y misión estratégicas, al tiempo que reitera su compromiso de reducir la brecha digital de género. El </w:t>
      </w:r>
      <w:hyperlink r:id="rId356" w:history="1">
        <w:r w:rsidRPr="00F05461">
          <w:rPr>
            <w:rStyle w:val="Hyperlink"/>
            <w:rFonts w:eastAsia="Times New Roman" w:cs="Times New Roman"/>
            <w:i/>
            <w:iCs/>
            <w:szCs w:val="20"/>
            <w:lang w:val="es-ES"/>
          </w:rPr>
          <w:t>estudio de EQUALS 2025: Avances en cuanto a empoderamiento de género en la era digital</w:t>
        </w:r>
      </w:hyperlink>
      <w:r w:rsidRPr="00F05461">
        <w:rPr>
          <w:lang w:val="es-ES"/>
        </w:rPr>
        <w:t xml:space="preserve"> ofrece datos globales actualizados sobre la brecha de género en materia de acceso, competencias, liderazgo y tecnologías incipientes. El Índice de Inclusividad de Género de EQUALS</w:t>
      </w:r>
      <w:r w:rsidR="009354F8" w:rsidRPr="00F05461">
        <w:rPr>
          <w:lang w:val="es-ES"/>
        </w:rPr>
        <w:t> </w:t>
      </w:r>
      <w:r w:rsidRPr="00F05461">
        <w:rPr>
          <w:lang w:val="es-ES"/>
        </w:rPr>
        <w:t>2025 describe los avances y las brechas que aún existen en la promoción de la igualdad de género en el sector de la telefonía móvil.</w:t>
      </w:r>
    </w:p>
    <w:p w14:paraId="3A311553" w14:textId="0CD11EA2" w:rsidR="007B4979" w:rsidRPr="00F05461" w:rsidRDefault="007B4979" w:rsidP="007B4979">
      <w:pPr>
        <w:rPr>
          <w:lang w:val="es-ES"/>
        </w:rPr>
      </w:pPr>
      <w:r w:rsidRPr="00F05461">
        <w:rPr>
          <w:lang w:val="es-ES"/>
        </w:rPr>
        <w:t xml:space="preserve">La ampliación de las iniciativas de capacitación incluye cursos estructurados y homologaciones accesibles a través de la Academia de </w:t>
      </w:r>
      <w:r w:rsidR="00296F03" w:rsidRPr="00F05461">
        <w:rPr>
          <w:lang w:val="es-ES"/>
        </w:rPr>
        <w:t>la UIT</w:t>
      </w:r>
      <w:r w:rsidRPr="00F05461">
        <w:rPr>
          <w:lang w:val="es-ES"/>
        </w:rPr>
        <w:t xml:space="preserve">. Existe una formación en línea de autoaprendizaje sobre </w:t>
      </w:r>
      <w:hyperlink r:id="rId357" w:history="1">
        <w:r w:rsidRPr="00F05461">
          <w:rPr>
            <w:rStyle w:val="Hyperlink"/>
            <w:rFonts w:eastAsia="Times New Roman" w:cs="Times New Roman"/>
            <w:szCs w:val="20"/>
            <w:lang w:val="es-ES"/>
          </w:rPr>
          <w:t>análisis de género para la inclusión digital</w:t>
        </w:r>
      </w:hyperlink>
      <w:r w:rsidRPr="00F05461">
        <w:rPr>
          <w:lang w:val="es-ES"/>
        </w:rPr>
        <w:t xml:space="preserve"> y otra basada en el </w:t>
      </w:r>
      <w:hyperlink r:id="rId358" w:history="1">
        <w:r w:rsidRPr="00F05461">
          <w:rPr>
            <w:rStyle w:val="Hyperlink"/>
            <w:rFonts w:eastAsia="Times New Roman" w:cs="Times New Roman"/>
            <w:i/>
            <w:iCs/>
            <w:szCs w:val="20"/>
            <w:lang w:val="es-ES"/>
          </w:rPr>
          <w:t xml:space="preserve">Manual de </w:t>
        </w:r>
        <w:r w:rsidR="00296F03" w:rsidRPr="00F05461">
          <w:rPr>
            <w:rStyle w:val="Hyperlink"/>
            <w:rFonts w:eastAsia="Times New Roman" w:cs="Times New Roman"/>
            <w:i/>
            <w:iCs/>
            <w:szCs w:val="20"/>
            <w:lang w:val="es-ES"/>
          </w:rPr>
          <w:t>la UIT</w:t>
        </w:r>
        <w:r w:rsidRPr="00F05461">
          <w:rPr>
            <w:rStyle w:val="Hyperlink"/>
            <w:rFonts w:eastAsia="Times New Roman" w:cs="Times New Roman"/>
            <w:i/>
            <w:iCs/>
            <w:szCs w:val="20"/>
            <w:lang w:val="es-ES"/>
          </w:rPr>
          <w:t xml:space="preserve"> sobre integración de la perspectiva de género en las políticas digitales</w:t>
        </w:r>
      </w:hyperlink>
      <w:r w:rsidRPr="00F05461">
        <w:rPr>
          <w:lang w:val="es-ES"/>
        </w:rPr>
        <w:t>, que facilita la integración de la igualdad de género en las estrategias nacionales. Esto sigue siendo esencial, dado que 94</w:t>
      </w:r>
      <w:r w:rsidR="00A10309" w:rsidRPr="00F05461">
        <w:rPr>
          <w:lang w:val="es-ES"/>
        </w:rPr>
        <w:t> </w:t>
      </w:r>
      <w:r w:rsidRPr="00F05461">
        <w:rPr>
          <w:lang w:val="es-ES"/>
        </w:rPr>
        <w:t>países habían elaborado programas digitales a escala nacional para 2022, si bien solo 21 incluían explícitamente a mujeres y niñas.</w:t>
      </w:r>
    </w:p>
    <w:p w14:paraId="080BD484" w14:textId="3B713172" w:rsidR="007B4979" w:rsidRPr="00F05461" w:rsidRDefault="007B4979" w:rsidP="007B4979">
      <w:pPr>
        <w:rPr>
          <w:lang w:val="es-ES"/>
        </w:rPr>
      </w:pPr>
      <w:r w:rsidRPr="00F05461">
        <w:rPr>
          <w:lang w:val="es-ES"/>
        </w:rPr>
        <w:t>El proyecto Her Digital Skills, desarrollado por el</w:t>
      </w:r>
      <w:r w:rsidR="00A10309" w:rsidRPr="00F05461">
        <w:rPr>
          <w:lang w:val="es-ES"/>
        </w:rPr>
        <w:t> </w:t>
      </w:r>
      <w:r w:rsidRPr="00F05461">
        <w:rPr>
          <w:lang w:val="es-ES"/>
        </w:rPr>
        <w:t>UIT-D, es posible gracias a varias contribuciones, entre ellas una de Qualcomm, que facilita la implantación de Her Digital Skills en Camerún, Etiopía, Ghana, Kenya y Nigeria, y otra de Women’s World Wide Web, GSMA y Ernst &amp; Young (EY), que respaldó el desarrollo de contenido y la ejecución de la iniciativa en Filipinas, Kenya, Nepal, Uganda y Sudáfrica, así como en el Caribe, en más de 23</w:t>
      </w:r>
      <w:r w:rsidR="00A10309" w:rsidRPr="00F05461">
        <w:rPr>
          <w:lang w:val="es-ES"/>
        </w:rPr>
        <w:t> </w:t>
      </w:r>
      <w:r w:rsidRPr="00F05461">
        <w:rPr>
          <w:lang w:val="es-ES"/>
        </w:rPr>
        <w:t>países en beneficio de alrededor de 5</w:t>
      </w:r>
      <w:r w:rsidR="00A10309" w:rsidRPr="00F05461">
        <w:rPr>
          <w:lang w:val="es-ES"/>
        </w:rPr>
        <w:t> </w:t>
      </w:r>
      <w:r w:rsidRPr="00F05461">
        <w:rPr>
          <w:lang w:val="es-ES"/>
        </w:rPr>
        <w:t>600</w:t>
      </w:r>
      <w:r w:rsidR="00A10309" w:rsidRPr="00F05461">
        <w:rPr>
          <w:lang w:val="es-ES"/>
        </w:rPr>
        <w:t> </w:t>
      </w:r>
      <w:r w:rsidRPr="00F05461">
        <w:rPr>
          <w:lang w:val="es-ES"/>
        </w:rPr>
        <w:t>mujeres jóvenes.</w:t>
      </w:r>
    </w:p>
    <w:p w14:paraId="48E48ABE" w14:textId="77777777" w:rsidR="007B4979" w:rsidRPr="00F05461" w:rsidRDefault="007B4979" w:rsidP="007B4979">
      <w:pPr>
        <w:rPr>
          <w:lang w:val="es-ES"/>
        </w:rPr>
      </w:pPr>
      <w:r w:rsidRPr="00F05461">
        <w:rPr>
          <w:lang w:val="es-ES"/>
        </w:rPr>
        <w:t>En el marco de la guía de orientación</w:t>
      </w:r>
      <w:r w:rsidRPr="00F05461">
        <w:rPr>
          <w:i/>
          <w:iCs/>
          <w:lang w:val="es-ES"/>
        </w:rPr>
        <w:t xml:space="preserve"> </w:t>
      </w:r>
      <w:hyperlink r:id="rId359" w:history="1">
        <w:r w:rsidRPr="00F05461">
          <w:rPr>
            <w:rStyle w:val="Hyperlink"/>
            <w:rFonts w:eastAsia="Times New Roman" w:cs="Times New Roman"/>
            <w:i/>
            <w:iCs/>
            <w:szCs w:val="20"/>
            <w:lang w:val="es-ES"/>
          </w:rPr>
          <w:t>Her Digital Skills: Towards a Gender Transformative Approach</w:t>
        </w:r>
      </w:hyperlink>
      <w:r w:rsidRPr="00F05461">
        <w:rPr>
          <w:lang w:val="es-ES"/>
        </w:rPr>
        <w:t>, destinada a profesionales y publicada en 2024, se recomiendan enfoques transformadores en materia de género para el diseño de programas educativos en competencias digitales, tanto dentro como fuera del aula.</w:t>
      </w:r>
    </w:p>
    <w:p w14:paraId="02AB7D1C" w14:textId="6D553B69" w:rsidR="007B4979" w:rsidRPr="00F05461" w:rsidRDefault="007B4979" w:rsidP="007B4979">
      <w:pPr>
        <w:rPr>
          <w:lang w:val="es-ES"/>
        </w:rPr>
      </w:pPr>
      <w:r w:rsidRPr="00F05461">
        <w:rPr>
          <w:lang w:val="es-ES"/>
        </w:rPr>
        <w:t xml:space="preserve">El </w:t>
      </w:r>
      <w:r w:rsidR="00860A7F" w:rsidRPr="00860A7F">
        <w:rPr>
          <w:lang w:val="es-ES"/>
        </w:rPr>
        <w:t>p</w:t>
      </w:r>
      <w:r w:rsidR="002F0A87" w:rsidRPr="00860A7F">
        <w:rPr>
          <w:lang w:val="es-ES"/>
        </w:rPr>
        <w:t xml:space="preserve">rograma de </w:t>
      </w:r>
      <w:hyperlink r:id="rId360" w:history="1">
        <w:r w:rsidR="002F0A87" w:rsidRPr="00860A7F">
          <w:rPr>
            <w:rStyle w:val="Hyperlink"/>
            <w:rFonts w:eastAsia="Times New Roman" w:cs="Times New Roman"/>
            <w:szCs w:val="20"/>
            <w:lang w:val="es-ES"/>
          </w:rPr>
          <w:t>Aceleración de Competencias en IA para Niñas</w:t>
        </w:r>
      </w:hyperlink>
      <w:r w:rsidRPr="00F05461">
        <w:rPr>
          <w:lang w:val="es-ES"/>
        </w:rPr>
        <w:t xml:space="preserve"> </w:t>
      </w:r>
      <w:r w:rsidR="002F0A87" w:rsidRPr="00F05461">
        <w:rPr>
          <w:lang w:val="es-ES"/>
        </w:rPr>
        <w:t>del UIT</w:t>
      </w:r>
      <w:r w:rsidR="002F0A87" w:rsidRPr="00F05461">
        <w:rPr>
          <w:lang w:val="es-ES"/>
        </w:rPr>
        <w:noBreakHyphen/>
        <w:t xml:space="preserve">D </w:t>
      </w:r>
      <w:r w:rsidRPr="00F05461">
        <w:rPr>
          <w:lang w:val="es-ES"/>
        </w:rPr>
        <w:t xml:space="preserve">surgió de la necesidad de abordar la infrarrepresentación de las mujeres en la IA y en puestos de liderazgo en el sector tecnológico. El programa es de carácter práctico y contará con dos grupos de jóvenes que se beneficiarán de sus actividades. La primera edición del programa comenzó en octubre </w:t>
      </w:r>
      <w:r w:rsidR="00B933C5" w:rsidRPr="00F05461">
        <w:rPr>
          <w:lang w:val="es-ES"/>
        </w:rPr>
        <w:t>de 202</w:t>
      </w:r>
      <w:r w:rsidRPr="00F05461">
        <w:rPr>
          <w:lang w:val="es-ES"/>
        </w:rPr>
        <w:t xml:space="preserve">4 con talleres presenciales en seis países (uno por cada región de </w:t>
      </w:r>
      <w:r w:rsidR="00296F03" w:rsidRPr="00F05461">
        <w:rPr>
          <w:lang w:val="es-ES"/>
        </w:rPr>
        <w:t>la UIT</w:t>
      </w:r>
      <w:r w:rsidRPr="00F05461">
        <w:rPr>
          <w:lang w:val="es-ES"/>
        </w:rPr>
        <w:t xml:space="preserve">: Paraguay, Malta, Kenya, India, </w:t>
      </w:r>
      <w:r w:rsidR="00605A12" w:rsidRPr="00F05461">
        <w:rPr>
          <w:lang w:val="es-ES"/>
        </w:rPr>
        <w:t>Kazajstán</w:t>
      </w:r>
      <w:r w:rsidRPr="00F05461">
        <w:rPr>
          <w:lang w:val="es-ES"/>
        </w:rPr>
        <w:t xml:space="preserve"> y Jordania) y, a partir de agosto </w:t>
      </w:r>
      <w:r w:rsidR="00B933C5" w:rsidRPr="00F05461">
        <w:rPr>
          <w:lang w:val="es-ES"/>
        </w:rPr>
        <w:t>de 202</w:t>
      </w:r>
      <w:r w:rsidRPr="00F05461">
        <w:rPr>
          <w:lang w:val="es-ES"/>
        </w:rPr>
        <w:t xml:space="preserve">5, </w:t>
      </w:r>
      <w:r w:rsidRPr="00F05461">
        <w:rPr>
          <w:lang w:val="es-ES"/>
        </w:rPr>
        <w:lastRenderedPageBreak/>
        <w:t>otros países se beneficiarán en el marco de la segunda edición (Uzbekistán, Guatemala, Egipto y Mozambique). Más de 820</w:t>
      </w:r>
      <w:r w:rsidR="00605A12" w:rsidRPr="00F05461">
        <w:rPr>
          <w:lang w:val="es-ES"/>
        </w:rPr>
        <w:t> </w:t>
      </w:r>
      <w:r w:rsidRPr="00F05461">
        <w:rPr>
          <w:lang w:val="es-ES"/>
        </w:rPr>
        <w:t>jóvenes han participado en el programa.</w:t>
      </w:r>
    </w:p>
    <w:p w14:paraId="07EB45BC" w14:textId="487E42F9" w:rsidR="007B4979" w:rsidRPr="00F05461" w:rsidRDefault="007B4979" w:rsidP="007B4979">
      <w:pPr>
        <w:rPr>
          <w:lang w:val="es-ES"/>
        </w:rPr>
      </w:pPr>
      <w:r w:rsidRPr="00F05461">
        <w:rPr>
          <w:lang w:val="es-ES"/>
        </w:rPr>
        <w:t xml:space="preserve">La celebración anual del </w:t>
      </w:r>
      <w:r>
        <w:fldChar w:fldCharType="begin"/>
      </w:r>
      <w:r w:rsidRPr="009A0A46">
        <w:rPr>
          <w:lang w:val="es-ES"/>
        </w:rPr>
        <w:instrText>HYPERLINK "https://www.itu.int/women-and-girls/girls-in-ict/"</w:instrText>
      </w:r>
      <w:r>
        <w:fldChar w:fldCharType="separate"/>
      </w:r>
      <w:r w:rsidRPr="00F05461">
        <w:rPr>
          <w:rStyle w:val="Hyperlink"/>
          <w:rFonts w:eastAsia="Times New Roman" w:cs="Times New Roman"/>
          <w:szCs w:val="20"/>
          <w:lang w:val="es-ES"/>
        </w:rPr>
        <w:t>Día Internacional de las Niñas en las</w:t>
      </w:r>
      <w:r w:rsidR="00EB694D" w:rsidRPr="00F05461">
        <w:rPr>
          <w:rStyle w:val="Hyperlink"/>
          <w:rFonts w:eastAsia="Times New Roman" w:cs="Times New Roman"/>
          <w:szCs w:val="20"/>
          <w:lang w:val="es-ES"/>
        </w:rPr>
        <w:t> </w:t>
      </w:r>
      <w:r w:rsidRPr="00F05461">
        <w:rPr>
          <w:rStyle w:val="Hyperlink"/>
          <w:rFonts w:eastAsia="Times New Roman" w:cs="Times New Roman"/>
          <w:szCs w:val="20"/>
          <w:lang w:val="es-ES"/>
        </w:rPr>
        <w:t>TIC</w:t>
      </w:r>
      <w:r>
        <w:fldChar w:fldCharType="end"/>
      </w:r>
      <w:r w:rsidRPr="00F05461">
        <w:rPr>
          <w:lang w:val="es-ES"/>
        </w:rPr>
        <w:t xml:space="preserve"> siguió su curso como medio para movilizar competencias y fomentar el liderazgo a escala mundial. Los temas para el periodo</w:t>
      </w:r>
      <w:r w:rsidR="009354F8" w:rsidRPr="00F05461">
        <w:rPr>
          <w:lang w:val="es-ES"/>
        </w:rPr>
        <w:t> </w:t>
      </w:r>
      <w:r w:rsidRPr="00F05461">
        <w:rPr>
          <w:lang w:val="es-ES"/>
        </w:rPr>
        <w:t>2023</w:t>
      </w:r>
      <w:r w:rsidR="009354F8" w:rsidRPr="00F05461">
        <w:rPr>
          <w:lang w:val="es-ES"/>
        </w:rPr>
        <w:noBreakHyphen/>
      </w:r>
      <w:r w:rsidRPr="00F05461">
        <w:rPr>
          <w:lang w:val="es-ES"/>
        </w:rPr>
        <w:t>2025 pasaron de «Competencias digitales para la vida» a «Liderazgo» y, posteriormente, a «Las niñas en las</w:t>
      </w:r>
      <w:r w:rsidR="00EB694D" w:rsidRPr="00F05461">
        <w:rPr>
          <w:lang w:val="es-ES"/>
        </w:rPr>
        <w:t> </w:t>
      </w:r>
      <w:r w:rsidRPr="00F05461">
        <w:rPr>
          <w:lang w:val="es-ES"/>
        </w:rPr>
        <w:t xml:space="preserve">TIC para una transformación digital inclusiva». El número acumulado de participantes en la iniciativa </w:t>
      </w:r>
      <w:r w:rsidR="00B933C5" w:rsidRPr="00F05461">
        <w:rPr>
          <w:lang w:val="es-ES"/>
        </w:rPr>
        <w:t>de 202</w:t>
      </w:r>
      <w:r w:rsidRPr="00F05461">
        <w:rPr>
          <w:lang w:val="es-ES"/>
        </w:rPr>
        <w:t>3 a 2025 superó las 76</w:t>
      </w:r>
      <w:r w:rsidR="00EB694D" w:rsidRPr="00F05461">
        <w:rPr>
          <w:lang w:val="es-ES"/>
        </w:rPr>
        <w:t> </w:t>
      </w:r>
      <w:r w:rsidRPr="00F05461">
        <w:rPr>
          <w:lang w:val="es-ES"/>
        </w:rPr>
        <w:t>000</w:t>
      </w:r>
      <w:r w:rsidR="00EB694D" w:rsidRPr="00F05461">
        <w:rPr>
          <w:lang w:val="es-ES"/>
        </w:rPr>
        <w:t> </w:t>
      </w:r>
      <w:r w:rsidRPr="00F05461">
        <w:rPr>
          <w:lang w:val="es-ES"/>
        </w:rPr>
        <w:t>niñas y mujeres jóvenes en el marco de 472</w:t>
      </w:r>
      <w:r w:rsidR="00EB694D" w:rsidRPr="00F05461">
        <w:rPr>
          <w:lang w:val="es-ES"/>
        </w:rPr>
        <w:t> </w:t>
      </w:r>
      <w:r w:rsidRPr="00F05461">
        <w:rPr>
          <w:lang w:val="es-ES"/>
        </w:rPr>
        <w:t xml:space="preserve">eventos en las seis regiones de </w:t>
      </w:r>
      <w:r w:rsidR="00296F03" w:rsidRPr="00F05461">
        <w:rPr>
          <w:lang w:val="es-ES"/>
        </w:rPr>
        <w:t>la UIT</w:t>
      </w:r>
      <w:r w:rsidR="009354F8" w:rsidRPr="00F05461">
        <w:rPr>
          <w:lang w:val="es-ES"/>
        </w:rPr>
        <w:t>.</w:t>
      </w:r>
    </w:p>
    <w:p w14:paraId="67DEF75E" w14:textId="483067AD" w:rsidR="007B4979" w:rsidRPr="00F05461" w:rsidRDefault="007B4979" w:rsidP="007B4979">
      <w:pPr>
        <w:rPr>
          <w:lang w:val="es-ES"/>
        </w:rPr>
      </w:pPr>
      <w:r w:rsidRPr="00F05461">
        <w:rPr>
          <w:lang w:val="es-ES"/>
        </w:rPr>
        <w:t xml:space="preserve">Las comunidades de la </w:t>
      </w:r>
      <w:hyperlink r:id="rId361" w:history="1">
        <w:r w:rsidRPr="00F05461">
          <w:rPr>
            <w:rStyle w:val="Hyperlink"/>
            <w:rFonts w:eastAsia="Times New Roman" w:cs="Times New Roman"/>
            <w:szCs w:val="20"/>
            <w:lang w:val="es-ES"/>
          </w:rPr>
          <w:t>Red de Mujeres (NoW)</w:t>
        </w:r>
      </w:hyperlink>
      <w:r w:rsidRPr="00F05461">
        <w:rPr>
          <w:lang w:val="es-ES"/>
        </w:rPr>
        <w:t xml:space="preserve"> de </w:t>
      </w:r>
      <w:r w:rsidR="00296F03" w:rsidRPr="00F05461">
        <w:rPr>
          <w:lang w:val="es-ES"/>
        </w:rPr>
        <w:t>la UIT</w:t>
      </w:r>
      <w:r w:rsidRPr="00F05461">
        <w:rPr>
          <w:lang w:val="es-ES"/>
        </w:rPr>
        <w:t xml:space="preserve"> se desarrollan en los tres sectores de </w:t>
      </w:r>
      <w:r w:rsidR="00296F03" w:rsidRPr="00F05461">
        <w:rPr>
          <w:lang w:val="es-ES"/>
        </w:rPr>
        <w:t>la UIT</w:t>
      </w:r>
      <w:r w:rsidRPr="00F05461">
        <w:rPr>
          <w:lang w:val="es-ES"/>
        </w:rPr>
        <w:t xml:space="preserve">: </w:t>
      </w:r>
      <w:hyperlink r:id="rId362" w:history="1">
        <w:r w:rsidRPr="00F05461">
          <w:rPr>
            <w:rStyle w:val="Hyperlink"/>
            <w:rFonts w:eastAsia="Times New Roman" w:cs="Times New Roman"/>
            <w:szCs w:val="20"/>
            <w:lang w:val="es-ES"/>
          </w:rPr>
          <w:t>UIT-R</w:t>
        </w:r>
      </w:hyperlink>
      <w:r w:rsidRPr="00F05461">
        <w:rPr>
          <w:lang w:val="es-ES"/>
        </w:rPr>
        <w:t xml:space="preserve">, </w:t>
      </w:r>
      <w:hyperlink r:id="rId363" w:history="1">
        <w:r w:rsidRPr="00F05461">
          <w:rPr>
            <w:rStyle w:val="Hyperlink"/>
            <w:rFonts w:eastAsia="Times New Roman" w:cs="Times New Roman"/>
            <w:szCs w:val="20"/>
            <w:lang w:val="es-ES"/>
          </w:rPr>
          <w:t>UIT-T</w:t>
        </w:r>
      </w:hyperlink>
      <w:r w:rsidRPr="00F05461">
        <w:rPr>
          <w:lang w:val="es-ES"/>
        </w:rPr>
        <w:t xml:space="preserve"> y </w:t>
      </w:r>
      <w:hyperlink r:id="rId364" w:history="1">
        <w:r w:rsidRPr="00F05461">
          <w:rPr>
            <w:rStyle w:val="Hyperlink"/>
            <w:rFonts w:eastAsia="Times New Roman" w:cs="Times New Roman"/>
            <w:szCs w:val="20"/>
            <w:lang w:val="es-ES"/>
          </w:rPr>
          <w:t>UIT-D</w:t>
        </w:r>
      </w:hyperlink>
      <w:r w:rsidRPr="00F05461">
        <w:rPr>
          <w:lang w:val="es-ES"/>
        </w:rPr>
        <w:t xml:space="preserve">, con el fin de fomentar la representación y el liderazgo de las mujeres en la labor de </w:t>
      </w:r>
      <w:r w:rsidR="00296F03" w:rsidRPr="00F05461">
        <w:rPr>
          <w:lang w:val="es-ES"/>
        </w:rPr>
        <w:t>la UIT</w:t>
      </w:r>
      <w:r w:rsidRPr="00F05461">
        <w:rPr>
          <w:lang w:val="es-ES"/>
        </w:rPr>
        <w:t>. Dichas redes ofrecen actividades de tutoría, formación y apoyo a delegadas, especialmente en la preparación de las principales conferencias:</w:t>
      </w:r>
    </w:p>
    <w:p w14:paraId="6FC4B936" w14:textId="2D528DD2" w:rsidR="007B4979" w:rsidRPr="00F05461" w:rsidRDefault="007B4979" w:rsidP="007B4979">
      <w:pPr>
        <w:rPr>
          <w:lang w:val="es-ES"/>
        </w:rPr>
      </w:pPr>
      <w:r w:rsidRPr="00F05461">
        <w:rPr>
          <w:lang w:val="es-ES"/>
        </w:rPr>
        <w:t>UIT-D: 36</w:t>
      </w:r>
      <w:r w:rsidR="00587968" w:rsidRPr="00F05461">
        <w:rPr>
          <w:lang w:val="es-ES"/>
        </w:rPr>
        <w:t> </w:t>
      </w:r>
      <w:r w:rsidR="001D269F" w:rsidRPr="00F05461">
        <w:rPr>
          <w:lang w:val="es-ES"/>
        </w:rPr>
        <w:t>por ciento</w:t>
      </w:r>
      <w:r w:rsidRPr="00F05461">
        <w:rPr>
          <w:lang w:val="es-ES"/>
        </w:rPr>
        <w:t xml:space="preserve"> de participación femenina en las</w:t>
      </w:r>
      <w:r w:rsidR="009354F8" w:rsidRPr="00F05461">
        <w:rPr>
          <w:lang w:val="es-ES"/>
        </w:rPr>
        <w:t> </w:t>
      </w:r>
      <w:r w:rsidRPr="00F05461">
        <w:rPr>
          <w:lang w:val="es-ES"/>
        </w:rPr>
        <w:t xml:space="preserve">CMDT </w:t>
      </w:r>
      <w:r w:rsidR="00B933C5" w:rsidRPr="00F05461">
        <w:rPr>
          <w:lang w:val="es-ES"/>
        </w:rPr>
        <w:t>de 202</w:t>
      </w:r>
      <w:r w:rsidRPr="00F05461">
        <w:rPr>
          <w:lang w:val="es-ES"/>
        </w:rPr>
        <w:t>2 y 2025; el Programa de Mentoría para el Empoderamiento de las Mujeres Líderes contó con más de 150</w:t>
      </w:r>
      <w:r w:rsidR="00605A12" w:rsidRPr="00F05461">
        <w:rPr>
          <w:lang w:val="es-ES"/>
        </w:rPr>
        <w:t> </w:t>
      </w:r>
      <w:r w:rsidRPr="00F05461">
        <w:rPr>
          <w:lang w:val="es-ES"/>
        </w:rPr>
        <w:t>participantes, entre ellos un 30</w:t>
      </w:r>
      <w:r w:rsidR="00587968" w:rsidRPr="00F05461">
        <w:rPr>
          <w:lang w:val="es-ES"/>
        </w:rPr>
        <w:t> </w:t>
      </w:r>
      <w:r w:rsidR="001D269F" w:rsidRPr="00F05461">
        <w:rPr>
          <w:lang w:val="es-ES"/>
        </w:rPr>
        <w:t>por ciento</w:t>
      </w:r>
      <w:r w:rsidRPr="00F05461">
        <w:rPr>
          <w:lang w:val="es-ES"/>
        </w:rPr>
        <w:t xml:space="preserve"> de mentores masculinos, lo que supuso un hito en la participación de colegas. La iniciativa Clase </w:t>
      </w:r>
      <w:r w:rsidR="004B580B" w:rsidRPr="00F05461">
        <w:rPr>
          <w:lang w:val="es-ES"/>
        </w:rPr>
        <w:t xml:space="preserve">Magistral </w:t>
      </w:r>
      <w:r w:rsidRPr="00F05461">
        <w:rPr>
          <w:lang w:val="es-ES"/>
        </w:rPr>
        <w:t xml:space="preserve">para </w:t>
      </w:r>
      <w:r w:rsidR="004B580B" w:rsidRPr="00F05461">
        <w:rPr>
          <w:lang w:val="es-ES"/>
        </w:rPr>
        <w:t xml:space="preserve">Fomentar </w:t>
      </w:r>
      <w:r w:rsidRPr="00F05461">
        <w:rPr>
          <w:lang w:val="es-ES"/>
        </w:rPr>
        <w:t xml:space="preserve">la </w:t>
      </w:r>
      <w:r w:rsidR="004B580B" w:rsidRPr="00F05461">
        <w:rPr>
          <w:lang w:val="es-ES"/>
        </w:rPr>
        <w:t>Confianza</w:t>
      </w:r>
      <w:r w:rsidRPr="00F05461">
        <w:rPr>
          <w:lang w:val="es-ES"/>
        </w:rPr>
        <w:t xml:space="preserve">, celebrada en agosto </w:t>
      </w:r>
      <w:r w:rsidR="00B933C5" w:rsidRPr="00F05461">
        <w:rPr>
          <w:lang w:val="es-ES"/>
        </w:rPr>
        <w:t>de 202</w:t>
      </w:r>
      <w:r w:rsidRPr="00F05461">
        <w:rPr>
          <w:lang w:val="es-ES"/>
        </w:rPr>
        <w:t>5 en Arabia Saud</w:t>
      </w:r>
      <w:r w:rsidR="00605A12" w:rsidRPr="00F05461">
        <w:rPr>
          <w:lang w:val="es-ES"/>
        </w:rPr>
        <w:t>ita</w:t>
      </w:r>
      <w:r w:rsidRPr="00F05461">
        <w:rPr>
          <w:lang w:val="es-ES"/>
        </w:rPr>
        <w:t>, en vísperas del Simposio Mundial para Reguladores (GSR-25), reunió a más de 60</w:t>
      </w:r>
      <w:r w:rsidR="00605A12" w:rsidRPr="00F05461">
        <w:rPr>
          <w:lang w:val="es-ES"/>
        </w:rPr>
        <w:t> </w:t>
      </w:r>
      <w:r w:rsidRPr="00F05461">
        <w:rPr>
          <w:lang w:val="es-ES"/>
        </w:rPr>
        <w:t>participantes de 40</w:t>
      </w:r>
      <w:r w:rsidR="00605A12" w:rsidRPr="00F05461">
        <w:rPr>
          <w:lang w:val="es-ES"/>
        </w:rPr>
        <w:t> </w:t>
      </w:r>
      <w:r w:rsidRPr="00F05461">
        <w:rPr>
          <w:lang w:val="es-ES"/>
        </w:rPr>
        <w:t>países, a los que ayudó a fomentar su confianza para hablar en público, mejorar sus técnicas de comunicación y obtener consejos prácticos para realizar presentaciones e intervenciones eficaces. El 8 de octubre se organizó e impartió virtualmente un curso de formación previo a la</w:t>
      </w:r>
      <w:r w:rsidR="009354F8" w:rsidRPr="00F05461">
        <w:rPr>
          <w:lang w:val="es-ES"/>
        </w:rPr>
        <w:t> </w:t>
      </w:r>
      <w:r w:rsidRPr="00F05461">
        <w:rPr>
          <w:lang w:val="es-ES"/>
        </w:rPr>
        <w:t>CMDT</w:t>
      </w:r>
      <w:r w:rsidR="009354F8" w:rsidRPr="00F05461">
        <w:rPr>
          <w:lang w:val="es-ES"/>
        </w:rPr>
        <w:noBreakHyphen/>
      </w:r>
      <w:r w:rsidRPr="00F05461">
        <w:rPr>
          <w:lang w:val="es-ES"/>
        </w:rPr>
        <w:t>25, en el que participaron 143</w:t>
      </w:r>
      <w:r w:rsidR="00605A12" w:rsidRPr="00F05461">
        <w:rPr>
          <w:lang w:val="es-ES"/>
        </w:rPr>
        <w:t> </w:t>
      </w:r>
      <w:r w:rsidRPr="00F05461">
        <w:rPr>
          <w:lang w:val="es-ES"/>
        </w:rPr>
        <w:t>delegados de 64</w:t>
      </w:r>
      <w:r w:rsidR="00605A12" w:rsidRPr="00F05461">
        <w:rPr>
          <w:lang w:val="es-ES"/>
        </w:rPr>
        <w:t> </w:t>
      </w:r>
      <w:r w:rsidRPr="00F05461">
        <w:rPr>
          <w:lang w:val="es-ES"/>
        </w:rPr>
        <w:t xml:space="preserve">países. La serie de actividades </w:t>
      </w:r>
      <w:hyperlink r:id="rId365" w:history="1">
        <w:r w:rsidR="00587968" w:rsidRPr="009A2CFB">
          <w:rPr>
            <w:rStyle w:val="Hyperlink"/>
            <w:rFonts w:eastAsia="Times New Roman" w:cs="Times New Roman"/>
            <w:i/>
            <w:iCs/>
            <w:szCs w:val="20"/>
            <w:lang w:val="es-ES"/>
          </w:rPr>
          <w:t>Super Women Series: Enhance your presence, influence, and impact</w:t>
        </w:r>
      </w:hyperlink>
      <w:r w:rsidRPr="00F05461">
        <w:rPr>
          <w:lang w:val="es-ES"/>
        </w:rPr>
        <w:t xml:space="preserve"> se impartió en el marco de la Academia de </w:t>
      </w:r>
      <w:r w:rsidR="00296F03" w:rsidRPr="00F05461">
        <w:rPr>
          <w:lang w:val="es-ES"/>
        </w:rPr>
        <w:t>la UIT</w:t>
      </w:r>
      <w:r w:rsidRPr="00F05461">
        <w:rPr>
          <w:lang w:val="es-ES"/>
        </w:rPr>
        <w:t xml:space="preserve"> de octubre a noviembre. Más de 107</w:t>
      </w:r>
      <w:r w:rsidR="00587968" w:rsidRPr="00F05461">
        <w:rPr>
          <w:lang w:val="es-ES"/>
        </w:rPr>
        <w:t> </w:t>
      </w:r>
      <w:r w:rsidR="006A0CD0" w:rsidRPr="00F05461">
        <w:rPr>
          <w:lang w:val="es-ES"/>
        </w:rPr>
        <w:t xml:space="preserve">mujeres delegadas </w:t>
      </w:r>
      <w:r w:rsidRPr="00F05461">
        <w:rPr>
          <w:lang w:val="es-ES"/>
        </w:rPr>
        <w:t>participaron en esta formación, en representación de más de 42</w:t>
      </w:r>
      <w:r w:rsidR="00587968" w:rsidRPr="00F05461">
        <w:rPr>
          <w:lang w:val="es-ES"/>
        </w:rPr>
        <w:t> </w:t>
      </w:r>
      <w:r w:rsidRPr="00F05461">
        <w:rPr>
          <w:lang w:val="es-ES"/>
        </w:rPr>
        <w:t>Estados Miembros. UIT-T: participación femenina del 26</w:t>
      </w:r>
      <w:r w:rsidR="00587968" w:rsidRPr="00F05461">
        <w:rPr>
          <w:lang w:val="es-ES"/>
        </w:rPr>
        <w:t> </w:t>
      </w:r>
      <w:r w:rsidR="001D269F" w:rsidRPr="00F05461">
        <w:rPr>
          <w:lang w:val="es-ES"/>
        </w:rPr>
        <w:t>por ciento</w:t>
      </w:r>
      <w:r w:rsidRPr="00F05461">
        <w:rPr>
          <w:lang w:val="es-ES"/>
        </w:rPr>
        <w:t xml:space="preserve"> en la AMNT-24; NOW4AMNT-24 contribuyó a que las mujeres ocuparan el 25</w:t>
      </w:r>
      <w:r w:rsidR="00587968" w:rsidRPr="00F05461">
        <w:rPr>
          <w:lang w:val="es-ES"/>
        </w:rPr>
        <w:t> </w:t>
      </w:r>
      <w:r w:rsidR="001D269F" w:rsidRPr="00F05461">
        <w:rPr>
          <w:lang w:val="es-ES"/>
        </w:rPr>
        <w:t>por ciento</w:t>
      </w:r>
      <w:r w:rsidRPr="00F05461">
        <w:rPr>
          <w:lang w:val="es-ES"/>
        </w:rPr>
        <w:t xml:space="preserve"> de los puestos de liderazgo (un aumento del 25</w:t>
      </w:r>
      <w:r w:rsidR="00587968" w:rsidRPr="00F05461">
        <w:rPr>
          <w:lang w:val="es-ES"/>
        </w:rPr>
        <w:t> </w:t>
      </w:r>
      <w:r w:rsidR="00BB3432" w:rsidRPr="00F05461">
        <w:rPr>
          <w:lang w:val="es-ES"/>
        </w:rPr>
        <w:t>por ciento</w:t>
      </w:r>
      <w:r w:rsidRPr="00F05461">
        <w:rPr>
          <w:lang w:val="es-ES"/>
        </w:rPr>
        <w:t>) y el 28</w:t>
      </w:r>
      <w:r w:rsidR="00587968" w:rsidRPr="00F05461">
        <w:rPr>
          <w:lang w:val="es-ES"/>
        </w:rPr>
        <w:t> </w:t>
      </w:r>
      <w:r w:rsidR="001D269F" w:rsidRPr="00F05461">
        <w:rPr>
          <w:lang w:val="es-ES"/>
        </w:rPr>
        <w:t>por ciento</w:t>
      </w:r>
      <w:r w:rsidRPr="00F05461">
        <w:rPr>
          <w:lang w:val="es-ES"/>
        </w:rPr>
        <w:t xml:space="preserve"> de los puestos de expertos en normalización.</w:t>
      </w:r>
    </w:p>
    <w:p w14:paraId="690248FF" w14:textId="1BB99036" w:rsidR="007B4979" w:rsidRPr="00F05461" w:rsidRDefault="007B4979" w:rsidP="007B4979">
      <w:pPr>
        <w:rPr>
          <w:lang w:val="es-ES"/>
        </w:rPr>
      </w:pPr>
      <w:r w:rsidRPr="00F05461">
        <w:rPr>
          <w:lang w:val="es-ES"/>
        </w:rPr>
        <w:t>UIT-R: NOW4WRC aumentó la proporción de mujeres delegadas del 18</w:t>
      </w:r>
      <w:r w:rsidR="00587968" w:rsidRPr="00F05461">
        <w:rPr>
          <w:lang w:val="es-ES"/>
        </w:rPr>
        <w:t> </w:t>
      </w:r>
      <w:r w:rsidR="001D269F" w:rsidRPr="00F05461">
        <w:rPr>
          <w:lang w:val="es-ES"/>
        </w:rPr>
        <w:t>por ciento</w:t>
      </w:r>
      <w:r w:rsidRPr="00F05461">
        <w:rPr>
          <w:lang w:val="es-ES"/>
        </w:rPr>
        <w:t xml:space="preserve"> (2019) al 22</w:t>
      </w:r>
      <w:r w:rsidR="00587968" w:rsidRPr="00F05461">
        <w:rPr>
          <w:lang w:val="es-ES"/>
        </w:rPr>
        <w:t> </w:t>
      </w:r>
      <w:r w:rsidR="001D269F" w:rsidRPr="00F05461">
        <w:rPr>
          <w:lang w:val="es-ES"/>
        </w:rPr>
        <w:t>por ciento</w:t>
      </w:r>
      <w:r w:rsidRPr="00F05461">
        <w:rPr>
          <w:lang w:val="es-ES"/>
        </w:rPr>
        <w:t xml:space="preserve"> (2023); actualmente tiene lugar el programa de mentoría NOW4WRC27.</w:t>
      </w:r>
    </w:p>
    <w:p w14:paraId="17B74C8F" w14:textId="7092F5B0" w:rsidR="007B4979" w:rsidRPr="00F05461" w:rsidRDefault="007B4979" w:rsidP="007B4979">
      <w:pPr>
        <w:rPr>
          <w:lang w:val="es-ES"/>
        </w:rPr>
      </w:pPr>
      <w:r w:rsidRPr="00F05461">
        <w:rPr>
          <w:lang w:val="es-ES"/>
        </w:rPr>
        <w:t>En el</w:t>
      </w:r>
      <w:r w:rsidR="00605A12" w:rsidRPr="00F05461">
        <w:rPr>
          <w:lang w:val="es-ES"/>
        </w:rPr>
        <w:t> </w:t>
      </w:r>
      <w:r w:rsidRPr="00F05461">
        <w:rPr>
          <w:lang w:val="es-ES"/>
        </w:rPr>
        <w:t xml:space="preserve">UIT-T, la campaña </w:t>
      </w:r>
      <w:hyperlink r:id="rId366" w:history="1">
        <w:r w:rsidRPr="00F05461">
          <w:rPr>
            <w:rStyle w:val="Hyperlink"/>
            <w:rFonts w:eastAsia="Times New Roman" w:cs="Times New Roman"/>
            <w:szCs w:val="20"/>
            <w:lang w:val="es-ES"/>
          </w:rPr>
          <w:t>NOW4WTSA24</w:t>
        </w:r>
      </w:hyperlink>
      <w:r w:rsidRPr="00F05461">
        <w:rPr>
          <w:lang w:val="es-ES"/>
        </w:rPr>
        <w:t xml:space="preserve"> aumentó el número de candidaturas de mujeres para puestos de liderazgo, lo que contribuyó a que las mujeres ocuparan alrededor del 25</w:t>
      </w:r>
      <w:r w:rsidR="00587968" w:rsidRPr="00F05461">
        <w:rPr>
          <w:lang w:val="es-ES"/>
        </w:rPr>
        <w:t> </w:t>
      </w:r>
      <w:r w:rsidR="001D269F" w:rsidRPr="00F05461">
        <w:rPr>
          <w:lang w:val="es-ES"/>
        </w:rPr>
        <w:t>por ciento</w:t>
      </w:r>
      <w:r w:rsidRPr="00F05461">
        <w:rPr>
          <w:lang w:val="es-ES"/>
        </w:rPr>
        <w:t xml:space="preserve"> de los puestos de liderazgo </w:t>
      </w:r>
      <w:r w:rsidR="00A10309" w:rsidRPr="00F05461">
        <w:rPr>
          <w:lang w:val="es-ES"/>
        </w:rPr>
        <w:t>del UIT</w:t>
      </w:r>
      <w:r w:rsidR="00A10309" w:rsidRPr="00F05461">
        <w:rPr>
          <w:lang w:val="es-ES"/>
        </w:rPr>
        <w:noBreakHyphen/>
      </w:r>
      <w:r w:rsidRPr="00F05461">
        <w:rPr>
          <w:lang w:val="es-ES"/>
        </w:rPr>
        <w:t>T y representaran aproximadamente el 28</w:t>
      </w:r>
      <w:r w:rsidR="00587968" w:rsidRPr="00F05461">
        <w:rPr>
          <w:lang w:val="es-ES"/>
        </w:rPr>
        <w:t> </w:t>
      </w:r>
      <w:r w:rsidR="001D269F" w:rsidRPr="00F05461">
        <w:rPr>
          <w:lang w:val="es-ES"/>
        </w:rPr>
        <w:t>por ciento</w:t>
      </w:r>
      <w:r w:rsidRPr="00F05461">
        <w:rPr>
          <w:lang w:val="es-ES"/>
        </w:rPr>
        <w:t xml:space="preserve"> de los expertos en normalización.</w:t>
      </w:r>
    </w:p>
    <w:p w14:paraId="6E00CF55" w14:textId="60333AB2" w:rsidR="007B4979" w:rsidRPr="00F05461" w:rsidRDefault="007B4979" w:rsidP="007B4979">
      <w:pPr>
        <w:rPr>
          <w:lang w:val="es-ES"/>
        </w:rPr>
      </w:pPr>
      <w:r w:rsidRPr="00F05461">
        <w:rPr>
          <w:lang w:val="es-ES"/>
        </w:rPr>
        <w:t xml:space="preserve">La iniciativa </w:t>
      </w:r>
      <w:hyperlink r:id="rId367" w:history="1">
        <w:r w:rsidRPr="00F05461">
          <w:rPr>
            <w:rStyle w:val="Hyperlink"/>
            <w:rFonts w:eastAsia="Times New Roman" w:cs="Times New Roman"/>
            <w:szCs w:val="20"/>
            <w:lang w:val="es-ES"/>
          </w:rPr>
          <w:t>NOW4WRC</w:t>
        </w:r>
      </w:hyperlink>
      <w:r w:rsidRPr="00F05461">
        <w:rPr>
          <w:lang w:val="es-ES"/>
        </w:rPr>
        <w:t xml:space="preserve"> se adoptó para promover la igualdad de género y reducir las brechas de participación en las actividades de</w:t>
      </w:r>
      <w:r w:rsidR="00AC3213" w:rsidRPr="00F05461">
        <w:rPr>
          <w:lang w:val="es-ES"/>
        </w:rPr>
        <w:t>l UIT</w:t>
      </w:r>
      <w:r w:rsidRPr="00F05461">
        <w:rPr>
          <w:lang w:val="es-ES"/>
        </w:rPr>
        <w:t>-R. Las mujeres representaron el 22</w:t>
      </w:r>
      <w:r w:rsidR="00587968" w:rsidRPr="00F05461">
        <w:rPr>
          <w:lang w:val="es-ES"/>
        </w:rPr>
        <w:t> </w:t>
      </w:r>
      <w:r w:rsidR="001D269F" w:rsidRPr="00F05461">
        <w:rPr>
          <w:lang w:val="es-ES"/>
        </w:rPr>
        <w:t>por ciento</w:t>
      </w:r>
      <w:r w:rsidRPr="00F05461">
        <w:rPr>
          <w:lang w:val="es-ES"/>
        </w:rPr>
        <w:t xml:space="preserve"> de los delegados de la A</w:t>
      </w:r>
      <w:r w:rsidR="00FA591B" w:rsidRPr="00F05461">
        <w:rPr>
          <w:lang w:val="es-ES"/>
        </w:rPr>
        <w:t>R</w:t>
      </w:r>
      <w:r w:rsidRPr="00F05461">
        <w:rPr>
          <w:lang w:val="es-ES"/>
        </w:rPr>
        <w:t>/CMR-23, frente al 18</w:t>
      </w:r>
      <w:r w:rsidR="00587968" w:rsidRPr="00F05461">
        <w:rPr>
          <w:lang w:val="es-ES"/>
        </w:rPr>
        <w:t> </w:t>
      </w:r>
      <w:r w:rsidR="001D269F" w:rsidRPr="00F05461">
        <w:rPr>
          <w:lang w:val="es-ES"/>
        </w:rPr>
        <w:t>por ciento</w:t>
      </w:r>
      <w:r w:rsidRPr="00F05461">
        <w:rPr>
          <w:lang w:val="es-ES"/>
        </w:rPr>
        <w:t xml:space="preserve"> en 2019. Se convocó una nueva </w:t>
      </w:r>
      <w:hyperlink r:id="rId368" w:history="1">
        <w:r w:rsidRPr="00F05461">
          <w:rPr>
            <w:rStyle w:val="Hyperlink"/>
            <w:rFonts w:eastAsia="Times New Roman" w:cs="Times New Roman"/>
            <w:szCs w:val="20"/>
            <w:lang w:val="es-ES"/>
          </w:rPr>
          <w:t>Red de Ministras y Líderes en TIC</w:t>
        </w:r>
      </w:hyperlink>
      <w:r w:rsidRPr="00F05461">
        <w:rPr>
          <w:lang w:val="es-ES"/>
        </w:rPr>
        <w:t xml:space="preserve"> en el evento de alto nivel de la</w:t>
      </w:r>
      <w:r w:rsidR="00FA591B" w:rsidRPr="00F05461">
        <w:rPr>
          <w:lang w:val="es-ES"/>
        </w:rPr>
        <w:t> </w:t>
      </w:r>
      <w:r w:rsidRPr="00F05461">
        <w:rPr>
          <w:lang w:val="es-ES"/>
        </w:rPr>
        <w:t xml:space="preserve">CMSI+20, celebrado en julio </w:t>
      </w:r>
      <w:r w:rsidR="00B933C5" w:rsidRPr="00F05461">
        <w:rPr>
          <w:lang w:val="es-ES"/>
        </w:rPr>
        <w:t>de 202</w:t>
      </w:r>
      <w:r w:rsidRPr="00F05461">
        <w:rPr>
          <w:lang w:val="es-ES"/>
        </w:rPr>
        <w:t>4, y durante el evento de alto nivel de la</w:t>
      </w:r>
      <w:r w:rsidR="00FA591B" w:rsidRPr="00F05461">
        <w:rPr>
          <w:lang w:val="es-ES"/>
        </w:rPr>
        <w:t> </w:t>
      </w:r>
      <w:r w:rsidRPr="00F05461">
        <w:rPr>
          <w:lang w:val="es-ES"/>
        </w:rPr>
        <w:t xml:space="preserve">CMSI+20 y la Cumbre Mundial AI for Good </w:t>
      </w:r>
      <w:r w:rsidR="00B933C5" w:rsidRPr="00F05461">
        <w:rPr>
          <w:lang w:val="es-ES"/>
        </w:rPr>
        <w:t>de 202</w:t>
      </w:r>
      <w:r w:rsidRPr="00F05461">
        <w:rPr>
          <w:lang w:val="es-ES"/>
        </w:rPr>
        <w:t>5. Se está llevando a cabo un programa de mentoría para la próxima Conferencia Mundial de Radiocomunicaciones (CMR-27) en el marco de la iniciativa</w:t>
      </w:r>
      <w:r w:rsidR="00FA591B" w:rsidRPr="00F05461">
        <w:rPr>
          <w:lang w:val="es-ES"/>
        </w:rPr>
        <w:t> </w:t>
      </w:r>
      <w:r w:rsidRPr="00F05461">
        <w:rPr>
          <w:lang w:val="es-ES"/>
        </w:rPr>
        <w:t xml:space="preserve">NOW4WRC27. Se ha puesto en marcha un nuevo mecanismo de coordinación para todas las redes de mujeres de </w:t>
      </w:r>
      <w:r w:rsidR="00296F03" w:rsidRPr="00F05461">
        <w:rPr>
          <w:lang w:val="es-ES"/>
        </w:rPr>
        <w:t>la UIT</w:t>
      </w:r>
      <w:r w:rsidRPr="00F05461">
        <w:rPr>
          <w:lang w:val="es-ES"/>
        </w:rPr>
        <w:t>, con la participación de las secretarías de NoW, con el fin de compartir conocimientos, prácticas idóneas y actividades conjuntas.</w:t>
      </w:r>
    </w:p>
    <w:p w14:paraId="301ED15D" w14:textId="6E69ED72" w:rsidR="007B4979" w:rsidRPr="00F05461" w:rsidRDefault="007B4979" w:rsidP="007B4979">
      <w:pPr>
        <w:rPr>
          <w:lang w:val="es-ES"/>
        </w:rPr>
      </w:pPr>
      <w:r w:rsidRPr="00F05461">
        <w:rPr>
          <w:lang w:val="es-ES"/>
        </w:rPr>
        <w:lastRenderedPageBreak/>
        <w:t xml:space="preserve">En 2024, el </w:t>
      </w:r>
      <w:hyperlink r:id="rId369" w:history="1">
        <w:r w:rsidRPr="00F05461">
          <w:rPr>
            <w:rStyle w:val="Hyperlink"/>
            <w:rFonts w:eastAsia="Times New Roman" w:cs="Times New Roman"/>
            <w:i/>
            <w:iCs/>
            <w:szCs w:val="20"/>
            <w:lang w:val="es-ES"/>
          </w:rPr>
          <w:t>Manual sobre la integración de la perspectiva de género en las políticas digitales</w:t>
        </w:r>
      </w:hyperlink>
      <w:r w:rsidRPr="00F05461">
        <w:rPr>
          <w:lang w:val="es-ES"/>
        </w:rPr>
        <w:t xml:space="preserve"> proporcionó a los Estados Miembros </w:t>
      </w:r>
      <w:r w:rsidR="00AB0DD5" w:rsidRPr="00F05461">
        <w:rPr>
          <w:lang w:val="es-ES"/>
        </w:rPr>
        <w:t xml:space="preserve">buenas </w:t>
      </w:r>
      <w:r w:rsidRPr="00F05461">
        <w:rPr>
          <w:lang w:val="es-ES"/>
        </w:rPr>
        <w:t>prácticas sobre la forma de integrar la perspectiva de género en las políticas digitales actuales y las futuras.</w:t>
      </w:r>
    </w:p>
    <w:p w14:paraId="29529C67" w14:textId="00541477" w:rsidR="007B4979" w:rsidRPr="00F05461" w:rsidRDefault="00296F03" w:rsidP="007B4979">
      <w:pPr>
        <w:rPr>
          <w:lang w:val="es-ES"/>
        </w:rPr>
      </w:pPr>
      <w:r w:rsidRPr="00F05461">
        <w:rPr>
          <w:lang w:val="es-ES"/>
        </w:rPr>
        <w:t>La UIT</w:t>
      </w:r>
      <w:r w:rsidR="007B4979" w:rsidRPr="00F05461">
        <w:rPr>
          <w:lang w:val="es-ES"/>
        </w:rPr>
        <w:t xml:space="preserve"> celebró su </w:t>
      </w:r>
      <w:hyperlink r:id="rId370" w:history="1">
        <w:r w:rsidR="007B4979" w:rsidRPr="00F05461">
          <w:rPr>
            <w:rStyle w:val="Hyperlink"/>
            <w:rFonts w:eastAsia="Times New Roman" w:cs="Times New Roman"/>
            <w:szCs w:val="20"/>
            <w:lang w:val="es-ES"/>
          </w:rPr>
          <w:t>160.º</w:t>
        </w:r>
        <w:r w:rsidR="00FA591B" w:rsidRPr="00F05461">
          <w:rPr>
            <w:rStyle w:val="Hyperlink"/>
            <w:rFonts w:eastAsia="Times New Roman" w:cs="Times New Roman"/>
            <w:szCs w:val="20"/>
            <w:lang w:val="es-ES"/>
          </w:rPr>
          <w:t> </w:t>
        </w:r>
        <w:r w:rsidR="007B4979" w:rsidRPr="00F05461">
          <w:rPr>
            <w:rStyle w:val="Hyperlink"/>
            <w:rFonts w:eastAsia="Times New Roman" w:cs="Times New Roman"/>
            <w:szCs w:val="20"/>
            <w:lang w:val="es-ES"/>
          </w:rPr>
          <w:t>aniversario</w:t>
        </w:r>
      </w:hyperlink>
      <w:r w:rsidR="007B4979" w:rsidRPr="00F05461">
        <w:rPr>
          <w:lang w:val="es-ES"/>
        </w:rPr>
        <w:t xml:space="preserve"> en 2025 y conmemoró el Día Mundial de las Telecomunicaciones y la Sociedad de la Información (</w:t>
      </w:r>
      <w:r w:rsidR="00860D1A" w:rsidRPr="00F05461">
        <w:rPr>
          <w:lang w:val="es-ES"/>
        </w:rPr>
        <w:t>DMTSI</w:t>
      </w:r>
      <w:r w:rsidR="007B4979" w:rsidRPr="00F05461">
        <w:rPr>
          <w:lang w:val="es-ES"/>
        </w:rPr>
        <w:t>) con el lema «</w:t>
      </w:r>
      <w:hyperlink r:id="rId371" w:history="1">
        <w:r w:rsidR="007B4979" w:rsidRPr="00F05461">
          <w:rPr>
            <w:rStyle w:val="Hyperlink"/>
            <w:rFonts w:eastAsia="Times New Roman" w:cs="Times New Roman"/>
            <w:szCs w:val="20"/>
            <w:lang w:val="es-ES"/>
          </w:rPr>
          <w:t>Igualdad de género en la transformación digital</w:t>
        </w:r>
      </w:hyperlink>
      <w:r w:rsidR="007B4979" w:rsidRPr="00F05461">
        <w:rPr>
          <w:lang w:val="es-ES"/>
        </w:rPr>
        <w:t xml:space="preserve">». La iniciativa </w:t>
      </w:r>
      <w:hyperlink r:id="rId372" w:history="1">
        <w:r w:rsidR="007B4979" w:rsidRPr="00F05461">
          <w:rPr>
            <w:rStyle w:val="Hyperlink"/>
            <w:rFonts w:eastAsia="Times New Roman" w:cs="Times New Roman"/>
            <w:szCs w:val="20"/>
            <w:lang w:val="es-ES"/>
          </w:rPr>
          <w:t>ITU160 Gender Champions</w:t>
        </w:r>
      </w:hyperlink>
      <w:r w:rsidR="007B4979" w:rsidRPr="00F05461">
        <w:rPr>
          <w:lang w:val="es-ES"/>
        </w:rPr>
        <w:t xml:space="preserve"> encarna esa visión al fomentar el liderazgo de las mujeres jóvenes en el desarrollo digital e impulsar un futuro digital inclusivo y equitativo.</w:t>
      </w:r>
    </w:p>
    <w:p w14:paraId="6146D70F" w14:textId="18F90675" w:rsidR="007B4979" w:rsidRPr="00F05461" w:rsidRDefault="007B4979" w:rsidP="007B4979">
      <w:pPr>
        <w:rPr>
          <w:lang w:val="es-ES"/>
        </w:rPr>
      </w:pPr>
      <w:r w:rsidRPr="00F05461">
        <w:rPr>
          <w:lang w:val="es-ES"/>
        </w:rPr>
        <w:t>La perspectiva de género se integra en todas las actividades del Foro anual de la</w:t>
      </w:r>
      <w:r w:rsidR="00FA591B" w:rsidRPr="00F05461">
        <w:rPr>
          <w:lang w:val="es-ES"/>
        </w:rPr>
        <w:t> </w:t>
      </w:r>
      <w:r w:rsidRPr="00F05461">
        <w:rPr>
          <w:lang w:val="es-ES"/>
        </w:rPr>
        <w:t xml:space="preserve">CMSI. El </w:t>
      </w:r>
      <w:hyperlink r:id="rId373" w:history="1">
        <w:r w:rsidRPr="00F05461">
          <w:rPr>
            <w:rStyle w:val="Hyperlink"/>
            <w:rFonts w:eastAsia="Times New Roman" w:cs="Times New Roman"/>
            <w:szCs w:val="20"/>
            <w:lang w:val="es-ES"/>
          </w:rPr>
          <w:t xml:space="preserve">Documento </w:t>
        </w:r>
        <w:r w:rsidR="00FA591B" w:rsidRPr="00F05461">
          <w:rPr>
            <w:rStyle w:val="Hyperlink"/>
            <w:rFonts w:eastAsia="Times New Roman" w:cs="Times New Roman"/>
            <w:szCs w:val="20"/>
            <w:lang w:val="es-ES"/>
          </w:rPr>
          <w:t>f</w:t>
        </w:r>
        <w:r w:rsidRPr="00F05461">
          <w:rPr>
            <w:rStyle w:val="Hyperlink"/>
            <w:rFonts w:eastAsia="Times New Roman" w:cs="Times New Roman"/>
            <w:szCs w:val="20"/>
            <w:lang w:val="es-ES"/>
          </w:rPr>
          <w:t>inal de la</w:t>
        </w:r>
        <w:r w:rsidR="00FA591B" w:rsidRPr="00F05461">
          <w:rPr>
            <w:rStyle w:val="Hyperlink"/>
            <w:rFonts w:eastAsia="Times New Roman" w:cs="Times New Roman"/>
            <w:szCs w:val="20"/>
            <w:lang w:val="es-ES"/>
          </w:rPr>
          <w:t> </w:t>
        </w:r>
        <w:r w:rsidRPr="00F05461">
          <w:rPr>
            <w:rStyle w:val="Hyperlink"/>
            <w:rFonts w:eastAsia="Times New Roman" w:cs="Times New Roman"/>
            <w:szCs w:val="20"/>
            <w:lang w:val="es-ES"/>
          </w:rPr>
          <w:t>CMSI+20</w:t>
        </w:r>
      </w:hyperlink>
      <w:r w:rsidRPr="00F05461">
        <w:rPr>
          <w:lang w:val="es-ES"/>
        </w:rPr>
        <w:t xml:space="preserve">, adoptado en la Asamblea General de las Naciones Unidas en diciembre </w:t>
      </w:r>
      <w:r w:rsidR="00B933C5" w:rsidRPr="00F05461">
        <w:rPr>
          <w:lang w:val="es-ES"/>
        </w:rPr>
        <w:t>de 202</w:t>
      </w:r>
      <w:r w:rsidRPr="00F05461">
        <w:rPr>
          <w:lang w:val="es-ES"/>
        </w:rPr>
        <w:t>5, aboga por una transformación digital que tenga en cuenta las cuestiones de género e integra la perspectiva de género en todas las líneas de acción de la</w:t>
      </w:r>
      <w:r w:rsidR="00EB694D" w:rsidRPr="00F05461">
        <w:rPr>
          <w:lang w:val="es-ES"/>
        </w:rPr>
        <w:t> </w:t>
      </w:r>
      <w:r w:rsidRPr="00F05461">
        <w:rPr>
          <w:lang w:val="es-ES"/>
        </w:rPr>
        <w:t>CMSI.</w:t>
      </w:r>
    </w:p>
    <w:p w14:paraId="75B54AC4" w14:textId="30A695F3" w:rsidR="007B4979" w:rsidRPr="00F05461" w:rsidRDefault="007B4979" w:rsidP="007B4979">
      <w:pPr>
        <w:rPr>
          <w:lang w:val="es-ES"/>
        </w:rPr>
      </w:pPr>
      <w:r w:rsidRPr="00F05461">
        <w:rPr>
          <w:lang w:val="es-ES"/>
        </w:rPr>
        <w:t>En el marco de los 16</w:t>
      </w:r>
      <w:r w:rsidR="00605A12" w:rsidRPr="00F05461">
        <w:rPr>
          <w:lang w:val="es-ES"/>
        </w:rPr>
        <w:t> </w:t>
      </w:r>
      <w:r w:rsidRPr="00F05461">
        <w:rPr>
          <w:lang w:val="es-ES"/>
        </w:rPr>
        <w:t xml:space="preserve">Días de Activismo en las Naciones Unidas </w:t>
      </w:r>
      <w:r w:rsidR="00B933C5" w:rsidRPr="00F05461">
        <w:rPr>
          <w:lang w:val="es-ES"/>
        </w:rPr>
        <w:t>de 202</w:t>
      </w:r>
      <w:r w:rsidRPr="00F05461">
        <w:rPr>
          <w:lang w:val="es-ES"/>
        </w:rPr>
        <w:t xml:space="preserve">5, con el lema «ÚNETE para poner fin a la violencia digital contra todas las mujeres y niñas», </w:t>
      </w:r>
      <w:r w:rsidR="00296F03" w:rsidRPr="00F05461">
        <w:rPr>
          <w:lang w:val="es-ES"/>
        </w:rPr>
        <w:t>la UIT</w:t>
      </w:r>
      <w:r w:rsidRPr="00F05461">
        <w:rPr>
          <w:lang w:val="es-ES"/>
        </w:rPr>
        <w:t xml:space="preserve"> organizó una campaña de vídeos en redes sociales, coescribió un </w:t>
      </w:r>
      <w:hyperlink r:id="rId374" w:history="1">
        <w:r w:rsidRPr="00F05461">
          <w:rPr>
            <w:rStyle w:val="Hyperlink"/>
            <w:rFonts w:eastAsia="Times New Roman" w:cs="Times New Roman"/>
            <w:szCs w:val="20"/>
            <w:lang w:val="es-ES"/>
          </w:rPr>
          <w:t>artículo para blog</w:t>
        </w:r>
      </w:hyperlink>
      <w:r w:rsidRPr="00F05461">
        <w:rPr>
          <w:lang w:val="es-ES"/>
        </w:rPr>
        <w:t xml:space="preserve"> sobre un Plan Interna</w:t>
      </w:r>
      <w:r w:rsidR="00860D1A" w:rsidRPr="00F05461">
        <w:rPr>
          <w:lang w:val="es-ES"/>
        </w:rPr>
        <w:t>c</w:t>
      </w:r>
      <w:r w:rsidRPr="00F05461">
        <w:rPr>
          <w:lang w:val="es-ES"/>
        </w:rPr>
        <w:t>ional y celebró una reunión virtual sobre acoso sexual en el sector tecnológico, en colaboración con ONU</w:t>
      </w:r>
      <w:r w:rsidR="00860D1A" w:rsidRPr="00F05461">
        <w:rPr>
          <w:lang w:val="es-ES"/>
        </w:rPr>
        <w:t> </w:t>
      </w:r>
      <w:r w:rsidRPr="00F05461">
        <w:rPr>
          <w:lang w:val="es-ES"/>
        </w:rPr>
        <w:t xml:space="preserve">Mujeres. Por otro lado, </w:t>
      </w:r>
      <w:r w:rsidR="00296F03" w:rsidRPr="00F05461">
        <w:rPr>
          <w:lang w:val="es-ES"/>
        </w:rPr>
        <w:t>la UIT</w:t>
      </w:r>
      <w:r w:rsidRPr="00F05461">
        <w:rPr>
          <w:lang w:val="es-ES"/>
        </w:rPr>
        <w:t xml:space="preserve"> ha participado activamente en la labor de la Junta Asesora del Presidente del Consejo de Derechos Humanos sobre Igualdad de Género.</w:t>
      </w:r>
    </w:p>
    <w:p w14:paraId="470225C2" w14:textId="39CB5C97" w:rsidR="007B4979" w:rsidRPr="00F05461" w:rsidRDefault="00296F03" w:rsidP="007B4979">
      <w:pPr>
        <w:rPr>
          <w:lang w:val="es-ES"/>
        </w:rPr>
      </w:pPr>
      <w:r w:rsidRPr="00F05461">
        <w:rPr>
          <w:lang w:val="es-ES"/>
        </w:rPr>
        <w:t>La UIT</w:t>
      </w:r>
      <w:r w:rsidR="007B4979" w:rsidRPr="00F05461">
        <w:rPr>
          <w:lang w:val="es-ES"/>
        </w:rPr>
        <w:t xml:space="preserve"> sigue proporcionando información anualmente al Plan de Acción de todo el sistema de las Naciones Unidas sobre la igualdad de género y el empoderamiento de la mujer (</w:t>
      </w:r>
      <w:hyperlink r:id="rId375" w:history="1">
        <w:r w:rsidR="00860D1A" w:rsidRPr="00F05461">
          <w:rPr>
            <w:rStyle w:val="Hyperlink"/>
            <w:rFonts w:eastAsia="Times New Roman" w:cs="Times New Roman"/>
            <w:szCs w:val="20"/>
            <w:lang w:val="es-ES"/>
          </w:rPr>
          <w:t>ONU</w:t>
        </w:r>
        <w:r w:rsidR="00587968" w:rsidRPr="00F05461">
          <w:rPr>
            <w:rStyle w:val="Hyperlink"/>
            <w:rFonts w:eastAsia="Times New Roman" w:cs="Times New Roman"/>
            <w:szCs w:val="20"/>
            <w:lang w:val="es-ES"/>
          </w:rPr>
          <w:noBreakHyphen/>
        </w:r>
        <w:r w:rsidR="007B4979" w:rsidRPr="00F05461">
          <w:rPr>
            <w:rStyle w:val="Hyperlink"/>
            <w:rFonts w:eastAsia="Times New Roman" w:cs="Times New Roman"/>
            <w:szCs w:val="20"/>
            <w:lang w:val="es-ES"/>
          </w:rPr>
          <w:t>SWAP</w:t>
        </w:r>
      </w:hyperlink>
      <w:r w:rsidR="007B4979" w:rsidRPr="00F05461">
        <w:rPr>
          <w:lang w:val="es-ES"/>
        </w:rPr>
        <w:t xml:space="preserve">). Se convocó la </w:t>
      </w:r>
      <w:hyperlink r:id="rId376" w:history="1">
        <w:r w:rsidR="007B4979" w:rsidRPr="00F05461">
          <w:rPr>
            <w:rStyle w:val="Hyperlink"/>
            <w:rFonts w:eastAsia="Times New Roman" w:cs="Times New Roman"/>
            <w:szCs w:val="20"/>
            <w:lang w:val="es-ES"/>
          </w:rPr>
          <w:t>Red de Ministras y Líderes en TIC</w:t>
        </w:r>
      </w:hyperlink>
      <w:r w:rsidR="007B4979" w:rsidRPr="00F05461">
        <w:rPr>
          <w:lang w:val="es-ES"/>
        </w:rPr>
        <w:t>. El equilibrio de género institucional sigue constituyendo un reto, ya que la presencia de mujeres en puestos de alta dirección (P5</w:t>
      </w:r>
      <w:r w:rsidR="00860D1A" w:rsidRPr="00F05461">
        <w:rPr>
          <w:lang w:val="es-ES"/>
        </w:rPr>
        <w:noBreakHyphen/>
      </w:r>
      <w:r w:rsidR="007B4979" w:rsidRPr="00F05461">
        <w:rPr>
          <w:lang w:val="es-ES"/>
        </w:rPr>
        <w:t>D1</w:t>
      </w:r>
      <w:r w:rsidR="00860D1A" w:rsidRPr="00F05461">
        <w:rPr>
          <w:lang w:val="es-ES"/>
        </w:rPr>
        <w:noBreakHyphen/>
      </w:r>
      <w:r w:rsidR="007B4979" w:rsidRPr="00F05461">
        <w:rPr>
          <w:lang w:val="es-ES"/>
        </w:rPr>
        <w:t>D2) solo ha aumentado del 31</w:t>
      </w:r>
      <w:r w:rsidR="00587968" w:rsidRPr="00F05461">
        <w:rPr>
          <w:lang w:val="es-ES"/>
        </w:rPr>
        <w:t> </w:t>
      </w:r>
      <w:r w:rsidR="00BF0FFC" w:rsidRPr="00F05461">
        <w:rPr>
          <w:lang w:val="es-ES"/>
        </w:rPr>
        <w:t>por ciento</w:t>
      </w:r>
      <w:r w:rsidR="007B4979" w:rsidRPr="00F05461">
        <w:rPr>
          <w:lang w:val="es-ES"/>
        </w:rPr>
        <w:t xml:space="preserve"> (a finales </w:t>
      </w:r>
      <w:r w:rsidR="00B933C5" w:rsidRPr="00F05461">
        <w:rPr>
          <w:lang w:val="es-ES"/>
        </w:rPr>
        <w:t>de 202</w:t>
      </w:r>
      <w:r w:rsidR="007B4979" w:rsidRPr="00F05461">
        <w:rPr>
          <w:lang w:val="es-ES"/>
        </w:rPr>
        <w:t>2) al 33</w:t>
      </w:r>
      <w:r w:rsidR="00587968" w:rsidRPr="00F05461">
        <w:rPr>
          <w:lang w:val="es-ES"/>
        </w:rPr>
        <w:t> </w:t>
      </w:r>
      <w:r w:rsidR="00BF0FFC" w:rsidRPr="00F05461">
        <w:rPr>
          <w:lang w:val="es-ES"/>
        </w:rPr>
        <w:t>por ciento</w:t>
      </w:r>
      <w:r w:rsidR="007B4979" w:rsidRPr="00F05461">
        <w:rPr>
          <w:lang w:val="es-ES"/>
        </w:rPr>
        <w:t xml:space="preserve"> (a finales </w:t>
      </w:r>
      <w:r w:rsidR="00B933C5" w:rsidRPr="00F05461">
        <w:rPr>
          <w:lang w:val="es-ES"/>
        </w:rPr>
        <w:t>de 202</w:t>
      </w:r>
      <w:r w:rsidR="007B4979" w:rsidRPr="00F05461">
        <w:rPr>
          <w:lang w:val="es-ES"/>
        </w:rPr>
        <w:t>5). Entre las iniciativas para abordar esa situación se incluyen el refuerzo de los marcos de rendición de cuentas, la cultura organizativa y la mejora de las medidas de captación de talento. La nueva política de permiso parental introducida en 2023, que amplía a 16</w:t>
      </w:r>
      <w:r w:rsidR="00587968" w:rsidRPr="00F05461">
        <w:rPr>
          <w:lang w:val="es-ES"/>
        </w:rPr>
        <w:t> </w:t>
      </w:r>
      <w:r w:rsidR="007B4979" w:rsidRPr="00F05461">
        <w:rPr>
          <w:lang w:val="es-ES"/>
        </w:rPr>
        <w:t>semanas el permiso para todos los padres y madres, más 10</w:t>
      </w:r>
      <w:r w:rsidR="00605A12" w:rsidRPr="00F05461">
        <w:rPr>
          <w:lang w:val="es-ES"/>
        </w:rPr>
        <w:t> </w:t>
      </w:r>
      <w:r w:rsidR="007B4979" w:rsidRPr="00F05461">
        <w:rPr>
          <w:lang w:val="es-ES"/>
        </w:rPr>
        <w:t xml:space="preserve">semanas adicionales para las madres, tiene por objeto facilitar la conciliación de la vida laboral y la familiar y retener talento de índole diversa. </w:t>
      </w:r>
      <w:r w:rsidRPr="00F05461">
        <w:rPr>
          <w:lang w:val="es-ES"/>
        </w:rPr>
        <w:t>La UIT</w:t>
      </w:r>
      <w:r w:rsidR="007B4979" w:rsidRPr="00F05461">
        <w:rPr>
          <w:lang w:val="es-ES"/>
        </w:rPr>
        <w:t xml:space="preserve"> también se ha comprometido con el Plan de las Naciones Unidas para la Promoción de la Igualdad de Género (GEAP), en virtud del cual la alta dirección fomenta la integración eficaz de las cuestiones de igualdad de género.</w:t>
      </w:r>
    </w:p>
    <w:p w14:paraId="386F5453" w14:textId="09759B32" w:rsidR="007B4979" w:rsidRPr="00F05461" w:rsidRDefault="007B4979" w:rsidP="007B4979">
      <w:pPr>
        <w:rPr>
          <w:lang w:val="es-ES"/>
        </w:rPr>
      </w:pPr>
      <w:r w:rsidRPr="00F05461">
        <w:rPr>
          <w:lang w:val="es-ES"/>
        </w:rPr>
        <w:t xml:space="preserve">El Grupo Especial de </w:t>
      </w:r>
      <w:r w:rsidR="00296F03" w:rsidRPr="00F05461">
        <w:rPr>
          <w:lang w:val="es-ES"/>
        </w:rPr>
        <w:t>la UIT</w:t>
      </w:r>
      <w:r w:rsidRPr="00F05461">
        <w:rPr>
          <w:lang w:val="es-ES"/>
        </w:rPr>
        <w:t xml:space="preserve"> sobre Cuestiones de Género es el mecanismo de coordinación interna de </w:t>
      </w:r>
      <w:r w:rsidR="00296F03" w:rsidRPr="00F05461">
        <w:rPr>
          <w:lang w:val="es-ES"/>
        </w:rPr>
        <w:t>la UIT</w:t>
      </w:r>
      <w:r w:rsidRPr="00F05461">
        <w:rPr>
          <w:lang w:val="es-ES"/>
        </w:rPr>
        <w:t xml:space="preserve"> en materia de cuestiones de igualdad de género e integración de la perspectiva de género, constituido para fomentar la integración de la perspectiva de género en todos los Sectores y en la Secretaría General. Se ha desarrollado un nuevo mecanismo interno de coordinación y rendición de cuentas para dicho Grupo Especial sobre Cuestiones de Género.</w:t>
      </w:r>
    </w:p>
    <w:p w14:paraId="2202CD9E" w14:textId="6368D77B" w:rsidR="007B4979" w:rsidRPr="00F05461" w:rsidRDefault="007B4979" w:rsidP="007B4979">
      <w:pPr>
        <w:rPr>
          <w:lang w:val="es-ES"/>
        </w:rPr>
      </w:pPr>
      <w:r w:rsidRPr="00F05461">
        <w:rPr>
          <w:lang w:val="es-ES"/>
        </w:rPr>
        <w:t xml:space="preserve">Una evaluación de la capacidad del personal realizada en enero </w:t>
      </w:r>
      <w:r w:rsidR="00B933C5" w:rsidRPr="00F05461">
        <w:rPr>
          <w:lang w:val="es-ES"/>
        </w:rPr>
        <w:t>de 202</w:t>
      </w:r>
      <w:r w:rsidRPr="00F05461">
        <w:rPr>
          <w:lang w:val="es-ES"/>
        </w:rPr>
        <w:t xml:space="preserve">4 puso de manifiesto nuevas necesidades en cuanto a capacitación y paridad de género, que dio lugar a la organización de cursos de formación sobre liderazgo inclusivo, microagresiones y prevención del acoso, y se elaboró un Plan de Paridad de Género de </w:t>
      </w:r>
      <w:r w:rsidR="00296F03" w:rsidRPr="00F05461">
        <w:rPr>
          <w:lang w:val="es-ES"/>
        </w:rPr>
        <w:t>la UIT</w:t>
      </w:r>
      <w:r w:rsidRPr="00F05461">
        <w:rPr>
          <w:lang w:val="es-ES"/>
        </w:rPr>
        <w:t xml:space="preserve"> en 2025. A raíz de la primera encuesta sobre partición de los miembros del personal de </w:t>
      </w:r>
      <w:r w:rsidR="00296F03" w:rsidRPr="00F05461">
        <w:rPr>
          <w:lang w:val="es-ES"/>
        </w:rPr>
        <w:t>la UIT</w:t>
      </w:r>
      <w:r w:rsidRPr="00F05461">
        <w:rPr>
          <w:lang w:val="es-ES"/>
        </w:rPr>
        <w:t xml:space="preserve">, realizada en enero </w:t>
      </w:r>
      <w:r w:rsidR="00B933C5" w:rsidRPr="00F05461">
        <w:rPr>
          <w:lang w:val="es-ES"/>
        </w:rPr>
        <w:t>de 202</w:t>
      </w:r>
      <w:r w:rsidRPr="00F05461">
        <w:rPr>
          <w:lang w:val="es-ES"/>
        </w:rPr>
        <w:t xml:space="preserve">5, se estableció una importante función de supervisión para facilitar las actividades de mejora </w:t>
      </w:r>
      <w:r w:rsidRPr="00F05461">
        <w:rPr>
          <w:lang w:val="es-ES"/>
        </w:rPr>
        <w:lastRenderedPageBreak/>
        <w:t xml:space="preserve">continuada, en particular en lo que respecta a la igualdad de género y la integración de la perspectiva de género en </w:t>
      </w:r>
      <w:r w:rsidR="00296F03" w:rsidRPr="00F05461">
        <w:rPr>
          <w:lang w:val="es-ES"/>
        </w:rPr>
        <w:t>la UIT</w:t>
      </w:r>
      <w:r w:rsidRPr="00F05461">
        <w:rPr>
          <w:lang w:val="es-ES"/>
        </w:rPr>
        <w:t>.</w:t>
      </w:r>
    </w:p>
    <w:p w14:paraId="6096FB97" w14:textId="7BFCA684" w:rsidR="007B4979" w:rsidRPr="00F05461" w:rsidRDefault="007B4979" w:rsidP="007B4979">
      <w:pPr>
        <w:rPr>
          <w:lang w:val="es-ES"/>
        </w:rPr>
      </w:pPr>
      <w:r w:rsidRPr="00F05461">
        <w:rPr>
          <w:lang w:val="es-ES"/>
        </w:rPr>
        <w:t xml:space="preserve">El hito de liderazgo de </w:t>
      </w:r>
      <w:r w:rsidR="00296F03" w:rsidRPr="00F05461">
        <w:rPr>
          <w:lang w:val="es-ES"/>
        </w:rPr>
        <w:t>la UIT</w:t>
      </w:r>
      <w:r w:rsidRPr="00F05461">
        <w:rPr>
          <w:lang w:val="es-ES"/>
        </w:rPr>
        <w:t xml:space="preserve"> en la</w:t>
      </w:r>
      <w:r w:rsidR="00605A12" w:rsidRPr="00F05461">
        <w:rPr>
          <w:lang w:val="es-ES"/>
        </w:rPr>
        <w:t> </w:t>
      </w:r>
      <w:r w:rsidRPr="00F05461">
        <w:rPr>
          <w:lang w:val="es-ES"/>
        </w:rPr>
        <w:t xml:space="preserve">PP-22, a raíz de la elección de su primera Secretaria General, que asumió el cargo en enero </w:t>
      </w:r>
      <w:r w:rsidR="00B933C5" w:rsidRPr="00F05461">
        <w:rPr>
          <w:lang w:val="es-ES"/>
        </w:rPr>
        <w:t>de 202</w:t>
      </w:r>
      <w:r w:rsidRPr="00F05461">
        <w:rPr>
          <w:lang w:val="es-ES"/>
        </w:rPr>
        <w:t>3, refleja una prueba del compromiso de la organización con la igualdad de género en todos los niveles de gobernanza.</w:t>
      </w:r>
    </w:p>
    <w:p w14:paraId="1B3EBDDA" w14:textId="16999874" w:rsidR="007B4979" w:rsidRPr="00F05461" w:rsidRDefault="007B4979" w:rsidP="007B4979">
      <w:pPr>
        <w:rPr>
          <w:lang w:val="es-ES"/>
        </w:rPr>
      </w:pPr>
      <w:r w:rsidRPr="00F05461">
        <w:rPr>
          <w:lang w:val="es-ES"/>
        </w:rPr>
        <w:t xml:space="preserve">Para ampliar información, consúltese </w:t>
      </w:r>
      <w:hyperlink r:id="rId377" w:history="1">
        <w:r w:rsidRPr="00F05461">
          <w:rPr>
            <w:rStyle w:val="Hyperlink"/>
            <w:rFonts w:eastAsia="Times New Roman" w:cs="Times New Roman"/>
            <w:szCs w:val="20"/>
            <w:lang w:val="es-ES"/>
          </w:rPr>
          <w:t>www.itu.int/gender</w:t>
        </w:r>
      </w:hyperlink>
      <w:r w:rsidRPr="00F05461">
        <w:rPr>
          <w:lang w:val="es-ES"/>
        </w:rPr>
        <w:t xml:space="preserve"> y los informes anuales al Consejo: </w:t>
      </w:r>
      <w:hyperlink r:id="rId378" w:history="1">
        <w:r w:rsidRPr="00F05461">
          <w:rPr>
            <w:rStyle w:val="Hyperlink"/>
            <w:rFonts w:eastAsia="Times New Roman" w:cs="Times New Roman"/>
            <w:szCs w:val="20"/>
            <w:lang w:val="es-ES"/>
          </w:rPr>
          <w:t>C25/6</w:t>
        </w:r>
      </w:hyperlink>
      <w:r w:rsidRPr="00F05461">
        <w:rPr>
          <w:lang w:val="es-ES"/>
        </w:rPr>
        <w:t xml:space="preserve">, </w:t>
      </w:r>
      <w:hyperlink r:id="rId379" w:history="1">
        <w:r w:rsidRPr="00F05461">
          <w:rPr>
            <w:rStyle w:val="Hyperlink"/>
            <w:rFonts w:eastAsia="Times New Roman" w:cs="Times New Roman"/>
            <w:szCs w:val="20"/>
            <w:lang w:val="es-ES"/>
          </w:rPr>
          <w:t>C24/6</w:t>
        </w:r>
      </w:hyperlink>
      <w:r w:rsidRPr="00F05461">
        <w:rPr>
          <w:lang w:val="es-ES"/>
        </w:rPr>
        <w:t xml:space="preserve"> y </w:t>
      </w:r>
      <w:hyperlink r:id="rId380" w:history="1">
        <w:r w:rsidRPr="00F05461">
          <w:rPr>
            <w:rStyle w:val="Hyperlink"/>
            <w:rFonts w:eastAsia="Times New Roman" w:cs="Times New Roman"/>
            <w:szCs w:val="20"/>
            <w:lang w:val="es-ES"/>
          </w:rPr>
          <w:t>C23/6</w:t>
        </w:r>
      </w:hyperlink>
      <w:r w:rsidRPr="00F05461">
        <w:rPr>
          <w:lang w:val="es-ES"/>
        </w:rPr>
        <w:t>.</w:t>
      </w:r>
    </w:p>
    <w:p w14:paraId="5106208C" w14:textId="77777777" w:rsidR="007B4979" w:rsidRPr="00F05461" w:rsidRDefault="007B4979" w:rsidP="009E4631">
      <w:pPr>
        <w:pStyle w:val="Heading3"/>
      </w:pPr>
      <w:bookmarkStart w:id="101" w:name="_Toc224288830"/>
      <w:bookmarkStart w:id="102" w:name="_Toc227137490"/>
      <w:r w:rsidRPr="00F05461">
        <w:t>5.3.2</w:t>
      </w:r>
      <w:r w:rsidRPr="00F05461">
        <w:tab/>
        <w:t>Empoderamiento de los jóvenes</w:t>
      </w:r>
      <w:bookmarkEnd w:id="101"/>
      <w:bookmarkEnd w:id="102"/>
    </w:p>
    <w:p w14:paraId="731B7838" w14:textId="28EAE6D6" w:rsidR="007B4979" w:rsidRPr="00F05461" w:rsidRDefault="007B4979" w:rsidP="007B4979">
      <w:pPr>
        <w:rPr>
          <w:lang w:val="es-ES"/>
        </w:rPr>
      </w:pPr>
      <w:r w:rsidRPr="00F05461">
        <w:rPr>
          <w:lang w:val="es-ES"/>
        </w:rPr>
        <w:t xml:space="preserve">La </w:t>
      </w:r>
      <w:hyperlink r:id="rId381" w:history="1">
        <w:r w:rsidRPr="00F05461">
          <w:rPr>
            <w:rStyle w:val="Hyperlink"/>
            <w:rFonts w:eastAsia="Times New Roman" w:cs="Times New Roman"/>
            <w:szCs w:val="20"/>
            <w:lang w:val="es-ES"/>
          </w:rPr>
          <w:t xml:space="preserve">Estrategia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para la Juventud</w:t>
        </w:r>
      </w:hyperlink>
      <w:r w:rsidRPr="00F05461">
        <w:rPr>
          <w:lang w:val="es-ES"/>
        </w:rPr>
        <w:t xml:space="preserve"> es un marco operacional para fortalecer las capacidades de </w:t>
      </w:r>
      <w:r w:rsidR="00296F03" w:rsidRPr="00F05461">
        <w:rPr>
          <w:lang w:val="es-ES"/>
        </w:rPr>
        <w:t>la UIT</w:t>
      </w:r>
      <w:r w:rsidRPr="00F05461">
        <w:rPr>
          <w:lang w:val="es-ES"/>
        </w:rPr>
        <w:t xml:space="preserve"> al empoderar a los jóvenes y facilitar su participación a través de las</w:t>
      </w:r>
      <w:r w:rsidR="00EB694D" w:rsidRPr="00F05461">
        <w:rPr>
          <w:lang w:val="es-ES"/>
        </w:rPr>
        <w:t> </w:t>
      </w:r>
      <w:r w:rsidRPr="00F05461">
        <w:rPr>
          <w:lang w:val="es-ES"/>
        </w:rPr>
        <w:t xml:space="preserve">TIC. Dicha estrategia tiene por objeto adaptarse a su finalidad y reducir la brecha digital entre los jóvenes, y se apoya en tres pilares: crear una comunidad de jóvenes líderes; fomentar la colaboración de los jóvenes con </w:t>
      </w:r>
      <w:r w:rsidR="00296F03" w:rsidRPr="00F05461">
        <w:rPr>
          <w:lang w:val="es-ES"/>
        </w:rPr>
        <w:t>la UIT</w:t>
      </w:r>
      <w:r w:rsidRPr="00F05461">
        <w:rPr>
          <w:lang w:val="es-ES"/>
        </w:rPr>
        <w:t xml:space="preserve"> y sus miembros; y facilitar su participación en las actividades de </w:t>
      </w:r>
      <w:r w:rsidR="00296F03" w:rsidRPr="00F05461">
        <w:rPr>
          <w:lang w:val="es-ES"/>
        </w:rPr>
        <w:t>la UIT</w:t>
      </w:r>
      <w:r w:rsidRPr="00F05461">
        <w:rPr>
          <w:lang w:val="es-ES"/>
        </w:rPr>
        <w:t>.</w:t>
      </w:r>
    </w:p>
    <w:p w14:paraId="7FDFE29E" w14:textId="3FA803C5" w:rsidR="007B4979" w:rsidRPr="00F05461" w:rsidRDefault="007B4979" w:rsidP="007B4979">
      <w:pPr>
        <w:rPr>
          <w:lang w:val="es-ES"/>
        </w:rPr>
      </w:pPr>
      <w:r w:rsidRPr="00F05461">
        <w:rPr>
          <w:lang w:val="es-ES"/>
        </w:rPr>
        <w:t xml:space="preserve">A partir </w:t>
      </w:r>
      <w:r w:rsidR="00B933C5" w:rsidRPr="00F05461">
        <w:rPr>
          <w:lang w:val="es-ES"/>
        </w:rPr>
        <w:t>de 202</w:t>
      </w:r>
      <w:r w:rsidRPr="00F05461">
        <w:rPr>
          <w:lang w:val="es-ES"/>
        </w:rPr>
        <w:t>0, el</w:t>
      </w:r>
      <w:r w:rsidR="00105AFF" w:rsidRPr="00F05461">
        <w:rPr>
          <w:lang w:val="es-ES"/>
        </w:rPr>
        <w:t> </w:t>
      </w:r>
      <w:r w:rsidRPr="00F05461">
        <w:rPr>
          <w:lang w:val="es-ES"/>
        </w:rPr>
        <w:t>UIT</w:t>
      </w:r>
      <w:r w:rsidR="00105AFF" w:rsidRPr="00F05461">
        <w:rPr>
          <w:lang w:val="es-ES"/>
        </w:rPr>
        <w:noBreakHyphen/>
      </w:r>
      <w:r w:rsidRPr="00F05461">
        <w:rPr>
          <w:lang w:val="es-ES"/>
        </w:rPr>
        <w:t xml:space="preserve">D impulsó la participación de los jóvenes en el marco de </w:t>
      </w:r>
      <w:hyperlink r:id="rId382" w:history="1">
        <w:r w:rsidR="008D74A2" w:rsidRPr="00F05461">
          <w:rPr>
            <w:rStyle w:val="Hyperlink"/>
            <w:rFonts w:eastAsia="Times New Roman" w:cs="Times New Roman"/>
            <w:szCs w:val="20"/>
            <w:lang w:val="es-ES"/>
          </w:rPr>
          <w:t>Generation Connect</w:t>
        </w:r>
      </w:hyperlink>
      <w:r w:rsidRPr="00F05461">
        <w:rPr>
          <w:lang w:val="es-ES"/>
        </w:rPr>
        <w:t xml:space="preserve">, iniciativa cuyo objetivo es fomentar el compromiso de los jóvenes a escala mundial y su participación como asociados en pie de igualdad. En 2023, Generation Connect amplió sus actividades a través de la </w:t>
      </w:r>
      <w:hyperlink r:id="rId383" w:history="1">
        <w:r w:rsidRPr="00F05461">
          <w:rPr>
            <w:rStyle w:val="Hyperlink"/>
            <w:rFonts w:eastAsia="Times New Roman" w:cs="Times New Roman"/>
            <w:szCs w:val="20"/>
            <w:lang w:val="es-ES"/>
          </w:rPr>
          <w:t xml:space="preserve">Cumbre Mundial de la Juventud </w:t>
        </w:r>
        <w:r w:rsidR="008D74A2" w:rsidRPr="00F05461">
          <w:rPr>
            <w:rStyle w:val="Hyperlink"/>
            <w:rFonts w:eastAsia="Times New Roman" w:cs="Times New Roman"/>
            <w:szCs w:val="20"/>
            <w:lang w:val="es-ES"/>
          </w:rPr>
          <w:t xml:space="preserve">de </w:t>
        </w:r>
        <w:r w:rsidRPr="00F05461">
          <w:rPr>
            <w:rStyle w:val="Hyperlink"/>
            <w:rFonts w:eastAsia="Times New Roman" w:cs="Times New Roman"/>
            <w:szCs w:val="20"/>
            <w:lang w:val="es-ES"/>
          </w:rPr>
          <w:t>Generation Connect</w:t>
        </w:r>
      </w:hyperlink>
      <w:r w:rsidRPr="00F05461">
        <w:rPr>
          <w:lang w:val="es-ES"/>
        </w:rPr>
        <w:t xml:space="preserve"> celebrada en Kigali; la participación de los enviados juveniles en la</w:t>
      </w:r>
      <w:r w:rsidR="008D74A2" w:rsidRPr="00F05461">
        <w:rPr>
          <w:lang w:val="es-ES"/>
        </w:rPr>
        <w:t> </w:t>
      </w:r>
      <w:r w:rsidRPr="00F05461">
        <w:rPr>
          <w:lang w:val="es-ES"/>
        </w:rPr>
        <w:t>PP</w:t>
      </w:r>
      <w:r w:rsidR="008D74A2" w:rsidRPr="00F05461">
        <w:rPr>
          <w:lang w:val="es-ES"/>
        </w:rPr>
        <w:noBreakHyphen/>
      </w:r>
      <w:r w:rsidRPr="00F05461">
        <w:rPr>
          <w:lang w:val="es-ES"/>
        </w:rPr>
        <w:t xml:space="preserve">22 en Bucarest; los diálogos intergeneracionales en las Comisiones de Estudio </w:t>
      </w:r>
      <w:r w:rsidR="00A10309" w:rsidRPr="00F05461">
        <w:rPr>
          <w:lang w:val="es-ES"/>
        </w:rPr>
        <w:t>del UIT</w:t>
      </w:r>
      <w:r w:rsidR="00A10309" w:rsidRPr="00F05461">
        <w:rPr>
          <w:lang w:val="es-ES"/>
        </w:rPr>
        <w:noBreakHyphen/>
      </w:r>
      <w:r w:rsidRPr="00F05461">
        <w:rPr>
          <w:lang w:val="es-ES"/>
        </w:rPr>
        <w:t xml:space="preserve">D; y las contribuciones a eventos mundiales como el </w:t>
      </w:r>
      <w:hyperlink r:id="rId384" w:history="1">
        <w:r w:rsidRPr="00F05461">
          <w:rPr>
            <w:rStyle w:val="Hyperlink"/>
            <w:rFonts w:eastAsia="Times New Roman" w:cs="Times New Roman"/>
            <w:szCs w:val="20"/>
            <w:lang w:val="es-ES"/>
          </w:rPr>
          <w:t>Foro de la Juventud ECOSOC</w:t>
        </w:r>
      </w:hyperlink>
      <w:r w:rsidRPr="00F05461">
        <w:rPr>
          <w:lang w:val="es-ES"/>
        </w:rPr>
        <w:t xml:space="preserve">, el </w:t>
      </w:r>
      <w:hyperlink r:id="rId385" w:history="1">
        <w:r w:rsidRPr="00F05461">
          <w:rPr>
            <w:rStyle w:val="Hyperlink"/>
            <w:rFonts w:eastAsia="Times New Roman" w:cs="Times New Roman"/>
            <w:szCs w:val="20"/>
            <w:lang w:val="es-ES"/>
          </w:rPr>
          <w:t>Foro Mundial sobre Alimentación</w:t>
        </w:r>
      </w:hyperlink>
      <w:r w:rsidRPr="00F05461">
        <w:rPr>
          <w:lang w:val="es-ES"/>
        </w:rPr>
        <w:t xml:space="preserve">, </w:t>
      </w:r>
      <w:hyperlink r:id="rId386" w:history="1">
        <w:r w:rsidRPr="00F05461">
          <w:rPr>
            <w:rStyle w:val="Hyperlink"/>
            <w:rFonts w:eastAsia="Times New Roman" w:cs="Times New Roman"/>
            <w:szCs w:val="20"/>
            <w:lang w:val="es-ES"/>
          </w:rPr>
          <w:t>YOUNGA</w:t>
        </w:r>
      </w:hyperlink>
      <w:r w:rsidRPr="00F05461">
        <w:rPr>
          <w:lang w:val="es-ES"/>
        </w:rPr>
        <w:t>, el Foro Global Misk,</w:t>
      </w:r>
      <w:hyperlink r:id="rId387" w:history="1">
        <w:r w:rsidRPr="00F05461">
          <w:rPr>
            <w:rStyle w:val="Hyperlink"/>
            <w:rFonts w:eastAsia="Times New Roman" w:cs="Times New Roman"/>
            <w:szCs w:val="20"/>
            <w:lang w:val="es-ES"/>
          </w:rPr>
          <w:t xml:space="preserve"> LDC5 Youth Track en Doha,</w:t>
        </w:r>
      </w:hyperlink>
      <w:r w:rsidRPr="00F05461">
        <w:rPr>
          <w:lang w:val="es-ES"/>
        </w:rPr>
        <w:t xml:space="preserve"> el </w:t>
      </w:r>
      <w:hyperlink r:id="rId388" w:history="1">
        <w:r w:rsidRPr="00F05461">
          <w:rPr>
            <w:rStyle w:val="Hyperlink"/>
            <w:rFonts w:eastAsia="Times New Roman" w:cs="Times New Roman"/>
            <w:szCs w:val="20"/>
            <w:lang w:val="es-ES"/>
          </w:rPr>
          <w:t>Congreso Mundial de Telefonía Móvil</w:t>
        </w:r>
      </w:hyperlink>
      <w:r w:rsidRPr="00F05461">
        <w:rPr>
          <w:lang w:val="es-ES"/>
        </w:rPr>
        <w:t xml:space="preserve"> en Barcelona y la Comisión sobre la Condición Jurídica y Social de la Mujer (</w:t>
      </w:r>
      <w:hyperlink r:id="rId389" w:history="1">
        <w:r w:rsidRPr="00F05461">
          <w:rPr>
            <w:rStyle w:val="Hyperlink"/>
            <w:rFonts w:eastAsia="Times New Roman" w:cs="Times New Roman"/>
            <w:szCs w:val="20"/>
            <w:lang w:val="es-ES"/>
          </w:rPr>
          <w:t>CSW-67</w:t>
        </w:r>
      </w:hyperlink>
      <w:r w:rsidRPr="00F05461">
        <w:rPr>
          <w:lang w:val="es-ES"/>
        </w:rPr>
        <w:t>) en Nueva York.</w:t>
      </w:r>
    </w:p>
    <w:p w14:paraId="4B05C55A" w14:textId="1C4BC2CF" w:rsidR="007B4979" w:rsidRPr="00F05461" w:rsidRDefault="007B4979" w:rsidP="007B4979">
      <w:pPr>
        <w:rPr>
          <w:lang w:val="es-ES"/>
        </w:rPr>
      </w:pPr>
      <w:r w:rsidRPr="00F05461">
        <w:rPr>
          <w:lang w:val="es-ES"/>
        </w:rPr>
        <w:t xml:space="preserve">La edición </w:t>
      </w:r>
      <w:r w:rsidR="00B933C5" w:rsidRPr="00F05461">
        <w:rPr>
          <w:lang w:val="es-ES"/>
        </w:rPr>
        <w:t>de 202</w:t>
      </w:r>
      <w:r w:rsidRPr="00F05461">
        <w:rPr>
          <w:lang w:val="es-ES"/>
        </w:rPr>
        <w:t xml:space="preserve">5 de la </w:t>
      </w:r>
      <w:hyperlink r:id="rId390" w:history="1">
        <w:r w:rsidRPr="00F05461">
          <w:rPr>
            <w:rStyle w:val="Hyperlink"/>
            <w:rFonts w:eastAsia="Times New Roman" w:cs="Times New Roman"/>
            <w:szCs w:val="20"/>
            <w:lang w:val="es-ES"/>
          </w:rPr>
          <w:t xml:space="preserve">Cumbre Mundial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de la Juventud</w:t>
        </w:r>
      </w:hyperlink>
      <w:r w:rsidRPr="00F05461">
        <w:rPr>
          <w:lang w:val="es-ES"/>
        </w:rPr>
        <w:t xml:space="preserve"> (GYS-25), coordinada por el</w:t>
      </w:r>
      <w:r w:rsidR="008D74A2" w:rsidRPr="00F05461">
        <w:rPr>
          <w:lang w:val="es-ES"/>
        </w:rPr>
        <w:t> </w:t>
      </w:r>
      <w:r w:rsidRPr="00F05461">
        <w:rPr>
          <w:lang w:val="es-ES"/>
        </w:rPr>
        <w:t xml:space="preserve">UIT-D, se celebró en Varadero (Cuba) del 11 al 13 de marzo </w:t>
      </w:r>
      <w:r w:rsidR="00B933C5" w:rsidRPr="00F05461">
        <w:rPr>
          <w:lang w:val="es-ES"/>
        </w:rPr>
        <w:t>de 202</w:t>
      </w:r>
      <w:r w:rsidRPr="00F05461">
        <w:rPr>
          <w:lang w:val="es-ES"/>
        </w:rPr>
        <w:t>5 bajo el lema «Amplificar las voces de los jóvenes en las</w:t>
      </w:r>
      <w:r w:rsidR="00EB694D" w:rsidRPr="00F05461">
        <w:rPr>
          <w:lang w:val="es-ES"/>
        </w:rPr>
        <w:t> </w:t>
      </w:r>
      <w:r w:rsidRPr="00F05461">
        <w:rPr>
          <w:lang w:val="es-ES"/>
        </w:rPr>
        <w:t>TIC en aras de un futuro inclusivo y conectado». La</w:t>
      </w:r>
      <w:r w:rsidR="008D74A2" w:rsidRPr="00F05461">
        <w:rPr>
          <w:lang w:val="es-ES"/>
        </w:rPr>
        <w:t> </w:t>
      </w:r>
      <w:r w:rsidRPr="00F05461">
        <w:rPr>
          <w:lang w:val="es-ES"/>
        </w:rPr>
        <w:t>GYS</w:t>
      </w:r>
      <w:r w:rsidR="008D74A2" w:rsidRPr="00F05461">
        <w:rPr>
          <w:lang w:val="es-ES"/>
        </w:rPr>
        <w:noBreakHyphen/>
      </w:r>
      <w:r w:rsidRPr="00F05461">
        <w:rPr>
          <w:lang w:val="es-ES"/>
        </w:rPr>
        <w:t>25 fue el 17</w:t>
      </w:r>
      <w:r w:rsidR="00EB694D" w:rsidRPr="00F05461">
        <w:rPr>
          <w:lang w:val="es-ES"/>
        </w:rPr>
        <w:t>.</w:t>
      </w:r>
      <w:r w:rsidRPr="00F05461">
        <w:rPr>
          <w:lang w:val="es-ES"/>
        </w:rPr>
        <w:t>º</w:t>
      </w:r>
      <w:r w:rsidR="00EB694D" w:rsidRPr="00F05461">
        <w:rPr>
          <w:lang w:val="es-ES"/>
        </w:rPr>
        <w:t> </w:t>
      </w:r>
      <w:r w:rsidRPr="00F05461">
        <w:rPr>
          <w:lang w:val="es-ES"/>
        </w:rPr>
        <w:t xml:space="preserve">evento juvenil organizado por </w:t>
      </w:r>
      <w:r w:rsidR="00296F03" w:rsidRPr="00F05461">
        <w:rPr>
          <w:lang w:val="es-ES"/>
        </w:rPr>
        <w:t>la UIT</w:t>
      </w:r>
      <w:r w:rsidRPr="00F05461">
        <w:rPr>
          <w:lang w:val="es-ES"/>
        </w:rPr>
        <w:t xml:space="preserve">, tras una trayectoria iniciada con el primer foro juvenil de </w:t>
      </w:r>
      <w:r w:rsidR="00296F03" w:rsidRPr="00F05461">
        <w:rPr>
          <w:lang w:val="es-ES"/>
        </w:rPr>
        <w:t>la UIT</w:t>
      </w:r>
      <w:r w:rsidRPr="00F05461">
        <w:rPr>
          <w:lang w:val="es-ES"/>
        </w:rPr>
        <w:t>, celebrado en Johannesburgo (Sudáfrica) en 2001. Alrededor de 400</w:t>
      </w:r>
      <w:r w:rsidR="00EB694D" w:rsidRPr="00F05461">
        <w:rPr>
          <w:lang w:val="es-ES"/>
        </w:rPr>
        <w:t> </w:t>
      </w:r>
      <w:r w:rsidRPr="00F05461">
        <w:rPr>
          <w:lang w:val="es-ES"/>
        </w:rPr>
        <w:t>participantes de 31</w:t>
      </w:r>
      <w:r w:rsidR="00EB694D" w:rsidRPr="00F05461">
        <w:rPr>
          <w:lang w:val="es-ES"/>
        </w:rPr>
        <w:t> </w:t>
      </w:r>
      <w:r w:rsidRPr="00F05461">
        <w:rPr>
          <w:lang w:val="es-ES"/>
        </w:rPr>
        <w:t xml:space="preserve">países asistieron al evento, procedentes de todas las regiones de </w:t>
      </w:r>
      <w:r w:rsidR="00296F03" w:rsidRPr="00F05461">
        <w:rPr>
          <w:lang w:val="es-ES"/>
        </w:rPr>
        <w:t>la UIT</w:t>
      </w:r>
      <w:r w:rsidRPr="00F05461">
        <w:rPr>
          <w:lang w:val="es-ES"/>
        </w:rPr>
        <w:t>, con equilibrio de género y representación de los</w:t>
      </w:r>
      <w:r w:rsidR="008D74A2" w:rsidRPr="00F05461">
        <w:rPr>
          <w:lang w:val="es-ES"/>
        </w:rPr>
        <w:t> PMA</w:t>
      </w:r>
      <w:r w:rsidRPr="00F05461">
        <w:rPr>
          <w:lang w:val="es-ES"/>
        </w:rPr>
        <w:t>, los</w:t>
      </w:r>
      <w:r w:rsidR="008D74A2" w:rsidRPr="00F05461">
        <w:rPr>
          <w:lang w:val="es-ES"/>
        </w:rPr>
        <w:t> PDSL</w:t>
      </w:r>
      <w:r w:rsidRPr="00F05461">
        <w:rPr>
          <w:lang w:val="es-ES"/>
        </w:rPr>
        <w:t xml:space="preserve"> y los</w:t>
      </w:r>
      <w:r w:rsidR="008D74A2" w:rsidRPr="00F05461">
        <w:rPr>
          <w:lang w:val="es-ES"/>
        </w:rPr>
        <w:t> PEID</w:t>
      </w:r>
      <w:r w:rsidRPr="00F05461">
        <w:rPr>
          <w:lang w:val="es-ES"/>
        </w:rPr>
        <w:t>, entre otros. También participaron gobiernos, organizaciones internacionales y regionales, los sectores privado y académico, así como representantes de otros organismos de las Naciones Unidas y los Enviados Juveniles de Generation Connect. El programa se benefició de aportaciones del Grupo de Coordinación Oficioso sobre la Cumbre de la Juventud y la Celebración Mundial de la Juventud (GADT-ICG-GYS) y de las consultas estructuradas con jóvenes facilitadas por la</w:t>
      </w:r>
      <w:r w:rsidR="00A929E0" w:rsidRPr="00F05461">
        <w:rPr>
          <w:lang w:val="es-ES"/>
        </w:rPr>
        <w:t> </w:t>
      </w:r>
      <w:r w:rsidRPr="00F05461">
        <w:rPr>
          <w:lang w:val="es-ES"/>
        </w:rPr>
        <w:t xml:space="preserve">BDT en el marco de un proceso de creación conjunta en el que participaron representantes juveniles de Generation Connect de las seis regiones de </w:t>
      </w:r>
      <w:r w:rsidR="00296F03" w:rsidRPr="00F05461">
        <w:rPr>
          <w:lang w:val="es-ES"/>
        </w:rPr>
        <w:t>la UIT</w:t>
      </w:r>
      <w:r w:rsidRPr="00F05461">
        <w:rPr>
          <w:lang w:val="es-ES"/>
        </w:rPr>
        <w:t xml:space="preserve">. El proceso favoreció la transparencia, la armonización y la coordinación entre las aportaciones de los jóvenes y las estructuras de toma de decisiones de </w:t>
      </w:r>
      <w:r w:rsidR="00296F03" w:rsidRPr="00F05461">
        <w:rPr>
          <w:lang w:val="es-ES"/>
        </w:rPr>
        <w:t>la UIT</w:t>
      </w:r>
      <w:r w:rsidRPr="00F05461">
        <w:rPr>
          <w:lang w:val="es-ES"/>
        </w:rPr>
        <w:t>, lo que contribuyó a un enfoque institucional más sistemático y coherente a fin de lograr una participación significativa de los jóvenes.</w:t>
      </w:r>
    </w:p>
    <w:p w14:paraId="3770F493" w14:textId="5DEAE78A" w:rsidR="007B4979" w:rsidRPr="00F05461" w:rsidRDefault="007B4979" w:rsidP="009A2CFB">
      <w:pPr>
        <w:keepNext/>
        <w:keepLines/>
        <w:rPr>
          <w:lang w:val="es-ES"/>
        </w:rPr>
      </w:pPr>
      <w:r w:rsidRPr="00F05461">
        <w:rPr>
          <w:lang w:val="es-ES"/>
        </w:rPr>
        <w:lastRenderedPageBreak/>
        <w:t xml:space="preserve">En 2022, se puso en marcha el </w:t>
      </w:r>
      <w:hyperlink r:id="rId391" w:history="1">
        <w:r w:rsidRPr="00F05461">
          <w:rPr>
            <w:rStyle w:val="Hyperlink"/>
            <w:rFonts w:eastAsia="Times New Roman" w:cs="Times New Roman"/>
            <w:szCs w:val="20"/>
            <w:lang w:val="es-ES"/>
          </w:rPr>
          <w:t>Certificado de Aprendizaje Digital</w:t>
        </w:r>
      </w:hyperlink>
      <w:r w:rsidRPr="00F05461">
        <w:rPr>
          <w:lang w:val="es-ES"/>
        </w:rPr>
        <w:t xml:space="preserve"> de Generation Connect en el marco de la Academia de </w:t>
      </w:r>
      <w:r w:rsidR="00296F03" w:rsidRPr="00F05461">
        <w:rPr>
          <w:lang w:val="es-ES"/>
        </w:rPr>
        <w:t>la UIT</w:t>
      </w:r>
      <w:r w:rsidRPr="00F05461">
        <w:rPr>
          <w:lang w:val="es-ES"/>
        </w:rPr>
        <w:t xml:space="preserve">, se publicaron nuevos episodios </w:t>
      </w:r>
      <w:hyperlink r:id="rId392" w:history="1">
        <w:r w:rsidRPr="00F05461">
          <w:rPr>
            <w:rStyle w:val="Hyperlink"/>
            <w:rFonts w:eastAsia="Times New Roman" w:cs="Times New Roman"/>
            <w:i/>
            <w:iCs/>
            <w:szCs w:val="20"/>
            <w:lang w:val="es-ES"/>
          </w:rPr>
          <w:t>p</w:t>
        </w:r>
        <w:r w:rsidR="007E0D94" w:rsidRPr="00F05461">
          <w:rPr>
            <w:rStyle w:val="Hyperlink"/>
            <w:rFonts w:eastAsia="Times New Roman" w:cs="Times New Roman"/>
            <w:i/>
            <w:iCs/>
            <w:szCs w:val="20"/>
            <w:lang w:val="es-ES"/>
          </w:rPr>
          <w:t>o</w:t>
        </w:r>
        <w:r w:rsidRPr="00F05461">
          <w:rPr>
            <w:rStyle w:val="Hyperlink"/>
            <w:rFonts w:eastAsia="Times New Roman" w:cs="Times New Roman"/>
            <w:i/>
            <w:iCs/>
            <w:szCs w:val="20"/>
            <w:lang w:val="es-ES"/>
          </w:rPr>
          <w:t>dcast</w:t>
        </w:r>
      </w:hyperlink>
      <w:r w:rsidRPr="00F05461">
        <w:rPr>
          <w:lang w:val="es-ES"/>
        </w:rPr>
        <w:t xml:space="preserve"> de Generation Connect y se fomentó la cooperación con el programa </w:t>
      </w:r>
      <w:hyperlink r:id="rId393" w:history="1">
        <w:r w:rsidRPr="00F05461">
          <w:rPr>
            <w:rStyle w:val="Hyperlink"/>
            <w:rFonts w:eastAsia="Times New Roman" w:cs="Times New Roman"/>
            <w:szCs w:val="20"/>
            <w:lang w:val="es-ES"/>
          </w:rPr>
          <w:t>Kofi Annan Changemakers</w:t>
        </w:r>
      </w:hyperlink>
      <w:r w:rsidRPr="00F05461">
        <w:rPr>
          <w:lang w:val="es-ES"/>
        </w:rPr>
        <w:t>. Los seis grupos regionales de representantes juveniles abarcaron 180</w:t>
      </w:r>
      <w:r w:rsidR="00605A12" w:rsidRPr="00F05461">
        <w:rPr>
          <w:lang w:val="es-ES"/>
        </w:rPr>
        <w:t> </w:t>
      </w:r>
      <w:r w:rsidRPr="00F05461">
        <w:rPr>
          <w:lang w:val="es-ES"/>
        </w:rPr>
        <w:t>enviados de 120</w:t>
      </w:r>
      <w:r w:rsidR="00605A12" w:rsidRPr="00F05461">
        <w:rPr>
          <w:lang w:val="es-ES"/>
        </w:rPr>
        <w:t> </w:t>
      </w:r>
      <w:r w:rsidRPr="00F05461">
        <w:rPr>
          <w:lang w:val="es-ES"/>
        </w:rPr>
        <w:t xml:space="preserve">países, con actividades como </w:t>
      </w:r>
      <w:hyperlink r:id="rId394" w:history="1">
        <w:r w:rsidRPr="00F05461">
          <w:rPr>
            <w:rStyle w:val="Hyperlink"/>
            <w:rFonts w:eastAsia="Times New Roman" w:cs="Times New Roman"/>
            <w:szCs w:val="20"/>
            <w:lang w:val="es-ES"/>
          </w:rPr>
          <w:t>GC-EUR Digital Jam</w:t>
        </w:r>
      </w:hyperlink>
      <w:r w:rsidRPr="00F05461">
        <w:rPr>
          <w:lang w:val="es-ES"/>
        </w:rPr>
        <w:t xml:space="preserve"> y el programa </w:t>
      </w:r>
      <w:hyperlink r:id="rId395" w:history="1">
        <w:r w:rsidRPr="00F05461">
          <w:rPr>
            <w:rStyle w:val="Hyperlink"/>
            <w:rFonts w:eastAsia="Times New Roman" w:cs="Times New Roman"/>
            <w:szCs w:val="20"/>
            <w:lang w:val="es-ES"/>
          </w:rPr>
          <w:t>Seeds for the Future</w:t>
        </w:r>
      </w:hyperlink>
      <w:r w:rsidRPr="00F05461">
        <w:rPr>
          <w:lang w:val="es-ES"/>
        </w:rPr>
        <w:t xml:space="preserve"> de Huawei en Bangkok.</w:t>
      </w:r>
    </w:p>
    <w:p w14:paraId="03636DF1" w14:textId="2EA074DA" w:rsidR="007B4979" w:rsidRPr="00F05461" w:rsidRDefault="007B4979" w:rsidP="007B4979">
      <w:pPr>
        <w:rPr>
          <w:lang w:val="es-ES"/>
        </w:rPr>
      </w:pPr>
      <w:r w:rsidRPr="00F05461">
        <w:rPr>
          <w:lang w:val="es-ES"/>
        </w:rPr>
        <w:t xml:space="preserve">En marzo </w:t>
      </w:r>
      <w:r w:rsidR="00B933C5" w:rsidRPr="00F05461">
        <w:rPr>
          <w:lang w:val="es-ES"/>
        </w:rPr>
        <w:t>de 202</w:t>
      </w:r>
      <w:r w:rsidRPr="00F05461">
        <w:rPr>
          <w:lang w:val="es-ES"/>
        </w:rPr>
        <w:t>3, el Foro de la</w:t>
      </w:r>
      <w:r w:rsidR="001D7D0A" w:rsidRPr="00F05461">
        <w:rPr>
          <w:lang w:val="es-ES"/>
        </w:rPr>
        <w:t> </w:t>
      </w:r>
      <w:r w:rsidRPr="00F05461">
        <w:rPr>
          <w:lang w:val="es-ES"/>
        </w:rPr>
        <w:t xml:space="preserve">CMSI y el Modelo Internacional de Ginebra de las Naciones Unidas (GIMUN) lanzaron conjuntamente el </w:t>
      </w:r>
      <w:hyperlink r:id="rId396" w:history="1">
        <w:r w:rsidRPr="00F05461">
          <w:rPr>
            <w:rStyle w:val="Hyperlink"/>
            <w:rFonts w:eastAsia="Times New Roman" w:cs="Times New Roman"/>
            <w:szCs w:val="20"/>
            <w:lang w:val="es-ES"/>
          </w:rPr>
          <w:t>Premio Juvenil «Generation Connect» de la</w:t>
        </w:r>
        <w:r w:rsidR="00605A12" w:rsidRPr="00F05461">
          <w:rPr>
            <w:rStyle w:val="Hyperlink"/>
            <w:rFonts w:eastAsia="Times New Roman" w:cs="Times New Roman"/>
            <w:szCs w:val="20"/>
            <w:lang w:val="es-ES"/>
          </w:rPr>
          <w:t> </w:t>
        </w:r>
        <w:r w:rsidRPr="00F05461">
          <w:rPr>
            <w:rStyle w:val="Hyperlink"/>
            <w:rFonts w:eastAsia="Times New Roman" w:cs="Times New Roman"/>
            <w:szCs w:val="20"/>
            <w:lang w:val="es-ES"/>
          </w:rPr>
          <w:t>CMSI</w:t>
        </w:r>
      </w:hyperlink>
      <w:r w:rsidRPr="00F05461">
        <w:rPr>
          <w:lang w:val="es-ES"/>
        </w:rPr>
        <w:t xml:space="preserve"> bajo el lema «Un futuro digital a través de la inclusión significativa de los jóvenes».</w:t>
      </w:r>
    </w:p>
    <w:p w14:paraId="187D756B" w14:textId="7AD14357" w:rsidR="007B4979" w:rsidRPr="00F05461" w:rsidRDefault="007B4979" w:rsidP="007B4979">
      <w:pPr>
        <w:rPr>
          <w:lang w:val="es-ES"/>
        </w:rPr>
      </w:pPr>
      <w:r w:rsidRPr="00F05461">
        <w:rPr>
          <w:lang w:val="es-ES"/>
        </w:rPr>
        <w:t xml:space="preserve">En 2024, </w:t>
      </w:r>
      <w:r w:rsidR="00296F03" w:rsidRPr="00F05461">
        <w:rPr>
          <w:lang w:val="es-ES"/>
        </w:rPr>
        <w:t>la UIT</w:t>
      </w:r>
      <w:r w:rsidRPr="00F05461">
        <w:rPr>
          <w:lang w:val="es-ES"/>
        </w:rPr>
        <w:t xml:space="preserve"> promovió la aplicación de la Resolución</w:t>
      </w:r>
      <w:r w:rsidR="00605A12" w:rsidRPr="00F05461">
        <w:rPr>
          <w:lang w:val="es-ES"/>
        </w:rPr>
        <w:t> </w:t>
      </w:r>
      <w:r w:rsidRPr="00F05461">
        <w:rPr>
          <w:lang w:val="es-ES"/>
        </w:rPr>
        <w:t>198 de la</w:t>
      </w:r>
      <w:r w:rsidR="00605A12" w:rsidRPr="00F05461">
        <w:rPr>
          <w:lang w:val="es-ES"/>
        </w:rPr>
        <w:t> </w:t>
      </w:r>
      <w:r w:rsidRPr="00F05461">
        <w:rPr>
          <w:lang w:val="es-ES"/>
        </w:rPr>
        <w:t xml:space="preserve">PP mediante la integración de la opinión de los jóvenes en los programas, las prácticas de gestión y el desarrollo de los recursos humanos. Un Grupo Especial sobre la Juventud, integrado por miembros del personal de todos los Sectores y de la Secretaría General, facilitó la promoción interna, al tiempo que se constituyó la </w:t>
      </w:r>
      <w:hyperlink r:id="rId397" w:history="1">
        <w:r w:rsidRPr="00F05461">
          <w:rPr>
            <w:rStyle w:val="Hyperlink"/>
            <w:rFonts w:eastAsia="Times New Roman" w:cs="Times New Roman"/>
            <w:szCs w:val="20"/>
            <w:lang w:val="es-ES"/>
          </w:rPr>
          <w:t>Junta Asesor</w:t>
        </w:r>
        <w:r w:rsidR="001D7D0A" w:rsidRPr="00F05461">
          <w:rPr>
            <w:rStyle w:val="Hyperlink"/>
            <w:rFonts w:eastAsia="Times New Roman" w:cs="Times New Roman"/>
            <w:szCs w:val="20"/>
            <w:lang w:val="es-ES"/>
          </w:rPr>
          <w:t>a</w:t>
        </w:r>
        <w:r w:rsidRPr="00F05461">
          <w:rPr>
            <w:rStyle w:val="Hyperlink"/>
            <w:rFonts w:eastAsia="Times New Roman" w:cs="Times New Roman"/>
            <w:szCs w:val="20"/>
            <w:lang w:val="es-ES"/>
          </w:rPr>
          <w:t xml:space="preserve"> de la Juventud de la Secretaría General</w:t>
        </w:r>
      </w:hyperlink>
      <w:r w:rsidRPr="00F05461">
        <w:rPr>
          <w:lang w:val="es-ES"/>
        </w:rPr>
        <w:t xml:space="preserve"> para formular recomendaciones impulsadas por los jóvenes sobre temas como la</w:t>
      </w:r>
      <w:r w:rsidR="001D7D0A" w:rsidRPr="00F05461">
        <w:rPr>
          <w:lang w:val="es-ES"/>
        </w:rPr>
        <w:t> </w:t>
      </w:r>
      <w:r w:rsidRPr="00F05461">
        <w:rPr>
          <w:lang w:val="es-ES"/>
        </w:rPr>
        <w:t xml:space="preserve">IA, el espacio, los cables submarinos y las cuestiones medioambientales. El </w:t>
      </w:r>
      <w:hyperlink r:id="rId398" w:history="1">
        <w:r w:rsidR="001D7D0A" w:rsidRPr="00F05461">
          <w:rPr>
            <w:rStyle w:val="Hyperlink"/>
            <w:rFonts w:eastAsia="Times New Roman" w:cs="Times New Roman"/>
            <w:szCs w:val="20"/>
            <w:lang w:val="es-ES"/>
          </w:rPr>
          <w:t>P</w:t>
        </w:r>
        <w:r w:rsidRPr="00F05461">
          <w:rPr>
            <w:rStyle w:val="Hyperlink"/>
            <w:rFonts w:eastAsia="Times New Roman" w:cs="Times New Roman"/>
            <w:szCs w:val="20"/>
            <w:lang w:val="es-ES"/>
          </w:rPr>
          <w:t xml:space="preserve">rograma de </w:t>
        </w:r>
        <w:r w:rsidR="009A2CFB" w:rsidRPr="00F05461">
          <w:rPr>
            <w:rStyle w:val="Hyperlink"/>
            <w:rFonts w:eastAsia="Times New Roman" w:cs="Times New Roman"/>
            <w:szCs w:val="20"/>
            <w:lang w:val="es-ES"/>
          </w:rPr>
          <w:t>L</w:t>
        </w:r>
        <w:r w:rsidRPr="00F05461">
          <w:rPr>
            <w:rStyle w:val="Hyperlink"/>
            <w:rFonts w:eastAsia="Times New Roman" w:cs="Times New Roman"/>
            <w:szCs w:val="20"/>
            <w:lang w:val="es-ES"/>
          </w:rPr>
          <w:t xml:space="preserve">iderazgo </w:t>
        </w:r>
        <w:r w:rsidR="009A2CFB" w:rsidRPr="00F05461">
          <w:rPr>
            <w:rStyle w:val="Hyperlink"/>
            <w:rFonts w:eastAsia="Times New Roman" w:cs="Times New Roman"/>
            <w:szCs w:val="20"/>
            <w:lang w:val="es-ES"/>
          </w:rPr>
          <w:t>J</w:t>
        </w:r>
        <w:r w:rsidRPr="00F05461">
          <w:rPr>
            <w:rStyle w:val="Hyperlink"/>
            <w:rFonts w:eastAsia="Times New Roman" w:cs="Times New Roman"/>
            <w:szCs w:val="20"/>
            <w:lang w:val="es-ES"/>
          </w:rPr>
          <w:t>uvenil Generation Connect (GCYLP)</w:t>
        </w:r>
      </w:hyperlink>
      <w:r w:rsidRPr="00F05461">
        <w:rPr>
          <w:lang w:val="es-ES"/>
        </w:rPr>
        <w:t xml:space="preserve"> se desarrolló para apoyar anualmente a treinta jóvenes becarios con actividades de tutoría, formación y financiación para poner en marcha iniciativas de desarrollo digital en sus comunidades.</w:t>
      </w:r>
    </w:p>
    <w:p w14:paraId="200E4C8F" w14:textId="7F001ADE" w:rsidR="007B4979" w:rsidRPr="00F05461" w:rsidRDefault="007B4979" w:rsidP="007B4979">
      <w:pPr>
        <w:rPr>
          <w:lang w:val="es-ES"/>
        </w:rPr>
      </w:pPr>
      <w:r w:rsidRPr="00F05461">
        <w:rPr>
          <w:lang w:val="es-ES"/>
        </w:rPr>
        <w:t xml:space="preserve">En 2024-2025, el primer </w:t>
      </w:r>
      <w:hyperlink r:id="rId399" w:history="1">
        <w:r w:rsidRPr="00F05461">
          <w:rPr>
            <w:rStyle w:val="Hyperlink"/>
            <w:rFonts w:eastAsia="Times New Roman" w:cs="Times New Roman"/>
            <w:szCs w:val="20"/>
            <w:lang w:val="es-ES"/>
          </w:rPr>
          <w:t xml:space="preserve">Programa de Jóvenes Profesionales de </w:t>
        </w:r>
        <w:r w:rsidR="00296F03" w:rsidRPr="00F05461">
          <w:rPr>
            <w:rStyle w:val="Hyperlink"/>
            <w:rFonts w:eastAsia="Times New Roman" w:cs="Times New Roman"/>
            <w:szCs w:val="20"/>
            <w:lang w:val="es-ES"/>
          </w:rPr>
          <w:t>la UIT</w:t>
        </w:r>
      </w:hyperlink>
      <w:r w:rsidRPr="00F05461">
        <w:rPr>
          <w:lang w:val="es-ES"/>
        </w:rPr>
        <w:t xml:space="preserve"> atrajo a más de 3</w:t>
      </w:r>
      <w:r w:rsidR="00605A12" w:rsidRPr="00F05461">
        <w:rPr>
          <w:lang w:val="es-ES"/>
        </w:rPr>
        <w:t> </w:t>
      </w:r>
      <w:r w:rsidRPr="00F05461">
        <w:rPr>
          <w:lang w:val="es-ES"/>
        </w:rPr>
        <w:t>500</w:t>
      </w:r>
      <w:r w:rsidR="00605A12" w:rsidRPr="00F05461">
        <w:rPr>
          <w:lang w:val="es-ES"/>
        </w:rPr>
        <w:t> </w:t>
      </w:r>
      <w:r w:rsidRPr="00F05461">
        <w:rPr>
          <w:lang w:val="es-ES"/>
        </w:rPr>
        <w:t xml:space="preserve">candidatos, lo que dio lugar a seis nombramientos de categoría P1 en toda la organización. La primera promoción mundial del </w:t>
      </w:r>
      <w:hyperlink r:id="rId400" w:history="1">
        <w:r w:rsidR="009A2CFB">
          <w:rPr>
            <w:rStyle w:val="Hyperlink"/>
            <w:rFonts w:eastAsia="Times New Roman" w:cs="Times New Roman"/>
            <w:szCs w:val="20"/>
            <w:lang w:val="es-ES"/>
          </w:rPr>
          <w:t>GCYLP</w:t>
        </w:r>
      </w:hyperlink>
      <w:r w:rsidRPr="00F05461">
        <w:rPr>
          <w:lang w:val="es-ES"/>
        </w:rPr>
        <w:t xml:space="preserve"> </w:t>
      </w:r>
      <w:r w:rsidR="00A10309" w:rsidRPr="00F05461">
        <w:rPr>
          <w:lang w:val="es-ES"/>
        </w:rPr>
        <w:t>del UIT</w:t>
      </w:r>
      <w:r w:rsidR="00A10309" w:rsidRPr="00F05461">
        <w:rPr>
          <w:lang w:val="es-ES"/>
        </w:rPr>
        <w:noBreakHyphen/>
      </w:r>
      <w:r w:rsidRPr="00F05461">
        <w:rPr>
          <w:lang w:val="es-ES"/>
        </w:rPr>
        <w:t>D, seleccionada entre más de 5</w:t>
      </w:r>
      <w:r w:rsidR="00605A12" w:rsidRPr="00F05461">
        <w:rPr>
          <w:lang w:val="es-ES"/>
        </w:rPr>
        <w:t> </w:t>
      </w:r>
      <w:r w:rsidRPr="00F05461">
        <w:rPr>
          <w:lang w:val="es-ES"/>
        </w:rPr>
        <w:t>000</w:t>
      </w:r>
      <w:r w:rsidR="00605A12" w:rsidRPr="00F05461">
        <w:rPr>
          <w:lang w:val="es-ES"/>
        </w:rPr>
        <w:t> </w:t>
      </w:r>
      <w:r w:rsidRPr="00F05461">
        <w:rPr>
          <w:lang w:val="es-ES"/>
        </w:rPr>
        <w:t>candidatos de más de 200</w:t>
      </w:r>
      <w:r w:rsidR="00605A12" w:rsidRPr="00F05461">
        <w:rPr>
          <w:lang w:val="es-ES"/>
        </w:rPr>
        <w:t> </w:t>
      </w:r>
      <w:r w:rsidRPr="00F05461">
        <w:rPr>
          <w:lang w:val="es-ES"/>
        </w:rPr>
        <w:t xml:space="preserve">países, concluyó su primer año, al tiempo que el proceso de selección de la segunda promoción comenzó en 2025. Para entonces, </w:t>
      </w:r>
      <w:r w:rsidR="00296F03" w:rsidRPr="00F05461">
        <w:rPr>
          <w:lang w:val="es-ES"/>
        </w:rPr>
        <w:t>la UIT</w:t>
      </w:r>
      <w:r w:rsidRPr="00F05461">
        <w:rPr>
          <w:lang w:val="es-ES"/>
        </w:rPr>
        <w:t xml:space="preserve"> prestaba apoyo a 184</w:t>
      </w:r>
      <w:r w:rsidR="00A929E0" w:rsidRPr="00F05461">
        <w:rPr>
          <w:lang w:val="es-ES"/>
        </w:rPr>
        <w:t> </w:t>
      </w:r>
      <w:r w:rsidRPr="00F05461">
        <w:rPr>
          <w:lang w:val="es-ES"/>
        </w:rPr>
        <w:t>representantes juveniles de Generation Connect de 64</w:t>
      </w:r>
      <w:r w:rsidR="00A929E0" w:rsidRPr="00F05461">
        <w:rPr>
          <w:lang w:val="es-ES"/>
        </w:rPr>
        <w:t> </w:t>
      </w:r>
      <w:r w:rsidRPr="00F05461">
        <w:rPr>
          <w:lang w:val="es-ES"/>
        </w:rPr>
        <w:t xml:space="preserve">países, a fin de garantizar que la opinión de los jóvenes se tuviera en cuenta en las plataformas mundiales de desarrollo digital. </w:t>
      </w:r>
      <w:r w:rsidR="00296F03" w:rsidRPr="00F05461">
        <w:rPr>
          <w:lang w:val="es-ES"/>
        </w:rPr>
        <w:t>La UIT</w:t>
      </w:r>
      <w:r w:rsidRPr="00F05461">
        <w:rPr>
          <w:lang w:val="es-ES"/>
        </w:rPr>
        <w:t xml:space="preserve"> también siguió publicando actualizaciones de iniciativas relacionadas con la juventud a través de los </w:t>
      </w:r>
      <w:r w:rsidR="00605A12" w:rsidRPr="00F05461">
        <w:rPr>
          <w:lang w:val="es-ES"/>
        </w:rPr>
        <w:t>Documentos </w:t>
      </w:r>
      <w:hyperlink r:id="rId401" w:history="1">
        <w:r w:rsidRPr="00F05461">
          <w:rPr>
            <w:rStyle w:val="Hyperlink"/>
            <w:rFonts w:eastAsia="Times New Roman" w:cs="Times New Roman"/>
            <w:szCs w:val="20"/>
            <w:lang w:val="es-ES"/>
          </w:rPr>
          <w:t>C24/31</w:t>
        </w:r>
      </w:hyperlink>
      <w:r w:rsidRPr="00F05461">
        <w:rPr>
          <w:lang w:val="es-ES"/>
        </w:rPr>
        <w:t xml:space="preserve">, </w:t>
      </w:r>
      <w:hyperlink r:id="rId402" w:history="1">
        <w:r w:rsidRPr="00F05461">
          <w:rPr>
            <w:rStyle w:val="Hyperlink"/>
            <w:rFonts w:eastAsia="Times New Roman" w:cs="Times New Roman"/>
            <w:szCs w:val="20"/>
            <w:lang w:val="es-ES"/>
          </w:rPr>
          <w:t>C24/32</w:t>
        </w:r>
      </w:hyperlink>
      <w:r w:rsidRPr="00F05461">
        <w:rPr>
          <w:lang w:val="es-ES"/>
        </w:rPr>
        <w:t xml:space="preserve"> y </w:t>
      </w:r>
      <w:hyperlink r:id="rId403" w:history="1">
        <w:r w:rsidRPr="00F05461">
          <w:rPr>
            <w:rStyle w:val="Hyperlink"/>
            <w:rFonts w:eastAsia="Times New Roman" w:cs="Times New Roman"/>
            <w:szCs w:val="20"/>
            <w:lang w:val="es-ES"/>
          </w:rPr>
          <w:t>C25/32</w:t>
        </w:r>
      </w:hyperlink>
      <w:r w:rsidR="00605A12" w:rsidRPr="00F05461">
        <w:rPr>
          <w:lang w:val="es-ES"/>
        </w:rPr>
        <w:t xml:space="preserve"> del Consejo</w:t>
      </w:r>
      <w:r w:rsidRPr="00F05461">
        <w:rPr>
          <w:lang w:val="es-ES"/>
        </w:rPr>
        <w:t>, y las actividades juveniles de</w:t>
      </w:r>
      <w:r w:rsidR="00AC3213" w:rsidRPr="00F05461">
        <w:rPr>
          <w:lang w:val="es-ES"/>
        </w:rPr>
        <w:t>l UIT</w:t>
      </w:r>
      <w:r w:rsidRPr="00F05461">
        <w:rPr>
          <w:lang w:val="es-ES"/>
        </w:rPr>
        <w:t>-D se documentaron en los informes de la</w:t>
      </w:r>
      <w:r w:rsidR="00A929E0" w:rsidRPr="00F05461">
        <w:rPr>
          <w:lang w:val="es-ES"/>
        </w:rPr>
        <w:t> </w:t>
      </w:r>
      <w:r w:rsidRPr="00F05461">
        <w:rPr>
          <w:lang w:val="es-ES"/>
        </w:rPr>
        <w:t xml:space="preserve">BDT al Grupo Asesor de Desarrollo de las Telecomunicaciones de </w:t>
      </w:r>
      <w:r w:rsidR="00296F03" w:rsidRPr="00F05461">
        <w:rPr>
          <w:lang w:val="es-ES"/>
        </w:rPr>
        <w:t>la UIT</w:t>
      </w:r>
      <w:r w:rsidRPr="00F05461">
        <w:rPr>
          <w:lang w:val="es-ES"/>
        </w:rPr>
        <w:t>.</w:t>
      </w:r>
    </w:p>
    <w:p w14:paraId="5F9BD6C0" w14:textId="7DD1B498" w:rsidR="007B4979" w:rsidRPr="00F05461" w:rsidRDefault="007B4979" w:rsidP="007B4979">
      <w:pPr>
        <w:rPr>
          <w:lang w:val="es-ES"/>
        </w:rPr>
      </w:pPr>
      <w:r w:rsidRPr="00F05461">
        <w:rPr>
          <w:lang w:val="es-ES"/>
        </w:rPr>
        <w:t xml:space="preserve">En 2025 se constituyó la Oficina de Género y Juventud (GYO) de </w:t>
      </w:r>
      <w:r w:rsidR="00296F03" w:rsidRPr="00F05461">
        <w:rPr>
          <w:lang w:val="es-ES"/>
        </w:rPr>
        <w:t>la UIT</w:t>
      </w:r>
      <w:r w:rsidRPr="00F05461">
        <w:rPr>
          <w:lang w:val="es-ES"/>
        </w:rPr>
        <w:t xml:space="preserve">, cuyas funciones incluyen garantizar una participación coordinada y efectiva de los jóvenes en toda </w:t>
      </w:r>
      <w:r w:rsidR="00296F03" w:rsidRPr="00F05461">
        <w:rPr>
          <w:lang w:val="es-ES"/>
        </w:rPr>
        <w:t>la UIT</w:t>
      </w:r>
      <w:r w:rsidRPr="00F05461">
        <w:rPr>
          <w:lang w:val="es-ES"/>
        </w:rPr>
        <w:t xml:space="preserve"> como organización unificada. La</w:t>
      </w:r>
      <w:r w:rsidR="00A929E0" w:rsidRPr="00F05461">
        <w:rPr>
          <w:lang w:val="es-ES"/>
        </w:rPr>
        <w:t> </w:t>
      </w:r>
      <w:r w:rsidRPr="00F05461">
        <w:rPr>
          <w:lang w:val="es-ES"/>
        </w:rPr>
        <w:t>GYO también lidera la red de Coordinadores de la Juventud de las Naciones Unidas en Ginebra, que comprende 15</w:t>
      </w:r>
      <w:r w:rsidR="00605A12" w:rsidRPr="00F05461">
        <w:rPr>
          <w:lang w:val="es-ES"/>
        </w:rPr>
        <w:t> </w:t>
      </w:r>
      <w:r w:rsidRPr="00F05461">
        <w:rPr>
          <w:lang w:val="es-ES"/>
        </w:rPr>
        <w:t xml:space="preserve">organizaciones que trabajan de consuno para mejorar la colaboración interinstitucional en iniciativas relacionadas con la juventud y fomentar oportunidades de desarrollo profesional destinadas a los miembros de personal más jóvenes y a los pasantes de las Naciones Unidas. </w:t>
      </w:r>
      <w:r w:rsidR="00296F03" w:rsidRPr="00F05461">
        <w:rPr>
          <w:lang w:val="es-ES"/>
        </w:rPr>
        <w:t>La UIT</w:t>
      </w:r>
      <w:r w:rsidRPr="00F05461">
        <w:rPr>
          <w:lang w:val="es-ES"/>
        </w:rPr>
        <w:t xml:space="preserve"> participó activamente en el Grupo Especial de las Naciones Unidas sobre los Principios Fundamentales para facilitar una Participación Efectiva de la Juventud en 2025, en el marco del Grupo de Trabajo sobre la Juventud del Pacto para el Futuro, dirigido por la Oficina de la Juventud de las Naciones Unidas en Nueva York.</w:t>
      </w:r>
    </w:p>
    <w:p w14:paraId="788A648E" w14:textId="2D24D370" w:rsidR="007B4979" w:rsidRPr="00F05461" w:rsidRDefault="00296F03" w:rsidP="009A2CFB">
      <w:pPr>
        <w:keepNext/>
        <w:keepLines/>
        <w:rPr>
          <w:lang w:val="es-ES"/>
        </w:rPr>
      </w:pPr>
      <w:r w:rsidRPr="00F05461">
        <w:rPr>
          <w:lang w:val="es-ES"/>
        </w:rPr>
        <w:lastRenderedPageBreak/>
        <w:t>La UIT</w:t>
      </w:r>
      <w:r w:rsidR="007B4979" w:rsidRPr="00F05461">
        <w:rPr>
          <w:lang w:val="es-ES"/>
        </w:rPr>
        <w:t xml:space="preserve"> interactúa además con los jóvenes a escala mundial a través de redes sociales y plataformas digitales, en particular Instagram, Facebook, LinkedIn y </w:t>
      </w:r>
      <w:r w:rsidR="007B4979" w:rsidRPr="00F05461">
        <w:rPr>
          <w:i/>
          <w:iCs/>
          <w:lang w:val="es-ES"/>
        </w:rPr>
        <w:t>p</w:t>
      </w:r>
      <w:r w:rsidR="007E0D94" w:rsidRPr="00F05461">
        <w:rPr>
          <w:i/>
          <w:iCs/>
          <w:lang w:val="es-ES"/>
        </w:rPr>
        <w:t>o</w:t>
      </w:r>
      <w:r w:rsidR="007B4979" w:rsidRPr="00F05461">
        <w:rPr>
          <w:i/>
          <w:iCs/>
          <w:lang w:val="es-ES"/>
        </w:rPr>
        <w:t>dcasts</w:t>
      </w:r>
      <w:r w:rsidR="007B4979" w:rsidRPr="00F05461">
        <w:rPr>
          <w:lang w:val="es-ES"/>
        </w:rPr>
        <w:t xml:space="preserve"> específicos. </w:t>
      </w:r>
      <w:r w:rsidR="00B933C5" w:rsidRPr="00F05461">
        <w:rPr>
          <w:lang w:val="es-ES"/>
        </w:rPr>
        <w:t>De 202</w:t>
      </w:r>
      <w:r w:rsidR="007B4979" w:rsidRPr="00F05461">
        <w:rPr>
          <w:lang w:val="es-ES"/>
        </w:rPr>
        <w:t>2 a 2025 se publicaron 13</w:t>
      </w:r>
      <w:r w:rsidR="00605A12" w:rsidRPr="00F05461">
        <w:rPr>
          <w:lang w:val="es-ES"/>
        </w:rPr>
        <w:t> </w:t>
      </w:r>
      <w:r w:rsidR="007B4979" w:rsidRPr="00F05461">
        <w:rPr>
          <w:lang w:val="es-ES"/>
        </w:rPr>
        <w:t xml:space="preserve">episodios de </w:t>
      </w:r>
      <w:r w:rsidR="007B4979" w:rsidRPr="00F05461">
        <w:rPr>
          <w:i/>
          <w:iCs/>
          <w:lang w:val="es-ES"/>
        </w:rPr>
        <w:t>podcasts</w:t>
      </w:r>
      <w:r w:rsidR="007B4979" w:rsidRPr="00F05461">
        <w:rPr>
          <w:lang w:val="es-ES"/>
        </w:rPr>
        <w:t xml:space="preserve"> de </w:t>
      </w:r>
      <w:r w:rsidRPr="00F05461">
        <w:rPr>
          <w:lang w:val="es-ES"/>
        </w:rPr>
        <w:t>la UIT</w:t>
      </w:r>
      <w:r w:rsidR="007B4979" w:rsidRPr="00F05461">
        <w:rPr>
          <w:lang w:val="es-ES"/>
        </w:rPr>
        <w:t xml:space="preserve"> para jóvenes, que abordaban temas como las competencias digitales, la</w:t>
      </w:r>
      <w:r w:rsidR="00FF1AB6">
        <w:rPr>
          <w:lang w:val="es-ES"/>
        </w:rPr>
        <w:t> IA</w:t>
      </w:r>
      <w:r w:rsidR="007B4979" w:rsidRPr="00F05461">
        <w:rPr>
          <w:lang w:val="es-ES"/>
        </w:rPr>
        <w:t xml:space="preserve">, el metaverso, el espacio y el clima. Se desarrolló la iniciativa de Centros Digitales de </w:t>
      </w:r>
      <w:r w:rsidRPr="00F05461">
        <w:rPr>
          <w:lang w:val="es-ES"/>
        </w:rPr>
        <w:t>la UIT</w:t>
      </w:r>
      <w:r w:rsidR="007B4979" w:rsidRPr="00F05461">
        <w:rPr>
          <w:lang w:val="es-ES"/>
        </w:rPr>
        <w:t xml:space="preserve"> para alumnos de instituciones académicas de la Unión para su puesta en marcha oficial a principios </w:t>
      </w:r>
      <w:r w:rsidR="00B933C5" w:rsidRPr="00F05461">
        <w:rPr>
          <w:lang w:val="es-ES"/>
        </w:rPr>
        <w:t>de 202</w:t>
      </w:r>
      <w:r w:rsidR="007B4979" w:rsidRPr="00F05461">
        <w:rPr>
          <w:lang w:val="es-ES"/>
        </w:rPr>
        <w:t xml:space="preserve">6. Dichas iniciativas lideradas por jóvenes fortalecen el alcance de </w:t>
      </w:r>
      <w:r w:rsidRPr="00F05461">
        <w:rPr>
          <w:lang w:val="es-ES"/>
        </w:rPr>
        <w:t>la UIT</w:t>
      </w:r>
      <w:r w:rsidR="007B4979" w:rsidRPr="00F05461">
        <w:rPr>
          <w:lang w:val="es-ES"/>
        </w:rPr>
        <w:t xml:space="preserve"> entre el público joven y promueven su mandato de fomentar la participación inclusiva en el futuro digital.</w:t>
      </w:r>
    </w:p>
    <w:p w14:paraId="70408F7F" w14:textId="79897A94" w:rsidR="007B4979" w:rsidRPr="00F05461" w:rsidRDefault="007B4979" w:rsidP="007B4979">
      <w:pPr>
        <w:rPr>
          <w:lang w:val="es-ES"/>
        </w:rPr>
      </w:pPr>
      <w:r w:rsidRPr="00F05461">
        <w:rPr>
          <w:lang w:val="es-ES"/>
        </w:rPr>
        <w:t xml:space="preserve">La participación de los jóvenes en las tecnologías incipientes, en particular la IA y la robótica, aumentó sustancialmente en ese periodo. En 2024, el </w:t>
      </w:r>
      <w:hyperlink r:id="rId404" w:history="1">
        <w:r w:rsidRPr="00F05461">
          <w:rPr>
            <w:rStyle w:val="Hyperlink"/>
            <w:rFonts w:eastAsia="Times New Roman" w:cs="Times New Roman"/>
            <w:szCs w:val="20"/>
            <w:lang w:val="es-ES"/>
          </w:rPr>
          <w:t>Reto «IA/ML en la 5G»</w:t>
        </w:r>
      </w:hyperlink>
      <w:r w:rsidRPr="00F05461">
        <w:rPr>
          <w:lang w:val="es-ES"/>
        </w:rPr>
        <w:t xml:space="preserve"> contó con trece retos centrados en los jóvenes y atrajo a más de 4</w:t>
      </w:r>
      <w:r w:rsidR="00605A12" w:rsidRPr="00F05461">
        <w:rPr>
          <w:lang w:val="es-ES"/>
        </w:rPr>
        <w:t> </w:t>
      </w:r>
      <w:r w:rsidRPr="00F05461">
        <w:rPr>
          <w:lang w:val="es-ES"/>
        </w:rPr>
        <w:t>000</w:t>
      </w:r>
      <w:r w:rsidR="00605A12" w:rsidRPr="00F05461">
        <w:rPr>
          <w:lang w:val="es-ES"/>
        </w:rPr>
        <w:t> </w:t>
      </w:r>
      <w:r w:rsidRPr="00F05461">
        <w:rPr>
          <w:lang w:val="es-ES"/>
        </w:rPr>
        <w:t xml:space="preserve">participantes jóvenes, al tiempo que el </w:t>
      </w:r>
      <w:hyperlink r:id="rId405" w:history="1">
        <w:r w:rsidRPr="00F05461">
          <w:rPr>
            <w:rStyle w:val="Hyperlink"/>
            <w:rFonts w:eastAsia="Times New Roman" w:cs="Times New Roman"/>
            <w:szCs w:val="20"/>
            <w:lang w:val="es-ES"/>
          </w:rPr>
          <w:t>Reto Juvenil «Robótica para el Bien»</w:t>
        </w:r>
      </w:hyperlink>
      <w:r w:rsidRPr="00F05461">
        <w:rPr>
          <w:lang w:val="es-ES"/>
        </w:rPr>
        <w:t xml:space="preserve"> 2024-2025 contó con la participación de más de 7</w:t>
      </w:r>
      <w:r w:rsidR="00605A12" w:rsidRPr="00F05461">
        <w:rPr>
          <w:lang w:val="es-ES"/>
        </w:rPr>
        <w:t> </w:t>
      </w:r>
      <w:r w:rsidRPr="00F05461">
        <w:rPr>
          <w:lang w:val="es-ES"/>
        </w:rPr>
        <w:t>000</w:t>
      </w:r>
      <w:r w:rsidR="00605A12" w:rsidRPr="00F05461">
        <w:rPr>
          <w:lang w:val="es-ES"/>
        </w:rPr>
        <w:t> </w:t>
      </w:r>
      <w:r w:rsidRPr="00F05461">
        <w:rPr>
          <w:lang w:val="es-ES"/>
        </w:rPr>
        <w:t xml:space="preserve">jóvenes de más de cuarenta países para desarrollar soluciones destinadas a dar respuesta a situaciones de catástrofe. Un espacio dedicado a los jóvenes en la Cumbre Mundial AI for Good </w:t>
      </w:r>
      <w:r w:rsidR="00B933C5" w:rsidRPr="00F05461">
        <w:rPr>
          <w:lang w:val="es-ES"/>
        </w:rPr>
        <w:t>de 202</w:t>
      </w:r>
      <w:r w:rsidRPr="00F05461">
        <w:rPr>
          <w:lang w:val="es-ES"/>
        </w:rPr>
        <w:t>4 y 2025 amplió aún más las oportunidades de aprendizaje y colaboración.</w:t>
      </w:r>
    </w:p>
    <w:p w14:paraId="77CDFB56" w14:textId="04B06DCA" w:rsidR="007B4979" w:rsidRPr="00F05461" w:rsidRDefault="007B4979" w:rsidP="007B4979">
      <w:pPr>
        <w:rPr>
          <w:lang w:val="es-ES"/>
        </w:rPr>
      </w:pPr>
      <w:r w:rsidRPr="00F05461">
        <w:rPr>
          <w:lang w:val="es-ES"/>
        </w:rPr>
        <w:t xml:space="preserve">La participación de los jóvenes también comprende entornos digitales inmersivos e incipientes. Sobre la base de iniciativas como </w:t>
      </w:r>
      <w:hyperlink r:id="rId406" w:history="1">
        <w:r w:rsidRPr="00F05461">
          <w:rPr>
            <w:rStyle w:val="Hyperlink"/>
            <w:rFonts w:eastAsia="Times New Roman" w:cs="Times New Roman"/>
            <w:szCs w:val="20"/>
            <w:lang w:val="es-ES"/>
          </w:rPr>
          <w:t>Think-a-Thon del Metaverso de las Naciones Unidas</w:t>
        </w:r>
      </w:hyperlink>
      <w:r w:rsidRPr="00F05461">
        <w:rPr>
          <w:lang w:val="es-ES"/>
        </w:rPr>
        <w:t xml:space="preserve"> y el </w:t>
      </w:r>
      <w:hyperlink r:id="rId407" w:history="1">
        <w:r w:rsidRPr="00F05461">
          <w:rPr>
            <w:rStyle w:val="Hyperlink"/>
            <w:rFonts w:eastAsia="Times New Roman" w:cs="Times New Roman"/>
            <w:szCs w:val="20"/>
            <w:lang w:val="es-ES"/>
          </w:rPr>
          <w:t xml:space="preserve">Desafío </w:t>
        </w:r>
        <w:r w:rsidR="00963557" w:rsidRPr="00F05461">
          <w:rPr>
            <w:rStyle w:val="Hyperlink"/>
            <w:rFonts w:eastAsia="Times New Roman" w:cs="Times New Roman"/>
            <w:szCs w:val="20"/>
            <w:lang w:val="es-ES"/>
          </w:rPr>
          <w:t>Citi</w:t>
        </w:r>
        <w:r w:rsidRPr="00F05461">
          <w:rPr>
            <w:rStyle w:val="Hyperlink"/>
            <w:rFonts w:eastAsia="Times New Roman" w:cs="Times New Roman"/>
            <w:szCs w:val="20"/>
            <w:lang w:val="es-ES"/>
          </w:rPr>
          <w:t>verso de las Naciones Unidas</w:t>
        </w:r>
      </w:hyperlink>
      <w:r w:rsidRPr="00F05461">
        <w:rPr>
          <w:lang w:val="es-ES"/>
        </w:rPr>
        <w:t xml:space="preserve">, se invitó a los jóvenes a desarrollar soluciones innovadoras basadas en mundos virtuales e infraestructura digital basada en el </w:t>
      </w:r>
      <w:r w:rsidR="00963557" w:rsidRPr="00F05461">
        <w:rPr>
          <w:lang w:val="es-ES"/>
        </w:rPr>
        <w:t>citi</w:t>
      </w:r>
      <w:r w:rsidRPr="00F05461">
        <w:rPr>
          <w:lang w:val="es-ES"/>
        </w:rPr>
        <w:t>verso, a fin de fomentar la creatividad, las competencias digitales y las aplicaciones en el mundo real.</w:t>
      </w:r>
    </w:p>
    <w:p w14:paraId="34300A5A" w14:textId="77777777" w:rsidR="007B4979" w:rsidRPr="00F05461" w:rsidRDefault="007B4979" w:rsidP="009E4631">
      <w:pPr>
        <w:pStyle w:val="Heading3"/>
      </w:pPr>
      <w:bookmarkStart w:id="103" w:name="_Toc224288831"/>
      <w:bookmarkStart w:id="104" w:name="_Toc227137491"/>
      <w:r w:rsidRPr="00F05461">
        <w:t>5.3.3</w:t>
      </w:r>
      <w:r w:rsidRPr="00F05461">
        <w:tab/>
        <w:t>TIC y accesibilidad digital</w:t>
      </w:r>
      <w:bookmarkEnd w:id="103"/>
      <w:bookmarkEnd w:id="104"/>
    </w:p>
    <w:p w14:paraId="3209FF21" w14:textId="558BBD25" w:rsidR="007B4979" w:rsidRPr="00F05461" w:rsidRDefault="007B4979" w:rsidP="007B4979">
      <w:pPr>
        <w:rPr>
          <w:lang w:val="es-ES"/>
        </w:rPr>
      </w:pPr>
      <w:r w:rsidRPr="00F05461">
        <w:rPr>
          <w:lang w:val="es-ES"/>
        </w:rPr>
        <w:t xml:space="preserve">El Consejo de </w:t>
      </w:r>
      <w:r w:rsidR="00296F03" w:rsidRPr="00F05461">
        <w:rPr>
          <w:lang w:val="es-ES"/>
        </w:rPr>
        <w:t>la UIT</w:t>
      </w:r>
      <w:r w:rsidRPr="00F05461">
        <w:rPr>
          <w:lang w:val="es-ES"/>
        </w:rPr>
        <w:t xml:space="preserve"> adoptó en 2021 una </w:t>
      </w:r>
      <w:hyperlink r:id="rId408" w:history="1">
        <w:r w:rsidRPr="00F05461">
          <w:rPr>
            <w:rStyle w:val="Hyperlink"/>
            <w:rFonts w:eastAsia="Times New Roman" w:cs="Times New Roman"/>
            <w:szCs w:val="20"/>
            <w:lang w:val="es-ES"/>
          </w:rPr>
          <w:t xml:space="preserve">Política sobre accesibilidad de </w:t>
        </w:r>
        <w:r w:rsidR="00296F03" w:rsidRPr="00F05461">
          <w:rPr>
            <w:rStyle w:val="Hyperlink"/>
            <w:rFonts w:eastAsia="Times New Roman" w:cs="Times New Roman"/>
            <w:szCs w:val="20"/>
            <w:lang w:val="es-ES"/>
          </w:rPr>
          <w:t>la UIT</w:t>
        </w:r>
      </w:hyperlink>
      <w:r w:rsidRPr="00F05461">
        <w:rPr>
          <w:lang w:val="es-ES"/>
        </w:rPr>
        <w:t xml:space="preserve"> que aborda la accesibilidad externa (facilitar accesibilidad de las</w:t>
      </w:r>
      <w:r w:rsidR="00EB694D" w:rsidRPr="00F05461">
        <w:rPr>
          <w:lang w:val="es-ES"/>
        </w:rPr>
        <w:t> </w:t>
      </w:r>
      <w:r w:rsidRPr="00F05461">
        <w:rPr>
          <w:lang w:val="es-ES"/>
        </w:rPr>
        <w:t xml:space="preserve">TIC) y la interna (facilitar la accesibilidad de </w:t>
      </w:r>
      <w:r w:rsidR="00296F03" w:rsidRPr="00F05461">
        <w:rPr>
          <w:lang w:val="es-ES"/>
        </w:rPr>
        <w:t>la UIT</w:t>
      </w:r>
      <w:r w:rsidRPr="00F05461">
        <w:rPr>
          <w:lang w:val="es-ES"/>
        </w:rPr>
        <w:t>). Durante el per</w:t>
      </w:r>
      <w:r w:rsidR="007B6111" w:rsidRPr="00F05461">
        <w:rPr>
          <w:lang w:val="es-ES"/>
        </w:rPr>
        <w:t>i</w:t>
      </w:r>
      <w:r w:rsidRPr="00F05461">
        <w:rPr>
          <w:lang w:val="es-ES"/>
        </w:rPr>
        <w:t xml:space="preserve">odo que abarca el informe, </w:t>
      </w:r>
      <w:r w:rsidR="00296F03" w:rsidRPr="00F05461">
        <w:rPr>
          <w:lang w:val="es-ES"/>
        </w:rPr>
        <w:t>la UIT</w:t>
      </w:r>
      <w:r w:rsidRPr="00F05461">
        <w:rPr>
          <w:lang w:val="es-ES"/>
        </w:rPr>
        <w:t xml:space="preserve"> siguió promoviendo la accesibilidad digital para las personas con discapacidad mediante el refuerzo de la concienciación, la ampliación de las oportunidades de formación y la integración de la accesibilidad en todos los sectores de su labor. El</w:t>
      </w:r>
      <w:r w:rsidR="00BA351A" w:rsidRPr="00F05461">
        <w:rPr>
          <w:lang w:val="es-ES"/>
        </w:rPr>
        <w:t> </w:t>
      </w:r>
      <w:r w:rsidRPr="00F05461">
        <w:rPr>
          <w:lang w:val="es-ES"/>
        </w:rPr>
        <w:t>UIT</w:t>
      </w:r>
      <w:r w:rsidR="00BA351A" w:rsidRPr="00F05461">
        <w:rPr>
          <w:lang w:val="es-ES"/>
        </w:rPr>
        <w:noBreakHyphen/>
      </w:r>
      <w:r w:rsidRPr="00F05461">
        <w:rPr>
          <w:lang w:val="es-ES"/>
        </w:rPr>
        <w:t>D, el</w:t>
      </w:r>
      <w:r w:rsidR="00BA351A" w:rsidRPr="00F05461">
        <w:rPr>
          <w:lang w:val="es-ES"/>
        </w:rPr>
        <w:t> </w:t>
      </w:r>
      <w:r w:rsidRPr="00F05461">
        <w:rPr>
          <w:lang w:val="es-ES"/>
        </w:rPr>
        <w:t>UIT</w:t>
      </w:r>
      <w:r w:rsidR="00BA351A" w:rsidRPr="00F05461">
        <w:rPr>
          <w:lang w:val="es-ES"/>
        </w:rPr>
        <w:noBreakHyphen/>
      </w:r>
      <w:r w:rsidRPr="00F05461">
        <w:rPr>
          <w:lang w:val="es-ES"/>
        </w:rPr>
        <w:t>T y el</w:t>
      </w:r>
      <w:r w:rsidR="00BA351A" w:rsidRPr="00F05461">
        <w:rPr>
          <w:lang w:val="es-ES"/>
        </w:rPr>
        <w:t> </w:t>
      </w:r>
      <w:r w:rsidRPr="00F05461">
        <w:rPr>
          <w:lang w:val="es-ES"/>
        </w:rPr>
        <w:t>UIT</w:t>
      </w:r>
      <w:r w:rsidR="00BA351A" w:rsidRPr="00F05461">
        <w:rPr>
          <w:lang w:val="es-ES"/>
        </w:rPr>
        <w:noBreakHyphen/>
      </w:r>
      <w:r w:rsidRPr="00F05461">
        <w:rPr>
          <w:lang w:val="es-ES"/>
        </w:rPr>
        <w:t xml:space="preserve">R colaboraron para garantizar que las personas con discapacidad pudieran beneficiarse plenamente de las tecnologías digitales, prestando apoyo a los Estados Miembros mediante asesoramiento de expertos, programas de creación de capacidad y recursos técnicos, en particular cursos de formación ejecutiva, eventos regionales, ponencias y difusión de </w:t>
      </w:r>
      <w:r w:rsidR="00AB0DD5" w:rsidRPr="00F05461">
        <w:rPr>
          <w:lang w:val="es-ES"/>
        </w:rPr>
        <w:t xml:space="preserve">buenas </w:t>
      </w:r>
      <w:r w:rsidRPr="00F05461">
        <w:rPr>
          <w:lang w:val="es-ES"/>
        </w:rPr>
        <w:t>práctica</w:t>
      </w:r>
      <w:r w:rsidR="00AB0DD5" w:rsidRPr="00F05461">
        <w:rPr>
          <w:lang w:val="es-ES"/>
        </w:rPr>
        <w:t>s</w:t>
      </w:r>
      <w:r w:rsidRPr="00F05461">
        <w:rPr>
          <w:lang w:val="es-ES"/>
        </w:rPr>
        <w:t xml:space="preserve"> y herramientas. La labor mundial de </w:t>
      </w:r>
      <w:r w:rsidR="00296F03" w:rsidRPr="00F05461">
        <w:rPr>
          <w:lang w:val="es-ES"/>
        </w:rPr>
        <w:t>la UIT</w:t>
      </w:r>
      <w:r w:rsidRPr="00F05461">
        <w:rPr>
          <w:lang w:val="es-ES"/>
        </w:rPr>
        <w:t xml:space="preserve"> también contribuyó a lograr mayores avances a escala nacional, con un aumento del número de marcos normativos nacionales sobre accesibilidad de las</w:t>
      </w:r>
      <w:r w:rsidR="00EB694D" w:rsidRPr="00F05461">
        <w:rPr>
          <w:lang w:val="es-ES"/>
        </w:rPr>
        <w:t> </w:t>
      </w:r>
      <w:r w:rsidRPr="00F05461">
        <w:rPr>
          <w:lang w:val="es-ES"/>
        </w:rPr>
        <w:t>TIC, hasta alcanzar 127, lo que supone un aumento sustancial tras años de estancamiento.</w:t>
      </w:r>
    </w:p>
    <w:p w14:paraId="448D6610" w14:textId="2C437006" w:rsidR="007B4979" w:rsidRPr="00F05461" w:rsidRDefault="007B4979" w:rsidP="007B4979">
      <w:pPr>
        <w:rPr>
          <w:lang w:val="es-ES"/>
        </w:rPr>
      </w:pPr>
      <w:r w:rsidRPr="00F05461">
        <w:rPr>
          <w:lang w:val="es-ES"/>
        </w:rPr>
        <w:t>Las actividades relacionadas con la accesibilidad de las</w:t>
      </w:r>
      <w:r w:rsidR="00EB694D" w:rsidRPr="00F05461">
        <w:rPr>
          <w:lang w:val="es-ES"/>
        </w:rPr>
        <w:t> </w:t>
      </w:r>
      <w:r w:rsidRPr="00F05461">
        <w:rPr>
          <w:lang w:val="es-ES"/>
        </w:rPr>
        <w:t>TIC y la tecnología digital en el</w:t>
      </w:r>
      <w:r w:rsidR="00C0551E" w:rsidRPr="00F05461">
        <w:rPr>
          <w:lang w:val="es-ES"/>
        </w:rPr>
        <w:t> </w:t>
      </w:r>
      <w:hyperlink r:id="rId409" w:history="1">
        <w:r w:rsidRPr="00F05461">
          <w:rPr>
            <w:rStyle w:val="Hyperlink"/>
            <w:rFonts w:eastAsia="Times New Roman" w:cs="Times New Roman"/>
            <w:szCs w:val="20"/>
            <w:lang w:val="es-ES"/>
          </w:rPr>
          <w:t>UIT-D</w:t>
        </w:r>
      </w:hyperlink>
      <w:r w:rsidRPr="00F05461">
        <w:rPr>
          <w:lang w:val="es-ES"/>
        </w:rPr>
        <w:t xml:space="preserve"> se centraron en fortalecer las capacidades de los Estados Miembros e impulsar la inclusión digital. El</w:t>
      </w:r>
      <w:r w:rsidR="00C869EC" w:rsidRPr="00F05461">
        <w:rPr>
          <w:lang w:val="es-ES"/>
        </w:rPr>
        <w:t> </w:t>
      </w:r>
      <w:r w:rsidRPr="00F05461">
        <w:rPr>
          <w:lang w:val="es-ES"/>
        </w:rPr>
        <w:t xml:space="preserve">UIT-D proporcionó asesoramiento especializado a los encargados de la formulación de políticas, prestó apoyo en eventos regionales sobre «TIC accesibles para todos» (en </w:t>
      </w:r>
      <w:hyperlink r:id="rId410" w:history="1">
        <w:r w:rsidR="004F5E2D" w:rsidRPr="00F05461">
          <w:rPr>
            <w:rStyle w:val="Hyperlink"/>
            <w:rFonts w:eastAsia="Times New Roman" w:cs="Times New Roman"/>
            <w:szCs w:val="20"/>
            <w:lang w:val="es-ES"/>
          </w:rPr>
          <w:t>Asia</w:t>
        </w:r>
        <w:r w:rsidR="004F5E2D" w:rsidRPr="00F05461">
          <w:rPr>
            <w:rStyle w:val="Hyperlink"/>
            <w:rFonts w:eastAsia="Times New Roman" w:cs="Times New Roman"/>
            <w:szCs w:val="20"/>
            <w:lang w:val="es-ES"/>
          </w:rPr>
          <w:noBreakHyphen/>
          <w:t>Pacífico</w:t>
        </w:r>
      </w:hyperlink>
      <w:r w:rsidRPr="00F05461">
        <w:rPr>
          <w:lang w:val="es-ES"/>
        </w:rPr>
        <w:t xml:space="preserve">, </w:t>
      </w:r>
      <w:hyperlink r:id="rId411" w:history="1">
        <w:r w:rsidR="00C869EC" w:rsidRPr="00F05461">
          <w:rPr>
            <w:rStyle w:val="Hyperlink"/>
            <w:rFonts w:eastAsia="Times New Roman" w:cs="Times New Roman"/>
            <w:szCs w:val="20"/>
            <w:lang w:val="es-ES"/>
          </w:rPr>
          <w:t>las Américas</w:t>
        </w:r>
      </w:hyperlink>
      <w:r w:rsidRPr="00F05461">
        <w:rPr>
          <w:lang w:val="es-ES"/>
        </w:rPr>
        <w:t xml:space="preserve">, </w:t>
      </w:r>
      <w:hyperlink r:id="rId412" w:anchor=":~:text=The%20special%20event%20for%20Europe,virtually%20on%206%20December%202022." w:history="1">
        <w:r w:rsidRPr="00F05461">
          <w:rPr>
            <w:rStyle w:val="Hyperlink"/>
            <w:rFonts w:eastAsia="Times New Roman" w:cs="Times New Roman"/>
            <w:szCs w:val="20"/>
            <w:lang w:val="es-ES"/>
          </w:rPr>
          <w:t>Europa</w:t>
        </w:r>
      </w:hyperlink>
      <w:r w:rsidRPr="00F05461">
        <w:rPr>
          <w:lang w:val="es-ES"/>
        </w:rPr>
        <w:t xml:space="preserve"> y los </w:t>
      </w:r>
      <w:hyperlink r:id="rId413" w:history="1">
        <w:r w:rsidRPr="00F05461">
          <w:rPr>
            <w:rStyle w:val="Hyperlink"/>
            <w:rFonts w:eastAsia="Times New Roman" w:cs="Times New Roman"/>
            <w:szCs w:val="20"/>
            <w:lang w:val="es-ES"/>
          </w:rPr>
          <w:t>Estados Árabes</w:t>
        </w:r>
      </w:hyperlink>
      <w:r w:rsidRPr="00F05461">
        <w:rPr>
          <w:lang w:val="es-ES"/>
        </w:rPr>
        <w:t>) y en talleres e iniciativas conexas en las regiones de Asia</w:t>
      </w:r>
      <w:r w:rsidR="004B19E2" w:rsidRPr="00F05461">
        <w:rPr>
          <w:lang w:val="es-ES"/>
        </w:rPr>
        <w:noBreakHyphen/>
      </w:r>
      <w:r w:rsidRPr="00F05461">
        <w:rPr>
          <w:lang w:val="es-ES"/>
        </w:rPr>
        <w:t>Pacífico, la</w:t>
      </w:r>
      <w:r w:rsidR="004B19E2" w:rsidRPr="00F05461">
        <w:rPr>
          <w:lang w:val="es-ES"/>
        </w:rPr>
        <w:t> </w:t>
      </w:r>
      <w:r w:rsidRPr="00F05461">
        <w:rPr>
          <w:lang w:val="es-ES"/>
        </w:rPr>
        <w:t xml:space="preserve">CEI y África. El UIT-D aportó periódicamente conocimientos especializados a foros internacionales para promover políticas y estrategias inclusivas. La demanda de las partes interesadas respecto de oportunidades de aprendizaje en línea </w:t>
      </w:r>
      <w:r w:rsidR="00A10309" w:rsidRPr="00F05461">
        <w:rPr>
          <w:lang w:val="es-ES"/>
        </w:rPr>
        <w:lastRenderedPageBreak/>
        <w:t>del UIT</w:t>
      </w:r>
      <w:r w:rsidR="00A10309" w:rsidRPr="00F05461">
        <w:rPr>
          <w:lang w:val="es-ES"/>
        </w:rPr>
        <w:noBreakHyphen/>
      </w:r>
      <w:r w:rsidRPr="00F05461">
        <w:rPr>
          <w:lang w:val="es-ES"/>
        </w:rPr>
        <w:t>D (</w:t>
      </w:r>
      <w:hyperlink r:id="rId414" w:history="1">
        <w:r w:rsidRPr="00F05461">
          <w:rPr>
            <w:rStyle w:val="Hyperlink"/>
            <w:rFonts w:eastAsia="Times New Roman" w:cs="Times New Roman"/>
            <w:szCs w:val="20"/>
            <w:lang w:val="es-ES"/>
          </w:rPr>
          <w:t xml:space="preserve">Academia de </w:t>
        </w:r>
        <w:r w:rsidR="00296F03" w:rsidRPr="00F05461">
          <w:rPr>
            <w:rStyle w:val="Hyperlink"/>
            <w:rFonts w:eastAsia="Times New Roman" w:cs="Times New Roman"/>
            <w:szCs w:val="20"/>
            <w:lang w:val="es-ES"/>
          </w:rPr>
          <w:t>la UIT</w:t>
        </w:r>
      </w:hyperlink>
      <w:r w:rsidRPr="00F05461">
        <w:rPr>
          <w:lang w:val="es-ES"/>
        </w:rPr>
        <w:t xml:space="preserve">) siguió siendo elevada, con miles de participantes en programas de autoaprendizaje sobre accesibilidad web, comunicaciones en situaciones de emergencia y crisis, el envejecimiento en la era digital y la conectividad inclusiva para las comunidades rurales e indígenas. Entre los recursos nuevos o actualizados cabe destacar un </w:t>
      </w:r>
      <w:hyperlink r:id="rId415" w:history="1">
        <w:r w:rsidRPr="00F05461">
          <w:rPr>
            <w:rStyle w:val="Hyperlink"/>
            <w:rFonts w:eastAsia="Times New Roman" w:cs="Times New Roman"/>
            <w:szCs w:val="20"/>
            <w:lang w:val="es-ES"/>
          </w:rPr>
          <w:t xml:space="preserve">conjunto de herramientas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-OIT sobre accesibilidad en las solicitudes de empleo</w:t>
        </w:r>
      </w:hyperlink>
      <w:r w:rsidRPr="00F05461">
        <w:rPr>
          <w:lang w:val="es-ES"/>
        </w:rPr>
        <w:t xml:space="preserve">; el conjunto de herramientas </w:t>
      </w:r>
      <w:r w:rsidR="00A10309" w:rsidRPr="00F05461">
        <w:rPr>
          <w:lang w:val="es-ES"/>
        </w:rPr>
        <w:t>del UIT</w:t>
      </w:r>
      <w:r w:rsidR="00A10309" w:rsidRPr="00F05461">
        <w:rPr>
          <w:lang w:val="es-ES"/>
        </w:rPr>
        <w:noBreakHyphen/>
      </w:r>
      <w:r w:rsidRPr="00F05461">
        <w:rPr>
          <w:lang w:val="es-ES"/>
        </w:rPr>
        <w:t>D para la implementación de la accesibilidad de las</w:t>
      </w:r>
      <w:r w:rsidR="00EB694D" w:rsidRPr="00F05461">
        <w:rPr>
          <w:lang w:val="es-ES"/>
        </w:rPr>
        <w:t> </w:t>
      </w:r>
      <w:r w:rsidRPr="00F05461">
        <w:rPr>
          <w:lang w:val="es-ES"/>
        </w:rPr>
        <w:t>TIC «</w:t>
      </w:r>
      <w:hyperlink r:id="rId416" w:history="1">
        <w:r w:rsidRPr="00F05461">
          <w:rPr>
            <w:rStyle w:val="Hyperlink"/>
            <w:rFonts w:eastAsia="Times New Roman" w:cs="Times New Roman"/>
            <w:szCs w:val="20"/>
            <w:lang w:val="es-ES"/>
          </w:rPr>
          <w:t>Hacia comunidades digitales inclusivas</w:t>
        </w:r>
      </w:hyperlink>
      <w:r w:rsidRPr="00F05461">
        <w:rPr>
          <w:lang w:val="es-ES"/>
        </w:rPr>
        <w:t xml:space="preserve">» (con autoevaluación en </w:t>
      </w:r>
      <w:hyperlink r:id="rId417" w:history="1">
        <w:r w:rsidRPr="00F05461">
          <w:rPr>
            <w:rStyle w:val="Hyperlink"/>
            <w:rFonts w:eastAsia="Times New Roman" w:cs="Times New Roman"/>
            <w:szCs w:val="20"/>
            <w:lang w:val="es-ES"/>
          </w:rPr>
          <w:t>inglés</w:t>
        </w:r>
      </w:hyperlink>
      <w:r w:rsidRPr="00F05461">
        <w:rPr>
          <w:lang w:val="es-ES"/>
        </w:rPr>
        <w:t xml:space="preserve">, </w:t>
      </w:r>
      <w:hyperlink r:id="rId418" w:history="1">
        <w:r w:rsidRPr="00F05461">
          <w:rPr>
            <w:rStyle w:val="Hyperlink"/>
            <w:rFonts w:eastAsia="Times New Roman" w:cs="Times New Roman"/>
            <w:szCs w:val="20"/>
            <w:lang w:val="es-ES"/>
          </w:rPr>
          <w:t>francés</w:t>
        </w:r>
      </w:hyperlink>
      <w:r w:rsidRPr="00F05461">
        <w:rPr>
          <w:lang w:val="es-ES"/>
        </w:rPr>
        <w:t xml:space="preserve"> y </w:t>
      </w:r>
      <w:hyperlink r:id="rId419" w:history="1">
        <w:r w:rsidRPr="00F05461">
          <w:rPr>
            <w:rStyle w:val="Hyperlink"/>
            <w:rFonts w:eastAsia="Times New Roman" w:cs="Times New Roman"/>
            <w:szCs w:val="20"/>
            <w:lang w:val="es-ES"/>
          </w:rPr>
          <w:t>español</w:t>
        </w:r>
      </w:hyperlink>
      <w:r w:rsidRPr="00F05461">
        <w:rPr>
          <w:lang w:val="es-ES"/>
        </w:rPr>
        <w:t xml:space="preserve">); vídeos disponibles en </w:t>
      </w:r>
      <w:hyperlink r:id="rId420" w:history="1">
        <w:r w:rsidRPr="00F05461">
          <w:rPr>
            <w:rStyle w:val="Hyperlink"/>
            <w:rFonts w:eastAsia="Times New Roman" w:cs="Times New Roman"/>
            <w:szCs w:val="20"/>
            <w:lang w:val="es-ES"/>
          </w:rPr>
          <w:t>árabe</w:t>
        </w:r>
      </w:hyperlink>
      <w:r w:rsidRPr="00F05461">
        <w:rPr>
          <w:lang w:val="es-ES"/>
        </w:rPr>
        <w:t xml:space="preserve">, </w:t>
      </w:r>
      <w:hyperlink r:id="rId421" w:history="1">
        <w:r w:rsidRPr="00F05461">
          <w:rPr>
            <w:rStyle w:val="Hyperlink"/>
            <w:rFonts w:eastAsia="Times New Roman" w:cs="Times New Roman"/>
            <w:szCs w:val="20"/>
            <w:lang w:val="es-ES"/>
          </w:rPr>
          <w:t>chino</w:t>
        </w:r>
      </w:hyperlink>
      <w:r w:rsidRPr="00F05461">
        <w:rPr>
          <w:lang w:val="es-ES"/>
        </w:rPr>
        <w:t xml:space="preserve">, </w:t>
      </w:r>
      <w:hyperlink r:id="rId422" w:history="1">
        <w:r w:rsidRPr="00F05461">
          <w:rPr>
            <w:rStyle w:val="Hyperlink"/>
            <w:rFonts w:eastAsia="Times New Roman" w:cs="Times New Roman"/>
            <w:szCs w:val="20"/>
            <w:lang w:val="es-ES"/>
          </w:rPr>
          <w:t>inglés</w:t>
        </w:r>
      </w:hyperlink>
      <w:r w:rsidRPr="00F05461">
        <w:rPr>
          <w:lang w:val="es-ES"/>
        </w:rPr>
        <w:t xml:space="preserve">, </w:t>
      </w:r>
      <w:hyperlink r:id="rId423" w:history="1">
        <w:r w:rsidRPr="00F05461">
          <w:rPr>
            <w:rStyle w:val="Hyperlink"/>
            <w:rFonts w:eastAsia="Times New Roman" w:cs="Times New Roman"/>
            <w:szCs w:val="20"/>
            <w:lang w:val="es-ES"/>
          </w:rPr>
          <w:t>francés</w:t>
        </w:r>
      </w:hyperlink>
      <w:r w:rsidRPr="00F05461">
        <w:rPr>
          <w:lang w:val="es-ES"/>
        </w:rPr>
        <w:t xml:space="preserve">, </w:t>
      </w:r>
      <w:hyperlink r:id="rId424" w:history="1">
        <w:r w:rsidRPr="00F05461">
          <w:rPr>
            <w:rStyle w:val="Hyperlink"/>
            <w:rFonts w:eastAsia="Times New Roman" w:cs="Times New Roman"/>
            <w:szCs w:val="20"/>
            <w:lang w:val="es-ES"/>
          </w:rPr>
          <w:t>ruso</w:t>
        </w:r>
      </w:hyperlink>
      <w:r w:rsidRPr="00F05461">
        <w:rPr>
          <w:lang w:val="es-ES"/>
        </w:rPr>
        <w:t xml:space="preserve"> y </w:t>
      </w:r>
      <w:hyperlink r:id="rId425" w:history="1">
        <w:r w:rsidRPr="00F05461">
          <w:rPr>
            <w:rStyle w:val="Hyperlink"/>
            <w:rFonts w:eastAsia="Times New Roman" w:cs="Times New Roman"/>
            <w:szCs w:val="20"/>
            <w:lang w:val="es-ES"/>
          </w:rPr>
          <w:t>español</w:t>
        </w:r>
      </w:hyperlink>
      <w:r w:rsidRPr="00F05461">
        <w:rPr>
          <w:lang w:val="es-ES"/>
        </w:rPr>
        <w:t>, y orientación especializada para los programas sobre «Pueblos inteligentes» e «Islas inteligentes», como complemento a más de 80</w:t>
      </w:r>
      <w:r w:rsidR="004B19E2" w:rsidRPr="00F05461">
        <w:rPr>
          <w:lang w:val="es-ES"/>
        </w:rPr>
        <w:t> </w:t>
      </w:r>
      <w:r w:rsidRPr="00F05461">
        <w:rPr>
          <w:lang w:val="es-ES"/>
        </w:rPr>
        <w:t xml:space="preserve">herramientas y recursos para fomentar la implantación mundial de una transformación digital inclusiva. Todos los recursos </w:t>
      </w:r>
      <w:r w:rsidR="00A10309" w:rsidRPr="00F05461">
        <w:rPr>
          <w:lang w:val="es-ES"/>
        </w:rPr>
        <w:t>del UIT</w:t>
      </w:r>
      <w:r w:rsidR="00A10309" w:rsidRPr="00F05461">
        <w:rPr>
          <w:lang w:val="es-ES"/>
        </w:rPr>
        <w:noBreakHyphen/>
      </w:r>
      <w:r w:rsidRPr="00F05461">
        <w:rPr>
          <w:lang w:val="es-ES"/>
        </w:rPr>
        <w:t>D, incluidos los informes temáticos y los cursos en línea de autoaprendizaje, siguieron siendo gratuitos, estuvieron disponibles en formatos accesibles y se tradujeron a varios idiomas de las Naciones Unidas.</w:t>
      </w:r>
    </w:p>
    <w:p w14:paraId="7F913BD1" w14:textId="65B16C1B" w:rsidR="007B4979" w:rsidRPr="00F05461" w:rsidRDefault="007B4979" w:rsidP="007B4979">
      <w:pPr>
        <w:rPr>
          <w:lang w:val="es-ES"/>
        </w:rPr>
      </w:pPr>
      <w:r w:rsidRPr="00F05461">
        <w:rPr>
          <w:lang w:val="es-ES"/>
        </w:rPr>
        <w:t>El</w:t>
      </w:r>
      <w:r w:rsidR="004B19E2" w:rsidRPr="00F05461">
        <w:rPr>
          <w:lang w:val="es-ES"/>
        </w:rPr>
        <w:t> </w:t>
      </w:r>
      <w:r w:rsidRPr="00F05461">
        <w:rPr>
          <w:lang w:val="es-ES"/>
        </w:rPr>
        <w:t>UIT</w:t>
      </w:r>
      <w:r w:rsidR="004B19E2" w:rsidRPr="00F05461">
        <w:rPr>
          <w:lang w:val="es-ES"/>
        </w:rPr>
        <w:noBreakHyphen/>
      </w:r>
      <w:r w:rsidRPr="00F05461">
        <w:rPr>
          <w:lang w:val="es-ES"/>
        </w:rPr>
        <w:t xml:space="preserve">D ha desempeñado un papel fundamental para capacitar a los miembros de </w:t>
      </w:r>
      <w:r w:rsidR="00296F03" w:rsidRPr="00F05461">
        <w:rPr>
          <w:lang w:val="es-ES"/>
        </w:rPr>
        <w:t>la UIT</w:t>
      </w:r>
      <w:r w:rsidRPr="00F05461">
        <w:rPr>
          <w:lang w:val="es-ES"/>
        </w:rPr>
        <w:t xml:space="preserve"> a fin de fortalecer sus conocimientos, intercambiar experiencias y formular estrategias y políticas viables para promover la accesibilidad digital a escalas mundial, regional y nacional. Además, el</w:t>
      </w:r>
      <w:r w:rsidR="004B19E2" w:rsidRPr="00F05461">
        <w:rPr>
          <w:lang w:val="es-ES"/>
        </w:rPr>
        <w:t> </w:t>
      </w:r>
      <w:r w:rsidRPr="00F05461">
        <w:rPr>
          <w:lang w:val="es-ES"/>
        </w:rPr>
        <w:t>UIT</w:t>
      </w:r>
      <w:r w:rsidR="004B19E2" w:rsidRPr="00F05461">
        <w:rPr>
          <w:lang w:val="es-ES"/>
        </w:rPr>
        <w:noBreakHyphen/>
      </w:r>
      <w:r w:rsidRPr="00F05461">
        <w:rPr>
          <w:lang w:val="es-ES"/>
        </w:rPr>
        <w:t xml:space="preserve">D ha creado espacios dinámicos para el intercambio de </w:t>
      </w:r>
      <w:r w:rsidR="00AB0DD5" w:rsidRPr="00F05461">
        <w:rPr>
          <w:lang w:val="es-ES"/>
        </w:rPr>
        <w:t xml:space="preserve">buenas </w:t>
      </w:r>
      <w:r w:rsidRPr="00F05461">
        <w:rPr>
          <w:lang w:val="es-ES"/>
        </w:rPr>
        <w:t xml:space="preserve">prácticas con el fin de impulsar su aplicación en el marco de eventos regionales emblemáticos como </w:t>
      </w:r>
      <w:r w:rsidRPr="00F05461">
        <w:rPr>
          <w:i/>
          <w:iCs/>
          <w:lang w:val="es-ES"/>
        </w:rPr>
        <w:t>«</w:t>
      </w:r>
      <w:r w:rsidRPr="00F05461">
        <w:rPr>
          <w:lang w:val="es-ES"/>
        </w:rPr>
        <w:t>TIC accesibles para todos» (celebrados en Cuba, México, Guatemala, España, Bélgica, Marruecos y Jordania), con la participación de más del 80</w:t>
      </w:r>
      <w:r w:rsidR="00587968" w:rsidRPr="00F05461">
        <w:rPr>
          <w:lang w:val="es-ES"/>
        </w:rPr>
        <w:t> </w:t>
      </w:r>
      <w:r w:rsidR="001D269F" w:rsidRPr="00F05461">
        <w:rPr>
          <w:lang w:val="es-ES"/>
        </w:rPr>
        <w:t>por ciento</w:t>
      </w:r>
      <w:r w:rsidRPr="00F05461">
        <w:rPr>
          <w:lang w:val="es-ES"/>
        </w:rPr>
        <w:t xml:space="preserve"> de los países de cada región y un promedio de 200</w:t>
      </w:r>
      <w:r w:rsidR="00587968" w:rsidRPr="00F05461">
        <w:rPr>
          <w:lang w:val="es-ES"/>
        </w:rPr>
        <w:t> </w:t>
      </w:r>
      <w:r w:rsidRPr="00F05461">
        <w:rPr>
          <w:lang w:val="es-ES"/>
        </w:rPr>
        <w:t>participantes en cada evento, en colaboración con las principales plataformas de inclusión digital y accesibilidad, entre ellas las Conferencias de las Partes en la Convención de las Naciones Unidas sobre los Derechos de las Personas con Discapacidad, los Foros Regionales de Inclusión Digital (en particular, Asia-Pacífico), el Foro Mundial sobre el Envejecimiento (Japón) y el Foro de Accesibilidad Digital (EAU).</w:t>
      </w:r>
    </w:p>
    <w:p w14:paraId="01B0B020" w14:textId="3F11AD9B" w:rsidR="007B4979" w:rsidRPr="00F05461" w:rsidRDefault="007B4979" w:rsidP="007B4979">
      <w:pPr>
        <w:rPr>
          <w:lang w:val="es-ES"/>
        </w:rPr>
      </w:pPr>
      <w:r w:rsidRPr="00F05461">
        <w:rPr>
          <w:lang w:val="es-ES"/>
        </w:rPr>
        <w:t>El</w:t>
      </w:r>
      <w:r w:rsidR="00C0551E" w:rsidRPr="00F05461">
        <w:rPr>
          <w:lang w:val="es-ES"/>
        </w:rPr>
        <w:t> </w:t>
      </w:r>
      <w:hyperlink r:id="rId426" w:history="1">
        <w:r w:rsidRPr="00F05461">
          <w:rPr>
            <w:rStyle w:val="Hyperlink"/>
            <w:rFonts w:eastAsia="Times New Roman" w:cs="Times New Roman"/>
            <w:szCs w:val="20"/>
            <w:lang w:val="es-ES"/>
          </w:rPr>
          <w:t>UIT-T</w:t>
        </w:r>
      </w:hyperlink>
      <w:r w:rsidRPr="00F05461">
        <w:rPr>
          <w:lang w:val="es-ES"/>
        </w:rPr>
        <w:t xml:space="preserve"> promovió la accesibilidad mediante la labor de integración del diseño inclusivo en la elaboración de normas y la mejora de las plataformas digitales orientadas al usuario. El UIT-T mejoró el sistema «</w:t>
      </w:r>
      <w:proofErr w:type="spellStart"/>
      <w:r w:rsidR="0014787F">
        <w:fldChar w:fldCharType="begin"/>
      </w:r>
      <w:r w:rsidR="0014787F" w:rsidRPr="0014787F">
        <w:rPr>
          <w:lang w:val="es-ES"/>
        </w:rPr>
        <w:instrText xml:space="preserve"> HYPERLINK "https://www.itu.int/net4/itu-t/search" </w:instrText>
      </w:r>
      <w:r w:rsidR="0014787F">
        <w:fldChar w:fldCharType="separate"/>
      </w:r>
      <w:r w:rsidRPr="00F05461">
        <w:rPr>
          <w:rStyle w:val="Hyperlink"/>
          <w:rFonts w:eastAsia="Times New Roman" w:cs="Times New Roman"/>
          <w:szCs w:val="20"/>
          <w:lang w:val="es-ES"/>
        </w:rPr>
        <w:t>ITUSearch</w:t>
      </w:r>
      <w:proofErr w:type="spellEnd"/>
      <w:r w:rsidR="0014787F">
        <w:rPr>
          <w:rStyle w:val="Hyperlink"/>
          <w:rFonts w:eastAsia="Times New Roman" w:cs="Times New Roman"/>
          <w:szCs w:val="20"/>
          <w:lang w:val="es-ES"/>
        </w:rPr>
        <w:fldChar w:fldCharType="end"/>
      </w:r>
      <w:hyperlink r:id="rId427" w:history="1"/>
      <w:r w:rsidRPr="00F05461">
        <w:rPr>
          <w:lang w:val="es-ES"/>
        </w:rPr>
        <w:t xml:space="preserve">» de conformidad con las directrices de diseño de </w:t>
      </w:r>
      <w:r w:rsidR="00296F03" w:rsidRPr="00F05461">
        <w:rPr>
          <w:lang w:val="es-ES"/>
        </w:rPr>
        <w:t>la UIT</w:t>
      </w:r>
      <w:r w:rsidRPr="00F05461">
        <w:rPr>
          <w:lang w:val="es-ES"/>
        </w:rPr>
        <w:t xml:space="preserve"> para facilitar un uso más claro y accesible. El Sector también siguió apoyando los trabajos relacionados con las tecnologías incipientes, entre otras cosas mediante la colaboración con la</w:t>
      </w:r>
      <w:bookmarkStart w:id="105" w:name="_Hlk226551783"/>
      <w:r w:rsidR="007347B3" w:rsidRPr="00F05461">
        <w:rPr>
          <w:lang w:val="es-ES"/>
        </w:rPr>
        <w:t> </w:t>
      </w:r>
      <w:bookmarkEnd w:id="105"/>
      <w:r w:rsidRPr="00F05461">
        <w:rPr>
          <w:lang w:val="es-ES"/>
        </w:rPr>
        <w:t xml:space="preserve">OMS en materia de </w:t>
      </w:r>
      <w:hyperlink r:id="rId428" w:history="1">
        <w:r w:rsidRPr="00F05461">
          <w:rPr>
            <w:rStyle w:val="Hyperlink"/>
            <w:rFonts w:eastAsia="Times New Roman" w:cs="Times New Roman"/>
            <w:szCs w:val="20"/>
            <w:lang w:val="es-ES"/>
          </w:rPr>
          <w:t>accesibilidad de los servicios de telesalud</w:t>
        </w:r>
      </w:hyperlink>
      <w:r w:rsidRPr="00F05461">
        <w:rPr>
          <w:lang w:val="es-ES"/>
        </w:rPr>
        <w:t xml:space="preserve"> y escucha segura mediante </w:t>
      </w:r>
      <w:hyperlink r:id="rId429" w:history="1">
        <w:r w:rsidRPr="00F05461">
          <w:rPr>
            <w:rStyle w:val="Hyperlink"/>
            <w:rFonts w:eastAsia="Times New Roman" w:cs="Times New Roman"/>
            <w:szCs w:val="20"/>
            <w:lang w:val="es-ES"/>
          </w:rPr>
          <w:t>dispositivos</w:t>
        </w:r>
      </w:hyperlink>
      <w:r w:rsidRPr="00F05461">
        <w:rPr>
          <w:lang w:val="es-ES"/>
        </w:rPr>
        <w:t xml:space="preserve"> de reproducción de música, </w:t>
      </w:r>
      <w:hyperlink r:id="rId430" w:history="1">
        <w:r w:rsidRPr="00F05461">
          <w:rPr>
            <w:rStyle w:val="Hyperlink"/>
            <w:rFonts w:eastAsia="Times New Roman" w:cs="Times New Roman"/>
            <w:szCs w:val="20"/>
            <w:lang w:val="es-ES"/>
          </w:rPr>
          <w:t>amplificadores de sonido personales</w:t>
        </w:r>
      </w:hyperlink>
      <w:r w:rsidRPr="00F05461">
        <w:rPr>
          <w:lang w:val="es-ES"/>
        </w:rPr>
        <w:t xml:space="preserve">, </w:t>
      </w:r>
      <w:hyperlink r:id="rId431" w:history="1">
        <w:r w:rsidRPr="00F05461">
          <w:rPr>
            <w:rStyle w:val="Hyperlink"/>
            <w:rFonts w:eastAsia="Times New Roman" w:cs="Times New Roman"/>
            <w:szCs w:val="20"/>
            <w:lang w:val="es-ES"/>
          </w:rPr>
          <w:t>recintos</w:t>
        </w:r>
      </w:hyperlink>
      <w:r w:rsidRPr="00F05461">
        <w:rPr>
          <w:lang w:val="es-ES"/>
        </w:rPr>
        <w:t xml:space="preserve"> y </w:t>
      </w:r>
      <w:hyperlink r:id="rId432" w:history="1">
        <w:r w:rsidRPr="00F05461">
          <w:rPr>
            <w:rStyle w:val="Hyperlink"/>
            <w:rFonts w:eastAsia="Times New Roman" w:cs="Times New Roman"/>
            <w:szCs w:val="20"/>
            <w:lang w:val="es-ES"/>
          </w:rPr>
          <w:t>videojuegos/deportes electrónicos</w:t>
        </w:r>
      </w:hyperlink>
      <w:r w:rsidRPr="00F05461">
        <w:rPr>
          <w:lang w:val="es-ES"/>
        </w:rPr>
        <w:t>, así como marcos de referencia relacionados con la</w:t>
      </w:r>
      <w:r w:rsidR="00D34837" w:rsidRPr="00F05461">
        <w:rPr>
          <w:lang w:val="es-ES"/>
        </w:rPr>
        <w:t> </w:t>
      </w:r>
      <w:r w:rsidRPr="00F05461">
        <w:rPr>
          <w:lang w:val="es-ES"/>
        </w:rPr>
        <w:t xml:space="preserve">IA para aplicaciones sanitarias desarrollados en el marco de un </w:t>
      </w:r>
      <w:hyperlink r:id="rId433" w:history="1">
        <w:r w:rsidRPr="00F05461">
          <w:rPr>
            <w:rStyle w:val="Hyperlink"/>
            <w:rFonts w:eastAsia="Times New Roman" w:cs="Times New Roman"/>
            <w:szCs w:val="20"/>
            <w:lang w:val="es-ES"/>
          </w:rPr>
          <w:t xml:space="preserve">Grupo Temático conjunto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y la</w:t>
        </w:r>
        <w:r w:rsidR="00883862" w:rsidRPr="00F05461">
          <w:rPr>
            <w:rStyle w:val="Hyperlink"/>
            <w:rFonts w:eastAsia="Times New Roman" w:cs="Times New Roman"/>
            <w:szCs w:val="20"/>
            <w:lang w:val="es-ES"/>
          </w:rPr>
          <w:t> </w:t>
        </w:r>
        <w:r w:rsidRPr="00F05461">
          <w:rPr>
            <w:rStyle w:val="Hyperlink"/>
            <w:rFonts w:eastAsia="Times New Roman" w:cs="Times New Roman"/>
            <w:szCs w:val="20"/>
            <w:lang w:val="es-ES"/>
          </w:rPr>
          <w:t>OMS</w:t>
        </w:r>
      </w:hyperlink>
      <w:r w:rsidRPr="00F05461">
        <w:rPr>
          <w:lang w:val="es-ES"/>
        </w:rPr>
        <w:t xml:space="preserve"> (parte de la </w:t>
      </w:r>
      <w:hyperlink r:id="rId434" w:history="1">
        <w:r w:rsidRPr="00F05461">
          <w:rPr>
            <w:rStyle w:val="Hyperlink"/>
            <w:rFonts w:eastAsia="Times New Roman" w:cs="Times New Roman"/>
            <w:szCs w:val="20"/>
            <w:lang w:val="es-ES"/>
          </w:rPr>
          <w:t>Comisión de Estudio</w:t>
        </w:r>
        <w:r w:rsidR="00D34837" w:rsidRPr="00F05461">
          <w:rPr>
            <w:rStyle w:val="Hyperlink"/>
            <w:rFonts w:eastAsia="Times New Roman" w:cs="Times New Roman"/>
            <w:szCs w:val="20"/>
            <w:lang w:val="es-ES"/>
          </w:rPr>
          <w:t> </w:t>
        </w:r>
        <w:r w:rsidRPr="00F05461">
          <w:rPr>
            <w:rStyle w:val="Hyperlink"/>
            <w:rFonts w:eastAsia="Times New Roman" w:cs="Times New Roman"/>
            <w:szCs w:val="20"/>
            <w:lang w:val="es-ES"/>
          </w:rPr>
          <w:t xml:space="preserve">21 </w:t>
        </w:r>
        <w:r w:rsidR="00A10309" w:rsidRPr="00F05461">
          <w:rPr>
            <w:rStyle w:val="Hyperlink"/>
            <w:rFonts w:eastAsia="Times New Roman" w:cs="Times New Roman"/>
            <w:szCs w:val="20"/>
            <w:lang w:val="es-ES"/>
          </w:rPr>
          <w:t>del UIT</w:t>
        </w:r>
        <w:r w:rsidR="00A10309"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T</w:t>
        </w:r>
      </w:hyperlink>
      <w:r w:rsidRPr="00F05461">
        <w:rPr>
          <w:lang w:val="es-ES"/>
        </w:rPr>
        <w:t>, anteriormente Comisión de Estudio</w:t>
      </w:r>
      <w:r w:rsidR="00D34837" w:rsidRPr="00F05461">
        <w:rPr>
          <w:lang w:val="es-ES"/>
        </w:rPr>
        <w:t> </w:t>
      </w:r>
      <w:r w:rsidRPr="00F05461">
        <w:rPr>
          <w:lang w:val="es-ES"/>
        </w:rPr>
        <w:t xml:space="preserve">16). Además, la </w:t>
      </w:r>
      <w:hyperlink r:id="rId435" w:history="1">
        <w:r w:rsidRPr="00F05461">
          <w:rPr>
            <w:rStyle w:val="Hyperlink"/>
            <w:rFonts w:eastAsia="Times New Roman" w:cs="Times New Roman"/>
            <w:szCs w:val="20"/>
            <w:lang w:val="es-ES"/>
          </w:rPr>
          <w:t>Comisión de Estudio</w:t>
        </w:r>
        <w:r w:rsidR="00D34837" w:rsidRPr="00F05461">
          <w:rPr>
            <w:rStyle w:val="Hyperlink"/>
            <w:rFonts w:eastAsia="Times New Roman" w:cs="Times New Roman"/>
            <w:szCs w:val="20"/>
            <w:lang w:val="es-ES"/>
          </w:rPr>
          <w:t> </w:t>
        </w:r>
        <w:r w:rsidRPr="00F05461">
          <w:rPr>
            <w:rStyle w:val="Hyperlink"/>
            <w:rFonts w:eastAsia="Times New Roman" w:cs="Times New Roman"/>
            <w:szCs w:val="20"/>
            <w:lang w:val="es-ES"/>
          </w:rPr>
          <w:t xml:space="preserve">20 </w:t>
        </w:r>
        <w:r w:rsidR="00A10309" w:rsidRPr="00F05461">
          <w:rPr>
            <w:rStyle w:val="Hyperlink"/>
            <w:rFonts w:eastAsia="Times New Roman" w:cs="Times New Roman"/>
            <w:szCs w:val="20"/>
            <w:lang w:val="es-ES"/>
          </w:rPr>
          <w:t>del UIT</w:t>
        </w:r>
        <w:r w:rsidR="00A10309" w:rsidRPr="00F05461">
          <w:rPr>
            <w:rStyle w:val="Hyperlink"/>
            <w:rFonts w:eastAsia="Times New Roman" w:cs="Times New Roman"/>
            <w:szCs w:val="20"/>
            <w:lang w:val="es-ES"/>
          </w:rPr>
          <w:noBreakHyphen/>
        </w:r>
        <w:r w:rsidRPr="00F05461">
          <w:rPr>
            <w:rStyle w:val="Hyperlink"/>
            <w:rFonts w:eastAsia="Times New Roman" w:cs="Times New Roman"/>
            <w:szCs w:val="20"/>
            <w:lang w:val="es-ES"/>
          </w:rPr>
          <w:t>T</w:t>
        </w:r>
      </w:hyperlink>
      <w:r w:rsidRPr="00F05461">
        <w:rPr>
          <w:lang w:val="es-ES"/>
        </w:rPr>
        <w:t xml:space="preserve"> impulsó la normalización de los servicios digitales centrados en las personas que promueven</w:t>
      </w:r>
      <w:r w:rsidR="00233128" w:rsidRPr="00F05461">
        <w:rPr>
          <w:lang w:val="es-ES"/>
        </w:rPr>
        <w:t> </w:t>
      </w:r>
      <w:r w:rsidRPr="00F05461">
        <w:rPr>
          <w:lang w:val="es-ES"/>
        </w:rPr>
        <w:t xml:space="preserve">IoT y las ciudades y comunidades inteligentes y sostenibles, en particular la salud digital, la accesibilidad y la inclusión. Como complemento a esos esfuerzos, la </w:t>
      </w:r>
      <w:hyperlink r:id="rId436" w:history="1">
        <w:r w:rsidRPr="00F05461">
          <w:rPr>
            <w:rStyle w:val="Hyperlink"/>
            <w:rFonts w:eastAsia="Times New Roman" w:cs="Times New Roman"/>
            <w:szCs w:val="20"/>
            <w:lang w:val="es-ES"/>
          </w:rPr>
          <w:t xml:space="preserve">Iniciativa </w:t>
        </w:r>
        <w:r w:rsidR="00645E1B" w:rsidRPr="00F05461">
          <w:rPr>
            <w:rStyle w:val="Hyperlink"/>
            <w:rFonts w:eastAsia="Times New Roman" w:cs="Times New Roman"/>
            <w:szCs w:val="20"/>
            <w:lang w:val="es-ES"/>
          </w:rPr>
          <w:t>M</w:t>
        </w:r>
        <w:r w:rsidRPr="00F05461">
          <w:rPr>
            <w:rStyle w:val="Hyperlink"/>
            <w:rFonts w:eastAsia="Times New Roman" w:cs="Times New Roman"/>
            <w:szCs w:val="20"/>
            <w:lang w:val="es-ES"/>
          </w:rPr>
          <w:t xml:space="preserve">undial sobre </w:t>
        </w:r>
        <w:r w:rsidR="00645E1B" w:rsidRPr="00F05461">
          <w:rPr>
            <w:rStyle w:val="Hyperlink"/>
            <w:rFonts w:eastAsia="Times New Roman" w:cs="Times New Roman"/>
            <w:szCs w:val="20"/>
            <w:lang w:val="es-ES"/>
          </w:rPr>
          <w:t>M</w:t>
        </w:r>
        <w:r w:rsidRPr="00F05461">
          <w:rPr>
            <w:rStyle w:val="Hyperlink"/>
            <w:rFonts w:eastAsia="Times New Roman" w:cs="Times New Roman"/>
            <w:szCs w:val="20"/>
            <w:lang w:val="es-ES"/>
          </w:rPr>
          <w:t xml:space="preserve">undos </w:t>
        </w:r>
        <w:r w:rsidR="00645E1B" w:rsidRPr="00F05461">
          <w:rPr>
            <w:rStyle w:val="Hyperlink"/>
            <w:rFonts w:eastAsia="Times New Roman" w:cs="Times New Roman"/>
            <w:szCs w:val="20"/>
            <w:lang w:val="es-ES"/>
          </w:rPr>
          <w:t>V</w:t>
        </w:r>
        <w:r w:rsidRPr="00F05461">
          <w:rPr>
            <w:rStyle w:val="Hyperlink"/>
            <w:rFonts w:eastAsia="Times New Roman" w:cs="Times New Roman"/>
            <w:szCs w:val="20"/>
            <w:lang w:val="es-ES"/>
          </w:rPr>
          <w:t xml:space="preserve">irtuales e IA – </w:t>
        </w:r>
        <w:r w:rsidR="00645E1B" w:rsidRPr="00F05461">
          <w:rPr>
            <w:rStyle w:val="Hyperlink"/>
            <w:rFonts w:eastAsia="Times New Roman" w:cs="Times New Roman"/>
            <w:szCs w:val="20"/>
            <w:lang w:val="es-ES"/>
          </w:rPr>
          <w:t xml:space="preserve">Descubriendo el </w:t>
        </w:r>
        <w:r w:rsidR="00963557" w:rsidRPr="00F05461">
          <w:rPr>
            <w:rStyle w:val="Hyperlink"/>
            <w:rFonts w:eastAsia="Times New Roman" w:cs="Times New Roman"/>
            <w:szCs w:val="20"/>
            <w:lang w:val="es-ES"/>
          </w:rPr>
          <w:t>Citi</w:t>
        </w:r>
        <w:r w:rsidR="00645E1B" w:rsidRPr="00F05461">
          <w:rPr>
            <w:rStyle w:val="Hyperlink"/>
            <w:rFonts w:eastAsia="Times New Roman" w:cs="Times New Roman"/>
            <w:szCs w:val="20"/>
            <w:lang w:val="es-ES"/>
          </w:rPr>
          <w:t>verso</w:t>
        </w:r>
      </w:hyperlink>
      <w:r w:rsidRPr="00F05461">
        <w:rPr>
          <w:lang w:val="es-ES"/>
        </w:rPr>
        <w:t xml:space="preserve"> sigue abordando la inclusión digital y la accesibilidad en el </w:t>
      </w:r>
      <w:r w:rsidR="00963557" w:rsidRPr="00F05461">
        <w:rPr>
          <w:lang w:val="es-ES"/>
        </w:rPr>
        <w:t>citi</w:t>
      </w:r>
      <w:r w:rsidRPr="00F05461">
        <w:rPr>
          <w:lang w:val="es-ES"/>
        </w:rPr>
        <w:t>verso y los mundos virtuales, y reconoce que la creación de nuevos entornos digitales plantea aspectos de accesibilidad relacionados con las competencias digitales, la discapacidad visual y la neurodiversidad que deben abordarse de forma proactiva. El</w:t>
      </w:r>
      <w:r w:rsidR="00D34837" w:rsidRPr="00F05461">
        <w:rPr>
          <w:lang w:val="es-ES"/>
        </w:rPr>
        <w:t> </w:t>
      </w:r>
      <w:r w:rsidRPr="00F05461">
        <w:rPr>
          <w:lang w:val="es-ES"/>
        </w:rPr>
        <w:t>UIT-T mantuvo repositorios y canales de información específicos para garantizar que los aspectos de accesibilidad siguieran siendo fundamentales en las actividades relacionadas con las normas y estuvieran ampliamente accesibles para los miembros y las partes interesadas.</w:t>
      </w:r>
    </w:p>
    <w:p w14:paraId="72615E04" w14:textId="4AD4A813" w:rsidR="007B4979" w:rsidRPr="00F05461" w:rsidRDefault="007B4979" w:rsidP="007B4979">
      <w:pPr>
        <w:rPr>
          <w:lang w:val="es-ES"/>
        </w:rPr>
      </w:pPr>
      <w:r w:rsidRPr="00F05461">
        <w:rPr>
          <w:lang w:val="es-ES"/>
        </w:rPr>
        <w:lastRenderedPageBreak/>
        <w:t>El</w:t>
      </w:r>
      <w:r w:rsidR="00C0551E" w:rsidRPr="00F05461">
        <w:rPr>
          <w:lang w:val="es-ES"/>
        </w:rPr>
        <w:t> </w:t>
      </w:r>
      <w:hyperlink r:id="rId437" w:history="1">
        <w:r w:rsidRPr="00F05461">
          <w:rPr>
            <w:rStyle w:val="Hyperlink"/>
            <w:rFonts w:eastAsia="Times New Roman" w:cs="Times New Roman"/>
            <w:szCs w:val="20"/>
            <w:lang w:val="es-ES"/>
          </w:rPr>
          <w:t>UIT-R</w:t>
        </w:r>
      </w:hyperlink>
      <w:r w:rsidRPr="00F05461">
        <w:rPr>
          <w:lang w:val="es-ES"/>
        </w:rPr>
        <w:t xml:space="preserve"> mejoró la accesibilidad mediante la actualización de varias publicaciones técnicas clave que abordan las necesidades de las personas con discapacidad y de las personas con necesidades específicas. Se revisaron y aprobaron cinco publicaciones </w:t>
      </w:r>
      <w:r w:rsidR="00A10309" w:rsidRPr="00F05461">
        <w:rPr>
          <w:lang w:val="es-ES"/>
        </w:rPr>
        <w:t>del UIT</w:t>
      </w:r>
      <w:r w:rsidR="00A10309" w:rsidRPr="00F05461">
        <w:rPr>
          <w:lang w:val="es-ES"/>
        </w:rPr>
        <w:noBreakHyphen/>
      </w:r>
      <w:r w:rsidRPr="00F05461">
        <w:rPr>
          <w:lang w:val="es-ES"/>
        </w:rPr>
        <w:t>R en el marco de la Resolución</w:t>
      </w:r>
      <w:r w:rsidR="004B19E2" w:rsidRPr="00F05461">
        <w:rPr>
          <w:lang w:val="es-ES"/>
        </w:rPr>
        <w:t> </w:t>
      </w:r>
      <w:hyperlink r:id="rId438" w:history="1">
        <w:r w:rsidRPr="00F05461">
          <w:rPr>
            <w:rStyle w:val="Hyperlink"/>
            <w:rFonts w:eastAsia="Times New Roman" w:cs="Times New Roman"/>
            <w:szCs w:val="20"/>
            <w:lang w:val="es-ES"/>
          </w:rPr>
          <w:t>UIT-R 67-2</w:t>
        </w:r>
      </w:hyperlink>
      <w:r w:rsidRPr="00F05461">
        <w:rPr>
          <w:lang w:val="es-ES"/>
        </w:rPr>
        <w:t xml:space="preserve"> sobre accesibilidad de las telecomunicaciones y las</w:t>
      </w:r>
      <w:r w:rsidR="00EB694D" w:rsidRPr="00F05461">
        <w:rPr>
          <w:lang w:val="es-ES"/>
        </w:rPr>
        <w:t> </w:t>
      </w:r>
      <w:r w:rsidRPr="00F05461">
        <w:rPr>
          <w:lang w:val="es-ES"/>
        </w:rPr>
        <w:t>TIC, a fin de garantizar su pertinencia y adaptación a contextos tecnológicos incipientes. Las actualizaciones efectuadas incluyen el Informe</w:t>
      </w:r>
      <w:r w:rsidR="004B19E2" w:rsidRPr="00F05461">
        <w:rPr>
          <w:lang w:val="es-ES"/>
        </w:rPr>
        <w:t> </w:t>
      </w:r>
      <w:hyperlink r:id="rId439" w:history="1">
        <w:r w:rsidRPr="00F05461">
          <w:rPr>
            <w:rStyle w:val="Hyperlink"/>
            <w:rFonts w:eastAsia="Times New Roman" w:cs="Times New Roman"/>
            <w:szCs w:val="20"/>
            <w:lang w:val="es-ES"/>
          </w:rPr>
          <w:t>UIT-R BT.2207</w:t>
        </w:r>
      </w:hyperlink>
      <w:r w:rsidRPr="00F05461">
        <w:rPr>
          <w:lang w:val="es-ES"/>
        </w:rPr>
        <w:t xml:space="preserve"> sobre accesibilidad a servicios de radiodifusión y el Informe</w:t>
      </w:r>
      <w:r w:rsidR="004B19E2" w:rsidRPr="00F05461">
        <w:rPr>
          <w:lang w:val="es-ES"/>
        </w:rPr>
        <w:t> </w:t>
      </w:r>
      <w:hyperlink r:id="rId440" w:history="1">
        <w:r w:rsidRPr="00F05461">
          <w:rPr>
            <w:rStyle w:val="Hyperlink"/>
            <w:rFonts w:eastAsia="Times New Roman" w:cs="Times New Roman"/>
            <w:szCs w:val="20"/>
            <w:lang w:val="es-ES"/>
          </w:rPr>
          <w:t>UIT-R SM.2153</w:t>
        </w:r>
      </w:hyperlink>
      <w:r w:rsidRPr="00F05461">
        <w:rPr>
          <w:lang w:val="es-ES"/>
        </w:rPr>
        <w:t xml:space="preserve"> sobre dispositivos de radiocomunicación de corto alcance. El UIT-R también aprobó la Recomendación</w:t>
      </w:r>
      <w:r w:rsidR="004B19E2" w:rsidRPr="00F05461">
        <w:rPr>
          <w:lang w:val="es-ES"/>
        </w:rPr>
        <w:t> </w:t>
      </w:r>
      <w:hyperlink r:id="rId441" w:history="1">
        <w:r w:rsidRPr="00F05461">
          <w:rPr>
            <w:rStyle w:val="Hyperlink"/>
            <w:rFonts w:eastAsia="Times New Roman" w:cs="Times New Roman"/>
            <w:szCs w:val="20"/>
            <w:lang w:val="es-ES"/>
          </w:rPr>
          <w:t>UIT-R BT.1702-3</w:t>
        </w:r>
      </w:hyperlink>
      <w:r w:rsidRPr="00F05461">
        <w:rPr>
          <w:lang w:val="es-ES"/>
        </w:rPr>
        <w:t xml:space="preserve">, que ofrece orientación para reducir las crisis epilépticas fotosensibles provocadas por contenido televisivo. El </w:t>
      </w:r>
      <w:hyperlink r:id="rId442" w:history="1">
        <w:r w:rsidR="004B19E2" w:rsidRPr="00F05461">
          <w:rPr>
            <w:rStyle w:val="Hyperlink"/>
            <w:rFonts w:eastAsia="Times New Roman" w:cs="Times New Roman"/>
            <w:i/>
            <w:iCs/>
            <w:szCs w:val="20"/>
            <w:lang w:val="es-ES"/>
          </w:rPr>
          <w:t>Manual sobre la implantación de redes y sistemas de radiodifusión de televisión terrenal digital</w:t>
        </w:r>
      </w:hyperlink>
      <w:r w:rsidRPr="00F05461">
        <w:rPr>
          <w:lang w:val="es-ES"/>
        </w:rPr>
        <w:t xml:space="preserve"> aborda asimismo cuestiones de accesibilidad y la manera en que éstas pueden ayudar a personas con discapacidad y con necesidades </w:t>
      </w:r>
      <w:r w:rsidR="00CD0B5C" w:rsidRPr="00F05461">
        <w:rPr>
          <w:lang w:val="es-ES"/>
        </w:rPr>
        <w:t>especiales</w:t>
      </w:r>
      <w:r w:rsidRPr="00F05461">
        <w:rPr>
          <w:lang w:val="es-ES"/>
        </w:rPr>
        <w:t>. Dicha revisión permitió al UIT-R fortalecer su compromiso de garantizar que los sistemas de radiocomunicaciones y los entornos de radiodifusión sigan siendo seguros, inclusivos y accesibles para todos los usuarios.</w:t>
      </w:r>
    </w:p>
    <w:p w14:paraId="1C60A79C" w14:textId="6378364B" w:rsidR="007B4979" w:rsidRPr="00F05461" w:rsidRDefault="007B4979" w:rsidP="007B4979">
      <w:pPr>
        <w:rPr>
          <w:lang w:val="es-ES"/>
        </w:rPr>
      </w:pPr>
      <w:r w:rsidRPr="00F05461">
        <w:rPr>
          <w:lang w:val="es-ES"/>
        </w:rPr>
        <w:t xml:space="preserve">En cuanto al componente interno de la Política de Accesibilidad de </w:t>
      </w:r>
      <w:r w:rsidR="00296F03" w:rsidRPr="00F05461">
        <w:rPr>
          <w:lang w:val="es-ES"/>
        </w:rPr>
        <w:t>la UIT</w:t>
      </w:r>
      <w:r w:rsidRPr="00F05461">
        <w:rPr>
          <w:lang w:val="es-ES"/>
        </w:rPr>
        <w:t>, se lleva a cabo una importante labor con respecto a cada uno de los componentes afectados, en particular, diseño del nuevo edificio, instalaciones, comunicaciones, adquisiciones, funciones de recursos humanos (RR.HH</w:t>
      </w:r>
      <w:r w:rsidR="004B19E2" w:rsidRPr="00F05461">
        <w:rPr>
          <w:lang w:val="es-ES"/>
        </w:rPr>
        <w:t>.</w:t>
      </w:r>
      <w:r w:rsidRPr="00F05461">
        <w:rPr>
          <w:lang w:val="es-ES"/>
        </w:rPr>
        <w:t xml:space="preserve">) como la contratación o el bienestar del personal, sistemas de tecnología de la información (TI) y conferencias y publicaciones. </w:t>
      </w:r>
      <w:r w:rsidR="00296F03" w:rsidRPr="00F05461">
        <w:rPr>
          <w:lang w:val="es-ES"/>
        </w:rPr>
        <w:t>La UIT</w:t>
      </w:r>
      <w:r w:rsidRPr="00F05461">
        <w:rPr>
          <w:lang w:val="es-ES"/>
        </w:rPr>
        <w:t xml:space="preserve"> logra avances para cumplir las normas de las Naciones Unidas y la Política de Accesibilidad de </w:t>
      </w:r>
      <w:r w:rsidR="00296F03" w:rsidRPr="00F05461">
        <w:rPr>
          <w:lang w:val="es-ES"/>
        </w:rPr>
        <w:t>la UIT</w:t>
      </w:r>
      <w:r w:rsidRPr="00F05461">
        <w:rPr>
          <w:lang w:val="es-ES"/>
        </w:rPr>
        <w:t xml:space="preserve">, si bien algunas esferas necesitan ser fortalecidas y una mejor coordinación. A tal efecto, </w:t>
      </w:r>
      <w:r w:rsidR="00296F03" w:rsidRPr="00F05461">
        <w:rPr>
          <w:lang w:val="es-ES"/>
        </w:rPr>
        <w:t>la UIT</w:t>
      </w:r>
      <w:r w:rsidRPr="00F05461">
        <w:rPr>
          <w:lang w:val="es-ES"/>
        </w:rPr>
        <w:t xml:space="preserve"> ha seguido proporcionando información sobre los 15</w:t>
      </w:r>
      <w:r w:rsidR="004B19E2" w:rsidRPr="00F05461">
        <w:rPr>
          <w:lang w:val="es-ES"/>
        </w:rPr>
        <w:t> </w:t>
      </w:r>
      <w:r w:rsidRPr="00F05461">
        <w:rPr>
          <w:lang w:val="es-ES"/>
        </w:rPr>
        <w:t>indicadores comunes de rendimiento del sistema de la Estrategia de las Naciones Unidas para la Inclusión de la Discapacidad (UNDIS). La</w:t>
      </w:r>
      <w:r w:rsidR="004B19E2" w:rsidRPr="00F05461">
        <w:rPr>
          <w:lang w:val="es-ES"/>
        </w:rPr>
        <w:t> </w:t>
      </w:r>
      <w:r w:rsidRPr="00F05461">
        <w:rPr>
          <w:lang w:val="es-ES"/>
        </w:rPr>
        <w:t>UNDIS tiene por objeto garantizar que el sistema de las Naciones Unidas integre plenamente la inclusión de las personas con discapacidad en todas sus actividades, al tiempo que proporciona un marco para facilitar avances sostenibles y transformadores en toda la organización.</w:t>
      </w:r>
    </w:p>
    <w:p w14:paraId="430AC24B" w14:textId="2CD937DE" w:rsidR="007B4979" w:rsidRPr="00F05461" w:rsidRDefault="007B4979" w:rsidP="007B4979">
      <w:pPr>
        <w:rPr>
          <w:lang w:val="es-ES"/>
        </w:rPr>
      </w:pPr>
      <w:r w:rsidRPr="00F05461">
        <w:rPr>
          <w:lang w:val="es-ES"/>
        </w:rPr>
        <w:t xml:space="preserve">Dichos indicadores se centran en cuatro áreas fundamentales: </w:t>
      </w:r>
      <w:r w:rsidR="00CD0B5C" w:rsidRPr="00F05461">
        <w:rPr>
          <w:lang w:val="es-ES"/>
        </w:rPr>
        <w:t>Liderazgo</w:t>
      </w:r>
      <w:r w:rsidRPr="00F05461">
        <w:rPr>
          <w:lang w:val="es-ES"/>
        </w:rPr>
        <w:t xml:space="preserve">, planificación estratégica y gestión; </w:t>
      </w:r>
      <w:r w:rsidR="00CD0B5C" w:rsidRPr="00F05461">
        <w:rPr>
          <w:lang w:val="es-ES"/>
        </w:rPr>
        <w:t>Inclusividad</w:t>
      </w:r>
      <w:r w:rsidRPr="00F05461">
        <w:rPr>
          <w:lang w:val="es-ES"/>
        </w:rPr>
        <w:t xml:space="preserve">; </w:t>
      </w:r>
      <w:r w:rsidR="00CD0B5C" w:rsidRPr="00F05461">
        <w:rPr>
          <w:lang w:val="es-ES"/>
        </w:rPr>
        <w:t xml:space="preserve">Programación </w:t>
      </w:r>
      <w:r w:rsidRPr="00F05461">
        <w:rPr>
          <w:lang w:val="es-ES"/>
        </w:rPr>
        <w:t xml:space="preserve">y </w:t>
      </w:r>
      <w:r w:rsidR="00CD0B5C" w:rsidRPr="00F05461">
        <w:rPr>
          <w:lang w:val="es-ES"/>
        </w:rPr>
        <w:t xml:space="preserve">Cultura </w:t>
      </w:r>
      <w:r w:rsidRPr="00F05461">
        <w:rPr>
          <w:lang w:val="es-ES"/>
        </w:rPr>
        <w:t xml:space="preserve">organizativa. Los resultados de la autoevaluación de </w:t>
      </w:r>
      <w:r w:rsidR="00296F03" w:rsidRPr="00F05461">
        <w:rPr>
          <w:lang w:val="es-ES"/>
        </w:rPr>
        <w:t>la UIT</w:t>
      </w:r>
      <w:r w:rsidRPr="00F05461">
        <w:rPr>
          <w:lang w:val="es-ES"/>
        </w:rPr>
        <w:t xml:space="preserve"> se muestran a continuación.</w:t>
      </w:r>
    </w:p>
    <w:p w14:paraId="6F415B21" w14:textId="550C9C5D" w:rsidR="007A1B3D" w:rsidRPr="00F05461" w:rsidRDefault="007A1B3D" w:rsidP="007A1B3D">
      <w:pPr>
        <w:pStyle w:val="Figure"/>
        <w:rPr>
          <w:lang w:val="es-ES"/>
        </w:rPr>
      </w:pPr>
      <w:r w:rsidRPr="00F05461">
        <w:rPr>
          <w:noProof/>
          <w:lang w:val="es-ES"/>
        </w:rPr>
        <w:drawing>
          <wp:inline distT="0" distB="0" distL="0" distR="0" wp14:anchorId="12532AA9" wp14:editId="4C52B960">
            <wp:extent cx="4500000" cy="21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500000" cy="2124000"/>
                    </a:xfrm>
                    <a:prstGeom prst="rect">
                      <a:avLst/>
                    </a:prstGeom>
                    <a:noFill/>
                  </pic:spPr>
                </pic:pic>
              </a:graphicData>
            </a:graphic>
          </wp:inline>
        </w:drawing>
      </w:r>
    </w:p>
    <w:p w14:paraId="698FCFDB" w14:textId="6F1CF1DB" w:rsidR="007B4979" w:rsidRPr="00F05461" w:rsidRDefault="007B4979" w:rsidP="00587968">
      <w:pPr>
        <w:pStyle w:val="Figurelegend"/>
        <w:jc w:val="center"/>
        <w:rPr>
          <w:i/>
          <w:iCs/>
          <w:color w:val="1F497D"/>
          <w:lang w:val="es-ES"/>
        </w:rPr>
      </w:pPr>
      <w:r w:rsidRPr="00F05461">
        <w:rPr>
          <w:i/>
          <w:iCs/>
          <w:color w:val="1F497D"/>
          <w:lang w:val="es-ES"/>
        </w:rPr>
        <w:t xml:space="preserve">Figura 22. Autoevaluación de </w:t>
      </w:r>
      <w:r w:rsidR="00296F03" w:rsidRPr="00F05461">
        <w:rPr>
          <w:i/>
          <w:iCs/>
          <w:color w:val="1F497D"/>
          <w:lang w:val="es-ES"/>
        </w:rPr>
        <w:t>la UIT</w:t>
      </w:r>
      <w:r w:rsidRPr="00F05461">
        <w:rPr>
          <w:i/>
          <w:iCs/>
          <w:color w:val="1F497D"/>
          <w:lang w:val="es-ES"/>
        </w:rPr>
        <w:t xml:space="preserve"> en el marco de la UNDIS</w:t>
      </w:r>
    </w:p>
    <w:p w14:paraId="4D25FC38" w14:textId="77777777" w:rsidR="007B4979" w:rsidRPr="00F05461" w:rsidRDefault="007B4979" w:rsidP="009E4631">
      <w:pPr>
        <w:pStyle w:val="Heading3"/>
      </w:pPr>
      <w:bookmarkStart w:id="106" w:name="_Toc224288832"/>
      <w:bookmarkStart w:id="107" w:name="_Toc227137492"/>
      <w:r w:rsidRPr="00F05461">
        <w:lastRenderedPageBreak/>
        <w:t>5.3.4</w:t>
      </w:r>
      <w:r w:rsidRPr="00F05461">
        <w:tab/>
        <w:t>Soluciones para comunidades rurales, aisladas e indígenas</w:t>
      </w:r>
      <w:bookmarkEnd w:id="106"/>
      <w:bookmarkEnd w:id="107"/>
    </w:p>
    <w:p w14:paraId="4549CD41" w14:textId="39D8E108" w:rsidR="007B4979" w:rsidRPr="00F05461" w:rsidRDefault="007B4979" w:rsidP="007B4979">
      <w:pPr>
        <w:rPr>
          <w:lang w:val="es-ES"/>
        </w:rPr>
      </w:pPr>
      <w:r w:rsidRPr="00F05461">
        <w:rPr>
          <w:lang w:val="es-ES"/>
        </w:rPr>
        <w:t xml:space="preserve">Desde 2002, los miembros de </w:t>
      </w:r>
      <w:r w:rsidR="00296F03" w:rsidRPr="00F05461">
        <w:rPr>
          <w:lang w:val="es-ES"/>
        </w:rPr>
        <w:t>la UIT</w:t>
      </w:r>
      <w:r w:rsidRPr="00F05461">
        <w:rPr>
          <w:lang w:val="es-ES"/>
        </w:rPr>
        <w:t xml:space="preserve"> han intentado empoderar a las comunidades indígenas mediante la tecnología, tal y como se refleja en las resoluciones adoptadas y aplicadas sistemáticamente en el marco de las Conferencias Mundiales de Desarrollo de las Telecomunicaciones y de Plenipotenciarios de </w:t>
      </w:r>
      <w:r w:rsidR="00296F03" w:rsidRPr="00F05461">
        <w:rPr>
          <w:lang w:val="es-ES"/>
        </w:rPr>
        <w:t>la UIT</w:t>
      </w:r>
      <w:r w:rsidRPr="00F05461">
        <w:rPr>
          <w:lang w:val="es-ES"/>
        </w:rPr>
        <w:t>.</w:t>
      </w:r>
    </w:p>
    <w:p w14:paraId="3B541972" w14:textId="6F3B1995" w:rsidR="007B4979" w:rsidRPr="00F05461" w:rsidRDefault="007B4979" w:rsidP="007B4979">
      <w:pPr>
        <w:rPr>
          <w:lang w:val="es-ES"/>
        </w:rPr>
      </w:pPr>
      <w:r w:rsidRPr="00F05461">
        <w:rPr>
          <w:lang w:val="es-ES"/>
        </w:rPr>
        <w:t xml:space="preserve">En 2023, </w:t>
      </w:r>
      <w:r w:rsidR="00296F03" w:rsidRPr="00F05461">
        <w:rPr>
          <w:lang w:val="es-ES"/>
        </w:rPr>
        <w:t>la UIT</w:t>
      </w:r>
      <w:r w:rsidRPr="00F05461">
        <w:rPr>
          <w:lang w:val="es-ES"/>
        </w:rPr>
        <w:t xml:space="preserve"> impartió su primer programa de formación en línea, </w:t>
      </w:r>
      <w:hyperlink r:id="rId444" w:history="1">
        <w:r w:rsidR="004B19E2" w:rsidRPr="00F05461">
          <w:rPr>
            <w:rStyle w:val="Hyperlink"/>
            <w:rFonts w:eastAsia="Times New Roman" w:cs="Times New Roman"/>
            <w:szCs w:val="20"/>
            <w:lang w:val="es-ES"/>
          </w:rPr>
          <w:t>Herramientas de comunicación innovadoras para fortalecer las capacidades de las comunidades indígenas</w:t>
        </w:r>
      </w:hyperlink>
      <w:r w:rsidRPr="00F05461">
        <w:rPr>
          <w:lang w:val="es-ES"/>
        </w:rPr>
        <w:t>, con más de 200</w:t>
      </w:r>
      <w:r w:rsidR="00587968" w:rsidRPr="00F05461">
        <w:rPr>
          <w:lang w:val="es-ES"/>
        </w:rPr>
        <w:t> </w:t>
      </w:r>
      <w:r w:rsidRPr="00F05461">
        <w:rPr>
          <w:lang w:val="es-ES"/>
        </w:rPr>
        <w:t>participantes (el 45</w:t>
      </w:r>
      <w:r w:rsidR="00587968" w:rsidRPr="00F05461">
        <w:rPr>
          <w:lang w:val="es-ES"/>
        </w:rPr>
        <w:t> </w:t>
      </w:r>
      <w:r w:rsidR="00BB3432" w:rsidRPr="00F05461">
        <w:rPr>
          <w:lang w:val="es-ES"/>
        </w:rPr>
        <w:t>por ciento</w:t>
      </w:r>
      <w:r w:rsidRPr="00F05461">
        <w:rPr>
          <w:lang w:val="es-ES"/>
        </w:rPr>
        <w:t xml:space="preserve"> mujeres) de 16</w:t>
      </w:r>
      <w:r w:rsidR="00587968" w:rsidRPr="00F05461">
        <w:rPr>
          <w:lang w:val="es-ES"/>
        </w:rPr>
        <w:t> </w:t>
      </w:r>
      <w:r w:rsidRPr="00F05461">
        <w:rPr>
          <w:lang w:val="es-ES"/>
        </w:rPr>
        <w:t xml:space="preserve">países de América Latina. Un segundo programa semipresencial, </w:t>
      </w:r>
      <w:hyperlink r:id="rId445" w:history="1">
        <w:r w:rsidR="004B19E2" w:rsidRPr="00F05461">
          <w:rPr>
            <w:rStyle w:val="Hyperlink"/>
            <w:rFonts w:eastAsia="Times New Roman" w:cs="Times New Roman"/>
            <w:szCs w:val="20"/>
            <w:lang w:val="es-ES"/>
          </w:rPr>
          <w:t>Gestores de redes de TIC en comunidades indígenas y rurales de América Latina</w:t>
        </w:r>
      </w:hyperlink>
      <w:r w:rsidRPr="00F05461">
        <w:rPr>
          <w:lang w:val="es-ES"/>
        </w:rPr>
        <w:t xml:space="preserve">, impartido a través de la Academia de </w:t>
      </w:r>
      <w:r w:rsidR="00296F03" w:rsidRPr="00F05461">
        <w:rPr>
          <w:lang w:val="es-ES"/>
        </w:rPr>
        <w:t>la UIT</w:t>
      </w:r>
      <w:r w:rsidRPr="00F05461">
        <w:rPr>
          <w:lang w:val="es-ES"/>
        </w:rPr>
        <w:t xml:space="preserve"> y de forma presencial en Colombia, homologó a 40</w:t>
      </w:r>
      <w:r w:rsidR="004B19E2" w:rsidRPr="00F05461">
        <w:rPr>
          <w:lang w:val="es-ES"/>
        </w:rPr>
        <w:t> </w:t>
      </w:r>
      <w:r w:rsidRPr="00F05461">
        <w:rPr>
          <w:lang w:val="es-ES"/>
        </w:rPr>
        <w:t xml:space="preserve">profesionales en actividades de equilibrio de género. La edición </w:t>
      </w:r>
      <w:r w:rsidR="00B933C5" w:rsidRPr="00F05461">
        <w:rPr>
          <w:lang w:val="es-ES"/>
        </w:rPr>
        <w:t>de 202</w:t>
      </w:r>
      <w:r w:rsidRPr="00F05461">
        <w:rPr>
          <w:lang w:val="es-ES"/>
        </w:rPr>
        <w:t xml:space="preserve">3 de dicho programa destinado a gestores también se puso en marcha con el fin de adaptar de forma ininterrumpida la formación a la evolución de las necesidades de las comunidades indígenas o rurales. </w:t>
      </w:r>
      <w:r w:rsidR="00296F03" w:rsidRPr="00F05461">
        <w:rPr>
          <w:lang w:val="es-ES"/>
        </w:rPr>
        <w:t>La UIT</w:t>
      </w:r>
      <w:r w:rsidRPr="00F05461">
        <w:rPr>
          <w:lang w:val="es-ES"/>
        </w:rPr>
        <w:t xml:space="preserve"> aportó asimismo su amplia experiencia en el marco de una reunión específica de la</w:t>
      </w:r>
      <w:r w:rsidR="004B19E2" w:rsidRPr="00F05461">
        <w:rPr>
          <w:lang w:val="es-ES"/>
        </w:rPr>
        <w:t> </w:t>
      </w:r>
      <w:r w:rsidRPr="00F05461">
        <w:rPr>
          <w:lang w:val="es-ES"/>
        </w:rPr>
        <w:t xml:space="preserve">CMSI sobre </w:t>
      </w:r>
      <w:r w:rsidR="007921C3" w:rsidRPr="00F05461">
        <w:rPr>
          <w:lang w:val="es-ES"/>
        </w:rPr>
        <w:t>«</w:t>
      </w:r>
      <w:hyperlink r:id="rId446" w:history="1">
        <w:r w:rsidRPr="00F05461">
          <w:rPr>
            <w:rStyle w:val="Hyperlink"/>
            <w:rFonts w:eastAsia="Times New Roman" w:cs="Times New Roman"/>
            <w:szCs w:val="20"/>
            <w:lang w:val="es-ES"/>
          </w:rPr>
          <w:t>Capacitación y entornos propicios para facilitar un acceso efectivo en las comunidades indígenas o rurales</w:t>
        </w:r>
      </w:hyperlink>
      <w:r w:rsidR="007921C3" w:rsidRPr="00F05461">
        <w:rPr>
          <w:lang w:val="es-ES"/>
        </w:rPr>
        <w:t>»</w:t>
      </w:r>
      <w:r w:rsidRPr="00F05461">
        <w:rPr>
          <w:lang w:val="es-ES"/>
        </w:rPr>
        <w:t>, en la que se destacaron las conclusiones extraídas a lo largo de 18</w:t>
      </w:r>
      <w:r w:rsidR="004B19E2" w:rsidRPr="00F05461">
        <w:rPr>
          <w:lang w:val="es-ES"/>
        </w:rPr>
        <w:t> </w:t>
      </w:r>
      <w:r w:rsidRPr="00F05461">
        <w:rPr>
          <w:lang w:val="es-ES"/>
        </w:rPr>
        <w:t xml:space="preserve">años de trabajo en esa esfera. </w:t>
      </w:r>
      <w:r w:rsidR="00B933C5" w:rsidRPr="00F05461">
        <w:rPr>
          <w:lang w:val="es-ES"/>
        </w:rPr>
        <w:t>De 202</w:t>
      </w:r>
      <w:r w:rsidRPr="00F05461">
        <w:rPr>
          <w:lang w:val="es-ES"/>
        </w:rPr>
        <w:t xml:space="preserve">4 a 2025 prosiguieron las actividades </w:t>
      </w:r>
      <w:r w:rsidR="00A10309" w:rsidRPr="00F05461">
        <w:rPr>
          <w:lang w:val="es-ES"/>
        </w:rPr>
        <w:t>del UIT</w:t>
      </w:r>
      <w:r w:rsidR="00A10309" w:rsidRPr="00F05461">
        <w:rPr>
          <w:lang w:val="es-ES"/>
        </w:rPr>
        <w:noBreakHyphen/>
      </w:r>
      <w:r w:rsidRPr="00F05461">
        <w:rPr>
          <w:lang w:val="es-ES"/>
        </w:rPr>
        <w:t>D para abordar las necesidades específicas de los pueblos indígenas mediante actividades de formación específicas, intercambio de conocimientos y apoyo a proyectos.</w:t>
      </w:r>
    </w:p>
    <w:p w14:paraId="2460F44C" w14:textId="5AFAE94A" w:rsidR="007B4979" w:rsidRPr="00F05461" w:rsidRDefault="007B4979" w:rsidP="007B4979">
      <w:pPr>
        <w:rPr>
          <w:lang w:val="es-ES"/>
        </w:rPr>
      </w:pPr>
      <w:r w:rsidRPr="00F05461">
        <w:rPr>
          <w:lang w:val="es-ES"/>
        </w:rPr>
        <w:t>Des</w:t>
      </w:r>
      <w:r w:rsidR="00B933C5" w:rsidRPr="00F05461">
        <w:rPr>
          <w:lang w:val="es-ES"/>
        </w:rPr>
        <w:t>de 202</w:t>
      </w:r>
      <w:r w:rsidRPr="00F05461">
        <w:rPr>
          <w:lang w:val="es-ES"/>
        </w:rPr>
        <w:t xml:space="preserve">3, la labor de </w:t>
      </w:r>
      <w:r w:rsidR="00296F03" w:rsidRPr="00F05461">
        <w:rPr>
          <w:lang w:val="es-ES"/>
        </w:rPr>
        <w:t>la UIT</w:t>
      </w:r>
      <w:r w:rsidRPr="00F05461">
        <w:rPr>
          <w:lang w:val="es-ES"/>
        </w:rPr>
        <w:t xml:space="preserve"> en materia de inclusión digital respecto de las comunidades rurales, aisladas o indígenas se ha ampliado sustancialmente. En América Latina y el Caribe, la cuarta generación del Programa de Formación Mixta formó a 28</w:t>
      </w:r>
      <w:r w:rsidR="004B19E2" w:rsidRPr="00F05461">
        <w:rPr>
          <w:lang w:val="es-ES"/>
        </w:rPr>
        <w:t> </w:t>
      </w:r>
      <w:r w:rsidRPr="00F05461">
        <w:rPr>
          <w:lang w:val="es-ES"/>
        </w:rPr>
        <w:t>gestores de redes de 9</w:t>
      </w:r>
      <w:r w:rsidR="004B19E2" w:rsidRPr="00F05461">
        <w:rPr>
          <w:lang w:val="es-ES"/>
        </w:rPr>
        <w:t> </w:t>
      </w:r>
      <w:r w:rsidRPr="00F05461">
        <w:rPr>
          <w:lang w:val="es-ES"/>
        </w:rPr>
        <w:t>países (2023/2024), al tiempo que un nuevo curso breve sobre Diseño de estrategias de conectividad comunitaria formó a 50</w:t>
      </w:r>
      <w:r w:rsidR="004B19E2" w:rsidRPr="00F05461">
        <w:rPr>
          <w:lang w:val="es-ES"/>
        </w:rPr>
        <w:t> </w:t>
      </w:r>
      <w:r w:rsidRPr="00F05461">
        <w:rPr>
          <w:lang w:val="es-ES"/>
        </w:rPr>
        <w:t>participantes de 10</w:t>
      </w:r>
      <w:r w:rsidR="004B19E2" w:rsidRPr="00F05461">
        <w:rPr>
          <w:lang w:val="es-ES"/>
        </w:rPr>
        <w:t> </w:t>
      </w:r>
      <w:r w:rsidRPr="00F05461">
        <w:rPr>
          <w:lang w:val="es-ES"/>
        </w:rPr>
        <w:t>países en 2024. La quinta generación, actualmente en curso (2025), cuenta con 69</w:t>
      </w:r>
      <w:r w:rsidR="004B19E2" w:rsidRPr="00F05461">
        <w:rPr>
          <w:lang w:val="es-ES"/>
        </w:rPr>
        <w:t> </w:t>
      </w:r>
      <w:r w:rsidRPr="00F05461">
        <w:rPr>
          <w:lang w:val="es-ES"/>
        </w:rPr>
        <w:t>participantes de 12</w:t>
      </w:r>
      <w:r w:rsidR="004B19E2" w:rsidRPr="00F05461">
        <w:rPr>
          <w:lang w:val="es-ES"/>
        </w:rPr>
        <w:t> </w:t>
      </w:r>
      <w:r w:rsidRPr="00F05461">
        <w:rPr>
          <w:lang w:val="es-ES"/>
        </w:rPr>
        <w:t>países. Asimismo, el programa se puso en marcha en África por primera vez en 2025, con la inscripción de 65</w:t>
      </w:r>
      <w:r w:rsidR="004B19E2" w:rsidRPr="00F05461">
        <w:rPr>
          <w:lang w:val="es-ES"/>
        </w:rPr>
        <w:t> </w:t>
      </w:r>
      <w:r w:rsidRPr="00F05461">
        <w:rPr>
          <w:lang w:val="es-ES"/>
        </w:rPr>
        <w:t>participantes de 18</w:t>
      </w:r>
      <w:r w:rsidR="004B19E2" w:rsidRPr="00F05461">
        <w:rPr>
          <w:lang w:val="es-ES"/>
        </w:rPr>
        <w:t> </w:t>
      </w:r>
      <w:r w:rsidRPr="00F05461">
        <w:rPr>
          <w:lang w:val="es-ES"/>
        </w:rPr>
        <w:t>países. Estas iniciativas fortalecen la capacidad local y empoderan a las comunidades para que lideren su propio desarrollo digital.</w:t>
      </w:r>
    </w:p>
    <w:p w14:paraId="3688BED5" w14:textId="75AC2098" w:rsidR="007B4979" w:rsidRPr="00F05461" w:rsidRDefault="007B4979" w:rsidP="009E4631">
      <w:pPr>
        <w:pStyle w:val="Heading3"/>
      </w:pPr>
      <w:bookmarkStart w:id="108" w:name="_Toc224288833"/>
      <w:bookmarkStart w:id="109" w:name="_Toc227137493"/>
      <w:r w:rsidRPr="00F05461">
        <w:t>5.3.5</w:t>
      </w:r>
      <w:r w:rsidRPr="00F05461">
        <w:tab/>
        <w:t>Apoyo a las poblaciones en fase de envejecimiento</w:t>
      </w:r>
      <w:bookmarkEnd w:id="108"/>
      <w:bookmarkEnd w:id="109"/>
    </w:p>
    <w:p w14:paraId="370DC633" w14:textId="06B70E83" w:rsidR="007B4979" w:rsidRPr="00F05461" w:rsidRDefault="007B4979" w:rsidP="007B4979">
      <w:pPr>
        <w:rPr>
          <w:lang w:val="es-ES"/>
        </w:rPr>
      </w:pPr>
      <w:r w:rsidRPr="00F05461">
        <w:rPr>
          <w:lang w:val="es-ES"/>
        </w:rPr>
        <w:t>Para 2050, la población mundial de personas de 60</w:t>
      </w:r>
      <w:r w:rsidR="004F3957" w:rsidRPr="00F05461">
        <w:rPr>
          <w:lang w:val="es-ES"/>
        </w:rPr>
        <w:t> </w:t>
      </w:r>
      <w:r w:rsidRPr="00F05461">
        <w:rPr>
          <w:lang w:val="es-ES"/>
        </w:rPr>
        <w:t>años o más se duplicará (2</w:t>
      </w:r>
      <w:r w:rsidR="004F3957" w:rsidRPr="00F05461">
        <w:rPr>
          <w:lang w:val="es-ES"/>
        </w:rPr>
        <w:t> </w:t>
      </w:r>
      <w:r w:rsidRPr="00F05461">
        <w:rPr>
          <w:lang w:val="es-ES"/>
        </w:rPr>
        <w:t>100</w:t>
      </w:r>
      <w:r w:rsidR="004F3957" w:rsidRPr="00F05461">
        <w:rPr>
          <w:lang w:val="es-ES"/>
        </w:rPr>
        <w:t> </w:t>
      </w:r>
      <w:r w:rsidRPr="00F05461">
        <w:rPr>
          <w:lang w:val="es-ES"/>
        </w:rPr>
        <w:t xml:space="preserve">millones). Habida cuenta de las dos tendencias principales actualmente a escala mundial, el envejecimiento de la población y el auge de la tecnología, el panorama socioeconómico debe afrontar cambios y retos sustanciales. </w:t>
      </w:r>
      <w:r w:rsidR="00296F03" w:rsidRPr="00F05461">
        <w:rPr>
          <w:lang w:val="es-ES"/>
        </w:rPr>
        <w:t>La UIT</w:t>
      </w:r>
      <w:r w:rsidRPr="00F05461">
        <w:rPr>
          <w:lang w:val="es-ES"/>
        </w:rPr>
        <w:t xml:space="preserve"> fortaleció su compromiso de apoyar a las poblaciones en fase de envejecimiento en un mundo cada vez más digital, en consonancia con el Decenio de las Naciones Unidas para el Envejecimiento Saludable (2021-2030). A lo largo de este per</w:t>
      </w:r>
      <w:r w:rsidR="007B6111" w:rsidRPr="00F05461">
        <w:rPr>
          <w:lang w:val="es-ES"/>
        </w:rPr>
        <w:t>i</w:t>
      </w:r>
      <w:r w:rsidRPr="00F05461">
        <w:rPr>
          <w:lang w:val="es-ES"/>
        </w:rPr>
        <w:t xml:space="preserve">odo, </w:t>
      </w:r>
      <w:r w:rsidR="00296F03" w:rsidRPr="00F05461">
        <w:rPr>
          <w:lang w:val="es-ES"/>
        </w:rPr>
        <w:t>la UIT</w:t>
      </w:r>
      <w:r w:rsidRPr="00F05461">
        <w:rPr>
          <w:lang w:val="es-ES"/>
        </w:rPr>
        <w:t xml:space="preserve"> aportó su experiencia en 17</w:t>
      </w:r>
      <w:r w:rsidR="005C5895" w:rsidRPr="00F05461">
        <w:rPr>
          <w:lang w:val="es-ES"/>
        </w:rPr>
        <w:t> </w:t>
      </w:r>
      <w:r w:rsidRPr="00F05461">
        <w:rPr>
          <w:lang w:val="es-ES"/>
        </w:rPr>
        <w:t xml:space="preserve">eventos y talleres internacionales, en particular el </w:t>
      </w:r>
      <w:hyperlink r:id="rId447" w:history="1">
        <w:r w:rsidRPr="00F05461">
          <w:rPr>
            <w:rStyle w:val="Hyperlink"/>
            <w:rFonts w:eastAsia="Times New Roman" w:cs="Times New Roman"/>
            <w:szCs w:val="20"/>
            <w:lang w:val="es-ES"/>
          </w:rPr>
          <w:t>Diálogo Mundial sobre Políticas de Envejecimiento del Departamento de Asuntos Económicos y Sociales de las Naciones Unidas (DESA)</w:t>
        </w:r>
      </w:hyperlink>
      <w:r w:rsidRPr="00F05461">
        <w:rPr>
          <w:lang w:val="es-ES"/>
        </w:rPr>
        <w:t xml:space="preserve"> y el </w:t>
      </w:r>
      <w:hyperlink r:id="rId448" w:history="1">
        <w:r w:rsidRPr="00F05461">
          <w:rPr>
            <w:rStyle w:val="Hyperlink"/>
            <w:rFonts w:eastAsia="Times New Roman" w:cs="Times New Roman"/>
            <w:szCs w:val="20"/>
            <w:lang w:val="es-ES"/>
          </w:rPr>
          <w:t xml:space="preserve">Foro de Alto Nivel sobre la </w:t>
        </w:r>
        <w:r w:rsidR="00126CB3" w:rsidRPr="00F05461">
          <w:rPr>
            <w:rStyle w:val="Hyperlink"/>
            <w:rFonts w:eastAsia="Times New Roman" w:cs="Times New Roman"/>
            <w:szCs w:val="20"/>
            <w:lang w:val="es-ES"/>
          </w:rPr>
          <w:t>e</w:t>
        </w:r>
        <w:r w:rsidRPr="00F05461">
          <w:rPr>
            <w:rStyle w:val="Hyperlink"/>
            <w:rFonts w:eastAsia="Times New Roman" w:cs="Times New Roman"/>
            <w:szCs w:val="20"/>
            <w:lang w:val="es-ES"/>
          </w:rPr>
          <w:t>conomía relacionada con las personas de edad</w:t>
        </w:r>
      </w:hyperlink>
      <w:r w:rsidRPr="00F05461">
        <w:rPr>
          <w:lang w:val="es-ES"/>
        </w:rPr>
        <w:t>, y colaboró con varios organismos de las Naciones Unidas y asociados de la sociedad civil para impulsar una transformación digital inclusiva basada en los derechos de las personas de edad.</w:t>
      </w:r>
    </w:p>
    <w:p w14:paraId="26795DAF" w14:textId="7E0E450F" w:rsidR="007B4979" w:rsidRPr="00F05461" w:rsidRDefault="007B4979" w:rsidP="002555AC">
      <w:pPr>
        <w:keepNext/>
        <w:keepLines/>
        <w:rPr>
          <w:lang w:val="es-ES"/>
        </w:rPr>
      </w:pPr>
      <w:r w:rsidRPr="00F05461">
        <w:rPr>
          <w:lang w:val="es-ES"/>
        </w:rPr>
        <w:lastRenderedPageBreak/>
        <w:t xml:space="preserve">Un logro clave fue la difusión de los recursos emblemáticos de </w:t>
      </w:r>
      <w:r w:rsidR="00296F03" w:rsidRPr="00F05461">
        <w:rPr>
          <w:lang w:val="es-ES"/>
        </w:rPr>
        <w:t>la UIT</w:t>
      </w:r>
      <w:r w:rsidRPr="00F05461">
        <w:rPr>
          <w:lang w:val="es-ES"/>
        </w:rPr>
        <w:t xml:space="preserve">, en particular el </w:t>
      </w:r>
      <w:hyperlink r:id="rId449" w:history="1">
        <w:r w:rsidRPr="00F05461">
          <w:rPr>
            <w:rStyle w:val="Hyperlink"/>
            <w:rFonts w:eastAsia="Times New Roman" w:cs="Times New Roman"/>
            <w:szCs w:val="20"/>
            <w:lang w:val="es-ES"/>
          </w:rPr>
          <w:t xml:space="preserve">informe sobre directrices: </w:t>
        </w:r>
        <w:r w:rsidR="0064713B" w:rsidRPr="00F05461">
          <w:rPr>
            <w:rStyle w:val="Hyperlink"/>
            <w:rFonts w:eastAsia="Times New Roman" w:cs="Times New Roman"/>
            <w:i/>
            <w:iCs/>
            <w:szCs w:val="20"/>
            <w:lang w:val="es-ES"/>
          </w:rPr>
          <w:t>Envejecer en un mundo digital – de vulnerables a valiosos</w:t>
        </w:r>
      </w:hyperlink>
      <w:r w:rsidRPr="00F05461">
        <w:rPr>
          <w:lang w:val="es-ES"/>
        </w:rPr>
        <w:t xml:space="preserve">, completado con tutoriales en vídeo multilingües y un </w:t>
      </w:r>
      <w:hyperlink r:id="rId450" w:history="1">
        <w:r w:rsidRPr="00F05461">
          <w:rPr>
            <w:rStyle w:val="Hyperlink"/>
            <w:rFonts w:eastAsia="Times New Roman" w:cs="Times New Roman"/>
            <w:szCs w:val="20"/>
            <w:lang w:val="es-ES"/>
          </w:rPr>
          <w:t>programa de autoaprendizaje en línea sobre las</w:t>
        </w:r>
        <w:r w:rsidR="00EB694D" w:rsidRPr="00F05461">
          <w:rPr>
            <w:rStyle w:val="Hyperlink"/>
            <w:rFonts w:eastAsia="Times New Roman" w:cs="Times New Roman"/>
            <w:szCs w:val="20"/>
            <w:lang w:val="es-ES"/>
          </w:rPr>
          <w:t> </w:t>
        </w:r>
        <w:r w:rsidRPr="00F05461">
          <w:rPr>
            <w:rStyle w:val="Hyperlink"/>
            <w:rFonts w:eastAsia="Times New Roman" w:cs="Times New Roman"/>
            <w:szCs w:val="20"/>
            <w:lang w:val="es-ES"/>
          </w:rPr>
          <w:t>TIC para facilitar un proceso de envejecimiento más adecuado y mejores medios de subsistencia</w:t>
        </w:r>
      </w:hyperlink>
      <w:r w:rsidRPr="00F05461">
        <w:rPr>
          <w:lang w:val="es-ES"/>
        </w:rPr>
        <w:t xml:space="preserve">. Estas herramientas permitieron a gobiernos, profesionales y partes interesadas fortalecer su capacidad para diseñar tecnologías inclusivas, fomentar la alfabetización digital de las personas de edad y transformar los retos demográficos en oportunidades de desarrollo sostenible. </w:t>
      </w:r>
      <w:r w:rsidR="00296F03" w:rsidRPr="00F05461">
        <w:rPr>
          <w:lang w:val="es-ES"/>
        </w:rPr>
        <w:t>La UIT</w:t>
      </w:r>
      <w:r w:rsidRPr="00F05461">
        <w:rPr>
          <w:lang w:val="es-ES"/>
        </w:rPr>
        <w:t xml:space="preserve"> también promovió la formulación de políticas basadas en datos empíricos en el marco del informe conjunto de </w:t>
      </w:r>
      <w:r w:rsidR="00296F03" w:rsidRPr="00F05461">
        <w:rPr>
          <w:lang w:val="es-ES"/>
        </w:rPr>
        <w:t>la UIT</w:t>
      </w:r>
      <w:r w:rsidRPr="00F05461">
        <w:rPr>
          <w:lang w:val="es-ES"/>
        </w:rPr>
        <w:t xml:space="preserve"> y la Organización Panamericana de la Salud </w:t>
      </w:r>
      <w:hyperlink r:id="rId451" w:history="1">
        <w:r w:rsidRPr="00F05461">
          <w:rPr>
            <w:rStyle w:val="Hyperlink"/>
            <w:rFonts w:eastAsia="Times New Roman" w:cs="Times New Roman"/>
            <w:i/>
            <w:iCs/>
            <w:szCs w:val="20"/>
            <w:lang w:val="es-ES"/>
          </w:rPr>
          <w:t>El papel de las tecnologías digitales en el proceso de envejecimiento y la salud</w:t>
        </w:r>
      </w:hyperlink>
      <w:r w:rsidRPr="00F05461">
        <w:rPr>
          <w:lang w:val="es-ES"/>
        </w:rPr>
        <w:t xml:space="preserve"> (2023), que puso de relieve cómo las soluciones digitales accesibles e inclusivas pueden mejorar los servicios de salud, facilitar la vida independiente y potenciar la participación social de las personas mayores.</w:t>
      </w:r>
    </w:p>
    <w:p w14:paraId="190BBD2C" w14:textId="3D514C04" w:rsidR="007B4979" w:rsidRPr="00F05461" w:rsidRDefault="00B933C5" w:rsidP="007B4979">
      <w:pPr>
        <w:rPr>
          <w:lang w:val="es-ES"/>
        </w:rPr>
      </w:pPr>
      <w:r w:rsidRPr="00F05461">
        <w:rPr>
          <w:lang w:val="es-ES"/>
        </w:rPr>
        <w:t>De 202</w:t>
      </w:r>
      <w:r w:rsidR="007B4979" w:rsidRPr="00F05461">
        <w:rPr>
          <w:lang w:val="es-ES"/>
        </w:rPr>
        <w:t>4 y 2025, el</w:t>
      </w:r>
      <w:r w:rsidR="005C5895" w:rsidRPr="00F05461">
        <w:rPr>
          <w:lang w:val="es-ES"/>
        </w:rPr>
        <w:t> </w:t>
      </w:r>
      <w:r w:rsidR="007B4979" w:rsidRPr="00F05461">
        <w:rPr>
          <w:lang w:val="es-ES"/>
        </w:rPr>
        <w:t>UIT-D siguió impulsando iniciativas prácticas para apoyar a las personas de edad, entre ellas el desarrollo de competencias digitales en Gran Chaco, la formación en gestión de redes de TIC en América Latina y la formación a nivel comunitario para las poblaciones indígenas y rurales, en particular respecto de la conectividad, los medios de comunicación comunitarios y el mantenimiento de los ecosistemas digitales locales.</w:t>
      </w:r>
    </w:p>
    <w:p w14:paraId="7264F61B" w14:textId="77777777" w:rsidR="007B4979" w:rsidRPr="00F05461" w:rsidRDefault="007B4979" w:rsidP="007B4979">
      <w:pPr>
        <w:pStyle w:val="Heading2"/>
        <w:rPr>
          <w:lang w:val="es-ES"/>
        </w:rPr>
      </w:pPr>
      <w:bookmarkStart w:id="110" w:name="_5.4_Compromiso_con"/>
      <w:bookmarkStart w:id="111" w:name="_Toc224288834"/>
      <w:bookmarkStart w:id="112" w:name="_Toc227137494"/>
      <w:bookmarkEnd w:id="110"/>
      <w:r w:rsidRPr="00F05461">
        <w:rPr>
          <w:lang w:val="es-ES"/>
        </w:rPr>
        <w:t>5.4</w:t>
      </w:r>
      <w:r w:rsidRPr="00F05461">
        <w:rPr>
          <w:lang w:val="es-ES"/>
        </w:rPr>
        <w:tab/>
        <w:t>Compromiso con la sostenibilidad medioambiental</w:t>
      </w:r>
      <w:bookmarkEnd w:id="111"/>
      <w:bookmarkEnd w:id="112"/>
    </w:p>
    <w:p w14:paraId="5BAAB51E" w14:textId="396CA7E4" w:rsidR="007B4979" w:rsidRPr="00F05461" w:rsidRDefault="00105B73" w:rsidP="002B1080">
      <w:pPr>
        <w:rPr>
          <w:lang w:val="es-ES"/>
        </w:rPr>
      </w:pPr>
      <w:r w:rsidRPr="00F05461">
        <w:rPr>
          <w:lang w:val="es-ES"/>
        </w:rPr>
        <w:t xml:space="preserve">Por lo </w:t>
      </w:r>
      <w:r w:rsidR="007B4979" w:rsidRPr="00F05461">
        <w:rPr>
          <w:lang w:val="es-ES"/>
        </w:rPr>
        <w:t xml:space="preserve">general, las iniciativas implementadas por </w:t>
      </w:r>
      <w:r w:rsidR="00296F03" w:rsidRPr="00F05461">
        <w:rPr>
          <w:lang w:val="es-ES"/>
        </w:rPr>
        <w:t>la UIT</w:t>
      </w:r>
      <w:r w:rsidR="007B4979" w:rsidRPr="00F05461">
        <w:rPr>
          <w:lang w:val="es-ES"/>
        </w:rPr>
        <w:t xml:space="preserve"> entre 2022 y 2025 reflejan un firme compromiso con respecto a la sostenibilidad ambiental por medio de la acción climática, la gestión responsable de los residuos electrónicos, la reducción del riesgo de desastres y la promoción de un desarrollo urbano inteligente y sostenible. El enfoque integral de </w:t>
      </w:r>
      <w:r w:rsidR="00296F03" w:rsidRPr="00F05461">
        <w:rPr>
          <w:lang w:val="es-ES"/>
        </w:rPr>
        <w:t>la UIT</w:t>
      </w:r>
      <w:r w:rsidR="007B4979" w:rsidRPr="00F05461">
        <w:rPr>
          <w:lang w:val="es-ES"/>
        </w:rPr>
        <w:t xml:space="preserve"> subraya la necesidad de la colaboración entre las partes interesadas para alcanzar de manera efectiva los objetivos internacionales de sostenibilidad.</w:t>
      </w:r>
    </w:p>
    <w:p w14:paraId="3EF3165E" w14:textId="01A5A513" w:rsidR="007B4979" w:rsidRPr="00F05461" w:rsidRDefault="00105B73" w:rsidP="002B1080">
      <w:pPr>
        <w:rPr>
          <w:lang w:val="es-ES"/>
        </w:rPr>
      </w:pPr>
      <w:r w:rsidRPr="00F05461">
        <w:rPr>
          <w:lang w:val="es-ES"/>
        </w:rPr>
        <w:t>A tal efecto</w:t>
      </w:r>
      <w:r w:rsidR="007B4979" w:rsidRPr="00F05461">
        <w:rPr>
          <w:lang w:val="es-ES"/>
        </w:rPr>
        <w:t xml:space="preserve">, la iniciativa Acción Digital </w:t>
      </w:r>
      <w:r w:rsidR="00EF6A42" w:rsidRPr="00F05461">
        <w:rPr>
          <w:lang w:val="es-ES"/>
        </w:rPr>
        <w:t>Ecológica</w:t>
      </w:r>
      <w:r w:rsidR="007B4979" w:rsidRPr="00F05461">
        <w:rPr>
          <w:lang w:val="es-ES"/>
        </w:rPr>
        <w:t xml:space="preserve"> de la</w:t>
      </w:r>
      <w:r w:rsidR="002B1080" w:rsidRPr="00F05461">
        <w:rPr>
          <w:lang w:val="es-ES"/>
        </w:rPr>
        <w:t> </w:t>
      </w:r>
      <w:r w:rsidR="007B4979" w:rsidRPr="00F05461">
        <w:rPr>
          <w:lang w:val="es-ES"/>
        </w:rPr>
        <w:t>COP28 catalizó los compromisos del sector destinados a reducir las emisiones y crear un marco de supervisión de la sostenibilidad en el sector de las</w:t>
      </w:r>
      <w:r w:rsidR="00EB694D" w:rsidRPr="00F05461">
        <w:rPr>
          <w:lang w:val="es-ES"/>
        </w:rPr>
        <w:t> </w:t>
      </w:r>
      <w:r w:rsidR="007B4979" w:rsidRPr="00F05461">
        <w:rPr>
          <w:lang w:val="es-ES"/>
        </w:rPr>
        <w:t>TIC.</w:t>
      </w:r>
    </w:p>
    <w:p w14:paraId="0EADDF28" w14:textId="77777777" w:rsidR="007B4979" w:rsidRPr="00F05461" w:rsidRDefault="007B4979" w:rsidP="00AC3213">
      <w:pPr>
        <w:pStyle w:val="Headingb"/>
      </w:pPr>
      <w:r w:rsidRPr="00F05461">
        <w:t>Gestión de residuos electrónicos y economías circulares</w:t>
      </w:r>
    </w:p>
    <w:p w14:paraId="3F56AE30" w14:textId="63B488CD" w:rsidR="007B4979" w:rsidRPr="00F05461" w:rsidRDefault="007B4979" w:rsidP="00105B73">
      <w:pPr>
        <w:rPr>
          <w:lang w:val="es-ES"/>
        </w:rPr>
      </w:pPr>
      <w:r w:rsidRPr="00F05461">
        <w:rPr>
          <w:lang w:val="es-ES"/>
        </w:rPr>
        <w:t xml:space="preserve">La gestión de residuos electrónicos sigue siendo motivo de inquietud y requiere atención y medidas inmediatas, ya que, desde 2010, la cantidad de residuos electrónicos ha aumentado cinco veces más rápido que la recogida y el reciclaje reglamentarios. </w:t>
      </w:r>
      <w:r w:rsidR="00105B73" w:rsidRPr="00F05461">
        <w:rPr>
          <w:lang w:val="es-ES"/>
        </w:rPr>
        <w:t xml:space="preserve">Según el «Observatorio mundial sobre residuos electrónicos» de 2024, se prevé que, para 2030, el mundo genere 82 000 millones de kilogramos de residuos electrónicos al año. Además de su colaboración con UNITAR y la Fundación Carmignac para elaborar dicho Observatorio mundial sobre residuos electrónicos, publicación de referencia mundial, </w:t>
      </w:r>
      <w:r w:rsidR="00296F03" w:rsidRPr="00F05461">
        <w:rPr>
          <w:lang w:val="es-ES"/>
        </w:rPr>
        <w:t>la UIT</w:t>
      </w:r>
      <w:r w:rsidR="00105B73" w:rsidRPr="00F05461">
        <w:rPr>
          <w:lang w:val="es-ES"/>
        </w:rPr>
        <w:t xml:space="preserve"> también prestó su apoyo a la elaboración de dos informes regionales y dos informes nacionales sobre residuos electrónicos</w:t>
      </w:r>
      <w:r w:rsidRPr="00F05461">
        <w:rPr>
          <w:lang w:val="es-ES"/>
        </w:rPr>
        <w:t>.</w:t>
      </w:r>
    </w:p>
    <w:p w14:paraId="725FA615" w14:textId="3D78C130" w:rsidR="00105B73" w:rsidRPr="00F05461" w:rsidRDefault="00296F03" w:rsidP="00105B73">
      <w:pPr>
        <w:rPr>
          <w:lang w:val="es-ES"/>
        </w:rPr>
      </w:pPr>
      <w:r w:rsidRPr="00F05461">
        <w:rPr>
          <w:lang w:val="es-ES"/>
        </w:rPr>
        <w:t>La UIT</w:t>
      </w:r>
      <w:r w:rsidR="00105B73" w:rsidRPr="00F05461">
        <w:rPr>
          <w:lang w:val="es-ES"/>
        </w:rPr>
        <w:t xml:space="preserve"> también ha apoyado activamente a varios países de las Américas, África, y Asia</w:t>
      </w:r>
      <w:r w:rsidR="00105B73" w:rsidRPr="00F05461">
        <w:rPr>
          <w:lang w:val="es-ES"/>
        </w:rPr>
        <w:noBreakHyphen/>
        <w:t xml:space="preserve">Pacífico para la elaboración y la implementación de normas sobre la responsabilidad de los productores respecto de los residuos electrónicos. Entre 2023 y 2025, </w:t>
      </w:r>
      <w:r w:rsidRPr="00F05461">
        <w:rPr>
          <w:lang w:val="es-ES"/>
        </w:rPr>
        <w:t>la UIT</w:t>
      </w:r>
      <w:r w:rsidR="00105B73" w:rsidRPr="00F05461">
        <w:rPr>
          <w:lang w:val="es-ES"/>
        </w:rPr>
        <w:t xml:space="preserve"> prestó asistencia técnica sobre economía circular en 14 países en colaboración con sus socios financieros internacionales, entre los que se encuentran el Programa de las Naciones Unidas para el Medio Ambiente (PNUMA) y UNITAR, la Agencia Alemana de Cooperación </w:t>
      </w:r>
      <w:r w:rsidR="00105B73" w:rsidRPr="00F05461">
        <w:rPr>
          <w:lang w:val="es-ES"/>
        </w:rPr>
        <w:lastRenderedPageBreak/>
        <w:t>Internacional (GIZ), el Gobierno del Reino de Arabia Saudita, el Gobierno de Australia y el Gobierno de Colombia.</w:t>
      </w:r>
    </w:p>
    <w:p w14:paraId="7B654B2A" w14:textId="4CE8DC97" w:rsidR="007B4979" w:rsidRPr="00F05461" w:rsidRDefault="007B4979" w:rsidP="007B4979">
      <w:pPr>
        <w:rPr>
          <w:lang w:val="es-ES"/>
        </w:rPr>
      </w:pPr>
      <w:r w:rsidRPr="00F05461">
        <w:rPr>
          <w:lang w:val="es-ES"/>
        </w:rPr>
        <w:t xml:space="preserve">Entre los productos de conocimiento regionales destacados sobre residuos electrónicos y economía circular publicados entre 2022 y 2025 cabe destacar </w:t>
      </w:r>
      <w:hyperlink r:id="rId452" w:history="1">
        <w:r w:rsidRPr="00F05461">
          <w:rPr>
            <w:rStyle w:val="Hyperlink"/>
            <w:rFonts w:eastAsia="Times New Roman" w:cs="Times New Roman"/>
            <w:i/>
            <w:iCs/>
            <w:szCs w:val="20"/>
            <w:lang w:val="es-ES"/>
          </w:rPr>
          <w:t>Gestión de residuos de aparatos eléctricos y electrónicos en América Latina: situación actual y perspectivas</w:t>
        </w:r>
      </w:hyperlink>
      <w:r w:rsidRPr="00F05461">
        <w:rPr>
          <w:lang w:val="es-ES"/>
        </w:rPr>
        <w:t xml:space="preserve">, y </w:t>
      </w:r>
      <w:hyperlink r:id="rId453" w:history="1">
        <w:r w:rsidR="00FB624C" w:rsidRPr="00DF7000">
          <w:rPr>
            <w:i/>
            <w:iCs/>
            <w:lang w:val="es-ES"/>
          </w:rPr>
          <w:t>Orientaciones</w:t>
        </w:r>
        <w:r w:rsidRPr="00DF7000">
          <w:rPr>
            <w:i/>
            <w:iCs/>
            <w:lang w:val="es-ES"/>
          </w:rPr>
          <w:t xml:space="preserve"> para el desarrollo de sistemas nacionales </w:t>
        </w:r>
        <w:r w:rsidR="00FB624C" w:rsidRPr="00DF7000">
          <w:rPr>
            <w:i/>
            <w:iCs/>
            <w:lang w:val="es-ES"/>
          </w:rPr>
          <w:t>de</w:t>
        </w:r>
        <w:r w:rsidRPr="00DF7000">
          <w:rPr>
            <w:i/>
            <w:iCs/>
            <w:lang w:val="es-ES"/>
          </w:rPr>
          <w:t xml:space="preserve"> gestión integral de residuos de aparatos eléctricos y electrónicos en América Latina</w:t>
        </w:r>
      </w:hyperlink>
      <w:r w:rsidRPr="00F05461">
        <w:rPr>
          <w:lang w:val="es-ES"/>
        </w:rPr>
        <w:t>, ambos coordinados con la Organización de las Naciones Unidas para el Desarrollo Industrial (ONUDI).</w:t>
      </w:r>
    </w:p>
    <w:p w14:paraId="78018164" w14:textId="7C63BDC6" w:rsidR="007B4979" w:rsidRPr="00F05461" w:rsidRDefault="00296F03" w:rsidP="007B4979">
      <w:pPr>
        <w:rPr>
          <w:lang w:val="es-ES"/>
        </w:rPr>
      </w:pPr>
      <w:r w:rsidRPr="00F05461">
        <w:rPr>
          <w:lang w:val="es-ES"/>
        </w:rPr>
        <w:t>La UIT</w:t>
      </w:r>
      <w:r w:rsidR="007B4979" w:rsidRPr="00F05461">
        <w:rPr>
          <w:lang w:val="es-ES"/>
        </w:rPr>
        <w:t xml:space="preserve"> también ha puesto en marcha varias iniciativas para fortalecer la capacitación y el intercambio de conocimientos a escala mundial sobre la regulación de los residuos electrónicos, entre las que se incluyen viajes de estudio, seminarios web y la organización del curso en línea general y abierto (MOOC) E-waste Challenge, diseñado y desarrollado de forma conjunta con el</w:t>
      </w:r>
      <w:r w:rsidR="004C5F92" w:rsidRPr="00F05461">
        <w:rPr>
          <w:lang w:val="es-ES"/>
        </w:rPr>
        <w:t> </w:t>
      </w:r>
      <w:r w:rsidR="007B4979" w:rsidRPr="00F05461">
        <w:rPr>
          <w:lang w:val="es-ES"/>
        </w:rPr>
        <w:t>PNUMA, la Secretaría del Convenio de Basilea, EIT RawMaterials, la Universidad Católica de Lovaina (KU Leuven), la</w:t>
      </w:r>
      <w:r w:rsidR="005E060C" w:rsidRPr="00F05461">
        <w:rPr>
          <w:lang w:val="es-ES"/>
        </w:rPr>
        <w:t> </w:t>
      </w:r>
      <w:r w:rsidR="007B4979" w:rsidRPr="00F05461">
        <w:rPr>
          <w:lang w:val="es-ES"/>
        </w:rPr>
        <w:t>OMS y el Foro de Recursos Mundiales.</w:t>
      </w:r>
    </w:p>
    <w:p w14:paraId="6CCDD256" w14:textId="7D04C686" w:rsidR="007B4979" w:rsidRPr="00F05461" w:rsidRDefault="007B4979" w:rsidP="007B4979">
      <w:pPr>
        <w:rPr>
          <w:lang w:val="es-ES"/>
        </w:rPr>
      </w:pPr>
      <w:r w:rsidRPr="00F05461">
        <w:rPr>
          <w:lang w:val="es-ES"/>
        </w:rPr>
        <w:t xml:space="preserve">Para fomentar la circularidad, </w:t>
      </w:r>
      <w:r w:rsidR="00296F03" w:rsidRPr="00F05461">
        <w:rPr>
          <w:lang w:val="es-ES"/>
        </w:rPr>
        <w:t>la UIT</w:t>
      </w:r>
      <w:r w:rsidRPr="00F05461">
        <w:rPr>
          <w:lang w:val="es-ES"/>
        </w:rPr>
        <w:t xml:space="preserve"> ha elaborado guías prácticas y herramientas para las principales partes interesadas sobre la contratación pública de forma circular y sostenible, entre las que se incluyen las «</w:t>
      </w:r>
      <w:hyperlink r:id="rId454" w:history="1">
        <w:r w:rsidRPr="00F05461">
          <w:rPr>
            <w:rStyle w:val="Hyperlink"/>
            <w:rFonts w:eastAsia="Times New Roman" w:cs="Times New Roman"/>
            <w:szCs w:val="20"/>
            <w:lang w:val="es-ES"/>
          </w:rPr>
          <w:t>Prácticas de políticas para la gestión de residuos electrónicos: herramientas para fomentar una economía circular equilibrada y justa</w:t>
        </w:r>
      </w:hyperlink>
      <w:r w:rsidRPr="00F05461">
        <w:rPr>
          <w:lang w:val="es-ES"/>
        </w:rPr>
        <w:t>», elaboradas en colaboración con la Comisión de Comunicaciones, Espacio y Tecnología (CST) de Arabia Saud</w:t>
      </w:r>
      <w:r w:rsidR="00A32994" w:rsidRPr="00F05461">
        <w:rPr>
          <w:lang w:val="es-ES"/>
        </w:rPr>
        <w:t>ita</w:t>
      </w:r>
      <w:r w:rsidRPr="00F05461">
        <w:rPr>
          <w:lang w:val="es-ES"/>
        </w:rPr>
        <w:t xml:space="preserve">, así como la </w:t>
      </w:r>
      <w:hyperlink r:id="rId455" w:history="1">
        <w:r w:rsidRPr="00F05461">
          <w:rPr>
            <w:rStyle w:val="Hyperlink"/>
            <w:rFonts w:eastAsia="Times New Roman" w:cs="Times New Roman"/>
            <w:i/>
            <w:iCs/>
            <w:szCs w:val="20"/>
            <w:lang w:val="es-ES"/>
          </w:rPr>
          <w:t>Guía de contratación pública circular y sostenible: equipos de TIC</w:t>
        </w:r>
      </w:hyperlink>
      <w:r w:rsidRPr="00F05461">
        <w:rPr>
          <w:lang w:val="es-ES"/>
        </w:rPr>
        <w:t>, elaborada en el marco de la iniciativa GovStack. La guía se elaboró de forma conjunta con la Recomendación</w:t>
      </w:r>
      <w:r w:rsidR="00A32994" w:rsidRPr="00F05461">
        <w:rPr>
          <w:lang w:val="es-ES"/>
        </w:rPr>
        <w:t> </w:t>
      </w:r>
      <w:r w:rsidRPr="00F05461">
        <w:rPr>
          <w:lang w:val="es-ES"/>
        </w:rPr>
        <w:t>UIT</w:t>
      </w:r>
      <w:r w:rsidR="00A32994" w:rsidRPr="00F05461">
        <w:rPr>
          <w:lang w:val="es-ES"/>
        </w:rPr>
        <w:noBreakHyphen/>
      </w:r>
      <w:r w:rsidRPr="00F05461">
        <w:rPr>
          <w:lang w:val="es-ES"/>
        </w:rPr>
        <w:t xml:space="preserve">T </w:t>
      </w:r>
      <w:hyperlink r:id="rId456" w:history="1">
        <w:r w:rsidR="0064713B" w:rsidRPr="00F05461">
          <w:rPr>
            <w:rStyle w:val="Hyperlink"/>
            <w:rFonts w:eastAsia="Times New Roman" w:cs="Times New Roman"/>
            <w:szCs w:val="20"/>
            <w:lang w:val="es-ES"/>
          </w:rPr>
          <w:t xml:space="preserve">L.1061: </w:t>
        </w:r>
        <w:r w:rsidR="0064713B" w:rsidRPr="00F05461">
          <w:rPr>
            <w:rStyle w:val="Hyperlink"/>
            <w:rFonts w:eastAsia="Times New Roman" w:cs="Times New Roman"/>
            <w:i/>
            <w:iCs/>
            <w:szCs w:val="20"/>
            <w:lang w:val="es-ES"/>
          </w:rPr>
          <w:t>Contratación pública circular de tecnologías de la información y la comunicación</w:t>
        </w:r>
      </w:hyperlink>
      <w:r w:rsidRPr="00F05461">
        <w:rPr>
          <w:lang w:val="es-ES"/>
        </w:rPr>
        <w:t>, que ofrece orientación técnica a las organizaciones del sector público sobre el fortalecimiento de las prácticas de contratación y el aumento de la adopción de bienes y servicios de TIC circulares.</w:t>
      </w:r>
    </w:p>
    <w:p w14:paraId="2F0B1492" w14:textId="76392872" w:rsidR="007B4979" w:rsidRPr="00F05461" w:rsidRDefault="007B4979" w:rsidP="007B4979">
      <w:pPr>
        <w:rPr>
          <w:lang w:val="es-ES"/>
        </w:rPr>
      </w:pPr>
      <w:r w:rsidRPr="00F05461">
        <w:rPr>
          <w:lang w:val="es-ES"/>
        </w:rPr>
        <w:t xml:space="preserve">De forma análoga, </w:t>
      </w:r>
      <w:r w:rsidR="00296F03" w:rsidRPr="00F05461">
        <w:rPr>
          <w:lang w:val="es-ES"/>
        </w:rPr>
        <w:t>la UIT</w:t>
      </w:r>
      <w:r w:rsidRPr="00F05461">
        <w:rPr>
          <w:lang w:val="es-ES"/>
        </w:rPr>
        <w:t xml:space="preserve"> ha elaborado dos casos de utilización a escala nacional para facilitar la aplicación de las Normas Internacionales de</w:t>
      </w:r>
      <w:r w:rsidR="00E56B17" w:rsidRPr="00F05461">
        <w:rPr>
          <w:lang w:val="es-ES"/>
        </w:rPr>
        <w:t>l</w:t>
      </w:r>
      <w:r w:rsidR="00AC3213" w:rsidRPr="00F05461">
        <w:rPr>
          <w:lang w:val="es-ES"/>
        </w:rPr>
        <w:t> UIT</w:t>
      </w:r>
      <w:r w:rsidRPr="00F05461">
        <w:rPr>
          <w:lang w:val="es-ES"/>
        </w:rPr>
        <w:t>-T sobre gestión sostenible de equipos eléctricos y electrónicos: «Hacia una economía circular». En 2024, la labor de normalización sobre los pasaportes de productos digitales y el desarrollo del etiquetado sobre rendimiento medioambiental impulsaron aún más los enfoques basados en economías circulares.</w:t>
      </w:r>
    </w:p>
    <w:p w14:paraId="5720EB19" w14:textId="5B798DE0" w:rsidR="007B4979" w:rsidRPr="00F05461" w:rsidRDefault="007B4979" w:rsidP="007B4979">
      <w:pPr>
        <w:rPr>
          <w:lang w:val="es-ES"/>
        </w:rPr>
      </w:pPr>
      <w:r w:rsidRPr="00F05461">
        <w:rPr>
          <w:lang w:val="es-ES"/>
        </w:rPr>
        <w:t>La Comisión de Estudio</w:t>
      </w:r>
      <w:r w:rsidR="00EB694D" w:rsidRPr="00F05461">
        <w:rPr>
          <w:lang w:val="es-ES"/>
        </w:rPr>
        <w:t> </w:t>
      </w:r>
      <w:r w:rsidRPr="00F05461">
        <w:rPr>
          <w:lang w:val="es-ES"/>
        </w:rPr>
        <w:t xml:space="preserve">5 </w:t>
      </w:r>
      <w:r w:rsidR="00A10309" w:rsidRPr="00F05461">
        <w:rPr>
          <w:lang w:val="es-ES"/>
        </w:rPr>
        <w:t>del UIT</w:t>
      </w:r>
      <w:r w:rsidR="00A10309" w:rsidRPr="00F05461">
        <w:rPr>
          <w:lang w:val="es-ES"/>
        </w:rPr>
        <w:noBreakHyphen/>
      </w:r>
      <w:r w:rsidRPr="00F05461">
        <w:rPr>
          <w:lang w:val="es-ES"/>
        </w:rPr>
        <w:t>T prosiguió el desarrollo de normas internacionales para promover un sector de las telecomunicaciones y las</w:t>
      </w:r>
      <w:r w:rsidR="00EB694D" w:rsidRPr="00F05461">
        <w:rPr>
          <w:lang w:val="es-ES"/>
        </w:rPr>
        <w:t> </w:t>
      </w:r>
      <w:r w:rsidRPr="00F05461">
        <w:rPr>
          <w:lang w:val="es-ES"/>
        </w:rPr>
        <w:t xml:space="preserve">TIC ambientalmente sostenible, resiliente e inclusivo. </w:t>
      </w:r>
      <w:r w:rsidR="00B933C5" w:rsidRPr="00F05461">
        <w:rPr>
          <w:lang w:val="es-ES"/>
        </w:rPr>
        <w:t>De 202</w:t>
      </w:r>
      <w:r w:rsidRPr="00F05461">
        <w:rPr>
          <w:lang w:val="es-ES"/>
        </w:rPr>
        <w:t>2 a 2025, la Comisión de Estudio</w:t>
      </w:r>
      <w:r w:rsidR="00EB694D" w:rsidRPr="00F05461">
        <w:rPr>
          <w:lang w:val="es-ES"/>
        </w:rPr>
        <w:t> </w:t>
      </w:r>
      <w:r w:rsidRPr="00F05461">
        <w:rPr>
          <w:lang w:val="es-ES"/>
        </w:rPr>
        <w:t xml:space="preserve">5 </w:t>
      </w:r>
      <w:r w:rsidR="00A10309" w:rsidRPr="00F05461">
        <w:rPr>
          <w:lang w:val="es-ES"/>
        </w:rPr>
        <w:t>del UIT</w:t>
      </w:r>
      <w:r w:rsidR="00A10309" w:rsidRPr="00F05461">
        <w:rPr>
          <w:lang w:val="es-ES"/>
        </w:rPr>
        <w:noBreakHyphen/>
      </w:r>
      <w:r w:rsidRPr="00F05461">
        <w:rPr>
          <w:lang w:val="es-ES"/>
        </w:rPr>
        <w:t>T aprobó o consistió 110</w:t>
      </w:r>
      <w:r w:rsidR="00EB694D" w:rsidRPr="00F05461">
        <w:rPr>
          <w:lang w:val="es-ES"/>
        </w:rPr>
        <w:t> </w:t>
      </w:r>
      <w:r w:rsidRPr="00F05461">
        <w:rPr>
          <w:lang w:val="es-ES"/>
        </w:rPr>
        <w:t>Recomendaciones, al tiempo que se acordaron 26</w:t>
      </w:r>
      <w:r w:rsidR="00EB694D" w:rsidRPr="00F05461">
        <w:rPr>
          <w:lang w:val="es-ES"/>
        </w:rPr>
        <w:t> </w:t>
      </w:r>
      <w:r w:rsidRPr="00F05461">
        <w:rPr>
          <w:lang w:val="es-ES"/>
        </w:rPr>
        <w:t>directrices y Suplementos.</w:t>
      </w:r>
    </w:p>
    <w:p w14:paraId="24E7F18E" w14:textId="47C9BD0B" w:rsidR="007B4979" w:rsidRPr="00F05461" w:rsidRDefault="007B4979" w:rsidP="007B4979">
      <w:pPr>
        <w:rPr>
          <w:lang w:val="es-ES"/>
        </w:rPr>
      </w:pPr>
      <w:r w:rsidRPr="00F05461">
        <w:rPr>
          <w:lang w:val="es-ES"/>
        </w:rPr>
        <w:t xml:space="preserve">Las normas de </w:t>
      </w:r>
      <w:r w:rsidR="00296F03" w:rsidRPr="00F05461">
        <w:rPr>
          <w:lang w:val="es-ES"/>
        </w:rPr>
        <w:t>la UIT</w:t>
      </w:r>
      <w:r w:rsidRPr="00F05461">
        <w:rPr>
          <w:lang w:val="es-ES"/>
        </w:rPr>
        <w:t xml:space="preserve"> han sido especialmente útiles para medir y mejorar el rendimiento medioambiental de las</w:t>
      </w:r>
      <w:r w:rsidR="00EB694D" w:rsidRPr="00F05461">
        <w:rPr>
          <w:lang w:val="es-ES"/>
        </w:rPr>
        <w:t> </w:t>
      </w:r>
      <w:r w:rsidRPr="00F05461">
        <w:rPr>
          <w:lang w:val="es-ES"/>
        </w:rPr>
        <w:t>TIC, al abarcar la eficiencia energética, la supervisión de emisiones y la eficiencia de los materiales en relación con los productos tecnológicos. Las actividades clave sobre eficiencia medioambiental de la infraestructura de las</w:t>
      </w:r>
      <w:r w:rsidR="00EB694D" w:rsidRPr="00F05461">
        <w:rPr>
          <w:lang w:val="es-ES"/>
        </w:rPr>
        <w:t> </w:t>
      </w:r>
      <w:r w:rsidRPr="00F05461">
        <w:rPr>
          <w:lang w:val="es-ES"/>
        </w:rPr>
        <w:t>TIC incluyen recomendaciones para redes, servicios y productos de TIC, así como para centros de datos. Se publicaron dos estudios sobre la seguridad de las aplicaciones de baterías de iones de litio en centros de datos y sobre baterías de litio para emplazamientos de telecomunicaciones, en colaboración con Huawei.</w:t>
      </w:r>
    </w:p>
    <w:p w14:paraId="712A9565" w14:textId="77777777" w:rsidR="007B4979" w:rsidRPr="00F05461" w:rsidRDefault="007B4979" w:rsidP="00AC3213">
      <w:pPr>
        <w:pStyle w:val="Headingb"/>
      </w:pPr>
      <w:r w:rsidRPr="00F05461">
        <w:lastRenderedPageBreak/>
        <w:t>Telecomunicaciones de emergencia y gestión de crisis</w:t>
      </w:r>
    </w:p>
    <w:p w14:paraId="09B24878" w14:textId="6E9FB53F" w:rsidR="007B4979" w:rsidRPr="00F05461" w:rsidRDefault="007B4979" w:rsidP="00105B73">
      <w:pPr>
        <w:rPr>
          <w:lang w:val="es-ES"/>
        </w:rPr>
      </w:pPr>
      <w:r w:rsidRPr="00F05461">
        <w:rPr>
          <w:lang w:val="es-ES"/>
        </w:rPr>
        <w:t xml:space="preserve">Las telecomunicaciones de emergencia siguen constituyendo una esfera de trabajo fundamental de </w:t>
      </w:r>
      <w:r w:rsidR="00296F03" w:rsidRPr="00F05461">
        <w:rPr>
          <w:lang w:val="es-ES"/>
        </w:rPr>
        <w:t>la UIT</w:t>
      </w:r>
      <w:r w:rsidRPr="00F05461">
        <w:rPr>
          <w:lang w:val="es-ES"/>
        </w:rPr>
        <w:t xml:space="preserve"> para fortalecer la resiliencia climática a escala nacional. A finales </w:t>
      </w:r>
      <w:r w:rsidR="00B933C5" w:rsidRPr="00F05461">
        <w:rPr>
          <w:lang w:val="es-ES"/>
        </w:rPr>
        <w:t>de </w:t>
      </w:r>
      <w:r w:rsidR="00105B73" w:rsidRPr="00F05461">
        <w:rPr>
          <w:lang w:val="es-ES"/>
        </w:rPr>
        <w:t>2025</w:t>
      </w:r>
      <w:r w:rsidRPr="00F05461">
        <w:rPr>
          <w:lang w:val="es-ES"/>
        </w:rPr>
        <w:t xml:space="preserve">, </w:t>
      </w:r>
      <w:r w:rsidR="00105B73" w:rsidRPr="00F05461">
        <w:rPr>
          <w:lang w:val="es-ES"/>
        </w:rPr>
        <w:t>al menos 95</w:t>
      </w:r>
      <w:r w:rsidR="009E5ACF" w:rsidRPr="00F05461">
        <w:rPr>
          <w:lang w:val="es-ES"/>
        </w:rPr>
        <w:t> </w:t>
      </w:r>
      <w:r w:rsidRPr="00F05461">
        <w:rPr>
          <w:lang w:val="es-ES"/>
        </w:rPr>
        <w:t>países contaba</w:t>
      </w:r>
      <w:r w:rsidR="00105B73" w:rsidRPr="00F05461">
        <w:rPr>
          <w:lang w:val="es-ES"/>
        </w:rPr>
        <w:t>n</w:t>
      </w:r>
      <w:r w:rsidRPr="00F05461">
        <w:rPr>
          <w:lang w:val="es-ES"/>
        </w:rPr>
        <w:t xml:space="preserve"> con planes nacionales de telecomunicaciones de emergencia</w:t>
      </w:r>
      <w:r w:rsidR="00105B73" w:rsidRPr="00F05461">
        <w:rPr>
          <w:lang w:val="es-ES"/>
        </w:rPr>
        <w:t xml:space="preserve"> operacionales,</w:t>
      </w:r>
      <w:r w:rsidRPr="00F05461">
        <w:rPr>
          <w:lang w:val="es-ES"/>
        </w:rPr>
        <w:t xml:space="preserve"> frente </w:t>
      </w:r>
      <w:r w:rsidR="00105B73" w:rsidRPr="00F05461">
        <w:rPr>
          <w:lang w:val="es-ES"/>
        </w:rPr>
        <w:t>a 66 países en 2021</w:t>
      </w:r>
      <w:r w:rsidRPr="00F05461">
        <w:rPr>
          <w:lang w:val="es-ES"/>
        </w:rPr>
        <w:t xml:space="preserve">, lo que </w:t>
      </w:r>
      <w:r w:rsidR="00105B73" w:rsidRPr="00F05461">
        <w:rPr>
          <w:lang w:val="es-ES"/>
        </w:rPr>
        <w:t>pone de manifiesto una mejora de</w:t>
      </w:r>
      <w:r w:rsidRPr="00F05461">
        <w:rPr>
          <w:lang w:val="es-ES"/>
        </w:rPr>
        <w:t xml:space="preserve"> la preparación ante situaciones de catástrofe y la resiliencia</w:t>
      </w:r>
      <w:r w:rsidR="00105B73" w:rsidRPr="00F05461">
        <w:rPr>
          <w:rFonts w:eastAsia="MS Mincho"/>
          <w:sz w:val="22"/>
          <w:lang w:val="es-ES" w:eastAsia="en-GB"/>
        </w:rPr>
        <w:t xml:space="preserve"> </w:t>
      </w:r>
      <w:r w:rsidR="00105B73" w:rsidRPr="00F05461">
        <w:rPr>
          <w:lang w:val="es-ES"/>
        </w:rPr>
        <w:t>en todo el mundo</w:t>
      </w:r>
      <w:r w:rsidRPr="00F05461">
        <w:rPr>
          <w:lang w:val="es-ES"/>
        </w:rPr>
        <w:t>.</w:t>
      </w:r>
    </w:p>
    <w:p w14:paraId="1792D1FA" w14:textId="4C611674" w:rsidR="007B4979" w:rsidRPr="00F05461" w:rsidRDefault="00B933C5" w:rsidP="007B4979">
      <w:pPr>
        <w:rPr>
          <w:lang w:val="es-ES"/>
        </w:rPr>
      </w:pPr>
      <w:r w:rsidRPr="00F05461">
        <w:rPr>
          <w:lang w:val="es-ES"/>
        </w:rPr>
        <w:t>De 202</w:t>
      </w:r>
      <w:r w:rsidR="007B4979" w:rsidRPr="00F05461">
        <w:rPr>
          <w:lang w:val="es-ES"/>
        </w:rPr>
        <w:t>2 a 2025, el</w:t>
      </w:r>
      <w:r w:rsidR="00DF0CC6" w:rsidRPr="00F05461">
        <w:rPr>
          <w:lang w:val="es-ES"/>
        </w:rPr>
        <w:t> </w:t>
      </w:r>
      <w:r w:rsidR="007B4979" w:rsidRPr="00F05461">
        <w:rPr>
          <w:lang w:val="es-ES"/>
        </w:rPr>
        <w:t>UIT</w:t>
      </w:r>
      <w:r w:rsidR="00DF0CC6" w:rsidRPr="00F05461">
        <w:rPr>
          <w:lang w:val="es-ES"/>
        </w:rPr>
        <w:noBreakHyphen/>
      </w:r>
      <w:r w:rsidR="007B4979" w:rsidRPr="00F05461">
        <w:rPr>
          <w:lang w:val="es-ES"/>
        </w:rPr>
        <w:t>D mejoró la preparación y las medidas de respuesta a escala nacional frente a situaciones de catástrofe mediante el fomento de las</w:t>
      </w:r>
      <w:r w:rsidR="00EB694D" w:rsidRPr="00F05461">
        <w:rPr>
          <w:lang w:val="es-ES"/>
        </w:rPr>
        <w:t> </w:t>
      </w:r>
      <w:r w:rsidR="007B4979" w:rsidRPr="00F05461">
        <w:rPr>
          <w:lang w:val="es-ES"/>
        </w:rPr>
        <w:t>TIC para las telecomunicaciones de emergencia en los Estados Miembros. Durante este periodo, el</w:t>
      </w:r>
      <w:r w:rsidR="00EB694D" w:rsidRPr="00F05461">
        <w:rPr>
          <w:lang w:val="es-ES"/>
        </w:rPr>
        <w:t> </w:t>
      </w:r>
      <w:r w:rsidR="007B4979" w:rsidRPr="00F05461">
        <w:rPr>
          <w:lang w:val="es-ES"/>
        </w:rPr>
        <w:t>UIT</w:t>
      </w:r>
      <w:r w:rsidR="00EB694D" w:rsidRPr="00F05461">
        <w:rPr>
          <w:lang w:val="es-ES"/>
        </w:rPr>
        <w:noBreakHyphen/>
      </w:r>
      <w:r w:rsidR="007B4979" w:rsidRPr="00F05461">
        <w:rPr>
          <w:lang w:val="es-ES"/>
        </w:rPr>
        <w:t>D prestó apoyo a más de 25</w:t>
      </w:r>
      <w:r w:rsidR="00EB694D" w:rsidRPr="00F05461">
        <w:rPr>
          <w:lang w:val="es-ES"/>
        </w:rPr>
        <w:t> </w:t>
      </w:r>
      <w:r w:rsidR="007B4979" w:rsidRPr="00F05461">
        <w:rPr>
          <w:lang w:val="es-ES"/>
        </w:rPr>
        <w:t>países en la elaboración y aplicación de 41</w:t>
      </w:r>
      <w:r w:rsidR="00EB694D" w:rsidRPr="00F05461">
        <w:rPr>
          <w:lang w:val="es-ES"/>
        </w:rPr>
        <w:t> </w:t>
      </w:r>
      <w:r w:rsidR="007B4979" w:rsidRPr="00F05461">
        <w:rPr>
          <w:lang w:val="es-ES"/>
        </w:rPr>
        <w:t xml:space="preserve">planes nacionales de telecomunicaciones de emergencia (PNTE). Estas iniciativas mejoraron la resiliencia nacional y permitieron una respuesta de emergencia más rápida y eficaz. La organización también desempeñó un papel fundamental en la implementación de la iniciativa Alertas </w:t>
      </w:r>
      <w:r w:rsidR="00E175FC" w:rsidRPr="00F05461">
        <w:rPr>
          <w:lang w:val="es-ES"/>
        </w:rPr>
        <w:t xml:space="preserve">Tempranas </w:t>
      </w:r>
      <w:r w:rsidR="007B4979" w:rsidRPr="00F05461">
        <w:rPr>
          <w:lang w:val="es-ES"/>
        </w:rPr>
        <w:t xml:space="preserve">para </w:t>
      </w:r>
      <w:r w:rsidR="00E175FC" w:rsidRPr="00F05461">
        <w:rPr>
          <w:lang w:val="es-ES"/>
        </w:rPr>
        <w:t>Todos</w:t>
      </w:r>
      <w:r w:rsidR="007B4979" w:rsidRPr="00F05461">
        <w:rPr>
          <w:lang w:val="es-ES"/>
        </w:rPr>
        <w:t xml:space="preserve"> (EW4All), en el marco de la cual </w:t>
      </w:r>
      <w:r w:rsidR="00296F03" w:rsidRPr="00F05461">
        <w:rPr>
          <w:lang w:val="es-ES"/>
        </w:rPr>
        <w:t>la UIT</w:t>
      </w:r>
      <w:r w:rsidR="007B4979" w:rsidRPr="00F05461">
        <w:rPr>
          <w:lang w:val="es-ES"/>
        </w:rPr>
        <w:t xml:space="preserve"> había prestado apoyo a 30</w:t>
      </w:r>
      <w:r w:rsidR="00EB694D" w:rsidRPr="00F05461">
        <w:rPr>
          <w:lang w:val="es-ES"/>
        </w:rPr>
        <w:t> </w:t>
      </w:r>
      <w:r w:rsidR="007B4979" w:rsidRPr="00F05461">
        <w:rPr>
          <w:lang w:val="es-ES"/>
        </w:rPr>
        <w:t>países en</w:t>
      </w:r>
      <w:r w:rsidR="00EB694D" w:rsidRPr="00F05461">
        <w:rPr>
          <w:lang w:val="es-ES"/>
        </w:rPr>
        <w:t> </w:t>
      </w:r>
      <w:r w:rsidR="007B4979" w:rsidRPr="00F05461">
        <w:rPr>
          <w:lang w:val="es-ES"/>
        </w:rPr>
        <w:t>2025, incluidas cuatro aplicaciones piloto de</w:t>
      </w:r>
      <w:r w:rsidR="003C7DDE">
        <w:rPr>
          <w:lang w:val="es-ES"/>
        </w:rPr>
        <w:t> </w:t>
      </w:r>
      <w:r w:rsidR="007B4979" w:rsidRPr="00F05461">
        <w:rPr>
          <w:lang w:val="es-ES"/>
        </w:rPr>
        <w:t>IA en países pertenecientes al subgrupo de</w:t>
      </w:r>
      <w:r w:rsidR="003C7DDE">
        <w:rPr>
          <w:lang w:val="es-ES"/>
        </w:rPr>
        <w:t> </w:t>
      </w:r>
      <w:r w:rsidR="007B4979" w:rsidRPr="00F05461">
        <w:rPr>
          <w:lang w:val="es-ES"/>
        </w:rPr>
        <w:t xml:space="preserve">IA de la EW4All con objeto de mejorar las capacidades de alerta temprana. </w:t>
      </w:r>
      <w:r w:rsidR="00296F03" w:rsidRPr="00F05461">
        <w:rPr>
          <w:lang w:val="es-ES"/>
        </w:rPr>
        <w:t>La UIT</w:t>
      </w:r>
      <w:r w:rsidR="007B4979" w:rsidRPr="00F05461">
        <w:rPr>
          <w:lang w:val="es-ES"/>
        </w:rPr>
        <w:t xml:space="preserve"> lidera el Pilar</w:t>
      </w:r>
      <w:r w:rsidR="00EB694D" w:rsidRPr="00F05461">
        <w:rPr>
          <w:lang w:val="es-ES"/>
        </w:rPr>
        <w:t> </w:t>
      </w:r>
      <w:r w:rsidR="007B4979" w:rsidRPr="00F05461">
        <w:rPr>
          <w:lang w:val="es-ES"/>
        </w:rPr>
        <w:t>3 sobre difusión y comunicación de alertas. A través de esta iniciativa, el</w:t>
      </w:r>
      <w:r w:rsidR="00DF0CC6" w:rsidRPr="00F05461">
        <w:rPr>
          <w:lang w:val="es-ES"/>
        </w:rPr>
        <w:t> </w:t>
      </w:r>
      <w:r w:rsidR="007B4979" w:rsidRPr="00F05461">
        <w:rPr>
          <w:lang w:val="es-ES"/>
        </w:rPr>
        <w:t>UIT</w:t>
      </w:r>
      <w:r w:rsidR="00DF0CC6" w:rsidRPr="00F05461">
        <w:rPr>
          <w:lang w:val="es-ES"/>
        </w:rPr>
        <w:noBreakHyphen/>
      </w:r>
      <w:r w:rsidR="007B4979" w:rsidRPr="00F05461">
        <w:rPr>
          <w:lang w:val="es-ES"/>
        </w:rPr>
        <w:t>D facilitó evaluaciones técnicas, económicas y normativas para respaldar el despliegue de tecnologías clave de alerta pública, entre ellas el Protocolo de Alerta Común (CAP), la Radiodifusión celular (CB) y el servicio de mensajes breves con respecto a la ubicación (LB-SMS). Estas tecnologías permiten el uso eficaz de redes digitales, servicios y dispositivos móviles para difundir alertas oportunas, lo que contribuye a la protección de vidas y medios de subsistencia. Des</w:t>
      </w:r>
      <w:r w:rsidRPr="00F05461">
        <w:rPr>
          <w:lang w:val="es-ES"/>
        </w:rPr>
        <w:t>de 202</w:t>
      </w:r>
      <w:r w:rsidR="007B4979" w:rsidRPr="00F05461">
        <w:rPr>
          <w:lang w:val="es-ES"/>
        </w:rPr>
        <w:t>2, 28</w:t>
      </w:r>
      <w:r w:rsidR="00EB694D" w:rsidRPr="00F05461">
        <w:rPr>
          <w:lang w:val="es-ES"/>
        </w:rPr>
        <w:t> </w:t>
      </w:r>
      <w:r w:rsidR="007B4979" w:rsidRPr="00F05461">
        <w:rPr>
          <w:lang w:val="es-ES"/>
        </w:rPr>
        <w:t>países han implantado la radiodifusión celular, diez utilizan el servicio LB-SMS y seis han desplegado ambas tecnologías a los efectos de emisión de alertas al público.</w:t>
      </w:r>
    </w:p>
    <w:p w14:paraId="768E2801" w14:textId="3CD64DE1" w:rsidR="007B4979" w:rsidRPr="00F05461" w:rsidRDefault="007B4979" w:rsidP="007B4979">
      <w:pPr>
        <w:rPr>
          <w:lang w:val="es-ES"/>
        </w:rPr>
      </w:pPr>
      <w:r w:rsidRPr="00F05461">
        <w:rPr>
          <w:lang w:val="es-ES"/>
        </w:rPr>
        <w:t xml:space="preserve">Las iniciativas de respuesta directa ante situaciones de catástrofe incluyeron la implantación estratégica previa de equipos de telecomunicaciones de emergencia de </w:t>
      </w:r>
      <w:r w:rsidR="00296F03" w:rsidRPr="00F05461">
        <w:rPr>
          <w:lang w:val="es-ES"/>
        </w:rPr>
        <w:t>la UIT</w:t>
      </w:r>
      <w:r w:rsidRPr="00F05461">
        <w:rPr>
          <w:lang w:val="es-ES"/>
        </w:rPr>
        <w:t xml:space="preserve"> en diversas ubicaciones geográficas, a fin de reducir los tiempos de respuesta tras una catástrofe. Dichas ubicaciones incluyen Dubái (en espacios PMA), que presta servicio a las regiones de los Estados </w:t>
      </w:r>
      <w:r w:rsidR="00DF0CC6" w:rsidRPr="00F05461">
        <w:rPr>
          <w:lang w:val="es-ES"/>
        </w:rPr>
        <w:t>Árabes</w:t>
      </w:r>
      <w:r w:rsidRPr="00F05461">
        <w:rPr>
          <w:lang w:val="es-ES"/>
        </w:rPr>
        <w:t>, África y Asia-Pacífico; Zimbabwe, que presta servicio a los Estados miembros de la SADC; y Barbados, que abarca América y el Caribe. Des</w:t>
      </w:r>
      <w:r w:rsidR="00B933C5" w:rsidRPr="00F05461">
        <w:rPr>
          <w:lang w:val="es-ES"/>
        </w:rPr>
        <w:t>de 202</w:t>
      </w:r>
      <w:r w:rsidRPr="00F05461">
        <w:rPr>
          <w:lang w:val="es-ES"/>
        </w:rPr>
        <w:t>2, se ha desplegado equipo de comunicaciones por satélite para apoyar las operaciones de respuesta frente a emergencias en varios países, entre ellos Tonga, tras la erupción del volcán Hunga Tonga</w:t>
      </w:r>
      <w:r w:rsidR="004F3957" w:rsidRPr="00F05461">
        <w:rPr>
          <w:lang w:val="es-ES"/>
        </w:rPr>
        <w:noBreakHyphen/>
      </w:r>
      <w:r w:rsidRPr="00F05461">
        <w:rPr>
          <w:lang w:val="es-ES"/>
        </w:rPr>
        <w:t>Hunga Haʻapai; Nicaragua, a raíz del huracán Julia; Malawi y Mozambique a raíz de los ciclones Freddy y Chido; Pap</w:t>
      </w:r>
      <w:r w:rsidR="004F3957" w:rsidRPr="00F05461">
        <w:rPr>
          <w:lang w:val="es-ES"/>
        </w:rPr>
        <w:t>u</w:t>
      </w:r>
      <w:r w:rsidRPr="00F05461">
        <w:rPr>
          <w:lang w:val="es-ES"/>
        </w:rPr>
        <w:t>a Nueva Guinea, tras la erupción del monte Bagana; y Granada, San Vicente y las Granadinas, y Jamaica, a raíz de los huracanes Beryl y Melissa.</w:t>
      </w:r>
    </w:p>
    <w:p w14:paraId="46A19371" w14:textId="77777777" w:rsidR="007B4979" w:rsidRPr="00F05461" w:rsidRDefault="007B4979" w:rsidP="00FF59AE">
      <w:pPr>
        <w:rPr>
          <w:lang w:val="es-ES"/>
        </w:rPr>
      </w:pPr>
      <w:r w:rsidRPr="00F05461">
        <w:rPr>
          <w:lang w:val="es-ES"/>
        </w:rPr>
        <w:t>Se desarrollaron módulos de formación sobre telecomunicaciones de emergencia, con una amplia participación de varios países, lo que contribuyó a garantizar que las actividades de respuesta frente a catástrofes fueran estructuradas y eficaces.</w:t>
      </w:r>
    </w:p>
    <w:p w14:paraId="3FA2313D" w14:textId="670D47DE" w:rsidR="007B4979" w:rsidRPr="00F05461" w:rsidRDefault="007B4979" w:rsidP="004C5F92">
      <w:pPr>
        <w:rPr>
          <w:lang w:val="es-ES"/>
        </w:rPr>
      </w:pPr>
      <w:r w:rsidRPr="00F05461">
        <w:rPr>
          <w:lang w:val="es-ES"/>
        </w:rPr>
        <w:t xml:space="preserve">En el marco de la COP28, </w:t>
      </w:r>
      <w:r w:rsidR="00296F03" w:rsidRPr="00F05461">
        <w:rPr>
          <w:lang w:val="es-ES"/>
        </w:rPr>
        <w:t>la UIT</w:t>
      </w:r>
      <w:r w:rsidRPr="00F05461">
        <w:rPr>
          <w:lang w:val="es-ES"/>
        </w:rPr>
        <w:t xml:space="preserve"> y la</w:t>
      </w:r>
      <w:r w:rsidR="004F3957" w:rsidRPr="00F05461">
        <w:rPr>
          <w:lang w:val="es-ES"/>
        </w:rPr>
        <w:t> </w:t>
      </w:r>
      <w:r w:rsidRPr="00F05461">
        <w:rPr>
          <w:lang w:val="es-ES"/>
        </w:rPr>
        <w:t>GSMA efectuaron un llamamiento a la acción para desplegar la radiodifusión celular y los</w:t>
      </w:r>
      <w:r w:rsidR="004F3957" w:rsidRPr="00F05461">
        <w:rPr>
          <w:lang w:val="es-ES"/>
        </w:rPr>
        <w:t> </w:t>
      </w:r>
      <w:r w:rsidRPr="00F05461">
        <w:rPr>
          <w:lang w:val="es-ES"/>
        </w:rPr>
        <w:t>SMS basados en la ubicación; muchos operadores de redes móviles, entre ellos VEON, KDDI, Globe, Safaricom, Telefónica, MTN y Axiata Group, respondieron al llamamiento y se comprometieron a utilizar la conectividad digital para salvar vidas.</w:t>
      </w:r>
    </w:p>
    <w:p w14:paraId="4C47CD2C" w14:textId="22AB9F72" w:rsidR="007B4979" w:rsidRPr="00F05461" w:rsidRDefault="00296F03" w:rsidP="004C5F92">
      <w:pPr>
        <w:rPr>
          <w:lang w:val="es-ES"/>
        </w:rPr>
      </w:pPr>
      <w:r w:rsidRPr="00F05461">
        <w:rPr>
          <w:lang w:val="es-ES"/>
        </w:rPr>
        <w:lastRenderedPageBreak/>
        <w:t>La UIT</w:t>
      </w:r>
      <w:r w:rsidR="007B4979" w:rsidRPr="00F05461">
        <w:rPr>
          <w:lang w:val="es-ES"/>
        </w:rPr>
        <w:t xml:space="preserve"> también forma parte de la </w:t>
      </w:r>
      <w:r w:rsidR="007B4979" w:rsidRPr="008A3A8C">
        <w:rPr>
          <w:lang w:val="es-ES"/>
        </w:rPr>
        <w:t xml:space="preserve">Iniciativa </w:t>
      </w:r>
      <w:r w:rsidR="00B77E42" w:rsidRPr="008A3A8C">
        <w:rPr>
          <w:lang w:val="es-ES"/>
        </w:rPr>
        <w:t>m</w:t>
      </w:r>
      <w:r w:rsidR="00C50B09" w:rsidRPr="008A3A8C">
        <w:rPr>
          <w:lang w:val="es-ES"/>
        </w:rPr>
        <w:t xml:space="preserve">undial </w:t>
      </w:r>
      <w:r w:rsidR="007B4979" w:rsidRPr="008A3A8C">
        <w:rPr>
          <w:lang w:val="es-ES"/>
        </w:rPr>
        <w:t xml:space="preserve">sobre </w:t>
      </w:r>
      <w:r w:rsidR="00B77E42" w:rsidRPr="008A3A8C">
        <w:rPr>
          <w:lang w:val="es-ES"/>
        </w:rPr>
        <w:t>r</w:t>
      </w:r>
      <w:r w:rsidR="00C50B09" w:rsidRPr="008A3A8C">
        <w:rPr>
          <w:lang w:val="es-ES"/>
        </w:rPr>
        <w:t xml:space="preserve">esiliencia </w:t>
      </w:r>
      <w:r w:rsidR="007B4979" w:rsidRPr="008A3A8C">
        <w:rPr>
          <w:lang w:val="es-ES"/>
        </w:rPr>
        <w:t xml:space="preserve">frente a </w:t>
      </w:r>
      <w:r w:rsidR="00B77E42" w:rsidRPr="008A3A8C">
        <w:rPr>
          <w:lang w:val="es-ES"/>
        </w:rPr>
        <w:t>r</w:t>
      </w:r>
      <w:r w:rsidR="00C50B09" w:rsidRPr="008A3A8C">
        <w:rPr>
          <w:lang w:val="es-ES"/>
        </w:rPr>
        <w:t xml:space="preserve">iesgos </w:t>
      </w:r>
      <w:r w:rsidR="00B77E42" w:rsidRPr="008A3A8C">
        <w:rPr>
          <w:lang w:val="es-ES"/>
        </w:rPr>
        <w:t>n</w:t>
      </w:r>
      <w:r w:rsidR="00C50B09" w:rsidRPr="008A3A8C">
        <w:rPr>
          <w:lang w:val="es-ES"/>
        </w:rPr>
        <w:t xml:space="preserve">aturales </w:t>
      </w:r>
      <w:r w:rsidR="007B4979" w:rsidRPr="008A3A8C">
        <w:rPr>
          <w:lang w:val="es-ES"/>
        </w:rPr>
        <w:t xml:space="preserve">mediante </w:t>
      </w:r>
      <w:r w:rsidR="00B77E42" w:rsidRPr="008A3A8C">
        <w:rPr>
          <w:lang w:val="es-ES"/>
        </w:rPr>
        <w:t>s</w:t>
      </w:r>
      <w:r w:rsidR="00C50B09" w:rsidRPr="008A3A8C">
        <w:rPr>
          <w:lang w:val="es-ES"/>
        </w:rPr>
        <w:t xml:space="preserve">oluciones </w:t>
      </w:r>
      <w:r w:rsidR="007B4979" w:rsidRPr="008A3A8C">
        <w:rPr>
          <w:lang w:val="es-ES"/>
        </w:rPr>
        <w:t>de</w:t>
      </w:r>
      <w:r w:rsidR="003C7DDE">
        <w:rPr>
          <w:lang w:val="es-ES"/>
        </w:rPr>
        <w:t> </w:t>
      </w:r>
      <w:r w:rsidR="007B4979" w:rsidRPr="008A3A8C">
        <w:rPr>
          <w:lang w:val="es-ES"/>
        </w:rPr>
        <w:t>IA</w:t>
      </w:r>
      <w:r w:rsidR="007B4979" w:rsidRPr="00F05461">
        <w:rPr>
          <w:lang w:val="es-ES"/>
        </w:rPr>
        <w:t xml:space="preserve">, esfuerzo colaborativo coordinado por varios organismos de las Naciones Unidas, entre ellos </w:t>
      </w:r>
      <w:r w:rsidRPr="00F05461">
        <w:rPr>
          <w:lang w:val="es-ES"/>
        </w:rPr>
        <w:t>la UIT</w:t>
      </w:r>
      <w:r w:rsidR="007B4979" w:rsidRPr="00F05461">
        <w:rPr>
          <w:lang w:val="es-ES"/>
        </w:rPr>
        <w:t>, el</w:t>
      </w:r>
      <w:r w:rsidR="004F3957" w:rsidRPr="00F05461">
        <w:rPr>
          <w:lang w:val="es-ES"/>
        </w:rPr>
        <w:t> </w:t>
      </w:r>
      <w:r w:rsidR="007B4979" w:rsidRPr="00F05461">
        <w:rPr>
          <w:lang w:val="es-ES"/>
        </w:rPr>
        <w:t>PNUMA, la Convención Marco de las Naciones Unidas sobre el Cambio Climático (CMNUCC), la Unión Postal Universal (UPU) y la</w:t>
      </w:r>
      <w:r w:rsidR="009C61B5" w:rsidRPr="00F05461">
        <w:rPr>
          <w:lang w:val="es-ES"/>
        </w:rPr>
        <w:t> </w:t>
      </w:r>
      <w:r w:rsidR="007B4979" w:rsidRPr="00F05461">
        <w:rPr>
          <w:lang w:val="es-ES"/>
        </w:rPr>
        <w:t>OMM, a fin de analizar la manera de utilizar eficazmente la</w:t>
      </w:r>
      <w:r w:rsidR="004C5F92" w:rsidRPr="00F05461">
        <w:rPr>
          <w:lang w:val="es-ES"/>
        </w:rPr>
        <w:t> </w:t>
      </w:r>
      <w:r w:rsidR="007B4979" w:rsidRPr="00F05461">
        <w:rPr>
          <w:lang w:val="es-ES"/>
        </w:rPr>
        <w:t>IA en la gestión de catástrofes, y proporcionar orientación experta y apoyo a las actividades de investigación, innovación y normalización.</w:t>
      </w:r>
    </w:p>
    <w:p w14:paraId="7996ECEB" w14:textId="77777777" w:rsidR="007B4979" w:rsidRPr="00F05461" w:rsidRDefault="007B4979" w:rsidP="00AC3213">
      <w:pPr>
        <w:pStyle w:val="Headingb"/>
      </w:pPr>
      <w:r w:rsidRPr="00F05461">
        <w:t>Transformación digital al servicio de las ciudades sostenibles</w:t>
      </w:r>
    </w:p>
    <w:p w14:paraId="2E0BEEB4" w14:textId="7AA16F8B" w:rsidR="007B4979" w:rsidRPr="00F05461" w:rsidRDefault="007B4979" w:rsidP="008A3A8C">
      <w:pPr>
        <w:keepNext/>
        <w:keepLines/>
        <w:rPr>
          <w:lang w:val="es-ES"/>
        </w:rPr>
      </w:pPr>
      <w:r w:rsidRPr="00F05461">
        <w:rPr>
          <w:lang w:val="es-ES"/>
        </w:rPr>
        <w:t>La Comisión de Estudio</w:t>
      </w:r>
      <w:r w:rsidR="004C5F92" w:rsidRPr="00F05461">
        <w:rPr>
          <w:lang w:val="es-ES"/>
        </w:rPr>
        <w:t> </w:t>
      </w:r>
      <w:r w:rsidRPr="00F05461">
        <w:rPr>
          <w:lang w:val="es-ES"/>
        </w:rPr>
        <w:t xml:space="preserve">20 </w:t>
      </w:r>
      <w:r w:rsidR="00A10309" w:rsidRPr="00F05461">
        <w:rPr>
          <w:lang w:val="es-ES"/>
        </w:rPr>
        <w:t>del UIT</w:t>
      </w:r>
      <w:r w:rsidR="00A10309" w:rsidRPr="00F05461">
        <w:rPr>
          <w:lang w:val="es-ES"/>
        </w:rPr>
        <w:noBreakHyphen/>
      </w:r>
      <w:r w:rsidRPr="00F05461">
        <w:rPr>
          <w:lang w:val="es-ES"/>
        </w:rPr>
        <w:t>T logró avances en cuanto a proyectos de ciudades inteligentes en el marco de la iniciativa U4SSC, en la que participaron más de 250</w:t>
      </w:r>
      <w:r w:rsidR="004F3957" w:rsidRPr="00F05461">
        <w:rPr>
          <w:lang w:val="es-ES"/>
        </w:rPr>
        <w:t> </w:t>
      </w:r>
      <w:r w:rsidRPr="00F05461">
        <w:rPr>
          <w:lang w:val="es-ES"/>
        </w:rPr>
        <w:t xml:space="preserve">ciudades para adoptar indicadores de rendimiento basados en las normas de </w:t>
      </w:r>
      <w:r w:rsidR="00296F03" w:rsidRPr="00F05461">
        <w:rPr>
          <w:lang w:val="es-ES"/>
        </w:rPr>
        <w:t>la UIT</w:t>
      </w:r>
      <w:r w:rsidRPr="00F05461">
        <w:rPr>
          <w:lang w:val="es-ES"/>
        </w:rPr>
        <w:t>. Se hizo hincapié en la gobernanza de las ciudades y la integración de datos para fomentar el desarrollo urbano sostenible.</w:t>
      </w:r>
    </w:p>
    <w:p w14:paraId="1AD148A2" w14:textId="437A7CE9" w:rsidR="007B4979" w:rsidRPr="00F05461" w:rsidRDefault="00296F03" w:rsidP="004C5F92">
      <w:pPr>
        <w:rPr>
          <w:lang w:val="es-ES"/>
        </w:rPr>
      </w:pPr>
      <w:r w:rsidRPr="00F05461">
        <w:rPr>
          <w:lang w:val="es-ES"/>
        </w:rPr>
        <w:t>La UIT</w:t>
      </w:r>
      <w:r w:rsidR="007B4979" w:rsidRPr="00F05461">
        <w:rPr>
          <w:lang w:val="es-ES"/>
        </w:rPr>
        <w:t xml:space="preserve"> ha elaborado varios productos de conocimiento a través de dicha iniciativa, en particular directrices para que las ciudades alcancen el objetivo de lograr cero emisiones netas de carbono mediante la transformación digital y una metodología para evaluar los avances hacia el objetivo de suprimir totalmente las emisiones netas de carbono en las ciudades.</w:t>
      </w:r>
    </w:p>
    <w:p w14:paraId="69DC2F23" w14:textId="77777777" w:rsidR="007B4979" w:rsidRPr="00F05461" w:rsidRDefault="007B4979" w:rsidP="00AC3213">
      <w:pPr>
        <w:pStyle w:val="Headingb"/>
      </w:pPr>
      <w:r w:rsidRPr="00F05461">
        <w:t>Iniciativas y colaboración en materia de cambio climático</w:t>
      </w:r>
    </w:p>
    <w:p w14:paraId="0EFC59F4" w14:textId="01F02865" w:rsidR="000370C7" w:rsidRPr="00F05461" w:rsidRDefault="008F1EBF" w:rsidP="000370C7">
      <w:pPr>
        <w:rPr>
          <w:lang w:val="es-ES"/>
        </w:rPr>
      </w:pPr>
      <w:r w:rsidRPr="00F05461">
        <w:rPr>
          <w:lang w:val="es-ES"/>
        </w:rPr>
        <w:t xml:space="preserve">Con objeto de hacer frente al cambio climático, </w:t>
      </w:r>
      <w:r w:rsidR="00296F03" w:rsidRPr="00F05461">
        <w:rPr>
          <w:lang w:val="es-ES"/>
        </w:rPr>
        <w:t>la UIT</w:t>
      </w:r>
      <w:r w:rsidRPr="00F05461">
        <w:rPr>
          <w:lang w:val="es-ES"/>
        </w:rPr>
        <w:t xml:space="preserve"> ha logrado avances notables en el estudio del consumo energético y las emisiones de</w:t>
      </w:r>
      <w:bookmarkStart w:id="113" w:name="_Hlk226705255"/>
      <w:r w:rsidR="000370C7" w:rsidRPr="00F05461">
        <w:rPr>
          <w:lang w:val="es-ES"/>
        </w:rPr>
        <w:t xml:space="preserve"> </w:t>
      </w:r>
      <w:bookmarkEnd w:id="113"/>
      <w:r w:rsidRPr="00F05461">
        <w:rPr>
          <w:lang w:val="es-ES"/>
        </w:rPr>
        <w:t>GEI</w:t>
      </w:r>
      <w:r w:rsidR="000370C7" w:rsidRPr="00F05461">
        <w:rPr>
          <w:lang w:val="es-ES"/>
        </w:rPr>
        <w:t xml:space="preserve"> </w:t>
      </w:r>
      <w:r w:rsidRPr="00F05461">
        <w:rPr>
          <w:lang w:val="es-ES"/>
        </w:rPr>
        <w:t>en el sector tecnológico mundial. La serie de informes anuales «Greening Digital Companies» y el nuevo panel web «Greening Digital Dashboard» conexo, permiten realizar análisis basados en las emisiones de GEI y el consumo energético notificados por 200 empresas digitales.</w:t>
      </w:r>
    </w:p>
    <w:p w14:paraId="59E45386" w14:textId="720AAED9" w:rsidR="008F1EBF" w:rsidRPr="00F05461" w:rsidRDefault="008F1EBF" w:rsidP="000370C7">
      <w:pPr>
        <w:rPr>
          <w:lang w:val="es-ES"/>
        </w:rPr>
      </w:pPr>
      <w:r w:rsidRPr="00F05461">
        <w:rPr>
          <w:lang w:val="es-ES"/>
        </w:rPr>
        <w:t xml:space="preserve">Como complemento a esta serie emblemática, en 2025 se publicaron dos productos de conocimiento sobre la huella medioambiental en el sector de las TIC, a saber, una publicación conjunta con el Banco Mundial, </w:t>
      </w:r>
      <w:hyperlink r:id="rId457" w:history="1">
        <w:r w:rsidRPr="008A3A8C">
          <w:rPr>
            <w:rStyle w:val="Hyperlink"/>
            <w:rFonts w:eastAsia="Times New Roman" w:cs="Times New Roman"/>
            <w:i/>
            <w:iCs/>
            <w:szCs w:val="20"/>
            <w:lang w:val="es-ES"/>
          </w:rPr>
          <w:t>Measuring National ICT Sector Environmental Impact: ARCEP Case Study – France</w:t>
        </w:r>
      </w:hyperlink>
      <w:r w:rsidRPr="00F05461">
        <w:rPr>
          <w:lang w:val="es-ES"/>
        </w:rPr>
        <w:t>, y el «</w:t>
      </w:r>
      <w:hyperlink r:id="rId458" w:history="1">
        <w:r w:rsidRPr="00F05461">
          <w:rPr>
            <w:rStyle w:val="Hyperlink"/>
            <w:rFonts w:eastAsia="Times New Roman" w:cs="Times New Roman"/>
            <w:szCs w:val="20"/>
            <w:lang w:val="es-ES"/>
          </w:rPr>
          <w:t xml:space="preserve">Estudio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 y Resilio sobre los impactos ambientales en el sector de las TIC en Suiza</w:t>
        </w:r>
      </w:hyperlink>
      <w:r w:rsidRPr="00F05461">
        <w:rPr>
          <w:lang w:val="es-ES"/>
        </w:rPr>
        <w:t xml:space="preserve">». Estos resultados se basan en trabajos previos de </w:t>
      </w:r>
      <w:r w:rsidR="00296F03" w:rsidRPr="00F05461">
        <w:rPr>
          <w:lang w:val="es-ES"/>
        </w:rPr>
        <w:t>la UIT</w:t>
      </w:r>
      <w:r w:rsidRPr="00F05461">
        <w:rPr>
          <w:lang w:val="es-ES"/>
        </w:rPr>
        <w:t xml:space="preserve">, incluido el informe </w:t>
      </w:r>
      <w:hyperlink r:id="rId459" w:history="1">
        <w:r w:rsidRPr="00F05461">
          <w:rPr>
            <w:rStyle w:val="Hyperlink"/>
            <w:rFonts w:eastAsia="Times New Roman" w:cs="Times New Roman"/>
            <w:i/>
            <w:iCs/>
            <w:szCs w:val="20"/>
            <w:lang w:val="es-ES"/>
          </w:rPr>
          <w:t>Medición de las emisiones y la huella energética en el sector de las TIC: repercusiones para la acción climática</w:t>
        </w:r>
      </w:hyperlink>
      <w:r w:rsidRPr="00F05461">
        <w:rPr>
          <w:lang w:val="es-ES"/>
        </w:rPr>
        <w:t>, elaborado conjuntamente con el Banco Mundial en 2023 a fin de presentar un análisis exhaustivo del panorama energético y de emisiones en 30 países, en el que se examinan las redes de conectividad, los centros de datos y los dispositivos de consumo, y ofrece información sobre el impacto ambiental del sector de las TIC.</w:t>
      </w:r>
    </w:p>
    <w:p w14:paraId="29CBEA40" w14:textId="77777777" w:rsidR="000D7A3A" w:rsidRPr="00F05461" w:rsidRDefault="00296F03" w:rsidP="000D7A3A">
      <w:pPr>
        <w:rPr>
          <w:lang w:val="es-ES"/>
        </w:rPr>
      </w:pPr>
      <w:r w:rsidRPr="00F05461">
        <w:rPr>
          <w:lang w:val="es-ES"/>
        </w:rPr>
        <w:t>La UIT</w:t>
      </w:r>
      <w:r w:rsidR="008F1EBF" w:rsidRPr="00F05461">
        <w:rPr>
          <w:lang w:val="es-ES"/>
        </w:rPr>
        <w:t xml:space="preserve"> también ha elaborado orientaciones y herramientas para ayudar a las principales partes interesadas a mejorar la contribución de las TIC a la acción climática y medioambiental.</w:t>
      </w:r>
    </w:p>
    <w:p w14:paraId="7069ADC6" w14:textId="75FD816F" w:rsidR="008F1EBF" w:rsidRPr="00F05461" w:rsidRDefault="008F1EBF" w:rsidP="000D7A3A">
      <w:pPr>
        <w:rPr>
          <w:lang w:val="es-ES"/>
        </w:rPr>
      </w:pPr>
      <w:r w:rsidRPr="00F05461">
        <w:rPr>
          <w:lang w:val="es-ES"/>
        </w:rPr>
        <w:t xml:space="preserve">La publicación </w:t>
      </w:r>
      <w:hyperlink r:id="rId460" w:history="1">
        <w:r w:rsidRPr="00F05461">
          <w:rPr>
            <w:rStyle w:val="Hyperlink"/>
            <w:rFonts w:eastAsia="Times New Roman" w:cs="Times New Roman"/>
            <w:i/>
            <w:iCs/>
            <w:szCs w:val="20"/>
            <w:lang w:val="es-ES"/>
          </w:rPr>
          <w:t>Scope 3 Guidance for Telecommunication Operators</w:t>
        </w:r>
      </w:hyperlink>
      <w:r w:rsidRPr="00F05461">
        <w:rPr>
          <w:lang w:val="es-ES"/>
        </w:rPr>
        <w:t>, elaborada por la</w:t>
      </w:r>
      <w:r w:rsidR="000D7A3A" w:rsidRPr="00F05461">
        <w:rPr>
          <w:lang w:val="es-ES"/>
        </w:rPr>
        <w:t> </w:t>
      </w:r>
      <w:r w:rsidRPr="00F05461">
        <w:rPr>
          <w:lang w:val="es-ES"/>
        </w:rPr>
        <w:t xml:space="preserve">GSMA, GeSI y </w:t>
      </w:r>
      <w:r w:rsidR="00296F03" w:rsidRPr="00F05461">
        <w:rPr>
          <w:lang w:val="es-ES"/>
        </w:rPr>
        <w:t>la UIT</w:t>
      </w:r>
      <w:r w:rsidRPr="00F05461">
        <w:rPr>
          <w:lang w:val="es-ES"/>
        </w:rPr>
        <w:t xml:space="preserve">, tiene por objeto armonizar los métodos de evaluación y notificación de las emisiones de GEI de Alcance 3. Junto con el Banco Mundial, </w:t>
      </w:r>
      <w:r w:rsidR="00296F03" w:rsidRPr="00F05461">
        <w:rPr>
          <w:lang w:val="es-ES"/>
        </w:rPr>
        <w:t>la UIT</w:t>
      </w:r>
      <w:r w:rsidRPr="00F05461">
        <w:rPr>
          <w:lang w:val="es-ES"/>
        </w:rPr>
        <w:t xml:space="preserve"> elaboró la publicación </w:t>
      </w:r>
      <w:hyperlink r:id="rId461" w:history="1">
        <w:r w:rsidRPr="00F05461">
          <w:rPr>
            <w:rStyle w:val="Hyperlink"/>
            <w:rFonts w:eastAsia="Times New Roman" w:cs="Times New Roman"/>
            <w:i/>
            <w:iCs/>
            <w:szCs w:val="20"/>
            <w:lang w:val="es-ES"/>
          </w:rPr>
          <w:t>Centros de datos ecológicos: hacia una transformación digital sostenible – Guía del usuario</w:t>
        </w:r>
      </w:hyperlink>
      <w:r w:rsidRPr="00F05461">
        <w:rPr>
          <w:lang w:val="es-ES"/>
        </w:rPr>
        <w:t>,</w:t>
      </w:r>
      <w:r w:rsidR="000D7A3A" w:rsidRPr="00F05461">
        <w:rPr>
          <w:lang w:val="es-ES"/>
        </w:rPr>
        <w:t xml:space="preserve"> </w:t>
      </w:r>
      <w:r w:rsidRPr="00F05461">
        <w:rPr>
          <w:lang w:val="es-ES"/>
        </w:rPr>
        <w:t xml:space="preserve">acompañada de un curso de aprendizaje en línea titulado </w:t>
      </w:r>
      <w:hyperlink r:id="rId462" w:history="1">
        <w:r w:rsidRPr="00F05461">
          <w:rPr>
            <w:rStyle w:val="Hyperlink"/>
            <w:rFonts w:eastAsia="Times New Roman" w:cs="Times New Roman"/>
            <w:szCs w:val="20"/>
            <w:lang w:val="es-ES"/>
          </w:rPr>
          <w:t xml:space="preserve">Centros de </w:t>
        </w:r>
        <w:r w:rsidR="003701FD" w:rsidRPr="00F05461">
          <w:rPr>
            <w:rStyle w:val="Hyperlink"/>
            <w:rFonts w:eastAsia="Times New Roman" w:cs="Times New Roman"/>
            <w:szCs w:val="20"/>
            <w:lang w:val="es-ES"/>
          </w:rPr>
          <w:t xml:space="preserve">Datos Ecológicos Encargados </w:t>
        </w:r>
        <w:r w:rsidRPr="00F05461">
          <w:rPr>
            <w:rStyle w:val="Hyperlink"/>
            <w:rFonts w:eastAsia="Times New Roman" w:cs="Times New Roman"/>
            <w:szCs w:val="20"/>
            <w:lang w:val="es-ES"/>
          </w:rPr>
          <w:t xml:space="preserve">de la </w:t>
        </w:r>
        <w:r w:rsidR="003701FD" w:rsidRPr="00F05461">
          <w:rPr>
            <w:rStyle w:val="Hyperlink"/>
            <w:rFonts w:eastAsia="Times New Roman" w:cs="Times New Roman"/>
            <w:szCs w:val="20"/>
            <w:lang w:val="es-ES"/>
          </w:rPr>
          <w:t xml:space="preserve">Formulación </w:t>
        </w:r>
        <w:r w:rsidRPr="00F05461">
          <w:rPr>
            <w:rStyle w:val="Hyperlink"/>
            <w:rFonts w:eastAsia="Times New Roman" w:cs="Times New Roman"/>
            <w:szCs w:val="20"/>
            <w:lang w:val="es-ES"/>
          </w:rPr>
          <w:t xml:space="preserve">de </w:t>
        </w:r>
        <w:r w:rsidR="003701FD" w:rsidRPr="00F05461">
          <w:rPr>
            <w:rStyle w:val="Hyperlink"/>
            <w:rFonts w:eastAsia="Times New Roman" w:cs="Times New Roman"/>
            <w:szCs w:val="20"/>
            <w:lang w:val="es-ES"/>
          </w:rPr>
          <w:t>Políticas</w:t>
        </w:r>
      </w:hyperlink>
      <w:r w:rsidRPr="00F05461">
        <w:rPr>
          <w:lang w:val="es-ES"/>
        </w:rPr>
        <w:t xml:space="preserve">, con el fin de contribuir a que los centros de datos </w:t>
      </w:r>
      <w:r w:rsidRPr="00F05461">
        <w:rPr>
          <w:lang w:val="es-ES"/>
        </w:rPr>
        <w:lastRenderedPageBreak/>
        <w:t>sean más sostenibles y resilientes frente al clima, y estén mejor preparados a nivel normativo mediante la aplicación de estrategias y ejemplos prácticos, y marcos de referencia pertinentes.</w:t>
      </w:r>
    </w:p>
    <w:p w14:paraId="7EA7695B" w14:textId="6115EB86" w:rsidR="008F1EBF" w:rsidRPr="00F05461" w:rsidRDefault="008F1EBF" w:rsidP="008F1EBF">
      <w:pPr>
        <w:rPr>
          <w:lang w:val="es-ES"/>
        </w:rPr>
      </w:pPr>
      <w:r w:rsidRPr="00F05461">
        <w:rPr>
          <w:lang w:val="es-ES"/>
        </w:rPr>
        <w:t xml:space="preserve">En noviembre de 2025, </w:t>
      </w:r>
      <w:r w:rsidR="00296F03" w:rsidRPr="00F05461">
        <w:rPr>
          <w:lang w:val="es-ES"/>
        </w:rPr>
        <w:t>la UIT</w:t>
      </w:r>
      <w:r w:rsidRPr="00F05461">
        <w:rPr>
          <w:lang w:val="es-ES"/>
        </w:rPr>
        <w:t xml:space="preserve"> publicó un nuevo informe que hace balance de tecnologías digitales de referencia en 53 CDN y destaca cuatro casos de utilización nacional sobre </w:t>
      </w:r>
      <w:r w:rsidR="00AB0DD5" w:rsidRPr="00F05461">
        <w:rPr>
          <w:lang w:val="es-ES"/>
        </w:rPr>
        <w:t xml:space="preserve">buenas </w:t>
      </w:r>
      <w:r w:rsidRPr="00F05461">
        <w:rPr>
          <w:lang w:val="es-ES"/>
        </w:rPr>
        <w:t>prácticas para facilitar la acción climática digital.</w:t>
      </w:r>
    </w:p>
    <w:p w14:paraId="3F094C13" w14:textId="1B8B86F1" w:rsidR="007B4979" w:rsidRPr="00F05461" w:rsidRDefault="00296F03" w:rsidP="004C5F92">
      <w:pPr>
        <w:rPr>
          <w:lang w:val="es-ES"/>
        </w:rPr>
      </w:pPr>
      <w:r w:rsidRPr="00F05461">
        <w:rPr>
          <w:lang w:val="es-ES"/>
        </w:rPr>
        <w:t>La UIT</w:t>
      </w:r>
      <w:r w:rsidR="007B4979" w:rsidRPr="00F05461">
        <w:rPr>
          <w:lang w:val="es-ES"/>
        </w:rPr>
        <w:t xml:space="preserve"> ha participado activamente en la resiliencia climática mediante asociaciones con diversos organismos, en particular la</w:t>
      </w:r>
      <w:r w:rsidR="009C61B5" w:rsidRPr="00F05461">
        <w:rPr>
          <w:lang w:val="es-ES"/>
        </w:rPr>
        <w:t> </w:t>
      </w:r>
      <w:r w:rsidR="007B4979" w:rsidRPr="00F05461">
        <w:rPr>
          <w:lang w:val="es-ES"/>
        </w:rPr>
        <w:t>UNDRR, la</w:t>
      </w:r>
      <w:r w:rsidR="004C5F92" w:rsidRPr="00F05461">
        <w:rPr>
          <w:lang w:val="es-ES"/>
        </w:rPr>
        <w:t> </w:t>
      </w:r>
      <w:r w:rsidR="007B4979" w:rsidRPr="00F05461">
        <w:rPr>
          <w:lang w:val="es-ES"/>
        </w:rPr>
        <w:t>OMM y la</w:t>
      </w:r>
      <w:r w:rsidR="009C61B5" w:rsidRPr="00F05461">
        <w:rPr>
          <w:lang w:val="es-ES"/>
        </w:rPr>
        <w:t> </w:t>
      </w:r>
      <w:r w:rsidR="006834CA" w:rsidRPr="00F05461">
        <w:rPr>
          <w:lang w:val="es-ES"/>
        </w:rPr>
        <w:t>FICR</w:t>
      </w:r>
      <w:r w:rsidR="007B4979" w:rsidRPr="00F05461">
        <w:rPr>
          <w:lang w:val="es-ES"/>
        </w:rPr>
        <w:t>; así como con la</w:t>
      </w:r>
      <w:r w:rsidR="004F3957" w:rsidRPr="00F05461">
        <w:rPr>
          <w:lang w:val="es-ES"/>
        </w:rPr>
        <w:t> </w:t>
      </w:r>
      <w:r w:rsidR="007B4979" w:rsidRPr="00F05461">
        <w:rPr>
          <w:lang w:val="es-ES"/>
        </w:rPr>
        <w:t>OMM y el</w:t>
      </w:r>
      <w:r w:rsidR="004C5F92" w:rsidRPr="00F05461">
        <w:rPr>
          <w:lang w:val="es-ES"/>
        </w:rPr>
        <w:t> </w:t>
      </w:r>
      <w:r w:rsidR="007B4979" w:rsidRPr="00F05461">
        <w:rPr>
          <w:lang w:val="es-ES"/>
        </w:rPr>
        <w:t>PNUMA, a fin de aprovechar la</w:t>
      </w:r>
      <w:r w:rsidR="00276E5C">
        <w:rPr>
          <w:lang w:val="es-ES"/>
        </w:rPr>
        <w:t> IA</w:t>
      </w:r>
      <w:r w:rsidR="007B4979" w:rsidRPr="00F05461">
        <w:rPr>
          <w:lang w:val="es-ES"/>
        </w:rPr>
        <w:t xml:space="preserve"> para la gestión de catástrofes. Se adoptó un enfoque integral mediante el cual </w:t>
      </w:r>
      <w:r w:rsidRPr="00F05461">
        <w:rPr>
          <w:lang w:val="es-ES"/>
        </w:rPr>
        <w:t>la UIT</w:t>
      </w:r>
      <w:r w:rsidR="007B4979" w:rsidRPr="00F05461">
        <w:rPr>
          <w:lang w:val="es-ES"/>
        </w:rPr>
        <w:t xml:space="preserve"> colabora con varias entidades internacionales a fin de garantizar la asignación de espectro radioeléctrico a servicios meteorológicos cruciales, a fin de mejorar las comunicaciones durante emergencias.</w:t>
      </w:r>
    </w:p>
    <w:p w14:paraId="518119EA" w14:textId="2979B2EE" w:rsidR="007B4979" w:rsidRPr="00F05461" w:rsidRDefault="008F1EBF" w:rsidP="002259CF">
      <w:pPr>
        <w:rPr>
          <w:lang w:val="es-ES"/>
        </w:rPr>
      </w:pPr>
      <w:r w:rsidRPr="00F05461">
        <w:rPr>
          <w:lang w:val="es-ES"/>
        </w:rPr>
        <w:t xml:space="preserve">En el marco de la iniciativa </w:t>
      </w:r>
      <w:r w:rsidR="000D7A3A" w:rsidRPr="00F05461">
        <w:rPr>
          <w:lang w:val="es-ES"/>
        </w:rPr>
        <w:t xml:space="preserve">Acción Digital </w:t>
      </w:r>
      <w:r w:rsidR="00EF6A42" w:rsidRPr="00F05461">
        <w:rPr>
          <w:lang w:val="es-ES"/>
        </w:rPr>
        <w:t>Ecológica</w:t>
      </w:r>
      <w:r w:rsidRPr="00F05461">
        <w:rPr>
          <w:lang w:val="es-ES"/>
        </w:rPr>
        <w:t xml:space="preserve">, </w:t>
      </w:r>
      <w:r w:rsidR="00296F03" w:rsidRPr="00F05461">
        <w:rPr>
          <w:lang w:val="es-ES"/>
        </w:rPr>
        <w:t>la UIT</w:t>
      </w:r>
      <w:r w:rsidRPr="00F05461">
        <w:rPr>
          <w:lang w:val="es-ES"/>
        </w:rPr>
        <w:t xml:space="preserve"> lidera asimismo un pilar temático destinado a reducir las emisiones de </w:t>
      </w:r>
      <w:r w:rsidR="000D7A3A" w:rsidRPr="00F05461">
        <w:rPr>
          <w:lang w:val="es-ES"/>
        </w:rPr>
        <w:t>GEI</w:t>
      </w:r>
      <w:r w:rsidRPr="00F05461">
        <w:rPr>
          <w:lang w:val="es-ES"/>
        </w:rPr>
        <w:t xml:space="preserve"> en el sector de las TIC mediante actividades de colaboración, rendición de cuentas sólida y la presentación de informes transparentes</w:t>
      </w:r>
      <w:r w:rsidR="007B4979" w:rsidRPr="00F05461">
        <w:rPr>
          <w:lang w:val="es-ES"/>
        </w:rPr>
        <w:t>.</w:t>
      </w:r>
      <w:r w:rsidR="002259CF" w:rsidRPr="00F05461">
        <w:rPr>
          <w:lang w:val="es-ES"/>
        </w:rPr>
        <w:t xml:space="preserve"> </w:t>
      </w:r>
      <w:r w:rsidR="007B4979" w:rsidRPr="00F05461">
        <w:rPr>
          <w:lang w:val="es-ES"/>
        </w:rPr>
        <w:t xml:space="preserve">Para obtener información sobre la iniciativa </w:t>
      </w:r>
      <w:r w:rsidR="000D7A3A" w:rsidRPr="00F05461">
        <w:rPr>
          <w:lang w:val="es-ES"/>
        </w:rPr>
        <w:t xml:space="preserve">Acción Digital </w:t>
      </w:r>
      <w:r w:rsidR="00EF6A42" w:rsidRPr="00F05461">
        <w:rPr>
          <w:lang w:val="es-ES"/>
        </w:rPr>
        <w:t>Ecológica</w:t>
      </w:r>
      <w:r w:rsidR="007B4979" w:rsidRPr="00F05461">
        <w:rPr>
          <w:lang w:val="es-ES"/>
        </w:rPr>
        <w:t xml:space="preserve">, véase la </w:t>
      </w:r>
      <w:hyperlink w:anchor="_5.5_Asociaciones_y" w:history="1">
        <w:r w:rsidR="007B4979" w:rsidRPr="00F05461">
          <w:rPr>
            <w:rStyle w:val="Hyperlink"/>
            <w:rFonts w:eastAsia="Times New Roman" w:cs="Times New Roman"/>
            <w:szCs w:val="20"/>
            <w:lang w:val="es-ES"/>
          </w:rPr>
          <w:t>sección</w:t>
        </w:r>
        <w:r w:rsidR="00EB694D" w:rsidRPr="00F05461">
          <w:rPr>
            <w:rStyle w:val="Hyperlink"/>
            <w:rFonts w:eastAsia="Times New Roman" w:cs="Times New Roman"/>
            <w:szCs w:val="20"/>
            <w:lang w:val="es-ES"/>
          </w:rPr>
          <w:t> </w:t>
        </w:r>
        <w:r w:rsidR="007B4979" w:rsidRPr="00F05461">
          <w:rPr>
            <w:rStyle w:val="Hyperlink"/>
            <w:rFonts w:eastAsia="Times New Roman" w:cs="Times New Roman"/>
            <w:szCs w:val="20"/>
            <w:lang w:val="es-ES"/>
          </w:rPr>
          <w:t>5.5</w:t>
        </w:r>
      </w:hyperlink>
      <w:r w:rsidR="007B4979" w:rsidRPr="00F05461">
        <w:rPr>
          <w:lang w:val="es-ES"/>
        </w:rPr>
        <w:t xml:space="preserve"> del presente informe.</w:t>
      </w:r>
    </w:p>
    <w:p w14:paraId="60CBFD5F" w14:textId="734E67E5" w:rsidR="007B4979" w:rsidRPr="00F05461" w:rsidRDefault="007B4979" w:rsidP="00AC3213">
      <w:pPr>
        <w:pStyle w:val="Headingb"/>
      </w:pPr>
      <w:r w:rsidRPr="00F05461">
        <w:t>Iniciativas y colaboración en materia de</w:t>
      </w:r>
      <w:r w:rsidR="003C7DDE">
        <w:t> </w:t>
      </w:r>
      <w:r w:rsidRPr="00F05461">
        <w:t>IA sostenible</w:t>
      </w:r>
    </w:p>
    <w:p w14:paraId="4FBDB7DA" w14:textId="51F8E49B" w:rsidR="002259CF" w:rsidRPr="00F05461" w:rsidRDefault="008F1EBF" w:rsidP="002259CF">
      <w:pPr>
        <w:rPr>
          <w:lang w:val="es-ES"/>
        </w:rPr>
      </w:pPr>
      <w:r w:rsidRPr="00F05461">
        <w:rPr>
          <w:lang w:val="es-ES"/>
        </w:rPr>
        <w:t xml:space="preserve">En el marco del pilar temático sobre computación ecológica de la iniciativa </w:t>
      </w:r>
      <w:r w:rsidR="002259CF" w:rsidRPr="00F05461">
        <w:rPr>
          <w:lang w:val="es-ES"/>
        </w:rPr>
        <w:t xml:space="preserve">Acción Digital </w:t>
      </w:r>
      <w:r w:rsidR="00EF6A42" w:rsidRPr="00F05461">
        <w:rPr>
          <w:lang w:val="es-ES"/>
        </w:rPr>
        <w:t>Ecológica</w:t>
      </w:r>
      <w:r w:rsidRPr="00F05461">
        <w:rPr>
          <w:lang w:val="es-ES"/>
        </w:rPr>
        <w:t xml:space="preserve">, </w:t>
      </w:r>
      <w:r w:rsidR="00296F03" w:rsidRPr="00F05461">
        <w:rPr>
          <w:lang w:val="es-ES"/>
        </w:rPr>
        <w:t>la UIT</w:t>
      </w:r>
      <w:r w:rsidRPr="00F05461">
        <w:rPr>
          <w:lang w:val="es-ES"/>
        </w:rPr>
        <w:t xml:space="preserve"> ha abordado las consecuencias medioambientales de las tecnologías incipientes mediante la revisión de enfoques existentes para evaluar sus efectos ambientales. En lo que respecta a la</w:t>
      </w:r>
      <w:r w:rsidR="00FF1AB6">
        <w:rPr>
          <w:lang w:val="es-ES"/>
        </w:rPr>
        <w:t> IA</w:t>
      </w:r>
      <w:r w:rsidRPr="00F05461">
        <w:rPr>
          <w:lang w:val="es-ES"/>
        </w:rPr>
        <w:t>, este trabajo se refleja en el informe de 2025</w:t>
      </w:r>
      <w:r w:rsidR="002259CF" w:rsidRPr="00F05461">
        <w:rPr>
          <w:lang w:val="es-ES"/>
        </w:rPr>
        <w:t xml:space="preserve"> </w:t>
      </w:r>
      <w:hyperlink r:id="rId463" w:history="1">
        <w:r w:rsidRPr="00F05461">
          <w:rPr>
            <w:rStyle w:val="Hyperlink"/>
            <w:rFonts w:eastAsia="Times New Roman" w:cs="Times New Roman"/>
            <w:i/>
            <w:iCs/>
            <w:szCs w:val="20"/>
            <w:lang w:val="es-ES"/>
          </w:rPr>
          <w:t>Measuring what matters: How to assess AI’s environmental impact</w:t>
        </w:r>
      </w:hyperlink>
      <w:r w:rsidR="002259CF" w:rsidRPr="00F05461">
        <w:rPr>
          <w:i/>
          <w:iCs/>
          <w:lang w:val="es-ES"/>
        </w:rPr>
        <w:t>.</w:t>
      </w:r>
      <w:r w:rsidR="002259CF" w:rsidRPr="00F05461">
        <w:rPr>
          <w:lang w:val="es-ES"/>
        </w:rPr>
        <w:t xml:space="preserve"> </w:t>
      </w:r>
      <w:r w:rsidRPr="00F05461">
        <w:rPr>
          <w:lang w:val="es-ES"/>
        </w:rPr>
        <w:t xml:space="preserve">Por otro lado, </w:t>
      </w:r>
      <w:r w:rsidR="00296F03" w:rsidRPr="00F05461">
        <w:rPr>
          <w:lang w:val="es-ES"/>
        </w:rPr>
        <w:t>la UIT</w:t>
      </w:r>
      <w:r w:rsidRPr="00F05461">
        <w:rPr>
          <w:lang w:val="es-ES"/>
        </w:rPr>
        <w:t xml:space="preserve"> creó, en colaboración con GoCodeGreen, un </w:t>
      </w:r>
      <w:hyperlink r:id="rId464" w:history="1">
        <w:r w:rsidRPr="00F05461">
          <w:rPr>
            <w:rStyle w:val="Hyperlink"/>
            <w:rFonts w:eastAsia="Times New Roman" w:cs="Times New Roman"/>
            <w:szCs w:val="20"/>
            <w:lang w:val="es-ES"/>
          </w:rPr>
          <w:t xml:space="preserve">repositorio de acceso abierto que recopila prácticas de </w:t>
        </w:r>
        <w:r w:rsidRPr="00F05461">
          <w:rPr>
            <w:rStyle w:val="Hyperlink"/>
            <w:rFonts w:eastAsia="Times New Roman" w:cs="Times New Roman"/>
            <w:i/>
            <w:iCs/>
            <w:szCs w:val="20"/>
            <w:lang w:val="es-ES"/>
          </w:rPr>
          <w:t>software</w:t>
        </w:r>
        <w:r w:rsidRPr="00F05461">
          <w:rPr>
            <w:rStyle w:val="Hyperlink"/>
            <w:rFonts w:eastAsia="Times New Roman" w:cs="Times New Roman"/>
            <w:szCs w:val="20"/>
            <w:lang w:val="es-ES"/>
          </w:rPr>
          <w:t xml:space="preserve"> sostenibles</w:t>
        </w:r>
      </w:hyperlink>
      <w:r w:rsidRPr="00F05461">
        <w:rPr>
          <w:lang w:val="es-ES"/>
        </w:rPr>
        <w:t xml:space="preserve"> de todo el mundo, con el fin de apoyar un desarrollo digital más responsable en el plano medioambiental.</w:t>
      </w:r>
    </w:p>
    <w:p w14:paraId="46877FC9" w14:textId="6A9DBD80" w:rsidR="008F1EBF" w:rsidRPr="00F05461" w:rsidRDefault="008F1EBF" w:rsidP="002259CF">
      <w:pPr>
        <w:rPr>
          <w:lang w:val="es-ES"/>
        </w:rPr>
      </w:pPr>
      <w:r w:rsidRPr="00F05461">
        <w:rPr>
          <w:lang w:val="es-ES"/>
        </w:rPr>
        <w:t xml:space="preserve">En cuanto a la IA y las normas medioambientales, a finales de 2025 se sentaron </w:t>
      </w:r>
      <w:proofErr w:type="gramStart"/>
      <w:r w:rsidRPr="00F05461">
        <w:rPr>
          <w:lang w:val="es-ES"/>
        </w:rPr>
        <w:t>la bases</w:t>
      </w:r>
      <w:proofErr w:type="gramEnd"/>
      <w:r w:rsidRPr="00F05461">
        <w:rPr>
          <w:lang w:val="es-ES"/>
        </w:rPr>
        <w:t xml:space="preserve"> de la aprobación de una nueva norma sobre la evaluación de los efectos medioambientales de los sistemas de</w:t>
      </w:r>
      <w:r w:rsidR="00FF1AB6">
        <w:rPr>
          <w:lang w:val="es-ES"/>
        </w:rPr>
        <w:t> IA</w:t>
      </w:r>
      <w:r w:rsidRPr="00F05461">
        <w:rPr>
          <w:lang w:val="es-ES"/>
        </w:rPr>
        <w:t>.</w:t>
      </w:r>
    </w:p>
    <w:p w14:paraId="0CC41DC6" w14:textId="45A717F5" w:rsidR="007B4979" w:rsidRPr="00F05461" w:rsidRDefault="00296F03" w:rsidP="00775D32">
      <w:pPr>
        <w:rPr>
          <w:lang w:val="es-ES"/>
        </w:rPr>
      </w:pPr>
      <w:r w:rsidRPr="00F05461">
        <w:rPr>
          <w:lang w:val="es-ES"/>
        </w:rPr>
        <w:t>La UIT</w:t>
      </w:r>
      <w:r w:rsidR="007B4979" w:rsidRPr="00F05461">
        <w:rPr>
          <w:lang w:val="es-ES"/>
        </w:rPr>
        <w:t xml:space="preserve"> impulsa </w:t>
      </w:r>
      <w:r w:rsidR="008F1EBF" w:rsidRPr="00F05461">
        <w:rPr>
          <w:lang w:val="es-ES"/>
        </w:rPr>
        <w:t xml:space="preserve">asimismo </w:t>
      </w:r>
      <w:r w:rsidR="007B4979" w:rsidRPr="00F05461">
        <w:rPr>
          <w:lang w:val="es-ES"/>
        </w:rPr>
        <w:t>su labor en materia de</w:t>
      </w:r>
      <w:r w:rsidR="00FF1AB6">
        <w:rPr>
          <w:lang w:val="es-ES"/>
        </w:rPr>
        <w:t> IA</w:t>
      </w:r>
      <w:r w:rsidR="007B4979" w:rsidRPr="00F05461">
        <w:rPr>
          <w:lang w:val="es-ES"/>
        </w:rPr>
        <w:t xml:space="preserve"> responsable y sostenible a través de diversas alianzas, entre ellas la Coalición para una IA Sostenible, que reúne a una amplia red de gobiernos, empresas, instituciones académicas y la sociedad civil con el fin de facilitar la adopción de medidas prácticas. Mediante diálogos específicos y esferas de trabajo conjuntas, la Coalición ha promovido enfoques conjuntos para evaluar y reducir la huella medioambiental de los sistemas de</w:t>
      </w:r>
      <w:r w:rsidR="003C7DDE">
        <w:rPr>
          <w:lang w:val="es-ES"/>
        </w:rPr>
        <w:t> </w:t>
      </w:r>
      <w:r w:rsidR="007B4979" w:rsidRPr="00F05461">
        <w:rPr>
          <w:lang w:val="es-ES"/>
        </w:rPr>
        <w:t xml:space="preserve">IA, al tiempo que ha fomentado la transparencia, la medición y las </w:t>
      </w:r>
      <w:r w:rsidR="00AB0DD5" w:rsidRPr="00F05461">
        <w:rPr>
          <w:lang w:val="es-ES"/>
        </w:rPr>
        <w:t xml:space="preserve">buenas </w:t>
      </w:r>
      <w:r w:rsidR="007B4979" w:rsidRPr="00F05461">
        <w:rPr>
          <w:lang w:val="es-ES"/>
        </w:rPr>
        <w:t>prácticas destinadas a las partes interesadas con arreglo a varios grados de capacidad.</w:t>
      </w:r>
    </w:p>
    <w:p w14:paraId="5AB6FCDC" w14:textId="77777777" w:rsidR="007B4979" w:rsidRPr="00F05461" w:rsidRDefault="007B4979" w:rsidP="00AC3213">
      <w:pPr>
        <w:pStyle w:val="Headingb"/>
      </w:pPr>
      <w:r w:rsidRPr="00F05461">
        <w:t>Iniciativas y colaboración en materia de economía circular</w:t>
      </w:r>
    </w:p>
    <w:p w14:paraId="390F6C26" w14:textId="18C68E96" w:rsidR="007B4979" w:rsidRPr="00F05461" w:rsidRDefault="00296F03" w:rsidP="007B4979">
      <w:pPr>
        <w:rPr>
          <w:lang w:val="es-ES"/>
        </w:rPr>
      </w:pPr>
      <w:r w:rsidRPr="00F05461">
        <w:rPr>
          <w:lang w:val="es-ES"/>
        </w:rPr>
        <w:t>La UIT</w:t>
      </w:r>
      <w:r w:rsidR="007B4979" w:rsidRPr="00F05461">
        <w:rPr>
          <w:lang w:val="es-ES"/>
        </w:rPr>
        <w:t xml:space="preserve"> fortaleció su compromiso con la economía circular en materia de normalización a través de la iniciativa Digitalización para la </w:t>
      </w:r>
      <w:r w:rsidR="004B580B" w:rsidRPr="00F05461">
        <w:rPr>
          <w:lang w:val="es-ES"/>
        </w:rPr>
        <w:t xml:space="preserve">Economía Circular </w:t>
      </w:r>
      <w:r w:rsidR="007B4979" w:rsidRPr="00F05461">
        <w:rPr>
          <w:lang w:val="es-ES"/>
        </w:rPr>
        <w:t>(D4CE), colaborando con asociados de las Naciones Unidas, en particular la Red «Un solo planeta» del</w:t>
      </w:r>
      <w:r w:rsidR="004F3957" w:rsidRPr="00F05461">
        <w:rPr>
          <w:lang w:val="es-ES"/>
        </w:rPr>
        <w:t> </w:t>
      </w:r>
      <w:r w:rsidR="007B4979" w:rsidRPr="00F05461">
        <w:rPr>
          <w:lang w:val="es-ES"/>
        </w:rPr>
        <w:t>PNUMA y la</w:t>
      </w:r>
      <w:r w:rsidR="004F3957" w:rsidRPr="00F05461">
        <w:rPr>
          <w:lang w:val="es-ES"/>
        </w:rPr>
        <w:t> </w:t>
      </w:r>
      <w:r w:rsidR="007B4979" w:rsidRPr="00F05461">
        <w:rPr>
          <w:lang w:val="es-ES"/>
        </w:rPr>
        <w:t xml:space="preserve">ONUDI, y con una amplia coalición de partes interesadas para impulsar soluciones digitales que faciliten un consumo y una producción más sostenibles. Entre las principales </w:t>
      </w:r>
      <w:r w:rsidR="007B4979" w:rsidRPr="00F05461">
        <w:rPr>
          <w:lang w:val="es-ES"/>
        </w:rPr>
        <w:lastRenderedPageBreak/>
        <w:t>esferas de trabajo, la</w:t>
      </w:r>
      <w:r w:rsidR="004F3957" w:rsidRPr="00F05461">
        <w:rPr>
          <w:lang w:val="es-ES"/>
        </w:rPr>
        <w:t> </w:t>
      </w:r>
      <w:r w:rsidR="007B4979" w:rsidRPr="00F05461">
        <w:rPr>
          <w:lang w:val="es-ES"/>
        </w:rPr>
        <w:t>D4CE apoyó la colaboración en materia de pasaportes digitales de productos, a fin de promover la interoperabilidad, la gobernanza de los datos y la información pertinente para los usuarios para mejorar los enfoques circulares, reducir los residuos electrónicos y fomentar cadenas de valor más eficientes en cuanto a utilización de recursos.</w:t>
      </w:r>
    </w:p>
    <w:p w14:paraId="1FB4BAAF" w14:textId="77777777" w:rsidR="007B4979" w:rsidRPr="00F05461" w:rsidRDefault="007B4979" w:rsidP="00AC3213">
      <w:pPr>
        <w:pStyle w:val="Headingb"/>
      </w:pPr>
      <w:r w:rsidRPr="00F05461">
        <w:t>Iniciativas internas de sostenibilidad</w:t>
      </w:r>
    </w:p>
    <w:p w14:paraId="736A8CFC" w14:textId="2E99194A" w:rsidR="007B4979" w:rsidRPr="00F05461" w:rsidRDefault="00B933C5" w:rsidP="007B6111">
      <w:pPr>
        <w:rPr>
          <w:lang w:val="es-ES"/>
        </w:rPr>
      </w:pPr>
      <w:r w:rsidRPr="00F05461">
        <w:rPr>
          <w:lang w:val="es-ES"/>
        </w:rPr>
        <w:t>De 202</w:t>
      </w:r>
      <w:r w:rsidR="007B4979" w:rsidRPr="00F05461">
        <w:rPr>
          <w:lang w:val="es-ES"/>
        </w:rPr>
        <w:t xml:space="preserve">2 a 2025, </w:t>
      </w:r>
      <w:r w:rsidR="00296F03" w:rsidRPr="00F05461">
        <w:rPr>
          <w:lang w:val="es-ES"/>
        </w:rPr>
        <w:t>la UIT</w:t>
      </w:r>
      <w:r w:rsidR="007B4979" w:rsidRPr="00F05461">
        <w:rPr>
          <w:lang w:val="es-ES"/>
        </w:rPr>
        <w:t xml:space="preserve"> puso en marcha su Sistema de Gestión Ambiental, de conformidad con la norma ISO</w:t>
      </w:r>
      <w:r w:rsidR="004F3957" w:rsidRPr="00F05461">
        <w:rPr>
          <w:lang w:val="es-ES"/>
        </w:rPr>
        <w:t> </w:t>
      </w:r>
      <w:r w:rsidR="007B4979" w:rsidRPr="00F05461">
        <w:rPr>
          <w:lang w:val="es-ES"/>
        </w:rPr>
        <w:t>14001 y los requisitos de la iniciativa Greening the Blue de las Naciones Unidas, estableciendo una gobernanza oficial, objetivos para toda la organización, formación obligatoria de los miembros del personal, seguimiento sistemático de los datos ambientales, auditorías internas y revisiones anuales de la gestión. Ese per</w:t>
      </w:r>
      <w:r w:rsidR="007B6111" w:rsidRPr="00F05461">
        <w:rPr>
          <w:lang w:val="es-ES"/>
        </w:rPr>
        <w:t>i</w:t>
      </w:r>
      <w:r w:rsidR="007B4979" w:rsidRPr="00F05461">
        <w:rPr>
          <w:lang w:val="es-ES"/>
        </w:rPr>
        <w:t>odo marcó la transición de la formulación de objetivos políticos a la adopción de medidas prácticas conexas, con la integración paulatina de los aspectos medioambientales en la gestión de instalaciones, eventos, viajes, adquisiciones y operaciones de TIC, lo que proporcionó una base estructurada para cuantificar la reducción de los gases de efecto invernadero y la eficiencia operacional a largo plazo.</w:t>
      </w:r>
    </w:p>
    <w:p w14:paraId="59AF8F57" w14:textId="77777777" w:rsidR="007B4979" w:rsidRPr="00F05461" w:rsidRDefault="007B4979" w:rsidP="007B4979">
      <w:pPr>
        <w:pStyle w:val="Heading2"/>
        <w:rPr>
          <w:lang w:val="es-ES"/>
        </w:rPr>
      </w:pPr>
      <w:bookmarkStart w:id="114" w:name="_5.5_Asociaciones_y"/>
      <w:bookmarkStart w:id="115" w:name="_5.5￼Partnerships_and_international"/>
      <w:bookmarkStart w:id="116" w:name="_Toc224288835"/>
      <w:bookmarkStart w:id="117" w:name="_Toc227137495"/>
      <w:bookmarkEnd w:id="114"/>
      <w:r w:rsidRPr="00F05461">
        <w:rPr>
          <w:lang w:val="es-ES"/>
        </w:rPr>
        <w:t>5.5</w:t>
      </w:r>
      <w:r w:rsidRPr="00F05461">
        <w:rPr>
          <w:lang w:val="es-ES"/>
        </w:rPr>
        <w:tab/>
        <w:t>Asociaciones y cooperación internacional</w:t>
      </w:r>
      <w:bookmarkEnd w:id="115"/>
      <w:bookmarkEnd w:id="116"/>
      <w:bookmarkEnd w:id="117"/>
    </w:p>
    <w:p w14:paraId="3F1AD6BF" w14:textId="38A53B0F" w:rsidR="007B4979" w:rsidRPr="00F05461" w:rsidRDefault="007B4979" w:rsidP="007B4979">
      <w:pPr>
        <w:rPr>
          <w:lang w:val="es-ES"/>
        </w:rPr>
      </w:pPr>
      <w:r w:rsidRPr="00F05461">
        <w:rPr>
          <w:lang w:val="es-ES"/>
        </w:rPr>
        <w:t xml:space="preserve">La cooperación, el intercambio de recursos y el establecimiento de acuerdos beneficiosos para todas las partes, en particular gobiernos, el sector industrial, y los usuarios, contribuyen a impulsar la tecnología como un servicio básico facilitador en beneficio de todos. </w:t>
      </w:r>
      <w:r w:rsidR="00296F03" w:rsidRPr="00F05461">
        <w:rPr>
          <w:lang w:val="es-ES"/>
        </w:rPr>
        <w:t>La UIT</w:t>
      </w:r>
      <w:r w:rsidRPr="00F05461">
        <w:rPr>
          <w:lang w:val="es-ES"/>
        </w:rPr>
        <w:t xml:space="preserve"> ha fortalecido un amplio ecosistema de asociaciones e iniciativas estratégicas para promover la transformación digital sostenible y avanzar en los</w:t>
      </w:r>
      <w:r w:rsidR="00443C6F" w:rsidRPr="00F05461">
        <w:rPr>
          <w:lang w:val="es-ES"/>
        </w:rPr>
        <w:t> ODS</w:t>
      </w:r>
      <w:r w:rsidRPr="00F05461">
        <w:rPr>
          <w:lang w:val="es-ES"/>
        </w:rPr>
        <w:t xml:space="preserve"> de las Naciones Unidas. En colaboración con varios organismos de las Naciones Unidas, gobiernos, el sector privado, el sector académico y la sociedad civil, </w:t>
      </w:r>
      <w:r w:rsidR="00296F03" w:rsidRPr="00F05461">
        <w:rPr>
          <w:lang w:val="es-ES"/>
        </w:rPr>
        <w:t>la UIT</w:t>
      </w:r>
      <w:r w:rsidRPr="00F05461">
        <w:rPr>
          <w:lang w:val="es-ES"/>
        </w:rPr>
        <w:t xml:space="preserve"> se ha centrado en fomentar la conectividad significativa, promover un desarrollo digital inclusivo que tenga en cuenta las cuestiones de género, apoyar usos innovadores de la</w:t>
      </w:r>
      <w:r w:rsidR="001E2D4A" w:rsidRPr="00F05461">
        <w:rPr>
          <w:lang w:val="es-ES"/>
        </w:rPr>
        <w:t> </w:t>
      </w:r>
      <w:r w:rsidRPr="00F05461">
        <w:rPr>
          <w:lang w:val="es-ES"/>
        </w:rPr>
        <w:t>IA y las tecnologías incipientes, e integrar la sostenibilidad y la resiliencia en las normas, las infraestructuras y los servicios en todo el mundo.</w:t>
      </w:r>
    </w:p>
    <w:p w14:paraId="03AD2493" w14:textId="041909F3" w:rsidR="007B4979" w:rsidRPr="00F05461" w:rsidRDefault="007B4979" w:rsidP="007B4979">
      <w:pPr>
        <w:rPr>
          <w:lang w:val="es-ES"/>
        </w:rPr>
      </w:pPr>
      <w:r w:rsidRPr="00F05461">
        <w:rPr>
          <w:lang w:val="es-ES"/>
        </w:rPr>
        <w:t>En esta sección se sintetizan las principales asociaciones durante el per</w:t>
      </w:r>
      <w:r w:rsidR="007B6111" w:rsidRPr="00F05461">
        <w:rPr>
          <w:lang w:val="es-ES"/>
        </w:rPr>
        <w:t>i</w:t>
      </w:r>
      <w:r w:rsidRPr="00F05461">
        <w:rPr>
          <w:lang w:val="es-ES"/>
        </w:rPr>
        <w:t>odo que abarca el presente informe.</w:t>
      </w:r>
    </w:p>
    <w:p w14:paraId="2460BDF2" w14:textId="77777777" w:rsidR="007B4979" w:rsidRPr="00F05461" w:rsidRDefault="007B4979" w:rsidP="00AC3213">
      <w:pPr>
        <w:pStyle w:val="Headingb"/>
      </w:pPr>
      <w:r w:rsidRPr="00F05461">
        <w:t>Partner2Connect</w:t>
      </w:r>
    </w:p>
    <w:p w14:paraId="2E63BCA4" w14:textId="72B4B4D8" w:rsidR="007B4979" w:rsidRPr="00F05461" w:rsidRDefault="007B4979" w:rsidP="007B4979">
      <w:pPr>
        <w:rPr>
          <w:lang w:val="es-ES"/>
        </w:rPr>
      </w:pPr>
      <w:r w:rsidRPr="00F05461">
        <w:rPr>
          <w:lang w:val="es-ES"/>
        </w:rPr>
        <w:t xml:space="preserve">La </w:t>
      </w:r>
      <w:hyperlink r:id="rId465" w:history="1">
        <w:r w:rsidRPr="00F05461">
          <w:rPr>
            <w:rStyle w:val="Hyperlink"/>
            <w:rFonts w:eastAsia="Times New Roman" w:cs="Times New Roman"/>
            <w:szCs w:val="20"/>
            <w:lang w:val="es-ES"/>
          </w:rPr>
          <w:t>Coalición Digital Partner2Connect (P2C)</w:t>
        </w:r>
      </w:hyperlink>
      <w:r w:rsidRPr="00F05461">
        <w:rPr>
          <w:lang w:val="es-ES"/>
        </w:rPr>
        <w:t xml:space="preserve"> constituye una alianza multisectorial fundamental de </w:t>
      </w:r>
      <w:r w:rsidR="00296F03" w:rsidRPr="00F05461">
        <w:rPr>
          <w:lang w:val="es-ES"/>
        </w:rPr>
        <w:t>la UIT</w:t>
      </w:r>
      <w:r w:rsidRPr="00F05461">
        <w:rPr>
          <w:lang w:val="es-ES"/>
        </w:rPr>
        <w:t xml:space="preserve">. Puesta en marcha en 2021 en estrecha cooperación con la Oficina del Enviado de la Secretaría General para la Tecnología, la Oficina del Alto Representante de las Naciones Unidas para los países menos adelantados (UN-OHRLLS) y la Hoja de ruta de la Secretaría General de las Naciones Unidas para la cooperación digital, la plataforma moviliza recursos, alianzas y compromisos para lograr una conectividad significativa universal y una transformación digital sostenible. Las reuniones de la P2C tuvieron lugar en los Foros Regionales de Desarrollo de </w:t>
      </w:r>
      <w:r w:rsidR="00296F03" w:rsidRPr="00F05461">
        <w:rPr>
          <w:lang w:val="es-ES"/>
        </w:rPr>
        <w:t>la UIT</w:t>
      </w:r>
      <w:r w:rsidRPr="00F05461">
        <w:rPr>
          <w:lang w:val="es-ES"/>
        </w:rPr>
        <w:t>, en el marco de sesiones de la</w:t>
      </w:r>
      <w:r w:rsidR="001E2D4A" w:rsidRPr="00F05461">
        <w:rPr>
          <w:lang w:val="es-ES"/>
        </w:rPr>
        <w:t> </w:t>
      </w:r>
      <w:r w:rsidRPr="00F05461">
        <w:rPr>
          <w:lang w:val="es-ES"/>
        </w:rPr>
        <w:t xml:space="preserve">CMSI y de AI for Good, como parte de Digital@UNGA, durante la Conferencia de las Naciones Unidas sobre los Países en </w:t>
      </w:r>
      <w:r w:rsidR="005E060C" w:rsidRPr="00F05461">
        <w:rPr>
          <w:lang w:val="es-ES"/>
        </w:rPr>
        <w:t>d</w:t>
      </w:r>
      <w:r w:rsidRPr="00F05461">
        <w:rPr>
          <w:lang w:val="es-ES"/>
        </w:rPr>
        <w:t xml:space="preserve">esarrollo sin </w:t>
      </w:r>
      <w:r w:rsidR="005E060C" w:rsidRPr="00F05461">
        <w:rPr>
          <w:lang w:val="es-ES"/>
        </w:rPr>
        <w:t>l</w:t>
      </w:r>
      <w:r w:rsidRPr="00F05461">
        <w:rPr>
          <w:lang w:val="es-ES"/>
        </w:rPr>
        <w:t xml:space="preserve">itoral (LLDC3) y en el marco de los aceleradores nacionales de creación de vínculos en el Caribe, Guatemala y Jamaica, entre </w:t>
      </w:r>
      <w:hyperlink r:id="rId466" w:history="1">
        <w:r w:rsidR="007B6111" w:rsidRPr="00F05461">
          <w:rPr>
            <w:rStyle w:val="Hyperlink"/>
            <w:rFonts w:eastAsia="Times New Roman" w:cs="Times New Roman"/>
            <w:szCs w:val="20"/>
            <w:lang w:val="es-ES"/>
          </w:rPr>
          <w:t>otros eventos</w:t>
        </w:r>
      </w:hyperlink>
      <w:r w:rsidR="007B6111" w:rsidRPr="00F05461">
        <w:rPr>
          <w:lang w:val="es-ES"/>
        </w:rPr>
        <w:t>.</w:t>
      </w:r>
      <w:r w:rsidRPr="00F05461">
        <w:rPr>
          <w:lang w:val="es-ES"/>
        </w:rPr>
        <w:t xml:space="preserve"> Numerosos seminarios web y la </w:t>
      </w:r>
      <w:r w:rsidR="001E2D4A" w:rsidRPr="00F05461">
        <w:rPr>
          <w:lang w:val="es-ES"/>
        </w:rPr>
        <w:t>r</w:t>
      </w:r>
      <w:r w:rsidRPr="00F05461">
        <w:rPr>
          <w:lang w:val="es-ES"/>
        </w:rPr>
        <w:t xml:space="preserve">eunión </w:t>
      </w:r>
      <w:r w:rsidR="001E2D4A" w:rsidRPr="00F05461">
        <w:rPr>
          <w:lang w:val="es-ES"/>
        </w:rPr>
        <w:t>a</w:t>
      </w:r>
      <w:r w:rsidRPr="00F05461">
        <w:rPr>
          <w:lang w:val="es-ES"/>
        </w:rPr>
        <w:t xml:space="preserve">nual de Partner2Connect celebrada en diciembre </w:t>
      </w:r>
      <w:r w:rsidR="00B933C5" w:rsidRPr="00F05461">
        <w:rPr>
          <w:lang w:val="es-ES"/>
        </w:rPr>
        <w:t>de 202</w:t>
      </w:r>
      <w:r w:rsidRPr="00F05461">
        <w:rPr>
          <w:lang w:val="es-ES"/>
        </w:rPr>
        <w:t>5 brindaron nuevas oportunidades para realizar anuncios, presentar informes y colaborar.</w:t>
      </w:r>
    </w:p>
    <w:p w14:paraId="43489D3F" w14:textId="13F17CE3" w:rsidR="007B4979" w:rsidRPr="00F05461" w:rsidRDefault="007B4979" w:rsidP="007B4979">
      <w:pPr>
        <w:rPr>
          <w:lang w:val="es-ES"/>
        </w:rPr>
      </w:pPr>
      <w:r w:rsidRPr="00F05461">
        <w:rPr>
          <w:lang w:val="es-ES"/>
        </w:rPr>
        <w:lastRenderedPageBreak/>
        <w:t>Partner2Connect ha promovido 1</w:t>
      </w:r>
      <w:r w:rsidR="004F3957" w:rsidRPr="00F05461">
        <w:rPr>
          <w:lang w:val="es-ES"/>
        </w:rPr>
        <w:t> </w:t>
      </w:r>
      <w:r w:rsidRPr="00F05461">
        <w:rPr>
          <w:lang w:val="es-ES"/>
        </w:rPr>
        <w:t>060</w:t>
      </w:r>
      <w:r w:rsidR="004F3957" w:rsidRPr="00F05461">
        <w:rPr>
          <w:lang w:val="es-ES"/>
        </w:rPr>
        <w:t> </w:t>
      </w:r>
      <w:r w:rsidRPr="00F05461">
        <w:rPr>
          <w:lang w:val="es-ES"/>
        </w:rPr>
        <w:t>compromisos de 492</w:t>
      </w:r>
      <w:r w:rsidR="004F3957" w:rsidRPr="00F05461">
        <w:rPr>
          <w:lang w:val="es-ES"/>
        </w:rPr>
        <w:t> </w:t>
      </w:r>
      <w:r w:rsidRPr="00F05461">
        <w:rPr>
          <w:lang w:val="es-ES"/>
        </w:rPr>
        <w:t>entidades de 149</w:t>
      </w:r>
      <w:r w:rsidR="004F3957" w:rsidRPr="00F05461">
        <w:rPr>
          <w:lang w:val="es-ES"/>
        </w:rPr>
        <w:t> </w:t>
      </w:r>
      <w:r w:rsidRPr="00F05461">
        <w:rPr>
          <w:lang w:val="es-ES"/>
        </w:rPr>
        <w:t>países, por un valor de 80</w:t>
      </w:r>
      <w:r w:rsidR="004F3957" w:rsidRPr="00F05461">
        <w:rPr>
          <w:lang w:val="es-ES"/>
        </w:rPr>
        <w:t> </w:t>
      </w:r>
      <w:r w:rsidRPr="00F05461">
        <w:rPr>
          <w:lang w:val="es-ES"/>
        </w:rPr>
        <w:t>720</w:t>
      </w:r>
      <w:r w:rsidR="004F3957" w:rsidRPr="00F05461">
        <w:rPr>
          <w:lang w:val="es-ES"/>
        </w:rPr>
        <w:t> </w:t>
      </w:r>
      <w:r w:rsidRPr="00F05461">
        <w:rPr>
          <w:lang w:val="es-ES"/>
        </w:rPr>
        <w:t>millones</w:t>
      </w:r>
      <w:r w:rsidR="008227D3" w:rsidRPr="00F05461">
        <w:rPr>
          <w:lang w:val="es-ES"/>
        </w:rPr>
        <w:t> </w:t>
      </w:r>
      <w:r w:rsidR="00B83C5A" w:rsidRPr="00F05461">
        <w:rPr>
          <w:lang w:val="es-ES"/>
        </w:rPr>
        <w:t>USD</w:t>
      </w:r>
      <w:r w:rsidRPr="00F05461">
        <w:rPr>
          <w:lang w:val="es-ES"/>
        </w:rPr>
        <w:t>, incluidos los compromisos de 30</w:t>
      </w:r>
      <w:r w:rsidR="004F3957" w:rsidRPr="00F05461">
        <w:rPr>
          <w:lang w:val="es-ES"/>
        </w:rPr>
        <w:t> </w:t>
      </w:r>
      <w:r w:rsidRPr="00F05461">
        <w:rPr>
          <w:lang w:val="es-ES"/>
        </w:rPr>
        <w:t>organismos de las Naciones Unidas. En la actualidad, el 50</w:t>
      </w:r>
      <w:r w:rsidR="008227D3" w:rsidRPr="00F05461">
        <w:rPr>
          <w:lang w:val="es-ES"/>
        </w:rPr>
        <w:t> </w:t>
      </w:r>
      <w:r w:rsidRPr="00F05461">
        <w:rPr>
          <w:lang w:val="es-ES"/>
        </w:rPr>
        <w:t>por ciento de las entidades participantes han presentado informes de situación, lo que confirma que Partner2Connect no es solo una plataforma para compromisos, sino también un mecanismo para supervisar la implementación y los resultados sobre el terreno. Las reuniones anuales, las campañas de compromisos específicas, los paneles de control para la supervisión de los compromisos y los informes, así como el fortalecimiento de las funciones de intermediación, facilitan a los asociados el anuncio y el cumplimiento de sus compromisos, en particular en lo que respecta a los</w:t>
      </w:r>
      <w:r w:rsidR="00E93D15" w:rsidRPr="00F05461">
        <w:rPr>
          <w:lang w:val="es-ES"/>
        </w:rPr>
        <w:t> </w:t>
      </w:r>
      <w:r w:rsidRPr="00F05461">
        <w:rPr>
          <w:lang w:val="es-ES"/>
        </w:rPr>
        <w:t>PMA, los</w:t>
      </w:r>
      <w:r w:rsidR="00E93D15" w:rsidRPr="00F05461">
        <w:rPr>
          <w:lang w:val="es-ES"/>
        </w:rPr>
        <w:t> </w:t>
      </w:r>
      <w:r w:rsidRPr="00F05461">
        <w:rPr>
          <w:lang w:val="es-ES"/>
        </w:rPr>
        <w:t>PDSL, los</w:t>
      </w:r>
      <w:r w:rsidR="00E93D15" w:rsidRPr="00F05461">
        <w:rPr>
          <w:lang w:val="es-ES"/>
        </w:rPr>
        <w:t> </w:t>
      </w:r>
      <w:r w:rsidRPr="00F05461">
        <w:rPr>
          <w:lang w:val="es-ES"/>
        </w:rPr>
        <w:t>PEID y las poblaciones desplazadas. Esta labor contribuye a un ambicioso programa cuyo objetivo es movilizar 100</w:t>
      </w:r>
      <w:r w:rsidR="007B6111" w:rsidRPr="00F05461">
        <w:rPr>
          <w:lang w:val="es-ES"/>
        </w:rPr>
        <w:t> </w:t>
      </w:r>
      <w:r w:rsidRPr="00F05461">
        <w:rPr>
          <w:lang w:val="es-ES"/>
        </w:rPr>
        <w:t>000</w:t>
      </w:r>
      <w:r w:rsidR="007B6111" w:rsidRPr="00F05461">
        <w:rPr>
          <w:lang w:val="es-ES"/>
        </w:rPr>
        <w:t> </w:t>
      </w:r>
      <w:r w:rsidRPr="00F05461">
        <w:rPr>
          <w:lang w:val="es-ES"/>
        </w:rPr>
        <w:t>millones</w:t>
      </w:r>
      <w:r w:rsidR="008227D3" w:rsidRPr="00F05461">
        <w:rPr>
          <w:lang w:val="es-ES"/>
        </w:rPr>
        <w:t> </w:t>
      </w:r>
      <w:r w:rsidR="00B83C5A" w:rsidRPr="00F05461">
        <w:rPr>
          <w:lang w:val="es-ES"/>
        </w:rPr>
        <w:t>USD</w:t>
      </w:r>
      <w:r w:rsidRPr="00F05461">
        <w:rPr>
          <w:lang w:val="es-ES"/>
        </w:rPr>
        <w:t xml:space="preserve"> en compromisos para finales </w:t>
      </w:r>
      <w:r w:rsidR="00B933C5" w:rsidRPr="00F05461">
        <w:rPr>
          <w:lang w:val="es-ES"/>
        </w:rPr>
        <w:t>de 202</w:t>
      </w:r>
      <w:r w:rsidRPr="00F05461">
        <w:rPr>
          <w:lang w:val="es-ES"/>
        </w:rPr>
        <w:t>6. P2C es un proyecto financiado al 100 por ciento con fondos extrapresupuestarios, y cuenta con el apoyo de contribuciones de la iniciativa</w:t>
      </w:r>
      <w:r w:rsidR="001E2D4A" w:rsidRPr="00F05461">
        <w:rPr>
          <w:lang w:val="es-ES"/>
        </w:rPr>
        <w:t> </w:t>
      </w:r>
      <w:r w:rsidRPr="00F05461">
        <w:rPr>
          <w:lang w:val="es-ES"/>
        </w:rPr>
        <w:t xml:space="preserve">P2C Champions, abierta a todos los miembros de </w:t>
      </w:r>
      <w:r w:rsidR="00296F03" w:rsidRPr="00F05461">
        <w:rPr>
          <w:lang w:val="es-ES"/>
        </w:rPr>
        <w:t>la UIT</w:t>
      </w:r>
      <w:r w:rsidRPr="00F05461">
        <w:rPr>
          <w:lang w:val="es-ES"/>
        </w:rPr>
        <w:t xml:space="preserve">. A diciembre </w:t>
      </w:r>
      <w:r w:rsidR="00B933C5" w:rsidRPr="00F05461">
        <w:rPr>
          <w:lang w:val="es-ES"/>
        </w:rPr>
        <w:t>de 202</w:t>
      </w:r>
      <w:r w:rsidRPr="00F05461">
        <w:rPr>
          <w:lang w:val="es-ES"/>
        </w:rPr>
        <w:t>5, Amazon, Google, el Banco Interamericano de Desarrollo, Microsoft y ZTE formaban parte de dicha iniciativa.</w:t>
      </w:r>
    </w:p>
    <w:p w14:paraId="768FA672" w14:textId="7AB4D183" w:rsidR="007B4979" w:rsidRPr="00F05461" w:rsidRDefault="007B4979" w:rsidP="00AC3213">
      <w:pPr>
        <w:pStyle w:val="Headingb"/>
      </w:pPr>
      <w:r w:rsidRPr="00F05461">
        <w:t>Acción Digital Ecológica</w:t>
      </w:r>
    </w:p>
    <w:p w14:paraId="7FF1694F" w14:textId="7A345D7F" w:rsidR="007B4979" w:rsidRPr="00F05461" w:rsidRDefault="007B4979" w:rsidP="007B4979">
      <w:pPr>
        <w:rPr>
          <w:lang w:val="es-ES"/>
        </w:rPr>
      </w:pPr>
      <w:r w:rsidRPr="00F05461">
        <w:rPr>
          <w:lang w:val="es-ES"/>
        </w:rPr>
        <w:t xml:space="preserve">La iniciativa Acción Digital Ecológica, puesta en marcha en el marco de la COP28 en 2023, es una asociación de múltiples partes interesadas constituida por </w:t>
      </w:r>
      <w:r w:rsidR="00296F03" w:rsidRPr="00F05461">
        <w:rPr>
          <w:lang w:val="es-ES"/>
        </w:rPr>
        <w:t>la UIT</w:t>
      </w:r>
      <w:r w:rsidRPr="00F05461">
        <w:rPr>
          <w:lang w:val="es-ES"/>
        </w:rPr>
        <w:t>, con más de 40</w:t>
      </w:r>
      <w:r w:rsidR="004F3957" w:rsidRPr="00F05461">
        <w:rPr>
          <w:lang w:val="es-ES"/>
        </w:rPr>
        <w:t> </w:t>
      </w:r>
      <w:r w:rsidRPr="00F05461">
        <w:rPr>
          <w:lang w:val="es-ES"/>
        </w:rPr>
        <w:t xml:space="preserve">asociados. En el marco de la </w:t>
      </w:r>
      <w:hyperlink r:id="rId467" w:history="1">
        <w:r w:rsidRPr="00F05461">
          <w:rPr>
            <w:rStyle w:val="Hyperlink"/>
            <w:rFonts w:eastAsia="Times New Roman" w:cs="Times New Roman"/>
            <w:szCs w:val="20"/>
            <w:lang w:val="es-ES"/>
          </w:rPr>
          <w:t>COP28</w:t>
        </w:r>
      </w:hyperlink>
      <w:r w:rsidRPr="00F05461">
        <w:rPr>
          <w:lang w:val="es-ES"/>
        </w:rPr>
        <w:t xml:space="preserve">, la </w:t>
      </w:r>
      <w:hyperlink r:id="rId468" w:history="1">
        <w:r w:rsidRPr="00F05461">
          <w:rPr>
            <w:rStyle w:val="Hyperlink"/>
            <w:rFonts w:eastAsia="Times New Roman" w:cs="Times New Roman"/>
            <w:szCs w:val="20"/>
            <w:lang w:val="es-ES"/>
          </w:rPr>
          <w:t>COP29</w:t>
        </w:r>
      </w:hyperlink>
      <w:r w:rsidRPr="00F05461">
        <w:rPr>
          <w:lang w:val="es-ES"/>
        </w:rPr>
        <w:t xml:space="preserve"> y la </w:t>
      </w:r>
      <w:hyperlink r:id="rId469" w:history="1">
        <w:r w:rsidRPr="00F05461">
          <w:rPr>
            <w:rStyle w:val="Hyperlink"/>
            <w:rFonts w:eastAsia="Times New Roman" w:cs="Times New Roman"/>
            <w:szCs w:val="20"/>
            <w:lang w:val="es-ES"/>
          </w:rPr>
          <w:t>COP30</w:t>
        </w:r>
      </w:hyperlink>
      <w:r w:rsidRPr="00F05461">
        <w:rPr>
          <w:lang w:val="es-ES"/>
        </w:rPr>
        <w:t xml:space="preserve">, </w:t>
      </w:r>
      <w:r w:rsidR="00296F03" w:rsidRPr="00F05461">
        <w:rPr>
          <w:lang w:val="es-ES"/>
        </w:rPr>
        <w:t>la UIT</w:t>
      </w:r>
      <w:r w:rsidRPr="00F05461">
        <w:rPr>
          <w:lang w:val="es-ES"/>
        </w:rPr>
        <w:t xml:space="preserve"> colaboró con sus asociados para organizar y promover la</w:t>
      </w:r>
      <w:hyperlink r:id="rId470" w:history="1">
        <w:r w:rsidR="007B6111" w:rsidRPr="00F05461">
          <w:rPr>
            <w:rStyle w:val="Hyperlink"/>
            <w:rFonts w:eastAsia="Times New Roman" w:cs="Times New Roman"/>
            <w:szCs w:val="20"/>
            <w:lang w:val="es-ES"/>
          </w:rPr>
          <w:t xml:space="preserve"> Acción Digital Ecológica</w:t>
        </w:r>
      </w:hyperlink>
      <w:r w:rsidRPr="00F05461">
        <w:rPr>
          <w:lang w:val="es-ES"/>
        </w:rPr>
        <w:t xml:space="preserve"> por medio de más de 80</w:t>
      </w:r>
      <w:r w:rsidR="004F3957" w:rsidRPr="00F05461">
        <w:rPr>
          <w:lang w:val="es-ES"/>
        </w:rPr>
        <w:t> </w:t>
      </w:r>
      <w:r w:rsidRPr="00F05461">
        <w:rPr>
          <w:lang w:val="es-ES"/>
        </w:rPr>
        <w:t xml:space="preserve">reuniones de gobiernos, el sector industrial, la sociedad civil, diversos organismos de las Naciones Unidas y bancos multilaterales, con el fin de promover las tecnologías digitales como medio para alcanzar los objetivos climáticos mundiales. A través de estos esfuerzos coordinados, </w:t>
      </w:r>
      <w:r w:rsidR="00296F03" w:rsidRPr="00F05461">
        <w:rPr>
          <w:lang w:val="es-ES"/>
        </w:rPr>
        <w:t>la UIT</w:t>
      </w:r>
      <w:r w:rsidRPr="00F05461">
        <w:rPr>
          <w:lang w:val="es-ES"/>
        </w:rPr>
        <w:t xml:space="preserve"> fomentó las políticas digitales, la conectividad y la innovación como facilitadores fundamentales de la mitigación climática, la circularidad y la resiliencia, y subrayó la necesidad de dar una respuesta en todo el ecosistema a la crisis climática.</w:t>
      </w:r>
    </w:p>
    <w:p w14:paraId="6B61EC50" w14:textId="0CC32EC2" w:rsidR="007B4979" w:rsidRPr="00F05461" w:rsidRDefault="007B4979" w:rsidP="007B4979">
      <w:pPr>
        <w:rPr>
          <w:lang w:val="es-ES"/>
        </w:rPr>
      </w:pPr>
      <w:r w:rsidRPr="00F05461">
        <w:rPr>
          <w:lang w:val="es-ES"/>
        </w:rPr>
        <w:t xml:space="preserve">En la COP30 celebrada en Belén (Brasil), la iniciativa Acción Digital Ecológica celebró su tercera reunión, a raíz de la histórica </w:t>
      </w:r>
      <w:hyperlink r:id="rId471" w:history="1">
        <w:r w:rsidRPr="00F05461">
          <w:rPr>
            <w:rStyle w:val="Hyperlink"/>
            <w:rFonts w:eastAsia="Times New Roman" w:cs="Times New Roman"/>
            <w:szCs w:val="20"/>
            <w:lang w:val="es-ES"/>
          </w:rPr>
          <w:t>Declaración de la COP29</w:t>
        </w:r>
      </w:hyperlink>
      <w:r w:rsidRPr="00F05461">
        <w:rPr>
          <w:lang w:val="es-ES"/>
        </w:rPr>
        <w:t xml:space="preserve"> sobre dicha iniciativa, que recibió el respaldo de más de 80</w:t>
      </w:r>
      <w:r w:rsidR="004F3957" w:rsidRPr="00F05461">
        <w:rPr>
          <w:lang w:val="es-ES"/>
        </w:rPr>
        <w:t> </w:t>
      </w:r>
      <w:r w:rsidRPr="00F05461">
        <w:rPr>
          <w:lang w:val="es-ES"/>
        </w:rPr>
        <w:t>países y alrededor de 1</w:t>
      </w:r>
      <w:r w:rsidR="004F3957" w:rsidRPr="00F05461">
        <w:rPr>
          <w:lang w:val="es-ES"/>
        </w:rPr>
        <w:t> </w:t>
      </w:r>
      <w:r w:rsidRPr="00F05461">
        <w:rPr>
          <w:lang w:val="es-ES"/>
        </w:rPr>
        <w:t>800</w:t>
      </w:r>
      <w:r w:rsidR="004F3957" w:rsidRPr="00F05461">
        <w:rPr>
          <w:lang w:val="es-ES"/>
        </w:rPr>
        <w:t> </w:t>
      </w:r>
      <w:r w:rsidRPr="00F05461">
        <w:rPr>
          <w:lang w:val="es-ES"/>
        </w:rPr>
        <w:t xml:space="preserve">empresas y organizaciones, entre otras partes interesadas. Un resultado histórico fue la creación del </w:t>
      </w:r>
      <w:hyperlink r:id="rId472" w:history="1">
        <w:r w:rsidR="00EF6A42" w:rsidRPr="00F05461">
          <w:rPr>
            <w:rStyle w:val="Hyperlink"/>
            <w:rFonts w:eastAsia="Times New Roman" w:cs="Times New Roman"/>
            <w:szCs w:val="20"/>
            <w:lang w:val="es-ES"/>
          </w:rPr>
          <w:t>Centro de Acción Digital Ecológica</w:t>
        </w:r>
      </w:hyperlink>
      <w:r w:rsidRPr="00F05461">
        <w:rPr>
          <w:lang w:val="es-ES"/>
        </w:rPr>
        <w:t>, anunciado como legado de la</w:t>
      </w:r>
      <w:r w:rsidR="007D0CFE" w:rsidRPr="00F05461">
        <w:rPr>
          <w:lang w:val="es-ES"/>
        </w:rPr>
        <w:t> </w:t>
      </w:r>
      <w:r w:rsidRPr="00F05461">
        <w:rPr>
          <w:lang w:val="es-ES"/>
        </w:rPr>
        <w:t xml:space="preserve">COP30 e implantado en Brasil, que servirá como centro neurálgico para coordinar las soluciones climáticas digitales en todo el mundo. Entre los objetivos clave de dicho Centro se encuentra el funcionamiento del recién inaugurado </w:t>
      </w:r>
      <w:hyperlink r:id="rId473" w:history="1">
        <w:r w:rsidRPr="00F05461">
          <w:rPr>
            <w:rStyle w:val="Hyperlink"/>
            <w:rFonts w:eastAsia="Times New Roman" w:cs="Times New Roman"/>
            <w:szCs w:val="20"/>
            <w:lang w:val="es-ES"/>
          </w:rPr>
          <w:t>Instituto Climático de</w:t>
        </w:r>
        <w:r w:rsidR="003C7DDE">
          <w:rPr>
            <w:rStyle w:val="Hyperlink"/>
            <w:rFonts w:eastAsia="Times New Roman" w:cs="Times New Roman"/>
            <w:szCs w:val="20"/>
            <w:lang w:val="es-ES"/>
          </w:rPr>
          <w:t> </w:t>
        </w:r>
        <w:r w:rsidRPr="00F05461">
          <w:rPr>
            <w:rStyle w:val="Hyperlink"/>
            <w:rFonts w:eastAsia="Times New Roman" w:cs="Times New Roman"/>
            <w:szCs w:val="20"/>
            <w:lang w:val="es-ES"/>
          </w:rPr>
          <w:t>IA</w:t>
        </w:r>
      </w:hyperlink>
      <w:r w:rsidRPr="00F05461">
        <w:rPr>
          <w:lang w:val="es-ES"/>
        </w:rPr>
        <w:t>, focalizado en el desarrollo de capacidades tecnológicas y la promoción de la innovación local en los países en desarrollo, de modo que la</w:t>
      </w:r>
      <w:r w:rsidR="007D0CFE" w:rsidRPr="00F05461">
        <w:rPr>
          <w:lang w:val="es-ES"/>
        </w:rPr>
        <w:t> </w:t>
      </w:r>
      <w:r w:rsidRPr="00F05461">
        <w:rPr>
          <w:lang w:val="es-ES"/>
        </w:rPr>
        <w:t>IA pueda contribuir eficazmente a la mitigación y la adaptación al cambio climático.</w:t>
      </w:r>
    </w:p>
    <w:p w14:paraId="26B3B991" w14:textId="735BF46F" w:rsidR="007B4979" w:rsidRPr="00F05461" w:rsidRDefault="007B4979" w:rsidP="007B4979">
      <w:pPr>
        <w:rPr>
          <w:lang w:val="es-ES"/>
        </w:rPr>
      </w:pPr>
      <w:r w:rsidRPr="00F05461">
        <w:rPr>
          <w:lang w:val="es-ES"/>
        </w:rPr>
        <w:t xml:space="preserve">La </w:t>
      </w:r>
      <w:hyperlink r:id="rId474" w:history="1">
        <w:r w:rsidR="00EF6A42" w:rsidRPr="00F05461">
          <w:rPr>
            <w:rStyle w:val="Hyperlink"/>
            <w:rFonts w:eastAsia="Times New Roman" w:cs="Times New Roman"/>
            <w:szCs w:val="20"/>
            <w:lang w:val="es-ES"/>
          </w:rPr>
          <w:t>Cumbre de Acción Digital Ecológica</w:t>
        </w:r>
      </w:hyperlink>
      <w:r w:rsidRPr="00F05461">
        <w:rPr>
          <w:lang w:val="es-ES"/>
        </w:rPr>
        <w:t xml:space="preserve">, organizada </w:t>
      </w:r>
      <w:proofErr w:type="gramStart"/>
      <w:r w:rsidRPr="00F05461">
        <w:rPr>
          <w:lang w:val="es-ES"/>
        </w:rPr>
        <w:t>conjuntamente con</w:t>
      </w:r>
      <w:proofErr w:type="gramEnd"/>
      <w:r w:rsidRPr="00F05461">
        <w:rPr>
          <w:lang w:val="es-ES"/>
        </w:rPr>
        <w:t xml:space="preserve"> la Agencia Alemana de Medio Ambiente, intensificó aún más los esfuerzos al evaluar los avances logrados desde la</w:t>
      </w:r>
      <w:r w:rsidR="007D0CFE" w:rsidRPr="00F05461">
        <w:rPr>
          <w:lang w:val="es-ES"/>
        </w:rPr>
        <w:t> </w:t>
      </w:r>
      <w:r w:rsidRPr="00F05461">
        <w:rPr>
          <w:lang w:val="es-ES"/>
        </w:rPr>
        <w:t>COP29 e impulsar la acción conjunta con respecto a la</w:t>
      </w:r>
      <w:r w:rsidR="007D0CFE" w:rsidRPr="00F05461">
        <w:rPr>
          <w:lang w:val="es-ES"/>
        </w:rPr>
        <w:t> </w:t>
      </w:r>
      <w:r w:rsidRPr="00F05461">
        <w:rPr>
          <w:lang w:val="es-ES"/>
        </w:rPr>
        <w:t>COP30. La cumbre reunió a casi 50</w:t>
      </w:r>
      <w:r w:rsidR="00FC3D38" w:rsidRPr="00F05461">
        <w:rPr>
          <w:lang w:val="es-ES"/>
        </w:rPr>
        <w:t> </w:t>
      </w:r>
      <w:r w:rsidRPr="00F05461">
        <w:rPr>
          <w:lang w:val="es-ES"/>
        </w:rPr>
        <w:t>oradores, ocho mesas redondas, cuatro ponencias principales, tres charlas informales y una presentación artística digital.</w:t>
      </w:r>
    </w:p>
    <w:p w14:paraId="57E2B6EE" w14:textId="218AB0DC" w:rsidR="007B4979" w:rsidRPr="00F05461" w:rsidRDefault="007B4979" w:rsidP="007B4979">
      <w:pPr>
        <w:rPr>
          <w:lang w:val="es-ES"/>
        </w:rPr>
      </w:pPr>
      <w:r w:rsidRPr="00F05461">
        <w:rPr>
          <w:lang w:val="es-ES"/>
        </w:rPr>
        <w:t xml:space="preserve">La iniciativa sigue fortaleciendo un ecosistema global de </w:t>
      </w:r>
      <w:hyperlink r:id="rId475" w:history="1">
        <w:r w:rsidRPr="00F05461">
          <w:rPr>
            <w:rStyle w:val="Hyperlink"/>
            <w:rFonts w:eastAsia="Times New Roman" w:cs="Times New Roman"/>
            <w:szCs w:val="20"/>
            <w:lang w:val="es-ES"/>
          </w:rPr>
          <w:t>asociados</w:t>
        </w:r>
      </w:hyperlink>
      <w:r w:rsidRPr="00F05461">
        <w:rPr>
          <w:lang w:val="es-ES"/>
        </w:rPr>
        <w:t xml:space="preserve"> y </w:t>
      </w:r>
      <w:hyperlink r:id="rId476" w:history="1">
        <w:r w:rsidRPr="00F05461">
          <w:rPr>
            <w:rStyle w:val="Hyperlink"/>
            <w:rFonts w:eastAsia="Times New Roman" w:cs="Times New Roman"/>
            <w:szCs w:val="20"/>
            <w:lang w:val="es-ES"/>
          </w:rPr>
          <w:t>compromisos</w:t>
        </w:r>
      </w:hyperlink>
      <w:r w:rsidRPr="00F05461">
        <w:rPr>
          <w:lang w:val="es-ES"/>
        </w:rPr>
        <w:t xml:space="preserve">, en el que el sector industrial, los gobiernos y las organizaciones colaboran para promover la transformación digital sostenible y propiciar avances para alcanzar el objetivo de cero emisiones netas. Los </w:t>
      </w:r>
      <w:hyperlink r:id="rId477" w:history="1">
        <w:r w:rsidRPr="00F05461">
          <w:rPr>
            <w:rStyle w:val="Hyperlink"/>
            <w:rFonts w:eastAsia="Times New Roman" w:cs="Times New Roman"/>
            <w:szCs w:val="20"/>
            <w:lang w:val="es-ES"/>
          </w:rPr>
          <w:t>eventos</w:t>
        </w:r>
      </w:hyperlink>
      <w:r w:rsidRPr="00F05461">
        <w:rPr>
          <w:lang w:val="es-ES"/>
        </w:rPr>
        <w:t xml:space="preserve"> comunitarios</w:t>
      </w:r>
      <w:hyperlink r:id="rId478" w:history="1">
        <w:r w:rsidRPr="00F05461">
          <w:rPr>
            <w:rStyle w:val="Hyperlink"/>
            <w:rFonts w:eastAsia="Times New Roman" w:cs="Times New Roman"/>
            <w:szCs w:val="20"/>
            <w:lang w:val="es-ES"/>
          </w:rPr>
          <w:t>,</w:t>
        </w:r>
      </w:hyperlink>
      <w:r w:rsidRPr="00F05461">
        <w:rPr>
          <w:lang w:val="es-ES"/>
        </w:rPr>
        <w:t xml:space="preserve"> el intercambio de soluciones climáticas digitales </w:t>
      </w:r>
      <w:r w:rsidRPr="00F05461">
        <w:rPr>
          <w:lang w:val="es-ES"/>
        </w:rPr>
        <w:lastRenderedPageBreak/>
        <w:t xml:space="preserve">y la elaboración de un conjunto cada vez mayor de publicaciones de </w:t>
      </w:r>
      <w:r w:rsidR="00296F03" w:rsidRPr="00F05461">
        <w:rPr>
          <w:lang w:val="es-ES"/>
        </w:rPr>
        <w:t>la UIT</w:t>
      </w:r>
      <w:r w:rsidRPr="00F05461">
        <w:rPr>
          <w:lang w:val="es-ES"/>
        </w:rPr>
        <w:t xml:space="preserve"> facilitan el intercambio de conocimientos y la innovación en todos los sectores. Con asociados que abarcan el sector tecnológico, las organizaciones internacionales, los encargados de la formulación de políticas y la sociedad civil, la iniciativa Acción Digital Ecológica se erige como un elemento fundamental para aprovechar las tecnologías digitales con el fin de hacer frente al cambio climático, y sentar las bases para un futuro digital sostenible e inclusivo para todos.</w:t>
      </w:r>
    </w:p>
    <w:p w14:paraId="04957C38" w14:textId="26EAAC97" w:rsidR="002259CF" w:rsidRPr="00F05461" w:rsidRDefault="00D71758" w:rsidP="007B4979">
      <w:pPr>
        <w:rPr>
          <w:lang w:val="es-ES"/>
        </w:rPr>
      </w:pPr>
      <w:r w:rsidRPr="00F05461">
        <w:rPr>
          <w:lang w:val="es-ES"/>
        </w:rPr>
        <w:t xml:space="preserve">Para ampliar información sobre las actividades relativas al pilar temático en el marco de la Acción Digital Ecológica, véase la </w:t>
      </w:r>
      <w:hyperlink w:anchor="_5.4_Compromiso_con" w:history="1">
        <w:r w:rsidRPr="00F05461">
          <w:rPr>
            <w:rStyle w:val="Hyperlink"/>
            <w:rFonts w:eastAsia="Times New Roman" w:cs="Times New Roman"/>
            <w:szCs w:val="20"/>
            <w:lang w:val="es-ES"/>
          </w:rPr>
          <w:t>sección 5.4</w:t>
        </w:r>
      </w:hyperlink>
      <w:r w:rsidRPr="00F05461">
        <w:rPr>
          <w:lang w:val="es-ES"/>
        </w:rPr>
        <w:t xml:space="preserve"> </w:t>
      </w:r>
      <w:r w:rsidR="002555AC" w:rsidRPr="002555AC">
        <w:rPr>
          <w:i/>
          <w:iCs/>
          <w:lang w:val="es-ES"/>
        </w:rPr>
        <w:t>supra</w:t>
      </w:r>
      <w:r w:rsidRPr="00F05461">
        <w:rPr>
          <w:lang w:val="es-ES"/>
        </w:rPr>
        <w:t>.</w:t>
      </w:r>
    </w:p>
    <w:p w14:paraId="2F90BEB3" w14:textId="6DF296E3" w:rsidR="007B4979" w:rsidRPr="00F05461" w:rsidRDefault="00560AD9" w:rsidP="00AC3213">
      <w:pPr>
        <w:pStyle w:val="Headingb"/>
      </w:pPr>
      <w:r w:rsidRPr="00F05461">
        <w:t>Digital@AGNU</w:t>
      </w:r>
    </w:p>
    <w:p w14:paraId="5EF0A4A1" w14:textId="319AAEA6" w:rsidR="007B4979" w:rsidRPr="00F05461" w:rsidRDefault="007B4979" w:rsidP="00E93D15">
      <w:pPr>
        <w:rPr>
          <w:lang w:val="es-ES"/>
        </w:rPr>
      </w:pPr>
      <w:r w:rsidRPr="00F05461">
        <w:rPr>
          <w:lang w:val="es-ES"/>
        </w:rPr>
        <w:t>Con objeto de poner de manifiesto soluciones digitales que puedan propiciar avances para cumplir los objetivos de la Agenda</w:t>
      </w:r>
      <w:r w:rsidR="00E93D15" w:rsidRPr="00F05461">
        <w:rPr>
          <w:lang w:val="es-ES"/>
        </w:rPr>
        <w:t> </w:t>
      </w:r>
      <w:r w:rsidRPr="00F05461">
        <w:rPr>
          <w:lang w:val="es-ES"/>
        </w:rPr>
        <w:t xml:space="preserve">2030, </w:t>
      </w:r>
      <w:r w:rsidR="00296F03" w:rsidRPr="00F05461">
        <w:rPr>
          <w:lang w:val="es-ES"/>
        </w:rPr>
        <w:t>la UIT</w:t>
      </w:r>
      <w:r w:rsidRPr="00F05461">
        <w:rPr>
          <w:lang w:val="es-ES"/>
        </w:rPr>
        <w:t xml:space="preserve"> y el</w:t>
      </w:r>
      <w:r w:rsidR="00E93D15" w:rsidRPr="00F05461">
        <w:rPr>
          <w:lang w:val="es-ES"/>
        </w:rPr>
        <w:t> </w:t>
      </w:r>
      <w:r w:rsidRPr="00F05461">
        <w:rPr>
          <w:lang w:val="es-ES"/>
        </w:rPr>
        <w:t xml:space="preserve">PNUD organizaron destacados eventos sobre desarrollo digital en la sede de las Naciones Unidas en Nueva York, en particular la Iniciativa Digital </w:t>
      </w:r>
      <w:r w:rsidR="00560AD9" w:rsidRPr="00F05461">
        <w:rPr>
          <w:lang w:val="es-ES"/>
        </w:rPr>
        <w:t>para</w:t>
      </w:r>
      <w:r w:rsidRPr="00F05461">
        <w:rPr>
          <w:lang w:val="es-ES"/>
        </w:rPr>
        <w:t xml:space="preserve"> los</w:t>
      </w:r>
      <w:r w:rsidR="00E93D15" w:rsidRPr="00F05461">
        <w:rPr>
          <w:lang w:val="es-ES"/>
        </w:rPr>
        <w:t> </w:t>
      </w:r>
      <w:r w:rsidRPr="00F05461">
        <w:rPr>
          <w:lang w:val="es-ES"/>
        </w:rPr>
        <w:t xml:space="preserve">ODS y </w:t>
      </w:r>
      <w:hyperlink r:id="rId479" w:history="1">
        <w:r w:rsidRPr="00F05461">
          <w:rPr>
            <w:rStyle w:val="Hyperlink"/>
            <w:rFonts w:eastAsia="Times New Roman" w:cs="Times New Roman"/>
            <w:szCs w:val="20"/>
            <w:lang w:val="es-ES"/>
          </w:rPr>
          <w:t>Digital@</w:t>
        </w:r>
        <w:r w:rsidR="00560AD9" w:rsidRPr="00F05461">
          <w:rPr>
            <w:rStyle w:val="Hyperlink"/>
            <w:rFonts w:eastAsia="Times New Roman" w:cs="Times New Roman"/>
            <w:szCs w:val="20"/>
            <w:lang w:val="es-ES"/>
          </w:rPr>
          <w:t>AGNU</w:t>
        </w:r>
      </w:hyperlink>
      <w:r w:rsidR="00DF280A" w:rsidRPr="00F05461">
        <w:rPr>
          <w:lang w:val="es-ES"/>
        </w:rPr>
        <w:t xml:space="preserve">. La </w:t>
      </w:r>
      <w:hyperlink r:id="rId480" w:history="1">
        <w:r w:rsidR="00DF280A" w:rsidRPr="00F05461">
          <w:rPr>
            <w:rStyle w:val="Hyperlink"/>
            <w:rFonts w:eastAsia="Times New Roman" w:cs="Times New Roman"/>
            <w:szCs w:val="20"/>
            <w:lang w:val="es-ES"/>
          </w:rPr>
          <w:t>edición de 2023</w:t>
        </w:r>
      </w:hyperlink>
      <w:r w:rsidRPr="00F05461">
        <w:rPr>
          <w:lang w:val="es-ES"/>
        </w:rPr>
        <w:t>, celebrada en el marco del Fin de Semana para la Acción por los</w:t>
      </w:r>
      <w:r w:rsidR="00E93D15" w:rsidRPr="00F05461">
        <w:rPr>
          <w:lang w:val="es-ES"/>
        </w:rPr>
        <w:t> </w:t>
      </w:r>
      <w:r w:rsidRPr="00F05461">
        <w:rPr>
          <w:lang w:val="es-ES"/>
        </w:rPr>
        <w:t xml:space="preserve">ODS, y la </w:t>
      </w:r>
      <w:hyperlink r:id="rId481" w:history="1">
        <w:r w:rsidR="00560AD9" w:rsidRPr="00F05461">
          <w:rPr>
            <w:rStyle w:val="Hyperlink"/>
            <w:rFonts w:eastAsia="Times New Roman" w:cs="Times New Roman"/>
            <w:szCs w:val="20"/>
            <w:lang w:val="es-ES"/>
          </w:rPr>
          <w:t xml:space="preserve">edición </w:t>
        </w:r>
        <w:r w:rsidR="00B933C5" w:rsidRPr="00F05461">
          <w:rPr>
            <w:rStyle w:val="Hyperlink"/>
            <w:rFonts w:eastAsia="Times New Roman" w:cs="Times New Roman"/>
            <w:szCs w:val="20"/>
            <w:lang w:val="es-ES"/>
          </w:rPr>
          <w:t>de 202</w:t>
        </w:r>
        <w:r w:rsidRPr="00F05461">
          <w:rPr>
            <w:rStyle w:val="Hyperlink"/>
            <w:rFonts w:eastAsia="Times New Roman" w:cs="Times New Roman"/>
            <w:szCs w:val="20"/>
            <w:lang w:val="es-ES"/>
          </w:rPr>
          <w:t>4</w:t>
        </w:r>
      </w:hyperlink>
      <w:r w:rsidRPr="00F05461">
        <w:rPr>
          <w:lang w:val="es-ES"/>
        </w:rPr>
        <w:t>, celebrada antes de la Asamblea General de las Naciones Unidas y la Cumbre del Futuro, presentaron diversas iniciativas digitales ampliables y subrayaron el papel esencial de lo digital para lograr avances en el cumplimiento de los objetivos de la Agenda</w:t>
      </w:r>
      <w:r w:rsidR="00A63CE9" w:rsidRPr="00F05461">
        <w:rPr>
          <w:lang w:val="es-ES"/>
        </w:rPr>
        <w:t> </w:t>
      </w:r>
      <w:r w:rsidRPr="00F05461">
        <w:rPr>
          <w:lang w:val="es-ES"/>
        </w:rPr>
        <w:t>2030.</w:t>
      </w:r>
    </w:p>
    <w:p w14:paraId="50E898E4" w14:textId="28246F51" w:rsidR="007B4979" w:rsidRPr="00F05461" w:rsidRDefault="007B4979" w:rsidP="007B4979">
      <w:pPr>
        <w:rPr>
          <w:lang w:val="es-ES"/>
        </w:rPr>
      </w:pPr>
      <w:r w:rsidRPr="00F05461">
        <w:rPr>
          <w:lang w:val="es-ES"/>
        </w:rPr>
        <w:t xml:space="preserve">En 2025, con objeto de subrayar la importancia cada vez mayor de las tecnologías digitales en todos los ámbitos del desarrollo, </w:t>
      </w:r>
      <w:hyperlink r:id="rId482" w:history="1">
        <w:r w:rsidRPr="00F05461">
          <w:rPr>
            <w:rStyle w:val="Hyperlink"/>
            <w:rFonts w:eastAsia="Times New Roman" w:cs="Times New Roman"/>
            <w:szCs w:val="20"/>
            <w:lang w:val="es-ES"/>
          </w:rPr>
          <w:t>Digital@</w:t>
        </w:r>
        <w:r w:rsidR="00560AD9" w:rsidRPr="00F05461">
          <w:rPr>
            <w:rStyle w:val="Hyperlink"/>
            <w:rFonts w:eastAsia="Times New Roman" w:cs="Times New Roman"/>
            <w:szCs w:val="20"/>
            <w:lang w:val="es-ES"/>
          </w:rPr>
          <w:t>AGNU</w:t>
        </w:r>
      </w:hyperlink>
      <w:r w:rsidRPr="00F05461">
        <w:rPr>
          <w:lang w:val="es-ES"/>
        </w:rPr>
        <w:t xml:space="preserve"> prosiguió ese legado al promover, poner de manifiesto y destacar la innovación digital en el marco de la Asamblea General de las Naciones Unidas, celebrada en septiembre. Además de un evento principal coorganizado por </w:t>
      </w:r>
      <w:r w:rsidR="00296F03" w:rsidRPr="00F05461">
        <w:rPr>
          <w:lang w:val="es-ES"/>
        </w:rPr>
        <w:t>la UIT</w:t>
      </w:r>
      <w:r w:rsidRPr="00F05461">
        <w:rPr>
          <w:lang w:val="es-ES"/>
        </w:rPr>
        <w:t xml:space="preserve"> y el</w:t>
      </w:r>
      <w:r w:rsidR="00FC3D38" w:rsidRPr="00F05461">
        <w:rPr>
          <w:lang w:val="es-ES"/>
        </w:rPr>
        <w:t> </w:t>
      </w:r>
      <w:r w:rsidRPr="00F05461">
        <w:rPr>
          <w:lang w:val="es-ES"/>
        </w:rPr>
        <w:t>PNUD, el programa Digital@</w:t>
      </w:r>
      <w:r w:rsidR="00560AD9" w:rsidRPr="00F05461">
        <w:rPr>
          <w:lang w:val="es-ES"/>
        </w:rPr>
        <w:t>AGNU</w:t>
      </w:r>
      <w:r w:rsidRPr="00F05461">
        <w:rPr>
          <w:lang w:val="es-ES"/>
        </w:rPr>
        <w:t xml:space="preserve"> también contó con 46</w:t>
      </w:r>
      <w:r w:rsidR="00FC3D38" w:rsidRPr="00F05461">
        <w:rPr>
          <w:lang w:val="es-ES"/>
        </w:rPr>
        <w:t> </w:t>
      </w:r>
      <w:r w:rsidRPr="00F05461">
        <w:rPr>
          <w:lang w:val="es-ES"/>
        </w:rPr>
        <w:t>reuniones conexas coordinadas por más de 80</w:t>
      </w:r>
      <w:r w:rsidR="00FC3D38" w:rsidRPr="00F05461">
        <w:rPr>
          <w:lang w:val="es-ES"/>
        </w:rPr>
        <w:t> </w:t>
      </w:r>
      <w:r w:rsidRPr="00F05461">
        <w:rPr>
          <w:lang w:val="es-ES"/>
        </w:rPr>
        <w:t xml:space="preserve">organizaciones, lo que amplió sustancialmente el alcance y los resultados de </w:t>
      </w:r>
      <w:r w:rsidR="00296F03" w:rsidRPr="00F05461">
        <w:rPr>
          <w:lang w:val="es-ES"/>
        </w:rPr>
        <w:t>la UIT</w:t>
      </w:r>
      <w:r w:rsidRPr="00F05461">
        <w:rPr>
          <w:lang w:val="es-ES"/>
        </w:rPr>
        <w:t xml:space="preserve"> en la Semana de Alto Nivel de las Naciones Unidas. En diciembre, antes de la Revisión de Alto Nivel de la CMSI+20, tuvo lugar asimismo una edición especial de la iniciativa Digital@</w:t>
      </w:r>
      <w:r w:rsidR="00560AD9" w:rsidRPr="00F05461">
        <w:rPr>
          <w:lang w:val="es-ES"/>
        </w:rPr>
        <w:t>AGNU</w:t>
      </w:r>
      <w:r w:rsidRPr="00F05461">
        <w:rPr>
          <w:lang w:val="es-ES"/>
        </w:rPr>
        <w:t>, denominada Digital@</w:t>
      </w:r>
      <w:r w:rsidR="00560AD9" w:rsidRPr="00F05461">
        <w:rPr>
          <w:lang w:val="es-ES"/>
        </w:rPr>
        <w:t>AGNU</w:t>
      </w:r>
      <w:r w:rsidRPr="00F05461">
        <w:rPr>
          <w:lang w:val="es-ES"/>
        </w:rPr>
        <w:t xml:space="preserve"> de la</w:t>
      </w:r>
      <w:r w:rsidR="00FC3D38" w:rsidRPr="00F05461">
        <w:rPr>
          <w:lang w:val="es-ES"/>
        </w:rPr>
        <w:t> </w:t>
      </w:r>
      <w:r w:rsidRPr="00F05461">
        <w:rPr>
          <w:lang w:val="es-ES"/>
        </w:rPr>
        <w:t>CMSI. Al reunir a líderes de gubernamentales, la sociedad civil, el sector privado, la juventud y el sector académico, Digital@</w:t>
      </w:r>
      <w:r w:rsidR="00560AD9" w:rsidRPr="00F05461">
        <w:rPr>
          <w:lang w:val="es-ES"/>
        </w:rPr>
        <w:t>AGNU</w:t>
      </w:r>
      <w:r w:rsidRPr="00F05461">
        <w:rPr>
          <w:lang w:val="es-ES"/>
        </w:rPr>
        <w:t xml:space="preserve"> fomenta el análisis de tendencias, riesgos y oportunidades en relación con las tecnologías digitales e incipientes.</w:t>
      </w:r>
    </w:p>
    <w:p w14:paraId="063E4BF5" w14:textId="1EB1912E" w:rsidR="007B4979" w:rsidRPr="00F05461" w:rsidRDefault="007B4979" w:rsidP="00AC3213">
      <w:pPr>
        <w:pStyle w:val="Headingb"/>
      </w:pPr>
      <w:r w:rsidRPr="00F05461">
        <w:t>Comisión de la Banda Ancha: resultados tras 15</w:t>
      </w:r>
      <w:r w:rsidR="00A929E0" w:rsidRPr="00F05461">
        <w:t> </w:t>
      </w:r>
      <w:r w:rsidRPr="00F05461">
        <w:t>años de considerar la banda ancha en la agenda política internacional</w:t>
      </w:r>
    </w:p>
    <w:p w14:paraId="1EF4A36A" w14:textId="41A4F398" w:rsidR="007B4979" w:rsidRPr="00F05461" w:rsidRDefault="007B4979" w:rsidP="007B4979">
      <w:pPr>
        <w:rPr>
          <w:lang w:val="es-ES"/>
        </w:rPr>
      </w:pPr>
      <w:r w:rsidRPr="00F05461">
        <w:rPr>
          <w:lang w:val="es-ES"/>
        </w:rPr>
        <w:t xml:space="preserve">La </w:t>
      </w:r>
      <w:hyperlink r:id="rId483" w:history="1">
        <w:r w:rsidRPr="00F05461">
          <w:rPr>
            <w:rStyle w:val="Hyperlink"/>
            <w:rFonts w:eastAsia="Times New Roman" w:cs="Times New Roman"/>
            <w:szCs w:val="20"/>
            <w:lang w:val="es-ES"/>
          </w:rPr>
          <w:t>Comisión de la Banda Ancha para el Desarrollo Sostenible</w:t>
        </w:r>
      </w:hyperlink>
      <w:r w:rsidRPr="00F05461">
        <w:rPr>
          <w:lang w:val="es-ES"/>
        </w:rPr>
        <w:t xml:space="preserve"> fue creada en 2010 por </w:t>
      </w:r>
      <w:r w:rsidR="00296F03" w:rsidRPr="00F05461">
        <w:rPr>
          <w:lang w:val="es-ES"/>
        </w:rPr>
        <w:t>la UIT</w:t>
      </w:r>
      <w:r w:rsidRPr="00F05461">
        <w:rPr>
          <w:lang w:val="es-ES"/>
        </w:rPr>
        <w:t xml:space="preserve"> y la</w:t>
      </w:r>
      <w:r w:rsidR="00A929E0" w:rsidRPr="00F05461">
        <w:rPr>
          <w:lang w:val="es-ES"/>
        </w:rPr>
        <w:t> </w:t>
      </w:r>
      <w:r w:rsidRPr="00F05461">
        <w:rPr>
          <w:lang w:val="es-ES"/>
        </w:rPr>
        <w:t>UNESCO, bajo el liderazgo de Su Excelencia el presidente Paul Kagame de Rwanda y el Sr.</w:t>
      </w:r>
      <w:r w:rsidR="00EB694D" w:rsidRPr="00F05461">
        <w:rPr>
          <w:lang w:val="es-ES"/>
        </w:rPr>
        <w:t> </w:t>
      </w:r>
      <w:r w:rsidRPr="00F05461">
        <w:rPr>
          <w:lang w:val="es-ES"/>
        </w:rPr>
        <w:t>Carlos Slim Helú, destacado industrial mexicano de la Fundación Carlos Slim, con el fin de promover la conectividad universal de banda ancha para impulsar la Agenda</w:t>
      </w:r>
      <w:r w:rsidR="00EB694D" w:rsidRPr="00F05461">
        <w:rPr>
          <w:lang w:val="es-ES"/>
        </w:rPr>
        <w:t> </w:t>
      </w:r>
      <w:r w:rsidRPr="00F05461">
        <w:rPr>
          <w:lang w:val="es-ES"/>
        </w:rPr>
        <w:t xml:space="preserve">2030 de las Naciones Unidas y sus </w:t>
      </w:r>
      <w:hyperlink r:id="rId484" w:history="1">
        <w:r w:rsidRPr="00F05461">
          <w:rPr>
            <w:rStyle w:val="Hyperlink"/>
            <w:rFonts w:eastAsia="Times New Roman" w:cs="Times New Roman"/>
            <w:szCs w:val="20"/>
            <w:lang w:val="es-ES"/>
          </w:rPr>
          <w:t>siete Metas de promoción internacional</w:t>
        </w:r>
      </w:hyperlink>
      <w:r w:rsidRPr="00F05461">
        <w:rPr>
          <w:lang w:val="es-ES"/>
        </w:rPr>
        <w:t>.</w:t>
      </w:r>
    </w:p>
    <w:p w14:paraId="2A2DCFD5" w14:textId="5E326BBE" w:rsidR="007B4979" w:rsidRPr="00F05461" w:rsidRDefault="007B4979" w:rsidP="007B4979">
      <w:pPr>
        <w:rPr>
          <w:lang w:val="es-ES"/>
        </w:rPr>
      </w:pPr>
      <w:r w:rsidRPr="00F05461">
        <w:rPr>
          <w:lang w:val="es-ES"/>
        </w:rPr>
        <w:t>En 2025, la Comisión celebró su 15</w:t>
      </w:r>
      <w:r w:rsidR="00EB694D" w:rsidRPr="00F05461">
        <w:rPr>
          <w:lang w:val="es-ES"/>
        </w:rPr>
        <w:t>.</w:t>
      </w:r>
      <w:r w:rsidRPr="00F05461">
        <w:rPr>
          <w:lang w:val="es-ES"/>
        </w:rPr>
        <w:t>º</w:t>
      </w:r>
      <w:r w:rsidR="00EB694D" w:rsidRPr="00F05461">
        <w:rPr>
          <w:lang w:val="es-ES"/>
        </w:rPr>
        <w:t> </w:t>
      </w:r>
      <w:r w:rsidRPr="00F05461">
        <w:rPr>
          <w:lang w:val="es-ES"/>
        </w:rPr>
        <w:t xml:space="preserve">aniversario, y conmemoró un logro destacado en el seguimiento de los avances en materia de banda ancha e inclusión digital. Tras quince años de impulsar la conectividad de banda ancha a través de alianzas entre varias partes interesadas y actividades de promoción, el marco estratégico de la Comisión de la Banda Ancha para el Desarrollo Sostenible, las </w:t>
      </w:r>
      <w:hyperlink r:id="rId485" w:history="1">
        <w:r w:rsidRPr="00F05461">
          <w:rPr>
            <w:rStyle w:val="Hyperlink"/>
            <w:rFonts w:eastAsia="Times New Roman" w:cs="Times New Roman"/>
            <w:szCs w:val="20"/>
            <w:lang w:val="es-ES"/>
          </w:rPr>
          <w:t xml:space="preserve">Metas de promoción de la </w:t>
        </w:r>
        <w:r w:rsidR="00A63CE9" w:rsidRPr="00F05461">
          <w:rPr>
            <w:rStyle w:val="Hyperlink"/>
            <w:rFonts w:eastAsia="Times New Roman" w:cs="Times New Roman"/>
            <w:szCs w:val="20"/>
            <w:lang w:val="es-ES"/>
          </w:rPr>
          <w:t>b</w:t>
        </w:r>
        <w:r w:rsidRPr="00F05461">
          <w:rPr>
            <w:rStyle w:val="Hyperlink"/>
            <w:rFonts w:eastAsia="Times New Roman" w:cs="Times New Roman"/>
            <w:szCs w:val="20"/>
            <w:lang w:val="es-ES"/>
          </w:rPr>
          <w:t xml:space="preserve">anda </w:t>
        </w:r>
        <w:r w:rsidR="00A63CE9" w:rsidRPr="00F05461">
          <w:rPr>
            <w:rStyle w:val="Hyperlink"/>
            <w:rFonts w:eastAsia="Times New Roman" w:cs="Times New Roman"/>
            <w:szCs w:val="20"/>
            <w:lang w:val="es-ES"/>
          </w:rPr>
          <w:t>a</w:t>
        </w:r>
        <w:r w:rsidRPr="00F05461">
          <w:rPr>
            <w:rStyle w:val="Hyperlink"/>
            <w:rFonts w:eastAsia="Times New Roman" w:cs="Times New Roman"/>
            <w:szCs w:val="20"/>
            <w:lang w:val="es-ES"/>
          </w:rPr>
          <w:t>ncha</w:t>
        </w:r>
      </w:hyperlink>
      <w:r w:rsidRPr="00F05461">
        <w:rPr>
          <w:lang w:val="es-ES"/>
        </w:rPr>
        <w:t xml:space="preserve">, concluyó a finales </w:t>
      </w:r>
      <w:r w:rsidR="00B933C5" w:rsidRPr="00F05461">
        <w:rPr>
          <w:lang w:val="es-ES"/>
        </w:rPr>
        <w:t>de 202</w:t>
      </w:r>
      <w:r w:rsidRPr="00F05461">
        <w:rPr>
          <w:lang w:val="es-ES"/>
        </w:rPr>
        <w:t>5. A lo largo de su trayectoria, dicha Comisión ha publicado más de 100</w:t>
      </w:r>
      <w:r w:rsidR="00A929E0" w:rsidRPr="00F05461">
        <w:rPr>
          <w:lang w:val="es-ES"/>
        </w:rPr>
        <w:t> </w:t>
      </w:r>
      <w:r w:rsidRPr="00F05461">
        <w:rPr>
          <w:lang w:val="es-ES"/>
        </w:rPr>
        <w:t>productos de conocimiento, incluidos 15</w:t>
      </w:r>
      <w:r w:rsidR="00A929E0" w:rsidRPr="00F05461">
        <w:rPr>
          <w:lang w:val="es-ES"/>
        </w:rPr>
        <w:t> </w:t>
      </w:r>
      <w:r w:rsidRPr="00F05461">
        <w:rPr>
          <w:lang w:val="es-ES"/>
        </w:rPr>
        <w:t xml:space="preserve">informes anuales emblemáticos sobre el </w:t>
      </w:r>
      <w:hyperlink r:id="rId486" w:history="1">
        <w:r w:rsidRPr="00F05461">
          <w:rPr>
            <w:rStyle w:val="Hyperlink"/>
            <w:rFonts w:eastAsia="Times New Roman" w:cs="Times New Roman"/>
            <w:szCs w:val="20"/>
            <w:lang w:val="es-ES"/>
          </w:rPr>
          <w:t>estado de la banda ancha</w:t>
        </w:r>
      </w:hyperlink>
      <w:r w:rsidRPr="00F05461">
        <w:rPr>
          <w:lang w:val="es-ES"/>
        </w:rPr>
        <w:t>, que ofrecen datos, estudios y análisis de resultados a escala regional, y proponen soluciones para colmar la brecha en materia de conectividad. Sus más de 35</w:t>
      </w:r>
      <w:r w:rsidR="00A929E0" w:rsidRPr="00F05461">
        <w:rPr>
          <w:lang w:val="es-ES"/>
        </w:rPr>
        <w:t> </w:t>
      </w:r>
      <w:hyperlink r:id="rId487" w:history="1">
        <w:r w:rsidRPr="00F05461">
          <w:rPr>
            <w:rStyle w:val="Hyperlink"/>
            <w:rFonts w:eastAsia="Times New Roman" w:cs="Times New Roman"/>
            <w:szCs w:val="20"/>
            <w:lang w:val="es-ES"/>
          </w:rPr>
          <w:t>grupos de trabajo</w:t>
        </w:r>
      </w:hyperlink>
      <w:r w:rsidRPr="00F05461">
        <w:rPr>
          <w:lang w:val="es-ES"/>
        </w:rPr>
        <w:t>, respaldados por una comunidad de más de 500</w:t>
      </w:r>
      <w:r w:rsidR="00A929E0" w:rsidRPr="00F05461">
        <w:rPr>
          <w:lang w:val="es-ES"/>
        </w:rPr>
        <w:t> </w:t>
      </w:r>
      <w:r w:rsidRPr="00F05461">
        <w:rPr>
          <w:lang w:val="es-ES"/>
        </w:rPr>
        <w:t xml:space="preserve">expertos internacionales, han presentado estudios pioneros, recomendaciones prácticas en esferas prioritarias como la salud digital, la educación, el género, la inclusión digital y la financiación, entre otras. En 2025, el grupo de trabajo sobre </w:t>
      </w:r>
      <w:hyperlink r:id="rId488" w:history="1">
        <w:r w:rsidRPr="00F05461">
          <w:rPr>
            <w:rStyle w:val="Hyperlink"/>
            <w:rFonts w:eastAsia="Times New Roman" w:cs="Times New Roman"/>
            <w:szCs w:val="20"/>
            <w:lang w:val="es-ES"/>
          </w:rPr>
          <w:t>gobernanza de datos</w:t>
        </w:r>
      </w:hyperlink>
      <w:r w:rsidRPr="00F05461">
        <w:rPr>
          <w:lang w:val="es-ES"/>
        </w:rPr>
        <w:t xml:space="preserve">, copresidido por </w:t>
      </w:r>
      <w:r w:rsidR="00296F03" w:rsidRPr="00F05461">
        <w:rPr>
          <w:lang w:val="es-ES"/>
        </w:rPr>
        <w:t>la UIT</w:t>
      </w:r>
      <w:r w:rsidRPr="00F05461">
        <w:rPr>
          <w:lang w:val="es-ES"/>
        </w:rPr>
        <w:t>, la</w:t>
      </w:r>
      <w:r w:rsidR="00A929E0" w:rsidRPr="00F05461">
        <w:rPr>
          <w:lang w:val="es-ES"/>
        </w:rPr>
        <w:t> </w:t>
      </w:r>
      <w:r w:rsidRPr="00F05461">
        <w:rPr>
          <w:lang w:val="es-ES"/>
        </w:rPr>
        <w:t>UNESCO, el</w:t>
      </w:r>
      <w:r w:rsidR="00A929E0" w:rsidRPr="00F05461">
        <w:rPr>
          <w:lang w:val="es-ES"/>
        </w:rPr>
        <w:t> </w:t>
      </w:r>
      <w:r w:rsidRPr="00F05461">
        <w:rPr>
          <w:lang w:val="es-ES"/>
        </w:rPr>
        <w:t>PNUD y la Unión Africana, realizó las principales actividades previstas y presentó el informe final.</w:t>
      </w:r>
    </w:p>
    <w:p w14:paraId="3A8AEC4E" w14:textId="21981E70" w:rsidR="007B4979" w:rsidRPr="00F05461" w:rsidRDefault="007B4979" w:rsidP="007B4979">
      <w:pPr>
        <w:rPr>
          <w:lang w:val="es-ES"/>
        </w:rPr>
      </w:pPr>
      <w:r w:rsidRPr="00F05461">
        <w:rPr>
          <w:lang w:val="es-ES"/>
        </w:rPr>
        <w:t>Se formularon más de 70</w:t>
      </w:r>
      <w:r w:rsidR="00A929E0" w:rsidRPr="00F05461">
        <w:rPr>
          <w:lang w:val="es-ES"/>
        </w:rPr>
        <w:t> </w:t>
      </w:r>
      <w:r w:rsidRPr="00F05461">
        <w:rPr>
          <w:lang w:val="es-ES"/>
        </w:rPr>
        <w:t xml:space="preserve">recomendaciones políticas específicas, que abarcan esferas fundamentales como el uso compartido de la infraestructura de banda ancha, la inversión y las políticas relativas al espectro, entre otras. La Comisión también estableció siete Metas de promoción de la </w:t>
      </w:r>
      <w:r w:rsidR="00A63CE9" w:rsidRPr="00F05461">
        <w:rPr>
          <w:lang w:val="es-ES"/>
        </w:rPr>
        <w:t>b</w:t>
      </w:r>
      <w:r w:rsidRPr="00F05461">
        <w:rPr>
          <w:lang w:val="es-ES"/>
        </w:rPr>
        <w:t xml:space="preserve">anda </w:t>
      </w:r>
      <w:r w:rsidR="00A63CE9" w:rsidRPr="00F05461">
        <w:rPr>
          <w:lang w:val="es-ES"/>
        </w:rPr>
        <w:t>a</w:t>
      </w:r>
      <w:r w:rsidRPr="00F05461">
        <w:rPr>
          <w:lang w:val="es-ES"/>
        </w:rPr>
        <w:t xml:space="preserve">ncha reconocidas a escala mundial, que sirvieron de guía programática para la adopción de medidas a escalas regional e internacional destinadas a fomentar la banda ancha y lograr la conectividad universal. Entre ellas, el objetivo de asequibilidad, fijado inicialmente en el 5 por ciento de los ingresos mensuales y revisado posteriormente al 2 por ciento, ha sido adoptado como nivel de referencia por gobiernos y el sector industrial a escala mundial, y es medido anualmente por </w:t>
      </w:r>
      <w:r w:rsidR="00296F03" w:rsidRPr="00F05461">
        <w:rPr>
          <w:lang w:val="es-ES"/>
        </w:rPr>
        <w:t>la UIT</w:t>
      </w:r>
      <w:r w:rsidRPr="00F05461">
        <w:rPr>
          <w:lang w:val="es-ES"/>
        </w:rPr>
        <w:t>.</w:t>
      </w:r>
    </w:p>
    <w:p w14:paraId="7E984293" w14:textId="687BD8BB" w:rsidR="007B4979" w:rsidRPr="00F05461" w:rsidRDefault="007B4979" w:rsidP="007B4979">
      <w:pPr>
        <w:rPr>
          <w:lang w:val="es-ES"/>
        </w:rPr>
      </w:pPr>
      <w:r w:rsidRPr="00F05461">
        <w:rPr>
          <w:lang w:val="es-ES"/>
        </w:rPr>
        <w:t>Con ocasión de su 15</w:t>
      </w:r>
      <w:r w:rsidR="00A929E0" w:rsidRPr="00F05461">
        <w:rPr>
          <w:lang w:val="es-ES"/>
        </w:rPr>
        <w:t>.º </w:t>
      </w:r>
      <w:r w:rsidRPr="00F05461">
        <w:rPr>
          <w:lang w:val="es-ES"/>
        </w:rPr>
        <w:t xml:space="preserve">aniversario, la Comisión publicó una nueva serie de informes, desglosada en cuatro partes, de título «El estado de la banda ancha en 2025». Ese enfoque ampliado refleja la creciente complejidad del ecosistema de la banda ancha y el ámbito digital, y ofrece información pormenorizada sobre esferas específicas: los avances para alcanzar las siete </w:t>
      </w:r>
      <w:hyperlink r:id="rId489" w:history="1">
        <w:r w:rsidRPr="00F05461">
          <w:rPr>
            <w:rStyle w:val="Hyperlink"/>
            <w:rFonts w:eastAsia="Times New Roman" w:cs="Times New Roman"/>
            <w:szCs w:val="20"/>
            <w:lang w:val="es-ES"/>
          </w:rPr>
          <w:t>metas de promoción</w:t>
        </w:r>
      </w:hyperlink>
      <w:r w:rsidRPr="00F05461">
        <w:rPr>
          <w:lang w:val="es-ES"/>
        </w:rPr>
        <w:t xml:space="preserve"> de la Comisión; la evolución regional, en particular África; las tecnologías incipientes de satélite y no terrenales; y la transformación más amplia de las sociedades digitales, en particular la</w:t>
      </w:r>
      <w:r w:rsidR="00FF1AB6">
        <w:rPr>
          <w:lang w:val="es-ES"/>
        </w:rPr>
        <w:t> IA</w:t>
      </w:r>
      <w:r w:rsidRPr="00F05461">
        <w:rPr>
          <w:lang w:val="es-ES"/>
        </w:rPr>
        <w:t xml:space="preserve">, la gobernanza de los datos y la infraestructura digital. Esta edición especial también contó con el apoyo de un </w:t>
      </w:r>
      <w:hyperlink r:id="rId490" w:history="1">
        <w:r w:rsidRPr="00F05461">
          <w:rPr>
            <w:rStyle w:val="Hyperlink"/>
            <w:rFonts w:eastAsia="Times New Roman" w:cs="Times New Roman"/>
            <w:szCs w:val="20"/>
            <w:lang w:val="es-ES"/>
          </w:rPr>
          <w:t xml:space="preserve">conjunto de </w:t>
        </w:r>
        <w:r w:rsidRPr="00F05461">
          <w:rPr>
            <w:rStyle w:val="Hyperlink"/>
            <w:rFonts w:eastAsia="Times New Roman" w:cs="Times New Roman"/>
            <w:i/>
            <w:iCs/>
            <w:szCs w:val="20"/>
            <w:lang w:val="es-ES"/>
          </w:rPr>
          <w:t>p</w:t>
        </w:r>
        <w:r w:rsidR="007E0D94" w:rsidRPr="00F05461">
          <w:rPr>
            <w:rStyle w:val="Hyperlink"/>
            <w:rFonts w:eastAsia="Times New Roman" w:cs="Times New Roman"/>
            <w:i/>
            <w:iCs/>
            <w:szCs w:val="20"/>
            <w:lang w:val="es-ES"/>
          </w:rPr>
          <w:t>o</w:t>
        </w:r>
        <w:r w:rsidRPr="00F05461">
          <w:rPr>
            <w:rStyle w:val="Hyperlink"/>
            <w:rFonts w:eastAsia="Times New Roman" w:cs="Times New Roman"/>
            <w:i/>
            <w:iCs/>
            <w:szCs w:val="20"/>
            <w:lang w:val="es-ES"/>
          </w:rPr>
          <w:t>dcasts</w:t>
        </w:r>
      </w:hyperlink>
      <w:r w:rsidRPr="00F05461">
        <w:rPr>
          <w:lang w:val="es-ES"/>
        </w:rPr>
        <w:t>.</w:t>
      </w:r>
    </w:p>
    <w:p w14:paraId="323F043A" w14:textId="55C4F99D" w:rsidR="007B4979" w:rsidRPr="00F05461" w:rsidRDefault="007B4979" w:rsidP="00FC3D38">
      <w:pPr>
        <w:rPr>
          <w:lang w:val="es-ES"/>
        </w:rPr>
      </w:pPr>
      <w:r w:rsidRPr="00F05461">
        <w:rPr>
          <w:lang w:val="es-ES"/>
        </w:rPr>
        <w:t>La Comisión contribuyó a promover iniciativas mundiales como EQUALS, a fin de reducir la brecha digital de género; Giga, para conectar todas las escuelas a Internet; y la Iniciativa de Escuelas Digitales de la</w:t>
      </w:r>
      <w:r w:rsidR="00A929E0" w:rsidRPr="00F05461">
        <w:rPr>
          <w:lang w:val="es-ES"/>
        </w:rPr>
        <w:t> </w:t>
      </w:r>
      <w:r w:rsidRPr="00F05461">
        <w:rPr>
          <w:lang w:val="es-ES"/>
        </w:rPr>
        <w:t xml:space="preserve">UNESCO. Proporcionó información sobre la puesta en marcha de la Declaración Universal sobre la Seguridad de la Infancia en Internet y publicó una </w:t>
      </w:r>
      <w:r w:rsidRPr="00F05461">
        <w:rPr>
          <w:i/>
          <w:iCs/>
          <w:lang w:val="es-ES"/>
        </w:rPr>
        <w:t xml:space="preserve">Agenda para la acción </w:t>
      </w:r>
      <w:r w:rsidRPr="00F05461">
        <w:rPr>
          <w:lang w:val="es-ES"/>
        </w:rPr>
        <w:t xml:space="preserve">con objeto de apoyar las estrategias de respuesta en el plano digital a raíz de la pandemia de COVID-19. La Comisión sentó un valioso precedente sobre la importancia que reviste trabajo colaborativo para conectar las personas que carecen de conexión y contribuyó a sentar las bases para el futuro digital. Varias líneas de trabajo de la Comisión siguen inspirando su labor conjunta en el marco de otras iniciativas estratégicas, entre ellas la </w:t>
      </w:r>
      <w:hyperlink r:id="rId491" w:history="1">
        <w:r w:rsidRPr="00F05461">
          <w:rPr>
            <w:rStyle w:val="Hyperlink"/>
            <w:rFonts w:eastAsia="Times New Roman" w:cs="Times New Roman"/>
            <w:szCs w:val="20"/>
            <w:lang w:val="es-ES"/>
          </w:rPr>
          <w:t xml:space="preserve">Alianza </w:t>
        </w:r>
        <w:r w:rsidR="00126CB3" w:rsidRPr="00F05461">
          <w:rPr>
            <w:rStyle w:val="Hyperlink"/>
            <w:rFonts w:eastAsia="Times New Roman" w:cs="Times New Roman"/>
            <w:szCs w:val="20"/>
            <w:lang w:val="es-ES"/>
          </w:rPr>
          <w:t>M</w:t>
        </w:r>
        <w:r w:rsidRPr="00F05461">
          <w:rPr>
            <w:rStyle w:val="Hyperlink"/>
            <w:rFonts w:eastAsia="Times New Roman" w:cs="Times New Roman"/>
            <w:szCs w:val="20"/>
            <w:lang w:val="es-ES"/>
          </w:rPr>
          <w:t>undial EQUALS</w:t>
        </w:r>
      </w:hyperlink>
      <w:r w:rsidRPr="00F05461">
        <w:rPr>
          <w:lang w:val="es-ES"/>
        </w:rPr>
        <w:t xml:space="preserve">, </w:t>
      </w:r>
      <w:hyperlink r:id="rId492" w:history="1">
        <w:r w:rsidRPr="00F05461">
          <w:rPr>
            <w:rStyle w:val="Hyperlink"/>
            <w:rFonts w:eastAsia="Times New Roman" w:cs="Times New Roman"/>
            <w:szCs w:val="20"/>
            <w:lang w:val="es-ES"/>
          </w:rPr>
          <w:t>UNICEF-UIT Giga</w:t>
        </w:r>
      </w:hyperlink>
      <w:r w:rsidRPr="00F05461">
        <w:rPr>
          <w:lang w:val="es-ES"/>
        </w:rPr>
        <w:t xml:space="preserve">, el </w:t>
      </w:r>
      <w:hyperlink r:id="rId493" w:history="1">
        <w:r w:rsidRPr="00F05461">
          <w:rPr>
            <w:rStyle w:val="Hyperlink"/>
            <w:rFonts w:eastAsia="Times New Roman" w:cs="Times New Roman"/>
            <w:szCs w:val="20"/>
            <w:lang w:val="es-ES"/>
          </w:rPr>
          <w:t>Conjunto de herramientas sobre gobernanza de los datos</w:t>
        </w:r>
      </w:hyperlink>
      <w:r w:rsidRPr="00F05461">
        <w:rPr>
          <w:lang w:val="es-ES"/>
        </w:rPr>
        <w:t xml:space="preserve"> y la </w:t>
      </w:r>
      <w:hyperlink r:id="rId494" w:history="1">
        <w:r w:rsidRPr="00F05461">
          <w:rPr>
            <w:rStyle w:val="Hyperlink"/>
            <w:rFonts w:eastAsia="Times New Roman" w:cs="Times New Roman"/>
            <w:szCs w:val="20"/>
            <w:lang w:val="es-ES"/>
          </w:rPr>
          <w:t xml:space="preserve">Coalición Digital </w:t>
        </w:r>
        <w:r w:rsidRPr="00F05461">
          <w:rPr>
            <w:rStyle w:val="Hyperlink"/>
            <w:rFonts w:eastAsia="Times New Roman" w:cs="Times New Roman"/>
            <w:iCs/>
            <w:szCs w:val="20"/>
            <w:lang w:val="es-ES"/>
          </w:rPr>
          <w:t>Partner2Connect</w:t>
        </w:r>
        <w:r w:rsidRPr="00F05461">
          <w:rPr>
            <w:rStyle w:val="Hyperlink"/>
            <w:rFonts w:eastAsia="Times New Roman" w:cs="Times New Roman"/>
            <w:i/>
            <w:iCs/>
            <w:szCs w:val="20"/>
            <w:lang w:val="es-ES"/>
          </w:rPr>
          <w:t xml:space="preserve"> </w:t>
        </w:r>
        <w:r w:rsidRPr="00F05461">
          <w:rPr>
            <w:rStyle w:val="Hyperlink"/>
            <w:rFonts w:eastAsia="Times New Roman" w:cs="Times New Roman"/>
            <w:szCs w:val="20"/>
            <w:lang w:val="es-ES"/>
          </w:rPr>
          <w:t xml:space="preserve">de </w:t>
        </w:r>
        <w:r w:rsidR="00296F03" w:rsidRPr="00F05461">
          <w:rPr>
            <w:rStyle w:val="Hyperlink"/>
            <w:rFonts w:eastAsia="Times New Roman" w:cs="Times New Roman"/>
            <w:szCs w:val="20"/>
            <w:lang w:val="es-ES"/>
          </w:rPr>
          <w:t>la UIT</w:t>
        </w:r>
      </w:hyperlink>
      <w:r w:rsidRPr="00F05461">
        <w:rPr>
          <w:lang w:val="es-ES"/>
        </w:rPr>
        <w:t>.</w:t>
      </w:r>
    </w:p>
    <w:p w14:paraId="3692049B" w14:textId="49B1200F" w:rsidR="007B4979" w:rsidRPr="00F05461" w:rsidRDefault="007B4979" w:rsidP="007B4979">
      <w:pPr>
        <w:rPr>
          <w:lang w:val="es-ES"/>
        </w:rPr>
      </w:pPr>
      <w:r w:rsidRPr="00F05461">
        <w:rPr>
          <w:lang w:val="es-ES"/>
        </w:rPr>
        <w:t>La Comisión de la Banda Ancha prevé comenzar una nueva etapa en la que ampliará su experiencia y conocimientos especializados con respecto a la</w:t>
      </w:r>
      <w:r w:rsidR="00FF1AB6">
        <w:rPr>
          <w:lang w:val="es-ES"/>
        </w:rPr>
        <w:t> IA</w:t>
      </w:r>
      <w:r w:rsidRPr="00F05461">
        <w:rPr>
          <w:lang w:val="es-ES"/>
        </w:rPr>
        <w:t xml:space="preserve"> y los datos. Su legado de útil cooperación ininterrumpida de varias partes interesadas brinda una sólida plataforma para afrontar el nuevo tipo de retos digitales.</w:t>
      </w:r>
    </w:p>
    <w:p w14:paraId="1AC7787D" w14:textId="1F0CD2AE" w:rsidR="007B4979" w:rsidRPr="00F05461" w:rsidRDefault="007B4979" w:rsidP="00AC3213">
      <w:pPr>
        <w:pStyle w:val="Headingb"/>
      </w:pPr>
      <w:r w:rsidRPr="00F05461">
        <w:lastRenderedPageBreak/>
        <w:t>EQUALS: promoción del acceso, las competencias y el liderazgo de mujeres y las niñas respecto de las</w:t>
      </w:r>
      <w:r w:rsidR="00EB694D" w:rsidRPr="00F05461">
        <w:t> </w:t>
      </w:r>
      <w:r w:rsidRPr="00F05461">
        <w:t>TIC</w:t>
      </w:r>
    </w:p>
    <w:p w14:paraId="71662681" w14:textId="0CFE78B5" w:rsidR="007B4979" w:rsidRPr="00F05461" w:rsidRDefault="007B4979" w:rsidP="002555AC">
      <w:pPr>
        <w:keepNext/>
        <w:keepLines/>
        <w:rPr>
          <w:lang w:val="es-ES"/>
        </w:rPr>
      </w:pPr>
      <w:r w:rsidRPr="00F05461">
        <w:rPr>
          <w:lang w:val="es-ES"/>
        </w:rPr>
        <w:t xml:space="preserve">En calidad de organizadora y asociada cofundadora de la </w:t>
      </w:r>
      <w:hyperlink r:id="rId495" w:history="1">
        <w:r w:rsidRPr="00F05461">
          <w:rPr>
            <w:rStyle w:val="Hyperlink"/>
            <w:rFonts w:eastAsia="Times New Roman" w:cs="Times New Roman"/>
            <w:szCs w:val="20"/>
            <w:lang w:val="es-ES"/>
          </w:rPr>
          <w:t xml:space="preserve">Alianza </w:t>
        </w:r>
        <w:r w:rsidR="00126CB3" w:rsidRPr="00F05461">
          <w:rPr>
            <w:rStyle w:val="Hyperlink"/>
            <w:rFonts w:eastAsia="Times New Roman" w:cs="Times New Roman"/>
            <w:szCs w:val="20"/>
            <w:lang w:val="es-ES"/>
          </w:rPr>
          <w:t>M</w:t>
        </w:r>
        <w:r w:rsidRPr="00F05461">
          <w:rPr>
            <w:rStyle w:val="Hyperlink"/>
            <w:rFonts w:eastAsia="Times New Roman" w:cs="Times New Roman"/>
            <w:szCs w:val="20"/>
            <w:lang w:val="es-ES"/>
          </w:rPr>
          <w:t xml:space="preserve">undial EQUALS para la </w:t>
        </w:r>
        <w:r w:rsidR="00FD42C4" w:rsidRPr="00F05461">
          <w:rPr>
            <w:rStyle w:val="Hyperlink"/>
            <w:rFonts w:eastAsia="Times New Roman" w:cs="Times New Roman"/>
            <w:szCs w:val="20"/>
            <w:lang w:val="es-ES"/>
          </w:rPr>
          <w:t>i</w:t>
        </w:r>
        <w:r w:rsidRPr="00F05461">
          <w:rPr>
            <w:rStyle w:val="Hyperlink"/>
            <w:rFonts w:eastAsia="Times New Roman" w:cs="Times New Roman"/>
            <w:szCs w:val="20"/>
            <w:lang w:val="es-ES"/>
          </w:rPr>
          <w:t xml:space="preserve">gualdad de </w:t>
        </w:r>
        <w:r w:rsidR="00FD42C4" w:rsidRPr="00F05461">
          <w:rPr>
            <w:rStyle w:val="Hyperlink"/>
            <w:rFonts w:eastAsia="Times New Roman" w:cs="Times New Roman"/>
            <w:szCs w:val="20"/>
            <w:lang w:val="es-ES"/>
          </w:rPr>
          <w:t>g</w:t>
        </w:r>
        <w:r w:rsidRPr="00F05461">
          <w:rPr>
            <w:rStyle w:val="Hyperlink"/>
            <w:rFonts w:eastAsia="Times New Roman" w:cs="Times New Roman"/>
            <w:szCs w:val="20"/>
            <w:lang w:val="es-ES"/>
          </w:rPr>
          <w:t xml:space="preserve">énero en la </w:t>
        </w:r>
        <w:r w:rsidR="00FD42C4" w:rsidRPr="00F05461">
          <w:rPr>
            <w:rStyle w:val="Hyperlink"/>
            <w:rFonts w:eastAsia="Times New Roman" w:cs="Times New Roman"/>
            <w:szCs w:val="20"/>
            <w:lang w:val="es-ES"/>
          </w:rPr>
          <w:t>e</w:t>
        </w:r>
        <w:r w:rsidRPr="00F05461">
          <w:rPr>
            <w:rStyle w:val="Hyperlink"/>
            <w:rFonts w:eastAsia="Times New Roman" w:cs="Times New Roman"/>
            <w:szCs w:val="20"/>
            <w:lang w:val="es-ES"/>
          </w:rPr>
          <w:t xml:space="preserve">ra </w:t>
        </w:r>
        <w:r w:rsidR="00FD42C4" w:rsidRPr="00F05461">
          <w:rPr>
            <w:rStyle w:val="Hyperlink"/>
            <w:rFonts w:eastAsia="Times New Roman" w:cs="Times New Roman"/>
            <w:szCs w:val="20"/>
            <w:lang w:val="es-ES"/>
          </w:rPr>
          <w:t>d</w:t>
        </w:r>
        <w:r w:rsidRPr="00F05461">
          <w:rPr>
            <w:rStyle w:val="Hyperlink"/>
            <w:rFonts w:eastAsia="Times New Roman" w:cs="Times New Roman"/>
            <w:szCs w:val="20"/>
            <w:lang w:val="es-ES"/>
          </w:rPr>
          <w:t>igital</w:t>
        </w:r>
      </w:hyperlink>
      <w:r w:rsidRPr="00F05461">
        <w:rPr>
          <w:lang w:val="es-ES"/>
        </w:rPr>
        <w:t xml:space="preserve">, </w:t>
      </w:r>
      <w:r w:rsidR="00296F03" w:rsidRPr="00F05461">
        <w:rPr>
          <w:lang w:val="es-ES"/>
        </w:rPr>
        <w:t>la UIT</w:t>
      </w:r>
      <w:r w:rsidRPr="00F05461">
        <w:rPr>
          <w:lang w:val="es-ES"/>
        </w:rPr>
        <w:t xml:space="preserve"> ha colaborado con más de 100</w:t>
      </w:r>
      <w:r w:rsidR="00EB694D" w:rsidRPr="00F05461">
        <w:rPr>
          <w:lang w:val="es-ES"/>
        </w:rPr>
        <w:t> </w:t>
      </w:r>
      <w:r w:rsidRPr="00F05461">
        <w:rPr>
          <w:lang w:val="es-ES"/>
        </w:rPr>
        <w:t xml:space="preserve">asociados, de todos los sectores, para reducir la brecha digital de género, al tiempo que ha respaldado los esfuerzos de las coaliciones sobre acceso, competencias, liderazgo e investigación. La </w:t>
      </w:r>
      <w:hyperlink r:id="rId496" w:history="1">
        <w:r w:rsidRPr="00C8537E">
          <w:rPr>
            <w:rStyle w:val="Hyperlink"/>
            <w:rFonts w:eastAsia="Times New Roman" w:cs="Times New Roman"/>
            <w:szCs w:val="20"/>
            <w:lang w:val="es-ES"/>
          </w:rPr>
          <w:t xml:space="preserve">Alianza </w:t>
        </w:r>
        <w:r w:rsidR="00C8537E" w:rsidRPr="00C8537E">
          <w:rPr>
            <w:rStyle w:val="Hyperlink"/>
            <w:rFonts w:eastAsia="Times New Roman" w:cs="Times New Roman"/>
            <w:szCs w:val="20"/>
            <w:lang w:val="es-ES"/>
          </w:rPr>
          <w:t>M</w:t>
        </w:r>
        <w:r w:rsidRPr="00C8537E">
          <w:rPr>
            <w:rStyle w:val="Hyperlink"/>
            <w:rFonts w:eastAsia="Times New Roman" w:cs="Times New Roman"/>
            <w:szCs w:val="20"/>
            <w:lang w:val="es-ES"/>
          </w:rPr>
          <w:t>undial EQUALS</w:t>
        </w:r>
      </w:hyperlink>
      <w:r w:rsidRPr="00F05461">
        <w:rPr>
          <w:lang w:val="es-ES"/>
        </w:rPr>
        <w:t xml:space="preserve"> para la </w:t>
      </w:r>
      <w:r w:rsidR="00FD42C4" w:rsidRPr="00F05461">
        <w:rPr>
          <w:lang w:val="es-ES"/>
        </w:rPr>
        <w:t>i</w:t>
      </w:r>
      <w:r w:rsidRPr="00F05461">
        <w:rPr>
          <w:lang w:val="es-ES"/>
        </w:rPr>
        <w:t xml:space="preserve">gualdad de </w:t>
      </w:r>
      <w:r w:rsidR="00FD42C4" w:rsidRPr="00F05461">
        <w:rPr>
          <w:lang w:val="es-ES"/>
        </w:rPr>
        <w:t>g</w:t>
      </w:r>
      <w:r w:rsidRPr="00F05461">
        <w:rPr>
          <w:lang w:val="es-ES"/>
        </w:rPr>
        <w:t xml:space="preserve">énero en la </w:t>
      </w:r>
      <w:r w:rsidR="00FD42C4" w:rsidRPr="00F05461">
        <w:rPr>
          <w:lang w:val="es-ES"/>
        </w:rPr>
        <w:t>e</w:t>
      </w:r>
      <w:r w:rsidRPr="00F05461">
        <w:rPr>
          <w:lang w:val="es-ES"/>
        </w:rPr>
        <w:t xml:space="preserve">ra </w:t>
      </w:r>
      <w:r w:rsidR="00FD42C4" w:rsidRPr="00F05461">
        <w:rPr>
          <w:lang w:val="es-ES"/>
        </w:rPr>
        <w:t>d</w:t>
      </w:r>
      <w:r w:rsidRPr="00F05461">
        <w:rPr>
          <w:lang w:val="es-ES"/>
        </w:rPr>
        <w:t>igital es un grupo comprometido de líderes empresariales, gubernamentales y empresariales, y de organizaciones sin ánimo de lucro, instituciones académicas, ONG y grupos comunitarios de todo el mundo, dedicado a facilitar el equilibrio de género en el sector tecnológico, y abrogar por la igualdad de acceso, el desarrollo de competencias y las oportunidades profesionales de mujeres y hombres.</w:t>
      </w:r>
    </w:p>
    <w:p w14:paraId="76E00D8F" w14:textId="4C9F545A" w:rsidR="007B4979" w:rsidRPr="00F05461" w:rsidRDefault="007B4979" w:rsidP="007B4979">
      <w:pPr>
        <w:rPr>
          <w:lang w:val="es-ES"/>
        </w:rPr>
      </w:pPr>
      <w:r w:rsidRPr="00F05461">
        <w:rPr>
          <w:lang w:val="es-ES"/>
        </w:rPr>
        <w:t xml:space="preserve">EQUALS fomenta la colaboración y la ampliación de iniciativas satisfactorias en sus coaliciones sobre </w:t>
      </w:r>
      <w:hyperlink r:id="rId497" w:history="1">
        <w:r w:rsidRPr="00F05461">
          <w:rPr>
            <w:rStyle w:val="Hyperlink"/>
            <w:rFonts w:eastAsia="Times New Roman" w:cs="Times New Roman"/>
            <w:szCs w:val="20"/>
            <w:lang w:val="es-ES"/>
          </w:rPr>
          <w:t>acceso</w:t>
        </w:r>
      </w:hyperlink>
      <w:r w:rsidRPr="00F05461">
        <w:rPr>
          <w:lang w:val="es-ES"/>
        </w:rPr>
        <w:t xml:space="preserve">, </w:t>
      </w:r>
      <w:hyperlink r:id="rId498" w:history="1">
        <w:r w:rsidRPr="00F05461">
          <w:rPr>
            <w:rStyle w:val="Hyperlink"/>
            <w:rFonts w:eastAsia="Times New Roman" w:cs="Times New Roman"/>
            <w:szCs w:val="20"/>
            <w:lang w:val="es-ES"/>
          </w:rPr>
          <w:t>competencias</w:t>
        </w:r>
      </w:hyperlink>
      <w:r w:rsidRPr="00F05461">
        <w:rPr>
          <w:lang w:val="es-ES"/>
        </w:rPr>
        <w:t xml:space="preserve">, </w:t>
      </w:r>
      <w:hyperlink r:id="rId499" w:history="1">
        <w:r w:rsidRPr="00F05461">
          <w:rPr>
            <w:rStyle w:val="Hyperlink"/>
            <w:rFonts w:eastAsia="Times New Roman" w:cs="Times New Roman"/>
            <w:szCs w:val="20"/>
            <w:lang w:val="es-ES"/>
          </w:rPr>
          <w:t>liderazgo</w:t>
        </w:r>
      </w:hyperlink>
      <w:r w:rsidRPr="00F05461">
        <w:rPr>
          <w:lang w:val="es-ES"/>
        </w:rPr>
        <w:t xml:space="preserve"> e </w:t>
      </w:r>
      <w:hyperlink r:id="rId500" w:history="1">
        <w:r w:rsidRPr="00F05461">
          <w:rPr>
            <w:rStyle w:val="Hyperlink"/>
            <w:rFonts w:eastAsia="Times New Roman" w:cs="Times New Roman"/>
            <w:szCs w:val="20"/>
            <w:lang w:val="es-ES"/>
          </w:rPr>
          <w:t>investigación</w:t>
        </w:r>
      </w:hyperlink>
      <w:r w:rsidRPr="00F05461">
        <w:rPr>
          <w:lang w:val="es-ES"/>
        </w:rPr>
        <w:t xml:space="preserve"> para reducir la brecha digital de género cada vez mayor y propiciar avances para alcanzar el Objetivo de Desarrollo Sostenible</w:t>
      </w:r>
      <w:r w:rsidR="00EB694D" w:rsidRPr="00F05461">
        <w:rPr>
          <w:lang w:val="es-ES"/>
        </w:rPr>
        <w:t> </w:t>
      </w:r>
      <w:r w:rsidRPr="00F05461">
        <w:rPr>
          <w:lang w:val="es-ES"/>
        </w:rPr>
        <w:t xml:space="preserve">5, en particular la </w:t>
      </w:r>
      <w:r w:rsidR="00FD42C4" w:rsidRPr="00F05461">
        <w:rPr>
          <w:lang w:val="es-ES"/>
        </w:rPr>
        <w:t>Meta </w:t>
      </w:r>
      <w:r w:rsidRPr="00F05461">
        <w:rPr>
          <w:lang w:val="es-ES"/>
        </w:rPr>
        <w:t>5.B sobre la mejora del acceso de las mujeres a las</w:t>
      </w:r>
      <w:r w:rsidR="00EB694D" w:rsidRPr="00F05461">
        <w:rPr>
          <w:lang w:val="es-ES"/>
        </w:rPr>
        <w:t> </w:t>
      </w:r>
      <w:r w:rsidRPr="00F05461">
        <w:rPr>
          <w:lang w:val="es-ES"/>
        </w:rPr>
        <w:t>TIC en e</w:t>
      </w:r>
      <w:r w:rsidR="00EB694D" w:rsidRPr="00F05461">
        <w:rPr>
          <w:lang w:val="es-ES"/>
        </w:rPr>
        <w:t>l</w:t>
      </w:r>
      <w:r w:rsidRPr="00F05461">
        <w:rPr>
          <w:lang w:val="es-ES"/>
        </w:rPr>
        <w:t xml:space="preserve"> marco de </w:t>
      </w:r>
      <w:hyperlink r:id="rId501" w:history="1">
        <w:r w:rsidRPr="00F05461">
          <w:rPr>
            <w:rStyle w:val="Hyperlink"/>
            <w:rFonts w:eastAsia="Times New Roman" w:cs="Times New Roman"/>
            <w:szCs w:val="20"/>
            <w:lang w:val="es-ES"/>
          </w:rPr>
          <w:t>talleres</w:t>
        </w:r>
      </w:hyperlink>
      <w:r w:rsidRPr="00F05461">
        <w:rPr>
          <w:lang w:val="es-ES"/>
        </w:rPr>
        <w:t xml:space="preserve">, </w:t>
      </w:r>
      <w:hyperlink r:id="rId502" w:history="1">
        <w:r w:rsidRPr="00F05461">
          <w:rPr>
            <w:rStyle w:val="Hyperlink"/>
            <w:rFonts w:eastAsia="Times New Roman" w:cs="Times New Roman"/>
            <w:szCs w:val="20"/>
            <w:lang w:val="es-ES"/>
          </w:rPr>
          <w:t>tutorías en línea</w:t>
        </w:r>
      </w:hyperlink>
      <w:r w:rsidRPr="00F05461">
        <w:rPr>
          <w:lang w:val="es-ES"/>
        </w:rPr>
        <w:t xml:space="preserve"> con profesionales tecnológicos reconocidos y un </w:t>
      </w:r>
      <w:hyperlink r:id="rId503" w:history="1">
        <w:r w:rsidRPr="00F05461">
          <w:rPr>
            <w:rStyle w:val="Hyperlink"/>
            <w:rFonts w:eastAsia="Times New Roman" w:cs="Times New Roman"/>
            <w:szCs w:val="20"/>
            <w:lang w:val="es-ES"/>
          </w:rPr>
          <w:t>programa de insignias</w:t>
        </w:r>
      </w:hyperlink>
      <w:r w:rsidRPr="00F05461">
        <w:rPr>
          <w:lang w:val="es-ES"/>
        </w:rPr>
        <w:t xml:space="preserve"> de homologación.</w:t>
      </w:r>
    </w:p>
    <w:p w14:paraId="0C7519F8" w14:textId="1135A1CC" w:rsidR="007B4979" w:rsidRPr="00F05461" w:rsidRDefault="007B4979" w:rsidP="007B4979">
      <w:pPr>
        <w:rPr>
          <w:lang w:val="es-ES"/>
        </w:rPr>
      </w:pPr>
      <w:r w:rsidRPr="00F05461">
        <w:rPr>
          <w:lang w:val="es-ES"/>
        </w:rPr>
        <w:t xml:space="preserve">En colaboración con sus asociados, </w:t>
      </w:r>
      <w:r w:rsidR="00296F03" w:rsidRPr="00F05461">
        <w:rPr>
          <w:lang w:val="es-ES"/>
        </w:rPr>
        <w:t>la UIT</w:t>
      </w:r>
      <w:r w:rsidRPr="00F05461">
        <w:rPr>
          <w:lang w:val="es-ES"/>
        </w:rPr>
        <w:t xml:space="preserve"> ha promovido programas como EQUALS </w:t>
      </w:r>
      <w:hyperlink r:id="rId504" w:history="1">
        <w:r w:rsidRPr="00F05461">
          <w:rPr>
            <w:rStyle w:val="Hyperlink"/>
            <w:rFonts w:eastAsia="Times New Roman" w:cs="Times New Roman"/>
            <w:szCs w:val="20"/>
            <w:lang w:val="es-ES"/>
          </w:rPr>
          <w:t>Her Digital Skills</w:t>
        </w:r>
      </w:hyperlink>
      <w:r w:rsidRPr="00F05461">
        <w:rPr>
          <w:lang w:val="es-ES"/>
        </w:rPr>
        <w:t xml:space="preserve"> y la </w:t>
      </w:r>
      <w:r w:rsidR="00C43944" w:rsidRPr="00F05461">
        <w:rPr>
          <w:lang w:val="es-ES"/>
        </w:rPr>
        <w:t>i</w:t>
      </w:r>
      <w:r w:rsidRPr="00F05461">
        <w:rPr>
          <w:lang w:val="es-ES"/>
        </w:rPr>
        <w:t xml:space="preserve">niciativa </w:t>
      </w:r>
      <w:r w:rsidR="00FD42C4" w:rsidRPr="00F05461">
        <w:rPr>
          <w:lang w:val="es-ES"/>
        </w:rPr>
        <w:t>c</w:t>
      </w:r>
      <w:r w:rsidRPr="00F05461">
        <w:rPr>
          <w:lang w:val="es-ES"/>
        </w:rPr>
        <w:t xml:space="preserve">onjunta UIT-EIF EQUALS </w:t>
      </w:r>
      <w:hyperlink r:id="rId505" w:history="1">
        <w:r w:rsidRPr="00F05461">
          <w:rPr>
            <w:rStyle w:val="Hyperlink"/>
            <w:rFonts w:eastAsia="Times New Roman" w:cs="Times New Roman"/>
            <w:szCs w:val="20"/>
            <w:lang w:val="es-ES"/>
          </w:rPr>
          <w:t xml:space="preserve">La </w:t>
        </w:r>
        <w:r w:rsidR="003701FD" w:rsidRPr="00F05461">
          <w:rPr>
            <w:rStyle w:val="Hyperlink"/>
            <w:rFonts w:eastAsia="Times New Roman" w:cs="Times New Roman"/>
            <w:szCs w:val="20"/>
            <w:lang w:val="es-ES"/>
          </w:rPr>
          <w:t xml:space="preserve">Tecnología </w:t>
        </w:r>
        <w:r w:rsidRPr="00F05461">
          <w:rPr>
            <w:rStyle w:val="Hyperlink"/>
            <w:rFonts w:eastAsia="Times New Roman" w:cs="Times New Roman"/>
            <w:szCs w:val="20"/>
            <w:lang w:val="es-ES"/>
          </w:rPr>
          <w:t xml:space="preserve">como </w:t>
        </w:r>
        <w:r w:rsidR="003701FD" w:rsidRPr="00F05461">
          <w:rPr>
            <w:rStyle w:val="Hyperlink"/>
            <w:rFonts w:eastAsia="Times New Roman" w:cs="Times New Roman"/>
            <w:szCs w:val="20"/>
            <w:lang w:val="es-ES"/>
          </w:rPr>
          <w:t xml:space="preserve">Motor </w:t>
        </w:r>
        <w:r w:rsidRPr="00F05461">
          <w:rPr>
            <w:rStyle w:val="Hyperlink"/>
            <w:rFonts w:eastAsia="Times New Roman" w:cs="Times New Roman"/>
            <w:szCs w:val="20"/>
            <w:lang w:val="es-ES"/>
          </w:rPr>
          <w:t xml:space="preserve">de las </w:t>
        </w:r>
        <w:r w:rsidR="003701FD" w:rsidRPr="00F05461">
          <w:rPr>
            <w:rStyle w:val="Hyperlink"/>
            <w:rFonts w:eastAsia="Times New Roman" w:cs="Times New Roman"/>
            <w:szCs w:val="20"/>
            <w:lang w:val="es-ES"/>
          </w:rPr>
          <w:t>Oportunidades Eco</w:t>
        </w:r>
        <w:r w:rsidRPr="00F05461">
          <w:rPr>
            <w:rStyle w:val="Hyperlink"/>
            <w:rFonts w:eastAsia="Times New Roman" w:cs="Times New Roman"/>
            <w:szCs w:val="20"/>
            <w:lang w:val="es-ES"/>
          </w:rPr>
          <w:t xml:space="preserve">nómicas de las </w:t>
        </w:r>
        <w:r w:rsidR="003701FD" w:rsidRPr="00F05461">
          <w:rPr>
            <w:rStyle w:val="Hyperlink"/>
            <w:rFonts w:eastAsia="Times New Roman" w:cs="Times New Roman"/>
            <w:szCs w:val="20"/>
            <w:lang w:val="es-ES"/>
          </w:rPr>
          <w:t>M</w:t>
        </w:r>
        <w:r w:rsidRPr="00F05461">
          <w:rPr>
            <w:rStyle w:val="Hyperlink"/>
            <w:rFonts w:eastAsia="Times New Roman" w:cs="Times New Roman"/>
            <w:szCs w:val="20"/>
            <w:lang w:val="es-ES"/>
          </w:rPr>
          <w:t>ujeres</w:t>
        </w:r>
      </w:hyperlink>
      <w:r w:rsidRPr="00F05461">
        <w:rPr>
          <w:lang w:val="es-ES"/>
        </w:rPr>
        <w:t xml:space="preserve">, que han ofrecido talleres y actividades de tutoría, así como apoyo al emprendimiento, a mujeres y niñas de varios países y sectores. Los </w:t>
      </w:r>
      <w:hyperlink r:id="rId506" w:history="1">
        <w:r w:rsidRPr="00F05461">
          <w:rPr>
            <w:rStyle w:val="Hyperlink"/>
            <w:rFonts w:eastAsia="Times New Roman" w:cs="Times New Roman"/>
            <w:szCs w:val="20"/>
            <w:lang w:val="es-ES"/>
          </w:rPr>
          <w:t>premios EQUALS in Tech</w:t>
        </w:r>
      </w:hyperlink>
      <w:r w:rsidRPr="00F05461">
        <w:rPr>
          <w:lang w:val="es-ES"/>
        </w:rPr>
        <w:t>, que han conmemorado su décimo aniversario, siguen reconociendo iniciativas destacadas de todo el mundo que promueven la participación y el liderazgo de las mujeres en la economía digital.</w:t>
      </w:r>
    </w:p>
    <w:p w14:paraId="0371EBAE" w14:textId="7FDA979C" w:rsidR="007B4979" w:rsidRPr="00F05461" w:rsidRDefault="007B4979" w:rsidP="00AC3213">
      <w:pPr>
        <w:pStyle w:val="Headingb"/>
      </w:pPr>
      <w:r w:rsidRPr="00F05461">
        <w:t>Giga: trabajando para conectar todas las escuelas a Internet</w:t>
      </w:r>
    </w:p>
    <w:p w14:paraId="446B289C" w14:textId="61B2AF0D" w:rsidR="007B4979" w:rsidRPr="00F05461" w:rsidRDefault="007B4979" w:rsidP="007B4979">
      <w:pPr>
        <w:rPr>
          <w:lang w:val="es-ES"/>
        </w:rPr>
      </w:pPr>
      <w:r w:rsidRPr="00F05461">
        <w:rPr>
          <w:lang w:val="es-ES"/>
        </w:rPr>
        <w:t xml:space="preserve">La </w:t>
      </w:r>
      <w:hyperlink r:id="rId507" w:history="1">
        <w:r w:rsidRPr="00F05461">
          <w:rPr>
            <w:rStyle w:val="Hyperlink"/>
            <w:rFonts w:eastAsia="Times New Roman" w:cs="Times New Roman"/>
            <w:szCs w:val="20"/>
            <w:lang w:val="es-ES"/>
          </w:rPr>
          <w:t>iniciativa conjunta Giga</w:t>
        </w:r>
      </w:hyperlink>
      <w:r w:rsidRPr="00F05461">
        <w:rPr>
          <w:lang w:val="es-ES"/>
        </w:rPr>
        <w:t xml:space="preserve"> de </w:t>
      </w:r>
      <w:r w:rsidR="00296F03" w:rsidRPr="00F05461">
        <w:rPr>
          <w:lang w:val="es-ES"/>
        </w:rPr>
        <w:t>la UIT</w:t>
      </w:r>
      <w:r w:rsidRPr="00F05461">
        <w:rPr>
          <w:lang w:val="es-ES"/>
        </w:rPr>
        <w:t xml:space="preserve"> y UNICEF, creada en 2019, brinda apoyo a gobiernos y otras partes interesadas para conectar todas las escuelas a Internet y proporcionar a todos los alumnos la información, las oportunidades y las opciones que necesiten en 2030. Desde</w:t>
      </w:r>
      <w:r w:rsidR="00FD42C4" w:rsidRPr="00F05461">
        <w:rPr>
          <w:lang w:val="es-ES"/>
        </w:rPr>
        <w:t> </w:t>
      </w:r>
      <w:r w:rsidRPr="00F05461">
        <w:rPr>
          <w:lang w:val="es-ES"/>
        </w:rPr>
        <w:t>2019, Giga ha cartografiado más de 2,2</w:t>
      </w:r>
      <w:r w:rsidR="00052BBE" w:rsidRPr="00F05461">
        <w:rPr>
          <w:lang w:val="es-ES"/>
        </w:rPr>
        <w:t> </w:t>
      </w:r>
      <w:r w:rsidRPr="00F05461">
        <w:rPr>
          <w:lang w:val="es-ES"/>
        </w:rPr>
        <w:t>millones de escuelas en 218</w:t>
      </w:r>
      <w:r w:rsidR="00052BBE" w:rsidRPr="00F05461">
        <w:rPr>
          <w:lang w:val="es-ES"/>
        </w:rPr>
        <w:t> </w:t>
      </w:r>
      <w:r w:rsidRPr="00F05461">
        <w:rPr>
          <w:lang w:val="es-ES"/>
        </w:rPr>
        <w:t xml:space="preserve">países y se han realizado modelos de infraestructura en cuanto a conexión de escuelas en </w:t>
      </w:r>
      <w:r w:rsidR="00211543" w:rsidRPr="00F05461">
        <w:rPr>
          <w:lang w:val="es-ES"/>
        </w:rPr>
        <w:t>nueve</w:t>
      </w:r>
      <w:r w:rsidR="00052BBE" w:rsidRPr="00F05461">
        <w:rPr>
          <w:lang w:val="es-ES"/>
        </w:rPr>
        <w:t> </w:t>
      </w:r>
      <w:r w:rsidRPr="00F05461">
        <w:rPr>
          <w:lang w:val="es-ES"/>
        </w:rPr>
        <w:t>países, y existen varios compromisos en curso para avanzar en esa labor en otros 21</w:t>
      </w:r>
      <w:r w:rsidR="00052BBE" w:rsidRPr="00F05461">
        <w:rPr>
          <w:lang w:val="es-ES"/>
        </w:rPr>
        <w:t> </w:t>
      </w:r>
      <w:r w:rsidRPr="00F05461">
        <w:rPr>
          <w:lang w:val="es-ES"/>
        </w:rPr>
        <w:t>países.</w:t>
      </w:r>
    </w:p>
    <w:p w14:paraId="5E01BD90" w14:textId="58704D9F" w:rsidR="007B4979" w:rsidRPr="00F05461" w:rsidRDefault="007B4979" w:rsidP="007B4979">
      <w:pPr>
        <w:rPr>
          <w:lang w:val="es-ES"/>
        </w:rPr>
      </w:pPr>
      <w:r w:rsidRPr="00F05461">
        <w:rPr>
          <w:lang w:val="es-ES"/>
        </w:rPr>
        <w:t xml:space="preserve">Giga siguió prestando apoyo a los gobiernos mediante herramientas, servicios de asesoramiento y desarrollo de capacidades para facilitar la conectividad en miles de escuelas de millones de estudiantes en África, Asia central, América Latina y el Caribe, entre otras regiones. Su labor se basa en cuatro pilares: geolocalización de escuelas, cartografía y establecimiento de modelos de infraestructuras, movilización de fondos financieros y contratación pública para facilitar la conectividad. Ello se basa en el desarrollo de capacidades en colaboración con los gobiernos a través de plataformas como Giga Learning </w:t>
      </w:r>
      <w:proofErr w:type="gramStart"/>
      <w:r w:rsidRPr="00F05461">
        <w:rPr>
          <w:lang w:val="es-ES"/>
        </w:rPr>
        <w:t>Hub</w:t>
      </w:r>
      <w:proofErr w:type="gramEnd"/>
      <w:r w:rsidRPr="00F05461">
        <w:rPr>
          <w:lang w:val="es-ES"/>
        </w:rPr>
        <w:t xml:space="preserve">, que imparte formación a través de la Academia de </w:t>
      </w:r>
      <w:r w:rsidR="00296F03" w:rsidRPr="00F05461">
        <w:rPr>
          <w:lang w:val="es-ES"/>
        </w:rPr>
        <w:t>la UIT</w:t>
      </w:r>
      <w:r w:rsidRPr="00F05461">
        <w:rPr>
          <w:lang w:val="es-ES"/>
        </w:rPr>
        <w:t>. En 2025 se organizaron cinco cursos de formación (presenciales y en línea), lo que permitió a 128</w:t>
      </w:r>
      <w:r w:rsidR="00052BBE" w:rsidRPr="00F05461">
        <w:rPr>
          <w:lang w:val="es-ES"/>
        </w:rPr>
        <w:t> </w:t>
      </w:r>
      <w:r w:rsidRPr="00F05461">
        <w:rPr>
          <w:lang w:val="es-ES"/>
        </w:rPr>
        <w:t>participantes de 52</w:t>
      </w:r>
      <w:r w:rsidR="00052BBE" w:rsidRPr="00F05461">
        <w:rPr>
          <w:lang w:val="es-ES"/>
        </w:rPr>
        <w:t> </w:t>
      </w:r>
      <w:r w:rsidRPr="00F05461">
        <w:rPr>
          <w:lang w:val="es-ES"/>
        </w:rPr>
        <w:t xml:space="preserve">países fortalecer su capacitación en diversos aspectos relativos a la implementación de la conectividad escolar. Giga también estableció un </w:t>
      </w:r>
      <w:r w:rsidR="00211543" w:rsidRPr="00F05461">
        <w:rPr>
          <w:lang w:val="es-ES"/>
        </w:rPr>
        <w:t>p</w:t>
      </w:r>
      <w:r w:rsidRPr="00F05461">
        <w:rPr>
          <w:lang w:val="es-ES"/>
        </w:rPr>
        <w:t xml:space="preserve">rograma de aceleración, iniciativa de desarrollo empresarial formulada para apoyar a las empresas de nueva creación mediante actividades de capacitación, tutorías y financiación mediante subvenciones, con el fin de facilitar el desarrollo de soluciones que fomenten la conectividad escolar a escala mundial. </w:t>
      </w:r>
      <w:r w:rsidRPr="00F05461">
        <w:rPr>
          <w:lang w:val="es-ES"/>
        </w:rPr>
        <w:lastRenderedPageBreak/>
        <w:t xml:space="preserve">Se seleccionaron nueve equipos de todo el mundo para la primera promoción, que comenzó en noviembre </w:t>
      </w:r>
      <w:r w:rsidR="00B933C5" w:rsidRPr="00F05461">
        <w:rPr>
          <w:lang w:val="es-ES"/>
        </w:rPr>
        <w:t>de 202</w:t>
      </w:r>
      <w:r w:rsidRPr="00F05461">
        <w:rPr>
          <w:lang w:val="es-ES"/>
        </w:rPr>
        <w:t xml:space="preserve">5 y tiene previsto concluir en marzo </w:t>
      </w:r>
      <w:r w:rsidR="00B933C5" w:rsidRPr="00F05461">
        <w:rPr>
          <w:lang w:val="es-ES"/>
        </w:rPr>
        <w:t>de 202</w:t>
      </w:r>
      <w:r w:rsidRPr="00F05461">
        <w:rPr>
          <w:lang w:val="es-ES"/>
        </w:rPr>
        <w:t>6.</w:t>
      </w:r>
    </w:p>
    <w:p w14:paraId="03D235CD" w14:textId="1AE5876E" w:rsidR="007B4979" w:rsidRPr="00F05461" w:rsidRDefault="007B4979" w:rsidP="007B4979">
      <w:pPr>
        <w:rPr>
          <w:lang w:val="es-ES"/>
        </w:rPr>
      </w:pPr>
      <w:r w:rsidRPr="00F05461">
        <w:rPr>
          <w:lang w:val="es-ES"/>
        </w:rPr>
        <w:t xml:space="preserve">Sobre la base de Giga y la plataforma AI For Good, </w:t>
      </w:r>
      <w:r w:rsidR="00296F03" w:rsidRPr="00F05461">
        <w:rPr>
          <w:lang w:val="es-ES"/>
        </w:rPr>
        <w:t>la UIT</w:t>
      </w:r>
      <w:r w:rsidRPr="00F05461">
        <w:rPr>
          <w:lang w:val="es-ES"/>
        </w:rPr>
        <w:t xml:space="preserve"> colabora con Google y el músico, fundador de una empresa tecnológica y filántropo will.i.am para impartir formación en</w:t>
      </w:r>
      <w:r w:rsidR="00FF1AB6">
        <w:rPr>
          <w:lang w:val="es-ES"/>
        </w:rPr>
        <w:t> IA</w:t>
      </w:r>
      <w:r w:rsidRPr="00F05461">
        <w:rPr>
          <w:lang w:val="es-ES"/>
        </w:rPr>
        <w:t xml:space="preserve"> y robótica a alumnos en África, en particular Ghana, Côte d'Ivoire, Kenya, Nigeria y Sudáfrica. Esto incluirá el apoyo a los países para que establezcan clubes escolares de</w:t>
      </w:r>
      <w:r w:rsidR="003C7DDE">
        <w:rPr>
          <w:lang w:val="es-ES"/>
        </w:rPr>
        <w:t> </w:t>
      </w:r>
      <w:r w:rsidRPr="00F05461">
        <w:rPr>
          <w:lang w:val="es-ES"/>
        </w:rPr>
        <w:t>IA en escuelas conectadas.</w:t>
      </w:r>
    </w:p>
    <w:p w14:paraId="3266AFF2" w14:textId="00A4EADB" w:rsidR="007B4979" w:rsidRPr="00F05461" w:rsidRDefault="007B4979" w:rsidP="007B4979">
      <w:pPr>
        <w:rPr>
          <w:lang w:val="es-ES"/>
        </w:rPr>
      </w:pPr>
      <w:r w:rsidRPr="00F05461">
        <w:rPr>
          <w:lang w:val="es-ES"/>
        </w:rPr>
        <w:t>Giga fue reconocida en el marco del Pacto Digital Global como una iniciativa clave para conectar escuelas y hospitales. Ello está asimismo en consonancia con el Objetivo</w:t>
      </w:r>
      <w:r w:rsidR="00052BBE" w:rsidRPr="00F05461">
        <w:rPr>
          <w:lang w:val="es-ES"/>
        </w:rPr>
        <w:t> </w:t>
      </w:r>
      <w:r w:rsidRPr="00F05461">
        <w:rPr>
          <w:lang w:val="es-ES"/>
        </w:rPr>
        <w:t xml:space="preserve">1.5 del Plan Estratégico de </w:t>
      </w:r>
      <w:r w:rsidR="00296F03" w:rsidRPr="00F05461">
        <w:rPr>
          <w:lang w:val="es-ES"/>
        </w:rPr>
        <w:t>la UIT</w:t>
      </w:r>
      <w:r w:rsidRPr="00F05461">
        <w:rPr>
          <w:lang w:val="es-ES"/>
        </w:rPr>
        <w:t xml:space="preserve"> y la Línea de Acción</w:t>
      </w:r>
      <w:r w:rsidR="00211543" w:rsidRPr="00F05461">
        <w:rPr>
          <w:lang w:val="es-ES"/>
        </w:rPr>
        <w:t> </w:t>
      </w:r>
      <w:r w:rsidRPr="00F05461">
        <w:rPr>
          <w:lang w:val="es-ES"/>
        </w:rPr>
        <w:t>C2 de la</w:t>
      </w:r>
      <w:r w:rsidR="00211543" w:rsidRPr="00F05461">
        <w:rPr>
          <w:lang w:val="es-ES"/>
        </w:rPr>
        <w:t> </w:t>
      </w:r>
      <w:r w:rsidRPr="00F05461">
        <w:rPr>
          <w:lang w:val="es-ES"/>
        </w:rPr>
        <w:t>CMSI «Infraestructura de información y comunicación».</w:t>
      </w:r>
    </w:p>
    <w:p w14:paraId="2878B2C7" w14:textId="77777777" w:rsidR="007B4979" w:rsidRPr="002E07EB" w:rsidRDefault="007B4979" w:rsidP="00AC3213">
      <w:pPr>
        <w:pStyle w:val="Headingb"/>
        <w:rPr>
          <w:lang w:val="pt-BR"/>
        </w:rPr>
      </w:pPr>
      <w:bookmarkStart w:id="118" w:name="_Hlk120017847"/>
      <w:r w:rsidRPr="002E07EB">
        <w:rPr>
          <w:lang w:val="pt-BR"/>
        </w:rPr>
        <w:t>Iniciativa sobre mundos virtuales e IA</w:t>
      </w:r>
    </w:p>
    <w:p w14:paraId="396F4A4B" w14:textId="349DEC1E" w:rsidR="007B4979" w:rsidRPr="00F05461" w:rsidRDefault="007B4979" w:rsidP="00052BBE">
      <w:pPr>
        <w:rPr>
          <w:lang w:val="es-ES"/>
        </w:rPr>
      </w:pPr>
      <w:r w:rsidRPr="00F05461">
        <w:rPr>
          <w:lang w:val="es-ES"/>
        </w:rPr>
        <w:t xml:space="preserve">En junio </w:t>
      </w:r>
      <w:r w:rsidR="00B933C5" w:rsidRPr="00F05461">
        <w:rPr>
          <w:lang w:val="es-ES"/>
        </w:rPr>
        <w:t>de 202</w:t>
      </w:r>
      <w:r w:rsidRPr="00F05461">
        <w:rPr>
          <w:lang w:val="es-ES"/>
        </w:rPr>
        <w:t xml:space="preserve">4, </w:t>
      </w:r>
      <w:r w:rsidR="00296F03" w:rsidRPr="00F05461">
        <w:rPr>
          <w:lang w:val="es-ES"/>
        </w:rPr>
        <w:t>la UIT</w:t>
      </w:r>
      <w:r w:rsidRPr="00F05461">
        <w:rPr>
          <w:lang w:val="es-ES"/>
        </w:rPr>
        <w:t xml:space="preserve">, en colaboración con el CICE y Digital Dubai, puso en marcha la </w:t>
      </w:r>
      <w:hyperlink r:id="rId508" w:history="1">
        <w:r w:rsidRPr="00F05461">
          <w:rPr>
            <w:rStyle w:val="Hyperlink"/>
            <w:rFonts w:eastAsia="Times New Roman" w:cs="Times New Roman"/>
            <w:szCs w:val="20"/>
            <w:lang w:val="es-ES"/>
          </w:rPr>
          <w:t xml:space="preserve">Iniciativa </w:t>
        </w:r>
        <w:r w:rsidR="00645E1B" w:rsidRPr="00F05461">
          <w:rPr>
            <w:rStyle w:val="Hyperlink"/>
            <w:rFonts w:eastAsia="Times New Roman" w:cs="Times New Roman"/>
            <w:szCs w:val="20"/>
            <w:lang w:val="es-ES"/>
          </w:rPr>
          <w:t>M</w:t>
        </w:r>
        <w:r w:rsidR="00FA5B26" w:rsidRPr="00F05461">
          <w:rPr>
            <w:rStyle w:val="Hyperlink"/>
            <w:rFonts w:eastAsia="Times New Roman" w:cs="Times New Roman"/>
            <w:szCs w:val="20"/>
            <w:lang w:val="es-ES"/>
          </w:rPr>
          <w:t>undial</w:t>
        </w:r>
        <w:r w:rsidRPr="00F05461">
          <w:rPr>
            <w:rStyle w:val="Hyperlink"/>
            <w:rFonts w:eastAsia="Times New Roman" w:cs="Times New Roman"/>
            <w:szCs w:val="20"/>
            <w:lang w:val="es-ES"/>
          </w:rPr>
          <w:t xml:space="preserve"> sobre Mundos Virtuales e IA </w:t>
        </w:r>
        <w:r w:rsidR="00645E1B" w:rsidRPr="00F05461">
          <w:rPr>
            <w:rStyle w:val="Hyperlink"/>
            <w:rFonts w:eastAsia="Times New Roman" w:cs="Times New Roman"/>
            <w:szCs w:val="20"/>
            <w:lang w:val="es-ES"/>
          </w:rPr>
          <w:t xml:space="preserve">– </w:t>
        </w:r>
        <w:r w:rsidR="00FA5B26" w:rsidRPr="00F05461">
          <w:rPr>
            <w:rStyle w:val="Hyperlink"/>
            <w:rFonts w:eastAsia="Times New Roman" w:cs="Times New Roman"/>
            <w:szCs w:val="20"/>
            <w:lang w:val="es-ES"/>
          </w:rPr>
          <w:t xml:space="preserve">Descubriendo el </w:t>
        </w:r>
        <w:r w:rsidR="00645E1B" w:rsidRPr="00F05461">
          <w:rPr>
            <w:rStyle w:val="Hyperlink"/>
            <w:rFonts w:eastAsia="Times New Roman" w:cs="Times New Roman"/>
            <w:szCs w:val="20"/>
            <w:lang w:val="es-ES"/>
          </w:rPr>
          <w:t>Citi</w:t>
        </w:r>
        <w:r w:rsidR="00FA5B26" w:rsidRPr="00F05461">
          <w:rPr>
            <w:rStyle w:val="Hyperlink"/>
            <w:rFonts w:eastAsia="Times New Roman" w:cs="Times New Roman"/>
            <w:szCs w:val="20"/>
            <w:lang w:val="es-ES"/>
          </w:rPr>
          <w:t>verso</w:t>
        </w:r>
      </w:hyperlink>
      <w:r w:rsidRPr="00F05461">
        <w:rPr>
          <w:lang w:val="es-ES"/>
        </w:rPr>
        <w:t>, cuyo objetivo es aprovechar la capacidad de las tecnologías inmersivas y la</w:t>
      </w:r>
      <w:r w:rsidR="00C67C3E" w:rsidRPr="00F05461">
        <w:rPr>
          <w:lang w:val="es-ES"/>
        </w:rPr>
        <w:t> </w:t>
      </w:r>
      <w:r w:rsidRPr="00F05461">
        <w:rPr>
          <w:lang w:val="es-ES"/>
        </w:rPr>
        <w:t>IA para el desarrollo. Con apoyo de más de 70</w:t>
      </w:r>
      <w:r w:rsidR="00052BBE" w:rsidRPr="00F05461">
        <w:rPr>
          <w:lang w:val="es-ES"/>
        </w:rPr>
        <w:t> </w:t>
      </w:r>
      <w:r w:rsidRPr="00F05461">
        <w:rPr>
          <w:lang w:val="es-ES"/>
        </w:rPr>
        <w:t>asociados, dicha iniciativa sirve de plataforma para fomentar a escala mundial entornos virtuales abiertos, interoperables y fiables, basados en la</w:t>
      </w:r>
      <w:r w:rsidR="00C67C3E" w:rsidRPr="00F05461">
        <w:rPr>
          <w:lang w:val="es-ES"/>
        </w:rPr>
        <w:t> </w:t>
      </w:r>
      <w:r w:rsidRPr="00F05461">
        <w:rPr>
          <w:lang w:val="es-ES"/>
        </w:rPr>
        <w:t xml:space="preserve">IA, destinados a personas, empresas y servicios públicos. La </w:t>
      </w:r>
      <w:hyperlink r:id="rId509" w:history="1">
        <w:r w:rsidRPr="00F05461">
          <w:rPr>
            <w:rStyle w:val="Hyperlink"/>
            <w:rFonts w:eastAsia="Times New Roman" w:cs="Times New Roman"/>
            <w:szCs w:val="20"/>
            <w:lang w:val="es-ES"/>
          </w:rPr>
          <w:t>Jornada de los Mundos Virtuales de las Naciones Unidas</w:t>
        </w:r>
      </w:hyperlink>
      <w:r w:rsidRPr="00F05461">
        <w:rPr>
          <w:lang w:val="es-ES"/>
        </w:rPr>
        <w:t>, organizado en colaboración con 17</w:t>
      </w:r>
      <w:r w:rsidR="00052BBE" w:rsidRPr="00F05461">
        <w:rPr>
          <w:lang w:val="es-ES"/>
        </w:rPr>
        <w:t> </w:t>
      </w:r>
      <w:r w:rsidRPr="00F05461">
        <w:rPr>
          <w:lang w:val="es-ES"/>
        </w:rPr>
        <w:t>entidades de las Naciones Unidas, estudia la forma en que la</w:t>
      </w:r>
      <w:r w:rsidR="00C67C3E" w:rsidRPr="00F05461">
        <w:rPr>
          <w:lang w:val="es-ES"/>
        </w:rPr>
        <w:t> </w:t>
      </w:r>
      <w:r w:rsidRPr="00F05461">
        <w:rPr>
          <w:lang w:val="es-ES"/>
        </w:rPr>
        <w:t xml:space="preserve">IA, la inteligencia espacial y el </w:t>
      </w:r>
      <w:r w:rsidR="00963557" w:rsidRPr="00F05461">
        <w:rPr>
          <w:lang w:val="es-ES"/>
        </w:rPr>
        <w:t>citi</w:t>
      </w:r>
      <w:r w:rsidRPr="00F05461">
        <w:rPr>
          <w:lang w:val="es-ES"/>
        </w:rPr>
        <w:t xml:space="preserve">verso pueden ser de utilidad para las prioridades mundiales en el marco del Pacto para el Futuro y el Pacto Digital </w:t>
      </w:r>
      <w:r w:rsidR="00EF6A42" w:rsidRPr="00F05461">
        <w:rPr>
          <w:lang w:val="es-ES"/>
        </w:rPr>
        <w:t>Global</w:t>
      </w:r>
      <w:r w:rsidRPr="00F05461">
        <w:rPr>
          <w:lang w:val="es-ES"/>
        </w:rPr>
        <w:t xml:space="preserve">. La edición inaugural celebrada en </w:t>
      </w:r>
      <w:hyperlink r:id="rId510" w:history="1">
        <w:r w:rsidRPr="00F05461">
          <w:rPr>
            <w:rStyle w:val="Hyperlink"/>
            <w:rFonts w:eastAsia="Times New Roman" w:cs="Times New Roman"/>
            <w:szCs w:val="20"/>
            <w:lang w:val="es-ES"/>
          </w:rPr>
          <w:t>Ginebra en 2024</w:t>
        </w:r>
      </w:hyperlink>
      <w:r w:rsidRPr="00F05461">
        <w:rPr>
          <w:lang w:val="es-ES"/>
        </w:rPr>
        <w:t xml:space="preserve"> y el evento que tuvo lugar en </w:t>
      </w:r>
      <w:hyperlink r:id="rId511" w:history="1">
        <w:r w:rsidRPr="00F05461">
          <w:rPr>
            <w:rStyle w:val="Hyperlink"/>
            <w:rFonts w:eastAsia="Times New Roman" w:cs="Times New Roman"/>
            <w:szCs w:val="20"/>
            <w:lang w:val="es-ES"/>
          </w:rPr>
          <w:t>Turín en 2025</w:t>
        </w:r>
      </w:hyperlink>
      <w:r w:rsidRPr="00F05461">
        <w:rPr>
          <w:lang w:val="es-ES"/>
        </w:rPr>
        <w:t xml:space="preserve"> ponen de relieve la manera en que los entornos virtuales pueden contribuir a la infraestructura pública digital y al desarrollo inclusivo. La próxima Jornada de los Mundos Virtuales de las Naciones Unidas tendrá lugar el 11 de mayo </w:t>
      </w:r>
      <w:r w:rsidR="00B933C5" w:rsidRPr="00F05461">
        <w:rPr>
          <w:lang w:val="es-ES"/>
        </w:rPr>
        <w:t>de 202</w:t>
      </w:r>
      <w:r w:rsidRPr="00F05461">
        <w:rPr>
          <w:lang w:val="es-ES"/>
        </w:rPr>
        <w:t>6 en Ginebra.</w:t>
      </w:r>
    </w:p>
    <w:p w14:paraId="7D81FC74" w14:textId="77777777" w:rsidR="007B4979" w:rsidRPr="00F05461" w:rsidRDefault="007B4979" w:rsidP="00AC3213">
      <w:pPr>
        <w:pStyle w:val="Headingb"/>
      </w:pPr>
      <w:bookmarkStart w:id="119" w:name="_Toc156392417"/>
      <w:r w:rsidRPr="00F05461">
        <w:t>Transformación digital para ciudades y comunidades inteligentes</w:t>
      </w:r>
      <w:bookmarkEnd w:id="119"/>
    </w:p>
    <w:bookmarkEnd w:id="118"/>
    <w:p w14:paraId="7EBEECD7" w14:textId="0AF04638" w:rsidR="007B4979" w:rsidRPr="00F05461" w:rsidRDefault="007B4979" w:rsidP="00052BBE">
      <w:pPr>
        <w:rPr>
          <w:lang w:val="es-ES"/>
        </w:rPr>
      </w:pPr>
      <w:r w:rsidRPr="00F05461">
        <w:rPr>
          <w:lang w:val="es-ES"/>
        </w:rPr>
        <w:t>La Comisión de Estudio</w:t>
      </w:r>
      <w:r w:rsidR="00052BBE" w:rsidRPr="00F05461">
        <w:rPr>
          <w:lang w:val="es-ES"/>
        </w:rPr>
        <w:t> </w:t>
      </w:r>
      <w:r w:rsidRPr="00F05461">
        <w:rPr>
          <w:lang w:val="es-ES"/>
        </w:rPr>
        <w:t xml:space="preserve">20 </w:t>
      </w:r>
      <w:r w:rsidR="00A10309" w:rsidRPr="00F05461">
        <w:rPr>
          <w:lang w:val="es-ES"/>
        </w:rPr>
        <w:t>del UIT</w:t>
      </w:r>
      <w:r w:rsidR="00A10309" w:rsidRPr="00F05461">
        <w:rPr>
          <w:lang w:val="es-ES"/>
        </w:rPr>
        <w:noBreakHyphen/>
      </w:r>
      <w:r w:rsidRPr="00F05461">
        <w:rPr>
          <w:lang w:val="es-ES"/>
        </w:rPr>
        <w:t xml:space="preserve">T sigue fomentando la transformación digital para ciudades y comunidades inteligentes en el marco de la </w:t>
      </w:r>
      <w:hyperlink r:id="rId512" w:history="1">
        <w:r w:rsidRPr="00F05461">
          <w:rPr>
            <w:rStyle w:val="Hyperlink"/>
            <w:rFonts w:eastAsia="Times New Roman" w:cs="Times New Roman"/>
            <w:szCs w:val="20"/>
            <w:lang w:val="es-ES"/>
          </w:rPr>
          <w:t>iniciativa</w:t>
        </w:r>
        <w:r w:rsidR="00E62637" w:rsidRPr="00F05461">
          <w:rPr>
            <w:rStyle w:val="Hyperlink"/>
            <w:rFonts w:eastAsia="Times New Roman" w:cs="Times New Roman"/>
            <w:szCs w:val="20"/>
            <w:lang w:val="es-ES"/>
          </w:rPr>
          <w:t> </w:t>
        </w:r>
        <w:r w:rsidR="00506E2D" w:rsidRPr="00F05461">
          <w:rPr>
            <w:rStyle w:val="Hyperlink"/>
            <w:rFonts w:eastAsia="Times New Roman" w:cs="Times New Roman"/>
            <w:szCs w:val="20"/>
            <w:lang w:val="es-ES"/>
          </w:rPr>
          <w:t>U4SSC</w:t>
        </w:r>
      </w:hyperlink>
      <w:r w:rsidRPr="00F05461">
        <w:rPr>
          <w:lang w:val="es-ES"/>
        </w:rPr>
        <w:t xml:space="preserve">, que facilita la adopción en las ciudades de enfoques basados en las normas de </w:t>
      </w:r>
      <w:r w:rsidR="00296F03" w:rsidRPr="00F05461">
        <w:rPr>
          <w:lang w:val="es-ES"/>
        </w:rPr>
        <w:t>la UIT</w:t>
      </w:r>
      <w:r w:rsidRPr="00F05461">
        <w:rPr>
          <w:lang w:val="es-ES"/>
        </w:rPr>
        <w:t xml:space="preserve"> para el desarrollo urbano sostenible. Con un claro enfoque en la gobernanza urbana, la integración de datos y las estrategias digitales orientadas a las personas, esta labor ayuda a las ciudades a planificar, implementar y ampliar soluciones inteligentes y sostenibles.</w:t>
      </w:r>
    </w:p>
    <w:p w14:paraId="7D90FA4C" w14:textId="3308F37C" w:rsidR="007B4979" w:rsidRPr="00F05461" w:rsidRDefault="007B4979" w:rsidP="007971D7">
      <w:pPr>
        <w:rPr>
          <w:lang w:val="es-ES"/>
        </w:rPr>
      </w:pPr>
      <w:r w:rsidRPr="00F05461">
        <w:rPr>
          <w:lang w:val="es-ES"/>
        </w:rPr>
        <w:t>Con el apoyo de 20</w:t>
      </w:r>
      <w:r w:rsidR="00052BBE" w:rsidRPr="00F05461">
        <w:rPr>
          <w:lang w:val="es-ES"/>
        </w:rPr>
        <w:t> </w:t>
      </w:r>
      <w:r w:rsidRPr="00F05461">
        <w:rPr>
          <w:lang w:val="es-ES"/>
        </w:rPr>
        <w:t>entidades de las Naciones Unidas, la iniciativa</w:t>
      </w:r>
      <w:r w:rsidR="00506E2D" w:rsidRPr="00F05461">
        <w:rPr>
          <w:lang w:val="es-ES"/>
        </w:rPr>
        <w:t> </w:t>
      </w:r>
      <w:r w:rsidRPr="00F05461">
        <w:rPr>
          <w:lang w:val="es-ES"/>
        </w:rPr>
        <w:t>U4SSC contribuye directamente al cumplimiento del Objetivo de Desarrollo Sostenible</w:t>
      </w:r>
      <w:r w:rsidR="00052BBE" w:rsidRPr="00F05461">
        <w:rPr>
          <w:lang w:val="es-ES"/>
        </w:rPr>
        <w:t> </w:t>
      </w:r>
      <w:r w:rsidRPr="00F05461">
        <w:rPr>
          <w:lang w:val="es-ES"/>
        </w:rPr>
        <w:t>11 («Lograr que las ciudades y los asentamientos humanos sean inclusivos, seguros, resilientes y sostenibles») y al Pacto p</w:t>
      </w:r>
      <w:r w:rsidR="002555AC">
        <w:rPr>
          <w:lang w:val="es-ES"/>
        </w:rPr>
        <w:t>a</w:t>
      </w:r>
      <w:r w:rsidRPr="00F05461">
        <w:rPr>
          <w:lang w:val="es-ES"/>
        </w:rPr>
        <w:t>r</w:t>
      </w:r>
      <w:r w:rsidR="002555AC">
        <w:rPr>
          <w:lang w:val="es-ES"/>
        </w:rPr>
        <w:t>a</w:t>
      </w:r>
      <w:r w:rsidRPr="00F05461">
        <w:rPr>
          <w:lang w:val="es-ES"/>
        </w:rPr>
        <w:t xml:space="preserve"> el Futuro. La iniciativa se ha extendido a más de 250</w:t>
      </w:r>
      <w:r w:rsidR="00052BBE" w:rsidRPr="00F05461">
        <w:rPr>
          <w:lang w:val="es-ES"/>
        </w:rPr>
        <w:t> </w:t>
      </w:r>
      <w:r w:rsidRPr="00F05461">
        <w:rPr>
          <w:lang w:val="es-ES"/>
        </w:rPr>
        <w:t xml:space="preserve">ciudades de todo el mundo, con arreglo a los </w:t>
      </w:r>
      <w:hyperlink r:id="rId513" w:history="1">
        <w:r w:rsidRPr="00F05461">
          <w:rPr>
            <w:rStyle w:val="Hyperlink"/>
            <w:rFonts w:eastAsia="Times New Roman" w:cs="Times New Roman"/>
            <w:szCs w:val="20"/>
            <w:lang w:val="es-ES"/>
          </w:rPr>
          <w:t>indicadores fundamentales de rendimiento de la U4SSC</w:t>
        </w:r>
      </w:hyperlink>
      <w:r w:rsidRPr="00F05461">
        <w:rPr>
          <w:lang w:val="es-ES"/>
        </w:rPr>
        <w:t xml:space="preserve"> basados en las normas de </w:t>
      </w:r>
      <w:r w:rsidR="00296F03" w:rsidRPr="00F05461">
        <w:rPr>
          <w:lang w:val="es-ES"/>
        </w:rPr>
        <w:t>la UIT</w:t>
      </w:r>
      <w:r w:rsidRPr="00F05461">
        <w:rPr>
          <w:lang w:val="es-ES"/>
        </w:rPr>
        <w:t xml:space="preserve">. Los resultados se difunden mediante datos relativos a </w:t>
      </w:r>
      <w:hyperlink r:id="rId514" w:history="1">
        <w:r w:rsidRPr="00F05461">
          <w:rPr>
            <w:rStyle w:val="Hyperlink"/>
            <w:rFonts w:eastAsia="Times New Roman" w:cs="Times New Roman"/>
            <w:bCs/>
            <w:szCs w:val="20"/>
            <w:lang w:val="es-ES"/>
          </w:rPr>
          <w:t>ciudades, informes y estudios de caso</w:t>
        </w:r>
      </w:hyperlink>
      <w:r w:rsidRPr="00F05461">
        <w:rPr>
          <w:lang w:val="es-ES"/>
        </w:rPr>
        <w:t>, lo que proporciona una orientación basada en datos empíricos para la transformación digital urbana.</w:t>
      </w:r>
    </w:p>
    <w:p w14:paraId="3DDF421A" w14:textId="556356FA" w:rsidR="007B4979" w:rsidRPr="00F05461" w:rsidRDefault="007B4979" w:rsidP="002555AC">
      <w:pPr>
        <w:keepNext/>
        <w:keepLines/>
        <w:rPr>
          <w:lang w:val="es-ES"/>
        </w:rPr>
      </w:pPr>
      <w:r w:rsidRPr="00F05461">
        <w:rPr>
          <w:lang w:val="es-ES"/>
        </w:rPr>
        <w:lastRenderedPageBreak/>
        <w:t>La</w:t>
      </w:r>
      <w:r w:rsidR="00506E2D" w:rsidRPr="00F05461">
        <w:rPr>
          <w:lang w:val="es-ES"/>
        </w:rPr>
        <w:t> </w:t>
      </w:r>
      <w:r w:rsidRPr="00F05461">
        <w:rPr>
          <w:lang w:val="es-ES"/>
        </w:rPr>
        <w:t xml:space="preserve">U4SSC ha ampliado su alcance temático a través de siete esferas de orientación especializada, y mediante los </w:t>
      </w:r>
      <w:hyperlink r:id="rId515" w:history="1">
        <w:r w:rsidRPr="00F05461">
          <w:rPr>
            <w:rStyle w:val="Hyperlink"/>
            <w:rFonts w:eastAsia="Times New Roman" w:cs="Times New Roman"/>
            <w:szCs w:val="20"/>
            <w:lang w:val="es-ES"/>
          </w:rPr>
          <w:t>Informes de la U4SSC</w:t>
        </w:r>
      </w:hyperlink>
      <w:r w:rsidRPr="00F05461">
        <w:rPr>
          <w:lang w:val="es-ES"/>
        </w:rPr>
        <w:t>, que abarcan plataformas urbanas y conjuntos de datos; la</w:t>
      </w:r>
      <w:r w:rsidR="00506E2D" w:rsidRPr="00F05461">
        <w:rPr>
          <w:lang w:val="es-ES"/>
        </w:rPr>
        <w:t> </w:t>
      </w:r>
      <w:r w:rsidRPr="00F05461">
        <w:rPr>
          <w:lang w:val="es-ES"/>
        </w:rPr>
        <w:t xml:space="preserve">IA en ciudades; la transformación digital en ciudades orientadas a las personas; la infraestructura pública digital; la energía urbana y los edificios; la sostenibilidad sociocultural; y las previsiones para el futuro. Las </w:t>
      </w:r>
      <w:hyperlink r:id="rId516" w:history="1">
        <w:r w:rsidRPr="00F05461">
          <w:rPr>
            <w:rStyle w:val="Hyperlink"/>
            <w:rFonts w:eastAsia="Times New Roman" w:cs="Times New Roman"/>
            <w:szCs w:val="20"/>
            <w:lang w:val="es-ES"/>
          </w:rPr>
          <w:t>reuniones periódicas de la U4SSC</w:t>
        </w:r>
      </w:hyperlink>
      <w:r w:rsidRPr="00F05461">
        <w:rPr>
          <w:lang w:val="es-ES"/>
        </w:rPr>
        <w:t xml:space="preserve"> han fortalecido las estructuras de gobernanza, con nuevos grupos temáticos que facilitan a las ciudades la formulación de estrategias digitales sostenibles, resilientes e inclusivas.</w:t>
      </w:r>
    </w:p>
    <w:p w14:paraId="38F7A91A" w14:textId="610F4783" w:rsidR="007B4979" w:rsidRPr="00F05461" w:rsidRDefault="007B4979" w:rsidP="002555AC">
      <w:pPr>
        <w:rPr>
          <w:lang w:val="es-ES"/>
        </w:rPr>
      </w:pPr>
      <w:r w:rsidRPr="00F05461">
        <w:rPr>
          <w:lang w:val="es-ES"/>
        </w:rPr>
        <w:t xml:space="preserve">Como complemento a esta labor, los </w:t>
      </w:r>
      <w:hyperlink r:id="rId517" w:history="1">
        <w:r w:rsidR="006D6680" w:rsidRPr="00F05461">
          <w:rPr>
            <w:rStyle w:val="Hyperlink"/>
            <w:rFonts w:eastAsia="Times New Roman" w:cs="Times New Roman"/>
            <w:szCs w:val="20"/>
            <w:lang w:val="es-ES"/>
          </w:rPr>
          <w:t>DTD de la UIT</w:t>
        </w:r>
      </w:hyperlink>
      <w:r w:rsidRPr="00F05461">
        <w:rPr>
          <w:lang w:val="es-ES"/>
        </w:rPr>
        <w:t xml:space="preserve"> proporcionaron una plataforma versátil para intercambiar conocimientos y profundizar en la comprensión de las tecnologías incipientes y la normalización técnica en diversas esferas. A través de reuniones participativas, la serie DTD fomenta los debates sobre la rápida evolución de las tecnologías digitales y sus efectos en el sector industrial y la sociedad.</w:t>
      </w:r>
    </w:p>
    <w:p w14:paraId="101F1321" w14:textId="2A7E8B52" w:rsidR="007B4979" w:rsidRPr="00F05461" w:rsidRDefault="007B4979" w:rsidP="007B4979">
      <w:pPr>
        <w:rPr>
          <w:lang w:val="es-ES"/>
        </w:rPr>
      </w:pPr>
      <w:r w:rsidRPr="00F05461">
        <w:rPr>
          <w:lang w:val="es-ES"/>
        </w:rPr>
        <w:t xml:space="preserve">El </w:t>
      </w:r>
      <w:hyperlink r:id="rId518" w:history="1">
        <w:r w:rsidRPr="00F05461">
          <w:rPr>
            <w:rStyle w:val="Hyperlink"/>
            <w:rFonts w:eastAsia="Times New Roman" w:cs="Times New Roman"/>
            <w:szCs w:val="20"/>
            <w:lang w:val="es-ES"/>
          </w:rPr>
          <w:t xml:space="preserve">Boletín informativo sobre la transformación digital y las ciudades de </w:t>
        </w:r>
        <w:r w:rsidR="00296F03" w:rsidRPr="00F05461">
          <w:rPr>
            <w:rStyle w:val="Hyperlink"/>
            <w:rFonts w:eastAsia="Times New Roman" w:cs="Times New Roman"/>
            <w:szCs w:val="20"/>
            <w:lang w:val="es-ES"/>
          </w:rPr>
          <w:t>la UIT</w:t>
        </w:r>
      </w:hyperlink>
      <w:r w:rsidRPr="00F05461">
        <w:rPr>
          <w:lang w:val="es-ES"/>
        </w:rPr>
        <w:t xml:space="preserve"> ofrece las novedades más recientes sobre las actividades de </w:t>
      </w:r>
      <w:r w:rsidR="00296F03" w:rsidRPr="00F05461">
        <w:rPr>
          <w:lang w:val="es-ES"/>
        </w:rPr>
        <w:t>la UIT</w:t>
      </w:r>
      <w:r w:rsidRPr="00F05461">
        <w:rPr>
          <w:lang w:val="es-ES"/>
        </w:rPr>
        <w:t xml:space="preserve"> en materia de transformación digital, ciudades inteligentes, mundos virtuales y metaverso. También incluye información sobre próximos eventos y nuevas publicaciones.</w:t>
      </w:r>
    </w:p>
    <w:p w14:paraId="132D93CF" w14:textId="2AA9EC3C" w:rsidR="007B4979" w:rsidRPr="00F05461" w:rsidRDefault="007B4979" w:rsidP="007B4979">
      <w:pPr>
        <w:rPr>
          <w:lang w:val="es-ES"/>
        </w:rPr>
      </w:pPr>
      <w:r w:rsidRPr="00F05461">
        <w:rPr>
          <w:lang w:val="es-ES"/>
        </w:rPr>
        <w:t xml:space="preserve">Por otro lado, </w:t>
      </w:r>
      <w:r w:rsidR="00296F03" w:rsidRPr="00F05461">
        <w:rPr>
          <w:lang w:val="es-ES"/>
        </w:rPr>
        <w:t>la UIT</w:t>
      </w:r>
      <w:r w:rsidRPr="00F05461">
        <w:rPr>
          <w:lang w:val="es-ES"/>
        </w:rPr>
        <w:t xml:space="preserve"> sigue recopilando una gran cantidad de conocimientos a través del </w:t>
      </w:r>
      <w:hyperlink r:id="rId519" w:history="1">
        <w:r w:rsidRPr="00F05461">
          <w:rPr>
            <w:rStyle w:val="Hyperlink"/>
            <w:rFonts w:eastAsia="Times New Roman" w:cs="Times New Roman"/>
            <w:szCs w:val="20"/>
            <w:lang w:val="es-ES"/>
          </w:rPr>
          <w:t>Centro de Recursos sobre Transformación Digital</w:t>
        </w:r>
      </w:hyperlink>
      <w:r w:rsidRPr="00F05461">
        <w:rPr>
          <w:lang w:val="es-ES"/>
        </w:rPr>
        <w:t>, que ofrece publicaciones de alta calidad sobre temas clave de la transformación digital. Entre ellos se incluyen la infraestructura pública digital, la IA, Internet de las cosas, cadenas de bloques, los gemelos digitales, el metaverso y los mundos virtuales, así como tendencias incipientes en materia de transformación digital.</w:t>
      </w:r>
    </w:p>
    <w:p w14:paraId="568C363A" w14:textId="53FEC197" w:rsidR="007B4979" w:rsidRPr="00F05461" w:rsidRDefault="007B4979" w:rsidP="00AC3213">
      <w:pPr>
        <w:pStyle w:val="Headingb"/>
      </w:pPr>
      <w:bookmarkStart w:id="120" w:name="_Toc156392418"/>
      <w:r w:rsidRPr="00F05461">
        <w:t>Sistemas de transporte inteligentes</w:t>
      </w:r>
      <w:bookmarkStart w:id="121" w:name="_Hlk92287189"/>
      <w:bookmarkEnd w:id="120"/>
    </w:p>
    <w:p w14:paraId="5C093A97" w14:textId="5147C2F2" w:rsidR="007B4979" w:rsidRPr="00F05461" w:rsidRDefault="007B4979" w:rsidP="00886B64">
      <w:pPr>
        <w:rPr>
          <w:lang w:val="es-ES"/>
        </w:rPr>
      </w:pPr>
      <w:r w:rsidRPr="00F05461">
        <w:rPr>
          <w:lang w:val="es-ES"/>
        </w:rPr>
        <w:t>Durante la</w:t>
      </w:r>
      <w:r w:rsidR="00886B64" w:rsidRPr="00F05461">
        <w:rPr>
          <w:lang w:val="es-ES"/>
        </w:rPr>
        <w:t> </w:t>
      </w:r>
      <w:r w:rsidRPr="00F05461">
        <w:rPr>
          <w:lang w:val="es-ES"/>
        </w:rPr>
        <w:t xml:space="preserve">AMNT-24, se adoptó una nueva </w:t>
      </w:r>
      <w:hyperlink r:id="rId520" w:history="1">
        <w:r w:rsidRPr="00F05461">
          <w:rPr>
            <w:rStyle w:val="Hyperlink"/>
            <w:rFonts w:eastAsia="Times New Roman" w:cs="Times New Roman"/>
            <w:szCs w:val="20"/>
            <w:lang w:val="es-ES"/>
          </w:rPr>
          <w:t>Resolución</w:t>
        </w:r>
        <w:r w:rsidR="00886B64" w:rsidRPr="00F05461">
          <w:rPr>
            <w:rStyle w:val="Hyperlink"/>
            <w:rFonts w:eastAsia="Times New Roman" w:cs="Times New Roman"/>
            <w:szCs w:val="20"/>
            <w:lang w:val="es-ES"/>
          </w:rPr>
          <w:t> </w:t>
        </w:r>
        <w:r w:rsidRPr="00F05461">
          <w:rPr>
            <w:rStyle w:val="Hyperlink"/>
            <w:rFonts w:eastAsia="Times New Roman" w:cs="Times New Roman"/>
            <w:szCs w:val="20"/>
            <w:lang w:val="es-ES"/>
          </w:rPr>
          <w:t>104</w:t>
        </w:r>
      </w:hyperlink>
      <w:r w:rsidRPr="00F05461">
        <w:rPr>
          <w:lang w:val="es-ES"/>
        </w:rPr>
        <w:t xml:space="preserve"> sobre la promoción y el fortalecimiento de las actividades de normalización para las comunicaciones vehiculares. En el marco de la nueva Resolución</w:t>
      </w:r>
      <w:r w:rsidR="00886B64" w:rsidRPr="00F05461">
        <w:rPr>
          <w:lang w:val="es-ES"/>
        </w:rPr>
        <w:t> </w:t>
      </w:r>
      <w:r w:rsidRPr="00F05461">
        <w:rPr>
          <w:lang w:val="es-ES"/>
        </w:rPr>
        <w:t xml:space="preserve">104, </w:t>
      </w:r>
      <w:r w:rsidR="00296F03" w:rsidRPr="00F05461">
        <w:rPr>
          <w:lang w:val="es-ES"/>
        </w:rPr>
        <w:t>la UIT</w:t>
      </w:r>
      <w:r w:rsidRPr="00F05461">
        <w:rPr>
          <w:lang w:val="es-ES"/>
        </w:rPr>
        <w:t xml:space="preserve"> suscribió un </w:t>
      </w:r>
      <w:hyperlink r:id="rId521" w:history="1">
        <w:r w:rsidRPr="00F05461">
          <w:rPr>
            <w:rStyle w:val="Hyperlink"/>
            <w:rFonts w:eastAsia="Times New Roman" w:cs="Times New Roman"/>
            <w:szCs w:val="20"/>
            <w:lang w:val="es-ES"/>
          </w:rPr>
          <w:t>memorando de entendimiento con SAE International</w:t>
        </w:r>
      </w:hyperlink>
      <w:r w:rsidRPr="00F05461">
        <w:rPr>
          <w:lang w:val="es-ES"/>
        </w:rPr>
        <w:t xml:space="preserve"> el 11 de julio </w:t>
      </w:r>
      <w:r w:rsidR="00B933C5" w:rsidRPr="00F05461">
        <w:rPr>
          <w:lang w:val="es-ES"/>
        </w:rPr>
        <w:t>de 202</w:t>
      </w:r>
      <w:r w:rsidRPr="00F05461">
        <w:rPr>
          <w:lang w:val="es-ES"/>
        </w:rPr>
        <w:t xml:space="preserve">5, con el fin de ampliar la colaboración en actividades relacionadas con las comunicaciones vehiculares y los </w:t>
      </w:r>
      <w:r w:rsidR="00963557" w:rsidRPr="00F05461">
        <w:rPr>
          <w:lang w:val="es-ES"/>
        </w:rPr>
        <w:t>sistemas de transporte inteligentes (</w:t>
      </w:r>
      <w:r w:rsidR="00E62637" w:rsidRPr="00F05461">
        <w:rPr>
          <w:lang w:val="es-ES"/>
        </w:rPr>
        <w:t>STI</w:t>
      </w:r>
      <w:r w:rsidR="00963557" w:rsidRPr="00F05461">
        <w:rPr>
          <w:lang w:val="es-ES"/>
        </w:rPr>
        <w:t>)</w:t>
      </w:r>
      <w:r w:rsidRPr="00F05461">
        <w:rPr>
          <w:lang w:val="es-ES"/>
        </w:rPr>
        <w:t>, lo que facilitará los esfuerzos a escala mundial para mejorar la seguridad vial, apoyar la conducción automatizada y contribuir a los objetivos de desarrollo sostenible conexos.</w:t>
      </w:r>
    </w:p>
    <w:p w14:paraId="6919A5CB" w14:textId="2100A5BB" w:rsidR="007B4979" w:rsidRPr="00F05461" w:rsidRDefault="007B4979" w:rsidP="007B4979">
      <w:pPr>
        <w:rPr>
          <w:lang w:val="es-ES"/>
        </w:rPr>
      </w:pPr>
      <w:r w:rsidRPr="00F05461">
        <w:rPr>
          <w:lang w:val="es-ES"/>
        </w:rPr>
        <w:t xml:space="preserve">La Colaboración sobre Normas de Comunicación para </w:t>
      </w:r>
      <w:r w:rsidR="00D77E50" w:rsidRPr="00F05461">
        <w:rPr>
          <w:lang w:val="es-ES"/>
        </w:rPr>
        <w:t>STI</w:t>
      </w:r>
      <w:r w:rsidRPr="00F05461">
        <w:rPr>
          <w:lang w:val="es-ES"/>
        </w:rPr>
        <w:t xml:space="preserve"> (</w:t>
      </w:r>
      <w:hyperlink r:id="rId522" w:history="1">
        <w:r w:rsidRPr="00F05461">
          <w:rPr>
            <w:rStyle w:val="Hyperlink"/>
            <w:rFonts w:eastAsia="Times New Roman" w:cs="Times New Roman"/>
            <w:szCs w:val="20"/>
            <w:lang w:val="es-ES"/>
          </w:rPr>
          <w:t>CITS</w:t>
        </w:r>
      </w:hyperlink>
      <w:r w:rsidRPr="00F05461">
        <w:rPr>
          <w:lang w:val="es-ES"/>
        </w:rPr>
        <w:t xml:space="preserve">) ha pasado a constituir una plataforma reconocida a escala mundial que reúne a expertos de organismos de normalización, el sector industrial y gobiernos para intercambiar información y examinar las </w:t>
      </w:r>
      <w:hyperlink r:id="rId523" w:history="1">
        <w:r w:rsidR="00D77E50" w:rsidRPr="00F05461">
          <w:rPr>
            <w:rStyle w:val="Hyperlink"/>
            <w:rFonts w:eastAsia="Times New Roman" w:cs="Times New Roman"/>
            <w:szCs w:val="20"/>
            <w:lang w:val="es-ES"/>
          </w:rPr>
          <w:t>normas internacionales sobre STI</w:t>
        </w:r>
      </w:hyperlink>
      <w:r w:rsidRPr="00F05461">
        <w:rPr>
          <w:lang w:val="es-ES"/>
        </w:rPr>
        <w:t>. En el marco de la</w:t>
      </w:r>
      <w:r w:rsidR="001B7E88" w:rsidRPr="00F05461">
        <w:rPr>
          <w:lang w:val="es-ES"/>
        </w:rPr>
        <w:t> </w:t>
      </w:r>
      <w:r w:rsidRPr="00F05461">
        <w:rPr>
          <w:lang w:val="es-ES"/>
        </w:rPr>
        <w:t xml:space="preserve">CITS, se ha creado el </w:t>
      </w:r>
      <w:hyperlink r:id="rId524" w:history="1">
        <w:r w:rsidRPr="00F05461">
          <w:rPr>
            <w:rStyle w:val="Hyperlink"/>
            <w:rFonts w:eastAsia="Times New Roman" w:cs="Times New Roman"/>
            <w:szCs w:val="20"/>
            <w:lang w:val="es-ES"/>
          </w:rPr>
          <w:t>Grupo de Expertos en Tecnología de Comunicaciones para Conducción Automatizada</w:t>
        </w:r>
      </w:hyperlink>
      <w:r w:rsidRPr="00F05461">
        <w:rPr>
          <w:lang w:val="es-ES"/>
        </w:rPr>
        <w:t xml:space="preserve"> (EG-ComAD). Las actividades del</w:t>
      </w:r>
      <w:r w:rsidR="001B7E88" w:rsidRPr="00F05461">
        <w:rPr>
          <w:lang w:val="es-ES"/>
        </w:rPr>
        <w:t> </w:t>
      </w:r>
      <w:r w:rsidRPr="00F05461">
        <w:rPr>
          <w:lang w:val="es-ES"/>
        </w:rPr>
        <w:t xml:space="preserve">EG-ComAD se llevan a cabo en el marco de tres </w:t>
      </w:r>
      <w:r w:rsidR="00DF280A" w:rsidRPr="00F05461">
        <w:rPr>
          <w:lang w:val="es-ES"/>
        </w:rPr>
        <w:t xml:space="preserve">Grupos </w:t>
      </w:r>
      <w:r w:rsidRPr="00F05461">
        <w:rPr>
          <w:lang w:val="es-ES"/>
        </w:rPr>
        <w:t xml:space="preserve">de </w:t>
      </w:r>
      <w:r w:rsidR="00DF280A" w:rsidRPr="00F05461">
        <w:rPr>
          <w:lang w:val="es-ES"/>
        </w:rPr>
        <w:t>Trabajo</w:t>
      </w:r>
      <w:r w:rsidRPr="00F05461">
        <w:rPr>
          <w:lang w:val="es-ES"/>
        </w:rPr>
        <w:t>: (GT</w:t>
      </w:r>
      <w:r w:rsidR="00886B64" w:rsidRPr="00F05461">
        <w:rPr>
          <w:lang w:val="es-ES"/>
        </w:rPr>
        <w:t> </w:t>
      </w:r>
      <w:r w:rsidRPr="00F05461">
        <w:rPr>
          <w:lang w:val="es-ES"/>
        </w:rPr>
        <w:t>1) «</w:t>
      </w:r>
      <w:hyperlink r:id="rId525" w:history="1">
        <w:r w:rsidRPr="00F05461">
          <w:rPr>
            <w:rStyle w:val="Hyperlink"/>
            <w:rFonts w:eastAsia="Times New Roman" w:cs="Times New Roman"/>
            <w:szCs w:val="20"/>
            <w:lang w:val="es-ES"/>
          </w:rPr>
          <w:t>Comunicaciones vehiculares para la incorporación automática a carriles congestionados</w:t>
        </w:r>
      </w:hyperlink>
      <w:r w:rsidRPr="00F05461">
        <w:rPr>
          <w:lang w:val="es-ES"/>
        </w:rPr>
        <w:t>»</w:t>
      </w:r>
      <w:r w:rsidR="007B6111" w:rsidRPr="00F05461">
        <w:rPr>
          <w:lang w:val="es-ES"/>
        </w:rPr>
        <w:t>,</w:t>
      </w:r>
      <w:r w:rsidRPr="00F05461">
        <w:rPr>
          <w:lang w:val="es-ES"/>
        </w:rPr>
        <w:t xml:space="preserve"> (GT</w:t>
      </w:r>
      <w:r w:rsidR="00886B64" w:rsidRPr="00F05461">
        <w:rPr>
          <w:lang w:val="es-ES"/>
        </w:rPr>
        <w:t> </w:t>
      </w:r>
      <w:r w:rsidRPr="00F05461">
        <w:rPr>
          <w:lang w:val="es-ES"/>
        </w:rPr>
        <w:t>2) «</w:t>
      </w:r>
      <w:hyperlink r:id="rId526" w:history="1">
        <w:r w:rsidR="00886B64" w:rsidRPr="00F05461">
          <w:rPr>
            <w:rStyle w:val="Hyperlink"/>
            <w:rFonts w:eastAsia="Times New Roman" w:cs="Times New Roman"/>
            <w:szCs w:val="20"/>
            <w:lang w:val="es-ES"/>
          </w:rPr>
          <w:t>C</w:t>
        </w:r>
        <w:r w:rsidRPr="00F05461">
          <w:rPr>
            <w:rStyle w:val="Hyperlink"/>
            <w:rFonts w:eastAsia="Times New Roman" w:cs="Times New Roman"/>
            <w:szCs w:val="20"/>
            <w:lang w:val="es-ES"/>
          </w:rPr>
          <w:t>omunicaciones entre vehículos para un sistema de frenado de emergencia avanzado, que proteja en particular a los usuarios vulnerables de la vía pública (VRU)</w:t>
        </w:r>
      </w:hyperlink>
      <w:r w:rsidRPr="00F05461">
        <w:rPr>
          <w:lang w:val="es-ES"/>
        </w:rPr>
        <w:t>» y (GT</w:t>
      </w:r>
      <w:r w:rsidR="00886B64" w:rsidRPr="00F05461">
        <w:rPr>
          <w:lang w:val="es-ES"/>
        </w:rPr>
        <w:t> </w:t>
      </w:r>
      <w:r w:rsidRPr="00F05461">
        <w:rPr>
          <w:lang w:val="es-ES"/>
        </w:rPr>
        <w:t>3) «</w:t>
      </w:r>
      <w:hyperlink r:id="rId527" w:history="1">
        <w:r w:rsidRPr="00F05461">
          <w:rPr>
            <w:rStyle w:val="Hyperlink"/>
            <w:rFonts w:eastAsia="Times New Roman" w:cs="Times New Roman"/>
            <w:szCs w:val="20"/>
            <w:lang w:val="es-ES"/>
          </w:rPr>
          <w:t>Sostenibilidad técnica y económica de las comunicaciones vehiculares</w:t>
        </w:r>
      </w:hyperlink>
      <w:r w:rsidRPr="00F05461">
        <w:rPr>
          <w:lang w:val="es-ES"/>
        </w:rPr>
        <w:t>».</w:t>
      </w:r>
    </w:p>
    <w:p w14:paraId="17FA4F04" w14:textId="6180E8B5" w:rsidR="007B4979" w:rsidRPr="00F05461" w:rsidRDefault="00296F03" w:rsidP="007B4979">
      <w:pPr>
        <w:rPr>
          <w:lang w:val="es-ES"/>
        </w:rPr>
      </w:pPr>
      <w:r w:rsidRPr="00F05461">
        <w:rPr>
          <w:lang w:val="es-ES"/>
        </w:rPr>
        <w:t>La UIT</w:t>
      </w:r>
      <w:r w:rsidR="007B4979" w:rsidRPr="00F05461">
        <w:rPr>
          <w:lang w:val="es-ES"/>
        </w:rPr>
        <w:t xml:space="preserve"> también sigue impulsando los</w:t>
      </w:r>
      <w:r w:rsidR="001B7E88" w:rsidRPr="00F05461">
        <w:rPr>
          <w:lang w:val="es-ES"/>
        </w:rPr>
        <w:t> </w:t>
      </w:r>
      <w:r w:rsidR="007B4979" w:rsidRPr="00F05461">
        <w:rPr>
          <w:lang w:val="es-ES"/>
        </w:rPr>
        <w:t xml:space="preserve">STI a través de su colaboración con la Comisión Económica para Europa de las Naciones Unidas (CEPE) y el sector automovilístico. El </w:t>
      </w:r>
      <w:hyperlink r:id="rId528" w:history="1">
        <w:r w:rsidR="007B4979" w:rsidRPr="00F05461">
          <w:rPr>
            <w:rStyle w:val="Hyperlink"/>
            <w:rFonts w:eastAsia="Times New Roman" w:cs="Times New Roman"/>
            <w:szCs w:val="20"/>
            <w:lang w:val="es-ES"/>
          </w:rPr>
          <w:t xml:space="preserve">Simposio de </w:t>
        </w:r>
        <w:r w:rsidRPr="00F05461">
          <w:rPr>
            <w:rStyle w:val="Hyperlink"/>
            <w:rFonts w:eastAsia="Times New Roman" w:cs="Times New Roman"/>
            <w:szCs w:val="20"/>
            <w:lang w:val="es-ES"/>
          </w:rPr>
          <w:t>la UIT</w:t>
        </w:r>
        <w:r w:rsidR="007B4979" w:rsidRPr="00F05461">
          <w:rPr>
            <w:rStyle w:val="Hyperlink"/>
            <w:rFonts w:eastAsia="Times New Roman" w:cs="Times New Roman"/>
            <w:szCs w:val="20"/>
            <w:lang w:val="es-ES"/>
          </w:rPr>
          <w:t xml:space="preserve"> y la CEPE sobre el automóvil conectado del futuro</w:t>
        </w:r>
      </w:hyperlink>
      <w:r w:rsidR="007B4979" w:rsidRPr="00F05461">
        <w:rPr>
          <w:lang w:val="es-ES"/>
        </w:rPr>
        <w:t xml:space="preserve"> (FNC) reúne al sector industrial, reguladores y expertos para examinar los avances más recientes en materia de </w:t>
      </w:r>
      <w:r w:rsidR="007B4979" w:rsidRPr="00F05461">
        <w:rPr>
          <w:lang w:val="es-ES"/>
        </w:rPr>
        <w:lastRenderedPageBreak/>
        <w:t xml:space="preserve">automatización, conectividad y regulación de vehículos. </w:t>
      </w:r>
      <w:r w:rsidRPr="00F05461">
        <w:rPr>
          <w:lang w:val="es-ES"/>
        </w:rPr>
        <w:t>La UIT</w:t>
      </w:r>
      <w:r w:rsidR="007B4979" w:rsidRPr="00F05461">
        <w:rPr>
          <w:lang w:val="es-ES"/>
        </w:rPr>
        <w:t xml:space="preserve"> y la</w:t>
      </w:r>
      <w:r w:rsidR="001B7E88" w:rsidRPr="00F05461">
        <w:rPr>
          <w:lang w:val="es-ES"/>
        </w:rPr>
        <w:t> </w:t>
      </w:r>
      <w:r w:rsidR="007B4979" w:rsidRPr="00F05461">
        <w:rPr>
          <w:lang w:val="es-ES"/>
        </w:rPr>
        <w:t xml:space="preserve">CEPE han organizado varias reuniones del Simposio FNC, la primera en 2022, dos en 2023 (con una edición simultánea en Qatar), otra en 2024 y dos más en 2025, en el marco de la </w:t>
      </w:r>
      <w:hyperlink r:id="rId529" w:history="1">
        <w:r w:rsidR="003701FD" w:rsidRPr="00F05461">
          <w:rPr>
            <w:rStyle w:val="Hyperlink"/>
            <w:rFonts w:eastAsia="Times New Roman" w:cs="Times New Roman"/>
            <w:szCs w:val="20"/>
            <w:lang w:val="es-ES"/>
          </w:rPr>
          <w:t>Cumbre AI for Good</w:t>
        </w:r>
      </w:hyperlink>
      <w:r w:rsidR="007B4979" w:rsidRPr="00F05461">
        <w:rPr>
          <w:lang w:val="es-ES"/>
        </w:rPr>
        <w:t xml:space="preserve">. Consúltense </w:t>
      </w:r>
      <w:hyperlink r:id="rId530" w:history="1">
        <w:r w:rsidR="007B4979" w:rsidRPr="00F05461">
          <w:rPr>
            <w:rStyle w:val="Hyperlink"/>
            <w:rFonts w:eastAsia="Times New Roman" w:cs="Times New Roman"/>
            <w:szCs w:val="20"/>
            <w:lang w:val="es-ES"/>
          </w:rPr>
          <w:t>aquí</w:t>
        </w:r>
      </w:hyperlink>
      <w:r w:rsidR="007B4979" w:rsidRPr="00F05461">
        <w:rPr>
          <w:lang w:val="es-ES"/>
        </w:rPr>
        <w:t xml:space="preserve"> los </w:t>
      </w:r>
      <w:hyperlink r:id="rId531" w:history="1">
        <w:r w:rsidR="007B4979" w:rsidRPr="00F05461">
          <w:rPr>
            <w:rStyle w:val="Hyperlink"/>
            <w:rFonts w:eastAsia="Times New Roman" w:cs="Times New Roman"/>
            <w:szCs w:val="20"/>
            <w:lang w:val="es-ES"/>
          </w:rPr>
          <w:t>eventos relacionados con los</w:t>
        </w:r>
        <w:r w:rsidR="001B7E88" w:rsidRPr="00F05461">
          <w:rPr>
            <w:rStyle w:val="Hyperlink"/>
            <w:rFonts w:eastAsia="Times New Roman" w:cs="Times New Roman"/>
            <w:szCs w:val="20"/>
            <w:lang w:val="es-ES"/>
          </w:rPr>
          <w:t> </w:t>
        </w:r>
        <w:r w:rsidR="007B4979" w:rsidRPr="00F05461">
          <w:rPr>
            <w:rStyle w:val="Hyperlink"/>
            <w:rFonts w:eastAsia="Times New Roman" w:cs="Times New Roman"/>
            <w:szCs w:val="20"/>
            <w:lang w:val="es-ES"/>
          </w:rPr>
          <w:t>STI</w:t>
        </w:r>
      </w:hyperlink>
      <w:r w:rsidR="007B4979" w:rsidRPr="00F05461">
        <w:rPr>
          <w:lang w:val="es-ES"/>
        </w:rPr>
        <w:t>.</w:t>
      </w:r>
    </w:p>
    <w:p w14:paraId="78B60000" w14:textId="77777777" w:rsidR="007B4979" w:rsidRPr="00F05461" w:rsidRDefault="007B4979" w:rsidP="00AC3213">
      <w:pPr>
        <w:pStyle w:val="Headingb"/>
      </w:pPr>
      <w:bookmarkStart w:id="122" w:name="_5.6_CTO_and"/>
      <w:bookmarkStart w:id="123" w:name="_Toc156392419"/>
      <w:bookmarkEnd w:id="122"/>
      <w:r w:rsidRPr="00F05461">
        <w:t>Reuniones de directores técnicos</w:t>
      </w:r>
      <w:bookmarkEnd w:id="123"/>
      <w:r w:rsidRPr="00F05461">
        <w:t>, entre otros</w:t>
      </w:r>
    </w:p>
    <w:bookmarkEnd w:id="121"/>
    <w:p w14:paraId="792AFF00" w14:textId="7DDB99FE" w:rsidR="007B4979" w:rsidRPr="00F05461" w:rsidRDefault="007B4979" w:rsidP="007B4979">
      <w:pPr>
        <w:rPr>
          <w:lang w:val="es-ES"/>
        </w:rPr>
      </w:pPr>
      <w:r w:rsidRPr="00F05461">
        <w:rPr>
          <w:lang w:val="es-ES"/>
        </w:rPr>
        <w:t xml:space="preserve">Las mesas redondas anuales de </w:t>
      </w:r>
      <w:r w:rsidR="00296F03" w:rsidRPr="00F05461">
        <w:rPr>
          <w:lang w:val="es-ES"/>
        </w:rPr>
        <w:t>la UIT</w:t>
      </w:r>
      <w:r w:rsidRPr="00F05461">
        <w:rPr>
          <w:lang w:val="es-ES"/>
        </w:rPr>
        <w:t xml:space="preserve"> para directivos, celebradas de diciembre </w:t>
      </w:r>
      <w:r w:rsidR="00B933C5" w:rsidRPr="00F05461">
        <w:rPr>
          <w:lang w:val="es-ES"/>
        </w:rPr>
        <w:t>de 202</w:t>
      </w:r>
      <w:r w:rsidRPr="00F05461">
        <w:rPr>
          <w:lang w:val="es-ES"/>
        </w:rPr>
        <w:t xml:space="preserve">3 a noviembre </w:t>
      </w:r>
      <w:r w:rsidR="00B933C5" w:rsidRPr="00F05461">
        <w:rPr>
          <w:lang w:val="es-ES"/>
        </w:rPr>
        <w:t>de 202</w:t>
      </w:r>
      <w:r w:rsidRPr="00F05461">
        <w:rPr>
          <w:lang w:val="es-ES"/>
        </w:rPr>
        <w:t xml:space="preserve">5, sirvieron como foros destacados de alto nivel para que los ejecutivos del sector debatieran las prioridades y las actividades de normalización con respecto a la rápida evolución de las telecomunicaciones y las tecnologías incipientes. Estos eventos destacaron sistemáticamente la necesidad del liderazgo de </w:t>
      </w:r>
      <w:r w:rsidR="00296F03" w:rsidRPr="00F05461">
        <w:rPr>
          <w:lang w:val="es-ES"/>
        </w:rPr>
        <w:t>la UIT</w:t>
      </w:r>
      <w:r w:rsidRPr="00F05461">
        <w:rPr>
          <w:lang w:val="es-ES"/>
        </w:rPr>
        <w:t xml:space="preserve"> para configurar el futuro panorama digital.</w:t>
      </w:r>
    </w:p>
    <w:p w14:paraId="01859EB6" w14:textId="6EEABC77" w:rsidR="007B4979" w:rsidRPr="00F05461" w:rsidRDefault="007B4979" w:rsidP="007B4979">
      <w:pPr>
        <w:rPr>
          <w:lang w:val="es-ES"/>
        </w:rPr>
      </w:pPr>
      <w:r w:rsidRPr="00F05461">
        <w:rPr>
          <w:lang w:val="es-ES"/>
        </w:rPr>
        <w:t xml:space="preserve">La mesa redonda celebrada en diciembre </w:t>
      </w:r>
      <w:r w:rsidR="00B933C5" w:rsidRPr="00F05461">
        <w:rPr>
          <w:lang w:val="es-ES"/>
        </w:rPr>
        <w:t>de 202</w:t>
      </w:r>
      <w:r w:rsidRPr="00F05461">
        <w:rPr>
          <w:lang w:val="es-ES"/>
        </w:rPr>
        <w:t xml:space="preserve">3 en Dubái destacó el papel de </w:t>
      </w:r>
      <w:r w:rsidR="00296F03" w:rsidRPr="00F05461">
        <w:rPr>
          <w:lang w:val="es-ES"/>
        </w:rPr>
        <w:t>la UIT</w:t>
      </w:r>
      <w:r w:rsidRPr="00F05461">
        <w:rPr>
          <w:lang w:val="es-ES"/>
        </w:rPr>
        <w:t xml:space="preserve"> en el desarrollo de normas para las redes de transporte</w:t>
      </w:r>
      <w:r w:rsidR="0018476A" w:rsidRPr="00F05461">
        <w:rPr>
          <w:lang w:val="es-ES"/>
        </w:rPr>
        <w:t> </w:t>
      </w:r>
      <w:r w:rsidRPr="00F05461">
        <w:rPr>
          <w:lang w:val="es-ES"/>
        </w:rPr>
        <w:t>6G, en particular en lo que respecta a soluciones ópticas rentables. Los debates hicieron hincapié en la</w:t>
      </w:r>
      <w:r w:rsidR="0018476A" w:rsidRPr="00F05461">
        <w:rPr>
          <w:lang w:val="es-ES"/>
        </w:rPr>
        <w:t> </w:t>
      </w:r>
      <w:r w:rsidRPr="00F05461">
        <w:rPr>
          <w:lang w:val="es-ES"/>
        </w:rPr>
        <w:t xml:space="preserve">IA y el aprendizaje automático para la optimización de redes, el potencial que presentan las redes no terrenales (NTN) para facilitar la conectividad a distancia y la importancia de normalizar la conectividad de los vehículos para fomentar la movilidad inteligente y las actividades de respuesta frente a catástrofes. Las nuevas inquietudes en materia de seguridad, en particular el fraude en el tráfico telefónico y el registro biométrico de tarjetas SIM, dieron lugar a peticiones de orientación por </w:t>
      </w:r>
      <w:r w:rsidR="00296F03" w:rsidRPr="00F05461">
        <w:rPr>
          <w:lang w:val="es-ES"/>
        </w:rPr>
        <w:t>la UIT</w:t>
      </w:r>
      <w:r w:rsidRPr="00F05461">
        <w:rPr>
          <w:lang w:val="es-ES"/>
        </w:rPr>
        <w:t>, y el fomento de la normalización de las tecnologías de la información cuántica.</w:t>
      </w:r>
    </w:p>
    <w:p w14:paraId="7E265B65" w14:textId="795AF0D1" w:rsidR="007B4979" w:rsidRPr="00F05461" w:rsidRDefault="007B4979" w:rsidP="007B4979">
      <w:pPr>
        <w:rPr>
          <w:lang w:val="es-ES"/>
        </w:rPr>
      </w:pPr>
      <w:r w:rsidRPr="00F05461">
        <w:rPr>
          <w:lang w:val="es-ES"/>
        </w:rPr>
        <w:t xml:space="preserve">Un año después, la mesa redonda que tuvo lugar en diciembre </w:t>
      </w:r>
      <w:r w:rsidR="00B933C5" w:rsidRPr="00F05461">
        <w:rPr>
          <w:lang w:val="es-ES"/>
        </w:rPr>
        <w:t>de 202</w:t>
      </w:r>
      <w:r w:rsidRPr="00F05461">
        <w:rPr>
          <w:lang w:val="es-ES"/>
        </w:rPr>
        <w:t xml:space="preserve">4, también en Dubái, siguió abordando esos temas al abogar por una hoja de ruta de normalización de </w:t>
      </w:r>
      <w:r w:rsidR="00296F03" w:rsidRPr="00F05461">
        <w:rPr>
          <w:lang w:val="es-ES"/>
        </w:rPr>
        <w:t>la UIT</w:t>
      </w:r>
      <w:r w:rsidRPr="00F05461">
        <w:rPr>
          <w:lang w:val="es-ES"/>
        </w:rPr>
        <w:t xml:space="preserve"> hasta</w:t>
      </w:r>
      <w:r w:rsidR="00D7071C" w:rsidRPr="00F05461">
        <w:rPr>
          <w:lang w:val="es-ES"/>
        </w:rPr>
        <w:t> </w:t>
      </w:r>
      <w:r w:rsidRPr="00F05461">
        <w:rPr>
          <w:lang w:val="es-ES"/>
        </w:rPr>
        <w:t>2030 sobre redes ópticas compatibles con las IMT-2030 (o redes</w:t>
      </w:r>
      <w:r w:rsidR="0018476A" w:rsidRPr="00F05461">
        <w:rPr>
          <w:lang w:val="es-ES"/>
        </w:rPr>
        <w:t> </w:t>
      </w:r>
      <w:r w:rsidRPr="00F05461">
        <w:rPr>
          <w:lang w:val="es-ES"/>
        </w:rPr>
        <w:t>6G). Varios ejecutivos de alto nivel pusieron de relieve al respecto la inteligencia de red, la sostenibilidad medioambiental a través de modelos de lenguaje a gran escala (LLM) y el desarrollo de</w:t>
      </w:r>
      <w:r w:rsidR="003C7DDE">
        <w:rPr>
          <w:lang w:val="es-ES"/>
        </w:rPr>
        <w:t> </w:t>
      </w:r>
      <w:r w:rsidRPr="00F05461">
        <w:rPr>
          <w:lang w:val="es-ES"/>
        </w:rPr>
        <w:t xml:space="preserve">IA multilingüe de código abierto. Entre los debates clave figuraron la armonización de las normas sobre flujo transfronterizo de datos, la aplicación de contramedidas a escala mundial contra el fraude telefónico (en particular las listas «con bloqueo de llamadas») y la orientación de </w:t>
      </w:r>
      <w:r w:rsidR="00296F03" w:rsidRPr="00F05461">
        <w:rPr>
          <w:lang w:val="es-ES"/>
        </w:rPr>
        <w:t>la UIT</w:t>
      </w:r>
      <w:r w:rsidRPr="00F05461">
        <w:rPr>
          <w:lang w:val="es-ES"/>
        </w:rPr>
        <w:t xml:space="preserve"> para la adopción de NTN con el fin de mejorar la conectividad y la seguridad pública. También se dio prioridad a las redes de banda ancha fiables para los servicios de emergencia.</w:t>
      </w:r>
    </w:p>
    <w:p w14:paraId="208D2323" w14:textId="68BF1890" w:rsidR="007B4979" w:rsidRPr="00F05461" w:rsidRDefault="007B4979" w:rsidP="007B4979">
      <w:pPr>
        <w:rPr>
          <w:lang w:val="es-ES"/>
        </w:rPr>
      </w:pPr>
      <w:r w:rsidRPr="00F05461">
        <w:rPr>
          <w:lang w:val="es-ES"/>
        </w:rPr>
        <w:t xml:space="preserve">La citada mesa redonda de altos ejecutivos celebrada en Múnich en noviembre </w:t>
      </w:r>
      <w:r w:rsidR="00B933C5" w:rsidRPr="00F05461">
        <w:rPr>
          <w:lang w:val="es-ES"/>
        </w:rPr>
        <w:t>de 202</w:t>
      </w:r>
      <w:r w:rsidRPr="00F05461">
        <w:rPr>
          <w:lang w:val="es-ES"/>
        </w:rPr>
        <w:t>5 profundizó en estos debates, así como en las prioridades clave del sector en las que la</w:t>
      </w:r>
      <w:r w:rsidR="0018476A" w:rsidRPr="00F05461">
        <w:rPr>
          <w:lang w:val="es-ES"/>
        </w:rPr>
        <w:t> </w:t>
      </w:r>
      <w:r w:rsidRPr="00F05461">
        <w:rPr>
          <w:lang w:val="es-ES"/>
        </w:rPr>
        <w:t>IA desempeña un papel fundamental, a saber, rendimiento, resiliencia, sostenibilidad medioambiental y seguridad. Se hizo hincapié en la necesidad de contar con una IA responsable y fiable, y se propuso establecer normas sobre ética, integridad de la información y arquitecturas de confianza cero. Las innovaciones en materia de centros de datos, impulsadas por actividades de</w:t>
      </w:r>
      <w:r w:rsidR="003C7DDE">
        <w:rPr>
          <w:lang w:val="es-ES"/>
        </w:rPr>
        <w:t> </w:t>
      </w:r>
      <w:r w:rsidRPr="00F05461">
        <w:rPr>
          <w:lang w:val="es-ES"/>
        </w:rPr>
        <w:t>IA y la colaboración con el sector energético relativo a las energías renovables, fueron temas destacados. Las redes no terrenales siguieron constituyendo un tema esencial para mejorar la conectividad en zonas rurales y en situaciones de emergencia, y se hizo un llamamiento para el establecimiento de nuevos indicadores de rendimiento. También se identificaron tecnologías incipientes como la detección por fibra óptica distribuida, las tecnologías de información cuántica y los medios de comunicación de ultra alta definición en el marco de las actividades normativas.</w:t>
      </w:r>
    </w:p>
    <w:p w14:paraId="6189B4E1" w14:textId="54121BCB" w:rsidR="007B4979" w:rsidRPr="00F05461" w:rsidRDefault="007B4979" w:rsidP="007B4979">
      <w:pPr>
        <w:rPr>
          <w:lang w:val="es-ES"/>
        </w:rPr>
      </w:pPr>
      <w:r w:rsidRPr="00F05461">
        <w:rPr>
          <w:lang w:val="es-ES"/>
        </w:rPr>
        <w:lastRenderedPageBreak/>
        <w:t xml:space="preserve">En su conjunto, dichas reuniones pusieron de manifiesto la evolución de un mandato coherente respecto del liderazgo de </w:t>
      </w:r>
      <w:r w:rsidR="00296F03" w:rsidRPr="00F05461">
        <w:rPr>
          <w:lang w:val="es-ES"/>
        </w:rPr>
        <w:t>la UIT</w:t>
      </w:r>
      <w:r w:rsidRPr="00F05461">
        <w:rPr>
          <w:lang w:val="es-ES"/>
        </w:rPr>
        <w:t xml:space="preserve"> en la elaboración de normas internacionales sobre tecnologías transformadoras, en particular la</w:t>
      </w:r>
      <w:r w:rsidR="0018476A" w:rsidRPr="00F05461">
        <w:rPr>
          <w:lang w:val="es-ES"/>
        </w:rPr>
        <w:t> </w:t>
      </w:r>
      <w:r w:rsidRPr="00F05461">
        <w:rPr>
          <w:lang w:val="es-ES"/>
        </w:rPr>
        <w:t>IA, la tecnología</w:t>
      </w:r>
      <w:r w:rsidR="0018476A" w:rsidRPr="00F05461">
        <w:rPr>
          <w:lang w:val="es-ES"/>
        </w:rPr>
        <w:t> </w:t>
      </w:r>
      <w:r w:rsidRPr="00F05461">
        <w:rPr>
          <w:lang w:val="es-ES"/>
        </w:rPr>
        <w:t>6G, las</w:t>
      </w:r>
      <w:r w:rsidR="0018476A" w:rsidRPr="00F05461">
        <w:rPr>
          <w:lang w:val="es-ES"/>
        </w:rPr>
        <w:t> </w:t>
      </w:r>
      <w:r w:rsidRPr="00F05461">
        <w:rPr>
          <w:lang w:val="es-ES"/>
        </w:rPr>
        <w:t>NTN y la computación cuántica, al tiempo que se abordan retos que afectan a la ciberseguridad y se promueve la sostenibilidad medioambiental en el ecosistema digital.</w:t>
      </w:r>
    </w:p>
    <w:p w14:paraId="7AECFA4B" w14:textId="77777777" w:rsidR="007B4979" w:rsidRPr="00F05461" w:rsidRDefault="007B4979" w:rsidP="00AC3213">
      <w:pPr>
        <w:pStyle w:val="Headingb"/>
      </w:pPr>
      <w:r w:rsidRPr="00F05461">
        <w:t>Cooperación Mundial sobre Normas</w:t>
      </w:r>
    </w:p>
    <w:p w14:paraId="704B184A" w14:textId="5B10AF42" w:rsidR="007B4979" w:rsidRPr="00F05461" w:rsidRDefault="007B4979" w:rsidP="007B4979">
      <w:pPr>
        <w:rPr>
          <w:lang w:val="es-ES"/>
        </w:rPr>
      </w:pPr>
      <w:r w:rsidRPr="00F05461">
        <w:rPr>
          <w:lang w:val="es-ES"/>
        </w:rPr>
        <w:t xml:space="preserve">La </w:t>
      </w:r>
      <w:hyperlink r:id="rId532" w:history="1">
        <w:r w:rsidRPr="00F05461">
          <w:rPr>
            <w:rStyle w:val="Hyperlink"/>
            <w:rFonts w:eastAsia="Times New Roman" w:cs="Times New Roman"/>
            <w:szCs w:val="20"/>
            <w:lang w:val="es-ES"/>
          </w:rPr>
          <w:t>Cooperación Mundial sobre Normas</w:t>
        </w:r>
      </w:hyperlink>
      <w:r w:rsidRPr="00F05461">
        <w:rPr>
          <w:lang w:val="es-ES"/>
        </w:rPr>
        <w:t xml:space="preserve"> es una asociación de </w:t>
      </w:r>
      <w:r w:rsidR="00296F03" w:rsidRPr="00F05461">
        <w:rPr>
          <w:lang w:val="es-ES"/>
        </w:rPr>
        <w:t>la UIT</w:t>
      </w:r>
      <w:r w:rsidRPr="00F05461">
        <w:rPr>
          <w:lang w:val="es-ES"/>
        </w:rPr>
        <w:t>, la</w:t>
      </w:r>
      <w:r w:rsidR="005B7661" w:rsidRPr="00F05461">
        <w:rPr>
          <w:lang w:val="es-ES"/>
        </w:rPr>
        <w:t> </w:t>
      </w:r>
      <w:r w:rsidRPr="00F05461">
        <w:rPr>
          <w:lang w:val="es-ES"/>
        </w:rPr>
        <w:t>CEI y la</w:t>
      </w:r>
      <w:r w:rsidR="002B22EB" w:rsidRPr="00F05461">
        <w:rPr>
          <w:lang w:val="es-ES"/>
        </w:rPr>
        <w:t> </w:t>
      </w:r>
      <w:r w:rsidRPr="00F05461">
        <w:rPr>
          <w:lang w:val="es-ES"/>
        </w:rPr>
        <w:t>ISO destinada a impulsar el sistema de normalización internacional voluntario basado en el consenso.</w:t>
      </w:r>
    </w:p>
    <w:p w14:paraId="0BEFB144" w14:textId="371170C8" w:rsidR="007B4979" w:rsidRPr="00F05461" w:rsidRDefault="007B4979" w:rsidP="007B4979">
      <w:pPr>
        <w:rPr>
          <w:lang w:val="es-ES"/>
        </w:rPr>
      </w:pPr>
      <w:r w:rsidRPr="00F05461">
        <w:rPr>
          <w:lang w:val="es-ES"/>
        </w:rPr>
        <w:t xml:space="preserve">Entre las actividades conjuntas cabe destacar la organización de la </w:t>
      </w:r>
      <w:hyperlink r:id="rId533" w:history="1">
        <w:r w:rsidRPr="00F05461">
          <w:rPr>
            <w:rStyle w:val="Hyperlink"/>
            <w:rFonts w:eastAsia="Times New Roman" w:cs="Times New Roman"/>
            <w:szCs w:val="20"/>
            <w:lang w:val="es-ES"/>
          </w:rPr>
          <w:t>Jornada Mundial de Normalización</w:t>
        </w:r>
      </w:hyperlink>
      <w:r w:rsidRPr="00F05461">
        <w:rPr>
          <w:lang w:val="es-ES"/>
        </w:rPr>
        <w:t xml:space="preserve">, que aborda la manera en que las normas proporcionan un marco común que facilita una colaboración eficaz entre los sectores industrial y gubernamental y diversas organizaciones para alcanzar los objetivos conjuntos de desarrollo sostenible (véanse las </w:t>
      </w:r>
      <w:hyperlink r:id="rId534" w:history="1">
        <w:r w:rsidRPr="00F05461">
          <w:rPr>
            <w:rStyle w:val="Hyperlink"/>
            <w:rFonts w:eastAsia="Times New Roman" w:cs="Times New Roman"/>
            <w:szCs w:val="20"/>
            <w:lang w:val="es-ES"/>
          </w:rPr>
          <w:t>ediciones anteriores de la Jornada Mundial de Normalización</w:t>
        </w:r>
      </w:hyperlink>
      <w:r w:rsidRPr="00F05461">
        <w:rPr>
          <w:lang w:val="es-ES"/>
        </w:rPr>
        <w:t>).</w:t>
      </w:r>
    </w:p>
    <w:p w14:paraId="05704437" w14:textId="5B68F29D" w:rsidR="007B4979" w:rsidRPr="00F05461" w:rsidRDefault="007B4979" w:rsidP="002555AC">
      <w:pPr>
        <w:rPr>
          <w:lang w:val="es-ES"/>
        </w:rPr>
      </w:pPr>
      <w:r w:rsidRPr="00F05461">
        <w:rPr>
          <w:lang w:val="es-ES"/>
        </w:rPr>
        <w:t xml:space="preserve">Los asociados también han intensificado su colaboración en materia de sostenibilidad e </w:t>
      </w:r>
      <w:r w:rsidR="00FF1AB6">
        <w:rPr>
          <w:lang w:val="es-ES"/>
        </w:rPr>
        <w:t>IA</w:t>
      </w:r>
      <w:r w:rsidRPr="00F05461">
        <w:rPr>
          <w:lang w:val="es-ES"/>
        </w:rPr>
        <w:t>, incluida la realización de declaraciones conjuntas en la</w:t>
      </w:r>
      <w:r w:rsidR="00D7071C" w:rsidRPr="00F05461">
        <w:rPr>
          <w:lang w:val="es-ES"/>
        </w:rPr>
        <w:t> </w:t>
      </w:r>
      <w:hyperlink r:id="rId535" w:history="1">
        <w:r w:rsidRPr="00F05461">
          <w:rPr>
            <w:rStyle w:val="Hyperlink"/>
            <w:rFonts w:eastAsia="Times New Roman" w:cs="Times New Roman"/>
            <w:szCs w:val="20"/>
            <w:lang w:val="es-ES"/>
          </w:rPr>
          <w:t>COP28</w:t>
        </w:r>
      </w:hyperlink>
      <w:r w:rsidRPr="00F05461">
        <w:rPr>
          <w:lang w:val="es-ES"/>
        </w:rPr>
        <w:t xml:space="preserve"> y la</w:t>
      </w:r>
      <w:r w:rsidR="00D7071C" w:rsidRPr="00F05461">
        <w:rPr>
          <w:lang w:val="es-ES"/>
        </w:rPr>
        <w:t> </w:t>
      </w:r>
      <w:hyperlink r:id="rId536" w:history="1">
        <w:r w:rsidRPr="00F05461">
          <w:rPr>
            <w:rStyle w:val="Hyperlink"/>
            <w:rFonts w:eastAsia="Times New Roman" w:cs="Times New Roman"/>
            <w:szCs w:val="20"/>
            <w:lang w:val="es-ES"/>
          </w:rPr>
          <w:t>COP29</w:t>
        </w:r>
      </w:hyperlink>
      <w:r w:rsidRPr="00F05461">
        <w:rPr>
          <w:lang w:val="es-ES"/>
        </w:rPr>
        <w:t xml:space="preserve"> sobre integración de la sostenibilidad en las normas técnicas desde su fase de formulación, con el objetivo de alcanzar emisiones netas cero y lograr una economía eficiente en cuanto a consumo de recursos, circularidad y bajas emisiones de carbono, en colaboración con la iniciativa Acción Digital Ecológica. La asociación también mantuvo una presencia conjunta en el Pabellón de Normas de la</w:t>
      </w:r>
      <w:r w:rsidR="00D7071C" w:rsidRPr="00F05461">
        <w:rPr>
          <w:lang w:val="es-ES"/>
        </w:rPr>
        <w:t> </w:t>
      </w:r>
      <w:r w:rsidRPr="00F05461">
        <w:rPr>
          <w:lang w:val="es-ES"/>
        </w:rPr>
        <w:t>COP29 y la</w:t>
      </w:r>
      <w:r w:rsidR="00D7071C" w:rsidRPr="00F05461">
        <w:rPr>
          <w:lang w:val="es-ES"/>
        </w:rPr>
        <w:t> </w:t>
      </w:r>
      <w:r w:rsidRPr="00F05461">
        <w:rPr>
          <w:lang w:val="es-ES"/>
        </w:rPr>
        <w:t>COP30, y mostró un enfoque unificado en la defensa del papel que desempeñan las normas internacionales en la acción climática.</w:t>
      </w:r>
    </w:p>
    <w:p w14:paraId="3EF5A289" w14:textId="7148CDB5" w:rsidR="007B4979" w:rsidRPr="00F05461" w:rsidRDefault="007B4979" w:rsidP="007B4979">
      <w:pPr>
        <w:rPr>
          <w:lang w:val="es-ES"/>
        </w:rPr>
      </w:pPr>
      <w:r w:rsidRPr="00F05461">
        <w:rPr>
          <w:lang w:val="es-ES"/>
        </w:rPr>
        <w:t xml:space="preserve">Otras iniciativas de colaboración recientes incluyen la </w:t>
      </w:r>
      <w:hyperlink r:id="rId537" w:history="1">
        <w:r w:rsidRPr="00F05461">
          <w:rPr>
            <w:rStyle w:val="Hyperlink"/>
            <w:rFonts w:eastAsia="Times New Roman" w:cs="Times New Roman"/>
            <w:szCs w:val="20"/>
            <w:lang w:val="es-ES"/>
          </w:rPr>
          <w:t>Colaboración sobre Normas de Autenticidad de</w:t>
        </w:r>
        <w:r w:rsidR="003C7DDE">
          <w:rPr>
            <w:rStyle w:val="Hyperlink"/>
            <w:rFonts w:eastAsia="Times New Roman" w:cs="Times New Roman"/>
            <w:szCs w:val="20"/>
            <w:lang w:val="es-ES"/>
          </w:rPr>
          <w:t> </w:t>
        </w:r>
        <w:r w:rsidRPr="00F05461">
          <w:rPr>
            <w:rStyle w:val="Hyperlink"/>
            <w:rFonts w:eastAsia="Times New Roman" w:cs="Times New Roman"/>
            <w:szCs w:val="20"/>
            <w:lang w:val="es-ES"/>
          </w:rPr>
          <w:t>IA y Contenido Multimedia (AMAS)</w:t>
        </w:r>
      </w:hyperlink>
      <w:r w:rsidRPr="00F05461">
        <w:rPr>
          <w:lang w:val="es-ES"/>
        </w:rPr>
        <w:t>, destinada a combatir la información falsa, la desinformación y la información errónea. En dicha Colaboración participan organismos de normalización, líderes tecnológicos, expertos académicos, encargados de la formulación de políticas y la sociedad civil, con el fin de forjar un futuro en el que se pueda confiar en los contenidos digitales. El trabajo de la</w:t>
      </w:r>
      <w:r w:rsidR="00D7071C" w:rsidRPr="00F05461">
        <w:rPr>
          <w:lang w:val="es-ES"/>
        </w:rPr>
        <w:t> </w:t>
      </w:r>
      <w:r w:rsidRPr="00F05461">
        <w:rPr>
          <w:lang w:val="es-ES"/>
        </w:rPr>
        <w:t xml:space="preserve">AMAS se centra en analizar el panorama normativo en materia de autenticidad de multimedios y en evaluar las medidas legales y políticas adoptadas por gobiernos, el sector industrial y la sociedad civil para abordar los retos que plantean la información falsa, la desinformación y la información errónea. El 11 de julio </w:t>
      </w:r>
      <w:r w:rsidR="00B933C5" w:rsidRPr="00F05461">
        <w:rPr>
          <w:lang w:val="es-ES"/>
        </w:rPr>
        <w:t>de 202</w:t>
      </w:r>
      <w:r w:rsidRPr="00F05461">
        <w:rPr>
          <w:lang w:val="es-ES"/>
        </w:rPr>
        <w:t xml:space="preserve">5, en el marco de la Cumbre </w:t>
      </w:r>
      <w:r w:rsidR="00032DD5" w:rsidRPr="00F05461">
        <w:rPr>
          <w:lang w:val="es-ES"/>
        </w:rPr>
        <w:t xml:space="preserve">Mundial </w:t>
      </w:r>
      <w:r w:rsidRPr="00F05461">
        <w:rPr>
          <w:lang w:val="es-ES"/>
        </w:rPr>
        <w:t>AI for Good, el grupo que respalda la</w:t>
      </w:r>
      <w:r w:rsidR="00D7071C" w:rsidRPr="00F05461">
        <w:rPr>
          <w:lang w:val="es-ES"/>
        </w:rPr>
        <w:t> </w:t>
      </w:r>
      <w:r w:rsidRPr="00F05461">
        <w:rPr>
          <w:lang w:val="es-ES"/>
        </w:rPr>
        <w:t xml:space="preserve">AMAS publicó </w:t>
      </w:r>
      <w:hyperlink r:id="rId538" w:anchor="reports" w:history="1">
        <w:r w:rsidRPr="00F05461">
          <w:rPr>
            <w:rStyle w:val="Hyperlink"/>
            <w:rFonts w:eastAsia="Times New Roman" w:cs="Times New Roman"/>
            <w:szCs w:val="20"/>
            <w:lang w:val="es-ES"/>
          </w:rPr>
          <w:t>dos informes</w:t>
        </w:r>
      </w:hyperlink>
      <w:r w:rsidRPr="00F05461">
        <w:rPr>
          <w:lang w:val="es-ES"/>
        </w:rPr>
        <w:t>, a saber, un documento técnico sobre información geográfica relativa a las normas sobre autenticidad de multimedios, y un documento de políticas que ofrece recomendaciones para orientar la gobernanza de</w:t>
      </w:r>
      <w:r w:rsidR="003C7DDE">
        <w:rPr>
          <w:lang w:val="es-ES"/>
        </w:rPr>
        <w:t> </w:t>
      </w:r>
      <w:r w:rsidRPr="00F05461">
        <w:rPr>
          <w:lang w:val="es-ES"/>
        </w:rPr>
        <w:t>IA a escala mundial y combatir la información falsa, la desinformación y la información errónea. Además, los asociados convocaron la Cumbre Internacional sobre Normas de</w:t>
      </w:r>
      <w:r w:rsidR="003C7DDE">
        <w:rPr>
          <w:lang w:val="es-ES"/>
        </w:rPr>
        <w:t> </w:t>
      </w:r>
      <w:r w:rsidRPr="00F05461">
        <w:rPr>
          <w:lang w:val="es-ES"/>
        </w:rPr>
        <w:t xml:space="preserve">IA, cuyas principales reuniones tuvieron lugar en </w:t>
      </w:r>
      <w:hyperlink r:id="rId539" w:history="1">
        <w:r w:rsidRPr="00F05461">
          <w:rPr>
            <w:rStyle w:val="Hyperlink"/>
            <w:rFonts w:eastAsia="Times New Roman" w:cs="Times New Roman"/>
            <w:szCs w:val="20"/>
            <w:lang w:val="es-ES"/>
          </w:rPr>
          <w:t>Nueva Delhi (2024)</w:t>
        </w:r>
      </w:hyperlink>
      <w:r w:rsidRPr="00F05461">
        <w:rPr>
          <w:lang w:val="es-ES"/>
        </w:rPr>
        <w:t xml:space="preserve"> y </w:t>
      </w:r>
      <w:hyperlink r:id="rId540" w:history="1">
        <w:r w:rsidRPr="00F05461">
          <w:rPr>
            <w:rStyle w:val="Hyperlink"/>
            <w:rFonts w:eastAsia="Times New Roman" w:cs="Times New Roman"/>
            <w:szCs w:val="20"/>
            <w:lang w:val="es-ES"/>
          </w:rPr>
          <w:t>Seúl (2025)</w:t>
        </w:r>
      </w:hyperlink>
      <w:r w:rsidRPr="00F05461">
        <w:rPr>
          <w:lang w:val="es-ES"/>
        </w:rPr>
        <w:t>, y una Jornada específica sobre Normas de</w:t>
      </w:r>
      <w:r w:rsidR="003C7DDE">
        <w:rPr>
          <w:lang w:val="es-ES"/>
        </w:rPr>
        <w:t> </w:t>
      </w:r>
      <w:r w:rsidRPr="00F05461">
        <w:rPr>
          <w:lang w:val="es-ES"/>
        </w:rPr>
        <w:t xml:space="preserve">IA en el marco de la Cumbre Mundial AI for Good (julio </w:t>
      </w:r>
      <w:r w:rsidR="00B933C5" w:rsidRPr="00F05461">
        <w:rPr>
          <w:lang w:val="es-ES"/>
        </w:rPr>
        <w:t>de 202</w:t>
      </w:r>
      <w:r w:rsidRPr="00F05461">
        <w:rPr>
          <w:lang w:val="es-ES"/>
        </w:rPr>
        <w:t xml:space="preserve">5). Estos esfuerzos se vieron redoblados por la puesta en marcha de la </w:t>
      </w:r>
      <w:hyperlink r:id="rId541" w:history="1">
        <w:r w:rsidR="00FF67C6">
          <w:rPr>
            <w:rStyle w:val="Hyperlink"/>
            <w:rFonts w:eastAsia="Times New Roman" w:cs="Times New Roman"/>
            <w:szCs w:val="20"/>
            <w:lang w:val="es-ES"/>
          </w:rPr>
          <w:t>Base de datos central de normas sobre IA</w:t>
        </w:r>
      </w:hyperlink>
      <w:r w:rsidRPr="00F05461">
        <w:rPr>
          <w:lang w:val="es-ES"/>
        </w:rPr>
        <w:t xml:space="preserve"> en</w:t>
      </w:r>
      <w:r w:rsidR="003C7DDE">
        <w:rPr>
          <w:lang w:val="es-ES"/>
        </w:rPr>
        <w:t> </w:t>
      </w:r>
      <w:r w:rsidRPr="00F05461">
        <w:rPr>
          <w:lang w:val="es-ES"/>
        </w:rPr>
        <w:t>2025, que ofrece un acceso exclusivo con un motor de búsqueda a más de 800</w:t>
      </w:r>
      <w:r w:rsidR="00D7071C" w:rsidRPr="00F05461">
        <w:rPr>
          <w:lang w:val="es-ES"/>
        </w:rPr>
        <w:t> </w:t>
      </w:r>
      <w:r w:rsidRPr="00F05461">
        <w:rPr>
          <w:lang w:val="es-ES"/>
        </w:rPr>
        <w:t>normas e informes técnicos relacionados con la</w:t>
      </w:r>
      <w:r w:rsidR="00032DD5" w:rsidRPr="00F05461">
        <w:rPr>
          <w:lang w:val="es-ES"/>
        </w:rPr>
        <w:t> </w:t>
      </w:r>
      <w:r w:rsidRPr="00F05461">
        <w:rPr>
          <w:lang w:val="es-ES"/>
        </w:rPr>
        <w:t>IA de los tres asociados y otros organismos de normalización participantes, en particular el</w:t>
      </w:r>
      <w:r w:rsidR="00D7071C" w:rsidRPr="00F05461">
        <w:rPr>
          <w:lang w:val="es-ES"/>
        </w:rPr>
        <w:t> </w:t>
      </w:r>
      <w:r w:rsidRPr="00F05461">
        <w:rPr>
          <w:lang w:val="es-ES"/>
        </w:rPr>
        <w:t>IEEE y el</w:t>
      </w:r>
      <w:r w:rsidR="00D7071C" w:rsidRPr="00F05461">
        <w:rPr>
          <w:lang w:val="es-ES"/>
        </w:rPr>
        <w:t> </w:t>
      </w:r>
      <w:r w:rsidRPr="00F05461">
        <w:rPr>
          <w:lang w:val="es-ES"/>
        </w:rPr>
        <w:t>IETF, que facilitan la elaboración coordinada de normas y la aplicación práctica de las mismas en aras de una IA fiable.</w:t>
      </w:r>
    </w:p>
    <w:p w14:paraId="70693038" w14:textId="03345CB2" w:rsidR="007B4979" w:rsidRPr="00F05461" w:rsidRDefault="007B4979" w:rsidP="00AC3213">
      <w:pPr>
        <w:pStyle w:val="Headingb"/>
      </w:pPr>
      <w:r w:rsidRPr="00F05461">
        <w:lastRenderedPageBreak/>
        <w:t xml:space="preserve">Aplicación de la IA en el marco de la iniciativa Alertas </w:t>
      </w:r>
      <w:r w:rsidR="00E175FC" w:rsidRPr="00F05461">
        <w:t xml:space="preserve">Tempranas </w:t>
      </w:r>
      <w:r w:rsidRPr="00F05461">
        <w:t xml:space="preserve">para </w:t>
      </w:r>
      <w:r w:rsidR="00E175FC" w:rsidRPr="00F05461">
        <w:t>Todos</w:t>
      </w:r>
    </w:p>
    <w:p w14:paraId="0E6BB501" w14:textId="10B00E76" w:rsidR="007B4979" w:rsidRPr="00F05461" w:rsidRDefault="00296F03" w:rsidP="007B4979">
      <w:pPr>
        <w:rPr>
          <w:lang w:val="es-ES"/>
        </w:rPr>
      </w:pPr>
      <w:r w:rsidRPr="00F05461">
        <w:rPr>
          <w:lang w:val="es-ES"/>
        </w:rPr>
        <w:t>La UIT</w:t>
      </w:r>
      <w:r w:rsidR="007B4979" w:rsidRPr="00F05461">
        <w:rPr>
          <w:lang w:val="es-ES"/>
        </w:rPr>
        <w:t>, junto con la</w:t>
      </w:r>
      <w:r w:rsidR="006834CA" w:rsidRPr="00F05461">
        <w:rPr>
          <w:lang w:val="es-ES"/>
        </w:rPr>
        <w:t> </w:t>
      </w:r>
      <w:r w:rsidR="007B4979" w:rsidRPr="00F05461">
        <w:rPr>
          <w:lang w:val="es-ES"/>
        </w:rPr>
        <w:t>OMM, la</w:t>
      </w:r>
      <w:r w:rsidR="00E175FC" w:rsidRPr="00F05461">
        <w:rPr>
          <w:lang w:val="es-ES"/>
        </w:rPr>
        <w:t> </w:t>
      </w:r>
      <w:r w:rsidR="007B4979" w:rsidRPr="00F05461">
        <w:rPr>
          <w:lang w:val="es-ES"/>
        </w:rPr>
        <w:t>UNDRR y la</w:t>
      </w:r>
      <w:r w:rsidR="006834CA" w:rsidRPr="00F05461">
        <w:rPr>
          <w:lang w:val="es-ES"/>
        </w:rPr>
        <w:t> </w:t>
      </w:r>
      <w:r w:rsidR="007B4979" w:rsidRPr="00F05461">
        <w:rPr>
          <w:lang w:val="es-ES"/>
        </w:rPr>
        <w:t xml:space="preserve">FICR, constituyó el </w:t>
      </w:r>
      <w:hyperlink r:id="rId542" w:history="1">
        <w:r w:rsidR="007B4979" w:rsidRPr="00F05461">
          <w:rPr>
            <w:rStyle w:val="Hyperlink"/>
            <w:rFonts w:eastAsia="Times New Roman" w:cs="Times New Roman"/>
            <w:szCs w:val="20"/>
            <w:lang w:val="es-ES"/>
          </w:rPr>
          <w:t>Subgrupo de</w:t>
        </w:r>
        <w:r w:rsidR="003C7DDE">
          <w:rPr>
            <w:rStyle w:val="Hyperlink"/>
            <w:rFonts w:eastAsia="Times New Roman" w:cs="Times New Roman"/>
            <w:szCs w:val="20"/>
            <w:lang w:val="es-ES"/>
          </w:rPr>
          <w:t> </w:t>
        </w:r>
        <w:r w:rsidR="007B4979" w:rsidRPr="00F05461">
          <w:rPr>
            <w:rStyle w:val="Hyperlink"/>
            <w:rFonts w:eastAsia="Times New Roman" w:cs="Times New Roman"/>
            <w:szCs w:val="20"/>
            <w:lang w:val="es-ES"/>
          </w:rPr>
          <w:t xml:space="preserve">IA en el marco de la </w:t>
        </w:r>
        <w:r w:rsidR="002555AC" w:rsidRPr="00F05461">
          <w:rPr>
            <w:rStyle w:val="Hyperlink"/>
            <w:rFonts w:eastAsia="Times New Roman" w:cs="Times New Roman"/>
            <w:szCs w:val="20"/>
            <w:lang w:val="es-ES"/>
          </w:rPr>
          <w:t>i</w:t>
        </w:r>
        <w:r w:rsidR="007B4979" w:rsidRPr="00F05461">
          <w:rPr>
            <w:rStyle w:val="Hyperlink"/>
            <w:rFonts w:eastAsia="Times New Roman" w:cs="Times New Roman"/>
            <w:szCs w:val="20"/>
            <w:lang w:val="es-ES"/>
          </w:rPr>
          <w:t>niciativa Alerta</w:t>
        </w:r>
        <w:r w:rsidR="00E175FC" w:rsidRPr="00F05461">
          <w:rPr>
            <w:rStyle w:val="Hyperlink"/>
            <w:rFonts w:eastAsia="Times New Roman" w:cs="Times New Roman"/>
            <w:szCs w:val="20"/>
            <w:lang w:val="es-ES"/>
          </w:rPr>
          <w:t>s</w:t>
        </w:r>
        <w:r w:rsidR="007B4979" w:rsidRPr="00F05461">
          <w:rPr>
            <w:rStyle w:val="Hyperlink"/>
            <w:rFonts w:eastAsia="Times New Roman" w:cs="Times New Roman"/>
            <w:szCs w:val="20"/>
            <w:lang w:val="es-ES"/>
          </w:rPr>
          <w:t xml:space="preserve"> Temprana</w:t>
        </w:r>
        <w:r w:rsidR="00E175FC" w:rsidRPr="00F05461">
          <w:rPr>
            <w:rStyle w:val="Hyperlink"/>
            <w:rFonts w:eastAsia="Times New Roman" w:cs="Times New Roman"/>
            <w:szCs w:val="20"/>
            <w:lang w:val="es-ES"/>
          </w:rPr>
          <w:t>s</w:t>
        </w:r>
        <w:r w:rsidR="007B4979" w:rsidRPr="00F05461">
          <w:rPr>
            <w:rStyle w:val="Hyperlink"/>
            <w:rFonts w:eastAsia="Times New Roman" w:cs="Times New Roman"/>
            <w:szCs w:val="20"/>
            <w:lang w:val="es-ES"/>
          </w:rPr>
          <w:t xml:space="preserve"> para Todos</w:t>
        </w:r>
      </w:hyperlink>
      <w:r w:rsidR="007B4979" w:rsidRPr="00F05461">
        <w:rPr>
          <w:lang w:val="es-ES"/>
        </w:rPr>
        <w:t xml:space="preserve"> con el fin de aplicar la IA para mejorar los sistemas de alerta temprana, reuniendo a expertos en IA, ciencia de datos y gestión del riesgo de catástrofes. El grupo colma las lagunas existentes entre investigación en IA y las necesidades prácticas de los profesionales de la emisión de alertas tempranas y las comunidades de todo el mundo, esfera en la que se propician iniciativas piloto en varios países. Una de estas iniciativas piloto es el trabajo realizado mediante el </w:t>
      </w:r>
      <w:hyperlink r:id="rId543" w:history="1">
        <w:r w:rsidR="00E175FC" w:rsidRPr="00F05461">
          <w:rPr>
            <w:rStyle w:val="Hyperlink"/>
            <w:rFonts w:eastAsia="Times New Roman" w:cs="Times New Roman"/>
            <w:szCs w:val="20"/>
            <w:lang w:val="es-ES"/>
          </w:rPr>
          <w:t>m</w:t>
        </w:r>
        <w:r w:rsidR="007B4979" w:rsidRPr="00F05461">
          <w:rPr>
            <w:rStyle w:val="Hyperlink"/>
            <w:rFonts w:eastAsia="Times New Roman" w:cs="Times New Roman"/>
            <w:szCs w:val="20"/>
            <w:lang w:val="es-ES"/>
          </w:rPr>
          <w:t xml:space="preserve">apa de </w:t>
        </w:r>
        <w:r w:rsidR="00E175FC" w:rsidRPr="00F05461">
          <w:rPr>
            <w:rStyle w:val="Hyperlink"/>
            <w:rFonts w:eastAsia="Times New Roman" w:cs="Times New Roman"/>
            <w:szCs w:val="20"/>
            <w:lang w:val="es-ES"/>
          </w:rPr>
          <w:t>c</w:t>
        </w:r>
        <w:r w:rsidR="007B4979" w:rsidRPr="00F05461">
          <w:rPr>
            <w:rStyle w:val="Hyperlink"/>
            <w:rFonts w:eastAsia="Times New Roman" w:cs="Times New Roman"/>
            <w:szCs w:val="20"/>
            <w:lang w:val="es-ES"/>
          </w:rPr>
          <w:t>onectividad frente a situaciones de catástrofe</w:t>
        </w:r>
      </w:hyperlink>
      <w:r w:rsidR="007B4979" w:rsidRPr="00F05461">
        <w:rPr>
          <w:lang w:val="es-ES"/>
        </w:rPr>
        <w:t xml:space="preserve">, previa colaboración de </w:t>
      </w:r>
      <w:r w:rsidRPr="00F05461">
        <w:rPr>
          <w:lang w:val="es-ES"/>
        </w:rPr>
        <w:t>la UIT</w:t>
      </w:r>
      <w:r w:rsidR="007B4979" w:rsidRPr="00F05461">
        <w:rPr>
          <w:lang w:val="es-ES"/>
        </w:rPr>
        <w:t xml:space="preserve"> con AI for Good Lab de Microsoft, Planet y el Instituto de Evaluación de Sistemas de Medición de la Salud para utilizar la</w:t>
      </w:r>
      <w:r w:rsidR="00E175FC" w:rsidRPr="00F05461">
        <w:rPr>
          <w:lang w:val="es-ES"/>
        </w:rPr>
        <w:t> </w:t>
      </w:r>
      <w:r w:rsidR="007B4979" w:rsidRPr="00F05461">
        <w:rPr>
          <w:lang w:val="es-ES"/>
        </w:rPr>
        <w:t xml:space="preserve">IA en el análisis de imágenes por satélite y crear mapas de densidad de población en alta resolución. Los mapas de conectividad para alerta temprana (EWCM) se utilizan para señalar «puntos neutros» digitales, a saber, zonas en las que la población carece de conectividad y no es posible contactar con ella ni enviarle alertas a través de redes digitales. Dichos mapas </w:t>
      </w:r>
      <w:hyperlink r:id="rId544" w:history="1">
        <w:r w:rsidR="007B4979" w:rsidRPr="00F05461">
          <w:rPr>
            <w:rStyle w:val="Hyperlink"/>
            <w:rFonts w:eastAsia="Times New Roman" w:cs="Times New Roman"/>
            <w:szCs w:val="20"/>
            <w:lang w:val="es-ES"/>
          </w:rPr>
          <w:t>se han presentado</w:t>
        </w:r>
      </w:hyperlink>
      <w:r w:rsidR="007B4979" w:rsidRPr="00F05461">
        <w:rPr>
          <w:lang w:val="es-ES"/>
        </w:rPr>
        <w:t xml:space="preserve"> para demostrar la manera en que la identificación de zonas sin conectividad facilita la protección de la población mediante sistemas de alerta temprana. Tras una fase piloto inicial en Fi</w:t>
      </w:r>
      <w:r w:rsidR="00E175FC" w:rsidRPr="00F05461">
        <w:rPr>
          <w:lang w:val="es-ES"/>
        </w:rPr>
        <w:t>j</w:t>
      </w:r>
      <w:r w:rsidR="007B4979" w:rsidRPr="00F05461">
        <w:rPr>
          <w:lang w:val="es-ES"/>
        </w:rPr>
        <w:t>i, Tonga y Vanuatu, los trabajos se ampliaron a más de 30</w:t>
      </w:r>
      <w:r w:rsidR="004B359A" w:rsidRPr="00F05461">
        <w:rPr>
          <w:lang w:val="es-ES"/>
        </w:rPr>
        <w:t> </w:t>
      </w:r>
      <w:r w:rsidR="007B4979" w:rsidRPr="00F05461">
        <w:rPr>
          <w:lang w:val="es-ES"/>
        </w:rPr>
        <w:t xml:space="preserve">países en el marco de la iniciativa Alertas </w:t>
      </w:r>
      <w:r w:rsidR="00E175FC" w:rsidRPr="00F05461">
        <w:rPr>
          <w:lang w:val="es-ES"/>
        </w:rPr>
        <w:t xml:space="preserve">Tempranas </w:t>
      </w:r>
      <w:r w:rsidR="007B4979" w:rsidRPr="00F05461">
        <w:rPr>
          <w:lang w:val="es-ES"/>
        </w:rPr>
        <w:t xml:space="preserve">para </w:t>
      </w:r>
      <w:r w:rsidR="00E175FC" w:rsidRPr="00F05461">
        <w:rPr>
          <w:lang w:val="es-ES"/>
        </w:rPr>
        <w:t>Todos</w:t>
      </w:r>
      <w:r w:rsidR="007B4979" w:rsidRPr="00F05461">
        <w:rPr>
          <w:lang w:val="es-ES"/>
        </w:rPr>
        <w:t>.</w:t>
      </w:r>
    </w:p>
    <w:p w14:paraId="550BA720" w14:textId="77777777" w:rsidR="007B4979" w:rsidRPr="00F05461" w:rsidRDefault="007B4979" w:rsidP="00AC3213">
      <w:pPr>
        <w:pStyle w:val="Headingb"/>
      </w:pPr>
      <w:r w:rsidRPr="00F05461">
        <w:t>Fomentar la resiliencia ante situaciones de catástrofe mediante la IA</w:t>
      </w:r>
    </w:p>
    <w:p w14:paraId="3B176692" w14:textId="2A749F1C" w:rsidR="007B4979" w:rsidRPr="00F05461" w:rsidRDefault="00296F03" w:rsidP="007B4979">
      <w:pPr>
        <w:rPr>
          <w:lang w:val="es-ES"/>
        </w:rPr>
      </w:pPr>
      <w:r w:rsidRPr="00F05461">
        <w:rPr>
          <w:lang w:val="es-ES"/>
        </w:rPr>
        <w:t>La UIT</w:t>
      </w:r>
      <w:r w:rsidR="007B4979" w:rsidRPr="00F05461">
        <w:rPr>
          <w:lang w:val="es-ES"/>
        </w:rPr>
        <w:t xml:space="preserve"> colabora con la</w:t>
      </w:r>
      <w:r w:rsidR="00A929E0" w:rsidRPr="00F05461">
        <w:rPr>
          <w:lang w:val="es-ES"/>
        </w:rPr>
        <w:t> </w:t>
      </w:r>
      <w:r w:rsidR="007B4979" w:rsidRPr="00F05461">
        <w:rPr>
          <w:lang w:val="es-ES"/>
        </w:rPr>
        <w:t>OMM, el</w:t>
      </w:r>
      <w:r w:rsidR="00A929E0" w:rsidRPr="00F05461">
        <w:rPr>
          <w:lang w:val="es-ES"/>
        </w:rPr>
        <w:t> </w:t>
      </w:r>
      <w:r w:rsidR="007B4979" w:rsidRPr="00F05461">
        <w:rPr>
          <w:lang w:val="es-ES"/>
        </w:rPr>
        <w:t>PNUMA y otros asociados para fomentar la resiliencia ante situaciones de catástrofe mediante la</w:t>
      </w:r>
      <w:r w:rsidR="00A929E0" w:rsidRPr="00F05461">
        <w:rPr>
          <w:lang w:val="es-ES"/>
        </w:rPr>
        <w:t> </w:t>
      </w:r>
      <w:r w:rsidR="007B4979" w:rsidRPr="00F05461">
        <w:rPr>
          <w:lang w:val="es-ES"/>
        </w:rPr>
        <w:t xml:space="preserve">IA y sentar las bases de la normativa pertinente. El </w:t>
      </w:r>
      <w:hyperlink r:id="rId545" w:history="1">
        <w:r w:rsidR="007B4979" w:rsidRPr="00F05461">
          <w:rPr>
            <w:rStyle w:val="Hyperlink"/>
            <w:rFonts w:eastAsia="Times New Roman" w:cs="Times New Roman"/>
            <w:szCs w:val="20"/>
            <w:lang w:val="es-ES"/>
          </w:rPr>
          <w:t xml:space="preserve">Grupo </w:t>
        </w:r>
        <w:r w:rsidR="005B57EE" w:rsidRPr="00F05461">
          <w:rPr>
            <w:rStyle w:val="Hyperlink"/>
            <w:rFonts w:eastAsia="Times New Roman" w:cs="Times New Roman"/>
            <w:szCs w:val="20"/>
            <w:lang w:val="es-ES"/>
          </w:rPr>
          <w:t>T</w:t>
        </w:r>
        <w:r w:rsidR="007B4979" w:rsidRPr="00F05461">
          <w:rPr>
            <w:rStyle w:val="Hyperlink"/>
            <w:rFonts w:eastAsia="Times New Roman" w:cs="Times New Roman"/>
            <w:szCs w:val="20"/>
            <w:lang w:val="es-ES"/>
          </w:rPr>
          <w:t xml:space="preserve">emático UIT/OMM/PNUMA sobre IA para la </w:t>
        </w:r>
        <w:r w:rsidR="003C3C94" w:rsidRPr="00F05461">
          <w:rPr>
            <w:rStyle w:val="Hyperlink"/>
            <w:rFonts w:eastAsia="Times New Roman" w:cs="Times New Roman"/>
            <w:szCs w:val="20"/>
            <w:lang w:val="es-ES"/>
          </w:rPr>
          <w:t>g</w:t>
        </w:r>
        <w:r w:rsidR="007B4979" w:rsidRPr="00F05461">
          <w:rPr>
            <w:rStyle w:val="Hyperlink"/>
            <w:rFonts w:eastAsia="Times New Roman" w:cs="Times New Roman"/>
            <w:szCs w:val="20"/>
            <w:lang w:val="es-ES"/>
          </w:rPr>
          <w:t>estión de catástrofes naturales (GT</w:t>
        </w:r>
        <w:r w:rsidR="00A929E0" w:rsidRPr="00F05461">
          <w:rPr>
            <w:rStyle w:val="Hyperlink"/>
            <w:rFonts w:eastAsia="Times New Roman" w:cs="Times New Roman"/>
            <w:szCs w:val="20"/>
            <w:lang w:val="es-ES"/>
          </w:rPr>
          <w:noBreakHyphen/>
        </w:r>
        <w:r w:rsidR="007B4979" w:rsidRPr="00F05461">
          <w:rPr>
            <w:rStyle w:val="Hyperlink"/>
            <w:rFonts w:eastAsia="Times New Roman" w:cs="Times New Roman"/>
            <w:szCs w:val="20"/>
            <w:lang w:val="es-ES"/>
          </w:rPr>
          <w:t>AI4NDM)</w:t>
        </w:r>
      </w:hyperlink>
      <w:r w:rsidR="007B4979" w:rsidRPr="00F05461">
        <w:rPr>
          <w:lang w:val="es-ES"/>
        </w:rPr>
        <w:t xml:space="preserve"> elaboró varios informes técnicos, glosarios, una </w:t>
      </w:r>
      <w:hyperlink r:id="rId546" w:history="1">
        <w:r w:rsidR="007B4979" w:rsidRPr="00F05461">
          <w:rPr>
            <w:rStyle w:val="Hyperlink"/>
            <w:rFonts w:eastAsia="Times New Roman" w:cs="Times New Roman"/>
            <w:szCs w:val="20"/>
            <w:lang w:val="es-ES"/>
          </w:rPr>
          <w:t>hoja de ruta sobre tendencias y normas</w:t>
        </w:r>
      </w:hyperlink>
      <w:r w:rsidR="007B4979" w:rsidRPr="00F05461">
        <w:rPr>
          <w:lang w:val="es-ES"/>
        </w:rPr>
        <w:t>, y prácticas idóneas sobre aplicación de la</w:t>
      </w:r>
      <w:r w:rsidR="003C3C94" w:rsidRPr="00F05461">
        <w:rPr>
          <w:lang w:val="es-ES"/>
        </w:rPr>
        <w:t> </w:t>
      </w:r>
      <w:r w:rsidR="007B4979" w:rsidRPr="00F05461">
        <w:rPr>
          <w:lang w:val="es-ES"/>
        </w:rPr>
        <w:t xml:space="preserve">IA a la </w:t>
      </w:r>
      <w:hyperlink r:id="rId547" w:history="1">
        <w:r w:rsidR="007B4979" w:rsidRPr="00F05461">
          <w:rPr>
            <w:rStyle w:val="Hyperlink"/>
            <w:rFonts w:eastAsia="Times New Roman" w:cs="Times New Roman"/>
            <w:szCs w:val="20"/>
            <w:lang w:val="es-ES"/>
          </w:rPr>
          <w:t>recopilación de datos</w:t>
        </w:r>
      </w:hyperlink>
      <w:r w:rsidR="007B4979" w:rsidRPr="00F05461">
        <w:rPr>
          <w:lang w:val="es-ES"/>
        </w:rPr>
        <w:t xml:space="preserve">, el </w:t>
      </w:r>
      <w:hyperlink r:id="rId548" w:history="1">
        <w:r w:rsidR="007B4979" w:rsidRPr="00F05461">
          <w:rPr>
            <w:rStyle w:val="Hyperlink"/>
            <w:rFonts w:eastAsia="Times New Roman" w:cs="Times New Roman"/>
            <w:szCs w:val="20"/>
            <w:lang w:val="es-ES"/>
          </w:rPr>
          <w:t>establecimiento de modelos</w:t>
        </w:r>
      </w:hyperlink>
      <w:r w:rsidR="007B4979" w:rsidRPr="00F05461">
        <w:rPr>
          <w:lang w:val="es-ES"/>
        </w:rPr>
        <w:t xml:space="preserve"> y la </w:t>
      </w:r>
      <w:hyperlink r:id="rId549" w:history="1">
        <w:r w:rsidR="007B4979" w:rsidRPr="00F05461">
          <w:rPr>
            <w:rStyle w:val="Hyperlink"/>
            <w:rFonts w:eastAsia="Times New Roman" w:cs="Times New Roman"/>
            <w:szCs w:val="20"/>
            <w:lang w:val="es-ES"/>
          </w:rPr>
          <w:t>comunicación</w:t>
        </w:r>
      </w:hyperlink>
      <w:r w:rsidR="007B4979" w:rsidRPr="00F05461">
        <w:rPr>
          <w:lang w:val="es-ES"/>
        </w:rPr>
        <w:t xml:space="preserve"> a lo largo del ciclo de gestión de catástrofes. El GT-AI4NDM organizó 12</w:t>
      </w:r>
      <w:r w:rsidR="00A929E0" w:rsidRPr="00F05461">
        <w:rPr>
          <w:lang w:val="es-ES"/>
        </w:rPr>
        <w:t> </w:t>
      </w:r>
      <w:r w:rsidR="007B4979" w:rsidRPr="00F05461">
        <w:rPr>
          <w:lang w:val="es-ES"/>
        </w:rPr>
        <w:t>reuniones y</w:t>
      </w:r>
      <w:hyperlink r:id="rId550" w:history="1">
        <w:r w:rsidR="007B4979" w:rsidRPr="00F05461">
          <w:rPr>
            <w:rStyle w:val="Hyperlink"/>
            <w:rFonts w:eastAsia="Times New Roman" w:cs="Times New Roman"/>
            <w:szCs w:val="20"/>
            <w:lang w:val="es-ES"/>
          </w:rPr>
          <w:t xml:space="preserve"> 10</w:t>
        </w:r>
        <w:r w:rsidR="00D7071C" w:rsidRPr="00F05461">
          <w:rPr>
            <w:rStyle w:val="Hyperlink"/>
            <w:rFonts w:eastAsia="Times New Roman" w:cs="Times New Roman"/>
            <w:szCs w:val="20"/>
            <w:lang w:val="es-ES"/>
          </w:rPr>
          <w:t> </w:t>
        </w:r>
        <w:r w:rsidR="007B4979" w:rsidRPr="00F05461">
          <w:rPr>
            <w:rStyle w:val="Hyperlink"/>
            <w:rFonts w:eastAsia="Times New Roman" w:cs="Times New Roman"/>
            <w:szCs w:val="20"/>
            <w:lang w:val="es-ES"/>
          </w:rPr>
          <w:t>talleres y seminarios web</w:t>
        </w:r>
      </w:hyperlink>
      <w:r w:rsidR="007B4979" w:rsidRPr="00F05461">
        <w:rPr>
          <w:lang w:val="es-ES"/>
        </w:rPr>
        <w:t xml:space="preserve"> en los últimos cuatro años. Sus resultados respaldan iniciativas como el proyecto </w:t>
      </w:r>
      <w:hyperlink r:id="rId551" w:history="1">
        <w:r w:rsidR="007B4979" w:rsidRPr="00F05461">
          <w:rPr>
            <w:rStyle w:val="Hyperlink"/>
            <w:rFonts w:eastAsia="Times New Roman" w:cs="Times New Roman"/>
            <w:szCs w:val="20"/>
            <w:lang w:val="es-ES"/>
          </w:rPr>
          <w:t>MedEWSa</w:t>
        </w:r>
      </w:hyperlink>
      <w:r w:rsidR="007B4979" w:rsidRPr="00F05461">
        <w:rPr>
          <w:lang w:val="es-ES"/>
        </w:rPr>
        <w:t xml:space="preserve">, financiado por la Unión Europea. Sobre la base de esa labor, la </w:t>
      </w:r>
      <w:hyperlink r:id="rId552" w:history="1">
        <w:r w:rsidR="007B4979" w:rsidRPr="008A3A8C">
          <w:rPr>
            <w:rStyle w:val="Hyperlink"/>
            <w:rFonts w:eastAsia="Times New Roman" w:cs="Times New Roman"/>
            <w:szCs w:val="20"/>
            <w:lang w:val="es-ES"/>
          </w:rPr>
          <w:t xml:space="preserve">Iniciativa </w:t>
        </w:r>
        <w:r w:rsidR="00B77E42" w:rsidRPr="008A3A8C">
          <w:rPr>
            <w:rStyle w:val="Hyperlink"/>
            <w:rFonts w:eastAsia="Times New Roman" w:cs="Times New Roman"/>
            <w:szCs w:val="20"/>
            <w:lang w:val="es-ES"/>
          </w:rPr>
          <w:t>m</w:t>
        </w:r>
        <w:r w:rsidR="007B4979" w:rsidRPr="008A3A8C">
          <w:rPr>
            <w:rStyle w:val="Hyperlink"/>
            <w:rFonts w:eastAsia="Times New Roman" w:cs="Times New Roman"/>
            <w:szCs w:val="20"/>
            <w:lang w:val="es-ES"/>
          </w:rPr>
          <w:t xml:space="preserve">undial sobre </w:t>
        </w:r>
        <w:r w:rsidR="00B77E42" w:rsidRPr="008A3A8C">
          <w:rPr>
            <w:rStyle w:val="Hyperlink"/>
            <w:rFonts w:eastAsia="Times New Roman" w:cs="Times New Roman"/>
            <w:szCs w:val="20"/>
            <w:lang w:val="es-ES"/>
          </w:rPr>
          <w:t>r</w:t>
        </w:r>
        <w:r w:rsidR="007B4979" w:rsidRPr="008A3A8C">
          <w:rPr>
            <w:rStyle w:val="Hyperlink"/>
            <w:rFonts w:eastAsia="Times New Roman" w:cs="Times New Roman"/>
            <w:szCs w:val="20"/>
            <w:lang w:val="es-ES"/>
          </w:rPr>
          <w:t xml:space="preserve">esiliencia </w:t>
        </w:r>
        <w:r w:rsidR="003C3C94" w:rsidRPr="008A3A8C">
          <w:rPr>
            <w:rStyle w:val="Hyperlink"/>
            <w:rFonts w:eastAsia="Times New Roman" w:cs="Times New Roman"/>
            <w:szCs w:val="20"/>
            <w:lang w:val="es-ES"/>
          </w:rPr>
          <w:t>frente a</w:t>
        </w:r>
        <w:r w:rsidR="007B4979" w:rsidRPr="008A3A8C">
          <w:rPr>
            <w:rStyle w:val="Hyperlink"/>
            <w:rFonts w:eastAsia="Times New Roman" w:cs="Times New Roman"/>
            <w:szCs w:val="20"/>
            <w:lang w:val="es-ES"/>
          </w:rPr>
          <w:t xml:space="preserve"> </w:t>
        </w:r>
        <w:r w:rsidR="00B77E42" w:rsidRPr="008A3A8C">
          <w:rPr>
            <w:rStyle w:val="Hyperlink"/>
            <w:rFonts w:eastAsia="Times New Roman" w:cs="Times New Roman"/>
            <w:szCs w:val="20"/>
            <w:lang w:val="es-ES"/>
          </w:rPr>
          <w:t>r</w:t>
        </w:r>
        <w:r w:rsidR="007B4979" w:rsidRPr="008A3A8C">
          <w:rPr>
            <w:rStyle w:val="Hyperlink"/>
            <w:rFonts w:eastAsia="Times New Roman" w:cs="Times New Roman"/>
            <w:szCs w:val="20"/>
            <w:lang w:val="es-ES"/>
          </w:rPr>
          <w:t xml:space="preserve">iesgos </w:t>
        </w:r>
        <w:r w:rsidR="00B77E42" w:rsidRPr="008A3A8C">
          <w:rPr>
            <w:rStyle w:val="Hyperlink"/>
            <w:rFonts w:eastAsia="Times New Roman" w:cs="Times New Roman"/>
            <w:szCs w:val="20"/>
            <w:lang w:val="es-ES"/>
          </w:rPr>
          <w:t>n</w:t>
        </w:r>
        <w:r w:rsidR="007B4979" w:rsidRPr="008A3A8C">
          <w:rPr>
            <w:rStyle w:val="Hyperlink"/>
            <w:rFonts w:eastAsia="Times New Roman" w:cs="Times New Roman"/>
            <w:szCs w:val="20"/>
            <w:lang w:val="es-ES"/>
          </w:rPr>
          <w:t xml:space="preserve">aturales mediante </w:t>
        </w:r>
        <w:r w:rsidR="00B77E42" w:rsidRPr="008A3A8C">
          <w:rPr>
            <w:rStyle w:val="Hyperlink"/>
            <w:rFonts w:eastAsia="Times New Roman" w:cs="Times New Roman"/>
            <w:szCs w:val="20"/>
            <w:lang w:val="es-ES"/>
          </w:rPr>
          <w:t>s</w:t>
        </w:r>
        <w:r w:rsidR="007B4979" w:rsidRPr="008A3A8C">
          <w:rPr>
            <w:rStyle w:val="Hyperlink"/>
            <w:rFonts w:eastAsia="Times New Roman" w:cs="Times New Roman"/>
            <w:szCs w:val="20"/>
            <w:lang w:val="es-ES"/>
          </w:rPr>
          <w:t>oluciones de</w:t>
        </w:r>
        <w:r w:rsidR="003C7DDE">
          <w:rPr>
            <w:rStyle w:val="Hyperlink"/>
            <w:rFonts w:eastAsia="Times New Roman" w:cs="Times New Roman"/>
            <w:szCs w:val="20"/>
            <w:lang w:val="es-ES"/>
          </w:rPr>
          <w:t> </w:t>
        </w:r>
        <w:r w:rsidR="007B4979" w:rsidRPr="008A3A8C">
          <w:rPr>
            <w:rStyle w:val="Hyperlink"/>
            <w:rFonts w:eastAsia="Times New Roman" w:cs="Times New Roman"/>
            <w:szCs w:val="20"/>
            <w:lang w:val="es-ES"/>
          </w:rPr>
          <w:t>IA</w:t>
        </w:r>
      </w:hyperlink>
      <w:r w:rsidR="007B4979" w:rsidRPr="00F05461">
        <w:rPr>
          <w:lang w:val="es-ES"/>
        </w:rPr>
        <w:t xml:space="preserve">, puesta en marcha en 2024, reúne a </w:t>
      </w:r>
      <w:r w:rsidRPr="00F05461">
        <w:rPr>
          <w:lang w:val="es-ES"/>
        </w:rPr>
        <w:t>la UIT</w:t>
      </w:r>
      <w:r w:rsidR="007B4979" w:rsidRPr="00F05461">
        <w:rPr>
          <w:lang w:val="es-ES"/>
        </w:rPr>
        <w:t>, la</w:t>
      </w:r>
      <w:r w:rsidR="00A929E0" w:rsidRPr="00F05461">
        <w:rPr>
          <w:lang w:val="es-ES"/>
        </w:rPr>
        <w:t> </w:t>
      </w:r>
      <w:r w:rsidR="007B4979" w:rsidRPr="00F05461">
        <w:rPr>
          <w:lang w:val="es-ES"/>
        </w:rPr>
        <w:t>OMM, el</w:t>
      </w:r>
      <w:r w:rsidR="00A929E0" w:rsidRPr="00F05461">
        <w:rPr>
          <w:lang w:val="es-ES"/>
        </w:rPr>
        <w:t> </w:t>
      </w:r>
      <w:r w:rsidR="007B4979" w:rsidRPr="00F05461">
        <w:rPr>
          <w:lang w:val="es-ES"/>
        </w:rPr>
        <w:t>PNUMA, la</w:t>
      </w:r>
      <w:r w:rsidR="00A929E0" w:rsidRPr="00F05461">
        <w:rPr>
          <w:lang w:val="es-ES"/>
        </w:rPr>
        <w:t> </w:t>
      </w:r>
      <w:r w:rsidR="007B4979" w:rsidRPr="00F05461">
        <w:rPr>
          <w:lang w:val="es-ES"/>
        </w:rPr>
        <w:t>UNESCO, la</w:t>
      </w:r>
      <w:r w:rsidR="00A929E0" w:rsidRPr="00F05461">
        <w:rPr>
          <w:lang w:val="es-ES"/>
        </w:rPr>
        <w:t> </w:t>
      </w:r>
      <w:r w:rsidR="007B4979" w:rsidRPr="00F05461">
        <w:rPr>
          <w:lang w:val="es-ES"/>
        </w:rPr>
        <w:t>CMNUCC y la</w:t>
      </w:r>
      <w:r w:rsidR="00A929E0" w:rsidRPr="00F05461">
        <w:rPr>
          <w:lang w:val="es-ES"/>
        </w:rPr>
        <w:t> </w:t>
      </w:r>
      <w:r w:rsidR="007B4979" w:rsidRPr="00F05461">
        <w:rPr>
          <w:lang w:val="es-ES"/>
        </w:rPr>
        <w:t>UPU para orientar las actividades de investigación e innovación, y la elaboración de futuras normas que mejoren la resiliencia frente a riesgos naturales en todo el mundo. La financiación de casi 20</w:t>
      </w:r>
      <w:r w:rsidR="00A929E0" w:rsidRPr="00F05461">
        <w:rPr>
          <w:lang w:val="es-ES"/>
        </w:rPr>
        <w:t> </w:t>
      </w:r>
      <w:r w:rsidR="007B4979" w:rsidRPr="00F05461">
        <w:rPr>
          <w:lang w:val="es-ES"/>
        </w:rPr>
        <w:t>000</w:t>
      </w:r>
      <w:r w:rsidR="00A929E0" w:rsidRPr="00F05461">
        <w:rPr>
          <w:lang w:val="es-ES"/>
        </w:rPr>
        <w:t> </w:t>
      </w:r>
      <w:r w:rsidR="00B83C5A" w:rsidRPr="00F05461">
        <w:rPr>
          <w:lang w:val="es-ES"/>
        </w:rPr>
        <w:t>USD</w:t>
      </w:r>
      <w:r w:rsidR="007B4979" w:rsidRPr="00F05461">
        <w:rPr>
          <w:lang w:val="es-ES"/>
        </w:rPr>
        <w:t xml:space="preserve"> aportada en</w:t>
      </w:r>
      <w:r w:rsidR="008227D3" w:rsidRPr="00F05461">
        <w:rPr>
          <w:lang w:val="es-ES"/>
        </w:rPr>
        <w:t> </w:t>
      </w:r>
      <w:r w:rsidR="007B4979" w:rsidRPr="00F05461">
        <w:rPr>
          <w:lang w:val="es-ES"/>
        </w:rPr>
        <w:t xml:space="preserve">2022 por la Unión Internacional de Geodesia y Geofísica (UIGG) ha permitido la participación de expertos en las reuniones y talleres del GT-AI4NDM y de dicha </w:t>
      </w:r>
      <w:r w:rsidR="003C3C94" w:rsidRPr="00F05461">
        <w:rPr>
          <w:lang w:val="es-ES"/>
        </w:rPr>
        <w:t>i</w:t>
      </w:r>
      <w:r w:rsidR="007B4979" w:rsidRPr="00F05461">
        <w:rPr>
          <w:lang w:val="es-ES"/>
        </w:rPr>
        <w:t xml:space="preserve">niciativa mundial, lo que ha permitido intercambiar conocimientos para impulsar las actividades de normalización y la compartición de prácticas idóneas en esta esfera. Desde su puesta en marcha, la </w:t>
      </w:r>
      <w:r w:rsidR="003C3C94" w:rsidRPr="00F05461">
        <w:rPr>
          <w:lang w:val="es-ES"/>
        </w:rPr>
        <w:t>i</w:t>
      </w:r>
      <w:r w:rsidR="007B4979" w:rsidRPr="00F05461">
        <w:rPr>
          <w:lang w:val="es-ES"/>
        </w:rPr>
        <w:t>niciativa mundial ya ha celebrado tres reuniones, organizadas respectivamente por el Centro de Supercomputación de Barcelona en España, la Agencia Espacial Europea en Italia y la Comisión Europea en Bruselas. Dichas reuniones se centraron en revisar las contribuciones, impartir formación sobre utilización de herramientas de</w:t>
      </w:r>
      <w:r w:rsidR="003C7DDE">
        <w:rPr>
          <w:lang w:val="es-ES"/>
        </w:rPr>
        <w:t> </w:t>
      </w:r>
      <w:r w:rsidR="007B4979" w:rsidRPr="00F05461">
        <w:rPr>
          <w:lang w:val="es-ES"/>
        </w:rPr>
        <w:t>IA para la gestión de catástrofes y facilitar el desarrollo de prácticas idóneas, entre otros resultados.</w:t>
      </w:r>
    </w:p>
    <w:p w14:paraId="0BC6B0C1" w14:textId="77777777" w:rsidR="007B4979" w:rsidRPr="00F05461" w:rsidRDefault="007B4979" w:rsidP="00AC3213">
      <w:pPr>
        <w:pStyle w:val="Headingb"/>
      </w:pPr>
      <w:r w:rsidRPr="00F05461">
        <w:lastRenderedPageBreak/>
        <w:t>IA e IoT para aplicaciones de agricultura digital</w:t>
      </w:r>
    </w:p>
    <w:p w14:paraId="60779B0D" w14:textId="09B42485" w:rsidR="007B4979" w:rsidRPr="00F05461" w:rsidRDefault="007B4979" w:rsidP="002555AC">
      <w:pPr>
        <w:keepNext/>
        <w:keepLines/>
        <w:rPr>
          <w:lang w:val="es-ES"/>
        </w:rPr>
      </w:pPr>
      <w:r w:rsidRPr="00F05461">
        <w:rPr>
          <w:lang w:val="es-ES"/>
        </w:rPr>
        <w:t xml:space="preserve">En el ámbito agrícola, el </w:t>
      </w:r>
      <w:hyperlink r:id="rId553" w:history="1">
        <w:r w:rsidRPr="00F05461">
          <w:rPr>
            <w:rStyle w:val="Hyperlink"/>
            <w:rFonts w:eastAsia="Times New Roman" w:cs="Times New Roman"/>
            <w:szCs w:val="20"/>
            <w:lang w:val="es-ES"/>
          </w:rPr>
          <w:t xml:space="preserve">Grupo </w:t>
        </w:r>
        <w:r w:rsidR="005B57EE" w:rsidRPr="00F05461">
          <w:rPr>
            <w:rStyle w:val="Hyperlink"/>
            <w:rFonts w:eastAsia="Times New Roman" w:cs="Times New Roman"/>
            <w:szCs w:val="20"/>
            <w:lang w:val="es-ES"/>
          </w:rPr>
          <w:t>T</w:t>
        </w:r>
        <w:r w:rsidRPr="00F05461">
          <w:rPr>
            <w:rStyle w:val="Hyperlink"/>
            <w:rFonts w:eastAsia="Times New Roman" w:cs="Times New Roman"/>
            <w:szCs w:val="20"/>
            <w:lang w:val="es-ES"/>
          </w:rPr>
          <w:t xml:space="preserve">emático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-FAO sobre IA para la </w:t>
        </w:r>
        <w:r w:rsidR="00C50B09" w:rsidRPr="00F05461">
          <w:rPr>
            <w:rStyle w:val="Hyperlink"/>
            <w:rFonts w:eastAsia="Times New Roman" w:cs="Times New Roman"/>
            <w:szCs w:val="20"/>
            <w:lang w:val="es-ES"/>
          </w:rPr>
          <w:t>A</w:t>
        </w:r>
        <w:r w:rsidRPr="00F05461">
          <w:rPr>
            <w:rStyle w:val="Hyperlink"/>
            <w:rFonts w:eastAsia="Times New Roman" w:cs="Times New Roman"/>
            <w:szCs w:val="20"/>
            <w:lang w:val="es-ES"/>
          </w:rPr>
          <w:t>gricultura (GT-AI4A)</w:t>
        </w:r>
      </w:hyperlink>
      <w:r w:rsidRPr="00F05461">
        <w:rPr>
          <w:lang w:val="es-ES"/>
        </w:rPr>
        <w:t xml:space="preserve"> analizó la manera en que la</w:t>
      </w:r>
      <w:r w:rsidR="005B57EE" w:rsidRPr="00F05461">
        <w:rPr>
          <w:lang w:val="es-ES"/>
        </w:rPr>
        <w:t> </w:t>
      </w:r>
      <w:r w:rsidRPr="00F05461">
        <w:rPr>
          <w:lang w:val="es-ES"/>
        </w:rPr>
        <w:t xml:space="preserve">IA, IoT y las tecnologías incipientes pueden mejorar la productividad, la resiliencia y la sostenibilidad de los sistemas alimentarios. En el marco de una serie de reuniones y </w:t>
      </w:r>
      <w:hyperlink r:id="rId554" w:history="1">
        <w:r w:rsidRPr="00F05461">
          <w:rPr>
            <w:rStyle w:val="Hyperlink"/>
            <w:rFonts w:eastAsia="Times New Roman" w:cs="Times New Roman"/>
            <w:szCs w:val="20"/>
            <w:lang w:val="es-ES"/>
          </w:rPr>
          <w:t>más de 11</w:t>
        </w:r>
        <w:r w:rsidR="00A929E0" w:rsidRPr="00F05461">
          <w:rPr>
            <w:rStyle w:val="Hyperlink"/>
            <w:rFonts w:eastAsia="Times New Roman" w:cs="Times New Roman"/>
            <w:szCs w:val="20"/>
            <w:lang w:val="es-ES"/>
          </w:rPr>
          <w:t> </w:t>
        </w:r>
        <w:r w:rsidRPr="00F05461">
          <w:rPr>
            <w:rStyle w:val="Hyperlink"/>
            <w:rFonts w:eastAsia="Times New Roman" w:cs="Times New Roman"/>
            <w:szCs w:val="20"/>
            <w:lang w:val="es-ES"/>
          </w:rPr>
          <w:t>talleres y seminarios web</w:t>
        </w:r>
      </w:hyperlink>
      <w:r w:rsidRPr="00F05461">
        <w:rPr>
          <w:lang w:val="es-ES"/>
        </w:rPr>
        <w:t xml:space="preserve">, el Grupo reunió a expertos de los sectores gubernamental, industrial y académico, así como a organizaciones internacionales, para identificar lagunas de normalización y prácticas idóneas en materia de agricultura de precisión, agricultura resiliente al clima y optimización de recursos. Sus conclusiones, reflejadas en informes de síntesis y técnicos, contribuyen a elaborar futuras normas y a brindar orientaciones para facilitar una agricultura digitalizada que promueva la seguridad alimentaria y el desarrollo rural sostenible (como se describe en el </w:t>
      </w:r>
      <w:hyperlink r:id="rId555" w:anchor="p=1" w:history="1">
        <w:r w:rsidRPr="00F05461">
          <w:rPr>
            <w:rStyle w:val="Hyperlink"/>
            <w:rFonts w:eastAsia="Times New Roman" w:cs="Times New Roman"/>
            <w:szCs w:val="20"/>
            <w:lang w:val="es-ES"/>
          </w:rPr>
          <w:t>informe de síntesis del GT-AI4A)</w:t>
        </w:r>
      </w:hyperlink>
      <w:r w:rsidRPr="00F05461">
        <w:rPr>
          <w:lang w:val="es-ES"/>
        </w:rPr>
        <w:t>.</w:t>
      </w:r>
    </w:p>
    <w:p w14:paraId="678431BD" w14:textId="3668B3EB" w:rsidR="007B4979" w:rsidRPr="00F05461" w:rsidRDefault="007B4979" w:rsidP="007B4979">
      <w:pPr>
        <w:rPr>
          <w:lang w:val="es-ES"/>
        </w:rPr>
      </w:pPr>
      <w:r w:rsidRPr="00F05461">
        <w:rPr>
          <w:lang w:val="es-ES"/>
        </w:rPr>
        <w:t>Los resultados se han transferido a la Comisión de Estudio</w:t>
      </w:r>
      <w:r w:rsidR="00A929E0" w:rsidRPr="00F05461">
        <w:rPr>
          <w:lang w:val="es-ES"/>
        </w:rPr>
        <w:t> </w:t>
      </w:r>
      <w:r w:rsidRPr="00F05461">
        <w:rPr>
          <w:lang w:val="es-ES"/>
        </w:rPr>
        <w:t xml:space="preserve">20 </w:t>
      </w:r>
      <w:r w:rsidR="00A10309" w:rsidRPr="00F05461">
        <w:rPr>
          <w:lang w:val="es-ES"/>
        </w:rPr>
        <w:t>del UIT</w:t>
      </w:r>
      <w:r w:rsidR="00A10309" w:rsidRPr="00F05461">
        <w:rPr>
          <w:lang w:val="es-ES"/>
        </w:rPr>
        <w:noBreakHyphen/>
      </w:r>
      <w:r w:rsidRPr="00F05461">
        <w:rPr>
          <w:lang w:val="es-ES"/>
        </w:rPr>
        <w:t>T, que actualmente elabora normas internacionales sobre casos de utilización, despliegue, marcos pertinentes y modelos arquitectónicos para la agricultura digital.</w:t>
      </w:r>
    </w:p>
    <w:p w14:paraId="55750EB4" w14:textId="08E01D51" w:rsidR="007B4979" w:rsidRPr="00F05461" w:rsidRDefault="007B4979" w:rsidP="007B4979">
      <w:pPr>
        <w:rPr>
          <w:lang w:val="es-ES"/>
        </w:rPr>
      </w:pPr>
      <w:r w:rsidRPr="00F05461">
        <w:rPr>
          <w:lang w:val="es-ES"/>
        </w:rPr>
        <w:t xml:space="preserve">Sobre la base de las actividades del GT-AI4A, se puso en marcha la </w:t>
      </w:r>
      <w:hyperlink r:id="rId556" w:history="1">
        <w:r w:rsidRPr="00F05461">
          <w:rPr>
            <w:rStyle w:val="Hyperlink"/>
            <w:rFonts w:eastAsia="Times New Roman" w:cs="Times New Roman"/>
            <w:szCs w:val="20"/>
            <w:lang w:val="es-ES"/>
          </w:rPr>
          <w:t xml:space="preserve">Iniciativa </w:t>
        </w:r>
        <w:r w:rsidR="00645E1B" w:rsidRPr="00F05461">
          <w:rPr>
            <w:rStyle w:val="Hyperlink"/>
            <w:rFonts w:eastAsia="Times New Roman" w:cs="Times New Roman"/>
            <w:szCs w:val="20"/>
            <w:lang w:val="es-ES"/>
          </w:rPr>
          <w:t>M</w:t>
        </w:r>
        <w:r w:rsidRPr="00F05461">
          <w:rPr>
            <w:rStyle w:val="Hyperlink"/>
            <w:rFonts w:eastAsia="Times New Roman" w:cs="Times New Roman"/>
            <w:szCs w:val="20"/>
            <w:lang w:val="es-ES"/>
          </w:rPr>
          <w:t xml:space="preserve">undial sobre IA para </w:t>
        </w:r>
        <w:r w:rsidR="00645E1B" w:rsidRPr="00F05461">
          <w:rPr>
            <w:rStyle w:val="Hyperlink"/>
            <w:rFonts w:eastAsia="Times New Roman" w:cs="Times New Roman"/>
            <w:szCs w:val="20"/>
            <w:lang w:val="es-ES"/>
          </w:rPr>
          <w:t>S</w:t>
        </w:r>
        <w:r w:rsidRPr="00F05461">
          <w:rPr>
            <w:rStyle w:val="Hyperlink"/>
            <w:rFonts w:eastAsia="Times New Roman" w:cs="Times New Roman"/>
            <w:szCs w:val="20"/>
            <w:lang w:val="es-ES"/>
          </w:rPr>
          <w:t xml:space="preserve">istemas </w:t>
        </w:r>
        <w:r w:rsidR="00645E1B" w:rsidRPr="00F05461">
          <w:rPr>
            <w:rStyle w:val="Hyperlink"/>
            <w:rFonts w:eastAsia="Times New Roman" w:cs="Times New Roman"/>
            <w:szCs w:val="20"/>
            <w:lang w:val="es-ES"/>
          </w:rPr>
          <w:t>A</w:t>
        </w:r>
        <w:r w:rsidRPr="00F05461">
          <w:rPr>
            <w:rStyle w:val="Hyperlink"/>
            <w:rFonts w:eastAsia="Times New Roman" w:cs="Times New Roman"/>
            <w:szCs w:val="20"/>
            <w:lang w:val="es-ES"/>
          </w:rPr>
          <w:t>limentarios</w:t>
        </w:r>
      </w:hyperlink>
      <w:r w:rsidRPr="00F05461">
        <w:rPr>
          <w:lang w:val="es-ES"/>
        </w:rPr>
        <w:t xml:space="preserve"> en el marco del evento AI for Good en julio </w:t>
      </w:r>
      <w:r w:rsidR="00B933C5" w:rsidRPr="00F05461">
        <w:rPr>
          <w:lang w:val="es-ES"/>
        </w:rPr>
        <w:t>de 202</w:t>
      </w:r>
      <w:r w:rsidRPr="00F05461">
        <w:rPr>
          <w:lang w:val="es-ES"/>
        </w:rPr>
        <w:t>5, en colaboración con el Programa Mundial de Alimentos (PMA), la</w:t>
      </w:r>
      <w:r w:rsidR="00C67C3E" w:rsidRPr="00F05461">
        <w:rPr>
          <w:lang w:val="es-ES"/>
        </w:rPr>
        <w:t> </w:t>
      </w:r>
      <w:r w:rsidRPr="00F05461">
        <w:rPr>
          <w:lang w:val="es-ES"/>
        </w:rPr>
        <w:t xml:space="preserve">FAO y el Fondo Internacional de Desarrollo Agrícola (FIDA). Esta iniciativa se centra en la integración de soluciones digitales, el intercambio de conocimientos, las asociaciones sinérgicas y la validación de conceptos. Con motivo del Día Mundial de la Alimentación, celebrado el 16 de octubre </w:t>
      </w:r>
      <w:r w:rsidR="00B933C5" w:rsidRPr="00F05461">
        <w:rPr>
          <w:lang w:val="es-ES"/>
        </w:rPr>
        <w:t>de 202</w:t>
      </w:r>
      <w:r w:rsidRPr="00F05461">
        <w:rPr>
          <w:lang w:val="es-ES"/>
        </w:rPr>
        <w:t>5, se organizó la sesión sobre IA para la alimentación en el marco de la serie de actividades «AI Discovery», en colaboración con representantes del</w:t>
      </w:r>
      <w:r w:rsidR="00324388" w:rsidRPr="00F05461">
        <w:rPr>
          <w:lang w:val="es-ES"/>
        </w:rPr>
        <w:t> </w:t>
      </w:r>
      <w:r w:rsidRPr="00F05461">
        <w:rPr>
          <w:lang w:val="es-ES"/>
        </w:rPr>
        <w:t>PMA, el</w:t>
      </w:r>
      <w:r w:rsidR="00324388" w:rsidRPr="00F05461">
        <w:rPr>
          <w:lang w:val="es-ES"/>
        </w:rPr>
        <w:t> </w:t>
      </w:r>
      <w:r w:rsidRPr="00F05461">
        <w:rPr>
          <w:lang w:val="es-ES"/>
        </w:rPr>
        <w:t>FIDA, la Comisión de Estudio</w:t>
      </w:r>
      <w:r w:rsidR="00324388" w:rsidRPr="00F05461">
        <w:rPr>
          <w:lang w:val="es-ES"/>
        </w:rPr>
        <w:t> </w:t>
      </w:r>
      <w:r w:rsidRPr="00F05461">
        <w:rPr>
          <w:lang w:val="es-ES"/>
        </w:rPr>
        <w:t>20 de</w:t>
      </w:r>
      <w:r w:rsidR="00AC3213" w:rsidRPr="00F05461">
        <w:rPr>
          <w:lang w:val="es-ES"/>
        </w:rPr>
        <w:t>l UIT</w:t>
      </w:r>
      <w:r w:rsidRPr="00F05461">
        <w:rPr>
          <w:lang w:val="es-ES"/>
        </w:rPr>
        <w:t>-T y la Fundación Rockefeller, en la que se analizó la manera en que las normas de</w:t>
      </w:r>
      <w:r w:rsidR="003C7DDE">
        <w:rPr>
          <w:lang w:val="es-ES"/>
        </w:rPr>
        <w:t> </w:t>
      </w:r>
      <w:r w:rsidRPr="00F05461">
        <w:rPr>
          <w:lang w:val="es-ES"/>
        </w:rPr>
        <w:t>IA pueden mejorar de forma ética, transparente e interoperable los sistemas agrícolas y alimentarios, abordar los retos de adopción y ampliar las soluciones a escala mundial.</w:t>
      </w:r>
    </w:p>
    <w:p w14:paraId="06C1F094" w14:textId="77777777" w:rsidR="007B4979" w:rsidRPr="00F05461" w:rsidRDefault="007B4979" w:rsidP="00AC3213">
      <w:pPr>
        <w:pStyle w:val="Headingb"/>
      </w:pPr>
      <w:r w:rsidRPr="00F05461">
        <w:t>IA para la salud</w:t>
      </w:r>
    </w:p>
    <w:p w14:paraId="5937016E" w14:textId="506975AE" w:rsidR="007B4979" w:rsidRPr="00F05461" w:rsidRDefault="007B4979" w:rsidP="007B4979">
      <w:pPr>
        <w:rPr>
          <w:lang w:val="es-ES"/>
        </w:rPr>
      </w:pPr>
      <w:r w:rsidRPr="00F05461">
        <w:rPr>
          <w:lang w:val="es-ES"/>
        </w:rPr>
        <w:t xml:space="preserve">La </w:t>
      </w:r>
      <w:hyperlink r:id="rId557" w:history="1">
        <w:r w:rsidRPr="00F05461">
          <w:rPr>
            <w:rStyle w:val="Hyperlink"/>
            <w:rFonts w:eastAsia="Times New Roman" w:cs="Times New Roman"/>
            <w:szCs w:val="20"/>
            <w:lang w:val="es-ES"/>
          </w:rPr>
          <w:t xml:space="preserve">Iniciativa </w:t>
        </w:r>
        <w:r w:rsidR="00C50B09" w:rsidRPr="00F05461">
          <w:rPr>
            <w:rStyle w:val="Hyperlink"/>
            <w:rFonts w:eastAsia="Times New Roman" w:cs="Times New Roman"/>
            <w:szCs w:val="20"/>
            <w:lang w:val="es-ES"/>
          </w:rPr>
          <w:t>M</w:t>
        </w:r>
        <w:r w:rsidRPr="00F05461">
          <w:rPr>
            <w:rStyle w:val="Hyperlink"/>
            <w:rFonts w:eastAsia="Times New Roman" w:cs="Times New Roman"/>
            <w:szCs w:val="20"/>
            <w:lang w:val="es-ES"/>
          </w:rPr>
          <w:t xml:space="preserve">undial sobre IA para la </w:t>
        </w:r>
        <w:r w:rsidR="00C50B09" w:rsidRPr="00F05461">
          <w:rPr>
            <w:rStyle w:val="Hyperlink"/>
            <w:rFonts w:eastAsia="Times New Roman" w:cs="Times New Roman"/>
            <w:szCs w:val="20"/>
            <w:lang w:val="es-ES"/>
          </w:rPr>
          <w:t>S</w:t>
        </w:r>
        <w:r w:rsidRPr="00F05461">
          <w:rPr>
            <w:rStyle w:val="Hyperlink"/>
            <w:rFonts w:eastAsia="Times New Roman" w:cs="Times New Roman"/>
            <w:szCs w:val="20"/>
            <w:lang w:val="es-ES"/>
          </w:rPr>
          <w:t>alud</w:t>
        </w:r>
      </w:hyperlink>
      <w:r w:rsidRPr="00F05461">
        <w:rPr>
          <w:lang w:val="es-ES"/>
        </w:rPr>
        <w:t xml:space="preserve"> (GI-AI4H), liderada conjuntamente por </w:t>
      </w:r>
      <w:r w:rsidR="00296F03" w:rsidRPr="00F05461">
        <w:rPr>
          <w:lang w:val="es-ES"/>
        </w:rPr>
        <w:t>la UIT</w:t>
      </w:r>
      <w:r w:rsidRPr="00F05461">
        <w:rPr>
          <w:lang w:val="es-ES"/>
        </w:rPr>
        <w:t>, la</w:t>
      </w:r>
      <w:r w:rsidR="00883862" w:rsidRPr="00F05461">
        <w:rPr>
          <w:lang w:val="es-ES"/>
        </w:rPr>
        <w:t> </w:t>
      </w:r>
      <w:r w:rsidRPr="00F05461">
        <w:rPr>
          <w:lang w:val="es-ES"/>
        </w:rPr>
        <w:t>OMS y la</w:t>
      </w:r>
      <w:bookmarkStart w:id="124" w:name="_Hlk226551833"/>
      <w:r w:rsidR="007347B3" w:rsidRPr="00F05461">
        <w:rPr>
          <w:lang w:val="es-ES"/>
        </w:rPr>
        <w:t> </w:t>
      </w:r>
      <w:bookmarkEnd w:id="124"/>
      <w:r w:rsidRPr="00F05461">
        <w:rPr>
          <w:lang w:val="es-ES"/>
        </w:rPr>
        <w:t>OMPI, tiene como objetivo promover la integración segura y equitativa de la</w:t>
      </w:r>
      <w:r w:rsidR="00FF1AB6">
        <w:rPr>
          <w:lang w:val="es-ES"/>
        </w:rPr>
        <w:t> IA</w:t>
      </w:r>
      <w:r w:rsidRPr="00F05461">
        <w:rPr>
          <w:lang w:val="es-ES"/>
        </w:rPr>
        <w:t xml:space="preserve"> en los sistemas de salud de todo el mundo. Sobre la base de la labor del </w:t>
      </w:r>
      <w:hyperlink r:id="rId558" w:history="1">
        <w:r w:rsidRPr="00F05461">
          <w:rPr>
            <w:rStyle w:val="Hyperlink"/>
            <w:rFonts w:eastAsia="Times New Roman" w:cs="Times New Roman"/>
            <w:szCs w:val="20"/>
            <w:lang w:val="es-ES"/>
          </w:rPr>
          <w:t xml:space="preserve">Grupo </w:t>
        </w:r>
        <w:r w:rsidR="009B5738" w:rsidRPr="00F05461">
          <w:rPr>
            <w:rStyle w:val="Hyperlink"/>
            <w:rFonts w:eastAsia="Times New Roman" w:cs="Times New Roman"/>
            <w:szCs w:val="20"/>
            <w:lang w:val="es-ES"/>
          </w:rPr>
          <w:t>T</w:t>
        </w:r>
        <w:r w:rsidRPr="00F05461">
          <w:rPr>
            <w:rStyle w:val="Hyperlink"/>
            <w:rFonts w:eastAsia="Times New Roman" w:cs="Times New Roman"/>
            <w:szCs w:val="20"/>
            <w:lang w:val="es-ES"/>
          </w:rPr>
          <w:t xml:space="preserve">emático de </w:t>
        </w:r>
        <w:r w:rsidR="00296F03" w:rsidRPr="00F05461">
          <w:rPr>
            <w:rStyle w:val="Hyperlink"/>
            <w:rFonts w:eastAsia="Times New Roman" w:cs="Times New Roman"/>
            <w:szCs w:val="20"/>
            <w:lang w:val="es-ES"/>
          </w:rPr>
          <w:t>la UIT</w:t>
        </w:r>
        <w:r w:rsidRPr="00F05461">
          <w:rPr>
            <w:rStyle w:val="Hyperlink"/>
            <w:rFonts w:eastAsia="Times New Roman" w:cs="Times New Roman"/>
            <w:szCs w:val="20"/>
            <w:lang w:val="es-ES"/>
          </w:rPr>
          <w:t xml:space="preserve">/OMS sobre IA para la </w:t>
        </w:r>
        <w:r w:rsidR="00C50B09" w:rsidRPr="00F05461">
          <w:rPr>
            <w:rStyle w:val="Hyperlink"/>
            <w:rFonts w:eastAsia="Times New Roman" w:cs="Times New Roman"/>
            <w:szCs w:val="20"/>
            <w:lang w:val="es-ES"/>
          </w:rPr>
          <w:t>S</w:t>
        </w:r>
        <w:r w:rsidRPr="00F05461">
          <w:rPr>
            <w:rStyle w:val="Hyperlink"/>
            <w:rFonts w:eastAsia="Times New Roman" w:cs="Times New Roman"/>
            <w:szCs w:val="20"/>
            <w:lang w:val="es-ES"/>
          </w:rPr>
          <w:t>alud (GT-AI4H)</w:t>
        </w:r>
      </w:hyperlink>
      <w:r w:rsidRPr="00F05461">
        <w:rPr>
          <w:lang w:val="es-ES"/>
        </w:rPr>
        <w:t>, dicha iniciativa tiene por objeto desarrollar normas técnicas y ofrecer orientaciones políticas y mecanismos que permitan una aplicación responsable de la</w:t>
      </w:r>
      <w:r w:rsidR="00775D59" w:rsidRPr="00F05461">
        <w:rPr>
          <w:lang w:val="es-ES"/>
        </w:rPr>
        <w:t> </w:t>
      </w:r>
      <w:r w:rsidRPr="00F05461">
        <w:rPr>
          <w:lang w:val="es-ES"/>
        </w:rPr>
        <w:t>IA. Un objetivo fundamental es facilitar la toma de decisiones basada en datos empíricos sobre la introducción de soluciones de</w:t>
      </w:r>
      <w:r w:rsidR="003C7DDE">
        <w:rPr>
          <w:lang w:val="es-ES"/>
        </w:rPr>
        <w:t> </w:t>
      </w:r>
      <w:r w:rsidRPr="00F05461">
        <w:rPr>
          <w:lang w:val="es-ES"/>
        </w:rPr>
        <w:t>IA, al tiempo que se fomenta el intercambio mundial de conocimientos y datos para garantizar que el progreso tecnológico beneficie a todas las personas.</w:t>
      </w:r>
    </w:p>
    <w:p w14:paraId="2E3EC47C" w14:textId="279175D8" w:rsidR="007B4979" w:rsidRPr="00F05461" w:rsidRDefault="007B4979" w:rsidP="007B4979">
      <w:pPr>
        <w:rPr>
          <w:lang w:val="es-ES"/>
        </w:rPr>
      </w:pPr>
      <w:r w:rsidRPr="00F05461">
        <w:rPr>
          <w:lang w:val="es-ES"/>
        </w:rPr>
        <w:t>El</w:t>
      </w:r>
      <w:r w:rsidR="00775D59" w:rsidRPr="00F05461">
        <w:rPr>
          <w:lang w:val="es-ES"/>
        </w:rPr>
        <w:t> </w:t>
      </w:r>
      <w:hyperlink r:id="rId559" w:history="1">
        <w:r w:rsidRPr="00F05461">
          <w:rPr>
            <w:rStyle w:val="Hyperlink"/>
            <w:rFonts w:eastAsia="Times New Roman" w:cs="Times New Roman"/>
            <w:szCs w:val="20"/>
            <w:lang w:val="es-ES"/>
          </w:rPr>
          <w:t>GT-AI4H</w:t>
        </w:r>
      </w:hyperlink>
      <w:r w:rsidRPr="00F05461">
        <w:rPr>
          <w:lang w:val="es-ES"/>
        </w:rPr>
        <w:t xml:space="preserve"> colaboró con la</w:t>
      </w:r>
      <w:r w:rsidR="00883862" w:rsidRPr="00F05461">
        <w:rPr>
          <w:lang w:val="es-ES"/>
        </w:rPr>
        <w:t> </w:t>
      </w:r>
      <w:r w:rsidRPr="00F05461">
        <w:rPr>
          <w:lang w:val="es-ES"/>
        </w:rPr>
        <w:t>OMS para establecer un marco de evaluación de referencia ampliable que evalúe los métodos basados en la</w:t>
      </w:r>
      <w:r w:rsidR="00775D59" w:rsidRPr="00F05461">
        <w:rPr>
          <w:lang w:val="es-ES"/>
        </w:rPr>
        <w:t> </w:t>
      </w:r>
      <w:r w:rsidRPr="00F05461">
        <w:rPr>
          <w:lang w:val="es-ES"/>
        </w:rPr>
        <w:t>IA para la salud, el diagnóstico, la clasificación de pacientes o las decisiones terapéuticas. En 2025, el grupo elaboró 36</w:t>
      </w:r>
      <w:r w:rsidR="00324388" w:rsidRPr="00F05461">
        <w:rPr>
          <w:lang w:val="es-ES"/>
        </w:rPr>
        <w:t> </w:t>
      </w:r>
      <w:hyperlink r:id="rId560" w:history="1">
        <w:r w:rsidRPr="00F05461">
          <w:rPr>
            <w:rStyle w:val="Hyperlink"/>
            <w:rFonts w:eastAsia="Times New Roman" w:cs="Times New Roman"/>
            <w:szCs w:val="20"/>
            <w:lang w:val="es-ES"/>
          </w:rPr>
          <w:t>productos finales</w:t>
        </w:r>
      </w:hyperlink>
      <w:r w:rsidRPr="00F05461">
        <w:rPr>
          <w:lang w:val="es-ES"/>
        </w:rPr>
        <w:t>. Además de las normas que ha elaborado el Grupo de Trabajo, se han utilizado subvenciones (aproximadamente 600</w:t>
      </w:r>
      <w:r w:rsidR="00324388" w:rsidRPr="00F05461">
        <w:rPr>
          <w:lang w:val="es-ES"/>
        </w:rPr>
        <w:t> </w:t>
      </w:r>
      <w:r w:rsidRPr="00F05461">
        <w:rPr>
          <w:lang w:val="es-ES"/>
        </w:rPr>
        <w:t>000</w:t>
      </w:r>
      <w:r w:rsidR="00324388" w:rsidRPr="00F05461">
        <w:rPr>
          <w:lang w:val="es-ES"/>
        </w:rPr>
        <w:t> </w:t>
      </w:r>
      <w:r w:rsidRPr="00F05461">
        <w:rPr>
          <w:lang w:val="es-ES"/>
        </w:rPr>
        <w:t xml:space="preserve">CHF) de la Fundación Botnar para aplicar un marco de referencia de código abierto modular (DevSecOps), cuya licencia permite a los reguladores sanitarios nacionales, entre otras partes, adaptarla a sus necesidades. Por otro </w:t>
      </w:r>
      <w:r w:rsidRPr="00F05461">
        <w:rPr>
          <w:lang w:val="es-ES"/>
        </w:rPr>
        <w:lastRenderedPageBreak/>
        <w:t xml:space="preserve">lado, las subvenciones se utilizaron para financiar los viajes de </w:t>
      </w:r>
      <w:proofErr w:type="gramStart"/>
      <w:r w:rsidRPr="00F05461">
        <w:rPr>
          <w:lang w:val="es-ES"/>
        </w:rPr>
        <w:t>expertos  de</w:t>
      </w:r>
      <w:proofErr w:type="gramEnd"/>
      <w:r w:rsidRPr="00F05461">
        <w:rPr>
          <w:lang w:val="es-ES"/>
        </w:rPr>
        <w:t xml:space="preserve"> países de ingresos bajos o medianos (PIBM).</w:t>
      </w:r>
    </w:p>
    <w:p w14:paraId="30123173" w14:textId="6EEFE3CA" w:rsidR="00560AD9" w:rsidRPr="00F05461" w:rsidRDefault="00560AD9" w:rsidP="00560AD9">
      <w:pPr>
        <w:pStyle w:val="Headingb"/>
      </w:pPr>
      <w:r w:rsidRPr="00F05461">
        <w:t xml:space="preserve">Iniciativa de </w:t>
      </w:r>
      <w:r w:rsidR="00440D30" w:rsidRPr="00F05461">
        <w:t>i</w:t>
      </w:r>
      <w:r w:rsidRPr="00F05461">
        <w:t xml:space="preserve">nversión en </w:t>
      </w:r>
      <w:r w:rsidR="00440D30" w:rsidRPr="00F05461">
        <w:t>i</w:t>
      </w:r>
      <w:r w:rsidRPr="00F05461">
        <w:t xml:space="preserve">nfraestructura </w:t>
      </w:r>
      <w:r w:rsidR="00440D30" w:rsidRPr="00F05461">
        <w:t>d</w:t>
      </w:r>
      <w:r w:rsidRPr="00F05461">
        <w:t>igital</w:t>
      </w:r>
    </w:p>
    <w:p w14:paraId="3A3FD424" w14:textId="2A0FF80C" w:rsidR="00440D30" w:rsidRPr="00F05461" w:rsidRDefault="00560AD9" w:rsidP="00440D30">
      <w:pPr>
        <w:rPr>
          <w:lang w:val="es-ES"/>
        </w:rPr>
      </w:pPr>
      <w:r w:rsidRPr="00F05461">
        <w:rPr>
          <w:lang w:val="es-ES"/>
        </w:rPr>
        <w:t>La</w:t>
      </w:r>
      <w:r w:rsidR="00AB0DD5" w:rsidRPr="00F05461">
        <w:rPr>
          <w:lang w:val="es-ES"/>
        </w:rPr>
        <w:t> </w:t>
      </w:r>
      <w:r w:rsidRPr="00F05461">
        <w:rPr>
          <w:lang w:val="es-ES"/>
        </w:rPr>
        <w:t xml:space="preserve">IIID, puesta en marcha en 2024 en el marco de la presidencia de Brasil del G20, tiene por objeto analizar el alcance general del déficit de inversión en infraestructura digital, los principales obstáculos a la inversión y los enfoques de financiación innovadores necesarios para superarlos. Dirigida por </w:t>
      </w:r>
      <w:r w:rsidR="00296F03" w:rsidRPr="00F05461">
        <w:rPr>
          <w:lang w:val="es-ES"/>
        </w:rPr>
        <w:t>la UIT</w:t>
      </w:r>
      <w:r w:rsidRPr="00F05461">
        <w:rPr>
          <w:lang w:val="es-ES"/>
        </w:rPr>
        <w:t xml:space="preserve"> y los principales </w:t>
      </w:r>
      <w:r w:rsidR="002129F5" w:rsidRPr="00F05461">
        <w:rPr>
          <w:lang w:val="es-ES"/>
        </w:rPr>
        <w:t>BMD</w:t>
      </w:r>
      <w:r w:rsidRPr="00F05461">
        <w:rPr>
          <w:lang w:val="es-ES"/>
        </w:rPr>
        <w:t>, a saber, el Banco Asiático de Desarrollo (</w:t>
      </w:r>
      <w:r w:rsidR="00AC0085" w:rsidRPr="00F05461">
        <w:rPr>
          <w:lang w:val="es-ES"/>
        </w:rPr>
        <w:t>BAsD</w:t>
      </w:r>
      <w:r w:rsidRPr="00F05461">
        <w:rPr>
          <w:lang w:val="es-ES"/>
        </w:rPr>
        <w:t xml:space="preserve">), el Banco Asiático </w:t>
      </w:r>
      <w:r w:rsidR="00AC0085" w:rsidRPr="00F05461">
        <w:rPr>
          <w:lang w:val="es-ES"/>
        </w:rPr>
        <w:t>para</w:t>
      </w:r>
      <w:r w:rsidRPr="00F05461">
        <w:rPr>
          <w:lang w:val="es-ES"/>
        </w:rPr>
        <w:t xml:space="preserve"> Inversión en Infraestructuras (</w:t>
      </w:r>
      <w:r w:rsidR="00B545FE" w:rsidRPr="00F05461">
        <w:rPr>
          <w:lang w:val="es-ES"/>
        </w:rPr>
        <w:t>BAII</w:t>
      </w:r>
      <w:r w:rsidRPr="00F05461">
        <w:rPr>
          <w:lang w:val="es-ES"/>
        </w:rPr>
        <w:t>), el Banco Africano de Desarrollo (</w:t>
      </w:r>
      <w:r w:rsidR="00AC0085" w:rsidRPr="00F05461">
        <w:rPr>
          <w:lang w:val="es-ES"/>
        </w:rPr>
        <w:t>BAfD</w:t>
      </w:r>
      <w:r w:rsidRPr="00F05461">
        <w:rPr>
          <w:lang w:val="es-ES"/>
        </w:rPr>
        <w:t>), el Banco Europeo de Inversiones (BEI), el Banco Europeo de Reconstrucción y Desarrollo (BERD), el Banco Interamericano de Desarrollo (BID), el Banco Islámico de Desarrollo (BI</w:t>
      </w:r>
      <w:r w:rsidR="00B545FE" w:rsidRPr="00F05461">
        <w:rPr>
          <w:lang w:val="es-ES"/>
        </w:rPr>
        <w:t>s</w:t>
      </w:r>
      <w:r w:rsidRPr="00F05461">
        <w:rPr>
          <w:lang w:val="es-ES"/>
        </w:rPr>
        <w:t>D) y la Corporación Financiera Internacional (CFI), y con el apoyo de BCG como asociado experto, la</w:t>
      </w:r>
      <w:r w:rsidR="00AB0DD5" w:rsidRPr="00F05461">
        <w:rPr>
          <w:lang w:val="es-ES"/>
        </w:rPr>
        <w:t> </w:t>
      </w:r>
      <w:r w:rsidRPr="00F05461">
        <w:rPr>
          <w:lang w:val="es-ES"/>
        </w:rPr>
        <w:t>IIID prevé que se necesitan 1,6 billones</w:t>
      </w:r>
      <w:r w:rsidR="002259CF" w:rsidRPr="00F05461">
        <w:rPr>
          <w:lang w:val="es-ES"/>
        </w:rPr>
        <w:t> USD</w:t>
      </w:r>
      <w:r w:rsidRPr="00F05461">
        <w:rPr>
          <w:lang w:val="es-ES"/>
        </w:rPr>
        <w:t xml:space="preserve"> para subsanar el déficit de inversión en infraestructura digital y garantizar una conectividad universal efectiva hasta 2030. Sobre la base del informe técnico de la IIID publicado en enero de 2025, que hace hincapié exclusivamente en la infraestructura, </w:t>
      </w:r>
      <w:r w:rsidR="00296F03" w:rsidRPr="00F05461">
        <w:rPr>
          <w:lang w:val="es-ES"/>
        </w:rPr>
        <w:t>la UIT</w:t>
      </w:r>
      <w:r w:rsidRPr="00F05461">
        <w:rPr>
          <w:lang w:val="es-ES"/>
        </w:rPr>
        <w:t xml:space="preserve"> publicó el informe </w:t>
      </w:r>
      <w:hyperlink r:id="rId561" w:history="1">
        <w:r w:rsidRPr="00F05461">
          <w:rPr>
            <w:rStyle w:val="Hyperlink"/>
            <w:rFonts w:eastAsia="Times New Roman" w:cs="Times New Roman"/>
            <w:i/>
            <w:iCs/>
            <w:szCs w:val="20"/>
            <w:lang w:val="es-ES"/>
          </w:rPr>
          <w:t>Connecting Humanity Action Blueprint: Advancing sustainable, affordable and innovative solutions</w:t>
        </w:r>
      </w:hyperlink>
      <w:r w:rsidRPr="00F05461">
        <w:rPr>
          <w:lang w:val="es-ES"/>
        </w:rPr>
        <w:t xml:space="preserve"> con el apoyo del Reino de Arabia Saudita, a fin de estimar la financiación total necesaria para colmar la brecha digital mundial si se incluyen también factores determinados por la demanda.</w:t>
      </w:r>
      <w:r w:rsidR="00440D30" w:rsidRPr="00F05461">
        <w:rPr>
          <w:lang w:val="es-ES"/>
        </w:rPr>
        <w:t xml:space="preserve"> </w:t>
      </w:r>
      <w:r w:rsidRPr="00F05461">
        <w:rPr>
          <w:lang w:val="es-ES"/>
        </w:rPr>
        <w:t>«Connecting Humanity» estima que se necesitan de 2,6 a 2,8 billones</w:t>
      </w:r>
      <w:r w:rsidR="00004469" w:rsidRPr="00F05461">
        <w:rPr>
          <w:lang w:val="es-ES"/>
        </w:rPr>
        <w:t> </w:t>
      </w:r>
      <w:r w:rsidR="00440D30" w:rsidRPr="00F05461">
        <w:rPr>
          <w:lang w:val="es-ES"/>
        </w:rPr>
        <w:t>USD</w:t>
      </w:r>
      <w:r w:rsidRPr="00F05461">
        <w:rPr>
          <w:lang w:val="es-ES"/>
        </w:rPr>
        <w:t xml:space="preserve"> para subsanar las deficiencias no solo en materia de infraestructura digital, sino también en cuanto a asequibilidad, competencias digitales y políticas y regulaciones.</w:t>
      </w:r>
    </w:p>
    <w:p w14:paraId="764E1F20" w14:textId="7CCCEA42" w:rsidR="00B545FE" w:rsidRPr="00F05461" w:rsidRDefault="00560AD9" w:rsidP="00400698">
      <w:pPr>
        <w:rPr>
          <w:lang w:val="es-ES"/>
        </w:rPr>
      </w:pPr>
      <w:r w:rsidRPr="00F05461">
        <w:rPr>
          <w:lang w:val="es-ES"/>
        </w:rPr>
        <w:t xml:space="preserve">En relación con la IIID, en julio de 2025 </w:t>
      </w:r>
      <w:r w:rsidR="00296F03" w:rsidRPr="00F05461">
        <w:rPr>
          <w:lang w:val="es-ES"/>
        </w:rPr>
        <w:t>la UIT</w:t>
      </w:r>
      <w:r w:rsidRPr="00F05461">
        <w:rPr>
          <w:lang w:val="es-ES"/>
        </w:rPr>
        <w:t xml:space="preserve"> y </w:t>
      </w:r>
      <w:r w:rsidR="00440D30" w:rsidRPr="00F05461">
        <w:rPr>
          <w:lang w:val="es-ES"/>
        </w:rPr>
        <w:t>la </w:t>
      </w:r>
      <w:r w:rsidRPr="00F05461">
        <w:rPr>
          <w:lang w:val="es-ES"/>
        </w:rPr>
        <w:t>UNCTAD pusieron en marcha el nuevo Catalizador de</w:t>
      </w:r>
      <w:r w:rsidR="00400698" w:rsidRPr="00F05461">
        <w:rPr>
          <w:lang w:val="es-ES"/>
        </w:rPr>
        <w:t> </w:t>
      </w:r>
      <w:r w:rsidRPr="00F05461">
        <w:rPr>
          <w:lang w:val="es-ES"/>
        </w:rPr>
        <w:t>II</w:t>
      </w:r>
      <w:r w:rsidR="00A13CA3" w:rsidRPr="00F05461">
        <w:rPr>
          <w:lang w:val="es-ES"/>
        </w:rPr>
        <w:t>D</w:t>
      </w:r>
      <w:r w:rsidRPr="00F05461">
        <w:rPr>
          <w:lang w:val="es-ES"/>
        </w:rPr>
        <w:t xml:space="preserve"> en el marco de la 4.ª Conferencia Internacional sobre la Financiación para el Desarrollo (FfD4) celebrada en Sevilla (España), con el apoyo de los Gobiernos de Brasil, España y Sudáfrica.</w:t>
      </w:r>
      <w:r w:rsidR="00440D30" w:rsidRPr="00F05461">
        <w:rPr>
          <w:lang w:val="es-ES"/>
        </w:rPr>
        <w:t xml:space="preserve"> </w:t>
      </w:r>
      <w:r w:rsidRPr="00F05461">
        <w:rPr>
          <w:lang w:val="es-ES"/>
        </w:rPr>
        <w:t>El Catalizador</w:t>
      </w:r>
      <w:r w:rsidR="000C74EB" w:rsidRPr="00F05461">
        <w:rPr>
          <w:lang w:val="es-ES"/>
        </w:rPr>
        <w:t xml:space="preserve"> de </w:t>
      </w:r>
      <w:r w:rsidRPr="00F05461">
        <w:rPr>
          <w:lang w:val="es-ES"/>
        </w:rPr>
        <w:t>II</w:t>
      </w:r>
      <w:r w:rsidR="000C74EB" w:rsidRPr="00F05461">
        <w:rPr>
          <w:lang w:val="es-ES"/>
        </w:rPr>
        <w:t>D</w:t>
      </w:r>
      <w:r w:rsidRPr="00F05461">
        <w:rPr>
          <w:lang w:val="es-ES"/>
        </w:rPr>
        <w:t xml:space="preserve"> se respaldó oficialmente en el marco de la Plataforma de Acción de Sevilla a fin de apoyar la aplicación del documento final de la FfD4: Compromiso de Sevilla. Dicho Catalizador es una plataforma de varias partes interesadas que reúne al sistema de las Naciones Unidas y a los principales </w:t>
      </w:r>
      <w:r w:rsidR="002129F5" w:rsidRPr="00F05461">
        <w:rPr>
          <w:lang w:val="es-ES"/>
        </w:rPr>
        <w:t>BMD</w:t>
      </w:r>
      <w:r w:rsidRPr="00F05461">
        <w:rPr>
          <w:lang w:val="es-ES"/>
        </w:rPr>
        <w:t>, así como a inversores, empresas del sector privado, gobiernos y la sociedad civil, con objeto de intercambiar conocimientos y fomentar la colaboración destinada a promover la inversión en modelos de infraestructura digital viables y financiables. Se centra en tres pilares de trabajo: 1) datos, herramientas y plantillas; 2) capacitación en políticas de inversión y financiación innovadora; y 3) asociaciones, inversión y oportunidades de financiación.</w:t>
      </w:r>
    </w:p>
    <w:p w14:paraId="1262A0A9" w14:textId="78768D4D" w:rsidR="00560AD9" w:rsidRPr="00F05461" w:rsidRDefault="00560AD9" w:rsidP="00B545FE">
      <w:pPr>
        <w:rPr>
          <w:lang w:val="es-ES"/>
        </w:rPr>
      </w:pPr>
      <w:r w:rsidRPr="00F05461">
        <w:rPr>
          <w:lang w:val="es-ES"/>
        </w:rPr>
        <w:t xml:space="preserve">El Catalizador se puso en marcha en septiembre de 2025 y está codirigido por </w:t>
      </w:r>
      <w:r w:rsidR="00296F03" w:rsidRPr="00F05461">
        <w:rPr>
          <w:lang w:val="es-ES"/>
        </w:rPr>
        <w:t>la UIT</w:t>
      </w:r>
      <w:r w:rsidRPr="00F05461">
        <w:rPr>
          <w:lang w:val="es-ES"/>
        </w:rPr>
        <w:t>, la UNCTAD y ocho</w:t>
      </w:r>
      <w:r w:rsidR="002129F5" w:rsidRPr="00F05461">
        <w:rPr>
          <w:lang w:val="es-ES"/>
        </w:rPr>
        <w:t> BMD</w:t>
      </w:r>
      <w:r w:rsidRPr="00F05461">
        <w:rPr>
          <w:lang w:val="es-ES"/>
        </w:rPr>
        <w:t>, a saber, el</w:t>
      </w:r>
      <w:r w:rsidR="00B545FE" w:rsidRPr="00F05461">
        <w:rPr>
          <w:lang w:val="es-ES"/>
        </w:rPr>
        <w:t> </w:t>
      </w:r>
      <w:r w:rsidR="00AC0085" w:rsidRPr="00F05461">
        <w:rPr>
          <w:lang w:val="es-ES"/>
        </w:rPr>
        <w:t>BAsD</w:t>
      </w:r>
      <w:r w:rsidRPr="00F05461">
        <w:rPr>
          <w:lang w:val="es-ES"/>
        </w:rPr>
        <w:t>, el</w:t>
      </w:r>
      <w:r w:rsidR="00B545FE" w:rsidRPr="00F05461">
        <w:rPr>
          <w:lang w:val="es-ES"/>
        </w:rPr>
        <w:t> </w:t>
      </w:r>
      <w:r w:rsidR="00AC0085" w:rsidRPr="00F05461">
        <w:rPr>
          <w:lang w:val="es-ES"/>
        </w:rPr>
        <w:t>BAfD</w:t>
      </w:r>
      <w:r w:rsidRPr="00F05461">
        <w:rPr>
          <w:lang w:val="es-ES"/>
        </w:rPr>
        <w:t>, el</w:t>
      </w:r>
      <w:r w:rsidR="00B545FE" w:rsidRPr="00F05461">
        <w:rPr>
          <w:lang w:val="es-ES"/>
        </w:rPr>
        <w:t> </w:t>
      </w:r>
      <w:r w:rsidR="00AC0085" w:rsidRPr="00F05461">
        <w:rPr>
          <w:lang w:val="es-ES"/>
        </w:rPr>
        <w:t>BAII</w:t>
      </w:r>
      <w:r w:rsidRPr="00F05461">
        <w:rPr>
          <w:lang w:val="es-ES"/>
        </w:rPr>
        <w:t>, el</w:t>
      </w:r>
      <w:r w:rsidR="00B545FE" w:rsidRPr="00F05461">
        <w:rPr>
          <w:lang w:val="es-ES"/>
        </w:rPr>
        <w:t> </w:t>
      </w:r>
      <w:r w:rsidRPr="00F05461">
        <w:rPr>
          <w:lang w:val="es-ES"/>
        </w:rPr>
        <w:t>BERD, el</w:t>
      </w:r>
      <w:r w:rsidR="00B545FE" w:rsidRPr="00F05461">
        <w:rPr>
          <w:lang w:val="es-ES"/>
        </w:rPr>
        <w:t> </w:t>
      </w:r>
      <w:r w:rsidRPr="00F05461">
        <w:rPr>
          <w:lang w:val="es-ES"/>
        </w:rPr>
        <w:t>BEI, el</w:t>
      </w:r>
      <w:r w:rsidR="00B545FE" w:rsidRPr="00F05461">
        <w:rPr>
          <w:lang w:val="es-ES"/>
        </w:rPr>
        <w:t> </w:t>
      </w:r>
      <w:r w:rsidRPr="00F05461">
        <w:rPr>
          <w:lang w:val="es-ES"/>
        </w:rPr>
        <w:t>BID, el</w:t>
      </w:r>
      <w:r w:rsidR="00B545FE" w:rsidRPr="00F05461">
        <w:rPr>
          <w:lang w:val="es-ES"/>
        </w:rPr>
        <w:t> </w:t>
      </w:r>
      <w:r w:rsidRPr="00F05461">
        <w:rPr>
          <w:lang w:val="es-ES"/>
        </w:rPr>
        <w:t>BI</w:t>
      </w:r>
      <w:r w:rsidR="00B545FE" w:rsidRPr="00F05461">
        <w:rPr>
          <w:lang w:val="es-ES"/>
        </w:rPr>
        <w:t>s</w:t>
      </w:r>
      <w:r w:rsidRPr="00F05461">
        <w:rPr>
          <w:lang w:val="es-ES"/>
        </w:rPr>
        <w:t>D y el Grupo del Banco Mundial, con un grupo de trabajo integrado por más de 50 organizaciones de todos los sectores.</w:t>
      </w:r>
      <w:r w:rsidR="00B545FE" w:rsidRPr="00F05461">
        <w:rPr>
          <w:lang w:val="es-ES"/>
        </w:rPr>
        <w:t xml:space="preserve"> </w:t>
      </w:r>
      <w:r w:rsidRPr="00F05461">
        <w:rPr>
          <w:lang w:val="es-ES"/>
        </w:rPr>
        <w:t>El Catalizador</w:t>
      </w:r>
      <w:r w:rsidR="000C74EB" w:rsidRPr="00F05461">
        <w:rPr>
          <w:lang w:val="es-ES"/>
        </w:rPr>
        <w:t xml:space="preserve"> de</w:t>
      </w:r>
      <w:r w:rsidR="002129F5" w:rsidRPr="00F05461">
        <w:rPr>
          <w:lang w:val="es-ES"/>
        </w:rPr>
        <w:t> </w:t>
      </w:r>
      <w:r w:rsidRPr="00F05461">
        <w:rPr>
          <w:lang w:val="es-ES"/>
        </w:rPr>
        <w:t>II</w:t>
      </w:r>
      <w:r w:rsidR="00A13CA3" w:rsidRPr="00F05461">
        <w:rPr>
          <w:lang w:val="es-ES"/>
        </w:rPr>
        <w:t>D</w:t>
      </w:r>
      <w:r w:rsidRPr="00F05461">
        <w:rPr>
          <w:lang w:val="es-ES"/>
        </w:rPr>
        <w:t xml:space="preserve"> reúne </w:t>
      </w:r>
      <w:proofErr w:type="gramStart"/>
      <w:r w:rsidRPr="00F05461">
        <w:rPr>
          <w:lang w:val="es-ES"/>
        </w:rPr>
        <w:t>a día de hoy</w:t>
      </w:r>
      <w:proofErr w:type="gramEnd"/>
      <w:r w:rsidRPr="00F05461">
        <w:rPr>
          <w:lang w:val="es-ES"/>
        </w:rPr>
        <w:t xml:space="preserve"> a partes interesadas en el marco de la</w:t>
      </w:r>
      <w:r w:rsidR="002129F5" w:rsidRPr="00F05461">
        <w:rPr>
          <w:lang w:val="es-ES"/>
        </w:rPr>
        <w:t> </w:t>
      </w:r>
      <w:r w:rsidRPr="00F05461">
        <w:rPr>
          <w:lang w:val="es-ES"/>
        </w:rPr>
        <w:t xml:space="preserve">AGNU </w:t>
      </w:r>
      <w:r w:rsidR="002129F5" w:rsidRPr="00F05461">
        <w:rPr>
          <w:lang w:val="es-ES"/>
        </w:rPr>
        <w:t>(</w:t>
      </w:r>
      <w:r w:rsidRPr="00F05461">
        <w:rPr>
          <w:lang w:val="es-ES"/>
        </w:rPr>
        <w:t>septiembre de 2025),</w:t>
      </w:r>
      <w:r w:rsidR="002129F5" w:rsidRPr="00F05461">
        <w:rPr>
          <w:lang w:val="es-ES"/>
        </w:rPr>
        <w:t xml:space="preserve"> </w:t>
      </w:r>
      <w:r w:rsidRPr="00F05461">
        <w:rPr>
          <w:lang w:val="es-ES"/>
        </w:rPr>
        <w:t>la Cumbre Internacional sobre la Resiliencia de los Cables Submarinos (febrero de 2026)</w:t>
      </w:r>
      <w:r w:rsidR="002129F5" w:rsidRPr="00F05461">
        <w:rPr>
          <w:lang w:val="es-ES"/>
        </w:rPr>
        <w:t xml:space="preserve"> </w:t>
      </w:r>
      <w:r w:rsidRPr="00F05461">
        <w:rPr>
          <w:lang w:val="es-ES"/>
        </w:rPr>
        <w:t>y dos reuniones del grupo de trabajo (noviembre de 2025 y febrero de 2026). Con respecto al futuro, el Catalizador</w:t>
      </w:r>
      <w:r w:rsidR="000C74EB" w:rsidRPr="00F05461">
        <w:rPr>
          <w:lang w:val="es-ES"/>
        </w:rPr>
        <w:t xml:space="preserve"> de</w:t>
      </w:r>
      <w:r w:rsidR="009B2740" w:rsidRPr="00F05461">
        <w:rPr>
          <w:lang w:val="es-ES"/>
        </w:rPr>
        <w:t> </w:t>
      </w:r>
      <w:r w:rsidR="00A13CA3" w:rsidRPr="00F05461">
        <w:rPr>
          <w:lang w:val="es-ES"/>
        </w:rPr>
        <w:t>II</w:t>
      </w:r>
      <w:r w:rsidRPr="00F05461">
        <w:rPr>
          <w:lang w:val="es-ES"/>
        </w:rPr>
        <w:t xml:space="preserve">D desarrollará un repositorio de recursos sobre herramientas existentes y recursos de capacitación para facilitar la planificación de inversiones en infraestructura digital, organizará eventos de intermediación de inversiones y elaborará un manual sobre inversiones en infraestructura digital e </w:t>
      </w:r>
      <w:r w:rsidR="002129F5" w:rsidRPr="00F05461">
        <w:rPr>
          <w:lang w:val="es-ES"/>
        </w:rPr>
        <w:t>IA</w:t>
      </w:r>
      <w:r w:rsidRPr="00F05461">
        <w:rPr>
          <w:lang w:val="es-ES"/>
        </w:rPr>
        <w:t>.</w:t>
      </w:r>
    </w:p>
    <w:p w14:paraId="390495A0" w14:textId="77777777" w:rsidR="007B4979" w:rsidRPr="00F05461" w:rsidRDefault="007B4979" w:rsidP="009E4631">
      <w:pPr>
        <w:pStyle w:val="Heading3"/>
      </w:pPr>
      <w:bookmarkStart w:id="125" w:name="_Toc224288836"/>
      <w:bookmarkStart w:id="126" w:name="_Toc227137496"/>
      <w:r w:rsidRPr="00F05461">
        <w:lastRenderedPageBreak/>
        <w:t>5.5.1</w:t>
      </w:r>
      <w:r w:rsidRPr="00F05461">
        <w:tab/>
        <w:t>Colaboración con el sistema de las Naciones Unidas y otros procesos intergubernamentales internacionales</w:t>
      </w:r>
      <w:bookmarkEnd w:id="125"/>
      <w:bookmarkEnd w:id="126"/>
    </w:p>
    <w:p w14:paraId="7FECE706" w14:textId="62154100" w:rsidR="007B4979" w:rsidRPr="00F05461" w:rsidRDefault="00296F03" w:rsidP="007B4979">
      <w:pPr>
        <w:rPr>
          <w:lang w:val="es-ES"/>
        </w:rPr>
      </w:pPr>
      <w:r w:rsidRPr="00F05461">
        <w:rPr>
          <w:lang w:val="es-ES"/>
        </w:rPr>
        <w:t>La UIT</w:t>
      </w:r>
      <w:r w:rsidR="007B4979" w:rsidRPr="00F05461">
        <w:rPr>
          <w:lang w:val="es-ES"/>
        </w:rPr>
        <w:t>, en calidad de organismo especializado de las Naciones Unidas en materia de TIC, impulsa los esfuerzos mundiales para armonizar las tecnologías digitales con la Agenda</w:t>
      </w:r>
      <w:r w:rsidR="00324388" w:rsidRPr="00F05461">
        <w:rPr>
          <w:lang w:val="es-ES"/>
        </w:rPr>
        <w:t> </w:t>
      </w:r>
      <w:r w:rsidR="007B4979" w:rsidRPr="00F05461">
        <w:rPr>
          <w:lang w:val="es-ES"/>
        </w:rPr>
        <w:t>2030 para el Desarrollo Sostenible, en particular en el sistema de las Naciones Unidas. A raíz de la iniciativa Nuestra Agenda Común</w:t>
      </w:r>
      <w:r w:rsidR="007B4979" w:rsidRPr="00F05461">
        <w:rPr>
          <w:i/>
          <w:iCs/>
          <w:lang w:val="es-ES"/>
        </w:rPr>
        <w:t xml:space="preserve"> </w:t>
      </w:r>
      <w:r w:rsidR="007B4979" w:rsidRPr="00F05461">
        <w:rPr>
          <w:lang w:val="es-ES"/>
        </w:rPr>
        <w:t>de la Secretaría General de las Naciones Unidas</w:t>
      </w:r>
      <w:r w:rsidR="007B4979" w:rsidRPr="00F05461">
        <w:rPr>
          <w:i/>
          <w:iCs/>
          <w:lang w:val="es-ES"/>
        </w:rPr>
        <w:t xml:space="preserve">, </w:t>
      </w:r>
      <w:r w:rsidR="007B4979" w:rsidRPr="00F05461">
        <w:rPr>
          <w:lang w:val="es-ES"/>
        </w:rPr>
        <w:t xml:space="preserve">puesta en marcha en septiembre </w:t>
      </w:r>
      <w:r w:rsidR="00B933C5" w:rsidRPr="00F05461">
        <w:rPr>
          <w:lang w:val="es-ES"/>
        </w:rPr>
        <w:t>de 202</w:t>
      </w:r>
      <w:r w:rsidR="007B4979" w:rsidRPr="00F05461">
        <w:rPr>
          <w:lang w:val="es-ES"/>
        </w:rPr>
        <w:t xml:space="preserve">1, </w:t>
      </w:r>
      <w:r w:rsidRPr="00F05461">
        <w:rPr>
          <w:lang w:val="es-ES"/>
        </w:rPr>
        <w:t>la UIT</w:t>
      </w:r>
      <w:r w:rsidR="007B4979" w:rsidRPr="00F05461">
        <w:rPr>
          <w:lang w:val="es-ES"/>
        </w:rPr>
        <w:t xml:space="preserve"> ha desempeñado un papel de liderazgo fundamental en la elaboración y aplicación del </w:t>
      </w:r>
      <w:hyperlink r:id="rId562" w:history="1">
        <w:r w:rsidR="007B4979" w:rsidRPr="00F05461">
          <w:rPr>
            <w:rStyle w:val="Hyperlink"/>
            <w:rFonts w:eastAsia="Times New Roman" w:cs="Times New Roman"/>
            <w:szCs w:val="20"/>
            <w:lang w:val="es-ES"/>
          </w:rPr>
          <w:t>Pacto para el Futuro</w:t>
        </w:r>
      </w:hyperlink>
      <w:r w:rsidR="007B4979" w:rsidRPr="00F05461">
        <w:rPr>
          <w:lang w:val="es-ES"/>
        </w:rPr>
        <w:t xml:space="preserve"> (A/RES/79/1), adoptado en la Cumbre del Futuro en septiembre </w:t>
      </w:r>
      <w:r w:rsidR="00B933C5" w:rsidRPr="00F05461">
        <w:rPr>
          <w:lang w:val="es-ES"/>
        </w:rPr>
        <w:t>de 202</w:t>
      </w:r>
      <w:r w:rsidR="007B4979" w:rsidRPr="00F05461">
        <w:rPr>
          <w:lang w:val="es-ES"/>
        </w:rPr>
        <w:t>4, incluido su Pacto Digital Global (</w:t>
      </w:r>
      <w:r w:rsidR="00EF6A42" w:rsidRPr="00F05461">
        <w:rPr>
          <w:lang w:val="es-ES"/>
        </w:rPr>
        <w:t>PDG</w:t>
      </w:r>
      <w:r w:rsidR="007B4979" w:rsidRPr="00F05461">
        <w:rPr>
          <w:lang w:val="es-ES"/>
        </w:rPr>
        <w:t xml:space="preserve">) anexo. En el marco de iniciativas emblemáticas y una cooperación fortalecida en relación con todos los procesos y foros de las Naciones Unidas, </w:t>
      </w:r>
      <w:r w:rsidRPr="00F05461">
        <w:rPr>
          <w:lang w:val="es-ES"/>
        </w:rPr>
        <w:t>la UIT</w:t>
      </w:r>
      <w:r w:rsidR="007B4979" w:rsidRPr="00F05461">
        <w:rPr>
          <w:lang w:val="es-ES"/>
        </w:rPr>
        <w:t xml:space="preserve"> respalda la coherencia con respecto a la estrategia digital y su aplicación en todo el sistema de las Naciones Unidas.</w:t>
      </w:r>
    </w:p>
    <w:p w14:paraId="3E67D175" w14:textId="77777777" w:rsidR="007B4979" w:rsidRPr="00F05461" w:rsidRDefault="007B4979" w:rsidP="00AC3213">
      <w:pPr>
        <w:pStyle w:val="Headingb"/>
      </w:pPr>
      <w:r w:rsidRPr="00F05461">
        <w:t>Aplicación del Pacto para el Futuro</w:t>
      </w:r>
    </w:p>
    <w:p w14:paraId="2FDB4E25" w14:textId="4564A577" w:rsidR="007B4979" w:rsidRPr="00F05461" w:rsidRDefault="007B4979" w:rsidP="007B4979">
      <w:pPr>
        <w:rPr>
          <w:lang w:val="es-ES"/>
        </w:rPr>
      </w:pPr>
      <w:r w:rsidRPr="00F05461">
        <w:rPr>
          <w:lang w:val="es-ES"/>
        </w:rPr>
        <w:t xml:space="preserve">Tal y como se describe en su </w:t>
      </w:r>
      <w:hyperlink r:id="rId563" w:history="1">
        <w:r w:rsidRPr="00F05461">
          <w:rPr>
            <w:rStyle w:val="Hyperlink"/>
            <w:rFonts w:eastAsia="Times New Roman" w:cs="Times New Roman"/>
            <w:szCs w:val="20"/>
            <w:lang w:val="es-ES"/>
          </w:rPr>
          <w:t xml:space="preserve">Plan de Acción para la aplicación del Pacto Digital </w:t>
        </w:r>
        <w:r w:rsidR="00EF6A42" w:rsidRPr="00F05461">
          <w:rPr>
            <w:rStyle w:val="Hyperlink"/>
            <w:rFonts w:eastAsia="Times New Roman" w:cs="Times New Roman"/>
            <w:szCs w:val="20"/>
            <w:lang w:val="es-ES"/>
          </w:rPr>
          <w:t>Globa</w:t>
        </w:r>
        <w:r w:rsidRPr="00F05461">
          <w:rPr>
            <w:rStyle w:val="Hyperlink"/>
            <w:rFonts w:eastAsia="Times New Roman" w:cs="Times New Roman"/>
            <w:szCs w:val="20"/>
            <w:lang w:val="es-ES"/>
          </w:rPr>
          <w:t>l</w:t>
        </w:r>
      </w:hyperlink>
      <w:r w:rsidRPr="00F05461">
        <w:rPr>
          <w:lang w:val="es-ES"/>
        </w:rPr>
        <w:t xml:space="preserve"> (PD</w:t>
      </w:r>
      <w:r w:rsidR="00EF6A42" w:rsidRPr="00F05461">
        <w:rPr>
          <w:lang w:val="es-ES"/>
        </w:rPr>
        <w:t>G</w:t>
      </w:r>
      <w:r w:rsidRPr="00F05461">
        <w:rPr>
          <w:lang w:val="es-ES"/>
        </w:rPr>
        <w:t xml:space="preserve">) </w:t>
      </w:r>
      <w:r w:rsidR="00296F03" w:rsidRPr="00F05461">
        <w:rPr>
          <w:lang w:val="es-ES"/>
        </w:rPr>
        <w:t>la UIT</w:t>
      </w:r>
      <w:r w:rsidRPr="00F05461">
        <w:rPr>
          <w:lang w:val="es-ES"/>
        </w:rPr>
        <w:t xml:space="preserve"> ha prestado apoyo a los Estados Miembros y otras partes interesadas para impulsar la conectividad y la transformación digital sostenible, y armonizado los objetivos del</w:t>
      </w:r>
      <w:r w:rsidR="00324388" w:rsidRPr="00F05461">
        <w:rPr>
          <w:lang w:val="es-ES"/>
        </w:rPr>
        <w:t> </w:t>
      </w:r>
      <w:r w:rsidRPr="00F05461">
        <w:rPr>
          <w:lang w:val="es-ES"/>
        </w:rPr>
        <w:t>PD</w:t>
      </w:r>
      <w:r w:rsidR="00EF6A42" w:rsidRPr="00F05461">
        <w:rPr>
          <w:lang w:val="es-ES"/>
        </w:rPr>
        <w:t>G</w:t>
      </w:r>
      <w:r w:rsidRPr="00F05461">
        <w:rPr>
          <w:lang w:val="es-ES"/>
        </w:rPr>
        <w:t xml:space="preserve"> con iniciativas en curso o nuevas. En el marco del Comité Directivo de la Secretaría General de las Naciones Unidas para la aplicación de dicho Pacto, </w:t>
      </w:r>
      <w:r w:rsidR="00296F03" w:rsidRPr="00F05461">
        <w:rPr>
          <w:lang w:val="es-ES"/>
        </w:rPr>
        <w:t>la UIT</w:t>
      </w:r>
      <w:r w:rsidRPr="00F05461">
        <w:rPr>
          <w:lang w:val="es-ES"/>
        </w:rPr>
        <w:t xml:space="preserve"> codirige el Grupo de Trabajo de las Naciones Unidas sobre </w:t>
      </w:r>
      <w:r w:rsidR="00D77FBF" w:rsidRPr="00F05461">
        <w:rPr>
          <w:lang w:val="es-ES"/>
        </w:rPr>
        <w:t>t</w:t>
      </w:r>
      <w:r w:rsidRPr="00F05461">
        <w:rPr>
          <w:lang w:val="es-ES"/>
        </w:rPr>
        <w:t xml:space="preserve">ecnologías </w:t>
      </w:r>
      <w:r w:rsidR="00D77FBF" w:rsidRPr="00F05461">
        <w:rPr>
          <w:lang w:val="es-ES"/>
        </w:rPr>
        <w:t>d</w:t>
      </w:r>
      <w:r w:rsidRPr="00F05461">
        <w:rPr>
          <w:lang w:val="es-ES"/>
        </w:rPr>
        <w:t xml:space="preserve">igitales con la Oficina de Tecnologías Digitales e Incipientes (ODET), y coordina los compromisos en todo el sistema, previa elaboración del </w:t>
      </w:r>
      <w:hyperlink r:id="rId564" w:history="1">
        <w:r w:rsidR="00EF6A42" w:rsidRPr="00F05461">
          <w:rPr>
            <w:rStyle w:val="Hyperlink"/>
            <w:rFonts w:eastAsia="Times New Roman" w:cs="Times New Roman"/>
            <w:szCs w:val="20"/>
            <w:lang w:val="es-ES"/>
          </w:rPr>
          <w:t>Mapa de aplicación del PDG</w:t>
        </w:r>
      </w:hyperlink>
      <w:r w:rsidRPr="00F05461">
        <w:rPr>
          <w:lang w:val="es-ES"/>
        </w:rPr>
        <w:t>.</w:t>
      </w:r>
    </w:p>
    <w:p w14:paraId="0B51B6B7" w14:textId="0D5FD8C5" w:rsidR="007B4979" w:rsidRPr="00F05461" w:rsidRDefault="007B4979" w:rsidP="007B4979">
      <w:pPr>
        <w:rPr>
          <w:lang w:val="es-ES"/>
        </w:rPr>
      </w:pPr>
      <w:r w:rsidRPr="00F05461">
        <w:rPr>
          <w:lang w:val="es-ES"/>
        </w:rPr>
        <w:t>En consonancia con la aplicación del</w:t>
      </w:r>
      <w:r w:rsidR="00D77FBF" w:rsidRPr="00F05461">
        <w:rPr>
          <w:lang w:val="es-ES"/>
        </w:rPr>
        <w:t> </w:t>
      </w:r>
      <w:r w:rsidRPr="00F05461">
        <w:rPr>
          <w:lang w:val="es-ES"/>
        </w:rPr>
        <w:t>PD</w:t>
      </w:r>
      <w:r w:rsidR="00EF6A42" w:rsidRPr="00F05461">
        <w:rPr>
          <w:lang w:val="es-ES"/>
        </w:rPr>
        <w:t>G</w:t>
      </w:r>
      <w:r w:rsidRPr="00F05461">
        <w:rPr>
          <w:lang w:val="es-ES"/>
        </w:rPr>
        <w:t xml:space="preserve">, las iniciativas principales de </w:t>
      </w:r>
      <w:r w:rsidR="00296F03" w:rsidRPr="00F05461">
        <w:rPr>
          <w:lang w:val="es-ES"/>
        </w:rPr>
        <w:t>la UIT</w:t>
      </w:r>
      <w:r w:rsidRPr="00F05461">
        <w:rPr>
          <w:lang w:val="es-ES"/>
        </w:rPr>
        <w:t>, G</w:t>
      </w:r>
      <w:r w:rsidR="00D77FBF" w:rsidRPr="00F05461">
        <w:rPr>
          <w:lang w:val="es-ES"/>
        </w:rPr>
        <w:t>i</w:t>
      </w:r>
      <w:r w:rsidRPr="00F05461">
        <w:rPr>
          <w:lang w:val="es-ES"/>
        </w:rPr>
        <w:t xml:space="preserve">ga, Partner2Connect, </w:t>
      </w:r>
      <w:r w:rsidRPr="00F05461">
        <w:rPr>
          <w:i/>
          <w:iCs/>
          <w:lang w:val="es-ES"/>
        </w:rPr>
        <w:t>Facts and Figures</w:t>
      </w:r>
      <w:r w:rsidRPr="00F05461">
        <w:rPr>
          <w:lang w:val="es-ES"/>
        </w:rPr>
        <w:t xml:space="preserve">, EQUALS, Acción Digital Ecológica y AI for Good (entre otras), demuestran su liderazgo al reducir la brecha digital, promover las competencias digitales, acelerar las transiciones digitales y ecológicas e integrar enfoques orientados a las personas en el desarrollo tecnológico. </w:t>
      </w:r>
      <w:r w:rsidR="00296F03" w:rsidRPr="00F05461">
        <w:rPr>
          <w:lang w:val="es-ES"/>
        </w:rPr>
        <w:t>La UIT</w:t>
      </w:r>
      <w:r w:rsidRPr="00F05461">
        <w:rPr>
          <w:lang w:val="es-ES"/>
        </w:rPr>
        <w:t xml:space="preserve"> puso en marcha en</w:t>
      </w:r>
      <w:r w:rsidR="00B933C5" w:rsidRPr="00F05461">
        <w:rPr>
          <w:lang w:val="es-ES"/>
        </w:rPr>
        <w:t> 202</w:t>
      </w:r>
      <w:r w:rsidRPr="00F05461">
        <w:rPr>
          <w:lang w:val="es-ES"/>
        </w:rPr>
        <w:t>4 la Iniciativa de Inversión en Infraestructuras Digitales (IIID)</w:t>
      </w:r>
      <w:r w:rsidR="00560AD9" w:rsidRPr="00F05461">
        <w:rPr>
          <w:lang w:val="es-ES"/>
        </w:rPr>
        <w:t xml:space="preserve"> en colaboración con varios </w:t>
      </w:r>
      <w:r w:rsidR="002129F5" w:rsidRPr="00F05461">
        <w:rPr>
          <w:lang w:val="es-ES"/>
        </w:rPr>
        <w:t>BMD</w:t>
      </w:r>
      <w:r w:rsidRPr="00F05461">
        <w:rPr>
          <w:lang w:val="es-ES"/>
        </w:rPr>
        <w:t xml:space="preserve">, </w:t>
      </w:r>
      <w:r w:rsidR="00560AD9" w:rsidRPr="00F05461">
        <w:rPr>
          <w:lang w:val="es-ES"/>
        </w:rPr>
        <w:t>para</w:t>
      </w:r>
      <w:r w:rsidRPr="00F05461">
        <w:rPr>
          <w:lang w:val="es-ES"/>
        </w:rPr>
        <w:t xml:space="preserve"> aborda</w:t>
      </w:r>
      <w:r w:rsidR="00560AD9" w:rsidRPr="00F05461">
        <w:rPr>
          <w:lang w:val="es-ES"/>
        </w:rPr>
        <w:t>r</w:t>
      </w:r>
      <w:r w:rsidRPr="00F05461">
        <w:rPr>
          <w:lang w:val="es-ES"/>
        </w:rPr>
        <w:t xml:space="preserve"> el déficit de infraestructura de 1,6</w:t>
      </w:r>
      <w:r w:rsidR="00324388" w:rsidRPr="00F05461">
        <w:rPr>
          <w:lang w:val="es-ES"/>
        </w:rPr>
        <w:t> </w:t>
      </w:r>
      <w:r w:rsidRPr="00F05461">
        <w:rPr>
          <w:lang w:val="es-ES"/>
        </w:rPr>
        <w:t>billones</w:t>
      </w:r>
      <w:r w:rsidR="00004469" w:rsidRPr="00F05461">
        <w:rPr>
          <w:lang w:val="es-ES"/>
        </w:rPr>
        <w:t> </w:t>
      </w:r>
      <w:r w:rsidR="002129F5" w:rsidRPr="00F05461">
        <w:rPr>
          <w:lang w:val="es-ES"/>
        </w:rPr>
        <w:t>USD</w:t>
      </w:r>
      <w:r w:rsidRPr="00F05461">
        <w:rPr>
          <w:lang w:val="es-ES"/>
        </w:rPr>
        <w:t xml:space="preserve">. </w:t>
      </w:r>
      <w:r w:rsidR="00296F03" w:rsidRPr="00F05461">
        <w:rPr>
          <w:lang w:val="es-ES"/>
        </w:rPr>
        <w:t>La UIT</w:t>
      </w:r>
      <w:r w:rsidRPr="00F05461">
        <w:rPr>
          <w:lang w:val="es-ES"/>
        </w:rPr>
        <w:t xml:space="preserve"> también coordina la Iniciativa de Alto Impacto sobre Infraestructura Pública Digital (IPD), y coorganiza la cumbre mundial anual sobre IPD (El Cairo</w:t>
      </w:r>
      <w:r w:rsidR="00D77FBF" w:rsidRPr="00F05461">
        <w:rPr>
          <w:lang w:val="es-ES"/>
        </w:rPr>
        <w:t>,</w:t>
      </w:r>
      <w:r w:rsidRPr="00F05461">
        <w:rPr>
          <w:lang w:val="es-ES"/>
        </w:rPr>
        <w:t xml:space="preserve"> 2024; Ciudad del Cabo</w:t>
      </w:r>
      <w:r w:rsidR="00D77FBF" w:rsidRPr="00F05461">
        <w:rPr>
          <w:lang w:val="es-ES"/>
        </w:rPr>
        <w:t>,</w:t>
      </w:r>
      <w:r w:rsidRPr="00F05461">
        <w:rPr>
          <w:lang w:val="es-ES"/>
        </w:rPr>
        <w:t xml:space="preserve"> 2025) y la Conferencia Citizen Stack (India</w:t>
      </w:r>
      <w:r w:rsidR="00D77FBF" w:rsidRPr="00F05461">
        <w:rPr>
          <w:lang w:val="es-ES"/>
        </w:rPr>
        <w:t>,</w:t>
      </w:r>
      <w:r w:rsidRPr="00F05461">
        <w:rPr>
          <w:lang w:val="es-ES"/>
        </w:rPr>
        <w:t xml:space="preserve"> 2025) para fortalecer las salvaguardias y la interoperabilidad a escala mundial.</w:t>
      </w:r>
    </w:p>
    <w:p w14:paraId="58DB32B7" w14:textId="3E7BE085" w:rsidR="007B4979" w:rsidRPr="00F05461" w:rsidRDefault="007B4979" w:rsidP="007B4979">
      <w:pPr>
        <w:rPr>
          <w:lang w:val="es-ES"/>
        </w:rPr>
      </w:pPr>
      <w:r w:rsidRPr="00F05461">
        <w:rPr>
          <w:lang w:val="es-ES"/>
        </w:rPr>
        <w:t xml:space="preserve">Más allá del Pacto Digital </w:t>
      </w:r>
      <w:r w:rsidR="00EF6A42" w:rsidRPr="00F05461">
        <w:rPr>
          <w:lang w:val="es-ES"/>
        </w:rPr>
        <w:t>Glob</w:t>
      </w:r>
      <w:r w:rsidRPr="00F05461">
        <w:rPr>
          <w:lang w:val="es-ES"/>
        </w:rPr>
        <w:t xml:space="preserve">al, </w:t>
      </w:r>
      <w:r w:rsidR="00296F03" w:rsidRPr="00F05461">
        <w:rPr>
          <w:lang w:val="es-ES"/>
        </w:rPr>
        <w:t>la UIT</w:t>
      </w:r>
      <w:r w:rsidRPr="00F05461">
        <w:rPr>
          <w:lang w:val="es-ES"/>
        </w:rPr>
        <w:t xml:space="preserve"> contribuye a la aplicación del </w:t>
      </w:r>
      <w:r w:rsidRPr="00F05461">
        <w:rPr>
          <w:i/>
          <w:iCs/>
          <w:lang w:val="es-ES"/>
        </w:rPr>
        <w:t xml:space="preserve">Pacto para el Futuro </w:t>
      </w:r>
      <w:r w:rsidRPr="00F05461">
        <w:rPr>
          <w:lang w:val="es-ES"/>
        </w:rPr>
        <w:t xml:space="preserve">a través de los Grupos de trabajo del Comité Directivo de la Secretaría General de las Naciones Unidas sobre los Objetivos de Desarrollo Sostenible, la Paz y la Seguridad, la Reforma de la Arquitectura Financiera Internacional, la Reforma de la Gobernanza de las Naciones Unidas y la Juventud. </w:t>
      </w:r>
      <w:r w:rsidR="00296F03" w:rsidRPr="00F05461">
        <w:rPr>
          <w:lang w:val="es-ES"/>
        </w:rPr>
        <w:t>La UIT</w:t>
      </w:r>
      <w:r w:rsidRPr="00F05461">
        <w:rPr>
          <w:lang w:val="es-ES"/>
        </w:rPr>
        <w:t xml:space="preserve"> codirige la Acción 27(c) del Pacto sobre reducción de la brecha digital en el marco de las actividades sobre paz y seguridad, y apoya la Acción 24(b) sobre la lucha contra la delincuencia organizada transnacional mediante la promoción del uso de redes digitales seguras y resilientes. En relación con la reforma de la gobernanza de las Naciones Unidas, </w:t>
      </w:r>
      <w:r w:rsidR="00296F03" w:rsidRPr="00F05461">
        <w:rPr>
          <w:lang w:val="es-ES"/>
        </w:rPr>
        <w:t>la UIT</w:t>
      </w:r>
      <w:r w:rsidRPr="00F05461">
        <w:rPr>
          <w:lang w:val="es-ES"/>
        </w:rPr>
        <w:t xml:space="preserve"> impulsa la cooperación espacial con la Oficina de Asuntos del Espacio Ultraterrestre de las Naciones Unidas (UNOOSA) y la Comisión de las Naciones Unidas sobre la Utilización del Espacio Ultraterrestre con Fines Pacíficos (COPUOS) mediante el desarrollo de capacidades en materia de derecho espacial.</w:t>
      </w:r>
    </w:p>
    <w:p w14:paraId="6C358512" w14:textId="77777777" w:rsidR="007B4979" w:rsidRPr="00F05461" w:rsidRDefault="007B4979" w:rsidP="00AC3213">
      <w:pPr>
        <w:pStyle w:val="Headingb"/>
      </w:pPr>
      <w:r w:rsidRPr="00F05461">
        <w:lastRenderedPageBreak/>
        <w:t>Cooperación en el plano digital en todo el sistema de las Naciones Unidas</w:t>
      </w:r>
    </w:p>
    <w:p w14:paraId="5C3F07A3" w14:textId="4B3BA226" w:rsidR="007B4979" w:rsidRPr="00F05461" w:rsidRDefault="00296F03" w:rsidP="007B4979">
      <w:pPr>
        <w:rPr>
          <w:lang w:val="es-ES"/>
        </w:rPr>
      </w:pPr>
      <w:r w:rsidRPr="00F05461">
        <w:rPr>
          <w:lang w:val="es-ES"/>
        </w:rPr>
        <w:t>La UIT</w:t>
      </w:r>
      <w:r w:rsidR="007B4979" w:rsidRPr="00F05461">
        <w:rPr>
          <w:lang w:val="es-ES"/>
        </w:rPr>
        <w:t xml:space="preserve"> mantiene una amplia presencia en todo el sistema de las Naciones Unidas, y fomenta la coherencia en la estrategia digital y su aplicación. En el marco de la Junta de Jefes Ejecutivos y sus Comités de Alto Nivel sobre Programas (HLCP) y Gestión (HLCM), así como del Grupo de las Naciones Unidas para el Desarrollo Sostenible, </w:t>
      </w:r>
      <w:r w:rsidRPr="00F05461">
        <w:rPr>
          <w:lang w:val="es-ES"/>
        </w:rPr>
        <w:t>la UIT</w:t>
      </w:r>
      <w:r w:rsidR="007B4979" w:rsidRPr="00F05461">
        <w:rPr>
          <w:lang w:val="es-ES"/>
        </w:rPr>
        <w:t xml:space="preserve"> ejerce un liderazgo en el fomento de la conectividad universal y la orientación de la transformación digital, incluido el desarrollo de la</w:t>
      </w:r>
      <w:r w:rsidR="00FF1AB6">
        <w:rPr>
          <w:lang w:val="es-ES"/>
        </w:rPr>
        <w:t> IA</w:t>
      </w:r>
      <w:r w:rsidR="007B4979" w:rsidRPr="00F05461">
        <w:rPr>
          <w:lang w:val="es-ES"/>
        </w:rPr>
        <w:t>.</w:t>
      </w:r>
    </w:p>
    <w:p w14:paraId="7914DB0B" w14:textId="6CD52F9E" w:rsidR="007B4979" w:rsidRPr="00F05461" w:rsidRDefault="007B4979" w:rsidP="007B4979">
      <w:pPr>
        <w:rPr>
          <w:lang w:val="es-ES"/>
        </w:rPr>
      </w:pPr>
      <w:r w:rsidRPr="00F05461">
        <w:rPr>
          <w:lang w:val="es-ES"/>
        </w:rPr>
        <w:t xml:space="preserve">A través de su colaboración activa con los Estados Miembros y otras partes interesadas en las principales conferencias y foros de las Naciones Unidas, </w:t>
      </w:r>
      <w:r w:rsidR="00296F03" w:rsidRPr="00F05461">
        <w:rPr>
          <w:lang w:val="es-ES"/>
        </w:rPr>
        <w:t>la UIT</w:t>
      </w:r>
      <w:r w:rsidRPr="00F05461">
        <w:rPr>
          <w:lang w:val="es-ES"/>
        </w:rPr>
        <w:t xml:space="preserve"> promueve estratégicamente el papel fundamental de las tecnologías digitales para el desarrollo sostenible. Entre estas plataformas cabe destacar el Consejo Económico y Social (ECOSOC) y sus comisiones funcionales, incluidas la Comisión de Desarrollo Social (CSocD) y la Comisión de la Condición Jurídica y Social de la Mujer (CSW), el Foro de múltiples partes interesadas sobre ciencia, tecnología e innovación (Foro CTI), el</w:t>
      </w:r>
      <w:r w:rsidR="001D446C" w:rsidRPr="00F05461">
        <w:rPr>
          <w:lang w:val="es-ES"/>
        </w:rPr>
        <w:t> </w:t>
      </w:r>
      <w:r w:rsidRPr="00F05461">
        <w:rPr>
          <w:lang w:val="es-ES"/>
        </w:rPr>
        <w:t>FPAN, los per</w:t>
      </w:r>
      <w:r w:rsidR="007B6111" w:rsidRPr="00F05461">
        <w:rPr>
          <w:lang w:val="es-ES"/>
        </w:rPr>
        <w:t>i</w:t>
      </w:r>
      <w:r w:rsidRPr="00F05461">
        <w:rPr>
          <w:lang w:val="es-ES"/>
        </w:rPr>
        <w:t>odos de sesiones de la Asamblea General de las Naciones Unidas (con Digital@UNGA) y otras conferencias de las Naciones Unidas, en particular las Conferencias de las Partes (COP) y las Conferencias sobre los</w:t>
      </w:r>
      <w:r w:rsidR="001D446C" w:rsidRPr="00F05461">
        <w:rPr>
          <w:lang w:val="es-ES"/>
        </w:rPr>
        <w:t> PEID</w:t>
      </w:r>
      <w:r w:rsidRPr="00F05461">
        <w:rPr>
          <w:lang w:val="es-ES"/>
        </w:rPr>
        <w:t>, los</w:t>
      </w:r>
      <w:r w:rsidR="001D446C" w:rsidRPr="00F05461">
        <w:rPr>
          <w:lang w:val="es-ES"/>
        </w:rPr>
        <w:t> </w:t>
      </w:r>
      <w:r w:rsidRPr="00F05461">
        <w:rPr>
          <w:lang w:val="es-ES"/>
        </w:rPr>
        <w:t>PMA y los</w:t>
      </w:r>
      <w:r w:rsidR="001D446C" w:rsidRPr="00F05461">
        <w:rPr>
          <w:lang w:val="es-ES"/>
        </w:rPr>
        <w:t> </w:t>
      </w:r>
      <w:r w:rsidRPr="00F05461">
        <w:rPr>
          <w:lang w:val="es-ES"/>
        </w:rPr>
        <w:t xml:space="preserve">PDSL en Nueva York, entre otros lugares. En particular, en la Segunda Cumbre Mundial sobre Desarrollo Social (WSSD2), celebrada en Doha en noviembre </w:t>
      </w:r>
      <w:r w:rsidR="00B933C5" w:rsidRPr="00F05461">
        <w:rPr>
          <w:lang w:val="es-ES"/>
        </w:rPr>
        <w:t>de 202</w:t>
      </w:r>
      <w:r w:rsidRPr="00F05461">
        <w:rPr>
          <w:lang w:val="es-ES"/>
        </w:rPr>
        <w:t xml:space="preserve">5, </w:t>
      </w:r>
      <w:r w:rsidR="00296F03" w:rsidRPr="00F05461">
        <w:rPr>
          <w:lang w:val="es-ES"/>
        </w:rPr>
        <w:t>la UIT</w:t>
      </w:r>
      <w:r w:rsidRPr="00F05461">
        <w:rPr>
          <w:lang w:val="es-ES"/>
        </w:rPr>
        <w:t xml:space="preserve"> contribuyó a la </w:t>
      </w:r>
      <w:hyperlink r:id="rId565" w:history="1">
        <w:r w:rsidRPr="00F05461">
          <w:rPr>
            <w:rStyle w:val="Hyperlink"/>
            <w:rFonts w:eastAsia="Times New Roman" w:cs="Times New Roman"/>
            <w:i/>
            <w:iCs/>
            <w:szCs w:val="20"/>
            <w:lang w:val="es-ES"/>
          </w:rPr>
          <w:t>Declaración Política de Doha</w:t>
        </w:r>
      </w:hyperlink>
      <w:r w:rsidRPr="00F05461">
        <w:rPr>
          <w:lang w:val="es-ES"/>
        </w:rPr>
        <w:t xml:space="preserve"> (A/RES/80/5), e hizo hincapié en las herramientas digitales y la</w:t>
      </w:r>
      <w:r w:rsidR="001D446C" w:rsidRPr="00F05461">
        <w:rPr>
          <w:lang w:val="es-ES"/>
        </w:rPr>
        <w:t> </w:t>
      </w:r>
      <w:r w:rsidRPr="00F05461">
        <w:rPr>
          <w:lang w:val="es-ES"/>
        </w:rPr>
        <w:t>IA para la erradicación de la pobreza, el trabajo decente, la protección social y el acceso equitativo.</w:t>
      </w:r>
    </w:p>
    <w:p w14:paraId="3024253D" w14:textId="59013D85" w:rsidR="007B4979" w:rsidRPr="00F05461" w:rsidRDefault="007B4979" w:rsidP="007B4979">
      <w:pPr>
        <w:rPr>
          <w:lang w:val="es-ES"/>
        </w:rPr>
      </w:pPr>
      <w:r w:rsidRPr="00F05461">
        <w:rPr>
          <w:lang w:val="es-ES"/>
        </w:rPr>
        <w:t xml:space="preserve">Una encuesta de las Naciones Unidas </w:t>
      </w:r>
      <w:r w:rsidR="00B933C5" w:rsidRPr="00F05461">
        <w:rPr>
          <w:lang w:val="es-ES"/>
        </w:rPr>
        <w:t>de 202</w:t>
      </w:r>
      <w:r w:rsidRPr="00F05461">
        <w:rPr>
          <w:lang w:val="es-ES"/>
        </w:rPr>
        <w:t>2 señaló más de 500</w:t>
      </w:r>
      <w:r w:rsidR="001D446C" w:rsidRPr="00F05461">
        <w:rPr>
          <w:lang w:val="es-ES"/>
        </w:rPr>
        <w:t> </w:t>
      </w:r>
      <w:r w:rsidRPr="00F05461">
        <w:rPr>
          <w:lang w:val="es-ES"/>
        </w:rPr>
        <w:t xml:space="preserve">iniciativas digitales en todo el sistema de las Naciones Unidas, y es probable que esa cifra siga aumentando, a medida que los temas digitales ocupan un lugar cada vez más destacado en las principales conferencias, informes, resoluciones y documentos definitivos. </w:t>
      </w:r>
      <w:r w:rsidR="00296F03" w:rsidRPr="00F05461">
        <w:rPr>
          <w:lang w:val="es-ES"/>
        </w:rPr>
        <w:t>La UIT</w:t>
      </w:r>
      <w:r w:rsidRPr="00F05461">
        <w:rPr>
          <w:lang w:val="es-ES"/>
        </w:rPr>
        <w:t xml:space="preserve"> colabora con otros organismos de las Naciones Unidas y otras organizaciones en las esferas de los ecosistemas digitales, los datos, la</w:t>
      </w:r>
      <w:r w:rsidR="001D446C" w:rsidRPr="00F05461">
        <w:rPr>
          <w:lang w:val="es-ES"/>
        </w:rPr>
        <w:t> </w:t>
      </w:r>
      <w:r w:rsidRPr="00F05461">
        <w:rPr>
          <w:lang w:val="es-ES"/>
        </w:rPr>
        <w:t xml:space="preserve">IA y la infraestructura pública, al tiempo que fortalece la resiliencia de todo el sistema mediante asociaciones de normalización con la CEI/ISO y la coordinación con los organismos de aviación civil y marítimos de las Naciones Unidas (OACI y OMI). </w:t>
      </w:r>
      <w:r w:rsidR="00296F03" w:rsidRPr="00F05461">
        <w:rPr>
          <w:lang w:val="es-ES"/>
        </w:rPr>
        <w:t>La UIT</w:t>
      </w:r>
      <w:r w:rsidRPr="00F05461">
        <w:rPr>
          <w:lang w:val="es-ES"/>
        </w:rPr>
        <w:t xml:space="preserve"> también fomenta las iniciativas digitales del Fondo Conjunto de las Naciones Unidas para los</w:t>
      </w:r>
      <w:r w:rsidR="00E93D15" w:rsidRPr="00F05461">
        <w:rPr>
          <w:lang w:val="es-ES"/>
        </w:rPr>
        <w:t> </w:t>
      </w:r>
      <w:r w:rsidRPr="00F05461">
        <w:rPr>
          <w:lang w:val="es-ES"/>
        </w:rPr>
        <w:t xml:space="preserve">ODS; actúa como organismo rector del </w:t>
      </w:r>
      <w:r w:rsidR="00560AD9" w:rsidRPr="00F05461">
        <w:rPr>
          <w:lang w:val="es-ES"/>
        </w:rPr>
        <w:t>C</w:t>
      </w:r>
      <w:r w:rsidRPr="00F05461">
        <w:rPr>
          <w:lang w:val="es-ES"/>
        </w:rPr>
        <w:t>entro de recursos de la</w:t>
      </w:r>
      <w:r w:rsidR="00560AD9" w:rsidRPr="00F05461">
        <w:rPr>
          <w:lang w:val="es-ES"/>
        </w:rPr>
        <w:t> </w:t>
      </w:r>
      <w:r w:rsidRPr="00F05461">
        <w:rPr>
          <w:lang w:val="es-ES"/>
        </w:rPr>
        <w:t xml:space="preserve">ONU sobre IA, </w:t>
      </w:r>
      <w:r w:rsidR="00560AD9" w:rsidRPr="00F05461">
        <w:rPr>
          <w:lang w:val="es-ES"/>
        </w:rPr>
        <w:t>d</w:t>
      </w:r>
      <w:r w:rsidRPr="00F05461">
        <w:rPr>
          <w:lang w:val="es-ES"/>
        </w:rPr>
        <w:t xml:space="preserve">el </w:t>
      </w:r>
      <w:r w:rsidR="00560AD9" w:rsidRPr="00F05461">
        <w:rPr>
          <w:lang w:val="es-ES"/>
        </w:rPr>
        <w:t>G</w:t>
      </w:r>
      <w:r w:rsidRPr="00F05461">
        <w:rPr>
          <w:lang w:val="es-ES"/>
        </w:rPr>
        <w:t xml:space="preserve">rupo de </w:t>
      </w:r>
      <w:r w:rsidR="002129F5" w:rsidRPr="00F05461">
        <w:rPr>
          <w:lang w:val="es-ES"/>
        </w:rPr>
        <w:t xml:space="preserve">Trabajo Interinstitucional </w:t>
      </w:r>
      <w:r w:rsidRPr="00F05461">
        <w:rPr>
          <w:lang w:val="es-ES"/>
        </w:rPr>
        <w:t xml:space="preserve">sobre IA, </w:t>
      </w:r>
      <w:r w:rsidR="00560AD9" w:rsidRPr="00F05461">
        <w:rPr>
          <w:lang w:val="es-ES"/>
        </w:rPr>
        <w:t>d</w:t>
      </w:r>
      <w:r w:rsidRPr="00F05461">
        <w:rPr>
          <w:lang w:val="es-ES"/>
        </w:rPr>
        <w:t xml:space="preserve">el Grupo de las Naciones Unidas sobre la Sociedad de la Información (UNGIS) y </w:t>
      </w:r>
      <w:r w:rsidR="00560AD9" w:rsidRPr="00F05461">
        <w:rPr>
          <w:lang w:val="es-ES"/>
        </w:rPr>
        <w:t>d</w:t>
      </w:r>
      <w:r w:rsidRPr="00F05461">
        <w:rPr>
          <w:lang w:val="es-ES"/>
        </w:rPr>
        <w:t>el examen de la CMSI+20</w:t>
      </w:r>
      <w:r w:rsidR="00560AD9" w:rsidRPr="00F05461">
        <w:rPr>
          <w:lang w:val="es-ES"/>
        </w:rPr>
        <w:t>,</w:t>
      </w:r>
      <w:r w:rsidRPr="00F05461">
        <w:rPr>
          <w:lang w:val="es-ES"/>
        </w:rPr>
        <w:t xml:space="preserve"> y fomenta la concienciación al respecto a través del Día Internacional de las Niñas en las</w:t>
      </w:r>
      <w:r w:rsidR="00EB694D" w:rsidRPr="00F05461">
        <w:rPr>
          <w:lang w:val="es-ES"/>
        </w:rPr>
        <w:t> </w:t>
      </w:r>
      <w:r w:rsidRPr="00F05461">
        <w:rPr>
          <w:lang w:val="es-ES"/>
        </w:rPr>
        <w:t xml:space="preserve">TIC, el Día Internacional de las Mujeres y las Niñas en la Ciencia y el Día Internacional de la Educación, y otros diálogos entre varias partes interesadas y </w:t>
      </w:r>
      <w:r w:rsidR="00560AD9" w:rsidRPr="00F05461">
        <w:rPr>
          <w:lang w:val="es-ES"/>
        </w:rPr>
        <w:t>reuniones</w:t>
      </w:r>
      <w:r w:rsidRPr="00F05461">
        <w:rPr>
          <w:lang w:val="es-ES"/>
        </w:rPr>
        <w:t xml:space="preserve"> informativas regionales.</w:t>
      </w:r>
    </w:p>
    <w:p w14:paraId="75B572E4" w14:textId="729F4FA1" w:rsidR="007B4979" w:rsidRPr="00F05461" w:rsidRDefault="007B4979" w:rsidP="00AC3213">
      <w:pPr>
        <w:pStyle w:val="Headingb"/>
      </w:pPr>
      <w:r w:rsidRPr="00F05461">
        <w:t xml:space="preserve">El liderazgo de </w:t>
      </w:r>
      <w:r w:rsidR="00296F03" w:rsidRPr="00F05461">
        <w:t>la UIT</w:t>
      </w:r>
      <w:r w:rsidRPr="00F05461">
        <w:t xml:space="preserve"> en el marco de las </w:t>
      </w:r>
      <w:r w:rsidR="00215A06" w:rsidRPr="00F05461">
        <w:t>i</w:t>
      </w:r>
      <w:r w:rsidRPr="00F05461">
        <w:t xml:space="preserve">niciativas </w:t>
      </w:r>
      <w:r w:rsidR="004F4B78" w:rsidRPr="00F05461">
        <w:t>U</w:t>
      </w:r>
      <w:r w:rsidRPr="00F05461">
        <w:t>N80</w:t>
      </w:r>
    </w:p>
    <w:p w14:paraId="4D059DF2" w14:textId="1F6AC33D" w:rsidR="007B4979" w:rsidRPr="00F05461" w:rsidRDefault="007B4979" w:rsidP="007B4979">
      <w:pPr>
        <w:rPr>
          <w:lang w:val="es-ES"/>
        </w:rPr>
      </w:pPr>
      <w:r w:rsidRPr="00F05461">
        <w:rPr>
          <w:lang w:val="es-ES"/>
        </w:rPr>
        <w:t xml:space="preserve">En el marco de las </w:t>
      </w:r>
      <w:r w:rsidR="00215A06" w:rsidRPr="00F05461">
        <w:rPr>
          <w:lang w:val="es-ES"/>
        </w:rPr>
        <w:t>i</w:t>
      </w:r>
      <w:r w:rsidRPr="00F05461">
        <w:rPr>
          <w:lang w:val="es-ES"/>
        </w:rPr>
        <w:t>niciativas</w:t>
      </w:r>
      <w:r w:rsidR="004F4B78" w:rsidRPr="00F05461">
        <w:rPr>
          <w:lang w:val="es-ES"/>
        </w:rPr>
        <w:t> U</w:t>
      </w:r>
      <w:r w:rsidRPr="00F05461">
        <w:rPr>
          <w:lang w:val="es-ES"/>
        </w:rPr>
        <w:t xml:space="preserve">N80, la Secretaría General de </w:t>
      </w:r>
      <w:r w:rsidR="00296F03" w:rsidRPr="00F05461">
        <w:rPr>
          <w:lang w:val="es-ES"/>
        </w:rPr>
        <w:t>la UIT</w:t>
      </w:r>
      <w:r w:rsidRPr="00F05461">
        <w:rPr>
          <w:lang w:val="es-ES"/>
        </w:rPr>
        <w:t xml:space="preserve"> codirigió el Grupo de Organismos Especializados con la Organización Internacional del Trabajo (OIT), y armonizó las actividades de transformación digital con los principios de la reforma de las Naciones Unidas. A raíz del informe de la Secretaría General de las Naciones Unidas de septiembre </w:t>
      </w:r>
      <w:r w:rsidR="00B933C5" w:rsidRPr="00F05461">
        <w:rPr>
          <w:lang w:val="es-ES"/>
        </w:rPr>
        <w:t>de 202</w:t>
      </w:r>
      <w:r w:rsidRPr="00F05461">
        <w:rPr>
          <w:lang w:val="es-ES"/>
        </w:rPr>
        <w:t xml:space="preserve">5, </w:t>
      </w:r>
      <w:hyperlink r:id="rId566" w:history="1">
        <w:hyperlink r:id="rId567" w:history="1">
          <w:r w:rsidRPr="00F05461">
            <w:rPr>
              <w:rStyle w:val="Hyperlink"/>
              <w:rFonts w:eastAsia="Times New Roman" w:cs="Times New Roman"/>
              <w:i/>
              <w:iCs/>
              <w:szCs w:val="20"/>
              <w:lang w:val="es-ES"/>
            </w:rPr>
            <w:t>Shifting Paradigms: United to Deliver</w:t>
          </w:r>
        </w:hyperlink>
      </w:hyperlink>
      <w:r w:rsidRPr="00F05461">
        <w:rPr>
          <w:lang w:val="es-ES"/>
        </w:rPr>
        <w:t xml:space="preserve">, y del ulterior </w:t>
      </w:r>
      <w:hyperlink r:id="rId568" w:history="1">
        <w:r w:rsidRPr="00F05461">
          <w:rPr>
            <w:rStyle w:val="Hyperlink"/>
            <w:rFonts w:eastAsia="Times New Roman" w:cs="Times New Roman"/>
            <w:i/>
            <w:iCs/>
            <w:szCs w:val="20"/>
            <w:lang w:val="es-ES"/>
          </w:rPr>
          <w:t>Plan de Acción UN80</w:t>
        </w:r>
      </w:hyperlink>
      <w:r w:rsidRPr="00F05461">
        <w:rPr>
          <w:lang w:val="es-ES"/>
        </w:rPr>
        <w:t xml:space="preserve">, la iniciativa ha entrado en fase de plena aplicación en 2026. </w:t>
      </w:r>
      <w:r w:rsidR="00296F03" w:rsidRPr="00F05461">
        <w:rPr>
          <w:lang w:val="es-ES"/>
        </w:rPr>
        <w:t>La UIT</w:t>
      </w:r>
      <w:r w:rsidRPr="00F05461">
        <w:rPr>
          <w:lang w:val="es-ES"/>
        </w:rPr>
        <w:t xml:space="preserve"> lidera el Bloque de trabajo </w:t>
      </w:r>
      <w:r w:rsidR="00534D89" w:rsidRPr="00F05461">
        <w:rPr>
          <w:lang w:val="es-ES"/>
        </w:rPr>
        <w:t>N.º </w:t>
      </w:r>
      <w:r w:rsidRPr="00F05461">
        <w:rPr>
          <w:lang w:val="es-ES"/>
        </w:rPr>
        <w:t>8 (Conocimientos especializados, previa demanda) con el</w:t>
      </w:r>
      <w:r w:rsidR="00324388" w:rsidRPr="00F05461">
        <w:rPr>
          <w:lang w:val="es-ES"/>
        </w:rPr>
        <w:t> </w:t>
      </w:r>
      <w:r w:rsidRPr="00F05461">
        <w:rPr>
          <w:lang w:val="es-ES"/>
        </w:rPr>
        <w:t xml:space="preserve">PNUD, y facilita la adquisición de conocimientos especializados a equipos de las Naciones Unidas, y codirige el Bloque </w:t>
      </w:r>
      <w:r w:rsidR="00534D89" w:rsidRPr="00F05461">
        <w:rPr>
          <w:lang w:val="es-ES"/>
        </w:rPr>
        <w:lastRenderedPageBreak/>
        <w:t>N.º </w:t>
      </w:r>
      <w:r w:rsidRPr="00F05461">
        <w:rPr>
          <w:lang w:val="es-ES"/>
        </w:rPr>
        <w:t xml:space="preserve">15 (Tecnología) con la Secretaría General Adjunta para </w:t>
      </w:r>
      <w:r w:rsidR="00341F58" w:rsidRPr="00F05461">
        <w:rPr>
          <w:lang w:val="es-ES"/>
        </w:rPr>
        <w:t>p</w:t>
      </w:r>
      <w:r w:rsidRPr="00F05461">
        <w:rPr>
          <w:lang w:val="es-ES"/>
        </w:rPr>
        <w:t xml:space="preserve">olíticas y el Presidente de la Red de las Naciones Unidas para asuntos </w:t>
      </w:r>
      <w:r w:rsidR="00341F58" w:rsidRPr="00F05461">
        <w:rPr>
          <w:lang w:val="es-ES"/>
        </w:rPr>
        <w:t>t</w:t>
      </w:r>
      <w:r w:rsidRPr="00F05461">
        <w:rPr>
          <w:lang w:val="es-ES"/>
        </w:rPr>
        <w:t xml:space="preserve">ecnológicos y </w:t>
      </w:r>
      <w:r w:rsidR="00341F58" w:rsidRPr="00F05461">
        <w:rPr>
          <w:lang w:val="es-ES"/>
        </w:rPr>
        <w:t>d</w:t>
      </w:r>
      <w:r w:rsidRPr="00F05461">
        <w:rPr>
          <w:lang w:val="es-ES"/>
        </w:rPr>
        <w:t xml:space="preserve">igitales, con el fin de fortalecer la infraestructura digital y poner en marcha la Plataforma Aceleradora de Tecnología (TAP). </w:t>
      </w:r>
      <w:r w:rsidR="00296F03" w:rsidRPr="00F05461">
        <w:rPr>
          <w:lang w:val="es-ES"/>
        </w:rPr>
        <w:t>La UIT</w:t>
      </w:r>
      <w:r w:rsidRPr="00F05461">
        <w:rPr>
          <w:lang w:val="es-ES"/>
        </w:rPr>
        <w:t xml:space="preserve"> también contribuye a otros Bloques de trabajo, en particular el </w:t>
      </w:r>
      <w:r w:rsidR="00534D89" w:rsidRPr="00F05461">
        <w:rPr>
          <w:lang w:val="es-ES"/>
        </w:rPr>
        <w:t>N.º </w:t>
      </w:r>
      <w:r w:rsidRPr="00F05461">
        <w:rPr>
          <w:lang w:val="es-ES"/>
        </w:rPr>
        <w:t xml:space="preserve">5 (Reconfiguración de los equipos de las Naciones Unidas a escala nacional), el </w:t>
      </w:r>
      <w:r w:rsidR="00534D89" w:rsidRPr="00F05461">
        <w:rPr>
          <w:lang w:val="es-ES"/>
        </w:rPr>
        <w:t>N</w:t>
      </w:r>
      <w:r w:rsidRPr="00F05461">
        <w:rPr>
          <w:lang w:val="es-ES"/>
        </w:rPr>
        <w:t>.º</w:t>
      </w:r>
      <w:r w:rsidR="00534D89" w:rsidRPr="00F05461">
        <w:rPr>
          <w:lang w:val="es-ES"/>
        </w:rPr>
        <w:t> </w:t>
      </w:r>
      <w:r w:rsidRPr="00F05461">
        <w:rPr>
          <w:lang w:val="es-ES"/>
        </w:rPr>
        <w:t xml:space="preserve">6 (Reajustes a escala regional), el </w:t>
      </w:r>
      <w:r w:rsidR="00534D89" w:rsidRPr="00F05461">
        <w:rPr>
          <w:lang w:val="es-ES"/>
        </w:rPr>
        <w:t>N</w:t>
      </w:r>
      <w:r w:rsidRPr="00F05461">
        <w:rPr>
          <w:lang w:val="es-ES"/>
        </w:rPr>
        <w:t>.º</w:t>
      </w:r>
      <w:r w:rsidR="00534D89" w:rsidRPr="00F05461">
        <w:rPr>
          <w:lang w:val="es-ES"/>
        </w:rPr>
        <w:t> </w:t>
      </w:r>
      <w:r w:rsidRPr="00F05461">
        <w:rPr>
          <w:lang w:val="es-ES"/>
        </w:rPr>
        <w:t xml:space="preserve">7 (Centros de conocimiento conjuntos), el </w:t>
      </w:r>
      <w:r w:rsidR="00534D89" w:rsidRPr="00F05461">
        <w:rPr>
          <w:lang w:val="es-ES"/>
        </w:rPr>
        <w:t>N</w:t>
      </w:r>
      <w:r w:rsidRPr="00F05461">
        <w:rPr>
          <w:lang w:val="es-ES"/>
        </w:rPr>
        <w:t>.º</w:t>
      </w:r>
      <w:r w:rsidR="00534D89" w:rsidRPr="00F05461">
        <w:rPr>
          <w:lang w:val="es-ES"/>
        </w:rPr>
        <w:t> </w:t>
      </w:r>
      <w:r w:rsidRPr="00F05461">
        <w:rPr>
          <w:lang w:val="es-ES"/>
        </w:rPr>
        <w:t xml:space="preserve">12 (Plataformas </w:t>
      </w:r>
      <w:r w:rsidR="00341F58" w:rsidRPr="00F05461">
        <w:rPr>
          <w:lang w:val="es-ES"/>
        </w:rPr>
        <w:t>r</w:t>
      </w:r>
      <w:r w:rsidRPr="00F05461">
        <w:rPr>
          <w:lang w:val="es-ES"/>
        </w:rPr>
        <w:t xml:space="preserve">egionales </w:t>
      </w:r>
      <w:r w:rsidR="00341F58" w:rsidRPr="00F05461">
        <w:rPr>
          <w:lang w:val="es-ES"/>
        </w:rPr>
        <w:t>i</w:t>
      </w:r>
      <w:r w:rsidRPr="00F05461">
        <w:rPr>
          <w:lang w:val="es-ES"/>
        </w:rPr>
        <w:t xml:space="preserve">ntegradas), el </w:t>
      </w:r>
      <w:r w:rsidR="00534D89" w:rsidRPr="00F05461">
        <w:rPr>
          <w:lang w:val="es-ES"/>
        </w:rPr>
        <w:t>N</w:t>
      </w:r>
      <w:r w:rsidRPr="00F05461">
        <w:rPr>
          <w:lang w:val="es-ES"/>
        </w:rPr>
        <w:t>.º</w:t>
      </w:r>
      <w:r w:rsidR="00534D89" w:rsidRPr="00F05461">
        <w:rPr>
          <w:lang w:val="es-ES"/>
        </w:rPr>
        <w:t> </w:t>
      </w:r>
      <w:r w:rsidRPr="00F05461">
        <w:rPr>
          <w:lang w:val="es-ES"/>
        </w:rPr>
        <w:t xml:space="preserve">14 (Hoja de </w:t>
      </w:r>
      <w:r w:rsidR="00341F58" w:rsidRPr="00F05461">
        <w:rPr>
          <w:lang w:val="es-ES"/>
        </w:rPr>
        <w:t>r</w:t>
      </w:r>
      <w:r w:rsidRPr="00F05461">
        <w:rPr>
          <w:lang w:val="es-ES"/>
        </w:rPr>
        <w:t xml:space="preserve">uta de </w:t>
      </w:r>
      <w:r w:rsidR="00341F58" w:rsidRPr="00F05461">
        <w:rPr>
          <w:lang w:val="es-ES"/>
        </w:rPr>
        <w:t>s</w:t>
      </w:r>
      <w:r w:rsidRPr="00F05461">
        <w:rPr>
          <w:lang w:val="es-ES"/>
        </w:rPr>
        <w:t xml:space="preserve">ervicios </w:t>
      </w:r>
      <w:r w:rsidR="00341F58" w:rsidRPr="00F05461">
        <w:rPr>
          <w:lang w:val="es-ES"/>
        </w:rPr>
        <w:t>u</w:t>
      </w:r>
      <w:r w:rsidRPr="00F05461">
        <w:rPr>
          <w:lang w:val="es-ES"/>
        </w:rPr>
        <w:t xml:space="preserve">nificados), el </w:t>
      </w:r>
      <w:r w:rsidR="00534D89" w:rsidRPr="00F05461">
        <w:rPr>
          <w:lang w:val="es-ES"/>
        </w:rPr>
        <w:t>N</w:t>
      </w:r>
      <w:r w:rsidRPr="00F05461">
        <w:rPr>
          <w:lang w:val="es-ES"/>
        </w:rPr>
        <w:t>.º</w:t>
      </w:r>
      <w:r w:rsidR="00534D89" w:rsidRPr="00F05461">
        <w:rPr>
          <w:lang w:val="es-ES"/>
        </w:rPr>
        <w:t> </w:t>
      </w:r>
      <w:r w:rsidRPr="00F05461">
        <w:rPr>
          <w:lang w:val="es-ES"/>
        </w:rPr>
        <w:t xml:space="preserve">16 (Datos), el </w:t>
      </w:r>
      <w:r w:rsidR="00534D89" w:rsidRPr="00F05461">
        <w:rPr>
          <w:lang w:val="es-ES"/>
        </w:rPr>
        <w:t>N</w:t>
      </w:r>
      <w:r w:rsidRPr="00F05461">
        <w:rPr>
          <w:lang w:val="es-ES"/>
        </w:rPr>
        <w:t>.º</w:t>
      </w:r>
      <w:r w:rsidR="00534D89" w:rsidRPr="00F05461">
        <w:rPr>
          <w:lang w:val="es-ES"/>
        </w:rPr>
        <w:t> </w:t>
      </w:r>
      <w:r w:rsidRPr="00F05461">
        <w:rPr>
          <w:lang w:val="es-ES"/>
        </w:rPr>
        <w:t xml:space="preserve">17 (Formación y </w:t>
      </w:r>
      <w:r w:rsidR="00341F58" w:rsidRPr="00F05461">
        <w:rPr>
          <w:lang w:val="es-ES"/>
        </w:rPr>
        <w:t>e</w:t>
      </w:r>
      <w:r w:rsidRPr="00F05461">
        <w:rPr>
          <w:lang w:val="es-ES"/>
        </w:rPr>
        <w:t xml:space="preserve">studios), el </w:t>
      </w:r>
      <w:r w:rsidR="00534D89" w:rsidRPr="00F05461">
        <w:rPr>
          <w:lang w:val="es-ES"/>
        </w:rPr>
        <w:t>N</w:t>
      </w:r>
      <w:r w:rsidRPr="00F05461">
        <w:rPr>
          <w:lang w:val="es-ES"/>
        </w:rPr>
        <w:t>.º</w:t>
      </w:r>
      <w:r w:rsidR="00534D89" w:rsidRPr="00F05461">
        <w:rPr>
          <w:lang w:val="es-ES"/>
        </w:rPr>
        <w:t> </w:t>
      </w:r>
      <w:r w:rsidRPr="00F05461">
        <w:rPr>
          <w:lang w:val="es-ES"/>
        </w:rPr>
        <w:t xml:space="preserve">21 (Gestión de </w:t>
      </w:r>
      <w:r w:rsidR="00341F58" w:rsidRPr="00F05461">
        <w:rPr>
          <w:lang w:val="es-ES"/>
        </w:rPr>
        <w:t>r</w:t>
      </w:r>
      <w:r w:rsidRPr="00F05461">
        <w:rPr>
          <w:lang w:val="es-ES"/>
        </w:rPr>
        <w:t xml:space="preserve">esultados en todo el sistema) y el </w:t>
      </w:r>
      <w:r w:rsidR="00534D89" w:rsidRPr="00F05461">
        <w:rPr>
          <w:lang w:val="es-ES"/>
        </w:rPr>
        <w:t>N</w:t>
      </w:r>
      <w:r w:rsidRPr="00F05461">
        <w:rPr>
          <w:lang w:val="es-ES"/>
        </w:rPr>
        <w:t>.º</w:t>
      </w:r>
      <w:r w:rsidR="00534D89" w:rsidRPr="00F05461">
        <w:rPr>
          <w:lang w:val="es-ES"/>
        </w:rPr>
        <w:t> </w:t>
      </w:r>
      <w:r w:rsidRPr="00F05461">
        <w:rPr>
          <w:lang w:val="es-ES"/>
        </w:rPr>
        <w:t xml:space="preserve">29 (Registros y </w:t>
      </w:r>
      <w:r w:rsidR="00341F58" w:rsidRPr="00F05461">
        <w:rPr>
          <w:lang w:val="es-ES"/>
        </w:rPr>
        <w:t>h</w:t>
      </w:r>
      <w:r w:rsidRPr="00F05461">
        <w:rPr>
          <w:lang w:val="es-ES"/>
        </w:rPr>
        <w:t xml:space="preserve">erramientas sobre </w:t>
      </w:r>
      <w:r w:rsidR="00341F58" w:rsidRPr="00F05461">
        <w:rPr>
          <w:lang w:val="es-ES"/>
        </w:rPr>
        <w:t>m</w:t>
      </w:r>
      <w:r w:rsidRPr="00F05461">
        <w:rPr>
          <w:lang w:val="es-ES"/>
        </w:rPr>
        <w:t>andatos).</w:t>
      </w:r>
    </w:p>
    <w:p w14:paraId="6B893656" w14:textId="74AE729F" w:rsidR="007B4979" w:rsidRPr="00F05461" w:rsidRDefault="00296F03" w:rsidP="008A3A8C">
      <w:pPr>
        <w:keepNext/>
        <w:keepLines/>
        <w:rPr>
          <w:lang w:val="es-ES"/>
        </w:rPr>
      </w:pPr>
      <w:r w:rsidRPr="00F05461">
        <w:rPr>
          <w:lang w:val="es-ES"/>
        </w:rPr>
        <w:t>La UIT</w:t>
      </w:r>
      <w:r w:rsidR="007B4979" w:rsidRPr="00F05461">
        <w:rPr>
          <w:lang w:val="es-ES"/>
        </w:rPr>
        <w:t xml:space="preserve"> sigue colaborando con el sistema de las Naciones Unidas para fortalecer la cooperación digital, y vincular las políticas, las actividades de inversión y la innovación para garantizar que la transformación digital acelere los avances a escala mundial para cumplir la Agenda</w:t>
      </w:r>
      <w:r w:rsidR="00534D89" w:rsidRPr="00F05461">
        <w:rPr>
          <w:lang w:val="es-ES"/>
        </w:rPr>
        <w:t> </w:t>
      </w:r>
      <w:r w:rsidR="007B4979" w:rsidRPr="00F05461">
        <w:rPr>
          <w:lang w:val="es-ES"/>
        </w:rPr>
        <w:t>2030, al tiempo que se salvaguardan los derechos humanos y la confianza en el desarrollo tecnológico.</w:t>
      </w:r>
    </w:p>
    <w:p w14:paraId="09F670E4" w14:textId="77777777" w:rsidR="007B4979" w:rsidRPr="00F05461" w:rsidRDefault="007B4979" w:rsidP="007B4979">
      <w:pPr>
        <w:pStyle w:val="Heading2"/>
        <w:rPr>
          <w:lang w:val="es-ES"/>
        </w:rPr>
      </w:pPr>
      <w:bookmarkStart w:id="127" w:name="_Toc224288837"/>
      <w:bookmarkStart w:id="128" w:name="_Toc227137497"/>
      <w:r w:rsidRPr="00F05461">
        <w:rPr>
          <w:lang w:val="es-ES"/>
        </w:rPr>
        <w:t>5.6</w:t>
      </w:r>
      <w:r w:rsidRPr="00F05461">
        <w:rPr>
          <w:lang w:val="es-ES"/>
        </w:rPr>
        <w:tab/>
        <w:t>Movilización de recursos</w:t>
      </w:r>
      <w:bookmarkEnd w:id="127"/>
      <w:bookmarkEnd w:id="128"/>
    </w:p>
    <w:p w14:paraId="4E5580D1" w14:textId="60D2C369" w:rsidR="007B4979" w:rsidRPr="00F05461" w:rsidRDefault="007B4979" w:rsidP="007B4979">
      <w:pPr>
        <w:rPr>
          <w:lang w:val="es-ES"/>
        </w:rPr>
      </w:pPr>
      <w:r w:rsidRPr="00F05461">
        <w:rPr>
          <w:lang w:val="es-ES"/>
        </w:rPr>
        <w:t xml:space="preserve">El Consejo de </w:t>
      </w:r>
      <w:r w:rsidR="00296F03" w:rsidRPr="00F05461">
        <w:rPr>
          <w:lang w:val="es-ES"/>
        </w:rPr>
        <w:t>la UIT</w:t>
      </w:r>
      <w:r w:rsidRPr="00F05461">
        <w:rPr>
          <w:lang w:val="es-ES"/>
        </w:rPr>
        <w:t xml:space="preserve">, a raíz de las instrucciones de la Conferencia de Plenipotenciarios </w:t>
      </w:r>
      <w:r w:rsidR="00B933C5" w:rsidRPr="00F05461">
        <w:rPr>
          <w:lang w:val="es-ES"/>
        </w:rPr>
        <w:t>de 202</w:t>
      </w:r>
      <w:r w:rsidRPr="00F05461">
        <w:rPr>
          <w:lang w:val="es-ES"/>
        </w:rPr>
        <w:t xml:space="preserve">2 (PP-22), adoptó una </w:t>
      </w:r>
      <w:hyperlink r:id="rId569" w:history="1">
        <w:r w:rsidRPr="00F05461">
          <w:rPr>
            <w:rStyle w:val="Hyperlink"/>
            <w:rFonts w:eastAsia="Times New Roman" w:cs="Times New Roman"/>
            <w:szCs w:val="20"/>
            <w:lang w:val="es-ES"/>
          </w:rPr>
          <w:t>estrategia de movilización de recursos</w:t>
        </w:r>
      </w:hyperlink>
      <w:r w:rsidRPr="00F05461">
        <w:rPr>
          <w:lang w:val="es-ES"/>
        </w:rPr>
        <w:t xml:space="preserve"> propuesta por la Secretaría General en la reunión del Consejo </w:t>
      </w:r>
      <w:r w:rsidR="00B933C5" w:rsidRPr="00F05461">
        <w:rPr>
          <w:lang w:val="es-ES"/>
        </w:rPr>
        <w:t>de 202</w:t>
      </w:r>
      <w:r w:rsidRPr="00F05461">
        <w:rPr>
          <w:lang w:val="es-ES"/>
        </w:rPr>
        <w:t>4. Dicha estrategia se basa en tres ejes principales: el fortalecimiento de la participación de los miembros y los ingresos, el aprovechamiento de eventos, productos y servicios, y el aumento de las contribuciones voluntarias.</w:t>
      </w:r>
    </w:p>
    <w:p w14:paraId="413BAF49" w14:textId="2211E914" w:rsidR="007B4979" w:rsidRPr="00F05461" w:rsidRDefault="007B4979" w:rsidP="007B4979">
      <w:pPr>
        <w:rPr>
          <w:lang w:val="es-ES"/>
        </w:rPr>
      </w:pPr>
      <w:r w:rsidRPr="00F05461">
        <w:rPr>
          <w:lang w:val="es-ES"/>
        </w:rPr>
        <w:t xml:space="preserve">Las unidades contributivas de los Estados Miembros representan alrededor del 70 por ciento de los ingresos del presupuesto ordinario. Durante la preparación de la estrategia en el marco del Grupo de Trabajo del Consejo sobre Recursos Humanos y Financieros (GTC-RHF), los delegados solicitaron a la Secretaría de </w:t>
      </w:r>
      <w:r w:rsidR="00296F03" w:rsidRPr="00F05461">
        <w:rPr>
          <w:lang w:val="es-ES"/>
        </w:rPr>
        <w:t>la UIT</w:t>
      </w:r>
      <w:r w:rsidRPr="00F05461">
        <w:rPr>
          <w:lang w:val="es-ES"/>
        </w:rPr>
        <w:t xml:space="preserve"> asistencia para abogar ante sus propias administraciones por el mantenimiento o el aumento de sus unidades contributivas. La Secretaría ha elaborado un estudio de viabilidad de la inversión en </w:t>
      </w:r>
      <w:r w:rsidR="00296F03" w:rsidRPr="00F05461">
        <w:rPr>
          <w:lang w:val="es-ES"/>
        </w:rPr>
        <w:t>la UIT</w:t>
      </w:r>
      <w:r w:rsidRPr="00F05461">
        <w:rPr>
          <w:lang w:val="es-ES"/>
        </w:rPr>
        <w:t>, así como materiales informativos ejecutivos y recursos web actualizados que pueden ser utilizados por las delegaciones para efectuar consultas internas.</w:t>
      </w:r>
    </w:p>
    <w:p w14:paraId="29C069CC" w14:textId="4AE7B696" w:rsidR="007B4979" w:rsidRPr="00F05461" w:rsidRDefault="007B4979" w:rsidP="007B4979">
      <w:pPr>
        <w:rPr>
          <w:lang w:val="es-ES"/>
        </w:rPr>
      </w:pPr>
      <w:r w:rsidRPr="00F05461">
        <w:rPr>
          <w:lang w:val="es-ES"/>
        </w:rPr>
        <w:t xml:space="preserve">La Secretaría también despliega amplios esfuerzos para modernizar sus operaciones, aumentar la eficiencia de los trabajos y elaborar informes más detallados y transparentes para los Estados Miembros. Por último, bajo la orientación del Grupo de Trabajo del Consejo sobre los Planes Estratégico y Financiero (GTC-PEF), se lleva a cabo una iniciativa destinada a toda </w:t>
      </w:r>
      <w:r w:rsidR="00296F03" w:rsidRPr="00F05461">
        <w:rPr>
          <w:lang w:val="es-ES"/>
        </w:rPr>
        <w:t>la UIT</w:t>
      </w:r>
      <w:r w:rsidRPr="00F05461">
        <w:rPr>
          <w:lang w:val="es-ES"/>
        </w:rPr>
        <w:t xml:space="preserve"> para mejorar la presentación del presupuesto de </w:t>
      </w:r>
      <w:r w:rsidR="00296F03" w:rsidRPr="00F05461">
        <w:rPr>
          <w:lang w:val="es-ES"/>
        </w:rPr>
        <w:t>la UIT</w:t>
      </w:r>
      <w:r w:rsidRPr="00F05461">
        <w:rPr>
          <w:lang w:val="es-ES"/>
        </w:rPr>
        <w:t xml:space="preserve"> y establecer vínculos más claros entre el presupuesto y los Planes Operacional y Estratégico, e identificar deficiencias de financiación.</w:t>
      </w:r>
    </w:p>
    <w:p w14:paraId="55A78EA0" w14:textId="068C57D9" w:rsidR="007B4979" w:rsidRPr="00F05461" w:rsidRDefault="007B4979" w:rsidP="007B4979">
      <w:pPr>
        <w:rPr>
          <w:lang w:val="es-ES"/>
        </w:rPr>
      </w:pPr>
      <w:r w:rsidRPr="00F05461">
        <w:rPr>
          <w:lang w:val="es-ES"/>
        </w:rPr>
        <w:t xml:space="preserve">Para fortalecer la participación de los Miembros de Sector y los ingresos, que representan alrededor del </w:t>
      </w:r>
      <w:r w:rsidR="00AA3A2B">
        <w:rPr>
          <w:lang w:val="es-ES"/>
        </w:rPr>
        <w:t>diez</w:t>
      </w:r>
      <w:r w:rsidRPr="00F05461">
        <w:rPr>
          <w:lang w:val="es-ES"/>
        </w:rPr>
        <w:t xml:space="preserve"> por ciento de los ingresos del presupuesto ordinario, dicha estrategia prevé una revisión de la composición de los Sectores previa consulta con los Grupos Asesores de los Sectores. Esto incluye considerar beneficios que aliente a los Miembros de Sector a establecer afiliaciones en varios Sectores, y a los Asociados a pasar a ser Miembros de Sector de pleno derecho. Ello conlleva asimismo la revisión y la modernización de servicios clave para los Miembros, en particular las Comisiones de Estudio. Se han identificado las partes infrarrepresentadas del ecosistema digital y los Estados Miembros </w:t>
      </w:r>
      <w:r w:rsidRPr="00F05461">
        <w:rPr>
          <w:lang w:val="es-ES"/>
        </w:rPr>
        <w:lastRenderedPageBreak/>
        <w:t xml:space="preserve">que carecen de representación como Miembros de Sector para llevar a cabo campañas específicas que garanticen la máxima diversidad en la composición de </w:t>
      </w:r>
      <w:r w:rsidR="00296F03" w:rsidRPr="00F05461">
        <w:rPr>
          <w:lang w:val="es-ES"/>
        </w:rPr>
        <w:t>la UIT</w:t>
      </w:r>
      <w:r w:rsidRPr="00F05461">
        <w:rPr>
          <w:lang w:val="es-ES"/>
        </w:rPr>
        <w:t>.</w:t>
      </w:r>
    </w:p>
    <w:p w14:paraId="18176FF6" w14:textId="145D8E4E" w:rsidR="007B4979" w:rsidRPr="00F05461" w:rsidRDefault="007B4979" w:rsidP="007B4979">
      <w:pPr>
        <w:rPr>
          <w:lang w:val="es-ES"/>
        </w:rPr>
      </w:pPr>
      <w:r w:rsidRPr="00F05461">
        <w:rPr>
          <w:lang w:val="es-ES"/>
        </w:rPr>
        <w:t xml:space="preserve">La estrategia de movilización de recursos también prevé la revisión de diversos eventos, productos y servicios. Los productos y servicios representan alrededor del 20 por ciento del presupuesto ordinario mediante recuperación de costes. Aproximadamente la mitad de esta cuantía proviene de las notificaciones de satélite. Un Grupo de </w:t>
      </w:r>
      <w:r w:rsidR="00332683" w:rsidRPr="00F05461">
        <w:rPr>
          <w:lang w:val="es-ES"/>
        </w:rPr>
        <w:t xml:space="preserve">Trabajo </w:t>
      </w:r>
      <w:r w:rsidR="00A10309" w:rsidRPr="00F05461">
        <w:rPr>
          <w:lang w:val="es-ES"/>
        </w:rPr>
        <w:t>del UIT</w:t>
      </w:r>
      <w:r w:rsidR="00A10309" w:rsidRPr="00F05461">
        <w:rPr>
          <w:lang w:val="es-ES"/>
        </w:rPr>
        <w:noBreakHyphen/>
      </w:r>
      <w:r w:rsidRPr="00F05461">
        <w:rPr>
          <w:lang w:val="es-ES"/>
        </w:rPr>
        <w:t xml:space="preserve">R estudia formas de modernizar las notificaciones de satélite a tenor de la evolución del mercado. Se han realizado inversiones en nuevos sistemas para modernizar la prestación de productos marítimos, que representan la otra mitad de los ingresos por recuperación de costes, y se prevén nuevas inversiones para facilitar la venta de productos digitales y la modernización del funcionamiento de los eventos de </w:t>
      </w:r>
      <w:r w:rsidR="00296F03" w:rsidRPr="00F05461">
        <w:rPr>
          <w:lang w:val="es-ES"/>
        </w:rPr>
        <w:t>la UIT</w:t>
      </w:r>
      <w:r w:rsidRPr="00F05461">
        <w:rPr>
          <w:lang w:val="es-ES"/>
        </w:rPr>
        <w:t>, lo que podría las bases para la generación de nuevas fuentes de ingresos.</w:t>
      </w:r>
    </w:p>
    <w:p w14:paraId="562EF00E" w14:textId="2BDA7F8A" w:rsidR="007B4979" w:rsidRPr="00F05461" w:rsidRDefault="007B4979" w:rsidP="007B4979">
      <w:pPr>
        <w:rPr>
          <w:lang w:val="es-ES"/>
        </w:rPr>
      </w:pPr>
      <w:r w:rsidRPr="00F05461">
        <w:rPr>
          <w:lang w:val="es-ES"/>
        </w:rPr>
        <w:t>En cuanto a las contribuciones voluntarias, que complementan el presupuesto ordinario, el Plan de Acción de Bakú, adoptado por la</w:t>
      </w:r>
      <w:r w:rsidR="007B1984" w:rsidRPr="00F05461">
        <w:rPr>
          <w:lang w:val="es-ES"/>
        </w:rPr>
        <w:t> CMDT</w:t>
      </w:r>
      <w:r w:rsidRPr="00F05461">
        <w:rPr>
          <w:lang w:val="es-ES"/>
        </w:rPr>
        <w:t xml:space="preserve"> en 2025, proporciona un marco mundial, junto con un conjunto de </w:t>
      </w:r>
      <w:r w:rsidR="007B1984" w:rsidRPr="00F05461">
        <w:rPr>
          <w:lang w:val="es-ES"/>
        </w:rPr>
        <w:t>Iniciativas Regionales</w:t>
      </w:r>
      <w:r w:rsidRPr="00F05461">
        <w:rPr>
          <w:lang w:val="es-ES"/>
        </w:rPr>
        <w:t>, para orientar los esfuerzos de la secretaría destinados a la recaudación de fondos para proyectos e iniciativas. Por otro lado, iniciativas como Giga confirman el potencial del impulso a la financiación y la mejora de sus resultados sobre la base de la colaboración con otros organismos de las Naciones Unidas. La Secretaría también aborda los factores clave que facilitan la ejecución de proyectos, entre ellos la racionalización de los procesos de contratación y adquisición, nuevos sistemas de</w:t>
      </w:r>
      <w:r w:rsidR="00332683" w:rsidRPr="00F05461">
        <w:rPr>
          <w:lang w:val="es-ES"/>
        </w:rPr>
        <w:t> </w:t>
      </w:r>
      <w:r w:rsidRPr="00F05461">
        <w:rPr>
          <w:lang w:val="es-ES"/>
        </w:rPr>
        <w:t xml:space="preserve">TI para facilitar la coordinación de forma eficiente en toda </w:t>
      </w:r>
      <w:r w:rsidR="00296F03" w:rsidRPr="00F05461">
        <w:rPr>
          <w:lang w:val="es-ES"/>
        </w:rPr>
        <w:t>la UIT</w:t>
      </w:r>
      <w:r w:rsidRPr="00F05461">
        <w:rPr>
          <w:lang w:val="es-ES"/>
        </w:rPr>
        <w:t xml:space="preserve"> de las actividades de divulgación dirigidas a miembros y asociados, y la elaboración de una nueva estrategia de colaboración para aprovechar las asociaciones con el fin de lograr mejores resultados y proporcionar una mayor transparencia, al tiempo que se protege la reputación de </w:t>
      </w:r>
      <w:r w:rsidR="00296F03" w:rsidRPr="00F05461">
        <w:rPr>
          <w:lang w:val="es-ES"/>
        </w:rPr>
        <w:t>la UIT</w:t>
      </w:r>
      <w:r w:rsidRPr="00F05461">
        <w:rPr>
          <w:lang w:val="es-ES"/>
        </w:rPr>
        <w:t>.</w:t>
      </w:r>
    </w:p>
    <w:p w14:paraId="61BC320F" w14:textId="77777777" w:rsidR="007B4979" w:rsidRPr="00F05461" w:rsidRDefault="007B4979" w:rsidP="007B4979">
      <w:pPr>
        <w:pStyle w:val="Heading2"/>
        <w:rPr>
          <w:lang w:val="es-ES"/>
        </w:rPr>
      </w:pPr>
      <w:bookmarkStart w:id="129" w:name="_Toc224288838"/>
      <w:bookmarkStart w:id="130" w:name="_Toc227137498"/>
      <w:r w:rsidRPr="00F05461">
        <w:rPr>
          <w:lang w:val="es-ES"/>
        </w:rPr>
        <w:t>5.7</w:t>
      </w:r>
      <w:r w:rsidRPr="00F05461">
        <w:rPr>
          <w:lang w:val="es-ES"/>
        </w:rPr>
        <w:tab/>
        <w:t xml:space="preserve">Proceso de transformación: fomento de la excelencia </w:t>
      </w:r>
      <w:bookmarkEnd w:id="129"/>
      <w:r w:rsidRPr="00F05461">
        <w:rPr>
          <w:lang w:val="es-ES"/>
        </w:rPr>
        <w:t>orgánica</w:t>
      </w:r>
      <w:bookmarkEnd w:id="130"/>
    </w:p>
    <w:p w14:paraId="0BD955A6" w14:textId="5CF1CA0F" w:rsidR="007B4979" w:rsidRPr="00F05461" w:rsidRDefault="00296F03" w:rsidP="007B4979">
      <w:pPr>
        <w:rPr>
          <w:lang w:val="es-ES"/>
        </w:rPr>
      </w:pPr>
      <w:r w:rsidRPr="00F05461">
        <w:rPr>
          <w:lang w:val="es-ES"/>
        </w:rPr>
        <w:t>La UIT</w:t>
      </w:r>
      <w:r w:rsidR="007B4979" w:rsidRPr="00F05461">
        <w:rPr>
          <w:lang w:val="es-ES"/>
        </w:rPr>
        <w:t xml:space="preserve"> puso en marcha su iniciativa de transformación en 2023 sobre la base de un proceso de visión integral y un programa de transformaciones en el que participaron miembros del personal de toda la organización. Ello sentó las bases de cambios y facilitó la colaboración de los miembros del personal en los esfuerzos colectivos para preparar a </w:t>
      </w:r>
      <w:r w:rsidRPr="00F05461">
        <w:rPr>
          <w:lang w:val="es-ES"/>
        </w:rPr>
        <w:t>la UIT</w:t>
      </w:r>
      <w:r w:rsidR="007B4979" w:rsidRPr="00F05461">
        <w:rPr>
          <w:lang w:val="es-ES"/>
        </w:rPr>
        <w:t xml:space="preserve"> para el futuro. Si bien la transformación tiene lugar en toda la Secretaría General y en las Oficinas, el enfoque de la iniciativa de transformación se ha centrado en lograr la excelencia operacional en la Secretaría General, como proveedora de servicios a las Oficinas y a los Miembros.</w:t>
      </w:r>
    </w:p>
    <w:p w14:paraId="2BB77FDF" w14:textId="5EF31B2D" w:rsidR="007B4979" w:rsidRPr="00F05461" w:rsidRDefault="007B4979" w:rsidP="007B4979">
      <w:pPr>
        <w:rPr>
          <w:lang w:val="es-ES"/>
        </w:rPr>
      </w:pPr>
      <w:r w:rsidRPr="00F05461">
        <w:rPr>
          <w:lang w:val="es-ES"/>
        </w:rPr>
        <w:t xml:space="preserve">A medida que el proceso de transformación de </w:t>
      </w:r>
      <w:r w:rsidR="00296F03" w:rsidRPr="00F05461">
        <w:rPr>
          <w:lang w:val="es-ES"/>
        </w:rPr>
        <w:t>la UIT</w:t>
      </w:r>
      <w:r w:rsidRPr="00F05461">
        <w:rPr>
          <w:lang w:val="es-ES"/>
        </w:rPr>
        <w:t xml:space="preserve"> ha ido evolucionando, la Secretaría ha pasado de la fase de formulación de recomendaciones a la de aplicación de </w:t>
      </w:r>
      <w:proofErr w:type="gramStart"/>
      <w:r w:rsidRPr="00F05461">
        <w:rPr>
          <w:lang w:val="es-ES"/>
        </w:rPr>
        <w:t>las mismas</w:t>
      </w:r>
      <w:proofErr w:type="gramEnd"/>
      <w:r w:rsidRPr="00F05461">
        <w:rPr>
          <w:lang w:val="es-ES"/>
        </w:rPr>
        <w:t xml:space="preserve">. Los responsables de las dependencias operacionales han venido integrando esas recomendaciones, en la medida de lo posible, en sus planes operacionales y presupuestos, en particular las iniciativas clave. La transformación se aplica asimismo a la planificación estratégica y financiera como un elemento que potencia el rendimiento, en lugar de como una iniciativa autónoma, en consonancia con los resultados estratégicos y los indicadores fundamentales de rendimiento (IFR) acordados. La evolución de este proceso se ha abordado en los informes periódicos al Consejo, incluidos los </w:t>
      </w:r>
      <w:r w:rsidR="00324388" w:rsidRPr="00F05461">
        <w:rPr>
          <w:lang w:val="es-ES"/>
        </w:rPr>
        <w:t>Documentos</w:t>
      </w:r>
      <w:r w:rsidR="00E415B3" w:rsidRPr="00F05461">
        <w:rPr>
          <w:lang w:val="es-ES"/>
        </w:rPr>
        <w:t> </w:t>
      </w:r>
      <w:hyperlink r:id="rId570" w:history="1">
        <w:r w:rsidRPr="00F05461">
          <w:rPr>
            <w:rStyle w:val="Hyperlink"/>
            <w:rFonts w:eastAsia="Times New Roman" w:cs="Times New Roman"/>
            <w:szCs w:val="20"/>
            <w:lang w:val="es-ES"/>
          </w:rPr>
          <w:t>C24/52</w:t>
        </w:r>
      </w:hyperlink>
      <w:r w:rsidRPr="00F05461">
        <w:rPr>
          <w:lang w:val="es-ES"/>
        </w:rPr>
        <w:t xml:space="preserve"> y </w:t>
      </w:r>
      <w:hyperlink r:id="rId571" w:history="1">
        <w:r w:rsidRPr="00F05461">
          <w:rPr>
            <w:rStyle w:val="Hyperlink"/>
            <w:rFonts w:eastAsia="Times New Roman" w:cs="Times New Roman"/>
            <w:szCs w:val="20"/>
            <w:lang w:val="es-ES"/>
          </w:rPr>
          <w:t>C25/55</w:t>
        </w:r>
      </w:hyperlink>
      <w:r w:rsidRPr="00F05461">
        <w:rPr>
          <w:lang w:val="es-ES"/>
        </w:rPr>
        <w:t xml:space="preserve">, así como en los informes al GTC-RHF, siendo el más reciente el </w:t>
      </w:r>
      <w:hyperlink r:id="rId572" w:history="1">
        <w:r w:rsidR="00E415B3" w:rsidRPr="00F05461">
          <w:rPr>
            <w:rStyle w:val="Hyperlink"/>
            <w:rFonts w:eastAsia="Times New Roman" w:cs="Times New Roman"/>
            <w:szCs w:val="20"/>
            <w:lang w:val="es-ES"/>
          </w:rPr>
          <w:t>CWG-FHR</w:t>
        </w:r>
        <w:r w:rsidRPr="00F05461">
          <w:rPr>
            <w:rStyle w:val="Hyperlink"/>
            <w:rFonts w:eastAsia="Times New Roman" w:cs="Times New Roman"/>
            <w:szCs w:val="20"/>
            <w:lang w:val="es-ES"/>
          </w:rPr>
          <w:t>-22/15</w:t>
        </w:r>
      </w:hyperlink>
      <w:r w:rsidRPr="00F05461">
        <w:rPr>
          <w:lang w:val="es-ES"/>
        </w:rPr>
        <w:t>.</w:t>
      </w:r>
    </w:p>
    <w:p w14:paraId="39B15B30" w14:textId="77777777" w:rsidR="007B4979" w:rsidRPr="00F05461" w:rsidRDefault="007B4979" w:rsidP="00AC3213">
      <w:pPr>
        <w:pStyle w:val="Headingb"/>
      </w:pPr>
      <w:r w:rsidRPr="00F05461">
        <w:lastRenderedPageBreak/>
        <w:t>Logros clave</w:t>
      </w:r>
    </w:p>
    <w:p w14:paraId="64041DB9" w14:textId="068BAE5F" w:rsidR="007B4979" w:rsidRPr="00F05461" w:rsidRDefault="007B4979" w:rsidP="007B4979">
      <w:pPr>
        <w:rPr>
          <w:lang w:val="es-ES"/>
        </w:rPr>
      </w:pPr>
      <w:r w:rsidRPr="00F05461">
        <w:rPr>
          <w:lang w:val="es-ES"/>
        </w:rPr>
        <w:t xml:space="preserve">En 2025, </w:t>
      </w:r>
      <w:r w:rsidR="00296F03" w:rsidRPr="00F05461">
        <w:rPr>
          <w:lang w:val="es-ES"/>
        </w:rPr>
        <w:t>la UIT</w:t>
      </w:r>
      <w:r w:rsidRPr="00F05461">
        <w:rPr>
          <w:lang w:val="es-ES"/>
        </w:rPr>
        <w:t xml:space="preserve"> había alcanzado varios resultados fundamentales relativos a la transformación que contribuyeron a mejorar la gobernanza, la rendición de cuentas y la eficacia operacional.</w:t>
      </w:r>
    </w:p>
    <w:p w14:paraId="0CF52185" w14:textId="65349260" w:rsidR="007B4979" w:rsidRPr="00F05461" w:rsidRDefault="007B4979" w:rsidP="007B4979">
      <w:pPr>
        <w:rPr>
          <w:lang w:val="es-ES"/>
        </w:rPr>
      </w:pPr>
      <w:r w:rsidRPr="00F05461">
        <w:rPr>
          <w:lang w:val="es-ES"/>
        </w:rPr>
        <w:t xml:space="preserve">Entre los principales logros cabe destacar la creación de una Dependencia de Supervisión que incorpora una función de evaluación, así como la impartición de formación en materia de evaluación a los miembros del personal, y el establecimiento oficial de la función de </w:t>
      </w:r>
      <w:r w:rsidR="004866FF" w:rsidRPr="00F05461">
        <w:rPr>
          <w:lang w:val="es-ES"/>
        </w:rPr>
        <w:t>m</w:t>
      </w:r>
      <w:r w:rsidRPr="00F05461">
        <w:rPr>
          <w:lang w:val="es-ES"/>
        </w:rPr>
        <w:t>ediador. Se rediseñó el proceso de planificación operacional para armonizar las prioridades estratégicas con los planes operacionales y los marcos financieros, y fomentar la coherencia y la disciplina de ejecución en toda la organización.</w:t>
      </w:r>
    </w:p>
    <w:p w14:paraId="1304A051" w14:textId="7BDDB6BE" w:rsidR="007B4979" w:rsidRPr="00F05461" w:rsidRDefault="007B4979" w:rsidP="00476777">
      <w:pPr>
        <w:rPr>
          <w:lang w:val="es-ES"/>
        </w:rPr>
      </w:pPr>
      <w:r w:rsidRPr="00F05461">
        <w:rPr>
          <w:lang w:val="es-ES"/>
        </w:rPr>
        <w:t xml:space="preserve">Se lograron avances notables en cuanto a gestión y control financieros, </w:t>
      </w:r>
      <w:r w:rsidR="00805366" w:rsidRPr="00F05461">
        <w:rPr>
          <w:lang w:val="es-ES"/>
        </w:rPr>
        <w:t>entre los que cabe destacar la transformación de los déficits presupuestarios en superávits coherentes, la reanudación del proceso de auditoría externa y</w:t>
      </w:r>
      <w:r w:rsidRPr="00F05461">
        <w:rPr>
          <w:lang w:val="es-ES"/>
        </w:rPr>
        <w:t xml:space="preserve"> el pleno cumplimiento de las Normas Internacionales de Contabilidad del Sector Público (IPSAS), y mejoras en las operaciones de tesorería, la gestión de fondos extrapresupuestarios y la gestión de puestos. </w:t>
      </w:r>
      <w:r w:rsidR="00805366" w:rsidRPr="00F05461">
        <w:rPr>
          <w:lang w:val="es-ES"/>
        </w:rPr>
        <w:t xml:space="preserve">Por otro lado, se rediseñó el proyecto del nuevo edificio de la sede en consonancia con el presupuesto previsto y las necesidades futuras. </w:t>
      </w:r>
      <w:r w:rsidRPr="00F05461">
        <w:rPr>
          <w:lang w:val="es-ES"/>
        </w:rPr>
        <w:t>Las reformas en el plano de los recursos humanos avanzaron gracias a la utilización de una herramienta simplificada del ePMDS (Sistema Electrónico de Gestión del Rendimiento y Desarrollo) y a la impartición de una formación específica, lo que mejoró los enfoques para abordar el bajo rendimiento y la formulación de nuevas políticas para facilitar la contratación.</w:t>
      </w:r>
      <w:r w:rsidR="00476777">
        <w:rPr>
          <w:lang w:val="es-ES"/>
        </w:rPr>
        <w:t xml:space="preserve"> </w:t>
      </w:r>
      <w:r w:rsidRPr="00F05461">
        <w:rPr>
          <w:lang w:val="es-ES"/>
        </w:rPr>
        <w:t>Con objeto de mejorar el desarrollo de la cultura y el liderazgo, se impartió un programa integral de liderazgo a los miembros del personal y a la dirección. A raíz de los resultados de la encuesta sobre la participación de los miembros del personal, la Secretaria General anunció la introducción de un marco de recompensas y reconocimiento, y de per</w:t>
      </w:r>
      <w:r w:rsidR="007B6111" w:rsidRPr="00F05461">
        <w:rPr>
          <w:lang w:val="es-ES"/>
        </w:rPr>
        <w:t>i</w:t>
      </w:r>
      <w:r w:rsidRPr="00F05461">
        <w:rPr>
          <w:lang w:val="es-ES"/>
        </w:rPr>
        <w:t xml:space="preserve">odos de tiempo dedicados a actividades relacionadas con el aprendizaje y la innovación. Por otro lado, </w:t>
      </w:r>
      <w:r w:rsidR="00296F03" w:rsidRPr="00F05461">
        <w:rPr>
          <w:lang w:val="es-ES"/>
        </w:rPr>
        <w:t>la UIT</w:t>
      </w:r>
      <w:r w:rsidRPr="00F05461">
        <w:rPr>
          <w:lang w:val="es-ES"/>
        </w:rPr>
        <w:t xml:space="preserve"> elaboró sus primeras directrices orgánicas sobre el uso responsable de la</w:t>
      </w:r>
      <w:r w:rsidR="0008776D" w:rsidRPr="00F05461">
        <w:rPr>
          <w:lang w:val="es-ES"/>
        </w:rPr>
        <w:t> </w:t>
      </w:r>
      <w:r w:rsidRPr="00F05461">
        <w:rPr>
          <w:lang w:val="es-ES"/>
        </w:rPr>
        <w:t>IA generativa, lo que supuso un paso importante hacia la adopción estructurada de tecnologías incipientes.</w:t>
      </w:r>
    </w:p>
    <w:p w14:paraId="338706A3" w14:textId="090F1A80" w:rsidR="007B4979" w:rsidRPr="00F05461" w:rsidRDefault="007B4979" w:rsidP="007B4979">
      <w:pPr>
        <w:rPr>
          <w:lang w:val="es-ES"/>
        </w:rPr>
      </w:pPr>
      <w:r w:rsidRPr="00F05461">
        <w:rPr>
          <w:lang w:val="es-ES"/>
        </w:rPr>
        <w:t xml:space="preserve">En 2025, </w:t>
      </w:r>
      <w:r w:rsidR="00296F03" w:rsidRPr="00F05461">
        <w:rPr>
          <w:lang w:val="es-ES"/>
        </w:rPr>
        <w:t>la UIT</w:t>
      </w:r>
      <w:r w:rsidRPr="00F05461">
        <w:rPr>
          <w:lang w:val="es-ES"/>
        </w:rPr>
        <w:t xml:space="preserve"> también dio la bienvenida a un nuevo Director de Sistemas de Información (CIO), que asumió un papel de liderazgo para facilitar y acelerar la transformación. El</w:t>
      </w:r>
      <w:r w:rsidR="00E56B17" w:rsidRPr="00F05461">
        <w:rPr>
          <w:lang w:val="es-ES"/>
        </w:rPr>
        <w:t> </w:t>
      </w:r>
      <w:r w:rsidRPr="00F05461">
        <w:rPr>
          <w:lang w:val="es-ES"/>
        </w:rPr>
        <w:t xml:space="preserve">CIO lidera la agenda interna de transformación digital y modernización de </w:t>
      </w:r>
      <w:r w:rsidR="00296F03" w:rsidRPr="00F05461">
        <w:rPr>
          <w:lang w:val="es-ES"/>
        </w:rPr>
        <w:t>la UIT</w:t>
      </w:r>
      <w:r w:rsidRPr="00F05461">
        <w:rPr>
          <w:lang w:val="es-ES"/>
        </w:rPr>
        <w:t>, centrándose en la actualización de sistemas, herramientas y procesos, al tiempo que establece una base institucional sólida para los datos y la</w:t>
      </w:r>
      <w:r w:rsidR="003D3419" w:rsidRPr="00F05461">
        <w:rPr>
          <w:lang w:val="es-ES"/>
        </w:rPr>
        <w:t> </w:t>
      </w:r>
      <w:r w:rsidRPr="00F05461">
        <w:rPr>
          <w:lang w:val="es-ES"/>
        </w:rPr>
        <w:t>IA como facilitadores fundamentales de la excelencia operacional, la innovación y la obtención de resultados.</w:t>
      </w:r>
    </w:p>
    <w:p w14:paraId="5E16726E" w14:textId="77777777" w:rsidR="007B4979" w:rsidRPr="00F05461" w:rsidRDefault="007B4979" w:rsidP="007B4979">
      <w:pPr>
        <w:pStyle w:val="Heading2"/>
        <w:rPr>
          <w:lang w:val="es-ES"/>
        </w:rPr>
      </w:pPr>
      <w:bookmarkStart w:id="131" w:name="_Toc224288839"/>
      <w:bookmarkStart w:id="132" w:name="_Toc227137499"/>
      <w:r w:rsidRPr="00F05461">
        <w:rPr>
          <w:bCs/>
          <w:lang w:val="es-ES"/>
        </w:rPr>
        <w:t>5.8</w:t>
      </w:r>
      <w:r w:rsidRPr="00F05461">
        <w:rPr>
          <w:bCs/>
          <w:lang w:val="es-ES"/>
        </w:rPr>
        <w:tab/>
      </w:r>
      <w:r w:rsidRPr="00F05461">
        <w:rPr>
          <w:lang w:val="es-ES"/>
        </w:rPr>
        <w:t>Recursos Humanos</w:t>
      </w:r>
      <w:bookmarkEnd w:id="131"/>
      <w:bookmarkEnd w:id="132"/>
    </w:p>
    <w:p w14:paraId="1E30D049" w14:textId="32222AA8" w:rsidR="007B4979" w:rsidRPr="00F05461" w:rsidRDefault="007B4979" w:rsidP="007B4979">
      <w:pPr>
        <w:rPr>
          <w:lang w:val="es-ES"/>
        </w:rPr>
      </w:pPr>
      <w:r w:rsidRPr="00F05461">
        <w:rPr>
          <w:lang w:val="es-ES"/>
        </w:rPr>
        <w:t xml:space="preserve">Un componente fundamental de la transformación institucional más amplia de </w:t>
      </w:r>
      <w:r w:rsidR="00296F03" w:rsidRPr="00F05461">
        <w:rPr>
          <w:lang w:val="es-ES"/>
        </w:rPr>
        <w:t>la UIT</w:t>
      </w:r>
      <w:r w:rsidRPr="00F05461">
        <w:rPr>
          <w:lang w:val="es-ES"/>
        </w:rPr>
        <w:t xml:space="preserve"> ha sido la evolución de sus recursos humanos. Dichos avances se facilitaron en 2024 y 2025, con el objetivo de fomentar la versatilidad y las competencias de los miembros del personal haciendo hincapié en las personas, a tenor de la evolución de las prioridades y del cumplimiento del mandato de </w:t>
      </w:r>
      <w:r w:rsidR="00296F03" w:rsidRPr="00F05461">
        <w:rPr>
          <w:lang w:val="es-ES"/>
        </w:rPr>
        <w:t>la UIT</w:t>
      </w:r>
      <w:r w:rsidRPr="00F05461">
        <w:rPr>
          <w:lang w:val="es-ES"/>
        </w:rPr>
        <w:t>.</w:t>
      </w:r>
    </w:p>
    <w:p w14:paraId="51B350B1" w14:textId="2C444AA7" w:rsidR="007B4979" w:rsidRPr="00F05461" w:rsidRDefault="00AC3213" w:rsidP="00476777">
      <w:pPr>
        <w:pStyle w:val="enumlev1"/>
        <w:keepNext/>
        <w:keepLines/>
        <w:rPr>
          <w:b/>
          <w:bCs/>
          <w:lang w:val="es-ES"/>
        </w:rPr>
      </w:pPr>
      <w:r w:rsidRPr="00F05461">
        <w:rPr>
          <w:b/>
          <w:bCs/>
          <w:lang w:val="es-ES"/>
        </w:rPr>
        <w:lastRenderedPageBreak/>
        <w:t>a)</w:t>
      </w:r>
      <w:r w:rsidRPr="00F05461">
        <w:rPr>
          <w:b/>
          <w:bCs/>
          <w:lang w:val="es-ES"/>
        </w:rPr>
        <w:tab/>
      </w:r>
      <w:r w:rsidR="007B4979" w:rsidRPr="00F05461">
        <w:rPr>
          <w:b/>
          <w:bCs/>
          <w:lang w:val="es-ES"/>
        </w:rPr>
        <w:t>Personas:</w:t>
      </w:r>
    </w:p>
    <w:p w14:paraId="672B7DC6" w14:textId="67264D7D" w:rsidR="007B4979" w:rsidRPr="00F05461" w:rsidRDefault="00AC3213" w:rsidP="00476777">
      <w:pPr>
        <w:pStyle w:val="enumlev2"/>
        <w:keepNext/>
        <w:keepLines/>
        <w:rPr>
          <w:lang w:val="es-ES"/>
        </w:rPr>
      </w:pPr>
      <w:r w:rsidRPr="00F05461">
        <w:rPr>
          <w:lang w:val="es-ES"/>
        </w:rPr>
        <w:t>•</w:t>
      </w:r>
      <w:r w:rsidRPr="00F05461">
        <w:rPr>
          <w:lang w:val="es-ES"/>
        </w:rPr>
        <w:tab/>
      </w:r>
      <w:r w:rsidR="007B4979" w:rsidRPr="00F05461">
        <w:rPr>
          <w:lang w:val="es-ES"/>
        </w:rPr>
        <w:t>Se fortalecieron las actividades de aprendizaje y desarrollo mediante un plan de aprendizaje integral y rentable; se mejoró la visibilidad a través del boletín electrónico «Let’s Learn» y un sitio web centralizado en SharePoint, y se supervisó y actualizó el plan periódicamente en función de necesidades incipientes.</w:t>
      </w:r>
    </w:p>
    <w:p w14:paraId="0A850F37" w14:textId="04E050EB"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En agosto </w:t>
      </w:r>
      <w:r w:rsidR="00B933C5" w:rsidRPr="00F05461">
        <w:rPr>
          <w:lang w:val="es-ES"/>
        </w:rPr>
        <w:t>de 202</w:t>
      </w:r>
      <w:r w:rsidR="007B4979" w:rsidRPr="00F05461">
        <w:rPr>
          <w:lang w:val="es-ES"/>
        </w:rPr>
        <w:t xml:space="preserve">4 se introdujo una nueva Política de Aprendizaje Obligatorio para mejorar la cultura orgánica de </w:t>
      </w:r>
      <w:r w:rsidR="00296F03" w:rsidRPr="00F05461">
        <w:rPr>
          <w:lang w:val="es-ES"/>
        </w:rPr>
        <w:t>la UIT</w:t>
      </w:r>
      <w:r w:rsidR="007B4979" w:rsidRPr="00F05461">
        <w:rPr>
          <w:lang w:val="es-ES"/>
        </w:rPr>
        <w:t xml:space="preserve"> y promover una comprensión común de las normas de conducta esperadas. Se mejoró la conformidad mediante una colaboración más estrecha con los coordinadores de RR.HH., un aumento de las tasas de finalización del 5 por ciento al 45,7 por ciento en enero </w:t>
      </w:r>
      <w:r w:rsidR="00B933C5" w:rsidRPr="00F05461">
        <w:rPr>
          <w:lang w:val="es-ES"/>
        </w:rPr>
        <w:t>de 202</w:t>
      </w:r>
      <w:r w:rsidR="007B4979" w:rsidRPr="00F05461">
        <w:rPr>
          <w:lang w:val="es-ES"/>
        </w:rPr>
        <w:t>6, y HRM</w:t>
      </w:r>
      <w:r w:rsidR="003D3419" w:rsidRPr="00F05461">
        <w:rPr>
          <w:lang w:val="es-ES"/>
        </w:rPr>
        <w:t>D</w:t>
      </w:r>
      <w:r w:rsidR="007B4979" w:rsidRPr="00F05461">
        <w:rPr>
          <w:lang w:val="es-ES"/>
        </w:rPr>
        <w:t>) desarrolló un mecanismo de seguimiento sistemático para ayudar a los directivos a mejorar los resultados previstos.</w:t>
      </w:r>
    </w:p>
    <w:p w14:paraId="2DA5753E" w14:textId="1BE255B1"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Se mejoró la gestión del rendimiento mediante la racionalización de los procesos y la introducción de la herramienta simplificada ePMDS, lo que permitió mantener conversaciones sobre la mejora del rendimiento y proporcionar información de manera más eficiente, al tiempo que se redujo el tiempo que los supervisores dedican a las evaluaciones de rendimiento en al menos un 50</w:t>
      </w:r>
      <w:r w:rsidR="00587968" w:rsidRPr="00F05461">
        <w:rPr>
          <w:lang w:val="es-ES"/>
        </w:rPr>
        <w:t> </w:t>
      </w:r>
      <w:r w:rsidR="00BF0FFC" w:rsidRPr="00F05461">
        <w:rPr>
          <w:lang w:val="es-ES"/>
        </w:rPr>
        <w:t>por ciento</w:t>
      </w:r>
      <w:r w:rsidR="007B4979" w:rsidRPr="00F05461">
        <w:rPr>
          <w:lang w:val="es-ES"/>
        </w:rPr>
        <w:t>, y se impartió formación específica en gestión del rendimiento para los miembros del personal y los supervisores.</w:t>
      </w:r>
    </w:p>
    <w:p w14:paraId="3F8F9135" w14:textId="1071E9D1"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A comienzos </w:t>
      </w:r>
      <w:r w:rsidR="00B933C5" w:rsidRPr="00F05461">
        <w:rPr>
          <w:lang w:val="es-ES"/>
        </w:rPr>
        <w:t>de 202</w:t>
      </w:r>
      <w:r w:rsidR="007B4979" w:rsidRPr="00F05461">
        <w:rPr>
          <w:lang w:val="es-ES"/>
        </w:rPr>
        <w:t>5 se inició una revisión exhaustiva de la contratación, que abarcó la formulación de políticas, la evaluación de procesos, los indicadores fundamentales de rendimiento y las medidas de rendición de cuentas, con respecto a una evaluación comparativa relativa al sistema de las Naciones Unidas, con el fin de garantizar un proceso de selección eficiente, justo y transparente.</w:t>
      </w:r>
    </w:p>
    <w:p w14:paraId="01C27540" w14:textId="35EDBA9C"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El desarrollo de talento y la versatilidad de los miembros del personal se fortalecieron aún más mediante el </w:t>
      </w:r>
      <w:hyperlink r:id="rId573" w:history="1">
        <w:r w:rsidR="007B4979" w:rsidRPr="00F05461">
          <w:rPr>
            <w:rStyle w:val="Hyperlink"/>
            <w:rFonts w:eastAsia="Times New Roman" w:cs="Times New Roman"/>
            <w:szCs w:val="20"/>
            <w:lang w:val="es-ES"/>
          </w:rPr>
          <w:t>Programa de Jóvenes Profesionales</w:t>
        </w:r>
      </w:hyperlink>
      <w:r w:rsidR="007B4979" w:rsidRPr="00F05461">
        <w:rPr>
          <w:lang w:val="es-ES"/>
        </w:rPr>
        <w:t>, la ampliación del Plan de jóvenes funcionarios y el acuerdo con los Voluntarios de las Naciones Unidas (UNV). Se contrató a jóvenes profesionales de los</w:t>
      </w:r>
      <w:r w:rsidR="003D3419" w:rsidRPr="00F05461">
        <w:rPr>
          <w:lang w:val="es-ES"/>
        </w:rPr>
        <w:t> </w:t>
      </w:r>
      <w:r w:rsidR="007B4979" w:rsidRPr="00F05461">
        <w:rPr>
          <w:lang w:val="es-ES"/>
        </w:rPr>
        <w:t xml:space="preserve">PMA, contribuyendo a la diversidad geográfica de </w:t>
      </w:r>
      <w:r w:rsidR="00296F03" w:rsidRPr="00F05461">
        <w:rPr>
          <w:lang w:val="es-ES"/>
        </w:rPr>
        <w:t>la UIT</w:t>
      </w:r>
      <w:r w:rsidR="007B4979" w:rsidRPr="00F05461">
        <w:rPr>
          <w:lang w:val="es-ES"/>
        </w:rPr>
        <w:t>, y en 2025 se incorporaron seis jóvenes profesionales.</w:t>
      </w:r>
    </w:p>
    <w:p w14:paraId="1C18C74F" w14:textId="7806CD73" w:rsidR="007B4979" w:rsidRPr="00F05461" w:rsidRDefault="00AC3213" w:rsidP="00AC3213">
      <w:pPr>
        <w:pStyle w:val="enumlev2"/>
        <w:rPr>
          <w:lang w:val="es-ES"/>
        </w:rPr>
      </w:pPr>
      <w:r w:rsidRPr="00F05461">
        <w:rPr>
          <w:lang w:val="es-ES"/>
        </w:rPr>
        <w:t>•</w:t>
      </w:r>
      <w:r w:rsidRPr="00F05461">
        <w:rPr>
          <w:lang w:val="es-ES"/>
        </w:rPr>
        <w:tab/>
      </w:r>
      <w:r w:rsidR="00296F03" w:rsidRPr="00F05461">
        <w:rPr>
          <w:lang w:val="es-ES"/>
        </w:rPr>
        <w:t>La UIT</w:t>
      </w:r>
      <w:r w:rsidR="007B4979" w:rsidRPr="00F05461">
        <w:rPr>
          <w:lang w:val="es-ES"/>
        </w:rPr>
        <w:t xml:space="preserve"> prosiguió con sus esfuerzos por promover la paridad de género y la diversidad geográfica de todos los miembros del personal, y los indicadores al respecto se supervisan a lo largo de todo el proceso de contratación. Se elaboró un Plan de Aplicación de la Paridad de Género para respaldar los objetivos de paridad de género de las Naciones Unidas y establecer medidas eficaces para promover la igualdad.</w:t>
      </w:r>
    </w:p>
    <w:p w14:paraId="7DA2D7DF" w14:textId="24A8F513"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El Programa de separación del servicio voluntaria se puso en marcha en marzo </w:t>
      </w:r>
      <w:r w:rsidR="00B933C5" w:rsidRPr="00F05461">
        <w:rPr>
          <w:lang w:val="es-ES"/>
        </w:rPr>
        <w:t>de 202</w:t>
      </w:r>
      <w:r w:rsidR="007B4979" w:rsidRPr="00F05461">
        <w:rPr>
          <w:lang w:val="es-ES"/>
        </w:rPr>
        <w:t xml:space="preserve">3, y se inició una segunda fase en noviembre </w:t>
      </w:r>
      <w:r w:rsidR="00B933C5" w:rsidRPr="00F05461">
        <w:rPr>
          <w:lang w:val="es-ES"/>
        </w:rPr>
        <w:t>de 202</w:t>
      </w:r>
      <w:r w:rsidR="007B4979" w:rsidRPr="00F05461">
        <w:rPr>
          <w:lang w:val="es-ES"/>
        </w:rPr>
        <w:t xml:space="preserve">4, lo que proporcionó flexibilidad para facilitar la reestructuración, dotar a </w:t>
      </w:r>
      <w:r w:rsidR="00296F03" w:rsidRPr="00F05461">
        <w:rPr>
          <w:lang w:val="es-ES"/>
        </w:rPr>
        <w:t>la UIT</w:t>
      </w:r>
      <w:r w:rsidR="007B4979" w:rsidRPr="00F05461">
        <w:rPr>
          <w:lang w:val="es-ES"/>
        </w:rPr>
        <w:t xml:space="preserve"> de competencias y conocimientos adicionales y optimizar la asignación de recursos.</w:t>
      </w:r>
    </w:p>
    <w:p w14:paraId="6B40835D" w14:textId="008892EF" w:rsidR="007B4979" w:rsidRPr="00F05461" w:rsidRDefault="00AC3213" w:rsidP="00476777">
      <w:pPr>
        <w:pStyle w:val="enumlev2"/>
        <w:keepNext/>
        <w:keepLines/>
        <w:rPr>
          <w:lang w:val="es-ES"/>
        </w:rPr>
      </w:pPr>
      <w:r w:rsidRPr="00F05461">
        <w:rPr>
          <w:lang w:val="es-ES"/>
        </w:rPr>
        <w:lastRenderedPageBreak/>
        <w:t>•</w:t>
      </w:r>
      <w:r w:rsidRPr="00F05461">
        <w:rPr>
          <w:lang w:val="es-ES"/>
        </w:rPr>
        <w:tab/>
      </w:r>
      <w:r w:rsidR="007B4979" w:rsidRPr="00F05461">
        <w:rPr>
          <w:lang w:val="es-ES"/>
        </w:rPr>
        <w:t xml:space="preserve">Se fortalecieron la transparencia y la toma de decisiones basada en datos mediante análisis de recursos humanos, incluido el </w:t>
      </w:r>
      <w:hyperlink r:id="rId574" w:history="1">
        <w:r w:rsidR="007B4979" w:rsidRPr="00F05461">
          <w:rPr>
            <w:rStyle w:val="Hyperlink"/>
            <w:rFonts w:eastAsia="Times New Roman" w:cs="Times New Roman"/>
            <w:szCs w:val="20"/>
            <w:lang w:val="es-ES"/>
          </w:rPr>
          <w:t>Panel de control sobre datos analíticos de los miembros del personal</w:t>
        </w:r>
      </w:hyperlink>
      <w:r w:rsidR="007B4979" w:rsidRPr="00F05461">
        <w:rPr>
          <w:lang w:val="es-ES"/>
        </w:rPr>
        <w:t>, puesto a disposición de los Estados Miembros a través del portal web del Consejo y mejorado continuamente en función de las observaciones formuladas.</w:t>
      </w:r>
    </w:p>
    <w:p w14:paraId="062CB129" w14:textId="77777777" w:rsidR="007B4979" w:rsidRPr="00F05461" w:rsidRDefault="007B4979" w:rsidP="00AC3213">
      <w:pPr>
        <w:pStyle w:val="Figure"/>
        <w:rPr>
          <w:lang w:val="es-ES"/>
        </w:rPr>
      </w:pPr>
      <w:r w:rsidRPr="00F05461">
        <w:rPr>
          <w:noProof/>
          <w:lang w:val="es-ES"/>
        </w:rPr>
        <w:drawing>
          <wp:inline distT="0" distB="0" distL="0" distR="0" wp14:anchorId="4A996CB2" wp14:editId="7AEBC379">
            <wp:extent cx="3813806" cy="2174242"/>
            <wp:effectExtent l="0" t="0" r="0" b="0"/>
            <wp:docPr id="438162130" name="Picture 2"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5"/>
                    <a:srcRect/>
                    <a:stretch>
                      <a:fillRect/>
                    </a:stretch>
                  </pic:blipFill>
                  <pic:spPr>
                    <a:xfrm>
                      <a:off x="0" y="0"/>
                      <a:ext cx="3813806" cy="2174242"/>
                    </a:xfrm>
                    <a:prstGeom prst="rect">
                      <a:avLst/>
                    </a:prstGeom>
                    <a:noFill/>
                    <a:ln>
                      <a:noFill/>
                      <a:prstDash/>
                    </a:ln>
                  </pic:spPr>
                </pic:pic>
              </a:graphicData>
            </a:graphic>
          </wp:inline>
        </w:drawing>
      </w:r>
    </w:p>
    <w:p w14:paraId="7B9534BA" w14:textId="73B4510D" w:rsidR="007B4979" w:rsidRPr="00F05461" w:rsidRDefault="00AC3213" w:rsidP="00AC3213">
      <w:pPr>
        <w:pStyle w:val="enumlev1"/>
        <w:rPr>
          <w:b/>
          <w:bCs/>
          <w:lang w:val="es-ES"/>
        </w:rPr>
      </w:pPr>
      <w:r w:rsidRPr="00F05461">
        <w:rPr>
          <w:b/>
          <w:bCs/>
          <w:lang w:val="es-ES"/>
        </w:rPr>
        <w:t>b)</w:t>
      </w:r>
      <w:r w:rsidRPr="00F05461">
        <w:rPr>
          <w:b/>
          <w:bCs/>
          <w:lang w:val="es-ES"/>
        </w:rPr>
        <w:tab/>
      </w:r>
      <w:r w:rsidR="007B4979" w:rsidRPr="00F05461">
        <w:rPr>
          <w:b/>
          <w:bCs/>
          <w:lang w:val="es-ES"/>
        </w:rPr>
        <w:t>Cultura:</w:t>
      </w:r>
    </w:p>
    <w:p w14:paraId="2614C4AC" w14:textId="121D90DE"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En noviembre </w:t>
      </w:r>
      <w:r w:rsidR="00B933C5" w:rsidRPr="00F05461">
        <w:rPr>
          <w:lang w:val="es-ES"/>
        </w:rPr>
        <w:t>de 202</w:t>
      </w:r>
      <w:r w:rsidR="007B4979" w:rsidRPr="00F05461">
        <w:rPr>
          <w:lang w:val="es-ES"/>
        </w:rPr>
        <w:t>4 se puso en marcha un programa integral de desarrollo del liderazgo. Se centró en el liderazgo inclusivo (nivel</w:t>
      </w:r>
      <w:r w:rsidR="00E56B17" w:rsidRPr="00F05461">
        <w:rPr>
          <w:lang w:val="es-ES"/>
        </w:rPr>
        <w:t> </w:t>
      </w:r>
      <w:r w:rsidR="007B4979" w:rsidRPr="00F05461">
        <w:rPr>
          <w:lang w:val="es-ES"/>
        </w:rPr>
        <w:t>P5 y superiores) mediante un módulo específico sobre género, así como en la formación de altos directivos. El desarrollo de las capacidades de liderazgo se fortaleció aún más mediante talleres de liderazgo adaptativo destinado a profesionales de grado</w:t>
      </w:r>
      <w:r w:rsidR="00B845F5" w:rsidRPr="00F05461">
        <w:rPr>
          <w:lang w:val="es-ES"/>
        </w:rPr>
        <w:t> </w:t>
      </w:r>
      <w:r w:rsidR="007B4979" w:rsidRPr="00F05461">
        <w:rPr>
          <w:lang w:val="es-ES"/>
        </w:rPr>
        <w:t xml:space="preserve">P4 y superiores, y a través del programa </w:t>
      </w:r>
      <w:bookmarkStart w:id="133" w:name="_Hlk226972572"/>
      <w:r w:rsidR="007B4979" w:rsidRPr="00F05461">
        <w:rPr>
          <w:lang w:val="es-ES"/>
        </w:rPr>
        <w:t>«</w:t>
      </w:r>
      <w:bookmarkEnd w:id="133"/>
      <w:r w:rsidR="007B4979" w:rsidRPr="00F05461">
        <w:rPr>
          <w:lang w:val="es-ES"/>
        </w:rPr>
        <w:t xml:space="preserve">Futuros líderes de </w:t>
      </w:r>
      <w:r w:rsidR="00296F03" w:rsidRPr="00F05461">
        <w:rPr>
          <w:lang w:val="es-ES"/>
        </w:rPr>
        <w:t>la UIT</w:t>
      </w:r>
      <w:r w:rsidR="007B4979" w:rsidRPr="00F05461">
        <w:rPr>
          <w:lang w:val="es-ES"/>
        </w:rPr>
        <w:t>» para propiciar cambios, que fortaleció el liderazgo para facilitar transformaciones y aumentar la eficacia de los equipos de trabajo.</w:t>
      </w:r>
    </w:p>
    <w:p w14:paraId="05C9D321" w14:textId="0F3F65A3"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Se elaboró el primer Plan de Acción sobre </w:t>
      </w:r>
      <w:r w:rsidR="00B845F5" w:rsidRPr="00F05461">
        <w:rPr>
          <w:lang w:val="es-ES"/>
        </w:rPr>
        <w:t>s</w:t>
      </w:r>
      <w:r w:rsidR="007B4979" w:rsidRPr="00F05461">
        <w:rPr>
          <w:lang w:val="es-ES"/>
        </w:rPr>
        <w:t xml:space="preserve">alud </w:t>
      </w:r>
      <w:r w:rsidR="00B845F5" w:rsidRPr="00F05461">
        <w:rPr>
          <w:lang w:val="es-ES"/>
        </w:rPr>
        <w:t>m</w:t>
      </w:r>
      <w:r w:rsidR="007B4979" w:rsidRPr="00F05461">
        <w:rPr>
          <w:lang w:val="es-ES"/>
        </w:rPr>
        <w:t xml:space="preserve">ental y </w:t>
      </w:r>
      <w:r w:rsidR="00B845F5" w:rsidRPr="00F05461">
        <w:rPr>
          <w:lang w:val="es-ES"/>
        </w:rPr>
        <w:t>b</w:t>
      </w:r>
      <w:r w:rsidR="007B4979" w:rsidRPr="00F05461">
        <w:rPr>
          <w:lang w:val="es-ES"/>
        </w:rPr>
        <w:t>ienestar a raíz de los resultados de la encuesta de salud efectuada en 2023 en todo el sistema de las Naciones Unidas, y constituye un elemento fundamental de la Agenda sobre Personas y Cultura. El plan adopta un enfoque holístico del bienestar que abarca aspectos de índole física, psicológica y social, en particular actividades de prevención, intervención temprana y apoyo sostenido.</w:t>
      </w:r>
    </w:p>
    <w:p w14:paraId="2AB547E5" w14:textId="48CF65A1" w:rsidR="007B4979" w:rsidRPr="00F05461" w:rsidRDefault="00AC3213" w:rsidP="00AC3213">
      <w:pPr>
        <w:pStyle w:val="enumlev2"/>
        <w:rPr>
          <w:lang w:val="es-ES"/>
        </w:rPr>
      </w:pPr>
      <w:r w:rsidRPr="00F05461">
        <w:rPr>
          <w:lang w:val="es-ES"/>
        </w:rPr>
        <w:t>•</w:t>
      </w:r>
      <w:r w:rsidRPr="00F05461">
        <w:rPr>
          <w:lang w:val="es-ES"/>
        </w:rPr>
        <w:tab/>
      </w:r>
      <w:r w:rsidR="00296F03" w:rsidRPr="00F05461">
        <w:rPr>
          <w:lang w:val="es-ES"/>
        </w:rPr>
        <w:t>La UIT</w:t>
      </w:r>
      <w:r w:rsidR="007B4979" w:rsidRPr="00F05461">
        <w:rPr>
          <w:lang w:val="es-ES"/>
        </w:rPr>
        <w:t xml:space="preserve"> llevó a cabo su primera Encuesta sobre participación de los miembros del personal en enero </w:t>
      </w:r>
      <w:r w:rsidR="00B933C5" w:rsidRPr="00F05461">
        <w:rPr>
          <w:lang w:val="es-ES"/>
        </w:rPr>
        <w:t>de 202</w:t>
      </w:r>
      <w:r w:rsidR="007B4979" w:rsidRPr="00F05461">
        <w:rPr>
          <w:lang w:val="es-ES"/>
        </w:rPr>
        <w:t xml:space="preserve">5, con arreglo a un índice de participación del 72 por ciento. La organización celebró una reunión abierta para todo el personal y un taller destinado a debatir los resultados y desarrollar soluciones conjuntas para los retos identificados. El plan de acción de supervisión incluye iniciativas aplicables a toda la organización, en particular, reuniones de puertas abiertas con funcionarios de elección, jornadas sobre innovación, una serie de almuerzos oficiosos y un programa de actividades de mentoría para toda </w:t>
      </w:r>
      <w:r w:rsidR="00296F03" w:rsidRPr="00F05461">
        <w:rPr>
          <w:lang w:val="es-ES"/>
        </w:rPr>
        <w:t>la UIT</w:t>
      </w:r>
      <w:r w:rsidR="007B4979" w:rsidRPr="00F05461">
        <w:rPr>
          <w:lang w:val="es-ES"/>
        </w:rPr>
        <w:t>, así como acciones a nivel de departamento y de oficina iniciadas conjuntamente desde la base.</w:t>
      </w:r>
    </w:p>
    <w:p w14:paraId="0793EACC" w14:textId="2B2435E7" w:rsidR="007B4979" w:rsidRPr="00F05461" w:rsidRDefault="00AC3213" w:rsidP="00476777">
      <w:pPr>
        <w:pStyle w:val="enumlev2"/>
        <w:keepNext/>
        <w:keepLines/>
        <w:rPr>
          <w:lang w:val="es-ES"/>
        </w:rPr>
      </w:pPr>
      <w:r w:rsidRPr="00F05461">
        <w:rPr>
          <w:lang w:val="es-ES"/>
        </w:rPr>
        <w:lastRenderedPageBreak/>
        <w:t>•</w:t>
      </w:r>
      <w:r w:rsidRPr="00F05461">
        <w:rPr>
          <w:lang w:val="es-ES"/>
        </w:rPr>
        <w:tab/>
      </w:r>
      <w:r w:rsidR="007B4979" w:rsidRPr="00F05461">
        <w:rPr>
          <w:lang w:val="es-ES"/>
        </w:rPr>
        <w:t xml:space="preserve">Se han fortalecido las actividades de entrega de premios y de reconocimiento mediante un marco integral para poner de manifiesto el servicio y el rendimiento. La Ceremonia de Reconocimiento por Antigüedad de Servicio, celebrada el 8 de diciembre </w:t>
      </w:r>
      <w:r w:rsidR="00B933C5" w:rsidRPr="00F05461">
        <w:rPr>
          <w:lang w:val="es-ES"/>
        </w:rPr>
        <w:t>de 202</w:t>
      </w:r>
      <w:r w:rsidR="007B4979" w:rsidRPr="00F05461">
        <w:rPr>
          <w:lang w:val="es-ES"/>
        </w:rPr>
        <w:t>5, rindió homenaje y honró a 210</w:t>
      </w:r>
      <w:r w:rsidR="00E56B17" w:rsidRPr="00F05461">
        <w:rPr>
          <w:lang w:val="es-ES"/>
        </w:rPr>
        <w:t> </w:t>
      </w:r>
      <w:r w:rsidR="007B4979" w:rsidRPr="00F05461">
        <w:rPr>
          <w:lang w:val="es-ES"/>
        </w:rPr>
        <w:t>colegas que han dedicado más de 20</w:t>
      </w:r>
      <w:r w:rsidR="00E56B17" w:rsidRPr="00F05461">
        <w:rPr>
          <w:lang w:val="es-ES"/>
        </w:rPr>
        <w:t> </w:t>
      </w:r>
      <w:r w:rsidR="007B4979" w:rsidRPr="00F05461">
        <w:rPr>
          <w:lang w:val="es-ES"/>
        </w:rPr>
        <w:t xml:space="preserve">años de servicio a </w:t>
      </w:r>
      <w:r w:rsidR="00296F03" w:rsidRPr="00F05461">
        <w:rPr>
          <w:lang w:val="es-ES"/>
        </w:rPr>
        <w:t>la UIT</w:t>
      </w:r>
      <w:r w:rsidR="007B4979" w:rsidRPr="00F05461">
        <w:rPr>
          <w:lang w:val="es-ES"/>
        </w:rPr>
        <w:t xml:space="preserve">. Sobre esa base, el marco se seguirá aplicando en 2026 mediante la puesta en marcha del segundo pilar, los Premios por Equipo, que reconocen los logros conjuntos y promueven la participación, la colaboración y el sentido de utilidad y pertenencia en </w:t>
      </w:r>
      <w:r w:rsidR="00296F03" w:rsidRPr="00F05461">
        <w:rPr>
          <w:lang w:val="es-ES"/>
        </w:rPr>
        <w:t>la UIT</w:t>
      </w:r>
      <w:r w:rsidR="007B4979" w:rsidRPr="00F05461">
        <w:rPr>
          <w:lang w:val="es-ES"/>
        </w:rPr>
        <w:t>, complementados con menciones oficiosas y muestras de agradecimiento de los superiores para garantizar que las personas se sientan valoradas.</w:t>
      </w:r>
    </w:p>
    <w:p w14:paraId="50A335FA" w14:textId="67A2DE7A"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En virtud de los memorandos de entendimiento suscritos por </w:t>
      </w:r>
      <w:r w:rsidR="00296F03" w:rsidRPr="00F05461">
        <w:rPr>
          <w:lang w:val="es-ES"/>
        </w:rPr>
        <w:t>la UIT</w:t>
      </w:r>
      <w:r w:rsidR="007B4979" w:rsidRPr="00F05461">
        <w:rPr>
          <w:lang w:val="es-ES"/>
        </w:rPr>
        <w:t>, en colaboración con la</w:t>
      </w:r>
      <w:r w:rsidR="00775D59" w:rsidRPr="00F05461">
        <w:rPr>
          <w:lang w:val="es-ES"/>
        </w:rPr>
        <w:t> </w:t>
      </w:r>
      <w:r w:rsidR="007B4979" w:rsidRPr="00F05461">
        <w:rPr>
          <w:lang w:val="es-ES"/>
        </w:rPr>
        <w:t xml:space="preserve">OMPI y los Servicios de Ombudsman y Mediación de las Naciones Unidas (OSMNU), el nuevo </w:t>
      </w:r>
      <w:r w:rsidR="004866FF" w:rsidRPr="00F05461">
        <w:rPr>
          <w:lang w:val="es-ES"/>
        </w:rPr>
        <w:t>m</w:t>
      </w:r>
      <w:r w:rsidR="007B4979" w:rsidRPr="00F05461">
        <w:rPr>
          <w:lang w:val="es-ES"/>
        </w:rPr>
        <w:t xml:space="preserve">ediador asumió sus funciones en </w:t>
      </w:r>
      <w:r w:rsidR="00296F03" w:rsidRPr="00F05461">
        <w:rPr>
          <w:lang w:val="es-ES"/>
        </w:rPr>
        <w:t>la UIT</w:t>
      </w:r>
      <w:r w:rsidR="007B4979" w:rsidRPr="00F05461">
        <w:rPr>
          <w:lang w:val="es-ES"/>
        </w:rPr>
        <w:t xml:space="preserve"> el 5 de enero </w:t>
      </w:r>
      <w:r w:rsidR="00B933C5" w:rsidRPr="00F05461">
        <w:rPr>
          <w:lang w:val="es-ES"/>
        </w:rPr>
        <w:t>de 202</w:t>
      </w:r>
      <w:r w:rsidR="007B4979" w:rsidRPr="00F05461">
        <w:rPr>
          <w:lang w:val="es-ES"/>
        </w:rPr>
        <w:t>6.</w:t>
      </w:r>
    </w:p>
    <w:p w14:paraId="205A958F" w14:textId="1F3519AF" w:rsidR="007B4979" w:rsidRPr="00F05461" w:rsidRDefault="00AC3213" w:rsidP="008A3A8C">
      <w:pPr>
        <w:pStyle w:val="enumlev1"/>
        <w:keepNext/>
        <w:keepLines/>
        <w:rPr>
          <w:b/>
          <w:bCs/>
          <w:lang w:val="es-ES"/>
        </w:rPr>
      </w:pPr>
      <w:r w:rsidRPr="00F05461">
        <w:rPr>
          <w:b/>
          <w:bCs/>
          <w:lang w:val="es-ES"/>
        </w:rPr>
        <w:t>c)</w:t>
      </w:r>
      <w:r w:rsidRPr="00F05461">
        <w:rPr>
          <w:b/>
          <w:bCs/>
          <w:lang w:val="es-ES"/>
        </w:rPr>
        <w:tab/>
      </w:r>
      <w:r w:rsidR="007B4979" w:rsidRPr="00F05461">
        <w:rPr>
          <w:b/>
          <w:bCs/>
          <w:lang w:val="es-ES"/>
        </w:rPr>
        <w:t>Servicios:</w:t>
      </w:r>
    </w:p>
    <w:p w14:paraId="4E284B57" w14:textId="0AE0739D" w:rsidR="007B4979" w:rsidRPr="00F05461" w:rsidRDefault="00AC3213" w:rsidP="008A3A8C">
      <w:pPr>
        <w:pStyle w:val="enumlev2"/>
        <w:keepNext/>
        <w:keepLines/>
        <w:rPr>
          <w:lang w:val="es-ES"/>
        </w:rPr>
      </w:pPr>
      <w:r w:rsidRPr="00F05461">
        <w:rPr>
          <w:lang w:val="es-ES"/>
        </w:rPr>
        <w:t>•</w:t>
      </w:r>
      <w:r w:rsidRPr="00F05461">
        <w:rPr>
          <w:lang w:val="es-ES"/>
        </w:rPr>
        <w:tab/>
      </w:r>
      <w:r w:rsidR="007B4979" w:rsidRPr="00F05461">
        <w:rPr>
          <w:lang w:val="es-ES"/>
        </w:rPr>
        <w:t xml:space="preserve">HRMD prosiguió la modernización del marco normativo de </w:t>
      </w:r>
      <w:r w:rsidR="00296F03" w:rsidRPr="00F05461">
        <w:rPr>
          <w:lang w:val="es-ES"/>
        </w:rPr>
        <w:t>la UIT</w:t>
      </w:r>
      <w:r w:rsidR="007B4979" w:rsidRPr="00F05461">
        <w:rPr>
          <w:lang w:val="es-ES"/>
        </w:rPr>
        <w:t xml:space="preserve"> mediante la actualización e implantación de políticas para adaptarse mejor a la evolución de sus miembros de personal. Las revisiones en curso han abarcado esferas clave, como la contratación de duración determinada, los contratos de consultoría, la contratación a corto plazo, y derechos y prestaciones tales como el subsidio de alquiler, becas de estudios y prestaciones por personas a cargo.</w:t>
      </w:r>
    </w:p>
    <w:p w14:paraId="7ADF31E0" w14:textId="644BCD28"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Se introdujo la primera fase del Marco de Delegación de Autoridad (DoA) de Recursos Humanos para facilitar los procesos de aprobación a nivel personal, a fin de facilitar la toma de decisiones en asuntos clave al respecto. Por otro lado, HRMD lidera una iniciativa para toda la Unión destinada a desarrollar un marco holístico sobre DoA para </w:t>
      </w:r>
      <w:r w:rsidR="00296F03" w:rsidRPr="00F05461">
        <w:rPr>
          <w:lang w:val="es-ES"/>
        </w:rPr>
        <w:t>la UIT</w:t>
      </w:r>
      <w:r w:rsidR="007B4979" w:rsidRPr="00F05461">
        <w:rPr>
          <w:lang w:val="es-ES"/>
        </w:rPr>
        <w:t>.</w:t>
      </w:r>
    </w:p>
    <w:p w14:paraId="5F896671" w14:textId="27CEC39D"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Se elaboró un procedimiento operacional normalizado (SOP) para pagos en el marco de los Acuerdos Especiales de Servicio (SSA) con el fin de garantizar el cierre oportuno de los contratos, incluida la certificación de los responsables pertinentes de que se han alcanzado satisfactoriamente los resultados previstos. Por otro lado, se introdujo una directriz sobre conflictos de intereses para los</w:t>
      </w:r>
      <w:r w:rsidR="00E56B17" w:rsidRPr="00F05461">
        <w:rPr>
          <w:lang w:val="es-ES"/>
        </w:rPr>
        <w:t> </w:t>
      </w:r>
      <w:r w:rsidR="007B4979" w:rsidRPr="00F05461">
        <w:rPr>
          <w:lang w:val="es-ES"/>
        </w:rPr>
        <w:t>SSA con el fin de facilitar la declaración y supervisión de conflictos reales o potenciales, a fin de velar por el cumplimiento de las normas éticas.</w:t>
      </w:r>
    </w:p>
    <w:p w14:paraId="352BF7DC" w14:textId="683C2006"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HRMD fortaleció su compromiso con la rendición de cuentas mediante la supervisión y resolución de forma sistemática de recomendaciones de auditoría pendientes, mediante un enfoque estructurado en consonancia con las prioridades de gestión de riesgos de </w:t>
      </w:r>
      <w:r w:rsidR="00296F03" w:rsidRPr="00F05461">
        <w:rPr>
          <w:lang w:val="es-ES"/>
        </w:rPr>
        <w:t>la UIT</w:t>
      </w:r>
      <w:r w:rsidR="007B4979" w:rsidRPr="00F05461">
        <w:rPr>
          <w:lang w:val="es-ES"/>
        </w:rPr>
        <w:t>.</w:t>
      </w:r>
    </w:p>
    <w:p w14:paraId="72D08198" w14:textId="7502B3EB"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Se sigue abordando la política de teletrabajo y modalidades de trabajo flexibles. Se ha elaborado la orden de servicio pertinente y se han planificado actividades de comunicación y formación para garantizar una transición fluida.</w:t>
      </w:r>
    </w:p>
    <w:p w14:paraId="440899C8" w14:textId="16D9D50A" w:rsidR="007B4979" w:rsidRPr="00F05461" w:rsidRDefault="00AC3213" w:rsidP="00AC3213">
      <w:pPr>
        <w:pStyle w:val="enumlev2"/>
        <w:rPr>
          <w:lang w:val="es-ES"/>
        </w:rPr>
      </w:pPr>
      <w:r w:rsidRPr="00F05461">
        <w:rPr>
          <w:lang w:val="es-ES"/>
        </w:rPr>
        <w:t>•</w:t>
      </w:r>
      <w:r w:rsidRPr="00F05461">
        <w:rPr>
          <w:lang w:val="es-ES"/>
        </w:rPr>
        <w:tab/>
      </w:r>
      <w:r w:rsidR="007B4979" w:rsidRPr="00F05461">
        <w:rPr>
          <w:lang w:val="es-ES"/>
        </w:rPr>
        <w:t xml:space="preserve">Se establecieron varios SOP para situaciones de emergencia destinados al personal de las oficinas sobre el terreno o en misión, en estrecha colaboración con el Consejo del Personal, con el fin de mejorar la preparación de </w:t>
      </w:r>
      <w:r w:rsidR="00296F03" w:rsidRPr="00F05461">
        <w:rPr>
          <w:lang w:val="es-ES"/>
        </w:rPr>
        <w:t>la UIT</w:t>
      </w:r>
      <w:r w:rsidR="007B4979" w:rsidRPr="00F05461">
        <w:rPr>
          <w:lang w:val="es-ES"/>
        </w:rPr>
        <w:t xml:space="preserve"> ante emergencias y los protocolos de seguridad de los miembros del personal.</w:t>
      </w:r>
    </w:p>
    <w:p w14:paraId="19006759" w14:textId="29EFE564" w:rsidR="007B4979" w:rsidRPr="00F05461" w:rsidRDefault="00AC3213" w:rsidP="00AC3213">
      <w:pPr>
        <w:pStyle w:val="enumlev2"/>
        <w:rPr>
          <w:lang w:val="es-ES"/>
        </w:rPr>
      </w:pPr>
      <w:r w:rsidRPr="00F05461">
        <w:rPr>
          <w:lang w:val="es-ES"/>
        </w:rPr>
        <w:lastRenderedPageBreak/>
        <w:t>•</w:t>
      </w:r>
      <w:r w:rsidRPr="00F05461">
        <w:rPr>
          <w:lang w:val="es-ES"/>
        </w:rPr>
        <w:tab/>
      </w:r>
      <w:r w:rsidR="00296F03" w:rsidRPr="00F05461">
        <w:rPr>
          <w:lang w:val="es-ES"/>
        </w:rPr>
        <w:t>La UIT</w:t>
      </w:r>
      <w:r w:rsidR="007B4979" w:rsidRPr="00F05461">
        <w:rPr>
          <w:lang w:val="es-ES"/>
        </w:rPr>
        <w:t xml:space="preserve"> participó activamente en el primer proyecto interinstitucional del sistema de las Naciones Unidas sobre IA generativa, y coordinó el desarrollo de un chatbot de</w:t>
      </w:r>
      <w:r w:rsidR="003C7DDE">
        <w:rPr>
          <w:lang w:val="es-ES"/>
        </w:rPr>
        <w:t> </w:t>
      </w:r>
      <w:r w:rsidR="007B4979" w:rsidRPr="00F05461">
        <w:rPr>
          <w:lang w:val="es-ES"/>
        </w:rPr>
        <w:t xml:space="preserve">IA para el análisis de políticas de recursos humanos y consultas de los miembros del personal. Actualmente está en fase de ampliación para abarcar todo el personal de </w:t>
      </w:r>
      <w:r w:rsidR="00296F03" w:rsidRPr="00F05461">
        <w:rPr>
          <w:lang w:val="es-ES"/>
        </w:rPr>
        <w:t>la UIT</w:t>
      </w:r>
      <w:r w:rsidR="007B4979" w:rsidRPr="00F05461">
        <w:rPr>
          <w:lang w:val="es-ES"/>
        </w:rPr>
        <w:t>, y la evaluación del proyecto está prevista para 2026.</w:t>
      </w:r>
    </w:p>
    <w:p w14:paraId="3F898511" w14:textId="27E8020B" w:rsidR="007B4979" w:rsidRPr="00F05461" w:rsidRDefault="007B4979" w:rsidP="007B4979">
      <w:pPr>
        <w:pStyle w:val="Heading2"/>
        <w:rPr>
          <w:lang w:val="es-ES"/>
        </w:rPr>
      </w:pPr>
      <w:bookmarkStart w:id="134" w:name="_Toc224288840"/>
      <w:bookmarkStart w:id="135" w:name="_Toc227137500"/>
      <w:r w:rsidRPr="00F05461">
        <w:rPr>
          <w:lang w:val="es-ES"/>
        </w:rPr>
        <w:t>5.9</w:t>
      </w:r>
      <w:r w:rsidRPr="00F05461">
        <w:rPr>
          <w:lang w:val="es-ES"/>
        </w:rPr>
        <w:tab/>
        <w:t>Situación de la aplicación de las Resoluciones de la</w:t>
      </w:r>
      <w:r w:rsidR="00E56B17" w:rsidRPr="00F05461">
        <w:rPr>
          <w:lang w:val="es-ES"/>
        </w:rPr>
        <w:t> </w:t>
      </w:r>
      <w:r w:rsidRPr="00F05461">
        <w:rPr>
          <w:lang w:val="es-ES"/>
        </w:rPr>
        <w:t>PP</w:t>
      </w:r>
      <w:bookmarkEnd w:id="134"/>
      <w:bookmarkEnd w:id="135"/>
    </w:p>
    <w:p w14:paraId="19C2BECF" w14:textId="5E83ABB0" w:rsidR="007B4979" w:rsidRPr="00F05461" w:rsidRDefault="007B4979" w:rsidP="007B4979">
      <w:pPr>
        <w:rPr>
          <w:lang w:val="es-ES"/>
        </w:rPr>
      </w:pPr>
      <w:r w:rsidRPr="00F05461">
        <w:rPr>
          <w:lang w:val="es-ES"/>
        </w:rPr>
        <w:t>La situación de la aplicación de las Resoluciones de</w:t>
      </w:r>
      <w:r w:rsidR="00E56B17" w:rsidRPr="00F05461">
        <w:rPr>
          <w:lang w:val="es-ES"/>
        </w:rPr>
        <w:t xml:space="preserve"> </w:t>
      </w:r>
      <w:r w:rsidRPr="00F05461">
        <w:rPr>
          <w:lang w:val="es-ES"/>
        </w:rPr>
        <w:t>l</w:t>
      </w:r>
      <w:r w:rsidR="00E56B17" w:rsidRPr="00F05461">
        <w:rPr>
          <w:lang w:val="es-ES"/>
        </w:rPr>
        <w:t>a </w:t>
      </w:r>
      <w:r w:rsidRPr="00F05461">
        <w:rPr>
          <w:lang w:val="es-ES"/>
        </w:rPr>
        <w:t xml:space="preserve">PP puede consultarse a través de la plataforma web pertinente en </w:t>
      </w:r>
      <w:hyperlink r:id="rId576" w:history="1">
        <w:r w:rsidRPr="00476777">
          <w:rPr>
            <w:rStyle w:val="Hyperlink"/>
            <w:rFonts w:eastAsia="Times New Roman" w:cs="Times New Roman"/>
            <w:b/>
            <w:bCs/>
            <w:szCs w:val="20"/>
            <w:lang w:val="es-ES"/>
          </w:rPr>
          <w:t>esta página web</w:t>
        </w:r>
      </w:hyperlink>
      <w:r w:rsidRPr="00F05461">
        <w:rPr>
          <w:lang w:val="es-ES"/>
        </w:rPr>
        <w:t>.</w:t>
      </w:r>
    </w:p>
    <w:p w14:paraId="0EFD3E75" w14:textId="77777777" w:rsidR="00EE4C42" w:rsidRPr="00F05461" w:rsidRDefault="00EE4C42" w:rsidP="0032202E">
      <w:pPr>
        <w:pStyle w:val="Reasons"/>
        <w:rPr>
          <w:lang w:val="es-ES"/>
        </w:rPr>
      </w:pPr>
    </w:p>
    <w:p w14:paraId="64A43F5F" w14:textId="77777777" w:rsidR="00F92BED" w:rsidRPr="00F05461" w:rsidRDefault="00F92BED" w:rsidP="00F92BED">
      <w:pPr>
        <w:jc w:val="center"/>
        <w:rPr>
          <w:lang w:val="es-ES"/>
        </w:rPr>
      </w:pPr>
      <w:r w:rsidRPr="00F05461">
        <w:rPr>
          <w:lang w:val="es-ES"/>
        </w:rPr>
        <w:t>______________</w:t>
      </w:r>
    </w:p>
    <w:sectPr w:rsidR="00F92BED" w:rsidRPr="00F05461" w:rsidSect="009776E2">
      <w:headerReference w:type="default" r:id="rId577"/>
      <w:footerReference w:type="default" r:id="rId578"/>
      <w:headerReference w:type="first" r:id="rId579"/>
      <w:footerReference w:type="first" r:id="rId580"/>
      <w:pgSz w:w="11907" w:h="16834"/>
      <w:pgMar w:top="1418" w:right="1418" w:bottom="1418" w:left="1418" w:header="720" w:footer="720" w:gutter="0"/>
      <w:paperSrc w:first="286" w:other="286"/>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0ED0" w14:textId="77777777" w:rsidR="009A7E42" w:rsidRDefault="009A7E42">
      <w:r>
        <w:separator/>
      </w:r>
    </w:p>
  </w:endnote>
  <w:endnote w:type="continuationSeparator" w:id="0">
    <w:p w14:paraId="0E5BCFC7" w14:textId="77777777" w:rsidR="009A7E42" w:rsidRDefault="009A7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 w:name="Avenir Nxt2 W1G">
    <w:panose1 w:val="00000000000000000000"/>
    <w:charset w:val="00"/>
    <w:family w:val="swiss"/>
    <w:notTrueType/>
    <w:pitch w:val="variable"/>
    <w:sig w:usb0="A00002EF" w:usb1="00000003" w:usb2="00000000" w:usb3="00000000" w:csb0="0000019F" w:csb1="00000000"/>
  </w:font>
  <w:font w:name="AvenirNext LT Pro Light">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3273A4" w:rsidRPr="00784011" w14:paraId="5E560F7D" w14:textId="77777777" w:rsidTr="00E31DCE">
      <w:trPr>
        <w:jc w:val="center"/>
      </w:trPr>
      <w:tc>
        <w:tcPr>
          <w:tcW w:w="1803" w:type="dxa"/>
          <w:vAlign w:val="center"/>
        </w:tcPr>
        <w:p w14:paraId="10ACDFDC" w14:textId="0C3FA4AE" w:rsidR="003273A4" w:rsidRDefault="00B1145C" w:rsidP="003273A4">
          <w:pPr>
            <w:pStyle w:val="Header"/>
            <w:jc w:val="left"/>
            <w:rPr>
              <w:noProof/>
            </w:rPr>
          </w:pPr>
          <w:r>
            <w:rPr>
              <w:noProof/>
            </w:rPr>
            <w:t>2600624</w:t>
          </w:r>
        </w:p>
      </w:tc>
      <w:tc>
        <w:tcPr>
          <w:tcW w:w="8261" w:type="dxa"/>
        </w:tcPr>
        <w:p w14:paraId="5314C1A7" w14:textId="3312551C" w:rsidR="003273A4" w:rsidRPr="00E06FD5" w:rsidRDefault="003273A4" w:rsidP="00B060DF">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F85E5C">
            <w:rPr>
              <w:bCs/>
            </w:rPr>
            <w:t>6</w:t>
          </w:r>
          <w:r w:rsidRPr="00623AE3">
            <w:rPr>
              <w:bCs/>
            </w:rPr>
            <w:t>/</w:t>
          </w:r>
          <w:r w:rsidR="00B1145C">
            <w:rPr>
              <w:bCs/>
            </w:rPr>
            <w:t>35</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4A0AC56B" w14:textId="77777777" w:rsidR="002523E1" w:rsidRPr="00312480" w:rsidRDefault="002523E1" w:rsidP="00312480">
    <w:pPr>
      <w:spacing w:before="0"/>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F24B71" w:rsidRPr="00784011" w14:paraId="00319E82" w14:textId="77777777" w:rsidTr="00E31DCE">
      <w:trPr>
        <w:jc w:val="center"/>
      </w:trPr>
      <w:tc>
        <w:tcPr>
          <w:tcW w:w="1803" w:type="dxa"/>
          <w:vAlign w:val="center"/>
        </w:tcPr>
        <w:p w14:paraId="095DD7FB" w14:textId="534555D1" w:rsidR="00F24B71" w:rsidRPr="002946E2" w:rsidRDefault="00F85E5C" w:rsidP="00F24B71">
          <w:pPr>
            <w:pStyle w:val="Header"/>
            <w:jc w:val="left"/>
            <w:rPr>
              <w:noProof/>
            </w:rPr>
          </w:pPr>
          <w:hyperlink r:id="rId1" w:anchor="/es" w:history="1">
            <w:r>
              <w:rPr>
                <w:rStyle w:val="Hyperlink"/>
                <w:noProof/>
              </w:rPr>
              <w:t>council.itu.int/2026</w:t>
            </w:r>
          </w:hyperlink>
        </w:p>
      </w:tc>
      <w:tc>
        <w:tcPr>
          <w:tcW w:w="8261" w:type="dxa"/>
        </w:tcPr>
        <w:p w14:paraId="70336EE1" w14:textId="741B265D" w:rsidR="00F24B71" w:rsidRPr="00E06FD5" w:rsidRDefault="00F24B71" w:rsidP="00B060DF">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F85E5C">
            <w:rPr>
              <w:bCs/>
            </w:rPr>
            <w:t>6</w:t>
          </w:r>
          <w:r w:rsidRPr="00623AE3">
            <w:rPr>
              <w:bCs/>
            </w:rPr>
            <w:t>/</w:t>
          </w:r>
          <w:r w:rsidR="00B1145C">
            <w:rPr>
              <w:bCs/>
            </w:rPr>
            <w:t>35</w:t>
          </w:r>
          <w:r w:rsidRPr="00623AE3">
            <w:rPr>
              <w:bCs/>
            </w:rPr>
            <w:t>-</w:t>
          </w:r>
          <w:r w:rsidR="003273A4">
            <w:rPr>
              <w:bCs/>
            </w:rPr>
            <w:t>S</w:t>
          </w:r>
          <w:r>
            <w:rPr>
              <w:bCs/>
            </w:rPr>
            <w:tab/>
          </w:r>
          <w:r>
            <w:fldChar w:fldCharType="begin"/>
          </w:r>
          <w:r>
            <w:instrText>PAGE</w:instrText>
          </w:r>
          <w:r>
            <w:fldChar w:fldCharType="separate"/>
          </w:r>
          <w:r>
            <w:t>1</w:t>
          </w:r>
          <w:r>
            <w:rPr>
              <w:noProof/>
            </w:rPr>
            <w:fldChar w:fldCharType="end"/>
          </w:r>
        </w:p>
      </w:tc>
    </w:tr>
  </w:tbl>
  <w:p w14:paraId="0A9AA2F1" w14:textId="77777777" w:rsidR="00760F1C" w:rsidRPr="00F24B71" w:rsidRDefault="00760F1C" w:rsidP="00F24B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9776E2" w:rsidRPr="00784011" w14:paraId="0F8FC99B" w14:textId="77777777" w:rsidTr="00E31DCE">
      <w:trPr>
        <w:jc w:val="center"/>
      </w:trPr>
      <w:tc>
        <w:tcPr>
          <w:tcW w:w="1803" w:type="dxa"/>
          <w:vAlign w:val="center"/>
        </w:tcPr>
        <w:p w14:paraId="3624F0AD" w14:textId="77777777" w:rsidR="009776E2" w:rsidRDefault="009776E2" w:rsidP="003273A4">
          <w:pPr>
            <w:pStyle w:val="Header"/>
            <w:jc w:val="left"/>
            <w:rPr>
              <w:noProof/>
            </w:rPr>
          </w:pPr>
          <w:r>
            <w:rPr>
              <w:noProof/>
            </w:rPr>
            <w:t>2600624</w:t>
          </w:r>
        </w:p>
      </w:tc>
      <w:tc>
        <w:tcPr>
          <w:tcW w:w="8261" w:type="dxa"/>
        </w:tcPr>
        <w:p w14:paraId="4231E7A0" w14:textId="77777777" w:rsidR="009776E2" w:rsidRPr="00E06FD5" w:rsidRDefault="009776E2" w:rsidP="00B060DF">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26</w:t>
          </w:r>
          <w:r w:rsidRPr="00623AE3">
            <w:rPr>
              <w:bCs/>
            </w:rPr>
            <w:t>/</w:t>
          </w:r>
          <w:r>
            <w:rPr>
              <w:bCs/>
            </w:rPr>
            <w:t>35</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1A36090A" w14:textId="77777777" w:rsidR="009776E2" w:rsidRPr="00312480" w:rsidRDefault="009776E2" w:rsidP="00312480">
    <w:pPr>
      <w:spacing w:before="0"/>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9776E2" w:rsidRPr="00784011" w14:paraId="2A27E285" w14:textId="77777777" w:rsidTr="00443BB4">
      <w:trPr>
        <w:jc w:val="center"/>
      </w:trPr>
      <w:tc>
        <w:tcPr>
          <w:tcW w:w="1803" w:type="dxa"/>
          <w:vAlign w:val="center"/>
        </w:tcPr>
        <w:p w14:paraId="0FC505D5" w14:textId="77777777" w:rsidR="009776E2" w:rsidRDefault="009776E2" w:rsidP="009776E2">
          <w:pPr>
            <w:pStyle w:val="Header"/>
            <w:jc w:val="left"/>
            <w:rPr>
              <w:noProof/>
            </w:rPr>
          </w:pPr>
          <w:r>
            <w:rPr>
              <w:noProof/>
            </w:rPr>
            <w:t>2600624</w:t>
          </w:r>
        </w:p>
      </w:tc>
      <w:tc>
        <w:tcPr>
          <w:tcW w:w="8261" w:type="dxa"/>
        </w:tcPr>
        <w:p w14:paraId="147D68BD" w14:textId="77777777" w:rsidR="009776E2" w:rsidRPr="00E06FD5" w:rsidRDefault="009776E2" w:rsidP="009776E2">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26</w:t>
          </w:r>
          <w:r w:rsidRPr="00623AE3">
            <w:rPr>
              <w:bCs/>
            </w:rPr>
            <w:t>/</w:t>
          </w:r>
          <w:r>
            <w:rPr>
              <w:bCs/>
            </w:rPr>
            <w:t>35</w:t>
          </w:r>
          <w:r w:rsidRPr="00623AE3">
            <w:rPr>
              <w:bCs/>
            </w:rPr>
            <w:t>-</w:t>
          </w:r>
          <w:r>
            <w:rPr>
              <w:bCs/>
            </w:rPr>
            <w:t>S</w:t>
          </w:r>
          <w:r>
            <w:rPr>
              <w:bCs/>
            </w:rPr>
            <w:tab/>
          </w:r>
          <w:r>
            <w:fldChar w:fldCharType="begin"/>
          </w:r>
          <w:r>
            <w:instrText>PAGE</w:instrText>
          </w:r>
          <w:r>
            <w:fldChar w:fldCharType="separate"/>
          </w:r>
          <w:r>
            <w:t>2</w:t>
          </w:r>
          <w:r>
            <w:rPr>
              <w:noProof/>
            </w:rPr>
            <w:fldChar w:fldCharType="end"/>
          </w:r>
        </w:p>
      </w:tc>
    </w:tr>
  </w:tbl>
  <w:p w14:paraId="4B15BB4A" w14:textId="77777777" w:rsidR="009776E2" w:rsidRPr="009776E2" w:rsidRDefault="009776E2" w:rsidP="00977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29E19" w14:textId="77777777" w:rsidR="009A7E42" w:rsidRDefault="009A7E42">
      <w:r>
        <w:t>____________________</w:t>
      </w:r>
    </w:p>
  </w:footnote>
  <w:footnote w:type="continuationSeparator" w:id="0">
    <w:p w14:paraId="792CEEDE" w14:textId="77777777" w:rsidR="009A7E42" w:rsidRDefault="009A7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EFCD" w14:textId="77777777" w:rsidR="001559F5" w:rsidRPr="00B1560D" w:rsidRDefault="00B1560D" w:rsidP="00B1560D">
    <w:pPr>
      <w:pStyle w:val="Header"/>
    </w:pPr>
    <w:r>
      <w:rPr>
        <w:noProof/>
      </w:rPr>
      <w:drawing>
        <wp:inline distT="0" distB="0" distL="0" distR="0" wp14:anchorId="4485D4CD" wp14:editId="5D418394">
          <wp:extent cx="5760085" cy="84074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75340" name="Picture 397875340"/>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E03D" w14:textId="77777777" w:rsidR="009776E2" w:rsidRDefault="009776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D68C" w14:textId="1BBEDC21" w:rsidR="009776E2" w:rsidRPr="00B1560D" w:rsidRDefault="009776E2" w:rsidP="00B15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2741B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2602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6CE8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0A2E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D69F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D293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0875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AC55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A442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BA75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35E9A"/>
    <w:multiLevelType w:val="multilevel"/>
    <w:tmpl w:val="1C7AFD2C"/>
    <w:lvl w:ilvl="0">
      <w:numFmt w:val="bullet"/>
      <w:lvlText w:val="-"/>
      <w:lvlJc w:val="left"/>
      <w:pPr>
        <w:ind w:left="1080" w:hanging="360"/>
      </w:pPr>
      <w:rPr>
        <w:rFonts w:ascii="Calibri" w:eastAsia="MS Mincho"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06CD254F"/>
    <w:multiLevelType w:val="multilevel"/>
    <w:tmpl w:val="07CA1244"/>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0797670E"/>
    <w:multiLevelType w:val="multilevel"/>
    <w:tmpl w:val="BBB486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0FA26BC0"/>
    <w:multiLevelType w:val="multilevel"/>
    <w:tmpl w:val="E87ECB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0484645"/>
    <w:multiLevelType w:val="multilevel"/>
    <w:tmpl w:val="3474A0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1110352C"/>
    <w:multiLevelType w:val="multilevel"/>
    <w:tmpl w:val="2E68D3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199949DE"/>
    <w:multiLevelType w:val="multilevel"/>
    <w:tmpl w:val="3FD6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AF24CE"/>
    <w:multiLevelType w:val="multilevel"/>
    <w:tmpl w:val="49FEEA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1D445D8B"/>
    <w:multiLevelType w:val="multilevel"/>
    <w:tmpl w:val="B7A4A7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20940A14"/>
    <w:multiLevelType w:val="multilevel"/>
    <w:tmpl w:val="BB22A838"/>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6D74A0D"/>
    <w:multiLevelType w:val="multilevel"/>
    <w:tmpl w:val="50FC4C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28BA3325"/>
    <w:multiLevelType w:val="multilevel"/>
    <w:tmpl w:val="AEF8E5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B7B3882"/>
    <w:multiLevelType w:val="multilevel"/>
    <w:tmpl w:val="281AF7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2C23660D"/>
    <w:multiLevelType w:val="multilevel"/>
    <w:tmpl w:val="9232F9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351F29C2"/>
    <w:multiLevelType w:val="multilevel"/>
    <w:tmpl w:val="7902B2CC"/>
    <w:lvl w:ilvl="0">
      <w:numFmt w:val="bullet"/>
      <w:lvlText w:val="·"/>
      <w:lvlJc w:val="left"/>
      <w:pPr>
        <w:ind w:left="720" w:hanging="360"/>
      </w:pPr>
      <w:rPr>
        <w:rFonts w:ascii="Symbol" w:hAnsi="Symbol"/>
        <w:sz w:val="20"/>
      </w:rPr>
    </w:lvl>
    <w:lvl w:ilvl="1">
      <w:start w:val="1"/>
      <w:numFmt w:val="lowerLetter"/>
      <w:lvlText w:val="%2."/>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35345464"/>
    <w:multiLevelType w:val="multilevel"/>
    <w:tmpl w:val="734461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F542F9B"/>
    <w:multiLevelType w:val="multilevel"/>
    <w:tmpl w:val="FCE202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46C52B06"/>
    <w:multiLevelType w:val="multilevel"/>
    <w:tmpl w:val="96EED012"/>
    <w:lvl w:ilvl="0">
      <w:numFmt w:val="bullet"/>
      <w:lvlText w:val=""/>
      <w:lvlJc w:val="left"/>
      <w:pPr>
        <w:ind w:left="768" w:hanging="360"/>
      </w:pPr>
      <w:rPr>
        <w:rFonts w:ascii="Symbol" w:hAnsi="Symbol"/>
      </w:r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28" w15:restartNumberingAfterBreak="0">
    <w:nsid w:val="496F6328"/>
    <w:multiLevelType w:val="multilevel"/>
    <w:tmpl w:val="69E86F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E652C5B"/>
    <w:multiLevelType w:val="multilevel"/>
    <w:tmpl w:val="A6F0CF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4FB46BD2"/>
    <w:multiLevelType w:val="multilevel"/>
    <w:tmpl w:val="43A22C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10B6459"/>
    <w:multiLevelType w:val="multilevel"/>
    <w:tmpl w:val="CFC08528"/>
    <w:lvl w:ilvl="0">
      <w:numFmt w:val="bullet"/>
      <w:lvlText w:val=""/>
      <w:lvlJc w:val="left"/>
      <w:pPr>
        <w:ind w:left="360" w:hanging="360"/>
      </w:pPr>
      <w:rPr>
        <w:rFonts w:ascii="Symbol" w:hAnsi="Symbol"/>
      </w:r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671743F"/>
    <w:multiLevelType w:val="multilevel"/>
    <w:tmpl w:val="E3B66A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9531E81"/>
    <w:multiLevelType w:val="multilevel"/>
    <w:tmpl w:val="04929B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5D6F2930"/>
    <w:multiLevelType w:val="multilevel"/>
    <w:tmpl w:val="98AC7E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15:restartNumberingAfterBreak="0">
    <w:nsid w:val="5EDD0224"/>
    <w:multiLevelType w:val="multilevel"/>
    <w:tmpl w:val="92C889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 w15:restartNumberingAfterBreak="0">
    <w:nsid w:val="63E043CE"/>
    <w:multiLevelType w:val="multilevel"/>
    <w:tmpl w:val="DC7AB8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7" w15:restartNumberingAfterBreak="0">
    <w:nsid w:val="6D6A386E"/>
    <w:multiLevelType w:val="multilevel"/>
    <w:tmpl w:val="0C0433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15:restartNumberingAfterBreak="0">
    <w:nsid w:val="6F3E684C"/>
    <w:multiLevelType w:val="multilevel"/>
    <w:tmpl w:val="D3B2ED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15:restartNumberingAfterBreak="0">
    <w:nsid w:val="7244701F"/>
    <w:multiLevelType w:val="multilevel"/>
    <w:tmpl w:val="6C2096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15:restartNumberingAfterBreak="0">
    <w:nsid w:val="73E85C3C"/>
    <w:multiLevelType w:val="multilevel"/>
    <w:tmpl w:val="84A6676C"/>
    <w:lvl w:ilvl="0">
      <w:start w:val="1"/>
      <w:numFmt w:val="lowerRoman"/>
      <w:lvlText w:val="%1."/>
      <w:lvlJc w:val="left"/>
      <w:pPr>
        <w:ind w:left="1290" w:hanging="720"/>
      </w:pPr>
      <w:rPr>
        <w:rFonts w:ascii="Calibri" w:eastAsia="Times New Roman" w:hAnsi="Calibri" w:cs="Times New Roman"/>
        <w:b/>
        <w:bCs w:val="0"/>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41" w15:restartNumberingAfterBreak="0">
    <w:nsid w:val="76D05636"/>
    <w:multiLevelType w:val="multilevel"/>
    <w:tmpl w:val="5B181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2" w15:restartNumberingAfterBreak="0">
    <w:nsid w:val="79976B1E"/>
    <w:multiLevelType w:val="multilevel"/>
    <w:tmpl w:val="38CC4F10"/>
    <w:lvl w:ilvl="0">
      <w:start w:val="3"/>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3" w15:restartNumberingAfterBreak="0">
    <w:nsid w:val="7B9316BD"/>
    <w:multiLevelType w:val="multilevel"/>
    <w:tmpl w:val="EE3059F8"/>
    <w:styleLink w:val="LFO4"/>
    <w:lvl w:ilvl="0">
      <w:numFmt w:val="bullet"/>
      <w:pStyle w:val="Boxbullet2"/>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44" w15:restartNumberingAfterBreak="0">
    <w:nsid w:val="7CFA696A"/>
    <w:multiLevelType w:val="multilevel"/>
    <w:tmpl w:val="B1FEEADC"/>
    <w:styleLink w:val="LFO3"/>
    <w:lvl w:ilvl="0">
      <w:start w:val="1"/>
      <w:numFmt w:val="decimal"/>
      <w:pStyle w:val="normalWSIS"/>
      <w:lvlText w:val="%1."/>
      <w:lvlJc w:val="left"/>
      <w:pPr>
        <w:ind w:left="3195" w:hanging="360"/>
      </w:pPr>
      <w:rPr>
        <w:b w:val="0"/>
        <w:bCs w:val="0"/>
        <w:color w:val="auto"/>
        <w:sz w:val="20"/>
        <w:szCs w:val="20"/>
      </w:rPr>
    </w:lvl>
    <w:lvl w:ilvl="1">
      <w:start w:val="1"/>
      <w:numFmt w:val="lowerLetter"/>
      <w:lvlText w:val="%2."/>
      <w:lvlJc w:val="left"/>
      <w:pPr>
        <w:ind w:left="3566" w:hanging="360"/>
      </w:pPr>
    </w:lvl>
    <w:lvl w:ilvl="2">
      <w:start w:val="1"/>
      <w:numFmt w:val="lowerRoman"/>
      <w:lvlText w:val="%3."/>
      <w:lvlJc w:val="right"/>
      <w:pPr>
        <w:ind w:left="4286" w:hanging="180"/>
      </w:pPr>
    </w:lvl>
    <w:lvl w:ilvl="3">
      <w:start w:val="1"/>
      <w:numFmt w:val="decimal"/>
      <w:lvlText w:val="%4."/>
      <w:lvlJc w:val="left"/>
      <w:pPr>
        <w:ind w:left="5006" w:hanging="360"/>
      </w:pPr>
    </w:lvl>
    <w:lvl w:ilvl="4">
      <w:start w:val="1"/>
      <w:numFmt w:val="lowerLetter"/>
      <w:lvlText w:val="%5."/>
      <w:lvlJc w:val="left"/>
      <w:pPr>
        <w:ind w:left="5726" w:hanging="360"/>
      </w:pPr>
    </w:lvl>
    <w:lvl w:ilvl="5">
      <w:start w:val="1"/>
      <w:numFmt w:val="lowerRoman"/>
      <w:lvlText w:val="%6."/>
      <w:lvlJc w:val="right"/>
      <w:pPr>
        <w:ind w:left="6446" w:hanging="180"/>
      </w:pPr>
    </w:lvl>
    <w:lvl w:ilvl="6">
      <w:start w:val="1"/>
      <w:numFmt w:val="decimal"/>
      <w:lvlText w:val="%7."/>
      <w:lvlJc w:val="left"/>
      <w:pPr>
        <w:ind w:left="7166" w:hanging="360"/>
      </w:pPr>
    </w:lvl>
    <w:lvl w:ilvl="7">
      <w:start w:val="1"/>
      <w:numFmt w:val="lowerLetter"/>
      <w:lvlText w:val="%8."/>
      <w:lvlJc w:val="left"/>
      <w:pPr>
        <w:ind w:left="7886" w:hanging="360"/>
      </w:pPr>
    </w:lvl>
    <w:lvl w:ilvl="8">
      <w:start w:val="1"/>
      <w:numFmt w:val="lowerRoman"/>
      <w:lvlText w:val="%9."/>
      <w:lvlJc w:val="right"/>
      <w:pPr>
        <w:ind w:left="8606" w:hanging="180"/>
      </w:pPr>
    </w:lvl>
  </w:abstractNum>
  <w:num w:numId="1" w16cid:durableId="1102455899">
    <w:abstractNumId w:val="9"/>
  </w:num>
  <w:num w:numId="2" w16cid:durableId="1945191200">
    <w:abstractNumId w:val="44"/>
  </w:num>
  <w:num w:numId="3" w16cid:durableId="1906334359">
    <w:abstractNumId w:val="43"/>
  </w:num>
  <w:num w:numId="4" w16cid:durableId="541401438">
    <w:abstractNumId w:val="40"/>
  </w:num>
  <w:num w:numId="5" w16cid:durableId="1205674732">
    <w:abstractNumId w:val="37"/>
  </w:num>
  <w:num w:numId="6" w16cid:durableId="12074084">
    <w:abstractNumId w:val="34"/>
  </w:num>
  <w:num w:numId="7" w16cid:durableId="1977223658">
    <w:abstractNumId w:val="23"/>
  </w:num>
  <w:num w:numId="8" w16cid:durableId="184562270">
    <w:abstractNumId w:val="38"/>
  </w:num>
  <w:num w:numId="9" w16cid:durableId="1809279118">
    <w:abstractNumId w:val="20"/>
  </w:num>
  <w:num w:numId="10" w16cid:durableId="1632519304">
    <w:abstractNumId w:val="12"/>
  </w:num>
  <w:num w:numId="11" w16cid:durableId="1522360414">
    <w:abstractNumId w:val="22"/>
  </w:num>
  <w:num w:numId="12" w16cid:durableId="790897923">
    <w:abstractNumId w:val="41"/>
  </w:num>
  <w:num w:numId="13" w16cid:durableId="663973018">
    <w:abstractNumId w:val="15"/>
  </w:num>
  <w:num w:numId="14" w16cid:durableId="409471423">
    <w:abstractNumId w:val="39"/>
  </w:num>
  <w:num w:numId="15" w16cid:durableId="593364312">
    <w:abstractNumId w:val="26"/>
  </w:num>
  <w:num w:numId="16" w16cid:durableId="612782171">
    <w:abstractNumId w:val="17"/>
  </w:num>
  <w:num w:numId="17" w16cid:durableId="1907641196">
    <w:abstractNumId w:val="21"/>
  </w:num>
  <w:num w:numId="18" w16cid:durableId="1172374779">
    <w:abstractNumId w:val="18"/>
  </w:num>
  <w:num w:numId="19" w16cid:durableId="890265823">
    <w:abstractNumId w:val="32"/>
  </w:num>
  <w:num w:numId="20" w16cid:durableId="188026816">
    <w:abstractNumId w:val="13"/>
  </w:num>
  <w:num w:numId="21" w16cid:durableId="1517498218">
    <w:abstractNumId w:val="30"/>
  </w:num>
  <w:num w:numId="22" w16cid:durableId="1071151223">
    <w:abstractNumId w:val="27"/>
  </w:num>
  <w:num w:numId="23" w16cid:durableId="1382361499">
    <w:abstractNumId w:val="10"/>
  </w:num>
  <w:num w:numId="24" w16cid:durableId="1803040964">
    <w:abstractNumId w:val="28"/>
  </w:num>
  <w:num w:numId="25" w16cid:durableId="2026595794">
    <w:abstractNumId w:val="14"/>
  </w:num>
  <w:num w:numId="26" w16cid:durableId="1788506867">
    <w:abstractNumId w:val="11"/>
  </w:num>
  <w:num w:numId="27" w16cid:durableId="699358318">
    <w:abstractNumId w:val="35"/>
  </w:num>
  <w:num w:numId="28" w16cid:durableId="792602802">
    <w:abstractNumId w:val="19"/>
  </w:num>
  <w:num w:numId="29" w16cid:durableId="1902252943">
    <w:abstractNumId w:val="31"/>
  </w:num>
  <w:num w:numId="30" w16cid:durableId="2000647149">
    <w:abstractNumId w:val="29"/>
  </w:num>
  <w:num w:numId="31" w16cid:durableId="285427084">
    <w:abstractNumId w:val="25"/>
  </w:num>
  <w:num w:numId="32" w16cid:durableId="1166550958">
    <w:abstractNumId w:val="24"/>
  </w:num>
  <w:num w:numId="33" w16cid:durableId="1806894030">
    <w:abstractNumId w:val="33"/>
  </w:num>
  <w:num w:numId="34" w16cid:durableId="494226759">
    <w:abstractNumId w:val="42"/>
  </w:num>
  <w:num w:numId="35" w16cid:durableId="1829830832">
    <w:abstractNumId w:val="36"/>
  </w:num>
  <w:num w:numId="36" w16cid:durableId="1830437418">
    <w:abstractNumId w:val="16"/>
  </w:num>
  <w:num w:numId="37" w16cid:durableId="17699197">
    <w:abstractNumId w:val="7"/>
  </w:num>
  <w:num w:numId="38" w16cid:durableId="735324881">
    <w:abstractNumId w:val="6"/>
  </w:num>
  <w:num w:numId="39" w16cid:durableId="553083532">
    <w:abstractNumId w:val="5"/>
  </w:num>
  <w:num w:numId="40" w16cid:durableId="1644895058">
    <w:abstractNumId w:val="4"/>
  </w:num>
  <w:num w:numId="41" w16cid:durableId="318196112">
    <w:abstractNumId w:val="8"/>
  </w:num>
  <w:num w:numId="42" w16cid:durableId="1433939188">
    <w:abstractNumId w:val="3"/>
  </w:num>
  <w:num w:numId="43" w16cid:durableId="1912153735">
    <w:abstractNumId w:val="2"/>
  </w:num>
  <w:num w:numId="44" w16cid:durableId="701133190">
    <w:abstractNumId w:val="1"/>
  </w:num>
  <w:num w:numId="45" w16cid:durableId="1468203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D86"/>
    <w:rsid w:val="000007D1"/>
    <w:rsid w:val="00000CA1"/>
    <w:rsid w:val="00004469"/>
    <w:rsid w:val="000044D3"/>
    <w:rsid w:val="00005200"/>
    <w:rsid w:val="00011454"/>
    <w:rsid w:val="00017D23"/>
    <w:rsid w:val="00026A3E"/>
    <w:rsid w:val="000310C1"/>
    <w:rsid w:val="00032DD5"/>
    <w:rsid w:val="00033179"/>
    <w:rsid w:val="00033CEA"/>
    <w:rsid w:val="000370C7"/>
    <w:rsid w:val="00037957"/>
    <w:rsid w:val="00041A1C"/>
    <w:rsid w:val="00052BBE"/>
    <w:rsid w:val="000546D6"/>
    <w:rsid w:val="0006007D"/>
    <w:rsid w:val="00062070"/>
    <w:rsid w:val="000675DC"/>
    <w:rsid w:val="00082665"/>
    <w:rsid w:val="0008776D"/>
    <w:rsid w:val="00093EEB"/>
    <w:rsid w:val="000A1A1E"/>
    <w:rsid w:val="000A466D"/>
    <w:rsid w:val="000A4AF2"/>
    <w:rsid w:val="000A60EE"/>
    <w:rsid w:val="000B0D00"/>
    <w:rsid w:val="000B7C15"/>
    <w:rsid w:val="000C0D04"/>
    <w:rsid w:val="000C1368"/>
    <w:rsid w:val="000C4425"/>
    <w:rsid w:val="000C74EB"/>
    <w:rsid w:val="000D1D0F"/>
    <w:rsid w:val="000D7A3A"/>
    <w:rsid w:val="000E0FEC"/>
    <w:rsid w:val="000E3F07"/>
    <w:rsid w:val="000E7D6C"/>
    <w:rsid w:val="000F0EB4"/>
    <w:rsid w:val="000F5290"/>
    <w:rsid w:val="000F5A95"/>
    <w:rsid w:val="0010165C"/>
    <w:rsid w:val="0010552B"/>
    <w:rsid w:val="00105AFF"/>
    <w:rsid w:val="00105B73"/>
    <w:rsid w:val="00113136"/>
    <w:rsid w:val="00126CB3"/>
    <w:rsid w:val="00127C89"/>
    <w:rsid w:val="001302A7"/>
    <w:rsid w:val="001368A3"/>
    <w:rsid w:val="00142E5C"/>
    <w:rsid w:val="00146BFB"/>
    <w:rsid w:val="001473A4"/>
    <w:rsid w:val="0014787F"/>
    <w:rsid w:val="0015191D"/>
    <w:rsid w:val="001559F5"/>
    <w:rsid w:val="00157AC4"/>
    <w:rsid w:val="0016169C"/>
    <w:rsid w:val="001616BE"/>
    <w:rsid w:val="0017249C"/>
    <w:rsid w:val="001845FE"/>
    <w:rsid w:val="0018476A"/>
    <w:rsid w:val="001958F5"/>
    <w:rsid w:val="00195DF7"/>
    <w:rsid w:val="001A06F7"/>
    <w:rsid w:val="001A3930"/>
    <w:rsid w:val="001B0935"/>
    <w:rsid w:val="001B0F48"/>
    <w:rsid w:val="001B6E2B"/>
    <w:rsid w:val="001B7E88"/>
    <w:rsid w:val="001C403D"/>
    <w:rsid w:val="001D1072"/>
    <w:rsid w:val="001D269F"/>
    <w:rsid w:val="001D446C"/>
    <w:rsid w:val="001D597F"/>
    <w:rsid w:val="001D7D0A"/>
    <w:rsid w:val="001E06D5"/>
    <w:rsid w:val="001E2D4A"/>
    <w:rsid w:val="001E7BC1"/>
    <w:rsid w:val="001F0ACB"/>
    <w:rsid w:val="001F14A2"/>
    <w:rsid w:val="0020239C"/>
    <w:rsid w:val="00203659"/>
    <w:rsid w:val="00204CA7"/>
    <w:rsid w:val="0020671C"/>
    <w:rsid w:val="00211543"/>
    <w:rsid w:val="002129F5"/>
    <w:rsid w:val="002132CE"/>
    <w:rsid w:val="00215A06"/>
    <w:rsid w:val="00224AA4"/>
    <w:rsid w:val="002259CF"/>
    <w:rsid w:val="00232547"/>
    <w:rsid w:val="00233128"/>
    <w:rsid w:val="002523E1"/>
    <w:rsid w:val="0025456C"/>
    <w:rsid w:val="002555AC"/>
    <w:rsid w:val="002600B4"/>
    <w:rsid w:val="00273CF2"/>
    <w:rsid w:val="00276E5C"/>
    <w:rsid w:val="00277DEA"/>
    <w:rsid w:val="002801AA"/>
    <w:rsid w:val="002854CD"/>
    <w:rsid w:val="002946E2"/>
    <w:rsid w:val="00296F03"/>
    <w:rsid w:val="002A0208"/>
    <w:rsid w:val="002A6F77"/>
    <w:rsid w:val="002B1080"/>
    <w:rsid w:val="002B22EB"/>
    <w:rsid w:val="002B6FE0"/>
    <w:rsid w:val="002C3F32"/>
    <w:rsid w:val="002C4676"/>
    <w:rsid w:val="002C5722"/>
    <w:rsid w:val="002C63D2"/>
    <w:rsid w:val="002C70B0"/>
    <w:rsid w:val="002C7A46"/>
    <w:rsid w:val="002D15BD"/>
    <w:rsid w:val="002E07EB"/>
    <w:rsid w:val="002F0A87"/>
    <w:rsid w:val="002F3CC4"/>
    <w:rsid w:val="003032E2"/>
    <w:rsid w:val="003049FA"/>
    <w:rsid w:val="003052AB"/>
    <w:rsid w:val="00305A89"/>
    <w:rsid w:val="00312480"/>
    <w:rsid w:val="0031300A"/>
    <w:rsid w:val="003153D3"/>
    <w:rsid w:val="00323FDB"/>
    <w:rsid w:val="00324388"/>
    <w:rsid w:val="003273A4"/>
    <w:rsid w:val="00332683"/>
    <w:rsid w:val="003341A0"/>
    <w:rsid w:val="00341F58"/>
    <w:rsid w:val="0034796E"/>
    <w:rsid w:val="0035072E"/>
    <w:rsid w:val="00356B6E"/>
    <w:rsid w:val="00363300"/>
    <w:rsid w:val="003701FD"/>
    <w:rsid w:val="00372A95"/>
    <w:rsid w:val="00385BAF"/>
    <w:rsid w:val="00385D87"/>
    <w:rsid w:val="0039423F"/>
    <w:rsid w:val="00394833"/>
    <w:rsid w:val="003B7BB3"/>
    <w:rsid w:val="003C3C94"/>
    <w:rsid w:val="003C7DDE"/>
    <w:rsid w:val="003D3419"/>
    <w:rsid w:val="003D6DC1"/>
    <w:rsid w:val="003D7004"/>
    <w:rsid w:val="003E0321"/>
    <w:rsid w:val="003E3381"/>
    <w:rsid w:val="003E558F"/>
    <w:rsid w:val="003E63FE"/>
    <w:rsid w:val="00400698"/>
    <w:rsid w:val="00403C5E"/>
    <w:rsid w:val="00403E30"/>
    <w:rsid w:val="004160E8"/>
    <w:rsid w:val="00416586"/>
    <w:rsid w:val="00440D30"/>
    <w:rsid w:val="00442303"/>
    <w:rsid w:val="00443C6F"/>
    <w:rsid w:val="004571B0"/>
    <w:rsid w:val="00465C35"/>
    <w:rsid w:val="00472712"/>
    <w:rsid w:val="00473962"/>
    <w:rsid w:val="00476777"/>
    <w:rsid w:val="004866FF"/>
    <w:rsid w:val="00493BC5"/>
    <w:rsid w:val="004A05AE"/>
    <w:rsid w:val="004A364F"/>
    <w:rsid w:val="004A4132"/>
    <w:rsid w:val="004A4CFB"/>
    <w:rsid w:val="004A6F6F"/>
    <w:rsid w:val="004B19E2"/>
    <w:rsid w:val="004B359A"/>
    <w:rsid w:val="004B43AF"/>
    <w:rsid w:val="004B580B"/>
    <w:rsid w:val="004B58C7"/>
    <w:rsid w:val="004B5D49"/>
    <w:rsid w:val="004C293A"/>
    <w:rsid w:val="004C5F92"/>
    <w:rsid w:val="004D3626"/>
    <w:rsid w:val="004D3A3C"/>
    <w:rsid w:val="004E1F8D"/>
    <w:rsid w:val="004F3957"/>
    <w:rsid w:val="004F4B78"/>
    <w:rsid w:val="004F5E2D"/>
    <w:rsid w:val="00506E2D"/>
    <w:rsid w:val="00513630"/>
    <w:rsid w:val="00534D89"/>
    <w:rsid w:val="0053561F"/>
    <w:rsid w:val="00550AAF"/>
    <w:rsid w:val="005530D1"/>
    <w:rsid w:val="00560125"/>
    <w:rsid w:val="00560AD9"/>
    <w:rsid w:val="005672E4"/>
    <w:rsid w:val="00572AC5"/>
    <w:rsid w:val="00585553"/>
    <w:rsid w:val="00587968"/>
    <w:rsid w:val="00590EE0"/>
    <w:rsid w:val="005A00E5"/>
    <w:rsid w:val="005A1163"/>
    <w:rsid w:val="005A3808"/>
    <w:rsid w:val="005A4259"/>
    <w:rsid w:val="005B34D9"/>
    <w:rsid w:val="005B57EE"/>
    <w:rsid w:val="005B7650"/>
    <w:rsid w:val="005B7661"/>
    <w:rsid w:val="005C5895"/>
    <w:rsid w:val="005D0CCF"/>
    <w:rsid w:val="005D6A1E"/>
    <w:rsid w:val="005D7B2C"/>
    <w:rsid w:val="005E060C"/>
    <w:rsid w:val="005E1172"/>
    <w:rsid w:val="005F07A9"/>
    <w:rsid w:val="005F0915"/>
    <w:rsid w:val="005F3BCB"/>
    <w:rsid w:val="005F410F"/>
    <w:rsid w:val="006007EF"/>
    <w:rsid w:val="0060149A"/>
    <w:rsid w:val="00601924"/>
    <w:rsid w:val="00605A12"/>
    <w:rsid w:val="0062089E"/>
    <w:rsid w:val="00627F96"/>
    <w:rsid w:val="006430C3"/>
    <w:rsid w:val="00643E0C"/>
    <w:rsid w:val="006447EA"/>
    <w:rsid w:val="0064481D"/>
    <w:rsid w:val="00645E1B"/>
    <w:rsid w:val="00646D02"/>
    <w:rsid w:val="0064713B"/>
    <w:rsid w:val="0064731F"/>
    <w:rsid w:val="00664572"/>
    <w:rsid w:val="00665CF0"/>
    <w:rsid w:val="00666D09"/>
    <w:rsid w:val="00670229"/>
    <w:rsid w:val="00670579"/>
    <w:rsid w:val="006710F6"/>
    <w:rsid w:val="00674D31"/>
    <w:rsid w:val="00674F50"/>
    <w:rsid w:val="00677A97"/>
    <w:rsid w:val="006834CA"/>
    <w:rsid w:val="006A0CD0"/>
    <w:rsid w:val="006A2010"/>
    <w:rsid w:val="006A58BA"/>
    <w:rsid w:val="006A7BC4"/>
    <w:rsid w:val="006B377D"/>
    <w:rsid w:val="006C117E"/>
    <w:rsid w:val="006C156F"/>
    <w:rsid w:val="006C1B56"/>
    <w:rsid w:val="006C3476"/>
    <w:rsid w:val="006C3923"/>
    <w:rsid w:val="006D3C6D"/>
    <w:rsid w:val="006D4761"/>
    <w:rsid w:val="006D6680"/>
    <w:rsid w:val="006F43C1"/>
    <w:rsid w:val="006F5BD5"/>
    <w:rsid w:val="007006B6"/>
    <w:rsid w:val="0070736E"/>
    <w:rsid w:val="007119D1"/>
    <w:rsid w:val="00711F8C"/>
    <w:rsid w:val="00713EB4"/>
    <w:rsid w:val="007249E6"/>
    <w:rsid w:val="00726872"/>
    <w:rsid w:val="00726DA4"/>
    <w:rsid w:val="007347B3"/>
    <w:rsid w:val="00760F1C"/>
    <w:rsid w:val="0076535C"/>
    <w:rsid w:val="007653C3"/>
    <w:rsid w:val="007657F0"/>
    <w:rsid w:val="0077110E"/>
    <w:rsid w:val="0077252D"/>
    <w:rsid w:val="007758F2"/>
    <w:rsid w:val="00775D32"/>
    <w:rsid w:val="00775D59"/>
    <w:rsid w:val="00777F73"/>
    <w:rsid w:val="007921C3"/>
    <w:rsid w:val="007922E7"/>
    <w:rsid w:val="007939E0"/>
    <w:rsid w:val="007955DA"/>
    <w:rsid w:val="007971D7"/>
    <w:rsid w:val="007A1B3D"/>
    <w:rsid w:val="007B1984"/>
    <w:rsid w:val="007B31AB"/>
    <w:rsid w:val="007B4979"/>
    <w:rsid w:val="007B6111"/>
    <w:rsid w:val="007D0CFE"/>
    <w:rsid w:val="007D3D33"/>
    <w:rsid w:val="007D3FEE"/>
    <w:rsid w:val="007E0D94"/>
    <w:rsid w:val="007E5DD3"/>
    <w:rsid w:val="007F2DD9"/>
    <w:rsid w:val="007F350B"/>
    <w:rsid w:val="008009CF"/>
    <w:rsid w:val="00801B09"/>
    <w:rsid w:val="00805366"/>
    <w:rsid w:val="00806116"/>
    <w:rsid w:val="00820BE4"/>
    <w:rsid w:val="008227D3"/>
    <w:rsid w:val="00824F3D"/>
    <w:rsid w:val="00836C68"/>
    <w:rsid w:val="008444A5"/>
    <w:rsid w:val="008451E8"/>
    <w:rsid w:val="0084546D"/>
    <w:rsid w:val="00860A7F"/>
    <w:rsid w:val="00860D1A"/>
    <w:rsid w:val="008623B0"/>
    <w:rsid w:val="00866098"/>
    <w:rsid w:val="00882B21"/>
    <w:rsid w:val="00883862"/>
    <w:rsid w:val="00886B64"/>
    <w:rsid w:val="00897A16"/>
    <w:rsid w:val="008A3A8C"/>
    <w:rsid w:val="008A4871"/>
    <w:rsid w:val="008A6DF7"/>
    <w:rsid w:val="008D74A2"/>
    <w:rsid w:val="008E4CC6"/>
    <w:rsid w:val="008F1EBF"/>
    <w:rsid w:val="008F6ABC"/>
    <w:rsid w:val="00913B9C"/>
    <w:rsid w:val="00914C6E"/>
    <w:rsid w:val="009267C3"/>
    <w:rsid w:val="00927F93"/>
    <w:rsid w:val="00933154"/>
    <w:rsid w:val="009354F8"/>
    <w:rsid w:val="00936437"/>
    <w:rsid w:val="00944A5D"/>
    <w:rsid w:val="0094618B"/>
    <w:rsid w:val="00956E77"/>
    <w:rsid w:val="009603DE"/>
    <w:rsid w:val="00962050"/>
    <w:rsid w:val="00963557"/>
    <w:rsid w:val="00975F5B"/>
    <w:rsid w:val="00976DD2"/>
    <w:rsid w:val="009776E2"/>
    <w:rsid w:val="0098473C"/>
    <w:rsid w:val="00986AAA"/>
    <w:rsid w:val="009939F3"/>
    <w:rsid w:val="00996303"/>
    <w:rsid w:val="009A0A46"/>
    <w:rsid w:val="009A15F4"/>
    <w:rsid w:val="009A2CFB"/>
    <w:rsid w:val="009A338E"/>
    <w:rsid w:val="009A3B80"/>
    <w:rsid w:val="009A76A8"/>
    <w:rsid w:val="009A7E42"/>
    <w:rsid w:val="009B2740"/>
    <w:rsid w:val="009B2D1C"/>
    <w:rsid w:val="009B5738"/>
    <w:rsid w:val="009C61B5"/>
    <w:rsid w:val="009C652F"/>
    <w:rsid w:val="009D1156"/>
    <w:rsid w:val="009D324F"/>
    <w:rsid w:val="009E00E1"/>
    <w:rsid w:val="009E4631"/>
    <w:rsid w:val="009E5ACF"/>
    <w:rsid w:val="009F4811"/>
    <w:rsid w:val="00A01F4F"/>
    <w:rsid w:val="00A10309"/>
    <w:rsid w:val="00A109AF"/>
    <w:rsid w:val="00A128BC"/>
    <w:rsid w:val="00A13CA3"/>
    <w:rsid w:val="00A154BC"/>
    <w:rsid w:val="00A207E5"/>
    <w:rsid w:val="00A328D2"/>
    <w:rsid w:val="00A32994"/>
    <w:rsid w:val="00A42FAC"/>
    <w:rsid w:val="00A5512B"/>
    <w:rsid w:val="00A55B0E"/>
    <w:rsid w:val="00A55E7E"/>
    <w:rsid w:val="00A62598"/>
    <w:rsid w:val="00A63CE9"/>
    <w:rsid w:val="00A67814"/>
    <w:rsid w:val="00A929E0"/>
    <w:rsid w:val="00A94438"/>
    <w:rsid w:val="00AA32EB"/>
    <w:rsid w:val="00AA390C"/>
    <w:rsid w:val="00AA3A2B"/>
    <w:rsid w:val="00AB0DD5"/>
    <w:rsid w:val="00AB17C3"/>
    <w:rsid w:val="00AC0085"/>
    <w:rsid w:val="00AC3213"/>
    <w:rsid w:val="00AC4745"/>
    <w:rsid w:val="00AC6D86"/>
    <w:rsid w:val="00AD495A"/>
    <w:rsid w:val="00AD5A4D"/>
    <w:rsid w:val="00AF0B87"/>
    <w:rsid w:val="00AF0EAC"/>
    <w:rsid w:val="00AF43C2"/>
    <w:rsid w:val="00AF6279"/>
    <w:rsid w:val="00B0200A"/>
    <w:rsid w:val="00B060DF"/>
    <w:rsid w:val="00B1145C"/>
    <w:rsid w:val="00B1560D"/>
    <w:rsid w:val="00B2307C"/>
    <w:rsid w:val="00B276F6"/>
    <w:rsid w:val="00B3079D"/>
    <w:rsid w:val="00B41C0B"/>
    <w:rsid w:val="00B52B95"/>
    <w:rsid w:val="00B545FE"/>
    <w:rsid w:val="00B574DB"/>
    <w:rsid w:val="00B61F2C"/>
    <w:rsid w:val="00B647AD"/>
    <w:rsid w:val="00B70224"/>
    <w:rsid w:val="00B762DE"/>
    <w:rsid w:val="00B77E42"/>
    <w:rsid w:val="00B826C2"/>
    <w:rsid w:val="00B8298E"/>
    <w:rsid w:val="00B83C5A"/>
    <w:rsid w:val="00B845F5"/>
    <w:rsid w:val="00B933C5"/>
    <w:rsid w:val="00BA351A"/>
    <w:rsid w:val="00BB2C2E"/>
    <w:rsid w:val="00BB3432"/>
    <w:rsid w:val="00BB6FD8"/>
    <w:rsid w:val="00BC436E"/>
    <w:rsid w:val="00BD0723"/>
    <w:rsid w:val="00BD2518"/>
    <w:rsid w:val="00BE12D6"/>
    <w:rsid w:val="00BE5909"/>
    <w:rsid w:val="00BE69CC"/>
    <w:rsid w:val="00BE6A5A"/>
    <w:rsid w:val="00BF0FFC"/>
    <w:rsid w:val="00BF19CF"/>
    <w:rsid w:val="00BF1D1C"/>
    <w:rsid w:val="00BF2B18"/>
    <w:rsid w:val="00BF7594"/>
    <w:rsid w:val="00C0551E"/>
    <w:rsid w:val="00C0682D"/>
    <w:rsid w:val="00C20C59"/>
    <w:rsid w:val="00C26A38"/>
    <w:rsid w:val="00C2727F"/>
    <w:rsid w:val="00C43944"/>
    <w:rsid w:val="00C4421B"/>
    <w:rsid w:val="00C45DDD"/>
    <w:rsid w:val="00C50B09"/>
    <w:rsid w:val="00C50FE8"/>
    <w:rsid w:val="00C538FC"/>
    <w:rsid w:val="00C55B1F"/>
    <w:rsid w:val="00C615E7"/>
    <w:rsid w:val="00C678F5"/>
    <w:rsid w:val="00C67C3E"/>
    <w:rsid w:val="00C8537E"/>
    <w:rsid w:val="00C869EC"/>
    <w:rsid w:val="00C935A2"/>
    <w:rsid w:val="00CA7536"/>
    <w:rsid w:val="00CC0917"/>
    <w:rsid w:val="00CD0B5C"/>
    <w:rsid w:val="00CF01E9"/>
    <w:rsid w:val="00CF123C"/>
    <w:rsid w:val="00CF1A67"/>
    <w:rsid w:val="00CF44EF"/>
    <w:rsid w:val="00D02F6E"/>
    <w:rsid w:val="00D0679E"/>
    <w:rsid w:val="00D17382"/>
    <w:rsid w:val="00D23CF7"/>
    <w:rsid w:val="00D24A6B"/>
    <w:rsid w:val="00D27147"/>
    <w:rsid w:val="00D2750E"/>
    <w:rsid w:val="00D32095"/>
    <w:rsid w:val="00D34837"/>
    <w:rsid w:val="00D375E0"/>
    <w:rsid w:val="00D422F3"/>
    <w:rsid w:val="00D456E4"/>
    <w:rsid w:val="00D50A36"/>
    <w:rsid w:val="00D60DE7"/>
    <w:rsid w:val="00D62446"/>
    <w:rsid w:val="00D63560"/>
    <w:rsid w:val="00D63D42"/>
    <w:rsid w:val="00D66670"/>
    <w:rsid w:val="00D7071C"/>
    <w:rsid w:val="00D71758"/>
    <w:rsid w:val="00D77E50"/>
    <w:rsid w:val="00D77FBF"/>
    <w:rsid w:val="00D809CF"/>
    <w:rsid w:val="00D84CE2"/>
    <w:rsid w:val="00D86EF1"/>
    <w:rsid w:val="00D874D3"/>
    <w:rsid w:val="00D900CF"/>
    <w:rsid w:val="00D95021"/>
    <w:rsid w:val="00DA0F6B"/>
    <w:rsid w:val="00DA4EA2"/>
    <w:rsid w:val="00DC3D3E"/>
    <w:rsid w:val="00DE1928"/>
    <w:rsid w:val="00DE2C90"/>
    <w:rsid w:val="00DE3B24"/>
    <w:rsid w:val="00DE3E2E"/>
    <w:rsid w:val="00DE4477"/>
    <w:rsid w:val="00DE66DC"/>
    <w:rsid w:val="00DE7376"/>
    <w:rsid w:val="00DF0CC6"/>
    <w:rsid w:val="00DF1C06"/>
    <w:rsid w:val="00DF280A"/>
    <w:rsid w:val="00DF292A"/>
    <w:rsid w:val="00DF6543"/>
    <w:rsid w:val="00DF7000"/>
    <w:rsid w:val="00E0265B"/>
    <w:rsid w:val="00E06947"/>
    <w:rsid w:val="00E11319"/>
    <w:rsid w:val="00E12441"/>
    <w:rsid w:val="00E175FC"/>
    <w:rsid w:val="00E20416"/>
    <w:rsid w:val="00E21444"/>
    <w:rsid w:val="00E221BF"/>
    <w:rsid w:val="00E233D6"/>
    <w:rsid w:val="00E249BD"/>
    <w:rsid w:val="00E26C71"/>
    <w:rsid w:val="00E30153"/>
    <w:rsid w:val="00E33BC6"/>
    <w:rsid w:val="00E34072"/>
    <w:rsid w:val="00E3592D"/>
    <w:rsid w:val="00E415B3"/>
    <w:rsid w:val="00E47DF3"/>
    <w:rsid w:val="00E50D76"/>
    <w:rsid w:val="00E55F45"/>
    <w:rsid w:val="00E56B17"/>
    <w:rsid w:val="00E610E2"/>
    <w:rsid w:val="00E62637"/>
    <w:rsid w:val="00E8018B"/>
    <w:rsid w:val="00E80247"/>
    <w:rsid w:val="00E92DE8"/>
    <w:rsid w:val="00E93D15"/>
    <w:rsid w:val="00E95257"/>
    <w:rsid w:val="00E9599E"/>
    <w:rsid w:val="00E96827"/>
    <w:rsid w:val="00EA6948"/>
    <w:rsid w:val="00EB1212"/>
    <w:rsid w:val="00EB2985"/>
    <w:rsid w:val="00EB55B0"/>
    <w:rsid w:val="00EB694D"/>
    <w:rsid w:val="00ED04B8"/>
    <w:rsid w:val="00ED65AB"/>
    <w:rsid w:val="00EE31BF"/>
    <w:rsid w:val="00EE496A"/>
    <w:rsid w:val="00EE4C42"/>
    <w:rsid w:val="00EF4138"/>
    <w:rsid w:val="00EF6A42"/>
    <w:rsid w:val="00F01B7B"/>
    <w:rsid w:val="00F05461"/>
    <w:rsid w:val="00F10B38"/>
    <w:rsid w:val="00F12850"/>
    <w:rsid w:val="00F141BA"/>
    <w:rsid w:val="00F14E7E"/>
    <w:rsid w:val="00F14F82"/>
    <w:rsid w:val="00F24B71"/>
    <w:rsid w:val="00F33BF4"/>
    <w:rsid w:val="00F45E08"/>
    <w:rsid w:val="00F51AA8"/>
    <w:rsid w:val="00F53F64"/>
    <w:rsid w:val="00F636A8"/>
    <w:rsid w:val="00F65E90"/>
    <w:rsid w:val="00F7105E"/>
    <w:rsid w:val="00F74838"/>
    <w:rsid w:val="00F75A8E"/>
    <w:rsid w:val="00F75F57"/>
    <w:rsid w:val="00F811A4"/>
    <w:rsid w:val="00F81217"/>
    <w:rsid w:val="00F82FEE"/>
    <w:rsid w:val="00F85E5C"/>
    <w:rsid w:val="00F90701"/>
    <w:rsid w:val="00F92837"/>
    <w:rsid w:val="00F92BED"/>
    <w:rsid w:val="00F96EF3"/>
    <w:rsid w:val="00FA0E46"/>
    <w:rsid w:val="00FA591B"/>
    <w:rsid w:val="00FA5B26"/>
    <w:rsid w:val="00FB624C"/>
    <w:rsid w:val="00FC3D38"/>
    <w:rsid w:val="00FD0E79"/>
    <w:rsid w:val="00FD399B"/>
    <w:rsid w:val="00FD42C4"/>
    <w:rsid w:val="00FD4537"/>
    <w:rsid w:val="00FD57D3"/>
    <w:rsid w:val="00FE285D"/>
    <w:rsid w:val="00FE57F6"/>
    <w:rsid w:val="00FF11BD"/>
    <w:rsid w:val="00FF1AB6"/>
    <w:rsid w:val="00FF52A6"/>
    <w:rsid w:val="00FF59AE"/>
    <w:rsid w:val="00FF67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93904"/>
  <w15:docId w15:val="{DC9C6D9B-587B-467B-9765-E0D0CE94D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0F5A9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uiPriority w:val="9"/>
    <w:qFormat/>
    <w:rsid w:val="000F5A95"/>
    <w:pPr>
      <w:keepNext/>
      <w:keepLines/>
      <w:spacing w:before="360"/>
      <w:ind w:left="567" w:hanging="567"/>
      <w:outlineLvl w:val="0"/>
    </w:pPr>
    <w:rPr>
      <w:b/>
      <w:sz w:val="28"/>
    </w:rPr>
  </w:style>
  <w:style w:type="paragraph" w:styleId="Heading2">
    <w:name w:val="heading 2"/>
    <w:basedOn w:val="Heading1"/>
    <w:next w:val="Normal"/>
    <w:link w:val="Heading2Char"/>
    <w:uiPriority w:val="9"/>
    <w:qFormat/>
    <w:rsid w:val="000F5A95"/>
    <w:pPr>
      <w:spacing w:before="200"/>
      <w:outlineLvl w:val="1"/>
    </w:pPr>
    <w:rPr>
      <w:sz w:val="24"/>
    </w:rPr>
  </w:style>
  <w:style w:type="paragraph" w:styleId="Heading3">
    <w:name w:val="heading 3"/>
    <w:basedOn w:val="Heading1"/>
    <w:next w:val="Normal"/>
    <w:link w:val="Heading3Char"/>
    <w:uiPriority w:val="9"/>
    <w:qFormat/>
    <w:rsid w:val="00F811A4"/>
    <w:pPr>
      <w:spacing w:before="200"/>
      <w:outlineLvl w:val="2"/>
    </w:pPr>
    <w:rPr>
      <w:sz w:val="24"/>
      <w:lang w:val="es-ES"/>
    </w:rPr>
  </w:style>
  <w:style w:type="paragraph" w:styleId="Heading4">
    <w:name w:val="heading 4"/>
    <w:basedOn w:val="Heading3"/>
    <w:next w:val="Normal"/>
    <w:link w:val="Heading4Char"/>
    <w:uiPriority w:val="9"/>
    <w:qFormat/>
    <w:rsid w:val="000F5A95"/>
    <w:pPr>
      <w:ind w:left="1134" w:hanging="1134"/>
      <w:outlineLvl w:val="3"/>
    </w:pPr>
  </w:style>
  <w:style w:type="paragraph" w:styleId="Heading5">
    <w:name w:val="heading 5"/>
    <w:basedOn w:val="Heading4"/>
    <w:next w:val="Normal"/>
    <w:link w:val="Heading5Char"/>
    <w:uiPriority w:val="9"/>
    <w:qFormat/>
    <w:rsid w:val="000F5A95"/>
    <w:pPr>
      <w:outlineLvl w:val="4"/>
    </w:pPr>
  </w:style>
  <w:style w:type="paragraph" w:styleId="Heading6">
    <w:name w:val="heading 6"/>
    <w:basedOn w:val="Heading4"/>
    <w:next w:val="Normal"/>
    <w:link w:val="Heading6Char"/>
    <w:uiPriority w:val="9"/>
    <w:qFormat/>
    <w:rsid w:val="000F5A95"/>
    <w:pPr>
      <w:outlineLvl w:val="5"/>
    </w:pPr>
  </w:style>
  <w:style w:type="paragraph" w:styleId="Heading7">
    <w:name w:val="heading 7"/>
    <w:basedOn w:val="Heading4"/>
    <w:next w:val="Normal"/>
    <w:link w:val="Heading7Char"/>
    <w:qFormat/>
    <w:rsid w:val="000F5A95"/>
    <w:pPr>
      <w:ind w:left="1701" w:hanging="1701"/>
      <w:outlineLvl w:val="6"/>
    </w:pPr>
  </w:style>
  <w:style w:type="paragraph" w:styleId="Heading8">
    <w:name w:val="heading 8"/>
    <w:basedOn w:val="Heading4"/>
    <w:next w:val="Normal"/>
    <w:link w:val="Heading8Char"/>
    <w:qFormat/>
    <w:rsid w:val="000F5A95"/>
    <w:pPr>
      <w:ind w:left="1701" w:hanging="1701"/>
      <w:outlineLvl w:val="7"/>
    </w:pPr>
  </w:style>
  <w:style w:type="paragraph" w:styleId="Heading9">
    <w:name w:val="heading 9"/>
    <w:basedOn w:val="Heading4"/>
    <w:next w:val="Normal"/>
    <w:link w:val="Heading9Char"/>
    <w:qFormat/>
    <w:rsid w:val="000F5A9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7"/>
    <w:next w:val="Normal"/>
    <w:rsid w:val="000F5A95"/>
  </w:style>
  <w:style w:type="paragraph" w:styleId="TOC4">
    <w:name w:val="toc 4"/>
    <w:basedOn w:val="TOC1"/>
    <w:next w:val="Normal"/>
    <w:rsid w:val="000F5A95"/>
  </w:style>
  <w:style w:type="paragraph" w:styleId="TOC3">
    <w:name w:val="toc 3"/>
    <w:basedOn w:val="TOC1"/>
    <w:next w:val="Normal"/>
    <w:uiPriority w:val="39"/>
    <w:rsid w:val="000F5A95"/>
  </w:style>
  <w:style w:type="paragraph" w:styleId="TOC2">
    <w:name w:val="toc 2"/>
    <w:basedOn w:val="TOC1"/>
    <w:next w:val="Normal"/>
    <w:uiPriority w:val="39"/>
    <w:rsid w:val="000F5A95"/>
    <w:pPr>
      <w:spacing w:before="160"/>
    </w:pPr>
  </w:style>
  <w:style w:type="paragraph" w:styleId="TOC1">
    <w:name w:val="toc 1"/>
    <w:basedOn w:val="Normal"/>
    <w:uiPriority w:val="39"/>
    <w:rsid w:val="000F5A95"/>
    <w:pPr>
      <w:tabs>
        <w:tab w:val="clear" w:pos="567"/>
        <w:tab w:val="clear" w:pos="1134"/>
        <w:tab w:val="clear" w:pos="1701"/>
        <w:tab w:val="clear" w:pos="2268"/>
        <w:tab w:val="clear" w:pos="2835"/>
        <w:tab w:val="left" w:pos="964"/>
        <w:tab w:val="left" w:leader="dot" w:pos="7938"/>
        <w:tab w:val="right" w:pos="9072"/>
      </w:tabs>
      <w:spacing w:before="200"/>
      <w:ind w:left="964" w:hanging="964"/>
    </w:pPr>
  </w:style>
  <w:style w:type="paragraph" w:styleId="TOC7">
    <w:name w:val="toc 7"/>
    <w:basedOn w:val="TOC6"/>
    <w:next w:val="Normal"/>
    <w:rsid w:val="000F5A95"/>
  </w:style>
  <w:style w:type="paragraph" w:styleId="TOC6">
    <w:name w:val="toc 6"/>
    <w:basedOn w:val="TOC5"/>
    <w:next w:val="Normal"/>
    <w:rsid w:val="000F5A95"/>
  </w:style>
  <w:style w:type="paragraph" w:styleId="TOC5">
    <w:name w:val="toc 5"/>
    <w:basedOn w:val="TOC4"/>
    <w:next w:val="Normal"/>
    <w:rsid w:val="000F5A95"/>
    <w:rPr>
      <w:lang w:val="fr-CH"/>
    </w:rPr>
  </w:style>
  <w:style w:type="paragraph" w:styleId="Index7">
    <w:name w:val="index 7"/>
    <w:basedOn w:val="Normal"/>
    <w:next w:val="Normal"/>
    <w:rsid w:val="000F5A95"/>
    <w:pPr>
      <w:ind w:left="1698"/>
    </w:pPr>
  </w:style>
  <w:style w:type="paragraph" w:styleId="Index6">
    <w:name w:val="index 6"/>
    <w:basedOn w:val="Normal"/>
    <w:next w:val="Normal"/>
    <w:rsid w:val="000F5A95"/>
    <w:pPr>
      <w:ind w:left="1415"/>
    </w:pPr>
  </w:style>
  <w:style w:type="paragraph" w:styleId="Index5">
    <w:name w:val="index 5"/>
    <w:basedOn w:val="Normal"/>
    <w:next w:val="Normal"/>
    <w:rsid w:val="000F5A95"/>
    <w:pPr>
      <w:ind w:left="1132"/>
    </w:pPr>
  </w:style>
  <w:style w:type="paragraph" w:styleId="Index4">
    <w:name w:val="index 4"/>
    <w:basedOn w:val="Normal"/>
    <w:next w:val="Normal"/>
    <w:rsid w:val="000F5A95"/>
    <w:pPr>
      <w:ind w:left="849"/>
    </w:pPr>
  </w:style>
  <w:style w:type="paragraph" w:styleId="Index3">
    <w:name w:val="index 3"/>
    <w:basedOn w:val="Normal"/>
    <w:next w:val="Normal"/>
    <w:rsid w:val="000F5A95"/>
    <w:pPr>
      <w:ind w:left="566"/>
    </w:pPr>
  </w:style>
  <w:style w:type="paragraph" w:styleId="Index2">
    <w:name w:val="index 2"/>
    <w:basedOn w:val="Normal"/>
    <w:next w:val="Normal"/>
    <w:rsid w:val="000F5A95"/>
    <w:pPr>
      <w:ind w:left="283"/>
    </w:pPr>
  </w:style>
  <w:style w:type="paragraph" w:styleId="Index1">
    <w:name w:val="index 1"/>
    <w:basedOn w:val="Normal"/>
    <w:next w:val="Normal"/>
    <w:rsid w:val="000F5A95"/>
  </w:style>
  <w:style w:type="character" w:styleId="LineNumber">
    <w:name w:val="line number"/>
    <w:basedOn w:val="DefaultParagraphFont"/>
    <w:rsid w:val="000F5A95"/>
  </w:style>
  <w:style w:type="paragraph" w:styleId="IndexHeading">
    <w:name w:val="index heading"/>
    <w:basedOn w:val="Normal"/>
    <w:next w:val="Index1"/>
    <w:rsid w:val="000F5A95"/>
  </w:style>
  <w:style w:type="paragraph" w:styleId="Footer">
    <w:name w:val="footer"/>
    <w:basedOn w:val="Normal"/>
    <w:link w:val="FooterChar"/>
    <w:rsid w:val="000F5A9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0F5A9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F5A95"/>
    <w:rPr>
      <w:rFonts w:ascii="Calibri" w:hAnsi="Calibri"/>
      <w:position w:val="6"/>
      <w:sz w:val="16"/>
    </w:rPr>
  </w:style>
  <w:style w:type="paragraph" w:styleId="FootnoteText">
    <w:name w:val="footnote text"/>
    <w:basedOn w:val="Normal"/>
    <w:link w:val="FootnoteTextChar"/>
    <w:rsid w:val="000F5A95"/>
    <w:pPr>
      <w:keepLines/>
      <w:tabs>
        <w:tab w:val="left" w:pos="256"/>
      </w:tabs>
      <w:ind w:left="256" w:hanging="256"/>
    </w:pPr>
    <w:rPr>
      <w:sz w:val="22"/>
    </w:rPr>
  </w:style>
  <w:style w:type="paragraph" w:styleId="NormalIndent">
    <w:name w:val="Normal Indent"/>
    <w:basedOn w:val="Normal"/>
    <w:rsid w:val="000F5A95"/>
    <w:pPr>
      <w:ind w:left="567"/>
    </w:pPr>
  </w:style>
  <w:style w:type="paragraph" w:customStyle="1" w:styleId="AnnexNo">
    <w:name w:val="Annex_No"/>
    <w:basedOn w:val="Normal"/>
    <w:next w:val="Annexref"/>
    <w:qFormat/>
    <w:rsid w:val="000F5A95"/>
    <w:pPr>
      <w:keepNext/>
      <w:keepLines/>
      <w:spacing w:before="720"/>
      <w:jc w:val="center"/>
    </w:pPr>
    <w:rPr>
      <w:caps/>
      <w:sz w:val="28"/>
    </w:rPr>
  </w:style>
  <w:style w:type="paragraph" w:customStyle="1" w:styleId="Annextitle">
    <w:name w:val="Annex_title"/>
    <w:basedOn w:val="Normal"/>
    <w:next w:val="Normalaftertitle"/>
    <w:qFormat/>
    <w:rsid w:val="000F5A95"/>
    <w:pPr>
      <w:keepNext/>
      <w:keepLines/>
      <w:spacing w:before="240" w:after="240"/>
      <w:jc w:val="center"/>
    </w:pPr>
    <w:rPr>
      <w:b/>
      <w:sz w:val="28"/>
    </w:rPr>
  </w:style>
  <w:style w:type="paragraph" w:customStyle="1" w:styleId="Annexref">
    <w:name w:val="Annex_ref"/>
    <w:basedOn w:val="Normal"/>
    <w:next w:val="Annextitle"/>
    <w:qFormat/>
    <w:rsid w:val="000F5A95"/>
    <w:pPr>
      <w:keepNext/>
      <w:keepLines/>
      <w:jc w:val="center"/>
    </w:pPr>
    <w:rPr>
      <w:sz w:val="28"/>
    </w:rPr>
  </w:style>
  <w:style w:type="paragraph" w:customStyle="1" w:styleId="Normalaftertitle">
    <w:name w:val="Normal after title"/>
    <w:basedOn w:val="Normal"/>
    <w:next w:val="Normal"/>
    <w:rsid w:val="000F5A95"/>
    <w:pPr>
      <w:spacing w:before="240"/>
    </w:pPr>
  </w:style>
  <w:style w:type="paragraph" w:customStyle="1" w:styleId="AppendixNo">
    <w:name w:val="Appendix_No"/>
    <w:basedOn w:val="AnnexNo"/>
    <w:next w:val="Appendixref"/>
    <w:rsid w:val="000F5A95"/>
  </w:style>
  <w:style w:type="paragraph" w:customStyle="1" w:styleId="Appendixtitle">
    <w:name w:val="Appendix_title"/>
    <w:basedOn w:val="Annextitle"/>
    <w:next w:val="Normalaftertitle"/>
    <w:rsid w:val="000F5A95"/>
  </w:style>
  <w:style w:type="paragraph" w:customStyle="1" w:styleId="Appendixref">
    <w:name w:val="Appendix_ref"/>
    <w:basedOn w:val="Annexref"/>
    <w:next w:val="Appendixtitle"/>
    <w:rsid w:val="000F5A95"/>
  </w:style>
  <w:style w:type="paragraph" w:customStyle="1" w:styleId="enumlev1">
    <w:name w:val="enumlev1"/>
    <w:basedOn w:val="Normal"/>
    <w:qFormat/>
    <w:rsid w:val="000F5A95"/>
    <w:pPr>
      <w:spacing w:before="80"/>
      <w:ind w:left="567" w:hanging="567"/>
    </w:pPr>
  </w:style>
  <w:style w:type="paragraph" w:customStyle="1" w:styleId="enumlev2">
    <w:name w:val="enumlev2"/>
    <w:basedOn w:val="enumlev1"/>
    <w:qFormat/>
    <w:rsid w:val="000F5A95"/>
    <w:pPr>
      <w:ind w:left="1134"/>
    </w:pPr>
  </w:style>
  <w:style w:type="paragraph" w:customStyle="1" w:styleId="enumlev3">
    <w:name w:val="enumlev3"/>
    <w:basedOn w:val="enumlev2"/>
    <w:qFormat/>
    <w:rsid w:val="000F5A95"/>
    <w:pPr>
      <w:ind w:left="1701"/>
    </w:pPr>
  </w:style>
  <w:style w:type="paragraph" w:customStyle="1" w:styleId="Artheading">
    <w:name w:val="Art_heading"/>
    <w:basedOn w:val="Normal"/>
    <w:next w:val="Normalaftertitle"/>
    <w:qFormat/>
    <w:rsid w:val="000F5A9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qFormat/>
    <w:rsid w:val="000F5A95"/>
    <w:pPr>
      <w:keepNext/>
      <w:keepLines/>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qFormat/>
    <w:rsid w:val="000F5A95"/>
    <w:pPr>
      <w:keepNext/>
      <w:keepLines/>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qFormat/>
    <w:rsid w:val="000F5A95"/>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qFormat/>
    <w:rsid w:val="000F5A95"/>
  </w:style>
  <w:style w:type="paragraph" w:customStyle="1" w:styleId="Chaptitle">
    <w:name w:val="Chap_title"/>
    <w:basedOn w:val="Arttitle"/>
    <w:next w:val="Normalaftertitle"/>
    <w:qFormat/>
    <w:rsid w:val="000F5A95"/>
  </w:style>
  <w:style w:type="paragraph" w:customStyle="1" w:styleId="Equationlegend">
    <w:name w:val="Equation_legend"/>
    <w:basedOn w:val="NormalIndent"/>
    <w:rsid w:val="000F5A95"/>
    <w:pPr>
      <w:tabs>
        <w:tab w:val="right" w:pos="1531"/>
      </w:tabs>
      <w:spacing w:before="80"/>
      <w:ind w:left="1701" w:hanging="1701"/>
    </w:pPr>
  </w:style>
  <w:style w:type="paragraph" w:customStyle="1" w:styleId="Figure">
    <w:name w:val="Figure"/>
    <w:basedOn w:val="Normal"/>
    <w:next w:val="Normal"/>
    <w:qFormat/>
    <w:rsid w:val="000F5A95"/>
    <w:pPr>
      <w:spacing w:after="240"/>
      <w:jc w:val="center"/>
    </w:pPr>
  </w:style>
  <w:style w:type="paragraph" w:customStyle="1" w:styleId="Figuretitle">
    <w:name w:val="Figure_title"/>
    <w:basedOn w:val="Tabletitle"/>
    <w:next w:val="Normalaftertitle"/>
    <w:qFormat/>
    <w:rsid w:val="00EA6948"/>
    <w:pPr>
      <w:spacing w:after="0"/>
    </w:pPr>
  </w:style>
  <w:style w:type="paragraph" w:customStyle="1" w:styleId="Tabletitle">
    <w:name w:val="Table_title"/>
    <w:basedOn w:val="TableNo"/>
    <w:next w:val="Tabletext"/>
    <w:rsid w:val="00033179"/>
    <w:pPr>
      <w:tabs>
        <w:tab w:val="clear" w:pos="567"/>
        <w:tab w:val="clear" w:pos="1134"/>
        <w:tab w:val="clear" w:pos="1701"/>
        <w:tab w:val="clear" w:pos="2268"/>
        <w:tab w:val="clear" w:pos="2835"/>
        <w:tab w:val="left" w:pos="2948"/>
        <w:tab w:val="left" w:pos="4082"/>
      </w:tabs>
      <w:spacing w:before="240"/>
    </w:pPr>
    <w:rPr>
      <w:b/>
      <w:caps w:val="0"/>
    </w:rPr>
  </w:style>
  <w:style w:type="paragraph" w:customStyle="1" w:styleId="TableNo">
    <w:name w:val="Table_No"/>
    <w:basedOn w:val="Normal"/>
    <w:next w:val="Tabletitle"/>
    <w:rsid w:val="000F5A95"/>
    <w:pPr>
      <w:keepNext/>
      <w:keepLines/>
      <w:spacing w:before="480" w:after="120"/>
      <w:jc w:val="center"/>
    </w:pPr>
    <w:rPr>
      <w:caps/>
    </w:rPr>
  </w:style>
  <w:style w:type="paragraph" w:customStyle="1" w:styleId="Tabletext">
    <w:name w:val="Table_text"/>
    <w:basedOn w:val="Normal"/>
    <w:rsid w:val="000F5A95"/>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next w:val="Normal"/>
    <w:qFormat/>
    <w:rsid w:val="000F5A95"/>
    <w:pPr>
      <w:spacing w:before="20" w:after="240"/>
    </w:pPr>
    <w:rPr>
      <w:sz w:val="18"/>
    </w:rPr>
  </w:style>
  <w:style w:type="paragraph" w:customStyle="1" w:styleId="Equation">
    <w:name w:val="Equation"/>
    <w:basedOn w:val="Normal"/>
    <w:rsid w:val="000F5A95"/>
    <w:pPr>
      <w:tabs>
        <w:tab w:val="center" w:pos="4820"/>
        <w:tab w:val="right" w:pos="9639"/>
      </w:tabs>
    </w:pPr>
  </w:style>
  <w:style w:type="paragraph" w:customStyle="1" w:styleId="Head">
    <w:name w:val="Head"/>
    <w:basedOn w:val="Normal"/>
    <w:rsid w:val="000F5A95"/>
    <w:pPr>
      <w:tabs>
        <w:tab w:val="left" w:pos="6663"/>
      </w:tabs>
      <w:overflowPunct/>
      <w:autoSpaceDE/>
      <w:autoSpaceDN/>
      <w:adjustRightInd/>
      <w:spacing w:before="0"/>
      <w:textAlignment w:val="auto"/>
    </w:pPr>
  </w:style>
  <w:style w:type="paragraph" w:customStyle="1" w:styleId="toc0">
    <w:name w:val="toc 0"/>
    <w:basedOn w:val="Normal"/>
    <w:next w:val="TOC1"/>
    <w:rsid w:val="000F5A95"/>
    <w:pPr>
      <w:tabs>
        <w:tab w:val="clear" w:pos="567"/>
        <w:tab w:val="clear" w:pos="1134"/>
        <w:tab w:val="clear" w:pos="1701"/>
        <w:tab w:val="clear" w:pos="2268"/>
        <w:tab w:val="clear" w:pos="2835"/>
        <w:tab w:val="right" w:pos="9781"/>
      </w:tabs>
    </w:pPr>
    <w:rPr>
      <w:b/>
    </w:rPr>
  </w:style>
  <w:style w:type="paragraph" w:styleId="List">
    <w:name w:val="List"/>
    <w:basedOn w:val="Normal"/>
    <w:rsid w:val="000F5A95"/>
    <w:pPr>
      <w:tabs>
        <w:tab w:val="left" w:pos="2127"/>
      </w:tabs>
      <w:ind w:left="2127" w:hanging="2127"/>
    </w:pPr>
  </w:style>
  <w:style w:type="paragraph" w:customStyle="1" w:styleId="Part">
    <w:name w:val="Part"/>
    <w:basedOn w:val="Normal"/>
    <w:rsid w:val="000F5A95"/>
    <w:pPr>
      <w:tabs>
        <w:tab w:val="left" w:pos="1276"/>
      </w:tabs>
      <w:spacing w:before="199"/>
      <w:ind w:left="1701" w:hanging="1701"/>
    </w:pPr>
    <w:rPr>
      <w:caps/>
    </w:rPr>
  </w:style>
  <w:style w:type="paragraph" w:customStyle="1" w:styleId="Figurewithouttitle">
    <w:name w:val="Figure_without_title"/>
    <w:basedOn w:val="Figure"/>
    <w:next w:val="Normal"/>
    <w:rsid w:val="000F5A95"/>
  </w:style>
  <w:style w:type="character" w:styleId="PageNumber">
    <w:name w:val="page number"/>
    <w:basedOn w:val="DefaultParagraphFont"/>
    <w:rsid w:val="000F5A95"/>
    <w:rPr>
      <w:rFonts w:ascii="Calibri" w:hAnsi="Calibri"/>
    </w:rPr>
  </w:style>
  <w:style w:type="paragraph" w:customStyle="1" w:styleId="meeting">
    <w:name w:val="meeting"/>
    <w:basedOn w:val="Head"/>
    <w:next w:val="Head"/>
    <w:rsid w:val="000F5A95"/>
    <w:pPr>
      <w:tabs>
        <w:tab w:val="left" w:pos="7371"/>
      </w:tabs>
      <w:spacing w:after="567"/>
    </w:pPr>
  </w:style>
  <w:style w:type="paragraph" w:customStyle="1" w:styleId="PartNo">
    <w:name w:val="Part_No"/>
    <w:basedOn w:val="AnnexNo"/>
    <w:next w:val="Parttitle"/>
    <w:rsid w:val="000F5A95"/>
  </w:style>
  <w:style w:type="paragraph" w:customStyle="1" w:styleId="Parttitle">
    <w:name w:val="Part_title"/>
    <w:basedOn w:val="Annextitle"/>
    <w:next w:val="Partref"/>
    <w:rsid w:val="000F5A95"/>
  </w:style>
  <w:style w:type="paragraph" w:customStyle="1" w:styleId="Partref">
    <w:name w:val="Part_ref"/>
    <w:basedOn w:val="Annexref"/>
    <w:next w:val="Normalaftertitle"/>
    <w:rsid w:val="000F5A95"/>
  </w:style>
  <w:style w:type="paragraph" w:customStyle="1" w:styleId="Headingb">
    <w:name w:val="Heading_b"/>
    <w:basedOn w:val="Heading3"/>
    <w:next w:val="Normal"/>
    <w:rsid w:val="000F5A95"/>
    <w:pPr>
      <w:spacing w:before="160"/>
      <w:ind w:left="0" w:firstLine="0"/>
      <w:outlineLvl w:val="0"/>
    </w:pPr>
  </w:style>
  <w:style w:type="paragraph" w:customStyle="1" w:styleId="Subject">
    <w:name w:val="Subject"/>
    <w:basedOn w:val="Normal"/>
    <w:next w:val="Source"/>
    <w:rsid w:val="000F5A95"/>
    <w:pPr>
      <w:tabs>
        <w:tab w:val="left" w:pos="709"/>
      </w:tabs>
      <w:spacing w:before="0"/>
      <w:ind w:left="709" w:hanging="709"/>
    </w:pPr>
  </w:style>
  <w:style w:type="paragraph" w:customStyle="1" w:styleId="Source">
    <w:name w:val="Source"/>
    <w:basedOn w:val="Normal"/>
    <w:next w:val="Title1"/>
    <w:rsid w:val="000F5A95"/>
    <w:pPr>
      <w:spacing w:before="840"/>
      <w:jc w:val="center"/>
    </w:pPr>
    <w:rPr>
      <w:b/>
      <w:sz w:val="28"/>
    </w:rPr>
  </w:style>
  <w:style w:type="paragraph" w:customStyle="1" w:styleId="Data">
    <w:name w:val="Data"/>
    <w:basedOn w:val="Subject"/>
    <w:next w:val="Subject"/>
    <w:rsid w:val="000F5A95"/>
  </w:style>
  <w:style w:type="character" w:styleId="Hyperlink">
    <w:name w:val="Hyperlink"/>
    <w:basedOn w:val="DefaultParagraphFont"/>
    <w:uiPriority w:val="99"/>
    <w:rsid w:val="000F5A95"/>
    <w:rPr>
      <w:rFonts w:eastAsiaTheme="minorHAnsi" w:cstheme="minorBidi"/>
      <w:color w:val="4F81BD" w:themeColor="accent1"/>
      <w:szCs w:val="22"/>
    </w:rPr>
  </w:style>
  <w:style w:type="character" w:styleId="FollowedHyperlink">
    <w:name w:val="FollowedHyperlink"/>
    <w:basedOn w:val="DefaultParagraphFont"/>
    <w:rsid w:val="000F5A95"/>
    <w:rPr>
      <w:color w:val="800080"/>
      <w:u w:val="single"/>
    </w:rPr>
  </w:style>
  <w:style w:type="paragraph" w:customStyle="1" w:styleId="FirstFooter">
    <w:name w:val="FirstFooter"/>
    <w:basedOn w:val="Footer"/>
    <w:rsid w:val="000F5A95"/>
    <w:rPr>
      <w:caps w:val="0"/>
    </w:rPr>
  </w:style>
  <w:style w:type="paragraph" w:customStyle="1" w:styleId="Note">
    <w:name w:val="Note"/>
    <w:basedOn w:val="Normal"/>
    <w:rsid w:val="000F5A95"/>
    <w:pPr>
      <w:spacing w:before="80"/>
    </w:pPr>
    <w:rPr>
      <w:sz w:val="22"/>
    </w:rPr>
  </w:style>
  <w:style w:type="paragraph" w:styleId="TOC9">
    <w:name w:val="toc 9"/>
    <w:basedOn w:val="Normal"/>
    <w:next w:val="Normal"/>
    <w:rsid w:val="000F5A95"/>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0F5A95"/>
    <w:pPr>
      <w:spacing w:before="160"/>
      <w:ind w:left="0" w:firstLine="0"/>
      <w:outlineLvl w:val="0"/>
    </w:pPr>
    <w:rPr>
      <w:b w:val="0"/>
      <w:i/>
    </w:rPr>
  </w:style>
  <w:style w:type="paragraph" w:customStyle="1" w:styleId="Title1">
    <w:name w:val="Title 1"/>
    <w:basedOn w:val="Normal"/>
    <w:next w:val="Normalaftertitle"/>
    <w:rsid w:val="000F5A95"/>
    <w:pPr>
      <w:spacing w:before="360"/>
      <w:jc w:val="center"/>
    </w:pPr>
    <w:rPr>
      <w:caps/>
    </w:rPr>
  </w:style>
  <w:style w:type="paragraph" w:customStyle="1" w:styleId="Title2">
    <w:name w:val="Title 2"/>
    <w:basedOn w:val="Title1"/>
    <w:next w:val="Normalaftertitle"/>
    <w:rsid w:val="000F5A95"/>
    <w:pPr>
      <w:keepNext/>
      <w:keepLines/>
      <w:spacing w:before="240"/>
    </w:pPr>
    <w:rPr>
      <w:b/>
      <w:caps w:val="0"/>
    </w:rPr>
  </w:style>
  <w:style w:type="paragraph" w:customStyle="1" w:styleId="Title3">
    <w:name w:val="Title 3"/>
    <w:basedOn w:val="Title2"/>
    <w:next w:val="Normalaftertitle"/>
    <w:rsid w:val="000F5A95"/>
    <w:rPr>
      <w:b w:val="0"/>
      <w:caps/>
    </w:rPr>
  </w:style>
  <w:style w:type="paragraph" w:customStyle="1" w:styleId="Title4">
    <w:name w:val="Title 4"/>
    <w:basedOn w:val="Annextitle"/>
    <w:next w:val="Normal"/>
    <w:rsid w:val="000F5A95"/>
    <w:pPr>
      <w:spacing w:after="120"/>
    </w:pPr>
    <w:rPr>
      <w:b w:val="0"/>
    </w:rPr>
  </w:style>
  <w:style w:type="paragraph" w:customStyle="1" w:styleId="dnum">
    <w:name w:val="dnum"/>
    <w:basedOn w:val="Normal"/>
    <w:rsid w:val="000F5A95"/>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0F5A95"/>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0F5A95"/>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F5A95"/>
    <w:pPr>
      <w:keepNext/>
      <w:keepLines/>
      <w:spacing w:before="720"/>
      <w:jc w:val="center"/>
    </w:pPr>
    <w:rPr>
      <w:caps/>
      <w:sz w:val="28"/>
    </w:rPr>
  </w:style>
  <w:style w:type="paragraph" w:customStyle="1" w:styleId="Rectitle">
    <w:name w:val="Rec_title"/>
    <w:basedOn w:val="Normal"/>
    <w:next w:val="Heading1"/>
    <w:rsid w:val="000F5A95"/>
    <w:pPr>
      <w:keepNext/>
      <w:keepLines/>
      <w:jc w:val="center"/>
    </w:pPr>
    <w:rPr>
      <w:b/>
      <w:sz w:val="28"/>
    </w:rPr>
  </w:style>
  <w:style w:type="paragraph" w:customStyle="1" w:styleId="Recref">
    <w:name w:val="Rec_ref"/>
    <w:basedOn w:val="Rectitle"/>
    <w:next w:val="Recdate"/>
    <w:rsid w:val="000F5A95"/>
    <w:rPr>
      <w:rFonts w:ascii="Times New Roman" w:hAnsi="Times New Roman"/>
      <w:b w:val="0"/>
      <w:sz w:val="24"/>
    </w:rPr>
  </w:style>
  <w:style w:type="paragraph" w:customStyle="1" w:styleId="Recdate">
    <w:name w:val="Rec_date"/>
    <w:basedOn w:val="Recref"/>
    <w:next w:val="Normalaftertitle"/>
    <w:rsid w:val="000F5A95"/>
    <w:pPr>
      <w:jc w:val="right"/>
    </w:pPr>
    <w:rPr>
      <w:sz w:val="22"/>
    </w:rPr>
  </w:style>
  <w:style w:type="paragraph" w:customStyle="1" w:styleId="Questiondate">
    <w:name w:val="Question_date"/>
    <w:basedOn w:val="Recdate"/>
    <w:next w:val="Normalaftertitle"/>
    <w:rsid w:val="000F5A95"/>
  </w:style>
  <w:style w:type="paragraph" w:customStyle="1" w:styleId="QuestionNo">
    <w:name w:val="Question_No"/>
    <w:basedOn w:val="RecNo"/>
    <w:next w:val="Questiontitle"/>
    <w:rsid w:val="000F5A95"/>
  </w:style>
  <w:style w:type="paragraph" w:customStyle="1" w:styleId="Questiontitle">
    <w:name w:val="Question_title"/>
    <w:basedOn w:val="Rectitle"/>
    <w:next w:val="Questionref"/>
    <w:rsid w:val="000F5A95"/>
  </w:style>
  <w:style w:type="paragraph" w:customStyle="1" w:styleId="Questionref">
    <w:name w:val="Question_ref"/>
    <w:basedOn w:val="Recref"/>
    <w:next w:val="Questiondate"/>
    <w:rsid w:val="000F5A95"/>
  </w:style>
  <w:style w:type="paragraph" w:customStyle="1" w:styleId="Reftext">
    <w:name w:val="Ref_text"/>
    <w:basedOn w:val="Normal"/>
    <w:rsid w:val="000F5A95"/>
    <w:pPr>
      <w:ind w:left="567" w:hanging="567"/>
    </w:pPr>
  </w:style>
  <w:style w:type="paragraph" w:customStyle="1" w:styleId="Reftitle">
    <w:name w:val="Ref_title"/>
    <w:basedOn w:val="Normal"/>
    <w:next w:val="Reftext"/>
    <w:rsid w:val="000F5A95"/>
    <w:pPr>
      <w:spacing w:before="480"/>
      <w:jc w:val="center"/>
    </w:pPr>
    <w:rPr>
      <w:caps/>
      <w:sz w:val="28"/>
    </w:rPr>
  </w:style>
  <w:style w:type="paragraph" w:customStyle="1" w:styleId="Repdate">
    <w:name w:val="Rep_date"/>
    <w:basedOn w:val="Recdate"/>
    <w:next w:val="Normalaftertitle"/>
    <w:rsid w:val="000F5A95"/>
  </w:style>
  <w:style w:type="paragraph" w:customStyle="1" w:styleId="RepNo">
    <w:name w:val="Rep_No"/>
    <w:basedOn w:val="RecNo"/>
    <w:next w:val="Reptitle"/>
    <w:rsid w:val="000F5A95"/>
  </w:style>
  <w:style w:type="paragraph" w:customStyle="1" w:styleId="Reptitle">
    <w:name w:val="Rep_title"/>
    <w:basedOn w:val="Rectitle"/>
    <w:next w:val="Repref"/>
    <w:rsid w:val="000F5A95"/>
  </w:style>
  <w:style w:type="paragraph" w:customStyle="1" w:styleId="Repref">
    <w:name w:val="Rep_ref"/>
    <w:basedOn w:val="Recref"/>
    <w:next w:val="Repdate"/>
    <w:rsid w:val="000F5A95"/>
  </w:style>
  <w:style w:type="paragraph" w:customStyle="1" w:styleId="Resdate">
    <w:name w:val="Res_date"/>
    <w:basedOn w:val="Recdate"/>
    <w:next w:val="Normalaftertitle"/>
    <w:rsid w:val="000F5A95"/>
  </w:style>
  <w:style w:type="paragraph" w:customStyle="1" w:styleId="ResNo">
    <w:name w:val="Res_No"/>
    <w:basedOn w:val="AnnexNo"/>
    <w:next w:val="Restitle"/>
    <w:rsid w:val="000F5A95"/>
  </w:style>
  <w:style w:type="paragraph" w:customStyle="1" w:styleId="Restitle">
    <w:name w:val="Res_title"/>
    <w:basedOn w:val="Annextitle"/>
    <w:next w:val="Normal"/>
    <w:rsid w:val="000F5A95"/>
  </w:style>
  <w:style w:type="paragraph" w:customStyle="1" w:styleId="Resref">
    <w:name w:val="Res_ref"/>
    <w:basedOn w:val="Recref"/>
    <w:next w:val="Resdate"/>
    <w:rsid w:val="000F5A95"/>
  </w:style>
  <w:style w:type="paragraph" w:customStyle="1" w:styleId="SectionNo">
    <w:name w:val="Section_No"/>
    <w:basedOn w:val="AnnexNo"/>
    <w:next w:val="Sectiontitle"/>
    <w:rsid w:val="000F5A95"/>
  </w:style>
  <w:style w:type="paragraph" w:customStyle="1" w:styleId="Sectiontitle">
    <w:name w:val="Section_title"/>
    <w:basedOn w:val="Normal"/>
    <w:next w:val="Normalaftertitle"/>
    <w:rsid w:val="000F5A95"/>
    <w:rPr>
      <w:sz w:val="28"/>
    </w:rPr>
  </w:style>
  <w:style w:type="paragraph" w:customStyle="1" w:styleId="SpecialFooter">
    <w:name w:val="Special Footer"/>
    <w:basedOn w:val="Footer"/>
    <w:rsid w:val="000F5A95"/>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F5A95"/>
    <w:pPr>
      <w:keepNext/>
      <w:keepLines/>
      <w:spacing w:before="80" w:after="80"/>
      <w:jc w:val="center"/>
    </w:pPr>
    <w:rPr>
      <w:b/>
    </w:rPr>
  </w:style>
  <w:style w:type="paragraph" w:customStyle="1" w:styleId="Tablelegend">
    <w:name w:val="Table_legend"/>
    <w:basedOn w:val="Tabletext"/>
    <w:rsid w:val="000F5A95"/>
    <w:pPr>
      <w:ind w:left="284" w:hanging="284"/>
    </w:pPr>
    <w:rPr>
      <w:sz w:val="20"/>
    </w:rPr>
  </w:style>
  <w:style w:type="paragraph" w:customStyle="1" w:styleId="Tableref">
    <w:name w:val="Table_ref"/>
    <w:basedOn w:val="Normal"/>
    <w:next w:val="Tabletitle"/>
    <w:rsid w:val="000F5A95"/>
    <w:pPr>
      <w:keepNext/>
      <w:keepLines/>
      <w:jc w:val="center"/>
    </w:pPr>
    <w:rPr>
      <w:sz w:val="20"/>
    </w:rPr>
  </w:style>
  <w:style w:type="paragraph" w:customStyle="1" w:styleId="Reasons">
    <w:name w:val="Reasons"/>
    <w:basedOn w:val="Normal"/>
    <w:qFormat/>
    <w:rsid w:val="000F5A95"/>
  </w:style>
  <w:style w:type="paragraph" w:customStyle="1" w:styleId="FigureNo">
    <w:name w:val="Figure_No"/>
    <w:basedOn w:val="Normal"/>
    <w:next w:val="Figuretitle"/>
    <w:qFormat/>
    <w:rsid w:val="000F5A95"/>
    <w:pPr>
      <w:keepNext/>
      <w:keepLines/>
      <w:spacing w:before="48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paragraph" w:customStyle="1" w:styleId="Subtitle">
    <w:name w:val="Sub_title"/>
    <w:basedOn w:val="Normal"/>
    <w:qFormat/>
    <w:rsid w:val="000F5A95"/>
    <w:pPr>
      <w:framePr w:hSpace="180" w:wrap="around" w:hAnchor="page" w:x="1821" w:y="2317"/>
      <w:spacing w:after="160"/>
    </w:pPr>
    <w:rPr>
      <w:sz w:val="34"/>
      <w:lang w:val="en-GB"/>
    </w:rPr>
  </w:style>
  <w:style w:type="character" w:customStyle="1" w:styleId="HeaderChar">
    <w:name w:val="Header Char"/>
    <w:basedOn w:val="DefaultParagraphFont"/>
    <w:link w:val="Header"/>
    <w:rsid w:val="000F5A95"/>
    <w:rPr>
      <w:rFonts w:ascii="Calibri" w:hAnsi="Calibri"/>
      <w:sz w:val="18"/>
      <w:lang w:val="fr-FR" w:eastAsia="en-US"/>
    </w:rPr>
  </w:style>
  <w:style w:type="table" w:styleId="TableGrid">
    <w:name w:val="Table Grid"/>
    <w:basedOn w:val="TableNormal"/>
    <w:uiPriority w:val="39"/>
    <w:rsid w:val="000F5A9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F5A95"/>
    <w:rPr>
      <w:color w:val="666666"/>
    </w:rPr>
  </w:style>
  <w:style w:type="character" w:styleId="UnresolvedMention">
    <w:name w:val="Unresolved Mention"/>
    <w:basedOn w:val="DefaultParagraphFont"/>
    <w:unhideWhenUsed/>
    <w:rsid w:val="002946E2"/>
    <w:rPr>
      <w:color w:val="605E5C"/>
      <w:shd w:val="clear" w:color="auto" w:fill="E1DFDD"/>
    </w:rPr>
  </w:style>
  <w:style w:type="paragraph" w:customStyle="1" w:styleId="firstfooter0">
    <w:name w:val="firstfooter"/>
    <w:basedOn w:val="Normal"/>
    <w:rsid w:val="000F5A9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Object">
    <w:name w:val="Object"/>
    <w:basedOn w:val="Subject"/>
    <w:next w:val="Subject"/>
    <w:rsid w:val="000F5A95"/>
  </w:style>
  <w:style w:type="paragraph" w:customStyle="1" w:styleId="Referencetext">
    <w:name w:val="Reference_text"/>
    <w:basedOn w:val="Normal"/>
    <w:rsid w:val="000F5A95"/>
    <w:pPr>
      <w:framePr w:hSpace="181" w:wrap="around" w:vAnchor="page" w:hAnchor="page" w:x="1589" w:y="2314"/>
      <w:spacing w:after="160"/>
    </w:pPr>
    <w:rPr>
      <w:i/>
      <w:iCs/>
      <w:sz w:val="22"/>
      <w:szCs w:val="22"/>
    </w:rPr>
  </w:style>
  <w:style w:type="character" w:styleId="CommentReference">
    <w:name w:val="annotation reference"/>
    <w:basedOn w:val="DefaultParagraphFont"/>
    <w:unhideWhenUsed/>
    <w:rsid w:val="00385BAF"/>
    <w:rPr>
      <w:sz w:val="16"/>
      <w:szCs w:val="16"/>
    </w:rPr>
  </w:style>
  <w:style w:type="paragraph" w:styleId="CommentText">
    <w:name w:val="annotation text"/>
    <w:basedOn w:val="Normal"/>
    <w:link w:val="CommentTextChar"/>
    <w:unhideWhenUsed/>
    <w:rsid w:val="00385BAF"/>
    <w:rPr>
      <w:sz w:val="20"/>
    </w:rPr>
  </w:style>
  <w:style w:type="character" w:customStyle="1" w:styleId="CommentTextChar">
    <w:name w:val="Comment Text Char"/>
    <w:basedOn w:val="DefaultParagraphFont"/>
    <w:link w:val="CommentText"/>
    <w:rsid w:val="00385BAF"/>
    <w:rPr>
      <w:rFonts w:ascii="Calibri" w:hAnsi="Calibri"/>
      <w:lang w:val="fr-FR" w:eastAsia="en-US"/>
    </w:rPr>
  </w:style>
  <w:style w:type="paragraph" w:styleId="CommentSubject">
    <w:name w:val="annotation subject"/>
    <w:basedOn w:val="CommentText"/>
    <w:next w:val="CommentText"/>
    <w:link w:val="CommentSubjectChar"/>
    <w:unhideWhenUsed/>
    <w:rsid w:val="00385BAF"/>
    <w:rPr>
      <w:b/>
      <w:bCs/>
    </w:rPr>
  </w:style>
  <w:style w:type="character" w:customStyle="1" w:styleId="CommentSubjectChar">
    <w:name w:val="Comment Subject Char"/>
    <w:basedOn w:val="CommentTextChar"/>
    <w:link w:val="CommentSubject"/>
    <w:rsid w:val="00385BAF"/>
    <w:rPr>
      <w:rFonts w:ascii="Calibri" w:hAnsi="Calibri"/>
      <w:b/>
      <w:bCs/>
      <w:lang w:val="fr-FR" w:eastAsia="en-US"/>
    </w:rPr>
  </w:style>
  <w:style w:type="paragraph" w:styleId="Revision">
    <w:name w:val="Revision"/>
    <w:hidden/>
    <w:rsid w:val="00385BAF"/>
    <w:rPr>
      <w:rFonts w:ascii="Calibri" w:hAnsi="Calibri"/>
      <w:sz w:val="24"/>
      <w:lang w:val="fr-FR" w:eastAsia="en-US"/>
    </w:rPr>
  </w:style>
  <w:style w:type="character" w:customStyle="1" w:styleId="Heading1Char">
    <w:name w:val="Heading 1 Char"/>
    <w:basedOn w:val="DefaultParagraphFont"/>
    <w:link w:val="Heading1"/>
    <w:uiPriority w:val="9"/>
    <w:rsid w:val="007B4979"/>
    <w:rPr>
      <w:rFonts w:ascii="Calibri" w:hAnsi="Calibri"/>
      <w:b/>
      <w:sz w:val="28"/>
      <w:lang w:val="fr-FR" w:eastAsia="en-US"/>
    </w:rPr>
  </w:style>
  <w:style w:type="character" w:customStyle="1" w:styleId="Heading2Char">
    <w:name w:val="Heading 2 Char"/>
    <w:basedOn w:val="DefaultParagraphFont"/>
    <w:link w:val="Heading2"/>
    <w:uiPriority w:val="9"/>
    <w:rsid w:val="007B4979"/>
    <w:rPr>
      <w:rFonts w:ascii="Calibri" w:hAnsi="Calibri"/>
      <w:b/>
      <w:sz w:val="24"/>
      <w:lang w:val="fr-FR" w:eastAsia="en-US"/>
    </w:rPr>
  </w:style>
  <w:style w:type="character" w:customStyle="1" w:styleId="Heading3Char">
    <w:name w:val="Heading 3 Char"/>
    <w:basedOn w:val="DefaultParagraphFont"/>
    <w:link w:val="Heading3"/>
    <w:uiPriority w:val="9"/>
    <w:rsid w:val="007B4979"/>
    <w:rPr>
      <w:rFonts w:ascii="Calibri" w:hAnsi="Calibri"/>
      <w:b/>
      <w:sz w:val="24"/>
      <w:lang w:val="es-ES" w:eastAsia="en-US"/>
    </w:rPr>
  </w:style>
  <w:style w:type="character" w:customStyle="1" w:styleId="Heading4Char">
    <w:name w:val="Heading 4 Char"/>
    <w:basedOn w:val="DefaultParagraphFont"/>
    <w:link w:val="Heading4"/>
    <w:uiPriority w:val="9"/>
    <w:rsid w:val="007B4979"/>
    <w:rPr>
      <w:rFonts w:ascii="Calibri" w:hAnsi="Calibri"/>
      <w:b/>
      <w:sz w:val="24"/>
      <w:lang w:val="es-ES" w:eastAsia="en-US"/>
    </w:rPr>
  </w:style>
  <w:style w:type="character" w:customStyle="1" w:styleId="Heading5Char">
    <w:name w:val="Heading 5 Char"/>
    <w:basedOn w:val="DefaultParagraphFont"/>
    <w:link w:val="Heading5"/>
    <w:uiPriority w:val="9"/>
    <w:rsid w:val="007B4979"/>
    <w:rPr>
      <w:rFonts w:ascii="Calibri" w:hAnsi="Calibri"/>
      <w:b/>
      <w:sz w:val="24"/>
      <w:lang w:val="es-ES" w:eastAsia="en-US"/>
    </w:rPr>
  </w:style>
  <w:style w:type="character" w:customStyle="1" w:styleId="Heading6Char">
    <w:name w:val="Heading 6 Char"/>
    <w:basedOn w:val="DefaultParagraphFont"/>
    <w:link w:val="Heading6"/>
    <w:uiPriority w:val="9"/>
    <w:rsid w:val="007B4979"/>
    <w:rPr>
      <w:rFonts w:ascii="Calibri" w:hAnsi="Calibri"/>
      <w:b/>
      <w:sz w:val="24"/>
      <w:lang w:val="es-ES" w:eastAsia="en-US"/>
    </w:rPr>
  </w:style>
  <w:style w:type="character" w:customStyle="1" w:styleId="Heading7Char">
    <w:name w:val="Heading 7 Char"/>
    <w:basedOn w:val="DefaultParagraphFont"/>
    <w:link w:val="Heading7"/>
    <w:rsid w:val="007B4979"/>
    <w:rPr>
      <w:rFonts w:ascii="Calibri" w:hAnsi="Calibri"/>
      <w:b/>
      <w:sz w:val="24"/>
      <w:lang w:val="es-ES" w:eastAsia="en-US"/>
    </w:rPr>
  </w:style>
  <w:style w:type="character" w:customStyle="1" w:styleId="Heading8Char">
    <w:name w:val="Heading 8 Char"/>
    <w:basedOn w:val="DefaultParagraphFont"/>
    <w:link w:val="Heading8"/>
    <w:rsid w:val="007B4979"/>
    <w:rPr>
      <w:rFonts w:ascii="Calibri" w:hAnsi="Calibri"/>
      <w:b/>
      <w:sz w:val="24"/>
      <w:lang w:val="es-ES" w:eastAsia="en-US"/>
    </w:rPr>
  </w:style>
  <w:style w:type="character" w:customStyle="1" w:styleId="Heading9Char">
    <w:name w:val="Heading 9 Char"/>
    <w:basedOn w:val="DefaultParagraphFont"/>
    <w:link w:val="Heading9"/>
    <w:rsid w:val="007B4979"/>
    <w:rPr>
      <w:rFonts w:ascii="Calibri" w:hAnsi="Calibri"/>
      <w:b/>
      <w:sz w:val="24"/>
      <w:lang w:val="es-ES" w:eastAsia="en-US"/>
    </w:rPr>
  </w:style>
  <w:style w:type="paragraph" w:styleId="Title">
    <w:name w:val="Title"/>
    <w:basedOn w:val="Normal"/>
    <w:next w:val="Normal"/>
    <w:link w:val="TitleChar"/>
    <w:uiPriority w:val="10"/>
    <w:qFormat/>
    <w:rsid w:val="007B4979"/>
    <w:pPr>
      <w:spacing w:after="80"/>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7B4979"/>
    <w:rPr>
      <w:rFonts w:asciiTheme="majorHAnsi" w:eastAsiaTheme="majorEastAsia" w:hAnsiTheme="majorHAnsi" w:cstheme="majorBidi"/>
      <w:spacing w:val="-10"/>
      <w:kern w:val="28"/>
      <w:sz w:val="56"/>
      <w:szCs w:val="56"/>
      <w:lang w:val="en-GB" w:eastAsia="en-US"/>
    </w:rPr>
  </w:style>
  <w:style w:type="paragraph" w:styleId="Subtitle0">
    <w:name w:val="Subtitle"/>
    <w:basedOn w:val="Normal"/>
    <w:next w:val="Normal"/>
    <w:link w:val="SubtitleChar"/>
    <w:uiPriority w:val="11"/>
    <w:qFormat/>
    <w:rsid w:val="007B4979"/>
    <w:pPr>
      <w:numPr>
        <w:ilvl w:val="1"/>
      </w:numPr>
    </w:pPr>
    <w:rPr>
      <w:rFonts w:eastAsiaTheme="majorEastAsia" w:cstheme="majorBidi"/>
      <w:color w:val="595959" w:themeColor="text1" w:themeTint="A6"/>
      <w:spacing w:val="15"/>
      <w:sz w:val="28"/>
      <w:szCs w:val="28"/>
      <w:lang w:val="en-GB"/>
    </w:rPr>
  </w:style>
  <w:style w:type="character" w:customStyle="1" w:styleId="SubtitleChar">
    <w:name w:val="Subtitle Char"/>
    <w:basedOn w:val="DefaultParagraphFont"/>
    <w:link w:val="Subtitle0"/>
    <w:uiPriority w:val="11"/>
    <w:rsid w:val="007B4979"/>
    <w:rPr>
      <w:rFonts w:ascii="Calibri" w:eastAsiaTheme="majorEastAsia" w:hAnsi="Calibri" w:cstheme="majorBidi"/>
      <w:color w:val="595959" w:themeColor="text1" w:themeTint="A6"/>
      <w:spacing w:val="15"/>
      <w:sz w:val="28"/>
      <w:szCs w:val="28"/>
      <w:lang w:val="en-GB" w:eastAsia="en-US"/>
    </w:rPr>
  </w:style>
  <w:style w:type="paragraph" w:styleId="Quote">
    <w:name w:val="Quote"/>
    <w:basedOn w:val="Normal"/>
    <w:next w:val="Normal"/>
    <w:link w:val="QuoteChar"/>
    <w:uiPriority w:val="29"/>
    <w:qFormat/>
    <w:rsid w:val="007B4979"/>
    <w:pPr>
      <w:spacing w:before="160"/>
      <w:jc w:val="center"/>
    </w:pPr>
    <w:rPr>
      <w:i/>
      <w:iCs/>
      <w:color w:val="404040" w:themeColor="text1" w:themeTint="BF"/>
      <w:lang w:val="en-GB"/>
    </w:rPr>
  </w:style>
  <w:style w:type="character" w:customStyle="1" w:styleId="QuoteChar">
    <w:name w:val="Quote Char"/>
    <w:basedOn w:val="DefaultParagraphFont"/>
    <w:link w:val="Quote"/>
    <w:uiPriority w:val="29"/>
    <w:rsid w:val="007B4979"/>
    <w:rPr>
      <w:rFonts w:ascii="Calibri" w:hAnsi="Calibri"/>
      <w:i/>
      <w:iCs/>
      <w:color w:val="404040" w:themeColor="text1" w:themeTint="BF"/>
      <w:sz w:val="24"/>
      <w:lang w:val="en-GB" w:eastAsia="en-US"/>
    </w:rPr>
  </w:style>
  <w:style w:type="paragraph" w:styleId="ListParagraph">
    <w:name w:val="List Paragraph"/>
    <w:basedOn w:val="Normal"/>
    <w:qFormat/>
    <w:rsid w:val="007B4979"/>
    <w:pPr>
      <w:ind w:left="720"/>
      <w:contextualSpacing/>
    </w:pPr>
    <w:rPr>
      <w:lang w:val="en-GB"/>
    </w:rPr>
  </w:style>
  <w:style w:type="character" w:styleId="IntenseEmphasis">
    <w:name w:val="Intense Emphasis"/>
    <w:basedOn w:val="DefaultParagraphFont"/>
    <w:uiPriority w:val="21"/>
    <w:qFormat/>
    <w:rsid w:val="007B4979"/>
    <w:rPr>
      <w:i/>
      <w:iCs/>
      <w:color w:val="365F91" w:themeColor="accent1" w:themeShade="BF"/>
    </w:rPr>
  </w:style>
  <w:style w:type="paragraph" w:styleId="IntenseQuote">
    <w:name w:val="Intense Quote"/>
    <w:basedOn w:val="Normal"/>
    <w:next w:val="Normal"/>
    <w:link w:val="IntenseQuoteChar"/>
    <w:uiPriority w:val="30"/>
    <w:qFormat/>
    <w:rsid w:val="007B497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lang w:val="en-GB"/>
    </w:rPr>
  </w:style>
  <w:style w:type="character" w:customStyle="1" w:styleId="IntenseQuoteChar">
    <w:name w:val="Intense Quote Char"/>
    <w:basedOn w:val="DefaultParagraphFont"/>
    <w:link w:val="IntenseQuote"/>
    <w:uiPriority w:val="30"/>
    <w:rsid w:val="007B4979"/>
    <w:rPr>
      <w:rFonts w:ascii="Calibri" w:hAnsi="Calibri"/>
      <w:i/>
      <w:iCs/>
      <w:color w:val="365F91" w:themeColor="accent1" w:themeShade="BF"/>
      <w:sz w:val="24"/>
      <w:lang w:val="en-GB" w:eastAsia="en-US"/>
    </w:rPr>
  </w:style>
  <w:style w:type="character" w:styleId="IntenseReference">
    <w:name w:val="Intense Reference"/>
    <w:basedOn w:val="DefaultParagraphFont"/>
    <w:uiPriority w:val="32"/>
    <w:qFormat/>
    <w:rsid w:val="007B4979"/>
    <w:rPr>
      <w:b/>
      <w:bCs/>
      <w:smallCaps/>
      <w:color w:val="365F91" w:themeColor="accent1" w:themeShade="BF"/>
      <w:spacing w:val="5"/>
    </w:rPr>
  </w:style>
  <w:style w:type="character" w:customStyle="1" w:styleId="FooterChar">
    <w:name w:val="Footer Char"/>
    <w:basedOn w:val="DefaultParagraphFont"/>
    <w:link w:val="Footer"/>
    <w:rsid w:val="007B4979"/>
    <w:rPr>
      <w:rFonts w:ascii="Calibri" w:hAnsi="Calibri"/>
      <w:caps/>
      <w:noProof/>
      <w:sz w:val="16"/>
      <w:lang w:val="fr-FR" w:eastAsia="en-US"/>
    </w:rPr>
  </w:style>
  <w:style w:type="character" w:customStyle="1" w:styleId="FootnoteTextChar">
    <w:name w:val="Footnote Text Char"/>
    <w:basedOn w:val="DefaultParagraphFont"/>
    <w:link w:val="FootnoteText"/>
    <w:rsid w:val="007B4979"/>
    <w:rPr>
      <w:rFonts w:ascii="Calibri" w:hAnsi="Calibri"/>
      <w:sz w:val="22"/>
      <w:lang w:val="fr-FR" w:eastAsia="en-US"/>
    </w:rPr>
  </w:style>
  <w:style w:type="paragraph" w:styleId="TOCHeading">
    <w:name w:val="TOC Heading"/>
    <w:basedOn w:val="Heading1"/>
    <w:next w:val="Normal"/>
    <w:unhideWhenUsed/>
    <w:qFormat/>
    <w:rsid w:val="007B4979"/>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character" w:customStyle="1" w:styleId="findhit">
    <w:name w:val="findhit"/>
    <w:basedOn w:val="DefaultParagraphFont"/>
    <w:rsid w:val="007B4979"/>
  </w:style>
  <w:style w:type="paragraph" w:customStyle="1" w:styleId="msonormal0">
    <w:name w:val="msonormal"/>
    <w:basedOn w:val="Normal"/>
    <w:rsid w:val="007B4979"/>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ascii="Times New Roman" w:eastAsia="MS Mincho" w:hAnsi="Times New Roman"/>
      <w:sz w:val="22"/>
      <w:szCs w:val="24"/>
      <w:lang w:val="en-GB" w:eastAsia="en-GB"/>
    </w:rPr>
  </w:style>
  <w:style w:type="paragraph" w:customStyle="1" w:styleId="paragraph">
    <w:name w:val="paragraph"/>
    <w:basedOn w:val="Normal"/>
    <w:rsid w:val="007B4979"/>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ascii="Times New Roman" w:eastAsia="MS Mincho" w:hAnsi="Times New Roman"/>
      <w:sz w:val="22"/>
      <w:szCs w:val="24"/>
      <w:lang w:val="en-GB" w:eastAsia="en-GB"/>
    </w:rPr>
  </w:style>
  <w:style w:type="character" w:customStyle="1" w:styleId="eop">
    <w:name w:val="eop"/>
    <w:basedOn w:val="DefaultParagraphFont"/>
    <w:rsid w:val="007B4979"/>
  </w:style>
  <w:style w:type="character" w:customStyle="1" w:styleId="textrun">
    <w:name w:val="textrun"/>
    <w:basedOn w:val="DefaultParagraphFont"/>
    <w:rsid w:val="007B4979"/>
  </w:style>
  <w:style w:type="character" w:customStyle="1" w:styleId="normaltextrun">
    <w:name w:val="normaltextrun"/>
    <w:basedOn w:val="DefaultParagraphFont"/>
    <w:rsid w:val="007B4979"/>
  </w:style>
  <w:style w:type="paragraph" w:customStyle="1" w:styleId="outlineelement">
    <w:name w:val="outlineelement"/>
    <w:basedOn w:val="Normal"/>
    <w:rsid w:val="007B4979"/>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ascii="Times New Roman" w:eastAsia="MS Mincho" w:hAnsi="Times New Roman"/>
      <w:sz w:val="22"/>
      <w:szCs w:val="24"/>
      <w:lang w:val="en-GB" w:eastAsia="en-GB"/>
    </w:rPr>
  </w:style>
  <w:style w:type="character" w:customStyle="1" w:styleId="trackchangetextdeletion">
    <w:name w:val="trackchangetextdeletion"/>
    <w:basedOn w:val="DefaultParagraphFont"/>
    <w:rsid w:val="007B4979"/>
  </w:style>
  <w:style w:type="character" w:customStyle="1" w:styleId="trackchangetextinsertion">
    <w:name w:val="trackchangetextinsertion"/>
    <w:basedOn w:val="DefaultParagraphFont"/>
    <w:rsid w:val="007B4979"/>
  </w:style>
  <w:style w:type="character" w:customStyle="1" w:styleId="fieldrange">
    <w:name w:val="fieldrange"/>
    <w:basedOn w:val="DefaultParagraphFont"/>
    <w:rsid w:val="007B4979"/>
  </w:style>
  <w:style w:type="character" w:customStyle="1" w:styleId="pagebreakblob">
    <w:name w:val="pagebreakblob"/>
    <w:basedOn w:val="DefaultParagraphFont"/>
    <w:rsid w:val="007B4979"/>
  </w:style>
  <w:style w:type="character" w:customStyle="1" w:styleId="pagebreakborderspan">
    <w:name w:val="pagebreakborderspan"/>
    <w:basedOn w:val="DefaultParagraphFont"/>
    <w:rsid w:val="007B4979"/>
  </w:style>
  <w:style w:type="character" w:customStyle="1" w:styleId="pagebreaktextspan">
    <w:name w:val="pagebreaktextspan"/>
    <w:basedOn w:val="DefaultParagraphFont"/>
    <w:rsid w:val="007B4979"/>
  </w:style>
  <w:style w:type="character" w:customStyle="1" w:styleId="superscript">
    <w:name w:val="superscript"/>
    <w:basedOn w:val="DefaultParagraphFont"/>
    <w:rsid w:val="007B4979"/>
  </w:style>
  <w:style w:type="character" w:customStyle="1" w:styleId="linebreakblob">
    <w:name w:val="linebreakblob"/>
    <w:basedOn w:val="DefaultParagraphFont"/>
    <w:rsid w:val="007B4979"/>
  </w:style>
  <w:style w:type="character" w:customStyle="1" w:styleId="bcx7">
    <w:name w:val="bcx7"/>
    <w:basedOn w:val="DefaultParagraphFont"/>
    <w:rsid w:val="007B4979"/>
  </w:style>
  <w:style w:type="character" w:customStyle="1" w:styleId="UnresolvedMention1">
    <w:name w:val="Unresolved Mention1"/>
    <w:basedOn w:val="DefaultParagraphFont"/>
    <w:rsid w:val="007B4979"/>
    <w:rPr>
      <w:color w:val="605E5C"/>
      <w:shd w:val="clear" w:color="auto" w:fill="E1DFDD"/>
    </w:rPr>
  </w:style>
  <w:style w:type="character" w:customStyle="1" w:styleId="scxw33153122">
    <w:name w:val="scxw33153122"/>
    <w:basedOn w:val="DefaultParagraphFont"/>
    <w:rsid w:val="007B4979"/>
  </w:style>
  <w:style w:type="paragraph" w:styleId="BalloonText">
    <w:name w:val="Balloon Text"/>
    <w:basedOn w:val="Normal"/>
    <w:link w:val="BalloonTextChar"/>
    <w:rsid w:val="007B4979"/>
    <w:pPr>
      <w:tabs>
        <w:tab w:val="clear" w:pos="567"/>
        <w:tab w:val="clear" w:pos="1134"/>
        <w:tab w:val="clear" w:pos="1701"/>
        <w:tab w:val="clear" w:pos="2268"/>
        <w:tab w:val="clear" w:pos="2835"/>
      </w:tabs>
      <w:suppressAutoHyphens/>
      <w:overflowPunct/>
      <w:autoSpaceDE/>
      <w:adjustRightInd/>
      <w:spacing w:before="0"/>
      <w:jc w:val="both"/>
      <w:textAlignment w:val="auto"/>
    </w:pPr>
    <w:rPr>
      <w:rFonts w:ascii="Segoe UI" w:eastAsia="Calibri" w:hAnsi="Segoe UI" w:cs="Segoe UI"/>
      <w:sz w:val="18"/>
      <w:szCs w:val="18"/>
      <w:lang w:val="en-GB"/>
    </w:rPr>
  </w:style>
  <w:style w:type="character" w:customStyle="1" w:styleId="BalloonTextChar">
    <w:name w:val="Balloon Text Char"/>
    <w:basedOn w:val="DefaultParagraphFont"/>
    <w:link w:val="BalloonText"/>
    <w:rsid w:val="007B4979"/>
    <w:rPr>
      <w:rFonts w:ascii="Segoe UI" w:eastAsia="Calibri" w:hAnsi="Segoe UI" w:cs="Segoe UI"/>
      <w:sz w:val="18"/>
      <w:szCs w:val="18"/>
      <w:lang w:val="en-GB" w:eastAsia="en-US"/>
    </w:rPr>
  </w:style>
  <w:style w:type="character" w:customStyle="1" w:styleId="ListParagraphChar">
    <w:name w:val="List Paragraph Char"/>
    <w:basedOn w:val="DefaultParagraphFont"/>
    <w:rsid w:val="007B4979"/>
    <w:rPr>
      <w:rFonts w:ascii="Calibri" w:eastAsia="PMingLiU" w:hAnsi="Calibri"/>
      <w:sz w:val="22"/>
      <w:szCs w:val="22"/>
      <w:lang w:eastAsia="zh-TW"/>
    </w:rPr>
  </w:style>
  <w:style w:type="paragraph" w:customStyle="1" w:styleId="Tableheadwhitecentred">
    <w:name w:val="Table head white centred"/>
    <w:basedOn w:val="Normal"/>
    <w:rsid w:val="007B4979"/>
    <w:pPr>
      <w:tabs>
        <w:tab w:val="clear" w:pos="567"/>
        <w:tab w:val="clear" w:pos="1134"/>
        <w:tab w:val="clear" w:pos="1701"/>
        <w:tab w:val="clear" w:pos="2268"/>
        <w:tab w:val="clear" w:pos="2835"/>
      </w:tabs>
      <w:suppressAutoHyphens/>
      <w:overflowPunct/>
      <w:autoSpaceDE/>
      <w:adjustRightInd/>
      <w:jc w:val="both"/>
      <w:textAlignment w:val="auto"/>
    </w:pPr>
    <w:rPr>
      <w:rFonts w:eastAsia="SimSun"/>
      <w:sz w:val="21"/>
      <w:szCs w:val="22"/>
      <w:lang w:val="en-US" w:eastAsia="fr-FR"/>
    </w:rPr>
  </w:style>
  <w:style w:type="paragraph" w:customStyle="1" w:styleId="boxtext">
    <w:name w:val="box_text"/>
    <w:basedOn w:val="Normal"/>
    <w:rsid w:val="007B4979"/>
    <w:pPr>
      <w:tabs>
        <w:tab w:val="clear" w:pos="567"/>
        <w:tab w:val="clear" w:pos="1134"/>
        <w:tab w:val="clear" w:pos="1701"/>
        <w:tab w:val="clear" w:pos="2268"/>
        <w:tab w:val="clear" w:pos="2835"/>
      </w:tabs>
      <w:suppressAutoHyphens/>
      <w:overflowPunct/>
      <w:autoSpaceDE/>
      <w:adjustRightInd/>
      <w:spacing w:before="60" w:after="60"/>
      <w:jc w:val="both"/>
      <w:textAlignment w:val="auto"/>
    </w:pPr>
    <w:rPr>
      <w:rFonts w:eastAsia="SimSun" w:cs="Calibri"/>
      <w:sz w:val="22"/>
      <w:szCs w:val="22"/>
      <w:lang w:val="en-US" w:eastAsia="fr-FR"/>
    </w:rPr>
  </w:style>
  <w:style w:type="character" w:customStyle="1" w:styleId="boxtextChar">
    <w:name w:val="box_text Char"/>
    <w:basedOn w:val="DefaultParagraphFont"/>
    <w:rsid w:val="007B4979"/>
    <w:rPr>
      <w:rFonts w:ascii="Calibri" w:eastAsia="SimSun" w:hAnsi="Calibri" w:cs="Calibri"/>
      <w:sz w:val="22"/>
      <w:szCs w:val="22"/>
      <w:lang w:eastAsia="fr-FR"/>
    </w:rPr>
  </w:style>
  <w:style w:type="paragraph" w:customStyle="1" w:styleId="Tabletextcentred">
    <w:name w:val="Table text centred"/>
    <w:basedOn w:val="Normal"/>
    <w:rsid w:val="007B4979"/>
    <w:pPr>
      <w:tabs>
        <w:tab w:val="clear" w:pos="567"/>
        <w:tab w:val="clear" w:pos="1134"/>
        <w:tab w:val="clear" w:pos="1701"/>
        <w:tab w:val="clear" w:pos="2268"/>
        <w:tab w:val="clear" w:pos="2835"/>
      </w:tabs>
      <w:suppressAutoHyphens/>
      <w:overflowPunct/>
      <w:autoSpaceDE/>
      <w:adjustRightInd/>
      <w:jc w:val="both"/>
      <w:textAlignment w:val="auto"/>
    </w:pPr>
    <w:rPr>
      <w:rFonts w:eastAsia="SimSun"/>
      <w:sz w:val="21"/>
      <w:szCs w:val="22"/>
      <w:lang w:val="en-GB" w:eastAsia="fr-FR"/>
    </w:rPr>
  </w:style>
  <w:style w:type="paragraph" w:customStyle="1" w:styleId="Tabletextrightaligned">
    <w:name w:val="Table text right aligned"/>
    <w:basedOn w:val="Normal"/>
    <w:rsid w:val="007B4979"/>
    <w:pPr>
      <w:tabs>
        <w:tab w:val="clear" w:pos="567"/>
        <w:tab w:val="clear" w:pos="1134"/>
        <w:tab w:val="clear" w:pos="1701"/>
        <w:tab w:val="clear" w:pos="2268"/>
        <w:tab w:val="clear" w:pos="2835"/>
      </w:tabs>
      <w:suppressAutoHyphens/>
      <w:overflowPunct/>
      <w:autoSpaceDE/>
      <w:adjustRightInd/>
      <w:jc w:val="both"/>
      <w:textAlignment w:val="auto"/>
    </w:pPr>
    <w:rPr>
      <w:rFonts w:eastAsia="SimSun"/>
      <w:sz w:val="21"/>
      <w:szCs w:val="22"/>
      <w:lang w:val="en-GB" w:eastAsia="fr-FR"/>
    </w:rPr>
  </w:style>
  <w:style w:type="paragraph" w:styleId="NormalWeb">
    <w:name w:val="Normal (Web)"/>
    <w:basedOn w:val="Normal"/>
    <w:rsid w:val="007B4979"/>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eastAsia="SimSun"/>
      <w:sz w:val="21"/>
      <w:szCs w:val="24"/>
      <w:lang w:val="en-US" w:eastAsia="zh-CN"/>
    </w:rPr>
  </w:style>
  <w:style w:type="character" w:customStyle="1" w:styleId="NormalWebChar">
    <w:name w:val="Normal (Web) Char"/>
    <w:rsid w:val="007B4979"/>
    <w:rPr>
      <w:rFonts w:ascii="Calibri" w:eastAsia="SimSun" w:hAnsi="Calibri"/>
      <w:sz w:val="21"/>
      <w:szCs w:val="24"/>
    </w:rPr>
  </w:style>
  <w:style w:type="paragraph" w:styleId="PlainText">
    <w:name w:val="Plain Text"/>
    <w:basedOn w:val="Normal"/>
    <w:link w:val="PlainTextChar"/>
    <w:rsid w:val="007B4979"/>
    <w:pPr>
      <w:tabs>
        <w:tab w:val="clear" w:pos="567"/>
        <w:tab w:val="clear" w:pos="1134"/>
        <w:tab w:val="clear" w:pos="1701"/>
        <w:tab w:val="clear" w:pos="2268"/>
        <w:tab w:val="clear" w:pos="2835"/>
      </w:tabs>
      <w:suppressAutoHyphens/>
      <w:overflowPunct/>
      <w:autoSpaceDE/>
      <w:adjustRightInd/>
      <w:spacing w:before="0"/>
      <w:jc w:val="both"/>
      <w:textAlignment w:val="auto"/>
    </w:pPr>
    <w:rPr>
      <w:rFonts w:ascii="Courier New" w:eastAsia="SimSun" w:hAnsi="Courier New" w:cs="Courier New"/>
      <w:sz w:val="20"/>
      <w:szCs w:val="22"/>
      <w:lang w:val="en-US" w:eastAsia="zh-CN"/>
    </w:rPr>
  </w:style>
  <w:style w:type="character" w:customStyle="1" w:styleId="PlainTextChar">
    <w:name w:val="Plain Text Char"/>
    <w:basedOn w:val="DefaultParagraphFont"/>
    <w:link w:val="PlainText"/>
    <w:rsid w:val="007B4979"/>
    <w:rPr>
      <w:rFonts w:ascii="Courier New" w:eastAsia="SimSun" w:hAnsi="Courier New" w:cs="Courier New"/>
      <w:szCs w:val="22"/>
    </w:rPr>
  </w:style>
  <w:style w:type="character" w:styleId="Emphasis">
    <w:name w:val="Emphasis"/>
    <w:basedOn w:val="DefaultParagraphFont"/>
    <w:rsid w:val="007B4979"/>
    <w:rPr>
      <w:i/>
      <w:iCs/>
    </w:rPr>
  </w:style>
  <w:style w:type="character" w:customStyle="1" w:styleId="normalWSISChar">
    <w:name w:val="normal WSIS Char"/>
    <w:basedOn w:val="DefaultParagraphFont"/>
    <w:rsid w:val="007B4979"/>
    <w:rPr>
      <w:rFonts w:ascii="Calibri" w:eastAsia="SimSun" w:hAnsi="Calibri" w:cs="Arial"/>
    </w:rPr>
  </w:style>
  <w:style w:type="paragraph" w:customStyle="1" w:styleId="normalWSIS">
    <w:name w:val="normal WSIS"/>
    <w:basedOn w:val="ListParagraph"/>
    <w:rsid w:val="007B4979"/>
    <w:pPr>
      <w:numPr>
        <w:numId w:val="2"/>
      </w:numPr>
      <w:tabs>
        <w:tab w:val="left" w:pos="-2259"/>
      </w:tabs>
      <w:suppressAutoHyphens/>
      <w:spacing w:after="200"/>
      <w:contextualSpacing w:val="0"/>
      <w:jc w:val="both"/>
    </w:pPr>
    <w:rPr>
      <w:rFonts w:eastAsia="SimSun" w:cs="Arial"/>
      <w:sz w:val="20"/>
      <w:lang w:eastAsia="zh-CN"/>
    </w:rPr>
  </w:style>
  <w:style w:type="character" w:customStyle="1" w:styleId="Mention1">
    <w:name w:val="Mention1"/>
    <w:basedOn w:val="DefaultParagraphFont"/>
    <w:rsid w:val="007B4979"/>
    <w:rPr>
      <w:color w:val="2B579A"/>
      <w:shd w:val="clear" w:color="auto" w:fill="E1DFDD"/>
    </w:rPr>
  </w:style>
  <w:style w:type="character" w:styleId="Strong">
    <w:name w:val="Strong"/>
    <w:basedOn w:val="DefaultParagraphFont"/>
    <w:uiPriority w:val="22"/>
    <w:qFormat/>
    <w:rsid w:val="007B4979"/>
    <w:rPr>
      <w:b/>
      <w:bCs/>
    </w:rPr>
  </w:style>
  <w:style w:type="paragraph" w:customStyle="1" w:styleId="xmsolistparagraph">
    <w:name w:val="x_msolistparagraph"/>
    <w:basedOn w:val="Normal"/>
    <w:rsid w:val="007B4979"/>
    <w:pPr>
      <w:tabs>
        <w:tab w:val="clear" w:pos="567"/>
        <w:tab w:val="clear" w:pos="1134"/>
        <w:tab w:val="clear" w:pos="1701"/>
        <w:tab w:val="clear" w:pos="2268"/>
        <w:tab w:val="clear" w:pos="2835"/>
      </w:tabs>
      <w:suppressAutoHyphens/>
      <w:overflowPunct/>
      <w:autoSpaceDE/>
      <w:adjustRightInd/>
      <w:spacing w:before="0"/>
      <w:ind w:left="720"/>
      <w:jc w:val="both"/>
      <w:textAlignment w:val="auto"/>
    </w:pPr>
    <w:rPr>
      <w:rFonts w:eastAsia="Calibri" w:cs="Calibri"/>
      <w:sz w:val="22"/>
      <w:szCs w:val="22"/>
      <w:lang w:val="en-GB" w:eastAsia="en-GB"/>
    </w:rPr>
  </w:style>
  <w:style w:type="character" w:customStyle="1" w:styleId="apple-style-span">
    <w:name w:val="apple-style-span"/>
    <w:basedOn w:val="DefaultParagraphFont"/>
    <w:rsid w:val="007B4979"/>
  </w:style>
  <w:style w:type="character" w:styleId="SubtleEmphasis">
    <w:name w:val="Subtle Emphasis"/>
    <w:basedOn w:val="DefaultParagraphFont"/>
    <w:rsid w:val="007B4979"/>
    <w:rPr>
      <w:i/>
      <w:iCs/>
      <w:color w:val="404040"/>
    </w:rPr>
  </w:style>
  <w:style w:type="paragraph" w:customStyle="1" w:styleId="tabletitle0">
    <w:name w:val="table_title"/>
    <w:basedOn w:val="Normal"/>
    <w:rsid w:val="007B4979"/>
    <w:pPr>
      <w:keepNext/>
      <w:tabs>
        <w:tab w:val="clear" w:pos="567"/>
        <w:tab w:val="clear" w:pos="1134"/>
        <w:tab w:val="clear" w:pos="1701"/>
        <w:tab w:val="clear" w:pos="2268"/>
        <w:tab w:val="clear" w:pos="2835"/>
      </w:tabs>
      <w:suppressAutoHyphens/>
      <w:overflowPunct/>
      <w:autoSpaceDE/>
      <w:adjustRightInd/>
      <w:spacing w:before="0" w:after="120"/>
      <w:jc w:val="both"/>
      <w:textAlignment w:val="auto"/>
    </w:pPr>
    <w:rPr>
      <w:rFonts w:eastAsia="Calibri" w:cs="Calibri"/>
      <w:b/>
      <w:bCs/>
      <w:color w:val="4472C4"/>
      <w:sz w:val="22"/>
      <w:szCs w:val="22"/>
      <w:lang w:val="en-GB"/>
    </w:rPr>
  </w:style>
  <w:style w:type="paragraph" w:customStyle="1" w:styleId="boxhead">
    <w:name w:val="box_head"/>
    <w:basedOn w:val="Normal"/>
    <w:rsid w:val="007B4979"/>
    <w:pPr>
      <w:tabs>
        <w:tab w:val="clear" w:pos="567"/>
        <w:tab w:val="clear" w:pos="1134"/>
        <w:tab w:val="clear" w:pos="1701"/>
        <w:tab w:val="clear" w:pos="2268"/>
        <w:tab w:val="clear" w:pos="2835"/>
      </w:tabs>
      <w:suppressAutoHyphens/>
      <w:overflowPunct/>
      <w:autoSpaceDE/>
      <w:adjustRightInd/>
      <w:spacing w:after="60"/>
      <w:jc w:val="both"/>
      <w:textAlignment w:val="auto"/>
    </w:pPr>
    <w:rPr>
      <w:rFonts w:eastAsia="Calibri" w:cs="Calibri"/>
      <w:b/>
      <w:sz w:val="22"/>
      <w:szCs w:val="22"/>
      <w:u w:val="single"/>
      <w:lang w:val="en-GB" w:eastAsia="zh-CN"/>
    </w:rPr>
  </w:style>
  <w:style w:type="paragraph" w:customStyle="1" w:styleId="boxbullet">
    <w:name w:val="box_bullet"/>
    <w:basedOn w:val="Normal"/>
    <w:rsid w:val="007B4979"/>
    <w:pPr>
      <w:tabs>
        <w:tab w:val="clear" w:pos="567"/>
        <w:tab w:val="clear" w:pos="1134"/>
        <w:tab w:val="clear" w:pos="1701"/>
        <w:tab w:val="clear" w:pos="2268"/>
        <w:tab w:val="clear" w:pos="2835"/>
        <w:tab w:val="left" w:pos="720"/>
      </w:tabs>
      <w:suppressAutoHyphens/>
      <w:overflowPunct/>
      <w:autoSpaceDE/>
      <w:adjustRightInd/>
      <w:spacing w:before="60" w:after="60"/>
      <w:ind w:left="714" w:hanging="357"/>
      <w:jc w:val="both"/>
      <w:textAlignment w:val="auto"/>
    </w:pPr>
    <w:rPr>
      <w:rFonts w:eastAsia="SimSun" w:cs="Calibri"/>
      <w:sz w:val="22"/>
      <w:szCs w:val="22"/>
      <w:lang w:val="en-GB" w:eastAsia="zh-CN"/>
    </w:rPr>
  </w:style>
  <w:style w:type="paragraph" w:customStyle="1" w:styleId="Boxbullet2">
    <w:name w:val="Box_bullet2"/>
    <w:basedOn w:val="Normal"/>
    <w:rsid w:val="007B4979"/>
    <w:pPr>
      <w:numPr>
        <w:numId w:val="3"/>
      </w:numPr>
      <w:tabs>
        <w:tab w:val="clear" w:pos="567"/>
        <w:tab w:val="clear" w:pos="1134"/>
        <w:tab w:val="clear" w:pos="1701"/>
        <w:tab w:val="clear" w:pos="2268"/>
        <w:tab w:val="clear" w:pos="2835"/>
        <w:tab w:val="left" w:pos="1440"/>
      </w:tabs>
      <w:suppressAutoHyphens/>
      <w:overflowPunct/>
      <w:autoSpaceDE/>
      <w:adjustRightInd/>
      <w:spacing w:before="60" w:after="60"/>
      <w:jc w:val="both"/>
      <w:textAlignment w:val="auto"/>
    </w:pPr>
    <w:rPr>
      <w:rFonts w:eastAsia="SimSun"/>
      <w:sz w:val="22"/>
      <w:szCs w:val="22"/>
      <w:lang w:val="en-GB" w:eastAsia="zh-CN"/>
    </w:rPr>
  </w:style>
  <w:style w:type="paragraph" w:customStyle="1" w:styleId="tabletext0">
    <w:name w:val="table_text"/>
    <w:basedOn w:val="Normal"/>
    <w:rsid w:val="007B4979"/>
    <w:pPr>
      <w:tabs>
        <w:tab w:val="clear" w:pos="567"/>
        <w:tab w:val="clear" w:pos="1134"/>
        <w:tab w:val="clear" w:pos="1701"/>
        <w:tab w:val="clear" w:pos="2268"/>
        <w:tab w:val="clear" w:pos="2835"/>
      </w:tabs>
      <w:suppressAutoHyphens/>
      <w:overflowPunct/>
      <w:autoSpaceDE/>
      <w:adjustRightInd/>
      <w:spacing w:before="80" w:after="80"/>
      <w:jc w:val="both"/>
      <w:textAlignment w:val="auto"/>
    </w:pPr>
    <w:rPr>
      <w:rFonts w:eastAsia="SimSun" w:cs="Calibri"/>
      <w:sz w:val="22"/>
      <w:szCs w:val="22"/>
      <w:lang w:val="en-GB" w:eastAsia="zh-CN"/>
    </w:rPr>
  </w:style>
  <w:style w:type="character" w:customStyle="1" w:styleId="A0">
    <w:name w:val="A0"/>
    <w:rsid w:val="007B4979"/>
    <w:rPr>
      <w:color w:val="404041"/>
      <w:sz w:val="21"/>
      <w:szCs w:val="21"/>
    </w:rPr>
  </w:style>
  <w:style w:type="paragraph" w:customStyle="1" w:styleId="Bulletlist1">
    <w:name w:val="Bullet list 1"/>
    <w:basedOn w:val="Normal"/>
    <w:rsid w:val="007B4979"/>
    <w:pPr>
      <w:tabs>
        <w:tab w:val="clear" w:pos="567"/>
        <w:tab w:val="clear" w:pos="1134"/>
        <w:tab w:val="clear" w:pos="1701"/>
        <w:tab w:val="clear" w:pos="2268"/>
        <w:tab w:val="clear" w:pos="2835"/>
      </w:tabs>
      <w:suppressAutoHyphens/>
      <w:overflowPunct/>
      <w:autoSpaceDE/>
      <w:adjustRightInd/>
      <w:ind w:left="425" w:hanging="425"/>
      <w:jc w:val="both"/>
      <w:textAlignment w:val="auto"/>
    </w:pPr>
    <w:rPr>
      <w:rFonts w:eastAsia="SimSun"/>
      <w:sz w:val="21"/>
      <w:szCs w:val="22"/>
      <w:lang w:val="en-US" w:eastAsia="fr-FR"/>
    </w:rPr>
  </w:style>
  <w:style w:type="paragraph" w:customStyle="1" w:styleId="xxxmsonormal">
    <w:name w:val="x_xxmsonormal"/>
    <w:basedOn w:val="Normal"/>
    <w:rsid w:val="007B4979"/>
    <w:pPr>
      <w:tabs>
        <w:tab w:val="clear" w:pos="567"/>
        <w:tab w:val="clear" w:pos="1134"/>
        <w:tab w:val="clear" w:pos="1701"/>
        <w:tab w:val="clear" w:pos="2268"/>
        <w:tab w:val="clear" w:pos="2835"/>
      </w:tabs>
      <w:suppressAutoHyphens/>
      <w:overflowPunct/>
      <w:autoSpaceDE/>
      <w:adjustRightInd/>
      <w:spacing w:before="0"/>
      <w:jc w:val="both"/>
      <w:textAlignment w:val="auto"/>
    </w:pPr>
    <w:rPr>
      <w:rFonts w:eastAsia="Calibri" w:cs="Calibri"/>
      <w:sz w:val="22"/>
      <w:szCs w:val="22"/>
      <w:lang w:val="en-GB" w:eastAsia="en-GB"/>
    </w:rPr>
  </w:style>
  <w:style w:type="character" w:customStyle="1" w:styleId="SmartLink1">
    <w:name w:val="SmartLink1"/>
    <w:basedOn w:val="DefaultParagraphFont"/>
    <w:rsid w:val="007B4979"/>
    <w:rPr>
      <w:color w:val="0000FF"/>
      <w:u w:val="single"/>
      <w:shd w:val="clear" w:color="auto" w:fill="F3F2F1"/>
    </w:rPr>
  </w:style>
  <w:style w:type="character" w:customStyle="1" w:styleId="apple-converted-space">
    <w:name w:val="apple-converted-space"/>
    <w:basedOn w:val="DefaultParagraphFont"/>
    <w:rsid w:val="007B4979"/>
  </w:style>
  <w:style w:type="character" w:customStyle="1" w:styleId="ms-rtethemeforecolor-2-0">
    <w:name w:val="ms-rtethemeforecolor-2-0"/>
    <w:basedOn w:val="DefaultParagraphFont"/>
    <w:rsid w:val="007B4979"/>
  </w:style>
  <w:style w:type="character" w:customStyle="1" w:styleId="UnresolvedMention10">
    <w:name w:val="Unresolved Mention10"/>
    <w:basedOn w:val="DefaultParagraphFont"/>
    <w:rsid w:val="007B4979"/>
    <w:rPr>
      <w:color w:val="605E5C"/>
      <w:shd w:val="clear" w:color="auto" w:fill="E1DFDD"/>
    </w:rPr>
  </w:style>
  <w:style w:type="character" w:customStyle="1" w:styleId="Mention10">
    <w:name w:val="Mention10"/>
    <w:basedOn w:val="DefaultParagraphFont"/>
    <w:rsid w:val="007B4979"/>
    <w:rPr>
      <w:color w:val="2B579A"/>
      <w:shd w:val="clear" w:color="auto" w:fill="E1DFDD"/>
    </w:rPr>
  </w:style>
  <w:style w:type="character" w:customStyle="1" w:styleId="UnresolvedMention2">
    <w:name w:val="Unresolved Mention2"/>
    <w:basedOn w:val="DefaultParagraphFont"/>
    <w:rsid w:val="007B4979"/>
    <w:rPr>
      <w:color w:val="605E5C"/>
      <w:shd w:val="clear" w:color="auto" w:fill="E1DFDD"/>
    </w:rPr>
  </w:style>
  <w:style w:type="character" w:customStyle="1" w:styleId="Mention2">
    <w:name w:val="Mention2"/>
    <w:basedOn w:val="DefaultParagraphFont"/>
    <w:rsid w:val="007B4979"/>
    <w:rPr>
      <w:color w:val="2B579A"/>
      <w:shd w:val="clear" w:color="auto" w:fill="E1DFDD"/>
    </w:rPr>
  </w:style>
  <w:style w:type="paragraph" w:styleId="EndnoteText">
    <w:name w:val="endnote text"/>
    <w:basedOn w:val="Normal"/>
    <w:link w:val="EndnoteTextChar"/>
    <w:rsid w:val="007B4979"/>
    <w:pPr>
      <w:tabs>
        <w:tab w:val="clear" w:pos="567"/>
        <w:tab w:val="clear" w:pos="1134"/>
        <w:tab w:val="clear" w:pos="1701"/>
        <w:tab w:val="clear" w:pos="2268"/>
        <w:tab w:val="clear" w:pos="2835"/>
      </w:tabs>
      <w:suppressAutoHyphens/>
      <w:overflowPunct/>
      <w:autoSpaceDE/>
      <w:adjustRightInd/>
      <w:spacing w:before="0"/>
      <w:jc w:val="both"/>
      <w:textAlignment w:val="auto"/>
    </w:pPr>
    <w:rPr>
      <w:rFonts w:eastAsia="Calibri" w:cs="Arial"/>
      <w:sz w:val="20"/>
      <w:lang w:val="en-GB"/>
    </w:rPr>
  </w:style>
  <w:style w:type="character" w:customStyle="1" w:styleId="EndnoteTextChar">
    <w:name w:val="Endnote Text Char"/>
    <w:basedOn w:val="DefaultParagraphFont"/>
    <w:link w:val="EndnoteText"/>
    <w:rsid w:val="007B4979"/>
    <w:rPr>
      <w:rFonts w:ascii="Calibri" w:eastAsia="Calibri" w:hAnsi="Calibri" w:cs="Arial"/>
      <w:lang w:val="en-GB" w:eastAsia="en-US"/>
    </w:rPr>
  </w:style>
  <w:style w:type="character" w:styleId="EndnoteReference">
    <w:name w:val="endnote reference"/>
    <w:basedOn w:val="DefaultParagraphFont"/>
    <w:rsid w:val="007B4979"/>
    <w:rPr>
      <w:position w:val="0"/>
      <w:vertAlign w:val="superscript"/>
    </w:rPr>
  </w:style>
  <w:style w:type="paragraph" w:customStyle="1" w:styleId="yiv3170009829msonormal">
    <w:name w:val="yiv3170009829msonormal"/>
    <w:basedOn w:val="Normal"/>
    <w:rsid w:val="007B4979"/>
    <w:pPr>
      <w:tabs>
        <w:tab w:val="clear" w:pos="567"/>
        <w:tab w:val="clear" w:pos="1134"/>
        <w:tab w:val="clear" w:pos="1701"/>
        <w:tab w:val="clear" w:pos="2268"/>
        <w:tab w:val="clear" w:pos="2835"/>
      </w:tabs>
      <w:suppressAutoHyphens/>
      <w:overflowPunct/>
      <w:autoSpaceDE/>
      <w:adjustRightInd/>
      <w:spacing w:before="100" w:after="100"/>
      <w:jc w:val="both"/>
    </w:pPr>
    <w:rPr>
      <w:rFonts w:ascii="Times New Roman" w:eastAsia="MS Mincho" w:hAnsi="Times New Roman"/>
      <w:sz w:val="22"/>
      <w:szCs w:val="24"/>
      <w:lang w:val="fr-CH" w:eastAsia="fr-CH"/>
    </w:rPr>
  </w:style>
  <w:style w:type="character" w:customStyle="1" w:styleId="yiv3170009829msohyperlink">
    <w:name w:val="yiv3170009829msohyperlink"/>
    <w:basedOn w:val="DefaultParagraphFont"/>
    <w:rsid w:val="007B4979"/>
  </w:style>
  <w:style w:type="character" w:customStyle="1" w:styleId="enumlev1Char">
    <w:name w:val="enumlev1 Char"/>
    <w:basedOn w:val="DefaultParagraphFont"/>
    <w:rsid w:val="007B4979"/>
    <w:rPr>
      <w:rFonts w:ascii="Calibri" w:hAnsi="Calibri"/>
      <w:sz w:val="24"/>
      <w:lang w:val="en-GB" w:eastAsia="en-US"/>
    </w:rPr>
  </w:style>
  <w:style w:type="character" w:customStyle="1" w:styleId="tabchar">
    <w:name w:val="tabchar"/>
    <w:basedOn w:val="DefaultParagraphFont"/>
    <w:rsid w:val="007B4979"/>
  </w:style>
  <w:style w:type="character" w:customStyle="1" w:styleId="ui-provider">
    <w:name w:val="ui-provider"/>
    <w:basedOn w:val="DefaultParagraphFont"/>
    <w:rsid w:val="007B4979"/>
  </w:style>
  <w:style w:type="paragraph" w:customStyle="1" w:styleId="Subtitle1">
    <w:name w:val="Subtitle1"/>
    <w:basedOn w:val="Title1"/>
    <w:rsid w:val="007B4979"/>
    <w:pPr>
      <w:framePr w:wrap="auto" w:hAnchor="text" w:x="1589"/>
      <w:suppressAutoHyphens/>
      <w:adjustRightInd/>
      <w:spacing w:before="120" w:after="160"/>
      <w:jc w:val="both"/>
    </w:pPr>
    <w:rPr>
      <w:rFonts w:eastAsia="MS Mincho"/>
      <w:caps w:val="0"/>
      <w:sz w:val="34"/>
      <w:lang w:val="en-GB"/>
    </w:rPr>
  </w:style>
  <w:style w:type="paragraph" w:customStyle="1" w:styleId="xmsonormal">
    <w:name w:val="x_msonormal"/>
    <w:basedOn w:val="Normal"/>
    <w:rsid w:val="007B4979"/>
    <w:pPr>
      <w:tabs>
        <w:tab w:val="clear" w:pos="567"/>
        <w:tab w:val="clear" w:pos="1134"/>
        <w:tab w:val="clear" w:pos="1701"/>
        <w:tab w:val="clear" w:pos="2268"/>
        <w:tab w:val="clear" w:pos="2835"/>
      </w:tabs>
      <w:suppressAutoHyphens/>
      <w:overflowPunct/>
      <w:autoSpaceDE/>
      <w:adjustRightInd/>
      <w:spacing w:before="0"/>
      <w:jc w:val="both"/>
      <w:textAlignment w:val="auto"/>
    </w:pPr>
    <w:rPr>
      <w:rFonts w:eastAsia="Calibri" w:cs="Calibri"/>
      <w:sz w:val="22"/>
      <w:szCs w:val="22"/>
      <w:lang w:val="en-GB" w:eastAsia="en-GB"/>
    </w:rPr>
  </w:style>
  <w:style w:type="paragraph" w:styleId="NoSpacing">
    <w:name w:val="No Spacing"/>
    <w:rsid w:val="007B4979"/>
    <w:pPr>
      <w:suppressAutoHyphens/>
      <w:autoSpaceDN w:val="0"/>
      <w:textAlignment w:val="baseline"/>
    </w:pPr>
    <w:rPr>
      <w:rFonts w:ascii="Calibri" w:eastAsia="SimSun" w:hAnsi="Calibri" w:cs="Arial"/>
      <w:kern w:val="3"/>
      <w:sz w:val="22"/>
      <w:szCs w:val="22"/>
      <w:lang w:val="en-GB"/>
    </w:rPr>
  </w:style>
  <w:style w:type="paragraph" w:customStyle="1" w:styleId="pf0">
    <w:name w:val="pf0"/>
    <w:basedOn w:val="Normal"/>
    <w:rsid w:val="007B4979"/>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ascii="Times New Roman" w:eastAsia="MS Mincho" w:hAnsi="Times New Roman"/>
      <w:sz w:val="22"/>
      <w:szCs w:val="24"/>
      <w:lang w:val="en-GB" w:eastAsia="en-GB"/>
    </w:rPr>
  </w:style>
  <w:style w:type="character" w:customStyle="1" w:styleId="cf01">
    <w:name w:val="cf01"/>
    <w:basedOn w:val="DefaultParagraphFont"/>
    <w:rsid w:val="007B4979"/>
    <w:rPr>
      <w:rFonts w:ascii="Segoe UI" w:hAnsi="Segoe UI" w:cs="Segoe UI"/>
      <w:b/>
      <w:bCs/>
      <w:sz w:val="24"/>
      <w:szCs w:val="24"/>
    </w:rPr>
  </w:style>
  <w:style w:type="character" w:styleId="Mention">
    <w:name w:val="Mention"/>
    <w:basedOn w:val="DefaultParagraphFont"/>
    <w:rsid w:val="007B4979"/>
    <w:rPr>
      <w:color w:val="2B579A"/>
      <w:shd w:val="clear" w:color="auto" w:fill="E1DFDD"/>
    </w:rPr>
  </w:style>
  <w:style w:type="character" w:customStyle="1" w:styleId="wacimagecontainer">
    <w:name w:val="wacimagecontainer"/>
    <w:basedOn w:val="DefaultParagraphFont"/>
    <w:rsid w:val="007B4979"/>
  </w:style>
  <w:style w:type="paragraph" w:styleId="BodyText">
    <w:name w:val="Body Text"/>
    <w:basedOn w:val="Normal"/>
    <w:link w:val="BodyTextChar"/>
    <w:rsid w:val="007B4979"/>
    <w:pPr>
      <w:widowControl w:val="0"/>
      <w:tabs>
        <w:tab w:val="clear" w:pos="567"/>
        <w:tab w:val="clear" w:pos="1134"/>
        <w:tab w:val="clear" w:pos="1701"/>
        <w:tab w:val="clear" w:pos="2268"/>
        <w:tab w:val="clear" w:pos="2835"/>
      </w:tabs>
      <w:suppressAutoHyphens/>
      <w:overflowPunct/>
      <w:adjustRightInd/>
      <w:spacing w:before="0"/>
      <w:ind w:left="426"/>
      <w:textAlignment w:val="auto"/>
    </w:pPr>
    <w:rPr>
      <w:rFonts w:eastAsia="Calibri" w:cs="Calibri"/>
      <w:sz w:val="22"/>
      <w:szCs w:val="22"/>
      <w:lang w:val="en-US"/>
    </w:rPr>
  </w:style>
  <w:style w:type="character" w:customStyle="1" w:styleId="BodyTextChar">
    <w:name w:val="Body Text Char"/>
    <w:basedOn w:val="DefaultParagraphFont"/>
    <w:link w:val="BodyText"/>
    <w:rsid w:val="007B4979"/>
    <w:rPr>
      <w:rFonts w:ascii="Calibri" w:eastAsia="Calibri" w:hAnsi="Calibri" w:cs="Calibri"/>
      <w:sz w:val="22"/>
      <w:szCs w:val="22"/>
      <w:lang w:eastAsia="en-US"/>
    </w:rPr>
  </w:style>
  <w:style w:type="paragraph" w:customStyle="1" w:styleId="Sourcetext">
    <w:name w:val="Source text"/>
    <w:basedOn w:val="Normal"/>
    <w:rsid w:val="007B4979"/>
    <w:pPr>
      <w:widowControl w:val="0"/>
      <w:tabs>
        <w:tab w:val="left" w:pos="3402"/>
        <w:tab w:val="left" w:pos="3969"/>
      </w:tabs>
      <w:suppressAutoHyphens/>
      <w:overflowPunct/>
      <w:adjustRightInd/>
      <w:spacing w:before="0" w:after="120"/>
      <w:textAlignment w:val="center"/>
    </w:pPr>
    <w:rPr>
      <w:rFonts w:ascii="Avenir Nxt2 W1G" w:eastAsia="SimSun" w:hAnsi="Avenir Nxt2 W1G" w:cs="AvenirNext LT Pro Light"/>
      <w:color w:val="000000"/>
      <w:sz w:val="16"/>
      <w:szCs w:val="28"/>
      <w:lang w:val="fr-CH"/>
    </w:rPr>
  </w:style>
  <w:style w:type="paragraph" w:styleId="Caption">
    <w:name w:val="caption"/>
    <w:basedOn w:val="Normal"/>
    <w:next w:val="Normal"/>
    <w:rsid w:val="007B4979"/>
    <w:pPr>
      <w:suppressAutoHyphens/>
      <w:adjustRightInd/>
      <w:spacing w:before="0" w:after="200"/>
      <w:jc w:val="both"/>
    </w:pPr>
    <w:rPr>
      <w:rFonts w:eastAsia="MS Mincho"/>
      <w:i/>
      <w:iCs/>
      <w:color w:val="1F497D"/>
      <w:sz w:val="18"/>
      <w:szCs w:val="18"/>
      <w:lang w:val="en-GB"/>
    </w:rPr>
  </w:style>
  <w:style w:type="numbering" w:customStyle="1" w:styleId="LFO3">
    <w:name w:val="LFO3"/>
    <w:basedOn w:val="NoList"/>
    <w:rsid w:val="007B4979"/>
    <w:pPr>
      <w:numPr>
        <w:numId w:val="2"/>
      </w:numPr>
    </w:pPr>
  </w:style>
  <w:style w:type="numbering" w:customStyle="1" w:styleId="LFO4">
    <w:name w:val="LFO4"/>
    <w:basedOn w:val="NoList"/>
    <w:rsid w:val="007B497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hub/publication/r-reg-rr5-2020/" TargetMode="External"/><Relationship Id="rId21" Type="http://schemas.openxmlformats.org/officeDocument/2006/relationships/hyperlink" Target="https://www.itu.int/itu-d/meetings/wtdc25/" TargetMode="External"/><Relationship Id="rId324" Type="http://schemas.openxmlformats.org/officeDocument/2006/relationships/hyperlink" Target="https://www.itu.int/en/ITU-R/study-groups/workshops/sg6-itu-ebu-btc-2023/Pages/default.aspx" TargetMode="External"/><Relationship Id="rId531" Type="http://schemas.openxmlformats.org/officeDocument/2006/relationships/hyperlink" Target="https://www.itu.int/en/ITU-T/extcoop/cits/Pages/related-events.aspx" TargetMode="External"/><Relationship Id="rId170" Type="http://schemas.openxmlformats.org/officeDocument/2006/relationships/hyperlink" Target="https://www.itu.int/en/ITU-D/Cybersecurity/Pages/COP/COP%20Industry%20Connect/COP-Industry-Connect.aspx" TargetMode="External"/><Relationship Id="rId268" Type="http://schemas.openxmlformats.org/officeDocument/2006/relationships/hyperlink" Target="http://www.wsis.org/stocktaking" TargetMode="External"/><Relationship Id="rId475" Type="http://schemas.openxmlformats.org/officeDocument/2006/relationships/hyperlink" Target="https://www.itu.int/initiatives/green-digital-action/about-us/partners/" TargetMode="External"/><Relationship Id="rId32" Type="http://schemas.openxmlformats.org/officeDocument/2006/relationships/hyperlink" Target="https://www.itu.int/net4/wsis/forum/2026/" TargetMode="External"/><Relationship Id="rId128" Type="http://schemas.openxmlformats.org/officeDocument/2006/relationships/hyperlink" Target="https://www.itu.int/pub/T-SP/es" TargetMode="External"/><Relationship Id="rId335" Type="http://schemas.openxmlformats.org/officeDocument/2006/relationships/hyperlink" Target="https://www.itu.int/en/ITU-T/Workshops-and-Seminars/2023/Pages/default.aspx" TargetMode="External"/><Relationship Id="rId542" Type="http://schemas.openxmlformats.org/officeDocument/2006/relationships/hyperlink" Target="https://www.itu.int/en/ITU-D/Emergency-Telecommunications/Pages/AI-Sub-Group-EW4All-.aspx" TargetMode="External"/><Relationship Id="rId181" Type="http://schemas.openxmlformats.org/officeDocument/2006/relationships/hyperlink" Target="https://www.itu.int/en/ITU-T/focusgroups/ai4a/Pages/default.aspx" TargetMode="External"/><Relationship Id="rId402" Type="http://schemas.openxmlformats.org/officeDocument/2006/relationships/hyperlink" Target="https://www.itu.int/md/S24-CL-C-0032/es" TargetMode="External"/><Relationship Id="rId279" Type="http://schemas.openxmlformats.org/officeDocument/2006/relationships/hyperlink" Target="https://www.itu.int/md/S26-CWGWSIS44-C-0005/es" TargetMode="External"/><Relationship Id="rId486" Type="http://schemas.openxmlformats.org/officeDocument/2006/relationships/hyperlink" Target="https://eur03.safelinks.protection.outlook.com/?url=https%3A%2F%2Fbroadbandcommission.org%2Fstate-of-broadband-archive%2F&amp;data=05|02|fernando.rivera%40itu.int|25850ebcdcaa42ef3ee508de787057c6|23e464d704e64b87913c24bd89219fd3|0|0|639080621055853452|Unknown|TWFpbGZsb3d8eyJFbXB0eU1hcGkiOnRydWUsIlYiOiIwLjAuMDAwMCIsIlAiOiJXaW4zMiIsIkFOIjoiTWFpbCIsIldUIjoyfQ%3D%3D|0|||&amp;sdata=UyIYANuTJEqw2Dvx2tBLtNjokDOK5uGxDM%2Bh%2BEcZTJI%3D&amp;reserved=0" TargetMode="External"/><Relationship Id="rId43" Type="http://schemas.openxmlformats.org/officeDocument/2006/relationships/hyperlink" Target="https://www.itu.int/en/council/planning/Documents/ITU_Strategic_plan_2020-2023.pdf" TargetMode="External"/><Relationship Id="rId139" Type="http://schemas.openxmlformats.org/officeDocument/2006/relationships/hyperlink" Target="https://www.itu.int/pub/R-REC/es" TargetMode="External"/><Relationship Id="rId346" Type="http://schemas.openxmlformats.org/officeDocument/2006/relationships/image" Target="media/image23.png"/><Relationship Id="rId553" Type="http://schemas.openxmlformats.org/officeDocument/2006/relationships/hyperlink" Target="https://www.itu.int/en/ITU-T/focusgroups/ai4a/Pages/default.aspx" TargetMode="External"/><Relationship Id="rId192" Type="http://schemas.openxmlformats.org/officeDocument/2006/relationships/hyperlink" Target="https://aiforgood.itu.int/young-ai-leaders-community/" TargetMode="External"/><Relationship Id="rId206" Type="http://schemas.openxmlformats.org/officeDocument/2006/relationships/hyperlink" Target="https://www.itu.int/epublications/publication/the-annual-ai-governance-report-2025-steering-the-future-of-ai" TargetMode="External"/><Relationship Id="rId413" Type="http://schemas.openxmlformats.org/officeDocument/2006/relationships/hyperlink" Target="https://www.itu.int/net/events/eventdetails.asp?lang=en&amp;eventid=23284" TargetMode="External"/><Relationship Id="rId497" Type="http://schemas.openxmlformats.org/officeDocument/2006/relationships/hyperlink" Target="https://www.equalsintech.org/access" TargetMode="External"/><Relationship Id="rId357" Type="http://schemas.openxmlformats.org/officeDocument/2006/relationships/hyperlink" Target="https://academy.itu.int/training-courses/full-catalogue/gender-analysis-and-digital-inclusion-how-achieve-gender-equality-digital-sector" TargetMode="External"/><Relationship Id="rId54" Type="http://schemas.openxmlformats.org/officeDocument/2006/relationships/hyperlink" Target="https://www.itu.int/pub/R-REG-RR-2024/es" TargetMode="External"/><Relationship Id="rId217" Type="http://schemas.openxmlformats.org/officeDocument/2006/relationships/hyperlink" Target="https://docs.un.org/es/A/RES/78/287" TargetMode="External"/><Relationship Id="rId564" Type="http://schemas.openxmlformats.org/officeDocument/2006/relationships/hyperlink" Target="https://unctad.org/system/files/information-document/gdc_implementation_map_en.pdf" TargetMode="External"/><Relationship Id="rId424" Type="http://schemas.openxmlformats.org/officeDocument/2006/relationships/hyperlink" Target="https://youtu.be/SpCcmMSrCz8" TargetMode="External"/><Relationship Id="rId270" Type="http://schemas.openxmlformats.org/officeDocument/2006/relationships/hyperlink" Target="https://www.itu.int/en/itu-wsis/Pages/Contribution.aspx" TargetMode="External"/><Relationship Id="rId65" Type="http://schemas.openxmlformats.org/officeDocument/2006/relationships/hyperlink" Target="https://www.itu.int/wtsa/2024/" TargetMode="External"/><Relationship Id="rId130" Type="http://schemas.openxmlformats.org/officeDocument/2006/relationships/hyperlink" Target="https://www.itu.int/es/ITU-T/publications/Pages/recs.aspx" TargetMode="External"/><Relationship Id="rId368" Type="http://schemas.openxmlformats.org/officeDocument/2006/relationships/hyperlink" Target="https://www.itu.int/initiatives/gender-equality/network-of-women/network-of-women-ministers-and-leaders-in-ict/" TargetMode="External"/><Relationship Id="rId575" Type="http://schemas.openxmlformats.org/officeDocument/2006/relationships/image" Target="media/image26.png"/><Relationship Id="rId228" Type="http://schemas.openxmlformats.org/officeDocument/2006/relationships/hyperlink" Target="https://www.itu.int/metaverse/un-virtual-worlds-day/thinkathon/" TargetMode="External"/><Relationship Id="rId435" Type="http://schemas.openxmlformats.org/officeDocument/2006/relationships/hyperlink" Target="https://www.itu.int/en/ITU-T/studygroups/2025-2028/20/Pages/default.aspx" TargetMode="External"/><Relationship Id="rId281" Type="http://schemas.openxmlformats.org/officeDocument/2006/relationships/hyperlink" Target="https://www.itu.int/net4/wsis/ungis/Articles/View/2239" TargetMode="External"/><Relationship Id="rId502" Type="http://schemas.openxmlformats.org/officeDocument/2006/relationships/hyperlink" Target="https://www.equalsintech.org/e-mentoring" TargetMode="External"/><Relationship Id="rId76" Type="http://schemas.openxmlformats.org/officeDocument/2006/relationships/hyperlink" Target="https://www.itu.int/en/ITU-D/Pages/regional-initiatives-2026-2029.aspx" TargetMode="External"/><Relationship Id="rId141" Type="http://schemas.openxmlformats.org/officeDocument/2006/relationships/hyperlink" Target="https://www.itu.int/en/council/Documents/basic-texts-2023/RES-123-S.pdf" TargetMode="External"/><Relationship Id="rId379" Type="http://schemas.openxmlformats.org/officeDocument/2006/relationships/hyperlink" Target="https://www.itu.int/md/S24-CL-C-0006/es" TargetMode="External"/><Relationship Id="rId7" Type="http://schemas.openxmlformats.org/officeDocument/2006/relationships/endnotes" Target="endnotes.xml"/><Relationship Id="rId183" Type="http://schemas.openxmlformats.org/officeDocument/2006/relationships/hyperlink" Target="https://www.itu.int/en/ITU-T/focusgroups/ai4h/Pages/default.aspx" TargetMode="External"/><Relationship Id="rId239" Type="http://schemas.openxmlformats.org/officeDocument/2006/relationships/hyperlink" Target="https://www.itu.int/cities/digitaltransformationdialogues/" TargetMode="External"/><Relationship Id="rId390" Type="http://schemas.openxmlformats.org/officeDocument/2006/relationships/hyperlink" Target="https://www.itu.int/itu-d/meetings/global-youth-summit-25/" TargetMode="External"/><Relationship Id="rId404" Type="http://schemas.openxmlformats.org/officeDocument/2006/relationships/hyperlink" Target="https://aiforgood.itu.int/the-5th-edition-of-the-itu-ai-ml-in-5g-challenge-a-year-of-competitions-in-review/" TargetMode="External"/><Relationship Id="rId446" Type="http://schemas.openxmlformats.org/officeDocument/2006/relationships/hyperlink" Target="https://www.itu.int/net4/wsis/forum/2023/Agenda/Session/383" TargetMode="External"/><Relationship Id="rId250" Type="http://schemas.openxmlformats.org/officeDocument/2006/relationships/hyperlink" Target="https://academy.itu.int/itu-d/projects-activities/itu-academy-training-centres" TargetMode="External"/><Relationship Id="rId292" Type="http://schemas.openxmlformats.org/officeDocument/2006/relationships/hyperlink" Target="https://aiforgood.itu.int/summit24/" TargetMode="External"/><Relationship Id="rId306" Type="http://schemas.openxmlformats.org/officeDocument/2006/relationships/hyperlink" Target="https://www.itu.int/en/journal/j-fet/webinars/Pages/default.aspx" TargetMode="External"/><Relationship Id="rId488"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01043|Unknown|TWFpbGZsb3d8eyJFbXB0eU1hcGkiOnRydWUsIlYiOiIwLjAuMDAwMCIsIlAiOiJXaW4zMiIsIkFOIjoiTWFpbCIsIldUIjoyfQ%3D%3D|0|||&amp;sdata=GAN1gBpXIDcfVxFX%2FTj49L4aDTzWNI7VfYHi3MWtRjg%3D&amp;reserved=0" TargetMode="External"/><Relationship Id="rId45" Type="http://schemas.openxmlformats.org/officeDocument/2006/relationships/image" Target="media/image2.png"/><Relationship Id="rId87" Type="http://schemas.openxmlformats.org/officeDocument/2006/relationships/image" Target="media/image4.png"/><Relationship Id="rId110" Type="http://schemas.openxmlformats.org/officeDocument/2006/relationships/hyperlink" Target="https://www.itu.int/en/ITU-D/Statistics/Documents/publications/manual/ITU_HHManual_ICTskills_rev2025.pdf" TargetMode="External"/><Relationship Id="rId348" Type="http://schemas.openxmlformats.org/officeDocument/2006/relationships/hyperlink" Target="https://www.itu.int/md/S25-CL-C-0105/es" TargetMode="External"/><Relationship Id="rId513" Type="http://schemas.openxmlformats.org/officeDocument/2006/relationships/hyperlink" Target="https://u4ssc.itu.int/u4ssc-kpi/" TargetMode="External"/><Relationship Id="rId555" Type="http://schemas.openxmlformats.org/officeDocument/2006/relationships/hyperlink" Target="https://www.itu.int/net/epub/TSB/2025-Digital-Agriculture-A-Standards-Snapshot/index.html" TargetMode="External"/><Relationship Id="rId152"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194" Type="http://schemas.openxmlformats.org/officeDocument/2006/relationships/hyperlink" Target="https://aiforgood.itu.int/about-ai-for-good/innovation-factory/" TargetMode="External"/><Relationship Id="rId208" Type="http://schemas.openxmlformats.org/officeDocument/2006/relationships/hyperlink" Target="https://www.itu.int/net4/wsis/forum/2026/es" TargetMode="External"/><Relationship Id="rId415" Type="http://schemas.openxmlformats.org/officeDocument/2006/relationships/hyperlink" Target="https://www.itu.int/en/ITU-D/Digital-Inclusion/Pages/itu-ilo/default.aspx" TargetMode="External"/><Relationship Id="rId457" Type="http://schemas.openxmlformats.org/officeDocument/2006/relationships/hyperlink" Target="https://www.itu.int/pub/D-IND-CLIM-2025/es" TargetMode="External"/><Relationship Id="rId261" Type="http://schemas.openxmlformats.org/officeDocument/2006/relationships/hyperlink" Target="https://www.itu.int/net/wsis/index-es.html" TargetMode="External"/><Relationship Id="rId499" Type="http://schemas.openxmlformats.org/officeDocument/2006/relationships/hyperlink" Target="https://www.equalsintech.org/leadership" TargetMode="External"/><Relationship Id="rId14" Type="http://schemas.openxmlformats.org/officeDocument/2006/relationships/footer" Target="footer2.xml"/><Relationship Id="rId56" Type="http://schemas.openxmlformats.org/officeDocument/2006/relationships/hyperlink" Target="https://www.itu.int/pub/R-RES-R.1/es" TargetMode="External"/><Relationship Id="rId317" Type="http://schemas.openxmlformats.org/officeDocument/2006/relationships/hyperlink" Target="https://www.itu.int/en/ITU-R/seminars/rrs/RRS-22-Asia-Pacific/Pages/default.aspx" TargetMode="External"/><Relationship Id="rId359" Type="http://schemas.openxmlformats.org/officeDocument/2006/relationships/hyperlink" Target="https://www.equalsintech.org/_files/ugd/04bfff_cc8e6f166c2e41beabc88cbb3226f66f.pdf" TargetMode="External"/><Relationship Id="rId524" Type="http://schemas.openxmlformats.org/officeDocument/2006/relationships/hyperlink" Target="https://www.itu.int/en/ITU-T/extcoop/cits/Pages/egcomad.aspx" TargetMode="External"/><Relationship Id="rId566" Type="http://schemas.openxmlformats.org/officeDocument/2006/relationships/hyperlink" Target="https://www.un.org/un80-initiative/sites/default/files/2025-09/UN80_WS3-1_250921_1238.pdf" TargetMode="External"/><Relationship Id="rId98" Type="http://schemas.openxmlformats.org/officeDocument/2006/relationships/hyperlink" Target="https://www.unesco.org/es/sdg4scorecard-dashboard" TargetMode="External"/><Relationship Id="rId121" Type="http://schemas.openxmlformats.org/officeDocument/2006/relationships/hyperlink" Target="https://www.itu.int/epublications/brific-space/es/home/index" TargetMode="External"/><Relationship Id="rId163" Type="http://schemas.openxmlformats.org/officeDocument/2006/relationships/hyperlink" Target="https://www.itu.int/en/ITU-D/Cybersecurity/Pages/Skills-Development/Her-CyberTracks.aspx" TargetMode="External"/><Relationship Id="rId219" Type="http://schemas.openxmlformats.org/officeDocument/2006/relationships/hyperlink" Target="https://www.itu.int/en/ITU-T/focusgroups/mv/Pages/default.aspx" TargetMode="External"/><Relationship Id="rId370" Type="http://schemas.openxmlformats.org/officeDocument/2006/relationships/hyperlink" Target="https://www.itu.int/160/" TargetMode="External"/><Relationship Id="rId426" Type="http://schemas.openxmlformats.org/officeDocument/2006/relationships/hyperlink" Target="https://www.itu.int/en/ITU-T/accessibility/Pages/default.aspx" TargetMode="External"/><Relationship Id="rId230" Type="http://schemas.openxmlformats.org/officeDocument/2006/relationships/hyperlink" Target="https://www.itu.int/metaverse/virtual-worlds/1st-un-citiverse-challenge/" TargetMode="External"/><Relationship Id="rId468" Type="http://schemas.openxmlformats.org/officeDocument/2006/relationships/hyperlink" Target="https://www.itu.int/initiatives/green-digital-action/events/all/cop29/declaration/" TargetMode="External"/><Relationship Id="rId25" Type="http://schemas.openxmlformats.org/officeDocument/2006/relationships/hyperlink" Target="https://aiforgood.itu.int/ai-for-health/" TargetMode="External"/><Relationship Id="rId67" Type="http://schemas.openxmlformats.org/officeDocument/2006/relationships/hyperlink" Target="https://www.itu.int/es/ITU-T/studygroups/2022-2024/09/Pages/default.aspx" TargetMode="External"/><Relationship Id="rId272" Type="http://schemas.openxmlformats.org/officeDocument/2006/relationships/hyperlink" Target="https://www.itu.int/net4/wsis/forum/2023/es" TargetMode="External"/><Relationship Id="rId328" Type="http://schemas.openxmlformats.org/officeDocument/2006/relationships/hyperlink" Target="https://www.itu.int/en/ITU-R/seminars/ntfa/Pages/default.aspx" TargetMode="External"/><Relationship Id="rId535" Type="http://schemas.openxmlformats.org/officeDocument/2006/relationships/hyperlink" Target="https://www.worldstandardscooperation.org/" TargetMode="External"/><Relationship Id="rId577" Type="http://schemas.openxmlformats.org/officeDocument/2006/relationships/header" Target="header2.xml"/><Relationship Id="rId132" Type="http://schemas.openxmlformats.org/officeDocument/2006/relationships/hyperlink" Target="https://www.itu.int/en/ITU-T/studygroups/2025-2028/" TargetMode="External"/><Relationship Id="rId174" Type="http://schemas.openxmlformats.org/officeDocument/2006/relationships/hyperlink" Target="https://itu.int/go/SIG-SECURITY" TargetMode="External"/><Relationship Id="rId381" Type="http://schemas.openxmlformats.org/officeDocument/2006/relationships/hyperlink" Target="https://www.itu.int/generationconnect/wp-content/uploads/2020/11/ITU_Youth_Strategy.pdf" TargetMode="External"/><Relationship Id="rId241" Type="http://schemas.openxmlformats.org/officeDocument/2006/relationships/hyperlink" Target="http://www.itu.int/en/ITU-D/Statistics" TargetMode="External"/><Relationship Id="rId437" Type="http://schemas.openxmlformats.org/officeDocument/2006/relationships/hyperlink" Target="https://www.itu.int/en/ITU-R/information/Pages/disabilities-divide.aspx" TargetMode="External"/><Relationship Id="rId479" Type="http://schemas.openxmlformats.org/officeDocument/2006/relationships/hyperlink" Target="https://www.itu.int/initiatives/digital-unga2025/" TargetMode="External"/><Relationship Id="rId36" Type="http://schemas.openxmlformats.org/officeDocument/2006/relationships/hyperlink" Target="https://giga.global/" TargetMode="External"/><Relationship Id="rId283" Type="http://schemas.openxmlformats.org/officeDocument/2006/relationships/hyperlink" Target="https://docs.un.org/es/E/RES/2025/18" TargetMode="External"/><Relationship Id="rId339" Type="http://schemas.openxmlformats.org/officeDocument/2006/relationships/hyperlink" Target="https://www.itu.int/en/events/Pages/Calendar-Events.aspx?sector=ITU-D%5c" TargetMode="External"/><Relationship Id="rId490" Type="http://schemas.openxmlformats.org/officeDocument/2006/relationships/hyperlink" Target="https://eur03.safelinks.protection.outlook.com/?url=https%3A%2F%2Fbroadbandcommission.org%2Fstate-of-broadband-2025-podcast%2F&amp;data=05|02|fernando.rivera%40itu.int|25850ebcdcaa42ef3ee508de787057c6|23e464d704e64b87913c24bd89219fd3|0|0|639080621056137338|Unknown|TWFpbGZsb3d8eyJFbXB0eU1hcGkiOnRydWUsIlYiOiIwLjAuMDAwMCIsIlAiOiJXaW4zMiIsIkFOIjoiTWFpbCIsIldUIjoyfQ%3D%3D|0|||&amp;sdata=STYv%2BQQk0dQHhLXOxFJqtX3LkVsMebGazJSl408zVp8%3D&amp;reserved=0" TargetMode="External"/><Relationship Id="rId504" Type="http://schemas.openxmlformats.org/officeDocument/2006/relationships/hyperlink" Target="https://www.equalsintech.org/her-digital-skills" TargetMode="External"/><Relationship Id="rId546" Type="http://schemas.openxmlformats.org/officeDocument/2006/relationships/hyperlink" Target="https://www.itu.int/pub/publications.aspx?lang=en&amp;parent=T-FG-AI4NDM-2022" TargetMode="External"/><Relationship Id="rId78" Type="http://schemas.openxmlformats.org/officeDocument/2006/relationships/hyperlink" Target="https://www.itu.int/itu-d/meetings/wtdc25/wp-content/uploads/sites/29/2025/12/Study-Group-Questions-2026-2029.pdf" TargetMode="External"/><Relationship Id="rId101" Type="http://schemas.openxmlformats.org/officeDocument/2006/relationships/image" Target="media/image10.png"/><Relationship Id="rId143" Type="http://schemas.openxmlformats.org/officeDocument/2006/relationships/hyperlink" Target="https://www.itu.int/en/ITU-T/gap/Pages/default.aspx" TargetMode="External"/><Relationship Id="rId185" Type="http://schemas.openxmlformats.org/officeDocument/2006/relationships/hyperlink" Target="https://aiforgood.itu.int/ai-for-food-systems/" TargetMode="External"/><Relationship Id="rId350" Type="http://schemas.openxmlformats.org/officeDocument/2006/relationships/hyperlink" Target="https://www.itu.int/md/S26-CL-INF-0010/en" TargetMode="External"/><Relationship Id="rId406" Type="http://schemas.openxmlformats.org/officeDocument/2006/relationships/hyperlink" Target="https://www.itu.int/metaverse/un-virtual-worlds-day/thinkathon/" TargetMode="External"/><Relationship Id="rId9" Type="http://schemas.openxmlformats.org/officeDocument/2006/relationships/hyperlink" Target="https://www.itu.int/en/council/planning/Documents/Res71-PP2-final.pdf" TargetMode="External"/><Relationship Id="rId210" Type="http://schemas.openxmlformats.org/officeDocument/2006/relationships/hyperlink" Target="https://www.itu.int/en/ITU-T/studygroups/2025-2028/13/Pages/default.aspx" TargetMode="External"/><Relationship Id="rId392" Type="http://schemas.openxmlformats.org/officeDocument/2006/relationships/hyperlink" Target="https://www.itu.int/generationconnect/es/generation-connect-podcast/" TargetMode="External"/><Relationship Id="rId448" Type="http://schemas.openxmlformats.org/officeDocument/2006/relationships/hyperlink" Target="https://www.silvereconomyforum.com/" TargetMode="External"/><Relationship Id="rId252" Type="http://schemas.openxmlformats.org/officeDocument/2006/relationships/hyperlink" Target="https://academy.itu.int/index.php/main-activities/digital-transformation-centres-initiative" TargetMode="External"/><Relationship Id="rId294" Type="http://schemas.openxmlformats.org/officeDocument/2006/relationships/hyperlink" Target="http://gss.itu.int/" TargetMode="External"/><Relationship Id="rId308" Type="http://schemas.openxmlformats.org/officeDocument/2006/relationships/hyperlink" Target="https://www.itu.int/en/ITU-T/academia/kaleidoscope/Pages/default.aspx" TargetMode="External"/><Relationship Id="rId515" Type="http://schemas.openxmlformats.org/officeDocument/2006/relationships/hyperlink" Target="https://u4ssc.itu.int/publications/" TargetMode="External"/><Relationship Id="rId47" Type="http://schemas.openxmlformats.org/officeDocument/2006/relationships/hyperlink" Target="https://www.itu.int/en/council/Documents/basic-texts-2023/RES-071-S.pdf" TargetMode="External"/><Relationship Id="rId89" Type="http://schemas.openxmlformats.org/officeDocument/2006/relationships/image" Target="media/image5.png"/><Relationship Id="rId112" Type="http://schemas.openxmlformats.org/officeDocument/2006/relationships/image" Target="media/image15.png"/><Relationship Id="rId154" Type="http://schemas.openxmlformats.org/officeDocument/2006/relationships/hyperlink" Target="https://www.itu.int/en/action/environment-and-climate-change/Pages/ewaste.aspx" TargetMode="External"/><Relationship Id="rId361" Type="http://schemas.openxmlformats.org/officeDocument/2006/relationships/hyperlink" Target="https://www.itu.int/initiatives/gender-equality/network-of-women/" TargetMode="External"/><Relationship Id="rId557" Type="http://schemas.openxmlformats.org/officeDocument/2006/relationships/hyperlink" Target="https://www.itu.int/hub/2023/07/new-un-initiative-aims-to-step-up-ais-contribution-to-health/" TargetMode="External"/><Relationship Id="rId196" Type="http://schemas.openxmlformats.org/officeDocument/2006/relationships/hyperlink" Target="https://www.itu.int/en/ITU-D/Emergency-Telecommunications/Pages/AI-Sub-Group-EW4All-.aspx" TargetMode="External"/><Relationship Id="rId417" Type="http://schemas.openxmlformats.org/officeDocument/2006/relationships/hyperlink" Target="https://www.itu.int/en/ITU-D/Digital-Inclusion/Persons-with-Disabilities/Documents/Toolkit_Interactive_Self-Assessment_in_ICT_Accessibility.xlsm" TargetMode="External"/><Relationship Id="rId459" Type="http://schemas.openxmlformats.org/officeDocument/2006/relationships/hyperlink" Target="https://www.itu.int/en/ITU-D/Environment/Pages/Publications/Measuring-Emissions-and-Energy-Footprint-ICT-Sector.aspx" TargetMode="External"/><Relationship Id="rId16" Type="http://schemas.openxmlformats.org/officeDocument/2006/relationships/hyperlink" Target="https://www.itu.int/en/council/Documents/basic-texts-2023/RES-071-S.pdf" TargetMode="External"/><Relationship Id="rId221" Type="http://schemas.openxmlformats.org/officeDocument/2006/relationships/hyperlink" Target="https://www.itu.int/metaverse/5th-forum-metaverse/" TargetMode="External"/><Relationship Id="rId263" Type="http://schemas.openxmlformats.org/officeDocument/2006/relationships/hyperlink" Target="https://www.itu.int/md/S24-CL-C-0141/es" TargetMode="External"/><Relationship Id="rId319" Type="http://schemas.openxmlformats.org/officeDocument/2006/relationships/hyperlink" Target="https://www.itu.int/en/ITU-R/seminars/rrs/RRS-23-Africa/Pages/default.aspx" TargetMode="External"/><Relationship Id="rId470" Type="http://schemas.openxmlformats.org/officeDocument/2006/relationships/hyperlink" Target="https://www.itu.int/initiatives/green-digital-action/events/cop30/" TargetMode="External"/><Relationship Id="rId526" Type="http://schemas.openxmlformats.org/officeDocument/2006/relationships/hyperlink" Target="https://www.itu.int/en/ITU-T/extcoop/cits/egcomad/wg02/Pages/default.aspx" TargetMode="External"/><Relationship Id="rId58" Type="http://schemas.openxmlformats.org/officeDocument/2006/relationships/hyperlink" Target="https://www.itu.int/pub/R-RES-R.56/es" TargetMode="External"/><Relationship Id="rId123" Type="http://schemas.openxmlformats.org/officeDocument/2006/relationships/hyperlink" Target="https://www.itu.int/ITU-R/BR-GeoCatalogue" TargetMode="External"/><Relationship Id="rId330" Type="http://schemas.openxmlformats.org/officeDocument/2006/relationships/hyperlink" Target="https://www.itu.int/Global-ITU-WMO/" TargetMode="External"/><Relationship Id="rId568" Type="http://schemas.openxmlformats.org/officeDocument/2006/relationships/hyperlink" Target="https://www.un.org/un80-initiative/sites/default/files/2025-11/UN80_Initiative_Action_Plan.pdf" TargetMode="External"/><Relationship Id="rId165" Type="http://schemas.openxmlformats.org/officeDocument/2006/relationships/hyperlink" Target="https://www.itu.int/digital-resilience/submarine-cables/events/about-nigeria-summit/" TargetMode="External"/><Relationship Id="rId372" Type="http://schemas.openxmlformats.org/officeDocument/2006/relationships/hyperlink" Target="https://wtisd.itu.int/2025/itu160-gender-champions/" TargetMode="External"/><Relationship Id="rId428" Type="http://schemas.openxmlformats.org/officeDocument/2006/relationships/hyperlink" Target="https://www.itu.int/rec/T-REC-F.780.2/es" TargetMode="External"/><Relationship Id="rId232" Type="http://schemas.openxmlformats.org/officeDocument/2006/relationships/hyperlink" Target="https://www.itu.int/en/ITU-T/studygroups/2025-2028/20/Pages/default.aspx" TargetMode="External"/><Relationship Id="rId274" Type="http://schemas.openxmlformats.org/officeDocument/2006/relationships/hyperlink" Target="https://www.itu.int/net4/wsis/forum/2026/es" TargetMode="External"/><Relationship Id="rId481" Type="http://schemas.openxmlformats.org/officeDocument/2006/relationships/hyperlink" Target="https://www.itu.int/initiatives/sdgdigital2024/" TargetMode="External"/><Relationship Id="rId27" Type="http://schemas.openxmlformats.org/officeDocument/2006/relationships/hyperlink" Target="https://www.itu.int/itu-d/reports/statistics/global-connectivity-report-2025/" TargetMode="External"/><Relationship Id="rId69" Type="http://schemas.openxmlformats.org/officeDocument/2006/relationships/hyperlink" Target="https://www.itu.int/en/ITU-T/studygroups/2025-2028/21/Pages/default.aspx" TargetMode="External"/><Relationship Id="rId134" Type="http://schemas.openxmlformats.org/officeDocument/2006/relationships/hyperlink" Target="https://itu.int/tdata/pubs/" TargetMode="External"/><Relationship Id="rId537" Type="http://schemas.openxmlformats.org/officeDocument/2006/relationships/hyperlink" Target="https://aiforgood.itu.int/multimedia-authenticity/" TargetMode="External"/><Relationship Id="rId579" Type="http://schemas.openxmlformats.org/officeDocument/2006/relationships/header" Target="header3.xml"/><Relationship Id="rId80" Type="http://schemas.openxmlformats.org/officeDocument/2006/relationships/hyperlink" Target="https://www.itu.int/md/D22-WTDC25-INF-0008/es" TargetMode="External"/><Relationship Id="rId176" Type="http://schemas.openxmlformats.org/officeDocument/2006/relationships/hyperlink" Target="https://u4ssc.itu.int/" TargetMode="External"/><Relationship Id="rId341" Type="http://schemas.openxmlformats.org/officeDocument/2006/relationships/hyperlink" Target="https://www.itu.int/md/S22-PP-C-0094/es" TargetMode="External"/><Relationship Id="rId383" Type="http://schemas.openxmlformats.org/officeDocument/2006/relationships/hyperlink" Target="https://www.itu.int/generationconnect/es/cumbre-mundial-de-la-juventud-de-generation-connect-recursos-generales/" TargetMode="External"/><Relationship Id="rId439" Type="http://schemas.openxmlformats.org/officeDocument/2006/relationships/hyperlink" Target="https://www.itu.int/pub/R-REP-BT.2207/es" TargetMode="External"/><Relationship Id="rId201" Type="http://schemas.openxmlformats.org/officeDocument/2006/relationships/hyperlink" Target="https://unsceb.org/sites/default/files/2022-09/Principles%20for%20the%20Ethical%20Use%20of%20AI%20in%20the%20UN%20System_1.pdf" TargetMode="External"/><Relationship Id="rId243" Type="http://schemas.openxmlformats.org/officeDocument/2006/relationships/hyperlink" Target="https://datahub.itu.int/" TargetMode="External"/><Relationship Id="rId285" Type="http://schemas.openxmlformats.org/officeDocument/2006/relationships/hyperlink" Target="https://www.itu.int/en/itu-wsis/Pages/WSIS-Fund-in-Trust.aspx" TargetMode="External"/><Relationship Id="rId450" Type="http://schemas.openxmlformats.org/officeDocument/2006/relationships/hyperlink" Target="https://academy.itu.int/training-courses/full-catalogue/icts-better-ageing-and-livelihood-digital-landscape-1" TargetMode="External"/><Relationship Id="rId506" Type="http://schemas.openxmlformats.org/officeDocument/2006/relationships/hyperlink" Target="https://www.equalsintech.org/awards" TargetMode="External"/><Relationship Id="rId38" Type="http://schemas.openxmlformats.org/officeDocument/2006/relationships/hyperlink" Target="https://www.equalsintech.org/" TargetMode="External"/><Relationship Id="rId103" Type="http://schemas.openxmlformats.org/officeDocument/2006/relationships/image" Target="media/image11.png"/><Relationship Id="rId310" Type="http://schemas.openxmlformats.org/officeDocument/2006/relationships/hyperlink" Target="https://www.itu.int/en/ITU-T/academia/kaleidoscope/2024/Pages/default.aspx" TargetMode="External"/><Relationship Id="rId492" Type="http://schemas.openxmlformats.org/officeDocument/2006/relationships/hyperlink" Target="https://eur03.safelinks.protection.outlook.com/?url=https%3A%2F%2Fgiga.global%2F&amp;data=05|02|fernando.rivera%40itu.int|25850ebcdcaa42ef3ee508de787057c6|23e464d704e64b87913c24bd89219fd3|0|0|639080621056172495|Unknown|TWFpbGZsb3d8eyJFbXB0eU1hcGkiOnRydWUsIlYiOiIwLjAuMDAwMCIsIlAiOiJXaW4zMiIsIkFOIjoiTWFpbCIsIldUIjoyfQ%3D%3D|0|||&amp;sdata=tl3GCQkO8KZAPu%2Byf%2FsaAnkMY%2FSkG1y66JtrIhcLX5A%3D&amp;reserved=0" TargetMode="External"/><Relationship Id="rId548" Type="http://schemas.openxmlformats.org/officeDocument/2006/relationships/hyperlink" Target="https://www.itu.int/en/ITU-T/focusgroups/ai4ndm/Documents/Deliverables/FG-AI4NDM%20WG-MODELING%20-%20AI%20for%20Modeling.pdf" TargetMode="External"/><Relationship Id="rId91" Type="http://schemas.openxmlformats.org/officeDocument/2006/relationships/image" Target="media/image6.png"/><Relationship Id="rId145" Type="http://schemas.openxmlformats.org/officeDocument/2006/relationships/hyperlink" Target="https://www.itu.int/en/ITU-T/regionalgroups/sg15-afr/Pages/default.aspx" TargetMode="External"/><Relationship Id="rId187" Type="http://schemas.openxmlformats.org/officeDocument/2006/relationships/hyperlink" Target="https://www.itu.int/en/ITU-T/extcoop/ai-data-commons/Pages/default.aspx" TargetMode="External"/><Relationship Id="rId352" Type="http://schemas.openxmlformats.org/officeDocument/2006/relationships/hyperlink" Target="https://www.itu.int/en/ITU-D/Pages/regional-initiatives-2026-2029.aspx" TargetMode="External"/><Relationship Id="rId394" Type="http://schemas.openxmlformats.org/officeDocument/2006/relationships/hyperlink" Target="https://www.youtube.com/watch?v=uB2eLaPDdDc" TargetMode="External"/><Relationship Id="rId408" Type="http://schemas.openxmlformats.org/officeDocument/2006/relationships/hyperlink" Target="https://www.itu.int/md/S21-CL-C-0072/es" TargetMode="External"/><Relationship Id="rId212" Type="http://schemas.openxmlformats.org/officeDocument/2006/relationships/hyperlink" Target="https://www.itu.int/rec/T-REC-X.1715/es" TargetMode="External"/><Relationship Id="rId254" Type="http://schemas.openxmlformats.org/officeDocument/2006/relationships/hyperlink" Target="https://academy.itu.int/itu-d/projects-activities/research-publications/digital-skills-toolkit" TargetMode="External"/><Relationship Id="rId49" Type="http://schemas.openxmlformats.org/officeDocument/2006/relationships/hyperlink" Target="https://www.itu.int/en/council/Documents/basic-texts-2023/DEC-005-S.pdf" TargetMode="External"/><Relationship Id="rId114" Type="http://schemas.openxmlformats.org/officeDocument/2006/relationships/hyperlink" Target="https://www.itu.int/wrc-23/" TargetMode="External"/><Relationship Id="rId296" Type="http://schemas.openxmlformats.org/officeDocument/2006/relationships/hyperlink" Target="https://www.itu.int/en/ITU-D/Conferences/GSR/Pages/GSR.aspx" TargetMode="External"/><Relationship Id="rId461" Type="http://schemas.openxmlformats.org/officeDocument/2006/relationships/hyperlink" Target="https://www.itu.int/en/ITU-D/Environment/Documents/Publications/2025/ITU-World%20Bank%20Green%20data%20centers_2023.pdf" TargetMode="External"/><Relationship Id="rId517" Type="http://schemas.openxmlformats.org/officeDocument/2006/relationships/hyperlink" Target="https://www.itu.int/cities/digitaltransformationdialogues/" TargetMode="External"/><Relationship Id="rId559" Type="http://schemas.openxmlformats.org/officeDocument/2006/relationships/hyperlink" Target="https://www.itu.int/en/ITU-T/focusgroups/ai4h/Pages/default.aspx" TargetMode="External"/><Relationship Id="rId60" Type="http://schemas.openxmlformats.org/officeDocument/2006/relationships/hyperlink" Target="https://www.itu.int/pub/R-RES-R.72/es" TargetMode="External"/><Relationship Id="rId156" Type="http://schemas.openxmlformats.org/officeDocument/2006/relationships/hyperlink" Target="https://u4ssc.itu.int/" TargetMode="External"/><Relationship Id="rId198"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321" Type="http://schemas.openxmlformats.org/officeDocument/2006/relationships/hyperlink" Target="https://www.itu.int/wrs-24/" TargetMode="External"/><Relationship Id="rId363" Type="http://schemas.openxmlformats.org/officeDocument/2006/relationships/hyperlink" Target="https://www.itu.int/en/ITU-T/NoW/Pages/default.aspx" TargetMode="External"/><Relationship Id="rId419" Type="http://schemas.openxmlformats.org/officeDocument/2006/relationships/hyperlink" Target="https://www.itu.int/en/ITU-D/Digital-Inclusion/Documents/Formato%20de%20evaluaci&#243;n%20UIT%20para%20la%20Accesibilidad%20TIC%20-%20FINAL_1.xlsm" TargetMode="External"/><Relationship Id="rId570" Type="http://schemas.openxmlformats.org/officeDocument/2006/relationships/hyperlink" Target="https://www.itu.int/md/S24-CL-C-0052/es" TargetMode="External"/><Relationship Id="rId223" Type="http://schemas.openxmlformats.org/officeDocument/2006/relationships/hyperlink" Target="https://www.itu.int/metaverse/5th-forum-metaverse/" TargetMode="External"/><Relationship Id="rId430" Type="http://schemas.openxmlformats.org/officeDocument/2006/relationships/hyperlink" Target="https://www.itu.int/rec/T-REC-H.871/es" TargetMode="External"/><Relationship Id="rId18" Type="http://schemas.openxmlformats.org/officeDocument/2006/relationships/hyperlink" Target="https://www.itu.int/wrc-23/" TargetMode="External"/><Relationship Id="rId265" Type="http://schemas.openxmlformats.org/officeDocument/2006/relationships/hyperlink" Target="https://www.itu.int/en/ITU-D/Documents/BAP/D22-WTDC25-C-0090%21%21PDF-S.pdf" TargetMode="External"/><Relationship Id="rId472" Type="http://schemas.openxmlformats.org/officeDocument/2006/relationships/hyperlink" Target="https://www.itu.int/es/mediacentre/Pages/PR-2025-11-10-Green-Digital-Action-COP30-announcement.aspx" TargetMode="External"/><Relationship Id="rId528" Type="http://schemas.openxmlformats.org/officeDocument/2006/relationships/hyperlink" Target="https://fnc.itu.int/" TargetMode="External"/><Relationship Id="rId125" Type="http://schemas.openxmlformats.org/officeDocument/2006/relationships/hyperlink" Target="https://www.itu.int/rec/T-REC-E.1121-202406-I/es" TargetMode="External"/><Relationship Id="rId167" Type="http://schemas.openxmlformats.org/officeDocument/2006/relationships/hyperlink" Target="https://www.itu.int/digital-resilience/submarine-cables/wp-content/uploads/sites/2/2026/02/Porto-Summit-Declaration.pdf" TargetMode="External"/><Relationship Id="rId332" Type="http://schemas.openxmlformats.org/officeDocument/2006/relationships/hyperlink" Target="https://www.itu.int/en/ITU-T/Workshops-and-Seminars/pages/default.aspx" TargetMode="External"/><Relationship Id="rId374" Type="http://schemas.openxmlformats.org/officeDocument/2006/relationships/hyperlink" Target="https://www.itu.int/hub/2025/11/lets-end-digital-violence-against-women-and-girls/" TargetMode="External"/><Relationship Id="rId581" Type="http://schemas.openxmlformats.org/officeDocument/2006/relationships/fontTable" Target="fontTable.xml"/><Relationship Id="rId71" Type="http://schemas.openxmlformats.org/officeDocument/2006/relationships/hyperlink" Target="https://www.itu.int/dms_pub/itu-t/opb/res/T-RES-T.2-2024-PDF-S.pdf" TargetMode="External"/><Relationship Id="rId234" Type="http://schemas.openxmlformats.org/officeDocument/2006/relationships/hyperlink" Target="https://www.itu.int/go/tsg20" TargetMode="External"/><Relationship Id="rId2" Type="http://schemas.openxmlformats.org/officeDocument/2006/relationships/numbering" Target="numbering.xml"/><Relationship Id="rId29" Type="http://schemas.openxmlformats.org/officeDocument/2006/relationships/hyperlink" Target="https://academy.itu.int/digital-skills-communities/digital-transformation-centres-initiative" TargetMode="External"/><Relationship Id="rId276" Type="http://schemas.openxmlformats.org/officeDocument/2006/relationships/hyperlink" Target="https://www.itu.int/net4/wsis/ungis/content/upload/doc/roadmaps/ITU-WSIS20-Roadmap.pdf" TargetMode="External"/><Relationship Id="rId441" Type="http://schemas.openxmlformats.org/officeDocument/2006/relationships/hyperlink" Target="https://www.itu.int/rec/R-REC-BT.1702/es" TargetMode="External"/><Relationship Id="rId483" Type="http://schemas.openxmlformats.org/officeDocument/2006/relationships/hyperlink" Target="https://eur03.safelinks.protection.outlook.com/?url=https%3A%2F%2Fwww.broadbandcommission.org%2F&amp;data=05|02|fernando.rivera%40itu.int|25850ebcdcaa42ef3ee508de787057c6|23e464d704e64b87913c24bd89219fd3|0|0|639080621055789927|Unknown|TWFpbGZsb3d8eyJFbXB0eU1hcGkiOnRydWUsIlYiOiIwLjAuMDAwMCIsIlAiOiJXaW4zMiIsIkFOIjoiTWFpbCIsIldUIjoyfQ%3D%3D|0|||&amp;sdata=y81PkW0WoIAEOVlgiySwVwj7XKoF7E5dABbKz%2BAA0Gk%3D&amp;reserved=0" TargetMode="External"/><Relationship Id="rId539" Type="http://schemas.openxmlformats.org/officeDocument/2006/relationships/hyperlink" Target="https://aiforgood.itu.int/ai-standards/" TargetMode="External"/><Relationship Id="rId40" Type="http://schemas.openxmlformats.org/officeDocument/2006/relationships/hyperlink" Target="https://www.itu.int/digital-resilience/submarine-cables/events/about-porto-summit/" TargetMode="External"/><Relationship Id="rId136" Type="http://schemas.openxmlformats.org/officeDocument/2006/relationships/hyperlink" Target="https://www.itu.int/en/gmpcs/Pages/default.aspx" TargetMode="External"/><Relationship Id="rId178" Type="http://schemas.openxmlformats.org/officeDocument/2006/relationships/hyperlink" Target="https://www.itu.int/en/action/ai/Pages/default.aspx" TargetMode="External"/><Relationship Id="rId301" Type="http://schemas.openxmlformats.org/officeDocument/2006/relationships/hyperlink" Target="https://www.itu.int/en/journal/j-fet/Pages/default.aspx" TargetMode="External"/><Relationship Id="rId343" Type="http://schemas.openxmlformats.org/officeDocument/2006/relationships/hyperlink" Target="https://www.itu.int/women-and-girls/girls-in-ict/" TargetMode="External"/><Relationship Id="rId550" Type="http://schemas.openxmlformats.org/officeDocument/2006/relationships/hyperlink" Target="https://www.itu.int/en/ITU-T/focusgroups/ai4ndm/Pages/events.aspx" TargetMode="External"/><Relationship Id="rId82" Type="http://schemas.openxmlformats.org/officeDocument/2006/relationships/hyperlink" Target="https://www.itu.int/highlights-report-activities/connect2030-agenda/" TargetMode="External"/><Relationship Id="rId203" Type="http://schemas.openxmlformats.org/officeDocument/2006/relationships/hyperlink" Target="https://unaihub.aiforgood.itu.int/" TargetMode="External"/><Relationship Id="rId385" Type="http://schemas.openxmlformats.org/officeDocument/2006/relationships/hyperlink" Target="https://www.youtube.com/watch?v=j1o2mY676TA" TargetMode="External"/><Relationship Id="rId245" Type="http://schemas.openxmlformats.org/officeDocument/2006/relationships/hyperlink" Target="https://www.itu.int/en/ITU-D/Statistics/Pages/capacitydev/default.aspx" TargetMode="External"/><Relationship Id="rId287" Type="http://schemas.openxmlformats.org/officeDocument/2006/relationships/hyperlink" Target="https://datahub.itu.int/" TargetMode="External"/><Relationship Id="rId410" Type="http://schemas.openxmlformats.org/officeDocument/2006/relationships/hyperlink" Target="https://www.itu.int/en/ITU-D/Regional-Presence/AsiaPacific/Pages/v2/regional-events.aspx" TargetMode="External"/><Relationship Id="rId452" Type="http://schemas.openxmlformats.org/officeDocument/2006/relationships/hyperlink" Target="https://www.itu.int/dms_pub/itu-t/opb/env/T-ENV-ENV-2025-3-PDF-S.pdf" TargetMode="External"/><Relationship Id="rId494" Type="http://schemas.openxmlformats.org/officeDocument/2006/relationships/hyperlink" Target="https://www.itu.int/partner2connect/" TargetMode="External"/><Relationship Id="rId508" Type="http://schemas.openxmlformats.org/officeDocument/2006/relationships/hyperlink" Target="https://www.itu.int/metaverse/virtual-worlds/about/" TargetMode="External"/><Relationship Id="rId105" Type="http://schemas.openxmlformats.org/officeDocument/2006/relationships/image" Target="media/image12.png"/><Relationship Id="rId147" Type="http://schemas.openxmlformats.org/officeDocument/2006/relationships/hyperlink" Target="https://www.itu.int/pub/T-RES-T.55-2024/es" TargetMode="External"/><Relationship Id="rId312" Type="http://schemas.openxmlformats.org/officeDocument/2006/relationships/hyperlink" Target="https://aiforgood.itu.int/summit26/" TargetMode="External"/><Relationship Id="rId354" Type="http://schemas.openxmlformats.org/officeDocument/2006/relationships/hyperlink" Target="https://www.itu.int/hub/publication/d-phcb-equal-02-2023" TargetMode="External"/><Relationship Id="rId51" Type="http://schemas.openxmlformats.org/officeDocument/2006/relationships/hyperlink" Target="https://pp.itu.int/2022/es/elections/elections-results/" TargetMode="External"/><Relationship Id="rId93" Type="http://schemas.openxmlformats.org/officeDocument/2006/relationships/image" Target="media/image7.png"/><Relationship Id="rId189" Type="http://schemas.openxmlformats.org/officeDocument/2006/relationships/hyperlink" Target="https://www.worldstandardscooperation.org/" TargetMode="External"/><Relationship Id="rId396" Type="http://schemas.openxmlformats.org/officeDocument/2006/relationships/hyperlink" Target="https://www.itu.int/net4/wsis/forum/2023/Home/ICTsYouthPrize" TargetMode="External"/><Relationship Id="rId561" Type="http://schemas.openxmlformats.org/officeDocument/2006/relationships/hyperlink" Target="https://www.itu.int/hub/publication/s-gen-invest-con-2025/" TargetMode="External"/><Relationship Id="rId214" Type="http://schemas.openxmlformats.org/officeDocument/2006/relationships/hyperlink" Target="https://www.itu.int/rec/T-REC-Y.3814/es" TargetMode="External"/><Relationship Id="rId256" Type="http://schemas.openxmlformats.org/officeDocument/2006/relationships/hyperlink" Target="https://aiforgood.itu.int/ai-skills-coalition/" TargetMode="External"/><Relationship Id="rId298" Type="http://schemas.openxmlformats.org/officeDocument/2006/relationships/hyperlink" Target="https://www.itu.int/itu-d/meetings/gsr-24/wp-content/uploads/sites/24/2024/08/GSR-2024_BestPracticeGuidelines.pdf" TargetMode="External"/><Relationship Id="rId421" Type="http://schemas.openxmlformats.org/officeDocument/2006/relationships/hyperlink" Target="https://youtu.be/QHgdiGdzb6E" TargetMode="External"/><Relationship Id="rId463" Type="http://schemas.openxmlformats.org/officeDocument/2006/relationships/hyperlink" Target="https://www.itu.int/hub/publication/s-gen-gda-001-2025/" TargetMode="External"/><Relationship Id="rId519" Type="http://schemas.openxmlformats.org/officeDocument/2006/relationships/hyperlink" Target="https://www.itu.int/cities/dt-resource-hub/" TargetMode="External"/><Relationship Id="rId116" Type="http://schemas.openxmlformats.org/officeDocument/2006/relationships/hyperlink" Target="https://www.itu.int/pub/R-REG-RR-2024/es" TargetMode="External"/><Relationship Id="rId158" Type="http://schemas.openxmlformats.org/officeDocument/2006/relationships/hyperlink" Target="https://www.itu.int/en/ITU-T/studygroups/2022-2024/16/Pages/sl.aspx" TargetMode="External"/><Relationship Id="rId323" Type="http://schemas.openxmlformats.org/officeDocument/2006/relationships/hyperlink" Target="https://www.itu.int/en/ITU-R/study-groups/rsg4/Pages/Workshop-ITU-in-Service-of-Space.aspx" TargetMode="External"/><Relationship Id="rId530" Type="http://schemas.openxmlformats.org/officeDocument/2006/relationships/hyperlink" Target="https://www.itu.int/en/ITU-T/extcoop/cits/Pages/related-events.aspx" TargetMode="External"/><Relationship Id="rId20" Type="http://schemas.openxmlformats.org/officeDocument/2006/relationships/hyperlink" Target="https://www.itu.int/wtsa/2024/" TargetMode="External"/><Relationship Id="rId62" Type="http://schemas.openxmlformats.org/officeDocument/2006/relationships/hyperlink" Target="https://www.itu.int/pub/R-RES-R.74/es" TargetMode="External"/><Relationship Id="rId365" Type="http://schemas.openxmlformats.org/officeDocument/2006/relationships/hyperlink" Target="https://academy.itu.int/training-courses/full-catalogue/super-women-series-enhance-your-presence-influence-and-impact" TargetMode="External"/><Relationship Id="rId572" Type="http://schemas.openxmlformats.org/officeDocument/2006/relationships/hyperlink" Target="https://www.itu.int/md/S26-CWGFHR22-C-0015/es" TargetMode="External"/><Relationship Id="rId225" Type="http://schemas.openxmlformats.org/officeDocument/2006/relationships/hyperlink" Target="https://www.itu.int/metaverse/un-virtual-worlds-day/thinkathon/" TargetMode="External"/><Relationship Id="rId267" Type="http://schemas.openxmlformats.org/officeDocument/2006/relationships/hyperlink" Target="https://www.itu.int/pub/R-RES-R.61/es" TargetMode="External"/><Relationship Id="rId432" Type="http://schemas.openxmlformats.org/officeDocument/2006/relationships/hyperlink" Target="https://www.itu.int/rec/T-REC-H.872/es" TargetMode="External"/><Relationship Id="rId474" Type="http://schemas.openxmlformats.org/officeDocument/2006/relationships/hyperlink" Target="https://www.itu.int/initiatives/green-digital-action/events/all/green-digital-action-summit-2025/" TargetMode="External"/><Relationship Id="rId127" Type="http://schemas.openxmlformats.org/officeDocument/2006/relationships/hyperlink" Target="https://www.itu.int/epublications/publication/itu-t-tr-mmwf-2025-02-methodologies-to-mitigate-wangiri-fraud" TargetMode="External"/><Relationship Id="rId31" Type="http://schemas.openxmlformats.org/officeDocument/2006/relationships/hyperlink" Target="https://academy.itu.int/research-advocacy-and-convening-platforms/research-publications/digital-skills-toolkit" TargetMode="External"/><Relationship Id="rId73" Type="http://schemas.openxmlformats.org/officeDocument/2006/relationships/hyperlink" Target="https://www.itu.int/itu-d/meetings/wtdc25/" TargetMode="External"/><Relationship Id="rId169" Type="http://schemas.openxmlformats.org/officeDocument/2006/relationships/hyperlink" Target="https://www.itu.int/en/ITU-D/Cybersecurity/Pages/COP/POP.aspx" TargetMode="External"/><Relationship Id="rId334" Type="http://schemas.openxmlformats.org/officeDocument/2006/relationships/hyperlink" Target="https://www.itu.int/en/ITU-T/Workshops-and-Seminars/2022/Pages/default.aspx" TargetMode="External"/><Relationship Id="rId376" Type="http://schemas.openxmlformats.org/officeDocument/2006/relationships/hyperlink" Target="https://www.itu.int/initiatives/gender-equality/network-of-women/network-of-women-ministers-and-leaders-in-ict/" TargetMode="External"/><Relationship Id="rId541" Type="http://schemas.openxmlformats.org/officeDocument/2006/relationships/hyperlink" Target="https://aiforgood.itu.int/ai-standards-exchange/" TargetMode="External"/><Relationship Id="rId4" Type="http://schemas.openxmlformats.org/officeDocument/2006/relationships/settings" Target="settings.xml"/><Relationship Id="rId180" Type="http://schemas.openxmlformats.org/officeDocument/2006/relationships/hyperlink" Target="https://www.itu.int/en/ITU-T/focusgroups/ainn/Pages/default.aspx" TargetMode="External"/><Relationship Id="rId236" Type="http://schemas.openxmlformats.org/officeDocument/2006/relationships/hyperlink" Target="https://u4ssc.itu.int/" TargetMode="External"/><Relationship Id="rId278" Type="http://schemas.openxmlformats.org/officeDocument/2006/relationships/hyperlink" Target="https://www.itu.int/en/itu-wsis/Pages/CWG-WSIS%26SDG_Call_for_Inputs_2025.aspx" TargetMode="External"/><Relationship Id="rId401" Type="http://schemas.openxmlformats.org/officeDocument/2006/relationships/hyperlink" Target="https://www.itu.int/md/S24-CL-C-0031/es" TargetMode="External"/><Relationship Id="rId443" Type="http://schemas.openxmlformats.org/officeDocument/2006/relationships/image" Target="media/image25.png"/><Relationship Id="rId303" Type="http://schemas.openxmlformats.org/officeDocument/2006/relationships/hyperlink" Target="https://www.itu.int/hub/2025/09/new-itu-academic-collaboration-on-technology-trends/" TargetMode="External"/><Relationship Id="rId485"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36163|Unknown|TWFpbGZsb3d8eyJFbXB0eU1hcGkiOnRydWUsIlYiOiIwLjAuMDAwMCIsIlAiOiJXaW4zMiIsIkFOIjoiTWFpbCIsIldUIjoyfQ%3D%3D|0|||&amp;sdata=qS8dAdJ1cDPPPgJ1oz64M7zuDrd7O8OfLzRSXDAENuQ%3D&amp;reserved=0" TargetMode="External"/><Relationship Id="rId42" Type="http://schemas.openxmlformats.org/officeDocument/2006/relationships/hyperlink" Target="https://www.itu.int/md/S26-PP-C-0020/es" TargetMode="External"/><Relationship Id="rId84" Type="http://schemas.openxmlformats.org/officeDocument/2006/relationships/image" Target="media/image3.png"/><Relationship Id="rId138" Type="http://schemas.openxmlformats.org/officeDocument/2006/relationships/hyperlink" Target="https://aiforgood.itu.int/ai-standards-exchange/" TargetMode="External"/><Relationship Id="rId345" Type="http://schemas.openxmlformats.org/officeDocument/2006/relationships/hyperlink" Target="https://www.itu.int/itu-d/sites/digital-impact-unlocked/building-digital-capacity-for-the-future-atc-programme-update/" TargetMode="External"/><Relationship Id="rId387" Type="http://schemas.openxmlformats.org/officeDocument/2006/relationships/hyperlink" Target="https://www.itu.int/generationconnect/generation-connect-at-ldc5/" TargetMode="External"/><Relationship Id="rId510" Type="http://schemas.openxmlformats.org/officeDocument/2006/relationships/hyperlink" Target="https://www.itu.int/un-virtual-worlds-day/2024/" TargetMode="External"/><Relationship Id="rId552" Type="http://schemas.openxmlformats.org/officeDocument/2006/relationships/hyperlink" Target="https://www.itu.int/en/ITU-T/extcoop/ai4resilience/Pages/default.aspx" TargetMode="External"/><Relationship Id="rId191" Type="http://schemas.openxmlformats.org/officeDocument/2006/relationships/hyperlink" Target="https://aiforgood.itu.int/ai-skills-coalition/" TargetMode="External"/><Relationship Id="rId205" Type="http://schemas.openxmlformats.org/officeDocument/2006/relationships/hyperlink" Target="https://aiforgood.itu.int/" TargetMode="External"/><Relationship Id="rId247" Type="http://schemas.openxmlformats.org/officeDocument/2006/relationships/hyperlink" Target="https://www.itu.int/en/ITU-D/Statistics/Pages/intlcoop/default.aspx" TargetMode="External"/><Relationship Id="rId412" Type="http://schemas.openxmlformats.org/officeDocument/2006/relationships/hyperlink" Target="https://www.itu.int/en/ITU-D/Regional-Presence/Europe/Pages/Events/2022/Accessible%20Europe%20ICT%204%20All%20Forum%20-%206%20Dec%202022/Accessible-Europe-ICT-4-All-Forum--Celebration-of-the-International-Day-of-Persons-with-Disabilities-.aspx" TargetMode="External"/><Relationship Id="rId107" Type="http://schemas.openxmlformats.org/officeDocument/2006/relationships/image" Target="media/image13.png"/><Relationship Id="rId289" Type="http://schemas.openxmlformats.org/officeDocument/2006/relationships/hyperlink" Target="https://aiforgood.itu.int/neural-network/" TargetMode="External"/><Relationship Id="rId454" Type="http://schemas.openxmlformats.org/officeDocument/2006/relationships/hyperlink" Target="https://www.itu.int/en/ITU-D/Environment/Pages/Publications/WEEE-Saudi-Arabia-Toolkit.aspx" TargetMode="External"/><Relationship Id="rId496" Type="http://schemas.openxmlformats.org/officeDocument/2006/relationships/hyperlink" Target="https://www.equalsintech.org/" TargetMode="External"/><Relationship Id="rId11" Type="http://schemas.openxmlformats.org/officeDocument/2006/relationships/hyperlink" Target="https://www.itu.int/en/council/Documents/basic-texts/Convention-S.pdf" TargetMode="External"/><Relationship Id="rId53" Type="http://schemas.openxmlformats.org/officeDocument/2006/relationships/hyperlink" Target="https://www.itu.int/es/publications/ITU-R/Pages/publications.aspx?parent=R-ACT-WRC.16-2024&amp;media=electronic" TargetMode="External"/><Relationship Id="rId149" Type="http://schemas.openxmlformats.org/officeDocument/2006/relationships/hyperlink" Target="https://www.itu.int/myworkspace" TargetMode="External"/><Relationship Id="rId314" Type="http://schemas.openxmlformats.org/officeDocument/2006/relationships/hyperlink" Target="https://www.itu.int/es/ITU-R/seminars/Pages/default.aspx" TargetMode="External"/><Relationship Id="rId356" Type="http://schemas.openxmlformats.org/officeDocument/2006/relationships/hyperlink" Target="https://www.equalsintech.org/post/evidence-to-impact-advancing-gender-empowerment-in-the-digital-age" TargetMode="External"/><Relationship Id="rId398" Type="http://schemas.openxmlformats.org/officeDocument/2006/relationships/hyperlink" Target="https://www.itu.int/generationconnect/empower/generation-connect-young-leadership-programme-in-partnership-with-huawei/" TargetMode="External"/><Relationship Id="rId521" Type="http://schemas.openxmlformats.org/officeDocument/2006/relationships/hyperlink" Target="https://www.itu.int/en/ITU-T/extcoop/Documents/mou/ITU-SAE_International-20250711.pdf" TargetMode="External"/><Relationship Id="rId563" Type="http://schemas.openxmlformats.org/officeDocument/2006/relationships/hyperlink" Target="https://www.itu.int/md/S25-CWGWSIS42-C-0010/es" TargetMode="External"/><Relationship Id="rId95" Type="http://schemas.openxmlformats.org/officeDocument/2006/relationships/hyperlink" Target="https://www.itu.int/en/ITU-D/Statistics/Pages/ICTprices/default.aspx" TargetMode="External"/><Relationship Id="rId160" Type="http://schemas.openxmlformats.org/officeDocument/2006/relationships/hyperlink" Target="https://www.itu.int/en/ITU-D/Cybersecurity/Pages/national-CIRT.aspx" TargetMode="External"/><Relationship Id="rId216" Type="http://schemas.openxmlformats.org/officeDocument/2006/relationships/hyperlink" Target="https://www.itu.int/itu-t/landscape/?topic=tx467&amp;group=g&amp;search_text=" TargetMode="External"/><Relationship Id="rId423" Type="http://schemas.openxmlformats.org/officeDocument/2006/relationships/hyperlink" Target="https://youtu.be/wJmsFRl5x-k" TargetMode="External"/><Relationship Id="rId258" Type="http://schemas.openxmlformats.org/officeDocument/2006/relationships/image" Target="media/image22.png"/><Relationship Id="rId465" Type="http://schemas.openxmlformats.org/officeDocument/2006/relationships/hyperlink" Target="https://www.itu.int/partner2connect/" TargetMode="External"/><Relationship Id="rId22" Type="http://schemas.openxmlformats.org/officeDocument/2006/relationships/hyperlink" Target="https://aiforgood.itu.int/quantum-for-good/" TargetMode="External"/><Relationship Id="rId64" Type="http://schemas.openxmlformats.org/officeDocument/2006/relationships/hyperlink" Target="https://www.itu.int/md/R23-WRC23-C-0217/es" TargetMode="External"/><Relationship Id="rId118" Type="http://schemas.openxmlformats.org/officeDocument/2006/relationships/hyperlink" Target="https://www.itu.int/hub/publication/r-reg-rrx-2025/" TargetMode="External"/><Relationship Id="rId325" Type="http://schemas.openxmlformats.org/officeDocument/2006/relationships/hyperlink" Target="https://www.itu.int/en/ITU-R/seminars/Future-of-tv-europe/Pages/default.aspx" TargetMode="External"/><Relationship Id="rId367" Type="http://schemas.openxmlformats.org/officeDocument/2006/relationships/hyperlink" Target="https://www.itu.int/now4wrc23/" TargetMode="External"/><Relationship Id="rId532" Type="http://schemas.openxmlformats.org/officeDocument/2006/relationships/hyperlink" Target="https://www.itu.int/en/ITU-T/extcoop/Pages/wsc.aspx" TargetMode="External"/><Relationship Id="rId574" Type="http://schemas.openxmlformats.org/officeDocument/2006/relationships/hyperlink" Target="https://www.itu.int/en/council/dashboard/Pages/HumanResourcesReport.aspx" TargetMode="External"/><Relationship Id="rId171" Type="http://schemas.openxmlformats.org/officeDocument/2006/relationships/hyperlink" Target="https://www.itu.int/hub/publication/d-str-cyb_joint-2025/" TargetMode="External"/><Relationship Id="rId227" Type="http://schemas.openxmlformats.org/officeDocument/2006/relationships/hyperlink" Target="https://www.itu.int/metaverse/virtual-worlds/1st-un-citiverse-challenge/" TargetMode="External"/><Relationship Id="rId269" Type="http://schemas.openxmlformats.org/officeDocument/2006/relationships/hyperlink" Target="http://www.wsis.org/prizes" TargetMode="External"/><Relationship Id="rId434" Type="http://schemas.openxmlformats.org/officeDocument/2006/relationships/hyperlink" Target="https://itu.int/go/tsg21" TargetMode="External"/><Relationship Id="rId476" Type="http://schemas.openxmlformats.org/officeDocument/2006/relationships/hyperlink" Target="https://www.itu.int/initiatives/green-digital-action/impact/all/" TargetMode="External"/><Relationship Id="rId33" Type="http://schemas.openxmlformats.org/officeDocument/2006/relationships/hyperlink" Target="https://aiforgood.itu.int/" TargetMode="External"/><Relationship Id="rId129" Type="http://schemas.openxmlformats.org/officeDocument/2006/relationships/hyperlink" Target="https://www.itu.int/dms_pub/itu-t/opb/res/T-RES-T.91-2024-PDF-S.pdf" TargetMode="External"/><Relationship Id="rId280" Type="http://schemas.openxmlformats.org/officeDocument/2006/relationships/hyperlink" Target="http://www.ungis.org/" TargetMode="External"/><Relationship Id="rId336" Type="http://schemas.openxmlformats.org/officeDocument/2006/relationships/hyperlink" Target="https://www.itu.int/en/ITU-T/Workshops-and-Seminars/2024/Pages/default.aspx" TargetMode="External"/><Relationship Id="rId501" Type="http://schemas.openxmlformats.org/officeDocument/2006/relationships/hyperlink" Target="https://www.equalsintech.org/tech4girls" TargetMode="External"/><Relationship Id="rId543" Type="http://schemas.openxmlformats.org/officeDocument/2006/relationships/hyperlink" Target="https://dcm.itu.int/" TargetMode="External"/><Relationship Id="rId75" Type="http://schemas.openxmlformats.org/officeDocument/2006/relationships/hyperlink" Target="https://www.itu.int/itu-d/meetings/wtdc25/wp-content/uploads/sites/29/2025/11/090-E.pdf" TargetMode="External"/><Relationship Id="rId140" Type="http://schemas.openxmlformats.org/officeDocument/2006/relationships/hyperlink" Target="https://www.itu.int/pub/T-RES-T.44-2024/es" TargetMode="External"/><Relationship Id="rId182" Type="http://schemas.openxmlformats.org/officeDocument/2006/relationships/hyperlink" Target="https://www.itu.int/en/ITU-T/focusgroups/ai4ndm/Pages/default.aspx" TargetMode="External"/><Relationship Id="rId378" Type="http://schemas.openxmlformats.org/officeDocument/2006/relationships/hyperlink" Target="https://www.itu.int/md/S25-CL-C-0006/es" TargetMode="External"/><Relationship Id="rId403" Type="http://schemas.openxmlformats.org/officeDocument/2006/relationships/hyperlink" Target="https://www.itu.int/md/S25-CL-C-0032/es" TargetMode="External"/><Relationship Id="rId6" Type="http://schemas.openxmlformats.org/officeDocument/2006/relationships/footnotes" Target="footnotes.xml"/><Relationship Id="rId238" Type="http://schemas.openxmlformats.org/officeDocument/2006/relationships/hyperlink" Target="https://toolkit-dt4c.itu.int/" TargetMode="External"/><Relationship Id="rId445" Type="http://schemas.openxmlformats.org/officeDocument/2006/relationships/hyperlink" Target="https://academy.itu.int/training-courses/full-catalogue/formacion-de-promotoras-y-promotores-tecnicos-en-comunidades-indigenas-en-telecomunicaciones-y-0" TargetMode="External"/><Relationship Id="rId487" Type="http://schemas.openxmlformats.org/officeDocument/2006/relationships/hyperlink" Target="https://eur03.safelinks.protection.outlook.com/?url=https%3A%2F%2Fbroadbandcommission.org%2Fworking-groups%2F&amp;data=05|02|fernando.rivera%40itu.int|25850ebcdcaa42ef3ee508de787057c6|23e464d704e64b87913c24bd89219fd3|0|0|639080621056073225|Unknown|TWFpbGZsb3d8eyJFbXB0eU1hcGkiOnRydWUsIlYiOiIwLjAuMDAwMCIsIlAiOiJXaW4zMiIsIkFOIjoiTWFpbCIsIldUIjoyfQ%3D%3D|0|||&amp;sdata=v3zmw5nMd5didUxUL7wp%2FuXMCFlJ1mb8sUSSPJZV21U%3D&amp;reserved=0" TargetMode="External"/><Relationship Id="rId291" Type="http://schemas.openxmlformats.org/officeDocument/2006/relationships/hyperlink" Target="https://aiforgood.itu.int/summit23/" TargetMode="External"/><Relationship Id="rId305" Type="http://schemas.openxmlformats.org/officeDocument/2006/relationships/hyperlink" Target="https://www.itu.int/en/journal/j-fet/Pages/default.aspx" TargetMode="External"/><Relationship Id="rId347" Type="http://schemas.openxmlformats.org/officeDocument/2006/relationships/hyperlink" Target="https://www.itu.int/itu-d/sites/priorities/enablers-of-itu-d-priorities/regional-presence/" TargetMode="External"/><Relationship Id="rId512" Type="http://schemas.openxmlformats.org/officeDocument/2006/relationships/hyperlink" Target="https://u4ssc.itu.int/" TargetMode="External"/><Relationship Id="rId44" Type="http://schemas.openxmlformats.org/officeDocument/2006/relationships/hyperlink" Target="https://www.itu.int/en/council/Documents/basic-texts-2023/RES-071-S.pdf" TargetMode="External"/><Relationship Id="rId86" Type="http://schemas.openxmlformats.org/officeDocument/2006/relationships/hyperlink" Target="https://www.itu.int/en/ITU-D/Statistics/pages/facts/default.aspx" TargetMode="External"/><Relationship Id="rId151" Type="http://schemas.openxmlformats.org/officeDocument/2006/relationships/hyperlink" Target="https://www.itu.int/pub/T-RES-T.67-2024/es" TargetMode="External"/><Relationship Id="rId389" Type="http://schemas.openxmlformats.org/officeDocument/2006/relationships/hyperlink" Target="https://indico.un.org/event/1002946/" TargetMode="External"/><Relationship Id="rId554" Type="http://schemas.openxmlformats.org/officeDocument/2006/relationships/hyperlink" Target="https://www.itu.int/en/ITU-T/focusgroups/ai4a/Pages/events.aspx" TargetMode="External"/><Relationship Id="rId193" Type="http://schemas.openxmlformats.org/officeDocument/2006/relationships/hyperlink" Target="https://aiforgood.itu.int/robotics-for-good-youth-challenge/" TargetMode="External"/><Relationship Id="rId207" Type="http://schemas.openxmlformats.org/officeDocument/2006/relationships/hyperlink" Target="https://aiforgood.itu.int/summit26/" TargetMode="External"/><Relationship Id="rId249" Type="http://schemas.openxmlformats.org/officeDocument/2006/relationships/image" Target="media/image19.png"/><Relationship Id="rId414" Type="http://schemas.openxmlformats.org/officeDocument/2006/relationships/hyperlink" Target="https://academy.itu.int/" TargetMode="External"/><Relationship Id="rId456" Type="http://schemas.openxmlformats.org/officeDocument/2006/relationships/hyperlink" Target="https://www.itu.int/rec/T-REC-L.1061/es" TargetMode="External"/><Relationship Id="rId498" Type="http://schemas.openxmlformats.org/officeDocument/2006/relationships/hyperlink" Target="https://www.equalsintech.org/skills" TargetMode="External"/><Relationship Id="rId13" Type="http://schemas.openxmlformats.org/officeDocument/2006/relationships/header" Target="header1.xml"/><Relationship Id="rId109" Type="http://schemas.openxmlformats.org/officeDocument/2006/relationships/hyperlink" Target="https://www.itu.int/itu-d/reports/statistics/2025/10/15/ff25-internet-use-in-urban-and-rural-areas/" TargetMode="External"/><Relationship Id="rId260" Type="http://schemas.openxmlformats.org/officeDocument/2006/relationships/hyperlink" Target="https://www.itu.int/en/ITU-D/Projects/Pages/reports/default.aspx" TargetMode="External"/><Relationship Id="rId316" Type="http://schemas.openxmlformats.org/officeDocument/2006/relationships/hyperlink" Target="https://www.itu.int/en/ITU-R/seminars/rrs/rrs-22-ee/Pages/default.aspx" TargetMode="External"/><Relationship Id="rId523" Type="http://schemas.openxmlformats.org/officeDocument/2006/relationships/hyperlink" Target="https://www.itu.int/itu-t/landscape/?topic=tx21&amp;group=g&amp;search_text=" TargetMode="External"/><Relationship Id="rId55" Type="http://schemas.openxmlformats.org/officeDocument/2006/relationships/hyperlink" Target="https://www.itu.int/ra-23/" TargetMode="External"/><Relationship Id="rId97" Type="http://schemas.openxmlformats.org/officeDocument/2006/relationships/hyperlink" Target="https://www.itu.int/itu-d/reports/statistics/2025/10/15/ff25-mobile-phone-ownership/" TargetMode="External"/><Relationship Id="rId120" Type="http://schemas.openxmlformats.org/officeDocument/2006/relationships/hyperlink" Target="https://www.itu.int/sales/digital-publications/pub/r-sp-lm.mm" TargetMode="External"/><Relationship Id="rId358" Type="http://schemas.openxmlformats.org/officeDocument/2006/relationships/hyperlink" Target="https://www.itu.int/hub/publication/d-hdb-gender-2023-01/" TargetMode="External"/><Relationship Id="rId565" Type="http://schemas.openxmlformats.org/officeDocument/2006/relationships/hyperlink" Target="https://social.desa.un.org/es/world-summit-2025/documents/declaracion-politica-de-doha-de-la-cumbre-mundial-sobre-desarrollo" TargetMode="External"/><Relationship Id="rId162" Type="http://schemas.openxmlformats.org/officeDocument/2006/relationships/hyperlink" Target="https://www.itu.int/en/ITU-D/Cybersecurity/Pages/global-cybersecurity-index.aspx" TargetMode="External"/><Relationship Id="rId218" Type="http://schemas.openxmlformats.org/officeDocument/2006/relationships/hyperlink" Target="https://aiforgood.itu.int/quantum-for-good/" TargetMode="External"/><Relationship Id="rId425" Type="http://schemas.openxmlformats.org/officeDocument/2006/relationships/hyperlink" Target="https://youtu.be/FsFOxfCois0" TargetMode="External"/><Relationship Id="rId467" Type="http://schemas.openxmlformats.org/officeDocument/2006/relationships/hyperlink" Target="https://www.itu.int/initiatives/green-digital-action/events/all/cop28/" TargetMode="External"/><Relationship Id="rId271" Type="http://schemas.openxmlformats.org/officeDocument/2006/relationships/hyperlink" Target="https://www.itu.int/net4/wsis/forum/2026/es" TargetMode="External"/><Relationship Id="rId24" Type="http://schemas.openxmlformats.org/officeDocument/2006/relationships/hyperlink" Target="https://www.itu.int/cities/year-in-review-2023/fg-ai4a/" TargetMode="External"/><Relationship Id="rId66" Type="http://schemas.openxmlformats.org/officeDocument/2006/relationships/hyperlink" Target="https://gss.itu.int/" TargetMode="External"/><Relationship Id="rId131" Type="http://schemas.openxmlformats.org/officeDocument/2006/relationships/hyperlink" Target="https://www.itu.int/pub/R-REC/es" TargetMode="External"/><Relationship Id="rId327" Type="http://schemas.openxmlformats.org/officeDocument/2006/relationships/hyperlink" Target="https://www.itu.int/en/ITU-R/seminars/Fixed-Wireless-Service/Pages/default.aspx" TargetMode="External"/><Relationship Id="rId369" Type="http://schemas.openxmlformats.org/officeDocument/2006/relationships/hyperlink" Target="https://www.itu.int/hub/publication/d-hdb-gender-2023-01/" TargetMode="External"/><Relationship Id="rId534" Type="http://schemas.openxmlformats.org/officeDocument/2006/relationships/hyperlink" Target="https://www.worldstandardscooperation.org/what-we-do/world-standards-day/" TargetMode="External"/><Relationship Id="rId576" Type="http://schemas.openxmlformats.org/officeDocument/2006/relationships/hyperlink" Target="https://www.itu.int/net4/Search/CL26" TargetMode="External"/><Relationship Id="rId173" Type="http://schemas.openxmlformats.org/officeDocument/2006/relationships/hyperlink" Target="https://www.itu.int/itu-t/workprog/wp_search.aspx?sg=17" TargetMode="External"/><Relationship Id="rId229" Type="http://schemas.openxmlformats.org/officeDocument/2006/relationships/hyperlink" Target="https://www.itu.int/un-virtual-worlds-day/2025/" TargetMode="External"/><Relationship Id="rId380" Type="http://schemas.openxmlformats.org/officeDocument/2006/relationships/hyperlink" Target="https://www.itu.int/md/S23-CL-C-0006/es" TargetMode="External"/><Relationship Id="rId436" Type="http://schemas.openxmlformats.org/officeDocument/2006/relationships/hyperlink" Target="https://www.itu.int/metaverse/virtual-worlds/" TargetMode="External"/><Relationship Id="rId240" Type="http://schemas.openxmlformats.org/officeDocument/2006/relationships/hyperlink" Target="https://www.itu.int/cities/dt-digest/" TargetMode="External"/><Relationship Id="rId478" Type="http://schemas.openxmlformats.org/officeDocument/2006/relationships/hyperlink" Target="https://www.itu.int/initiatives/green-digital-action/events/all/green-digital-action-summit-2025/" TargetMode="External"/><Relationship Id="rId35" Type="http://schemas.openxmlformats.org/officeDocument/2006/relationships/hyperlink" Target="https://www.itu.int/partner2connect/" TargetMode="External"/><Relationship Id="rId77" Type="http://schemas.openxmlformats.org/officeDocument/2006/relationships/hyperlink" Target="https://www.itu.int/itu-d/meetings/wtdc25/wp-content/uploads/sites/29/2025/11/090-E.pdf" TargetMode="External"/><Relationship Id="rId100" Type="http://schemas.openxmlformats.org/officeDocument/2006/relationships/hyperlink" Target="https://databrowser.uis.unesco.org/" TargetMode="External"/><Relationship Id="rId282" Type="http://schemas.openxmlformats.org/officeDocument/2006/relationships/hyperlink" Target="http://www.wsis.org/stocktaking" TargetMode="External"/><Relationship Id="rId338" Type="http://schemas.openxmlformats.org/officeDocument/2006/relationships/hyperlink" Target="https://aiforgood.itu.int/ai-events-calendar/" TargetMode="External"/><Relationship Id="rId503" Type="http://schemas.openxmlformats.org/officeDocument/2006/relationships/hyperlink" Target="https://www.equalsintech.org/equals-badge" TargetMode="External"/><Relationship Id="rId545" Type="http://schemas.openxmlformats.org/officeDocument/2006/relationships/hyperlink" Target="https://www.itu.int/en/ITU-T/focusgroups/ai4ndm/Pages/default.aspx" TargetMode="External"/><Relationship Id="rId8" Type="http://schemas.openxmlformats.org/officeDocument/2006/relationships/hyperlink" Target="https://www.itu.int/md/S26-PP-C-0020/es" TargetMode="External"/><Relationship Id="rId142" Type="http://schemas.openxmlformats.org/officeDocument/2006/relationships/image" Target="media/image16.png"/><Relationship Id="rId184" Type="http://schemas.openxmlformats.org/officeDocument/2006/relationships/hyperlink" Target="https://www.itu.int/en/ITU-T/extcoop/ai4resilience/Pages/default.aspx" TargetMode="External"/><Relationship Id="rId391" Type="http://schemas.openxmlformats.org/officeDocument/2006/relationships/hyperlink" Target="https://academy.itu.int/training-courses/full-catalogue/generation-connect-digital-learning" TargetMode="External"/><Relationship Id="rId405" Type="http://schemas.openxmlformats.org/officeDocument/2006/relationships/hyperlink" Target="https://aiforgood.itu.int/robotics-for-good-youth-challenge/" TargetMode="External"/><Relationship Id="rId447" Type="http://schemas.openxmlformats.org/officeDocument/2006/relationships/hyperlink" Target="https://www.un.org/development/desa/dspd/2023/01/undesa-globalpolicydialogue/" TargetMode="External"/><Relationship Id="rId251" Type="http://schemas.openxmlformats.org/officeDocument/2006/relationships/image" Target="media/image20.png"/><Relationship Id="rId489"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6119294|Unknown|TWFpbGZsb3d8eyJFbXB0eU1hcGkiOnRydWUsIlYiOiIwLjAuMDAwMCIsIlAiOiJXaW4zMiIsIkFOIjoiTWFpbCIsIldUIjoyfQ%3D%3D|0|||&amp;sdata=ZySl%2FncpRrEwmJw1ekS6rEjXuZNK22c8lgWdGz%2Bkj2A%3D&amp;reserved=0" TargetMode="External"/><Relationship Id="rId46" Type="http://schemas.openxmlformats.org/officeDocument/2006/relationships/hyperlink" Target="https://pp.itu.int/2022/es/" TargetMode="External"/><Relationship Id="rId293" Type="http://schemas.openxmlformats.org/officeDocument/2006/relationships/hyperlink" Target="https://aiforgood.itu.int/ai-skills-coalition/" TargetMode="External"/><Relationship Id="rId307" Type="http://schemas.openxmlformats.org/officeDocument/2006/relationships/hyperlink" Target="https://www.itu.int/en/journal/j-fet/webinars/Pages/default.aspx" TargetMode="External"/><Relationship Id="rId349" Type="http://schemas.openxmlformats.org/officeDocument/2006/relationships/hyperlink" Target="https://www.itu.int/md/S26-CL-C-0024/es" TargetMode="External"/><Relationship Id="rId514" Type="http://schemas.openxmlformats.org/officeDocument/2006/relationships/hyperlink" Target="https://u4ssc.itu.int/u4ssc-kpis-report/" TargetMode="External"/><Relationship Id="rId556" Type="http://schemas.openxmlformats.org/officeDocument/2006/relationships/hyperlink" Target="https://aiforgood.itu.int/ai-for-food-systems/" TargetMode="External"/><Relationship Id="rId88" Type="http://schemas.openxmlformats.org/officeDocument/2006/relationships/hyperlink" Target="https://www.itu.int/itu-d/reports/statistics/2025/10/15/ff25-mobile-network-coverage/" TargetMode="External"/><Relationship Id="rId111" Type="http://schemas.openxmlformats.org/officeDocument/2006/relationships/hyperlink" Target="https://www.itu.int/hub/publication/d-gdc-clim-2025/" TargetMode="External"/><Relationship Id="rId153" Type="http://schemas.openxmlformats.org/officeDocument/2006/relationships/hyperlink" Target="https://www.itu.int/en/ITU-T/gap/Documents/nss-rep-may.pdf" TargetMode="External"/><Relationship Id="rId195" Type="http://schemas.openxmlformats.org/officeDocument/2006/relationships/hyperlink" Target="https://www.itu.int/md/S25-SG-CIR-0052/es" TargetMode="External"/><Relationship Id="rId209" Type="http://schemas.openxmlformats.org/officeDocument/2006/relationships/hyperlink" Target="https://www.itu.int/en/ITU-T/studygroups/2025-2028/11/Pages/default.aspx" TargetMode="External"/><Relationship Id="rId360" Type="http://schemas.openxmlformats.org/officeDocument/2006/relationships/hyperlink" Target="https://www.itu.int/women-and-girls/women-in-ict/ai-skills-accelerator-for-girls/" TargetMode="External"/><Relationship Id="rId416" Type="http://schemas.openxmlformats.org/officeDocument/2006/relationships/hyperlink" Target="https://www.itu.int/en/ITU-D/Digital-Inclusion/Pages/ICT-digital-accessibility/toolkits/towards-building-inclusive-digital-communities/2023/default.aspx" TargetMode="External"/><Relationship Id="rId220" Type="http://schemas.openxmlformats.org/officeDocument/2006/relationships/hyperlink" Target="https://www.itu.int/metaverse/5th-forum-metaverse/" TargetMode="External"/><Relationship Id="rId458" Type="http://schemas.openxmlformats.org/officeDocument/2006/relationships/hyperlink" Target="https://www.itu.int/en/ITU-T/Workshops-and-Seminars/2025/1125/Documents/Louise%20Aubet.pdf" TargetMode="External"/><Relationship Id="rId15" Type="http://schemas.openxmlformats.org/officeDocument/2006/relationships/hyperlink" Target="https://www.itu.int/en/council/Documents/basic-texts/RES-071-S.pdf" TargetMode="External"/><Relationship Id="rId57" Type="http://schemas.openxmlformats.org/officeDocument/2006/relationships/hyperlink" Target="https://www.itu.int/pub/R-RES-R.5/es" TargetMode="External"/><Relationship Id="rId262" Type="http://schemas.openxmlformats.org/officeDocument/2006/relationships/hyperlink" Target="https://www.itu.int/en/council/Documents/basic-texts-2023/RES-140-S.pdf" TargetMode="External"/><Relationship Id="rId318" Type="http://schemas.openxmlformats.org/officeDocument/2006/relationships/hyperlink" Target="https://www.itu.int/es/ITU-R/seminars/rrs/RRS-23-Americas/Pages/default.aspx" TargetMode="External"/><Relationship Id="rId525" Type="http://schemas.openxmlformats.org/officeDocument/2006/relationships/hyperlink" Target="https://www.itu.int/en/ITU-T/extcoop/cits/egcomad/wg01/Pages/default.aspx" TargetMode="External"/><Relationship Id="rId567" Type="http://schemas.openxmlformats.org/officeDocument/2006/relationships/hyperlink" Target="https://www.un.org/un80-initiative/sites/default/files/2025-09/UN80_WS3-1_250921_1238.pdf" TargetMode="External"/><Relationship Id="rId99" Type="http://schemas.openxmlformats.org/officeDocument/2006/relationships/image" Target="media/image9.png"/><Relationship Id="rId122" Type="http://schemas.openxmlformats.org/officeDocument/2006/relationships/hyperlink" Target="https://www.itu.int/ITU-R/terrasys" TargetMode="External"/><Relationship Id="rId164" Type="http://schemas.openxmlformats.org/officeDocument/2006/relationships/hyperlink" Target="https://academy.itu.int/" TargetMode="External"/><Relationship Id="rId371" Type="http://schemas.openxmlformats.org/officeDocument/2006/relationships/hyperlink" Target="https://wtisd.itu.int/2025/about/2025-theme/" TargetMode="External"/><Relationship Id="rId427" Type="http://schemas.openxmlformats.org/officeDocument/2006/relationships/hyperlink" Target="https://www.itu.int/net4/itu-t/search" TargetMode="External"/><Relationship Id="rId469" Type="http://schemas.openxmlformats.org/officeDocument/2006/relationships/hyperlink" Target="https://www.itu.int/initiatives/green-digital-action/events/cop30/" TargetMode="External"/><Relationship Id="rId26" Type="http://schemas.openxmlformats.org/officeDocument/2006/relationships/hyperlink" Target="https://www.itu.int/itu-d/reports/statistics/facts-figures-2025/" TargetMode="External"/><Relationship Id="rId231" Type="http://schemas.openxmlformats.org/officeDocument/2006/relationships/hyperlink" Target="https://www.itu.int/en/ITU-T/techwatch/Pages/internetofthings.aspx" TargetMode="External"/><Relationship Id="rId273" Type="http://schemas.openxmlformats.org/officeDocument/2006/relationships/hyperlink" Target="https://www.itu.int/net4/wsis/forum/2024/es" TargetMode="External"/><Relationship Id="rId329" Type="http://schemas.openxmlformats.org/officeDocument/2006/relationships/hyperlink" Target="https://www.itu.int/en/ITU-D/Regional-Presence/Africa/Pages/EVENTS/2024/SADC-NETP-EW4All-Workshop.aspx" TargetMode="External"/><Relationship Id="rId480" Type="http://schemas.openxmlformats.org/officeDocument/2006/relationships/hyperlink" Target="https://www.itu.int/initiatives/sdgdigital/" TargetMode="External"/><Relationship Id="rId536" Type="http://schemas.openxmlformats.org/officeDocument/2006/relationships/hyperlink" Target="https://www.itu.int/initiatives/green-digital-action/events/all/cop29/world-standards-cooperation-paving-the-path-for-sustainability-by-design/" TargetMode="External"/><Relationship Id="rId68" Type="http://schemas.openxmlformats.org/officeDocument/2006/relationships/hyperlink" Target="https://en.wikipedia.org/wiki/ITU-T_Study_Group_16" TargetMode="External"/><Relationship Id="rId133" Type="http://schemas.openxmlformats.org/officeDocument/2006/relationships/hyperlink" Target="https://www.itu.int/en/ITU-T/focusgroups/Pages/default.aspx" TargetMode="External"/><Relationship Id="rId175" Type="http://schemas.openxmlformats.org/officeDocument/2006/relationships/hyperlink" Target="https://www.itu.int/en/ITU-T/studygroups/2025-2028/20/Pages/default.aspx" TargetMode="External"/><Relationship Id="rId340" Type="http://schemas.openxmlformats.org/officeDocument/2006/relationships/hyperlink" Target="https://www.itu.int/net4/ITU-D/CDS/sg/doc/rgq/2018/D18-SG01-RGQ05.1-en.pdf" TargetMode="External"/><Relationship Id="rId578" Type="http://schemas.openxmlformats.org/officeDocument/2006/relationships/footer" Target="footer3.xml"/><Relationship Id="rId200" Type="http://schemas.openxmlformats.org/officeDocument/2006/relationships/hyperlink" Target="https://www.itu.int/en/action/ai/Pages/UN-inter-agency-working-group-on-AI.aspx" TargetMode="External"/><Relationship Id="rId382" Type="http://schemas.openxmlformats.org/officeDocument/2006/relationships/hyperlink" Target="https://www.itu.int/generationconnect/wp-content/uploads/2020/11/ITU_Youth_Strategy.pdf" TargetMode="External"/><Relationship Id="rId438" Type="http://schemas.openxmlformats.org/officeDocument/2006/relationships/hyperlink" Target="https://www.itu.int/pub/R-RES-R.67/es" TargetMode="External"/><Relationship Id="rId242" Type="http://schemas.openxmlformats.org/officeDocument/2006/relationships/hyperlink" Target="https://www.itu.int/en/ITU-D/Statistics/Pages/definitions/default.aspx" TargetMode="External"/><Relationship Id="rId284" Type="http://schemas.openxmlformats.org/officeDocument/2006/relationships/hyperlink" Target="http://www.wsis.org/prizes" TargetMode="External"/><Relationship Id="rId491" Type="http://schemas.openxmlformats.org/officeDocument/2006/relationships/hyperlink" Target="https://eur03.safelinks.protection.outlook.com/?url=https%3A%2F%2Fwww.equalsintech.org%2F&amp;data=05|02|fernando.rivera%40itu.int|25850ebcdcaa42ef3ee508de787057c6|23e464d704e64b87913c24bd89219fd3|0|0|639080621056155187|Unknown|TWFpbGZsb3d8eyJFbXB0eU1hcGkiOnRydWUsIlYiOiIwLjAuMDAwMCIsIlAiOiJXaW4zMiIsIkFOIjoiTWFpbCIsIldUIjoyfQ%3D%3D|0|||&amp;sdata=NOL9h1C6LtYF1ELJBO6tSrHKhasuKmx15clz77i8sk4%3D&amp;reserved=0" TargetMode="External"/><Relationship Id="rId505" Type="http://schemas.openxmlformats.org/officeDocument/2006/relationships/hyperlink" Target="https://www.itu.int/en/ITU-D/Digital-Inclusion/Pages/EIF-Regional-Project-.aspx" TargetMode="External"/><Relationship Id="rId37" Type="http://schemas.openxmlformats.org/officeDocument/2006/relationships/hyperlink" Target="https://www.broadbandcommission.org/" TargetMode="External"/><Relationship Id="rId79" Type="http://schemas.openxmlformats.org/officeDocument/2006/relationships/hyperlink" Target="https://www.itu.int/md/D22-WTDC25-C-0002/es" TargetMode="External"/><Relationship Id="rId102" Type="http://schemas.openxmlformats.org/officeDocument/2006/relationships/hyperlink" Target="https://www.itu.int/itu-d/reports/statistics/2025/10/15/ff25-internet-use/" TargetMode="External"/><Relationship Id="rId144" Type="http://schemas.openxmlformats.org/officeDocument/2006/relationships/hyperlink" Target="https://www.itu.int/en/ITU-T/regionalgroups/Pages/default.aspx" TargetMode="External"/><Relationship Id="rId547" Type="http://schemas.openxmlformats.org/officeDocument/2006/relationships/hyperlink" Target="https://www.itu.int/pub/T-FG-AI4NDM-2023-3/es" TargetMode="External"/><Relationship Id="rId90" Type="http://schemas.openxmlformats.org/officeDocument/2006/relationships/hyperlink" Target="https://www.itu.int/itu-d/reports/statistics/2025/10/15/ff25-mobile-network-coverage/" TargetMode="External"/><Relationship Id="rId186" Type="http://schemas.openxmlformats.org/officeDocument/2006/relationships/hyperlink" Target="https://www.itu.int/hub/2023/07/new-un-initiative-aims-to-step-up-ais-contribution-to-health/" TargetMode="External"/><Relationship Id="rId351" Type="http://schemas.openxmlformats.org/officeDocument/2006/relationships/hyperlink" Target="https://www.itu.int/itu-d/meetings/wtdc25/" TargetMode="External"/><Relationship Id="rId393" Type="http://schemas.openxmlformats.org/officeDocument/2006/relationships/hyperlink" Target="https://www.kofiannanfoundation.org/our-work/kofi-annan-changemakers/" TargetMode="External"/><Relationship Id="rId407" Type="http://schemas.openxmlformats.org/officeDocument/2006/relationships/hyperlink" Target="https://www.itu.int/metaverse/virtual-worlds/1st-un-citiverse-challenge/" TargetMode="External"/><Relationship Id="rId449" Type="http://schemas.openxmlformats.org/officeDocument/2006/relationships/hyperlink" Target="https://www.itu.int/pub/D-PHCB-DIG_AGE-2021/es" TargetMode="External"/><Relationship Id="rId211" Type="http://schemas.openxmlformats.org/officeDocument/2006/relationships/hyperlink" Target="https://www.itu.int/en/ITU-T/studygroups/2025-2028/17/Pages/default.aspx" TargetMode="External"/><Relationship Id="rId253" Type="http://schemas.openxmlformats.org/officeDocument/2006/relationships/hyperlink" Target="https://www.itu.int/itu-d/meetings/digital-skills-forum/" TargetMode="External"/><Relationship Id="rId295" Type="http://schemas.openxmlformats.org/officeDocument/2006/relationships/hyperlink" Target="https://www.itu.int/net/epub/TSB/2024-GSS-Conclusions/index.html" TargetMode="External"/><Relationship Id="rId309" Type="http://schemas.openxmlformats.org/officeDocument/2006/relationships/hyperlink" Target="https://www.itu.int/en/ITU-T/academia/kaleidoscope/2022/Pages/default.aspx" TargetMode="External"/><Relationship Id="rId460" Type="http://schemas.openxmlformats.org/officeDocument/2006/relationships/hyperlink" Target="https://www.itu.int/en/action/environment-and-climate-change/Documents/publications/2023/Scope-3-Guidance-2023.pdf" TargetMode="External"/><Relationship Id="rId516" Type="http://schemas.openxmlformats.org/officeDocument/2006/relationships/hyperlink" Target="https://u4ssc.itu.int/latest-meetings/" TargetMode="External"/><Relationship Id="rId48" Type="http://schemas.openxmlformats.org/officeDocument/2006/relationships/hyperlink" Target="https://www.itu.int/en/council/Documents/basic-texts-2023/RES-071-S.pdf" TargetMode="External"/><Relationship Id="rId113" Type="http://schemas.openxmlformats.org/officeDocument/2006/relationships/hyperlink" Target="https://www.itu.int/en/ITU-D/Environment/Documents/Publications/2025/d-gen-e_waste.01-2024-pdf-s.pdf" TargetMode="External"/><Relationship Id="rId320" Type="http://schemas.openxmlformats.org/officeDocument/2006/relationships/hyperlink" Target="https://www.itu.int/en/ITU-R/seminars/rrs/rrs-24-cis/Pages/default.aspx" TargetMode="External"/><Relationship Id="rId558" Type="http://schemas.openxmlformats.org/officeDocument/2006/relationships/hyperlink" Target="https://www.itu.int/en/ITU-T/focusgroups/ai4h/Pages/default.aspx" TargetMode="External"/><Relationship Id="rId155" Type="http://schemas.openxmlformats.org/officeDocument/2006/relationships/hyperlink" Target="https://www.itu.int/en/ITU-T/dfs/seclab/Pages/default.aspx" TargetMode="External"/><Relationship Id="rId197" Type="http://schemas.openxmlformats.org/officeDocument/2006/relationships/hyperlink" Target="https://academy.itu.int/" TargetMode="External"/><Relationship Id="rId362" Type="http://schemas.openxmlformats.org/officeDocument/2006/relationships/hyperlink" Target="https://www.itu.int/now4wrc/" TargetMode="External"/><Relationship Id="rId418" Type="http://schemas.openxmlformats.org/officeDocument/2006/relationships/hyperlink" Target="https://www.itu.int/en/ITU-D/Digital-Inclusion/Documents/Auto-evaluation%20UIT%20pour%20la%20mise%20en%20oeuvre%20de%20TIC%20accessibles%20-%20FINAL_1.xlsm" TargetMode="External"/><Relationship Id="rId222" Type="http://schemas.openxmlformats.org/officeDocument/2006/relationships/hyperlink" Target="https://www.itu.int/en/ITU-T/focusgroups/mv/Pages/default.aspx" TargetMode="External"/><Relationship Id="rId264" Type="http://schemas.openxmlformats.org/officeDocument/2006/relationships/hyperlink" Target="https://www.itu.int/md/S23-CL-C-0120/es" TargetMode="External"/><Relationship Id="rId471" Type="http://schemas.openxmlformats.org/officeDocument/2006/relationships/hyperlink" Target="https://www.itu.int/initiatives/green-digital-action/events/all/cop29/declaration/" TargetMode="External"/><Relationship Id="rId17" Type="http://schemas.openxmlformats.org/officeDocument/2006/relationships/hyperlink" Target="https://pp.itu.int/2022/es/" TargetMode="External"/><Relationship Id="rId59" Type="http://schemas.openxmlformats.org/officeDocument/2006/relationships/hyperlink" Target="https://www.itu.int/pub/R-RES-R.65/es" TargetMode="External"/><Relationship Id="rId124" Type="http://schemas.openxmlformats.org/officeDocument/2006/relationships/hyperlink" Target="https://www.itu.int/rec/T-REC-E.1120-202502-I/es" TargetMode="External"/><Relationship Id="rId527" Type="http://schemas.openxmlformats.org/officeDocument/2006/relationships/hyperlink" Target="https://www.itu.int/en/ITU-T/extcoop/cits/egcomad/wg03/Pages/default.aspx" TargetMode="External"/><Relationship Id="rId569" Type="http://schemas.openxmlformats.org/officeDocument/2006/relationships/hyperlink" Target="https://www.itu.int/md/S24-CL-C-0070/es" TargetMode="External"/><Relationship Id="rId70" Type="http://schemas.openxmlformats.org/officeDocument/2006/relationships/hyperlink" Target="https://www.itu.int/wtsa/2024/candidates/" TargetMode="External"/><Relationship Id="rId166" Type="http://schemas.openxmlformats.org/officeDocument/2006/relationships/hyperlink" Target="https://www.itu.int/digital-resilience/submarine-cables/events/about-porto-summit/" TargetMode="External"/><Relationship Id="rId331" Type="http://schemas.openxmlformats.org/officeDocument/2006/relationships/hyperlink" Target="https://www.itu.int/en/ITU-R/study-groups/rsg7/rwp7d/Pages/seminar-radio-astronomy-2024.aspx" TargetMode="External"/><Relationship Id="rId373" Type="http://schemas.openxmlformats.org/officeDocument/2006/relationships/hyperlink" Target="https://publicadministration.desa.un.org/es/node/2824" TargetMode="External"/><Relationship Id="rId429" Type="http://schemas.openxmlformats.org/officeDocument/2006/relationships/hyperlink" Target="https://www.itu.int/rec/T-REC-H.870/es" TargetMode="External"/><Relationship Id="rId580" Type="http://schemas.openxmlformats.org/officeDocument/2006/relationships/footer" Target="footer4.xml"/><Relationship Id="rId1" Type="http://schemas.openxmlformats.org/officeDocument/2006/relationships/customXml" Target="../customXml/item1.xml"/><Relationship Id="rId233" Type="http://schemas.openxmlformats.org/officeDocument/2006/relationships/image" Target="media/image17.jpeg"/><Relationship Id="rId440" Type="http://schemas.openxmlformats.org/officeDocument/2006/relationships/hyperlink" Target="https://www.itu.int/pub/R-REP-SM.2153/es" TargetMode="External"/><Relationship Id="rId28" Type="http://schemas.openxmlformats.org/officeDocument/2006/relationships/hyperlink" Target="https://academy.itu.int/" TargetMode="External"/><Relationship Id="rId275" Type="http://schemas.openxmlformats.org/officeDocument/2006/relationships/hyperlink" Target="https://publicadministration.desa.un.org/es/node/2824" TargetMode="External"/><Relationship Id="rId300" Type="http://schemas.openxmlformats.org/officeDocument/2006/relationships/hyperlink" Target="https://www.itu.int/hub/membership/" TargetMode="External"/><Relationship Id="rId482" Type="http://schemas.openxmlformats.org/officeDocument/2006/relationships/hyperlink" Target="https://www.itu.int/initiatives/digital-unga2025/" TargetMode="External"/><Relationship Id="rId538" Type="http://schemas.openxmlformats.org/officeDocument/2006/relationships/hyperlink" Target="https://aiforgood.itu.int/multimedia-authenticity/" TargetMode="External"/><Relationship Id="rId81" Type="http://schemas.openxmlformats.org/officeDocument/2006/relationships/hyperlink" Target="https://www.itu.int/md/D22-WTDC25-251117/sum/es" TargetMode="External"/><Relationship Id="rId135" Type="http://schemas.openxmlformats.org/officeDocument/2006/relationships/hyperlink" Target="https://www.itu.int/md/T25-SG11-260303-TD-GEN-0909/es" TargetMode="External"/><Relationship Id="rId177" Type="http://schemas.openxmlformats.org/officeDocument/2006/relationships/hyperlink" Target="https://www.itu.int/en/action/cybersecurity/Pages/default.aspx" TargetMode="External"/><Relationship Id="rId342" Type="http://schemas.openxmlformats.org/officeDocument/2006/relationships/hyperlink" Target="https://www.itu.int/en/ITU-D/Cybersecurity/pages/cyberdrills.aspx" TargetMode="External"/><Relationship Id="rId384" Type="http://schemas.openxmlformats.org/officeDocument/2006/relationships/hyperlink" Target="https://www.youtube.com/watch?v=zZFNByEQ15k" TargetMode="External"/><Relationship Id="rId202" Type="http://schemas.openxmlformats.org/officeDocument/2006/relationships/hyperlink" Target="https://unsceb.org/sites/default/files/2024-04/United%20Nations%20System%20White%20Paper%20on%20AI%20Governance.pdf" TargetMode="External"/><Relationship Id="rId244" Type="http://schemas.openxmlformats.org/officeDocument/2006/relationships/hyperlink" Target="https://www.itu.int/en/ITU-D/Statistics/Pages/bigdata/default.aspx" TargetMode="External"/><Relationship Id="rId39" Type="http://schemas.openxmlformats.org/officeDocument/2006/relationships/hyperlink" Target="https://www.itu.int/initiatives/green-digital-action/" TargetMode="External"/><Relationship Id="rId286" Type="http://schemas.openxmlformats.org/officeDocument/2006/relationships/hyperlink" Target="https://www.itu.int/es/ITU-D/Statistics/Pages/intlcoop/partnership/default.aspx" TargetMode="External"/><Relationship Id="rId451" Type="http://schemas.openxmlformats.org/officeDocument/2006/relationships/hyperlink" Target="https://www.itu.int/cities/wp-content/uploads/2023/04/The-role-of-Digital-Technologies-in-Aging-and-Health.pdf" TargetMode="External"/><Relationship Id="rId493"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89478|Unknown|TWFpbGZsb3d8eyJFbXB0eU1hcGkiOnRydWUsIlYiOiIwLjAuMDAwMCIsIlAiOiJXaW4zMiIsIkFOIjoiTWFpbCIsIldUIjoyfQ%3D%3D|0|||&amp;sdata=3y4UEJMAfevInE%2FLd8QEoDl1nwRHmyFMTZJLmU%2BY3VE%3D&amp;reserved=0" TargetMode="External"/><Relationship Id="rId507" Type="http://schemas.openxmlformats.org/officeDocument/2006/relationships/hyperlink" Target="https://giga.global/" TargetMode="External"/><Relationship Id="rId549" Type="http://schemas.openxmlformats.org/officeDocument/2006/relationships/hyperlink" Target="https://www.itu.int/pub/T-FG-AI4NDM-2023-2/es" TargetMode="External"/><Relationship Id="rId50" Type="http://schemas.openxmlformats.org/officeDocument/2006/relationships/hyperlink" Target="https://www.itu.int/dms_pub/itu-s/opb/conf/S-CONF-ACTF-2022-PDF-S.pdf" TargetMode="External"/><Relationship Id="rId104" Type="http://schemas.openxmlformats.org/officeDocument/2006/relationships/hyperlink" Target="https://www.itu.int/itu-d/reports/statistics/2025/10/15/ff25-internet-use/" TargetMode="External"/><Relationship Id="rId146" Type="http://schemas.openxmlformats.org/officeDocument/2006/relationships/hyperlink" Target="https://www.itu.int/bsg/training-modules/" TargetMode="External"/><Relationship Id="rId188" Type="http://schemas.openxmlformats.org/officeDocument/2006/relationships/hyperlink" Target="https://www.itu.int/metaverse/virtual-worlds/" TargetMode="External"/><Relationship Id="rId311" Type="http://schemas.openxmlformats.org/officeDocument/2006/relationships/hyperlink" Target="https://www.itu.int/en/ITU-T/academia/kaleidoscope/2026/Pages/default.aspx" TargetMode="External"/><Relationship Id="rId353" Type="http://schemas.openxmlformats.org/officeDocument/2006/relationships/image" Target="media/image24.png"/><Relationship Id="rId395" Type="http://schemas.openxmlformats.org/officeDocument/2006/relationships/hyperlink" Target="https://www.huawei.com/en/news/2022/8/seeds-for-future-camp" TargetMode="External"/><Relationship Id="rId409" Type="http://schemas.openxmlformats.org/officeDocument/2006/relationships/hyperlink" Target="https://www.itu.int/en/ITU-D/Digital-Inclusion/Pages/ICT-digital-accessibility/default.aspx" TargetMode="External"/><Relationship Id="rId560" Type="http://schemas.openxmlformats.org/officeDocument/2006/relationships/hyperlink" Target="https://www.itu.int/en/ITU-T/focusgroups/ai4h/Pages/deliverables.aspx" TargetMode="External"/><Relationship Id="rId92" Type="http://schemas.openxmlformats.org/officeDocument/2006/relationships/hyperlink" Target="https://datahub.itu.int/data/?e=KAZ&amp;i=36056" TargetMode="External"/><Relationship Id="rId213" Type="http://schemas.openxmlformats.org/officeDocument/2006/relationships/hyperlink" Target="https://www.itu.int/rec/T-REC-Y.3809/es" TargetMode="External"/><Relationship Id="rId420" Type="http://schemas.openxmlformats.org/officeDocument/2006/relationships/hyperlink" Target="https://youtu.be/IJmo71yujBY" TargetMode="External"/><Relationship Id="rId255" Type="http://schemas.openxmlformats.org/officeDocument/2006/relationships/hyperlink" Target="https://www.itu.int/en/ITU-T/info/Pages/resources.aspx" TargetMode="External"/><Relationship Id="rId297" Type="http://schemas.openxmlformats.org/officeDocument/2006/relationships/hyperlink" Target="https://www.itu.int/en/ITU-D/Regulatory-Market/Documents/GSR23/GSR-23_Best%20Practice%20Guidelines-S.pdf" TargetMode="External"/><Relationship Id="rId462" Type="http://schemas.openxmlformats.org/officeDocument/2006/relationships/hyperlink" Target="https://academy.itu.int/training-courses/full-catalogue/green-data-centres-policy-makers" TargetMode="External"/><Relationship Id="rId518" Type="http://schemas.openxmlformats.org/officeDocument/2006/relationships/hyperlink" Target="https://www.itu.int/cities/dt-digest/" TargetMode="External"/><Relationship Id="rId115" Type="http://schemas.openxmlformats.org/officeDocument/2006/relationships/hyperlink" Target="https://www.itu.int/wrc-27/" TargetMode="External"/><Relationship Id="rId157" Type="http://schemas.openxmlformats.org/officeDocument/2006/relationships/hyperlink" Target="https://www.itu.int/es/ITU-T/C-I/Pages/default.aspx" TargetMode="External"/><Relationship Id="rId322" Type="http://schemas.openxmlformats.org/officeDocument/2006/relationships/hyperlink" Target="https://www.itu.int/en/ITU-R/conferences/wrc/2023/irwsp/Pages/2023.aspx" TargetMode="External"/><Relationship Id="rId364" Type="http://schemas.openxmlformats.org/officeDocument/2006/relationships/hyperlink" Target="https://www.itu.int/en/ITU-D/Digital-Inclusion/Women-and-Girls/NoW/Pages/default.aspx" TargetMode="External"/><Relationship Id="rId61" Type="http://schemas.openxmlformats.org/officeDocument/2006/relationships/hyperlink" Target="https://www.itu.int/pub/R-RES-R.73/es" TargetMode="External"/><Relationship Id="rId199" Type="http://schemas.openxmlformats.org/officeDocument/2006/relationships/hyperlink" Target="https://www.itu.int/itu-d/meetings/wtdc25/wp-content/uploads/sites/29/2025/11/090-E.pdf" TargetMode="External"/><Relationship Id="rId571" Type="http://schemas.openxmlformats.org/officeDocument/2006/relationships/hyperlink" Target="https://www.itu.int/md/S25-CL-C-0055/es" TargetMode="External"/><Relationship Id="rId19" Type="http://schemas.openxmlformats.org/officeDocument/2006/relationships/hyperlink" Target="https://www.itu.int/ra-23/" TargetMode="External"/><Relationship Id="rId224" Type="http://schemas.openxmlformats.org/officeDocument/2006/relationships/hyperlink" Target="https://www.itu.int/en/ITU-T/focusgroups/mv/Pages/FG-MV-structure-and-workplan.aspx" TargetMode="External"/><Relationship Id="rId266" Type="http://schemas.openxmlformats.org/officeDocument/2006/relationships/hyperlink" Target="https://www.itu.int/pub/T-RES-T.75-2022/es" TargetMode="External"/><Relationship Id="rId431" Type="http://schemas.openxmlformats.org/officeDocument/2006/relationships/hyperlink" Target="https://www.itu.int/pub/T-TUT-EHT-2024-3/es" TargetMode="External"/><Relationship Id="rId473" Type="http://schemas.openxmlformats.org/officeDocument/2006/relationships/hyperlink" Target="https://www.itu.int/initiatives/green-digital-action/ai-climate-institute/" TargetMode="External"/><Relationship Id="rId529" Type="http://schemas.openxmlformats.org/officeDocument/2006/relationships/hyperlink" Target="https://aiforgood.itu.int/" TargetMode="External"/><Relationship Id="rId30" Type="http://schemas.openxmlformats.org/officeDocument/2006/relationships/hyperlink" Target="https://www.itu.int/itu-d/meetings/digital-skills-forum/" TargetMode="External"/><Relationship Id="rId126" Type="http://schemas.openxmlformats.org/officeDocument/2006/relationships/hyperlink" Target="https://www.itu.int/dms_pub/itu-t/opb/res/T-RES-T.61-2024-PDF-S.pdf" TargetMode="External"/><Relationship Id="rId168" Type="http://schemas.openxmlformats.org/officeDocument/2006/relationships/hyperlink" Target="https://www.itu.int/en/ITU-D/Cybersecurity/Pages/COP/COP.aspx" TargetMode="External"/><Relationship Id="rId333" Type="http://schemas.openxmlformats.org/officeDocument/2006/relationships/hyperlink" Target="https://www.itu.int/en/ITU-T/Workshops-and-Seminars/2022/0125/Pages/default.aspx" TargetMode="External"/><Relationship Id="rId540" Type="http://schemas.openxmlformats.org/officeDocument/2006/relationships/hyperlink" Target="https://aiforgood.itu.int/event/international-ai-standards-summit-2/" TargetMode="External"/><Relationship Id="rId72" Type="http://schemas.openxmlformats.org/officeDocument/2006/relationships/hyperlink" Target="https://www.itu.int/rec/dologin_pub.asp?lang=e&amp;id=T-REC-A.25-202410-I!!PDF-S&amp;type=items" TargetMode="External"/><Relationship Id="rId375" Type="http://schemas.openxmlformats.org/officeDocument/2006/relationships/hyperlink" Target="https://www.unwomen.org/es/how-we-work/un-system-coordination/promoting-un-accountability" TargetMode="External"/><Relationship Id="rId582"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hyperlink" Target="https://www.itu.int/ITU-T/recommendations/index_sg.aspx?sg=20" TargetMode="External"/><Relationship Id="rId277" Type="http://schemas.openxmlformats.org/officeDocument/2006/relationships/hyperlink" Target="https://www.itu.int/en/itu-wsis/Documents/WSIS20/WSIS+20Report.pdf" TargetMode="External"/><Relationship Id="rId400" Type="http://schemas.openxmlformats.org/officeDocument/2006/relationships/hyperlink" Target="https://www.itu.int/generationconnect/empower/generation-connect-young-leadership-programme-in-partnership-with-huawei/" TargetMode="External"/><Relationship Id="rId442" Type="http://schemas.openxmlformats.org/officeDocument/2006/relationships/hyperlink" Target="https://www.itu.int/pub/R-HDB-63/es" TargetMode="External"/><Relationship Id="rId484"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17585|Unknown|TWFpbGZsb3d8eyJFbXB0eU1hcGkiOnRydWUsIlYiOiIwLjAuMDAwMCIsIlAiOiJXaW4zMiIsIkFOIjoiTWFpbCIsIldUIjoyfQ%3D%3D|0|||&amp;sdata=J8lDblSbqY2Xrn%2B5MyEFSqfWmw1%2F6GX1YMEfzfleFJU%3D&amp;reserved=0" TargetMode="External"/><Relationship Id="rId137" Type="http://schemas.openxmlformats.org/officeDocument/2006/relationships/hyperlink" Target="https://www.itu.int/md/T25-SG11-260303-TD-GEN-0939/es" TargetMode="External"/><Relationship Id="rId302" Type="http://schemas.openxmlformats.org/officeDocument/2006/relationships/hyperlink" Target="https://www.itu.int/en/ITU-T/academia/kaleidoscope/Pages/default.aspx" TargetMode="External"/><Relationship Id="rId344" Type="http://schemas.openxmlformats.org/officeDocument/2006/relationships/hyperlink" Target="https://www.itu.int/en/ITU-D/ICT-Applications/Pages/digital-government.aspx" TargetMode="External"/><Relationship Id="rId41" Type="http://schemas.openxmlformats.org/officeDocument/2006/relationships/hyperlink" Target="https://pp.itu.int/2026/en/" TargetMode="External"/><Relationship Id="rId83" Type="http://schemas.openxmlformats.org/officeDocument/2006/relationships/hyperlink" Target="https://www.itu.int/highlights-report-activities/connect2030-agenda/" TargetMode="External"/><Relationship Id="rId179" Type="http://schemas.openxmlformats.org/officeDocument/2006/relationships/hyperlink" Target="https://www.itu.int/en/council/Documents/basic-texts-2023/RES-214-S.pdf" TargetMode="External"/><Relationship Id="rId386" Type="http://schemas.openxmlformats.org/officeDocument/2006/relationships/hyperlink" Target="https://youngaglobal.com/" TargetMode="External"/><Relationship Id="rId551" Type="http://schemas.openxmlformats.org/officeDocument/2006/relationships/hyperlink" Target="https://www.medewsa.eu/" TargetMode="External"/><Relationship Id="rId190" Type="http://schemas.openxmlformats.org/officeDocument/2006/relationships/hyperlink" Target="https://www.itu.int/dms_pub/itu-t/opb/res/T-RES-T.101-2024-PDF-S.pdf" TargetMode="External"/><Relationship Id="rId204" Type="http://schemas.openxmlformats.org/officeDocument/2006/relationships/hyperlink" Target="https://www.itu.int/pub/S-GEN-UNACT-2024/es" TargetMode="External"/><Relationship Id="rId246" Type="http://schemas.openxmlformats.org/officeDocument/2006/relationships/hyperlink" Target="https://www.itu.int/itu-d/meetings/wtis25/" TargetMode="External"/><Relationship Id="rId288" Type="http://schemas.openxmlformats.org/officeDocument/2006/relationships/hyperlink" Target="https://aiforgood.itu.int/ai-events-calendar/" TargetMode="External"/><Relationship Id="rId411" Type="http://schemas.openxmlformats.org/officeDocument/2006/relationships/hyperlink" Target="https://www.itu.int/es/ITU-D/Regional-Presence/Americas/Pages/EVENTS/2022/AA-2022.aspx" TargetMode="External"/><Relationship Id="rId453" Type="http://schemas.openxmlformats.org/officeDocument/2006/relationships/hyperlink" Target="https://www.itu.int/dms_pub/itu-t/opb/env/T-ENV-ENV-2025-4-PDF-S.pdf" TargetMode="External"/><Relationship Id="rId509" Type="http://schemas.openxmlformats.org/officeDocument/2006/relationships/hyperlink" Target="https://www.itu.int/un-virtual-worlds-day/2025/" TargetMode="External"/><Relationship Id="rId106" Type="http://schemas.openxmlformats.org/officeDocument/2006/relationships/hyperlink" Target="https://www.itu.int/itu-d/reports/statistics/2025/10/15/ff25-the-gender-digital-divide/" TargetMode="External"/><Relationship Id="rId313" Type="http://schemas.openxmlformats.org/officeDocument/2006/relationships/hyperlink" Target="https://www.itu.int/wrs-22/" TargetMode="External"/><Relationship Id="rId495" Type="http://schemas.openxmlformats.org/officeDocument/2006/relationships/hyperlink" Target="https://www.equalsintech.org/" TargetMode="External"/><Relationship Id="rId10" Type="http://schemas.openxmlformats.org/officeDocument/2006/relationships/hyperlink" Target="https://www.itu.int/dms_pub/itu-s/opb/conf/S-CONF-ACTF-2022-PDF-S.pdf" TargetMode="External"/><Relationship Id="rId52" Type="http://schemas.openxmlformats.org/officeDocument/2006/relationships/hyperlink" Target="https://www.itu.int/wrc-23/" TargetMode="External"/><Relationship Id="rId94" Type="http://schemas.openxmlformats.org/officeDocument/2006/relationships/hyperlink" Target="https://datahub.itu.int/data/?e=KAZ&amp;i=36056" TargetMode="External"/><Relationship Id="rId148" Type="http://schemas.openxmlformats.org/officeDocument/2006/relationships/hyperlink" Target="https://www.itu.int/pub/T-RES-T.107-2024/es" TargetMode="External"/><Relationship Id="rId355" Type="http://schemas.openxmlformats.org/officeDocument/2006/relationships/hyperlink" Target="https://www.itu.int/hub/publication/d-phcb-equal-03-2023" TargetMode="External"/><Relationship Id="rId397" Type="http://schemas.openxmlformats.org/officeDocument/2006/relationships/hyperlink" Target="https://www.itu.int/en/action/youth/Pages/itu-secretary-generals-youth-advisory-board.aspx" TargetMode="External"/><Relationship Id="rId520" Type="http://schemas.openxmlformats.org/officeDocument/2006/relationships/hyperlink" Target="https://www.itu.int/en/ITU-T/ITS/Pages/WTSA-Resolution-104.aspx" TargetMode="External"/><Relationship Id="rId562" Type="http://schemas.openxmlformats.org/officeDocument/2006/relationships/hyperlink" Target="https://www.un.org/sites/un2.un.org/files/sotf-pact_for_the_future_adopted.pdf" TargetMode="External"/><Relationship Id="rId215" Type="http://schemas.openxmlformats.org/officeDocument/2006/relationships/hyperlink" Target="https://www.itu.int/en/ITU-T/jca/qkdn/Pages/default.aspx" TargetMode="External"/><Relationship Id="rId257" Type="http://schemas.openxmlformats.org/officeDocument/2006/relationships/image" Target="media/image21.png"/><Relationship Id="rId422" Type="http://schemas.openxmlformats.org/officeDocument/2006/relationships/hyperlink" Target="https://youtu.be/KDDTwsxAaqs" TargetMode="External"/><Relationship Id="rId464" Type="http://schemas.openxmlformats.org/officeDocument/2006/relationships/hyperlink" Target="https://www.itu.int/hub/2025/10/open-access-repository-for-sustainable-software-options/" TargetMode="External"/><Relationship Id="rId299" Type="http://schemas.openxmlformats.org/officeDocument/2006/relationships/hyperlink" Target="https://www.itu.int/net/epub/BDT/2025-GSR-25-Best-Practice-Guidelines-S/index.html" TargetMode="External"/><Relationship Id="rId63" Type="http://schemas.openxmlformats.org/officeDocument/2006/relationships/hyperlink" Target="https://www.itu.int/pub/R-RES-R.75/es" TargetMode="External"/><Relationship Id="rId159" Type="http://schemas.openxmlformats.org/officeDocument/2006/relationships/hyperlink" Target="https://www.itu.int/en/ITU-D/Cybersecurity/Pages/cybersecurity-national-strategies.aspx" TargetMode="External"/><Relationship Id="rId366" Type="http://schemas.openxmlformats.org/officeDocument/2006/relationships/hyperlink" Target="https://www.itu.int/wtsa/2024/now/about/" TargetMode="External"/><Relationship Id="rId573" Type="http://schemas.openxmlformats.org/officeDocument/2006/relationships/hyperlink" Target="https://www.itu.int/es/action/youth/Pages/YPP.aspx" TargetMode="External"/><Relationship Id="rId226" Type="http://schemas.openxmlformats.org/officeDocument/2006/relationships/hyperlink" Target="https://www.itu.int/un-virtual-worlds-day/2025/" TargetMode="External"/><Relationship Id="rId433" Type="http://schemas.openxmlformats.org/officeDocument/2006/relationships/hyperlink" Target="https://www.itu.int/en/ITU-T/focusgroups/ai4h/Pages/default.aspx" TargetMode="External"/><Relationship Id="rId74" Type="http://schemas.openxmlformats.org/officeDocument/2006/relationships/hyperlink" Target="https://www.itu.int/itu-d/meetings/wtdc25/wp-content/uploads/sites/29/2025/11/WTDC-25-Declaration.pdf" TargetMode="External"/><Relationship Id="rId377" Type="http://schemas.openxmlformats.org/officeDocument/2006/relationships/hyperlink" Target="http://www.itu.int/gender" TargetMode="External"/><Relationship Id="rId500" Type="http://schemas.openxmlformats.org/officeDocument/2006/relationships/hyperlink" Target="https://www.equalsintech.org/research" TargetMode="External"/><Relationship Id="rId5" Type="http://schemas.openxmlformats.org/officeDocument/2006/relationships/webSettings" Target="webSettings.xml"/><Relationship Id="rId237" Type="http://schemas.openxmlformats.org/officeDocument/2006/relationships/image" Target="media/image18.png"/><Relationship Id="rId444" Type="http://schemas.openxmlformats.org/officeDocument/2006/relationships/hyperlink" Target="https://academy.itu.int/training-courses/full-catalogue/formacion-en-herramientas-innovadoras-de-comunicacion-para-el-fortalecimiento-de-las-capacidades-de-2" TargetMode="External"/><Relationship Id="rId290" Type="http://schemas.openxmlformats.org/officeDocument/2006/relationships/hyperlink" Target="https://aiforgood.itu.int/neural-network/" TargetMode="External"/><Relationship Id="rId304" Type="http://schemas.openxmlformats.org/officeDocument/2006/relationships/hyperlink" Target="https://www.itu.int/hub/2025/09/new-itu-academic-collaboration-on-technology-trends/" TargetMode="External"/><Relationship Id="rId388" Type="http://schemas.openxmlformats.org/officeDocument/2006/relationships/hyperlink" Target="https://www.mwcbarcelona.com/" TargetMode="External"/><Relationship Id="rId511" Type="http://schemas.openxmlformats.org/officeDocument/2006/relationships/hyperlink" Target="https://www.itu.int/un-virtual-worlds-day/2025/" TargetMode="External"/><Relationship Id="rId85" Type="http://schemas.openxmlformats.org/officeDocument/2006/relationships/hyperlink" Target="https://www.itu.int/highlights-report-activities/connect2030-agenda/" TargetMode="External"/><Relationship Id="rId150" Type="http://schemas.openxmlformats.org/officeDocument/2006/relationships/hyperlink" Target="https://www.itu.int/pub/T-RES-T.32-2024/es" TargetMode="External"/><Relationship Id="rId248" Type="http://schemas.openxmlformats.org/officeDocument/2006/relationships/hyperlink" Target="https://academy.itu.int/" TargetMode="External"/><Relationship Id="rId455" Type="http://schemas.openxmlformats.org/officeDocument/2006/relationships/hyperlink" Target="https://www.itu.int/hub/publication/d-hdb-guidelines-04-2023/" TargetMode="External"/><Relationship Id="rId12" Type="http://schemas.openxmlformats.org/officeDocument/2006/relationships/footer" Target="footer1.xml"/><Relationship Id="rId108" Type="http://schemas.openxmlformats.org/officeDocument/2006/relationships/image" Target="media/image14.png"/><Relationship Id="rId315" Type="http://schemas.openxmlformats.org/officeDocument/2006/relationships/hyperlink" Target="https://www.itu.int/en/ITU-R/seminars/rrs/2022-Arab/Pages/default.aspx" TargetMode="External"/><Relationship Id="rId522" Type="http://schemas.openxmlformats.org/officeDocument/2006/relationships/hyperlink" Target="https://www.itu.int/en/ITU-T/extcoop/cits/Pages/default.aspx" TargetMode="External"/><Relationship Id="rId96" Type="http://schemas.openxmlformats.org/officeDocument/2006/relationships/image" Target="media/image8.png"/><Relationship Id="rId161" Type="http://schemas.openxmlformats.org/officeDocument/2006/relationships/hyperlink" Target="https://www.itu.int/en/ITU-D/Cybersecurity/Pages/cyberdrills.aspx" TargetMode="External"/><Relationship Id="rId399" Type="http://schemas.openxmlformats.org/officeDocument/2006/relationships/hyperlink" Target="https://www.itu.int/es/action/youth/Pages/YPP.aspx" TargetMode="External"/><Relationship Id="rId259" Type="http://schemas.openxmlformats.org/officeDocument/2006/relationships/hyperlink" Target="https://www.itu.int/itu-d/sites/projects/home/projects/" TargetMode="External"/><Relationship Id="rId466" Type="http://schemas.openxmlformats.org/officeDocument/2006/relationships/hyperlink" Target="http://itu.int/partner2connect/events/past-events/" TargetMode="External"/><Relationship Id="rId23" Type="http://schemas.openxmlformats.org/officeDocument/2006/relationships/hyperlink" Target="https://www.itu.int/en/ITU-T/jca/mv/Pages/default.aspx" TargetMode="External"/><Relationship Id="rId119" Type="http://schemas.openxmlformats.org/officeDocument/2006/relationships/hyperlink" Target="https://www.itu.int/ITU-R/BR-GeoCatalogue" TargetMode="External"/><Relationship Id="rId326" Type="http://schemas.openxmlformats.org/officeDocument/2006/relationships/hyperlink" Target="https://www.itu.int/en/ITU-R/seminars/Future-of-tv-europe/Documents/Demos%20on%20Future%20of%20Broadcasting.pdf" TargetMode="External"/><Relationship Id="rId533" Type="http://schemas.openxmlformats.org/officeDocument/2006/relationships/hyperlink" Target="https://www.worldstandardsday.org/home.html" TargetMode="External"/><Relationship Id="rId172" Type="http://schemas.openxmlformats.org/officeDocument/2006/relationships/hyperlink" Target="https://www.itu.int/es/ITU-T/publications/Pages/recs.aspx" TargetMode="External"/><Relationship Id="rId477" Type="http://schemas.openxmlformats.org/officeDocument/2006/relationships/hyperlink" Target="https://www.itu.int/initiatives/green-digital-action/events/all/green-digital-action-summit-2025/" TargetMode="External"/><Relationship Id="rId337" Type="http://schemas.openxmlformats.org/officeDocument/2006/relationships/hyperlink" Target="https://www.itu.int/en/ITU-T/Workshops-and-Seminars/2025/Pages/default.aspx" TargetMode="External"/><Relationship Id="rId34" Type="http://schemas.openxmlformats.org/officeDocument/2006/relationships/hyperlink" Target="https://www.itu.int/en/ITU-T/extcoop/Pages/wsc.aspx" TargetMode="External"/><Relationship Id="rId544" Type="http://schemas.openxmlformats.org/officeDocument/2006/relationships/hyperlink" Target="https://eur03.safelinks.protection.outlook.com/?url=https%3A%2F%2Fwww.youtube.com%2Fwatch%3Fv%3DxjKjamBKHAw%26feature%3Dyoutu.be&amp;data=05|02|vanessa.gray%40itu.int|6d58bd5fc83240215f7f08de51d9734a|23e464d704e64b87913c24bd89219fd3|0|0|639038191533613038|Unknown|TWFpbGZsb3d8eyJFbXB0eU1hcGkiOnRydWUsIlYiOiIwLjAuMDAwMCIsIlAiOiJXaW4zMiIsIkFOIjoiTWFpbCIsIldUIjoyfQ%3D%3D|0|||&amp;sdata=pqQRDmH%2BPPboHWpgzscemcT244Uv%2FEWC%2FM1GW0wKen8%3D&amp;reserved=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ITUOffice2007\POOL\POOL%20S%20-%20ITU\GS\PS_Council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1FE6D-14B4-4C07-BC76-3D9D752F9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PS_Council26</Template>
  <TotalTime>1</TotalTime>
  <Pages>106</Pages>
  <Words>65042</Words>
  <Characters>303101</Characters>
  <Application>Microsoft Office Word</Application>
  <DocSecurity>0</DocSecurity>
  <Lines>7216</Lines>
  <Paragraphs>4331</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International Telecommunication Union</Company>
  <LinksUpToDate>false</LinksUpToDate>
  <CharactersWithSpaces>363812</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plan and the activities of the Union, March 2022 - December 2025</dc:title>
  <dc:subject>Consejo 2026 de la UIT</dc:subject>
  <dc:creator>Spanish83</dc:creator>
  <cp:keywords>C26; C2026; Council 2026; PP26</cp:keywords>
  <dc:description/>
  <cp:lastModifiedBy>GBS</cp:lastModifiedBy>
  <cp:revision>2</cp:revision>
  <cp:lastPrinted>2006-03-24T09:51:00Z</cp:lastPrinted>
  <dcterms:created xsi:type="dcterms:W3CDTF">2026-04-17T10:22:00Z</dcterms:created>
  <dcterms:modified xsi:type="dcterms:W3CDTF">2026-04-17T10:22:00Z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y fmtid="{D5CDD505-2E9C-101B-9397-08002B2CF9AE}" pid="8" name="GrammarlyDocumentId">
    <vt:lpwstr>5c03a5c9b91678b956e25536f0296632c716f66cf9a10e87f22af88ff3e788b1</vt:lpwstr>
  </property>
</Properties>
</file>